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73" w:rsidP="001D1C73" w:rsidRDefault="001D1C73" w14:paraId="6A2FA238" w14:textId="1DB0FDD5">
      <w:pPr>
        <w:spacing w:after="0"/>
        <w:jc w:val="center"/>
        <w:rPr>
          <w:b/>
          <w:sz w:val="40"/>
        </w:rPr>
      </w:pPr>
    </w:p>
    <w:p w:rsidR="001D1C73" w:rsidP="001D1C73" w:rsidRDefault="001D1C73" w14:paraId="406F2BAB" w14:textId="77777777">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7A24B5" w14:paraId="5C437A34" w14:textId="25DF256E">
      <w:pPr>
        <w:pStyle w:val="ReportCover-Title"/>
        <w:jc w:val="center"/>
        <w:rPr>
          <w:rFonts w:ascii="Arial" w:hAnsi="Arial" w:cs="Arial"/>
          <w:color w:val="auto"/>
        </w:rPr>
      </w:pPr>
      <w:r>
        <w:rPr>
          <w:rFonts w:ascii="Arial" w:hAnsi="Arial" w:eastAsia="Arial Unicode MS" w:cs="Arial"/>
          <w:noProof/>
          <w:color w:val="auto"/>
        </w:rPr>
        <w:t>National Survey of Child and Adolescent Well-Being-Third Cohort (NSCAW III)</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01D842A5">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7A24B5">
        <w:rPr>
          <w:rFonts w:ascii="Arial" w:hAnsi="Arial" w:cs="Arial"/>
          <w:color w:val="auto"/>
          <w:sz w:val="32"/>
          <w:szCs w:val="32"/>
        </w:rPr>
        <w:t>0202</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2E0CF2" w14:paraId="25EC0787" w14:textId="3C5DB7D7">
      <w:pPr>
        <w:pStyle w:val="ReportCover-Date"/>
        <w:spacing w:after="0"/>
        <w:jc w:val="center"/>
        <w:rPr>
          <w:rFonts w:ascii="Arial" w:hAnsi="Arial" w:cs="Arial"/>
          <w:color w:val="auto"/>
        </w:rPr>
      </w:pPr>
      <w:r>
        <w:rPr>
          <w:rFonts w:ascii="Arial" w:hAnsi="Arial" w:cs="Arial"/>
          <w:color w:val="auto"/>
        </w:rPr>
        <w:t>Approved September</w:t>
      </w:r>
      <w:r w:rsidR="00815E12">
        <w:rPr>
          <w:rFonts w:ascii="Arial" w:hAnsi="Arial" w:cs="Arial"/>
          <w:color w:val="auto"/>
        </w:rPr>
        <w:t xml:space="preserve"> </w:t>
      </w:r>
      <w:r w:rsidR="007A24B5">
        <w:rPr>
          <w:rFonts w:ascii="Arial" w:hAnsi="Arial" w:cs="Arial"/>
          <w:color w:val="auto"/>
        </w:rPr>
        <w:t>2020</w:t>
      </w:r>
    </w:p>
    <w:p w:rsidRPr="009139B3" w:rsidR="001D1C73" w:rsidP="001D1C73" w:rsidRDefault="001D1C73" w14:paraId="6AE99265" w14:textId="77777777">
      <w:pPr>
        <w:spacing w:after="0" w:line="240" w:lineRule="auto"/>
        <w:jc w:val="center"/>
        <w:rPr>
          <w:rFonts w:ascii="Arial" w:hAnsi="Arial" w:cs="Arial"/>
        </w:rPr>
      </w:pPr>
    </w:p>
    <w:p w:rsidRPr="002C4F75" w:rsidR="002E0CF2" w:rsidP="002E0CF2" w:rsidRDefault="002E0CF2" w14:paraId="74E42A61" w14:textId="218D3E4E">
      <w:pPr>
        <w:pStyle w:val="ReportCover-Date"/>
        <w:spacing w:after="0" w:line="240" w:lineRule="auto"/>
        <w:jc w:val="center"/>
        <w:rPr>
          <w:rFonts w:ascii="Arial" w:hAnsi="Arial" w:cs="Arial"/>
          <w:color w:val="auto"/>
        </w:rPr>
      </w:pPr>
      <w:r>
        <w:rPr>
          <w:rFonts w:ascii="Arial" w:hAnsi="Arial" w:cs="Arial"/>
          <w:color w:val="auto"/>
        </w:rPr>
        <w:t xml:space="preserve">Revised </w:t>
      </w:r>
      <w:r w:rsidR="00F3674F">
        <w:rPr>
          <w:rFonts w:ascii="Arial" w:hAnsi="Arial" w:cs="Arial"/>
          <w:color w:val="auto"/>
        </w:rPr>
        <w:t>January</w:t>
      </w:r>
      <w:r>
        <w:rPr>
          <w:rFonts w:ascii="Arial" w:hAnsi="Arial" w:cs="Arial"/>
          <w:color w:val="auto"/>
        </w:rPr>
        <w:t xml:space="preserve"> 202</w:t>
      </w:r>
      <w:r w:rsidR="00F3674F">
        <w:rPr>
          <w:rFonts w:ascii="Arial" w:hAnsi="Arial" w:cs="Arial"/>
          <w:color w:val="auto"/>
        </w:rPr>
        <w:t>1</w:t>
      </w:r>
      <w:r>
        <w:rPr>
          <w:rFonts w:ascii="Arial" w:hAnsi="Arial" w:cs="Arial"/>
          <w:color w:val="auto"/>
        </w:rPr>
        <w:t xml:space="preserve"> </w:t>
      </w: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1D1C73" w:rsidP="001D1C73" w:rsidRDefault="001D1C73" w14:paraId="32BC72CD" w14:textId="582997F0">
      <w:pPr>
        <w:spacing w:after="0" w:line="240" w:lineRule="auto"/>
        <w:jc w:val="center"/>
        <w:rPr>
          <w:rFonts w:ascii="Arial" w:hAnsi="Arial" w:cs="Arial"/>
        </w:rPr>
      </w:pPr>
      <w:r w:rsidRPr="009139B3">
        <w:rPr>
          <w:rFonts w:ascii="Arial" w:hAnsi="Arial" w:cs="Arial"/>
        </w:rPr>
        <w:t>Project Officers:</w:t>
      </w:r>
    </w:p>
    <w:p w:rsidRPr="007A24B5" w:rsidR="001D1C73" w:rsidP="001D1C73" w:rsidRDefault="007A24B5" w14:paraId="028CE6F6" w14:textId="68B94B05">
      <w:pPr>
        <w:spacing w:after="0" w:line="240" w:lineRule="auto"/>
        <w:jc w:val="center"/>
        <w:rPr>
          <w:rFonts w:ascii="Arial" w:hAnsi="Arial" w:cs="Arial"/>
          <w:bCs/>
        </w:rPr>
      </w:pPr>
      <w:r w:rsidRPr="007A24B5">
        <w:rPr>
          <w:rFonts w:ascii="Arial" w:hAnsi="Arial" w:cs="Arial"/>
          <w:bCs/>
        </w:rPr>
        <w:t>Christine Fortunato</w:t>
      </w:r>
    </w:p>
    <w:p w:rsidRPr="007A24B5" w:rsidR="007A24B5" w:rsidP="001D1C73" w:rsidRDefault="007A24B5" w14:paraId="277FFE92" w14:textId="7786B7B3">
      <w:pPr>
        <w:spacing w:after="0" w:line="240" w:lineRule="auto"/>
        <w:jc w:val="center"/>
        <w:rPr>
          <w:rFonts w:ascii="Arial" w:hAnsi="Arial" w:cs="Arial"/>
          <w:bCs/>
        </w:rPr>
      </w:pPr>
      <w:r w:rsidRPr="007A24B5">
        <w:rPr>
          <w:rFonts w:ascii="Arial" w:hAnsi="Arial" w:cs="Arial"/>
          <w:bCs/>
        </w:rPr>
        <w:t xml:space="preserve">Mary Bruce Webb </w:t>
      </w:r>
    </w:p>
    <w:p w:rsidRPr="009139B3" w:rsidR="007A24B5" w:rsidP="001D1C73" w:rsidRDefault="007A24B5" w14:paraId="6DC2E432"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064F5C2A">
      <w:pPr>
        <w:pStyle w:val="ListParagraph"/>
        <w:numPr>
          <w:ilvl w:val="0"/>
          <w:numId w:val="27"/>
        </w:numPr>
        <w:spacing w:after="0" w:line="240" w:lineRule="auto"/>
      </w:pPr>
      <w:r w:rsidRPr="009139B3">
        <w:rPr>
          <w:b/>
        </w:rPr>
        <w:t xml:space="preserve">Type of Request: </w:t>
      </w:r>
      <w:proofErr w:type="gramStart"/>
      <w:r w:rsidRPr="009139B3">
        <w:t xml:space="preserve">This  </w:t>
      </w:r>
      <w:r w:rsidR="002E0CF2">
        <w:t>r</w:t>
      </w:r>
      <w:r w:rsidRPr="009139B3">
        <w:t>equest</w:t>
      </w:r>
      <w:proofErr w:type="gramEnd"/>
      <w:r w:rsidRPr="009139B3">
        <w:t xml:space="preserve"> is </w:t>
      </w:r>
      <w:r w:rsidR="002E0CF2">
        <w:t xml:space="preserve">a change request to an approved information collection. </w:t>
      </w:r>
      <w:r w:rsidRPr="009139B3">
        <w:t xml:space="preserve"> </w:t>
      </w:r>
    </w:p>
    <w:p w:rsidRPr="009139B3" w:rsidR="001D1C73" w:rsidP="001D1C73" w:rsidRDefault="001D1C73" w14:paraId="7AE0042F" w14:textId="77777777">
      <w:pPr>
        <w:spacing w:after="0" w:line="240" w:lineRule="auto"/>
      </w:pPr>
    </w:p>
    <w:p w:rsidRPr="00EB48DC" w:rsidR="00094069" w:rsidP="00EB48DC" w:rsidRDefault="00A56B3F" w14:paraId="7698A22D" w14:textId="5830BDC2">
      <w:pPr>
        <w:pStyle w:val="ListParagraph"/>
        <w:numPr>
          <w:ilvl w:val="0"/>
          <w:numId w:val="27"/>
        </w:numPr>
        <w:spacing w:after="0" w:line="240" w:lineRule="auto"/>
        <w:rPr>
          <w:rFonts w:cs="Calibri"/>
        </w:rPr>
      </w:pPr>
      <w:r w:rsidRPr="00EB48DC">
        <w:rPr>
          <w:b/>
        </w:rPr>
        <w:t>Progress to date</w:t>
      </w:r>
      <w:r w:rsidRPr="00EB48DC" w:rsidR="001D1C73">
        <w:rPr>
          <w:b/>
        </w:rPr>
        <w:t xml:space="preserve">: </w:t>
      </w:r>
      <w:r w:rsidRPr="00EB48DC" w:rsidR="00C1301F">
        <w:rPr>
          <w:rFonts w:cstheme="minorHAnsi"/>
          <w:iCs/>
        </w:rPr>
        <w:t xml:space="preserve"> </w:t>
      </w:r>
      <w:r w:rsidRPr="00EB48DC" w:rsidR="00915B55">
        <w:rPr>
          <w:rFonts w:cstheme="minorHAnsi"/>
        </w:rPr>
        <w:t>The Administration for Children and Families (ACF) is proposing to collect data on the child welfare workforce as part of the third cohort of children and families for the National Survey of Child and Adolescent Well-Being (NSCAW III).  The first cohort of NSCAW began in</w:t>
      </w:r>
      <w:r w:rsidRPr="00EB48DC" w:rsidR="008631FB">
        <w:rPr>
          <w:rFonts w:cstheme="minorHAnsi"/>
        </w:rPr>
        <w:t xml:space="preserve"> 1999</w:t>
      </w:r>
      <w:r w:rsidRPr="00EB48DC" w:rsidR="00915B55">
        <w:rPr>
          <w:rFonts w:cstheme="minorHAnsi"/>
        </w:rPr>
        <w:t xml:space="preserve">. </w:t>
      </w:r>
      <w:r w:rsidRPr="00EB48DC" w:rsidR="00E643FC">
        <w:rPr>
          <w:rFonts w:cstheme="minorHAnsi"/>
          <w:iCs/>
        </w:rPr>
        <w:t xml:space="preserve">NSCAW is the only source of nationally representative, longitudinal, firsthand information about the functioning and well-being, service needs, and service utilization of children and families who come to the attention of the child welfare system. </w:t>
      </w:r>
      <w:r w:rsidRPr="00EB48DC" w:rsidR="00F606ED">
        <w:rPr>
          <w:rFonts w:cstheme="minorHAnsi"/>
          <w:iCs/>
        </w:rPr>
        <w:t>The Phase I submission</w:t>
      </w:r>
      <w:r w:rsidRPr="00EB48DC" w:rsidR="00915B55">
        <w:rPr>
          <w:rFonts w:cstheme="minorHAnsi"/>
          <w:iCs/>
        </w:rPr>
        <w:t xml:space="preserve"> for NSCAW III</w:t>
      </w:r>
      <w:r w:rsidRPr="00EB48DC" w:rsidR="00F606ED">
        <w:rPr>
          <w:rFonts w:cstheme="minorHAnsi"/>
          <w:iCs/>
        </w:rPr>
        <w:t>, approved November 2016, included recruitment and sampling process data collection activities.  The Phase II submission, approved July 2017, is still ongoing and includes baseline and 18-month follow-up data collection activities.</w:t>
      </w:r>
      <w:r w:rsidR="00EB48DC">
        <w:t xml:space="preserve"> </w:t>
      </w:r>
      <w:r w:rsidRPr="00EB48DC" w:rsidR="002E0CF2">
        <w:rPr>
          <w:rFonts w:cstheme="minorHAnsi"/>
          <w:iCs/>
        </w:rPr>
        <w:t xml:space="preserve"> </w:t>
      </w:r>
      <w:r w:rsidRPr="00EB48DC" w:rsidR="00F606ED">
        <w:rPr>
          <w:rFonts w:cstheme="minorHAnsi"/>
          <w:iCs/>
        </w:rPr>
        <w:t xml:space="preserve">See Table </w:t>
      </w:r>
      <w:r w:rsidRPr="00EB48DC" w:rsidR="00A56B61">
        <w:rPr>
          <w:rFonts w:cstheme="minorHAnsi"/>
          <w:iCs/>
        </w:rPr>
        <w:t>B1.4</w:t>
      </w:r>
      <w:r w:rsidRPr="00EB48DC" w:rsidR="00F606ED">
        <w:rPr>
          <w:rFonts w:cstheme="minorHAnsi"/>
          <w:iCs/>
        </w:rPr>
        <w:t xml:space="preserve"> in Supporting Statement B for full sample sizes and response rates for Phase II.</w:t>
      </w:r>
    </w:p>
    <w:p w:rsidR="00A56B3F" w:rsidP="00EB48DC" w:rsidRDefault="00A56B3F" w14:paraId="002C496F" w14:textId="098DE665">
      <w:pPr>
        <w:spacing w:after="0" w:line="240" w:lineRule="auto"/>
        <w:ind w:left="720" w:hanging="360"/>
        <w:rPr>
          <w:rFonts w:cs="Calibri"/>
        </w:rPr>
      </w:pPr>
    </w:p>
    <w:p w:rsidRPr="00A56B3F" w:rsidR="00A56B3F" w:rsidP="00EB48DC" w:rsidRDefault="00A56B3F" w14:paraId="23CC6B83" w14:textId="1B604A75">
      <w:pPr>
        <w:pStyle w:val="ListParagraph"/>
        <w:numPr>
          <w:ilvl w:val="0"/>
          <w:numId w:val="27"/>
        </w:numPr>
        <w:spacing w:after="0" w:line="240" w:lineRule="auto"/>
        <w:rPr>
          <w:rFonts w:cs="Calibri"/>
          <w:b/>
        </w:rPr>
      </w:pPr>
      <w:r w:rsidRPr="00A56B3F">
        <w:rPr>
          <w:rFonts w:cs="Calibri"/>
          <w:b/>
        </w:rPr>
        <w:t>Timeline:</w:t>
      </w:r>
      <w:r>
        <w:rPr>
          <w:rFonts w:cs="Calibri"/>
          <w:b/>
        </w:rPr>
        <w:t xml:space="preserve"> </w:t>
      </w:r>
      <w:r w:rsidR="00E643FC">
        <w:t xml:space="preserve">Phase II of the </w:t>
      </w:r>
      <w:r>
        <w:t>project is progressing</w:t>
      </w:r>
      <w:r w:rsidR="00E643FC">
        <w:t>.</w:t>
      </w:r>
      <w:r>
        <w:t xml:space="preserve"> </w:t>
      </w:r>
      <w:r w:rsidR="002E0CF2">
        <w:t>Phase III of the project is scheduled to begin in January 2021.</w:t>
      </w:r>
      <w:r w:rsidR="00E643FC">
        <w:t xml:space="preserve"> </w:t>
      </w:r>
    </w:p>
    <w:p w:rsidR="00EB48DC" w:rsidP="00EB48DC" w:rsidRDefault="00EB48DC" w14:paraId="663CE538" w14:textId="77777777">
      <w:pPr>
        <w:spacing w:after="0" w:line="240" w:lineRule="auto"/>
        <w:ind w:left="720" w:hanging="360"/>
        <w:rPr>
          <w:rFonts w:cs="Calibri"/>
          <w:b/>
        </w:rPr>
      </w:pPr>
    </w:p>
    <w:p w:rsidRPr="00A56B3F" w:rsidR="00A56B3F" w:rsidP="00E643FC" w:rsidRDefault="00A56B3F" w14:paraId="35CB4E2E" w14:textId="6F5FE775">
      <w:pPr>
        <w:spacing w:after="0" w:line="240" w:lineRule="auto"/>
        <w:rPr>
          <w:rFonts w:cs="Calibri"/>
        </w:rPr>
      </w:pPr>
      <w:r w:rsidRPr="00EB48DC">
        <w:rPr>
          <w:rFonts w:cs="Calibri"/>
          <w:b/>
        </w:rPr>
        <w:t xml:space="preserve">Summary of </w:t>
      </w:r>
      <w:r w:rsidRPr="00EB48DC" w:rsidR="00201D76">
        <w:rPr>
          <w:rFonts w:cs="Calibri"/>
          <w:b/>
        </w:rPr>
        <w:t>Changes R</w:t>
      </w:r>
      <w:r w:rsidRPr="00EB48DC">
        <w:rPr>
          <w:rFonts w:cs="Calibri"/>
          <w:b/>
        </w:rPr>
        <w:t>equested:</w:t>
      </w:r>
      <w:r w:rsidRPr="00EB48DC">
        <w:rPr>
          <w:rFonts w:cs="Calibri"/>
        </w:rPr>
        <w:t xml:space="preserve"> </w:t>
      </w:r>
      <w:r w:rsidR="00EB48DC">
        <w:t>This request is for revisions to the Phase II information collection, including changes due to the COVID-19 pandemic, IRB-requested changes to reflect updated human subjects guidance, and the addition of a non-monetary incentive to adolescent respondents ages 11 to 17 years old.</w:t>
      </w: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201D76" w:rsidP="008D273E" w:rsidRDefault="00201D76" w14:paraId="258CA957" w14:textId="68705623">
      <w:pPr>
        <w:spacing w:after="0"/>
        <w:rPr>
          <w:color w:val="000000" w:themeColor="text1"/>
        </w:rPr>
      </w:pPr>
      <w:r w:rsidRPr="00201D76">
        <w:rPr>
          <w:color w:val="000000" w:themeColor="text1"/>
        </w:rPr>
        <w:t xml:space="preserve">The Administration for Children and Families (ACF) within the U.S. Department of Health and Human Services (HHS) </w:t>
      </w:r>
      <w:r w:rsidR="0047196D">
        <w:rPr>
          <w:color w:val="000000" w:themeColor="text1"/>
        </w:rPr>
        <w:t>proposes</w:t>
      </w:r>
      <w:r w:rsidRPr="00201D76">
        <w:rPr>
          <w:color w:val="000000" w:themeColor="text1"/>
        </w:rPr>
        <w:t xml:space="preserve"> </w:t>
      </w:r>
      <w:r w:rsidRPr="00C1301F">
        <w:rPr>
          <w:rFonts w:cstheme="minorHAnsi"/>
        </w:rPr>
        <w:t xml:space="preserve">to collect data on the child welfare workforce as part of the third cohort of children and families for the National Survey of Child and Adolescent Well-Being (NSCAW III).  </w:t>
      </w:r>
      <w:r>
        <w:rPr>
          <w:color w:val="000000" w:themeColor="text1"/>
        </w:rPr>
        <w:t>The goal of this data collection is to gain a</w:t>
      </w:r>
      <w:r w:rsidR="004F03C3">
        <w:rPr>
          <w:color w:val="000000" w:themeColor="text1"/>
        </w:rPr>
        <w:t xml:space="preserve"> </w:t>
      </w:r>
      <w:r w:rsidRPr="005729F8" w:rsidR="00F6794B">
        <w:rPr>
          <w:color w:val="000000" w:themeColor="text1"/>
        </w:rPr>
        <w:t xml:space="preserve">better understanding of the strengths and challenges of the current workforce in public child welfare agencies </w:t>
      </w:r>
      <w:r w:rsidR="00F6794B">
        <w:rPr>
          <w:color w:val="000000" w:themeColor="text1"/>
        </w:rPr>
        <w:t xml:space="preserve">is needed </w:t>
      </w:r>
      <w:r w:rsidRPr="005729F8" w:rsidR="00F6794B">
        <w:rPr>
          <w:color w:val="000000" w:themeColor="text1"/>
        </w:rPr>
        <w:t xml:space="preserve">to support efforts to </w:t>
      </w:r>
      <w:r w:rsidR="00E26546">
        <w:rPr>
          <w:color w:val="000000" w:themeColor="text1"/>
        </w:rPr>
        <w:t xml:space="preserve">promote </w:t>
      </w:r>
      <w:r w:rsidRPr="005729F8" w:rsidR="00F6794B">
        <w:rPr>
          <w:color w:val="000000" w:themeColor="text1"/>
        </w:rPr>
        <w:t>a stable workforce</w:t>
      </w:r>
      <w:r w:rsidR="000B5F4F">
        <w:rPr>
          <w:color w:val="000000" w:themeColor="text1"/>
        </w:rPr>
        <w:t xml:space="preserve"> that meets the needs of vulnerable children and families.  </w:t>
      </w:r>
    </w:p>
    <w:p w:rsidR="00201D76" w:rsidP="008D273E" w:rsidRDefault="00201D76" w14:paraId="465D53D1" w14:textId="3F10BFD3">
      <w:pPr>
        <w:spacing w:after="0"/>
        <w:rPr>
          <w:color w:val="000000" w:themeColor="text1"/>
        </w:rPr>
      </w:pPr>
    </w:p>
    <w:p w:rsidRPr="00201D76" w:rsidR="00201D76" w:rsidP="00CD3C52" w:rsidRDefault="00201D76" w14:paraId="009BE3E3" w14:textId="7E44EEF0">
      <w:pPr>
        <w:pStyle w:val="NormalSS"/>
        <w:spacing w:after="120" w:line="276" w:lineRule="auto"/>
        <w:ind w:firstLine="0"/>
        <w:rPr>
          <w:rFonts w:asciiTheme="minorHAnsi" w:hAnsiTheme="minorHAnsi" w:cstheme="minorHAnsi"/>
          <w:i/>
          <w:sz w:val="22"/>
          <w:szCs w:val="22"/>
        </w:rPr>
      </w:pPr>
      <w:r>
        <w:rPr>
          <w:rFonts w:asciiTheme="minorHAnsi" w:hAnsiTheme="minorHAnsi" w:cstheme="minorHAnsi"/>
          <w:i/>
          <w:sz w:val="22"/>
          <w:szCs w:val="22"/>
        </w:rPr>
        <w:t>Study Background</w:t>
      </w:r>
    </w:p>
    <w:p w:rsidR="00201D76" w:rsidP="008E007A" w:rsidRDefault="005729F8" w14:paraId="13461F17" w14:textId="004DE66E">
      <w:pPr>
        <w:spacing w:after="0"/>
        <w:rPr>
          <w:rFonts w:cstheme="minorHAnsi"/>
        </w:rPr>
      </w:pPr>
      <w:r>
        <w:rPr>
          <w:color w:val="000000" w:themeColor="text1"/>
        </w:rPr>
        <w:t xml:space="preserve">Child welfare turnover is costly and can have a negative impact on </w:t>
      </w:r>
      <w:r w:rsidR="00EA1341">
        <w:rPr>
          <w:color w:val="000000" w:themeColor="text1"/>
        </w:rPr>
        <w:t xml:space="preserve">the safety and permanency outcomes of </w:t>
      </w:r>
      <w:r>
        <w:rPr>
          <w:color w:val="000000" w:themeColor="text1"/>
        </w:rPr>
        <w:t xml:space="preserve">children and families being served by </w:t>
      </w:r>
      <w:r w:rsidR="00EA1341">
        <w:rPr>
          <w:color w:val="000000" w:themeColor="text1"/>
        </w:rPr>
        <w:t xml:space="preserve">the </w:t>
      </w:r>
      <w:r>
        <w:rPr>
          <w:color w:val="000000" w:themeColor="text1"/>
        </w:rPr>
        <w:t xml:space="preserve">child welfare </w:t>
      </w:r>
      <w:r w:rsidR="00EA1341">
        <w:rPr>
          <w:color w:val="000000" w:themeColor="text1"/>
        </w:rPr>
        <w:t>system</w:t>
      </w:r>
      <w:r>
        <w:rPr>
          <w:color w:val="000000" w:themeColor="text1"/>
        </w:rPr>
        <w:t xml:space="preserve"> </w:t>
      </w:r>
      <w:r w:rsidR="00EA1341">
        <w:rPr>
          <w:color w:val="000000" w:themeColor="text1"/>
        </w:rPr>
        <w:t xml:space="preserve">(e.g., Fluke et al., 2016; </w:t>
      </w:r>
      <w:proofErr w:type="spellStart"/>
      <w:r w:rsidR="00EA1341">
        <w:rPr>
          <w:color w:val="000000" w:themeColor="text1"/>
        </w:rPr>
        <w:t>Graef</w:t>
      </w:r>
      <w:proofErr w:type="spellEnd"/>
      <w:r w:rsidR="00EA1341">
        <w:rPr>
          <w:color w:val="000000" w:themeColor="text1"/>
        </w:rPr>
        <w:t xml:space="preserve"> &amp; Hill, 2000; </w:t>
      </w:r>
      <w:proofErr w:type="spellStart"/>
      <w:r w:rsidR="00EA1341">
        <w:rPr>
          <w:color w:val="000000" w:themeColor="text1"/>
        </w:rPr>
        <w:t>Pietrowiak</w:t>
      </w:r>
      <w:proofErr w:type="spellEnd"/>
      <w:r w:rsidR="00EA1341">
        <w:rPr>
          <w:color w:val="000000" w:themeColor="text1"/>
        </w:rPr>
        <w:t xml:space="preserve"> &amp; Gambino, 2003; </w:t>
      </w:r>
      <w:proofErr w:type="spellStart"/>
      <w:r w:rsidR="00EA1341">
        <w:rPr>
          <w:color w:val="000000" w:themeColor="text1"/>
        </w:rPr>
        <w:t>Strolin-Goltzman</w:t>
      </w:r>
      <w:proofErr w:type="spellEnd"/>
      <w:r w:rsidR="00EA1341">
        <w:rPr>
          <w:color w:val="000000" w:themeColor="text1"/>
        </w:rPr>
        <w:t xml:space="preserve"> et al., 2010)</w:t>
      </w:r>
      <w:r>
        <w:rPr>
          <w:color w:val="000000" w:themeColor="text1"/>
        </w:rPr>
        <w:t xml:space="preserve">.  </w:t>
      </w:r>
      <w:r w:rsidR="00EA44E9">
        <w:rPr>
          <w:color w:val="000000" w:themeColor="text1"/>
        </w:rPr>
        <w:t>Recent research l</w:t>
      </w:r>
      <w:r>
        <w:rPr>
          <w:color w:val="000000" w:themeColor="text1"/>
        </w:rPr>
        <w:t xml:space="preserve">everaging </w:t>
      </w:r>
      <w:r w:rsidRPr="005729F8">
        <w:t>2003</w:t>
      </w:r>
      <w:r w:rsidR="00F6794B">
        <w:t xml:space="preserve"> to </w:t>
      </w:r>
      <w:r w:rsidRPr="005729F8">
        <w:t>2015 data from the National Child Abuse and Neglect Reporting System (NCANDS</w:t>
      </w:r>
      <w:r w:rsidR="00EA44E9">
        <w:t xml:space="preserve">; </w:t>
      </w:r>
      <w:r w:rsidR="00EA44E9">
        <w:rPr>
          <w:color w:val="000000" w:themeColor="text1"/>
        </w:rPr>
        <w:t xml:space="preserve">Edwards &amp; </w:t>
      </w:r>
      <w:proofErr w:type="spellStart"/>
      <w:r w:rsidR="00EA44E9">
        <w:rPr>
          <w:color w:val="000000" w:themeColor="text1"/>
        </w:rPr>
        <w:t>Wildeman</w:t>
      </w:r>
      <w:proofErr w:type="spellEnd"/>
      <w:r w:rsidR="00EA44E9">
        <w:rPr>
          <w:color w:val="000000" w:themeColor="text1"/>
        </w:rPr>
        <w:t>, 2018)</w:t>
      </w:r>
      <w:r w:rsidRPr="005729F8">
        <w:t xml:space="preserve"> </w:t>
      </w:r>
      <w:r w:rsidRPr="005729F8">
        <w:rPr>
          <w:rFonts w:cstheme="minorHAnsi"/>
        </w:rPr>
        <w:t xml:space="preserve">examined workload and workforce instability among child welfare agencies in 46 states. </w:t>
      </w:r>
      <w:r w:rsidR="00EA44E9">
        <w:rPr>
          <w:rFonts w:cstheme="minorHAnsi"/>
        </w:rPr>
        <w:t>Findings indicated a 14-22% median turnover rate among front-line caseworkers and a 20% median turnover rate among supervisors nationwide</w:t>
      </w:r>
      <w:r w:rsidR="00F1002C">
        <w:rPr>
          <w:rFonts w:cstheme="minorHAnsi"/>
        </w:rPr>
        <w:t>.</w:t>
      </w:r>
      <w:r w:rsidR="00F6794B">
        <w:rPr>
          <w:rFonts w:cstheme="minorHAnsi"/>
        </w:rPr>
        <w:t xml:space="preserve">  O</w:t>
      </w:r>
      <w:r w:rsidR="00EA44E9">
        <w:rPr>
          <w:rFonts w:cstheme="minorHAnsi"/>
        </w:rPr>
        <w:t xml:space="preserve">n average, caseworkers had an active caseload for 1.8 years before exiting the child welfare system. </w:t>
      </w:r>
    </w:p>
    <w:p w:rsidR="00201D76" w:rsidP="008E007A" w:rsidRDefault="00201D76" w14:paraId="19B75EDD" w14:textId="77777777">
      <w:pPr>
        <w:spacing w:after="0"/>
        <w:rPr>
          <w:rFonts w:cstheme="minorHAnsi"/>
        </w:rPr>
      </w:pPr>
    </w:p>
    <w:p w:rsidRPr="005729F8" w:rsidR="005729F8" w:rsidP="008E007A" w:rsidRDefault="00797412" w14:paraId="575509DF" w14:textId="20F61788">
      <w:pPr>
        <w:spacing w:after="0"/>
        <w:rPr>
          <w:rFonts w:cstheme="minorHAnsi"/>
        </w:rPr>
      </w:pPr>
      <w:r>
        <w:rPr>
          <w:rFonts w:cstheme="minorHAnsi"/>
        </w:rPr>
        <w:t xml:space="preserve">While prior data collection efforts have yielded insights into the child welfare workforce, they have generally focused on one type of worker (e.g., caseworkers or directors), have not been nationally representative, and have been limited to focus groups or qualitative surveys (e.g., Hughes &amp; Lay, 2012; Quality Improvement Center for Workforce Development, 2019).  </w:t>
      </w:r>
      <w:r w:rsidR="00565334">
        <w:rPr>
          <w:rFonts w:cstheme="minorHAnsi"/>
        </w:rPr>
        <w:t>These new data collection activities will provide nationally representative information</w:t>
      </w:r>
      <w:r>
        <w:rPr>
          <w:rFonts w:cstheme="minorHAnsi"/>
        </w:rPr>
        <w:t xml:space="preserve"> on </w:t>
      </w:r>
      <w:r w:rsidR="002B769D">
        <w:rPr>
          <w:rFonts w:cstheme="minorHAnsi"/>
        </w:rPr>
        <w:t xml:space="preserve">the </w:t>
      </w:r>
      <w:r>
        <w:rPr>
          <w:rFonts w:cstheme="minorHAnsi"/>
        </w:rPr>
        <w:t xml:space="preserve">job responsibilities, available supports, and overall work experiences </w:t>
      </w:r>
      <w:r w:rsidR="00DE6DEB">
        <w:rPr>
          <w:rFonts w:cstheme="minorHAnsi"/>
        </w:rPr>
        <w:t>of the public</w:t>
      </w:r>
      <w:r w:rsidR="00565334">
        <w:rPr>
          <w:rFonts w:cstheme="minorHAnsi"/>
        </w:rPr>
        <w:t xml:space="preserve"> child welfare workforce, including agency directors, caseworkers, and supervisors.</w:t>
      </w:r>
    </w:p>
    <w:p w:rsidR="00906124" w:rsidP="008D273E" w:rsidRDefault="00906124" w14:paraId="298B6CC4" w14:textId="28157B8D">
      <w:pPr>
        <w:spacing w:after="0"/>
      </w:pPr>
    </w:p>
    <w:p w:rsidRPr="00201D76" w:rsidR="00201D76" w:rsidP="00CD3C52" w:rsidRDefault="00201D76" w14:paraId="5B319827" w14:textId="4395553D">
      <w:pPr>
        <w:pStyle w:val="NormalSS"/>
        <w:spacing w:after="120" w:line="276" w:lineRule="auto"/>
        <w:ind w:firstLine="0"/>
        <w:rPr>
          <w:rFonts w:asciiTheme="minorHAnsi" w:hAnsiTheme="minorHAnsi" w:cstheme="minorHAnsi"/>
          <w:i/>
          <w:sz w:val="22"/>
          <w:szCs w:val="22"/>
        </w:rPr>
      </w:pPr>
      <w:r>
        <w:rPr>
          <w:rFonts w:asciiTheme="minorHAnsi" w:hAnsiTheme="minorHAnsi" w:cstheme="minorHAnsi"/>
          <w:i/>
          <w:sz w:val="22"/>
          <w:szCs w:val="22"/>
        </w:rPr>
        <w:t>Legal or Administrative Requirements that Necessitate the Collection</w:t>
      </w:r>
    </w:p>
    <w:p w:rsidRPr="009139B3" w:rsidR="001A79B1" w:rsidP="008E007A" w:rsidRDefault="001A79B1" w14:paraId="792A7258" w14:textId="6C7190F4">
      <w:pPr>
        <w:spacing w:after="0"/>
      </w:pPr>
      <w:r w:rsidRPr="005729F8">
        <w:rPr>
          <w:rFonts w:cstheme="minorHAnsi"/>
        </w:rPr>
        <w:t>There are no legal or administrative requirements that necessitate this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B04620" w:rsidP="008E007A" w:rsidRDefault="007B7066" w14:paraId="5C61A95E" w14:textId="11C83A80">
      <w:pPr>
        <w:spacing w:after="0"/>
        <w:rPr>
          <w:iCs/>
        </w:rPr>
      </w:pPr>
      <w:r>
        <w:rPr>
          <w:iCs/>
        </w:rPr>
        <w:t xml:space="preserve">The purpose of this information collection is to </w:t>
      </w:r>
      <w:bookmarkStart w:name="_Hlk36537061" w:id="0"/>
      <w:r>
        <w:rPr>
          <w:iCs/>
        </w:rPr>
        <w:t xml:space="preserve">gain </w:t>
      </w:r>
      <w:r w:rsidR="00FD180F">
        <w:rPr>
          <w:iCs/>
        </w:rPr>
        <w:t xml:space="preserve">a better understanding of </w:t>
      </w:r>
      <w:r w:rsidR="00870C05">
        <w:rPr>
          <w:iCs/>
        </w:rPr>
        <w:t xml:space="preserve">issues specific to the </w:t>
      </w:r>
      <w:r w:rsidR="00FD180F">
        <w:rPr>
          <w:iCs/>
        </w:rPr>
        <w:t>child welfare</w:t>
      </w:r>
      <w:r w:rsidR="00870C05">
        <w:rPr>
          <w:iCs/>
        </w:rPr>
        <w:t xml:space="preserve"> workforce, including </w:t>
      </w:r>
      <w:r w:rsidR="00FD180F">
        <w:rPr>
          <w:rFonts w:cstheme="minorHAnsi"/>
        </w:rPr>
        <w:t>child welfare workers</w:t>
      </w:r>
      <w:r w:rsidR="003F4CDB">
        <w:rPr>
          <w:rFonts w:cstheme="minorHAnsi"/>
        </w:rPr>
        <w:t>’</w:t>
      </w:r>
      <w:r w:rsidR="00FD180F">
        <w:rPr>
          <w:rFonts w:cstheme="minorHAnsi"/>
        </w:rPr>
        <w:t xml:space="preserve"> </w:t>
      </w:r>
      <w:r w:rsidR="00B04620">
        <w:rPr>
          <w:rFonts w:cstheme="minorHAnsi"/>
        </w:rPr>
        <w:t>characteristics</w:t>
      </w:r>
      <w:r w:rsidR="00FD180F">
        <w:rPr>
          <w:rFonts w:cstheme="minorHAnsi"/>
        </w:rPr>
        <w:t xml:space="preserve"> and work experiences</w:t>
      </w:r>
      <w:bookmarkStart w:name="_Hlk36537495" w:id="1"/>
      <w:bookmarkEnd w:id="0"/>
      <w:r w:rsidR="00FD180F">
        <w:rPr>
          <w:rFonts w:cstheme="minorHAnsi"/>
        </w:rPr>
        <w:t>.</w:t>
      </w:r>
      <w:r w:rsidR="004F5AAA">
        <w:rPr>
          <w:iCs/>
        </w:rPr>
        <w:t xml:space="preserve"> </w:t>
      </w:r>
      <w:bookmarkEnd w:id="1"/>
      <w:r w:rsidR="00870C05">
        <w:rPr>
          <w:iCs/>
        </w:rPr>
        <w:t xml:space="preserve">The information collection is not intended to focus on the child welfare system itself, but rather on the perceptions and experiences of staff serving children and families within the system. A limited number of items focused on the impact of COVID-19 on child welfare workforce practices have been included in the information collection.  </w:t>
      </w:r>
      <w:r w:rsidR="00B7661D">
        <w:rPr>
          <w:iCs/>
        </w:rPr>
        <w:t>T</w:t>
      </w:r>
      <w:r w:rsidR="00870C05">
        <w:rPr>
          <w:iCs/>
        </w:rPr>
        <w:t xml:space="preserve">hese items were crafted to focus </w:t>
      </w:r>
      <w:r w:rsidR="00D94A3E">
        <w:rPr>
          <w:iCs/>
        </w:rPr>
        <w:t xml:space="preserve">specifically </w:t>
      </w:r>
      <w:r w:rsidR="00870C05">
        <w:rPr>
          <w:iCs/>
        </w:rPr>
        <w:t xml:space="preserve">on </w:t>
      </w:r>
      <w:r w:rsidR="00507DD2">
        <w:rPr>
          <w:iCs/>
        </w:rPr>
        <w:t xml:space="preserve">ways </w:t>
      </w:r>
      <w:r w:rsidR="00870C05">
        <w:rPr>
          <w:iCs/>
        </w:rPr>
        <w:t xml:space="preserve">the pandemic </w:t>
      </w:r>
      <w:r w:rsidR="00281ED3">
        <w:rPr>
          <w:iCs/>
        </w:rPr>
        <w:t xml:space="preserve">may have altered </w:t>
      </w:r>
      <w:r w:rsidR="00507DD2">
        <w:rPr>
          <w:iCs/>
        </w:rPr>
        <w:t xml:space="preserve">the </w:t>
      </w:r>
      <w:r w:rsidR="00281ED3">
        <w:rPr>
          <w:iCs/>
        </w:rPr>
        <w:t xml:space="preserve">work </w:t>
      </w:r>
      <w:r w:rsidR="00507DD2">
        <w:rPr>
          <w:iCs/>
        </w:rPr>
        <w:t xml:space="preserve">and </w:t>
      </w:r>
      <w:r w:rsidR="00281ED3">
        <w:rPr>
          <w:iCs/>
        </w:rPr>
        <w:t>practice</w:t>
      </w:r>
      <w:r w:rsidR="00507DD2">
        <w:rPr>
          <w:iCs/>
        </w:rPr>
        <w:t xml:space="preserve"> of </w:t>
      </w:r>
      <w:r w:rsidR="009C669D">
        <w:rPr>
          <w:iCs/>
        </w:rPr>
        <w:t xml:space="preserve">agencies and their </w:t>
      </w:r>
      <w:r w:rsidR="00507DD2">
        <w:rPr>
          <w:iCs/>
        </w:rPr>
        <w:t>staff</w:t>
      </w:r>
      <w:r w:rsidR="00281ED3">
        <w:rPr>
          <w:iCs/>
        </w:rPr>
        <w:t xml:space="preserve">.  </w:t>
      </w:r>
      <w:r>
        <w:rPr>
          <w:rFonts w:cs="Calibri"/>
        </w:rPr>
        <w:t xml:space="preserve">The information collection </w:t>
      </w:r>
      <w:r>
        <w:rPr>
          <w:iCs/>
        </w:rPr>
        <w:t xml:space="preserve">will be used </w:t>
      </w:r>
      <w:bookmarkStart w:name="_Hlk36537627" w:id="2"/>
      <w:r>
        <w:rPr>
          <w:iCs/>
        </w:rPr>
        <w:t xml:space="preserve">to </w:t>
      </w:r>
      <w:r>
        <w:rPr>
          <w:iCs/>
        </w:rPr>
        <w:lastRenderedPageBreak/>
        <w:t>inform policy, programs, and practice related to the public child welfare workforce</w:t>
      </w:r>
      <w:bookmarkEnd w:id="2"/>
      <w:r>
        <w:rPr>
          <w:iCs/>
        </w:rPr>
        <w:t xml:space="preserve">.  </w:t>
      </w:r>
      <w:bookmarkStart w:name="_Hlk36537695" w:id="3"/>
      <w:r w:rsidR="00334241">
        <w:rPr>
          <w:iCs/>
        </w:rPr>
        <w:t xml:space="preserve">Workforce data will also be made available to the research community for analysis. </w:t>
      </w:r>
      <w:bookmarkEnd w:id="3"/>
    </w:p>
    <w:p w:rsidR="001112EE" w:rsidP="008D273E" w:rsidRDefault="001112EE" w14:paraId="29872805" w14:textId="77777777">
      <w:pPr>
        <w:spacing w:after="0"/>
        <w:rPr>
          <w:rFonts w:cs="Calibri"/>
        </w:rPr>
      </w:pPr>
    </w:p>
    <w:p w:rsidRPr="009139B3" w:rsidR="001D1C73" w:rsidP="008D273E" w:rsidRDefault="001D1C73" w14:paraId="5D584897" w14:textId="291BC5FC">
      <w:pPr>
        <w:spacing w:after="0"/>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P="008D273E" w:rsidRDefault="001D1C73" w14:paraId="1EE5C038" w14:textId="195F81E4">
      <w:pPr>
        <w:spacing w:after="0"/>
        <w:rPr>
          <w:i/>
        </w:rPr>
      </w:pPr>
    </w:p>
    <w:p w:rsidRPr="009139B3" w:rsidR="001D1C73" w:rsidP="00CD3C52" w:rsidRDefault="001D1C73" w14:paraId="6F0BE561" w14:textId="77777777">
      <w:pPr>
        <w:spacing w:after="60"/>
        <w:rPr>
          <w:i/>
        </w:rPr>
      </w:pPr>
      <w:r w:rsidRPr="009139B3">
        <w:rPr>
          <w:i/>
        </w:rPr>
        <w:t>Research Questions or Tests</w:t>
      </w:r>
    </w:p>
    <w:p w:rsidR="00AA77E0" w:rsidP="008D273E" w:rsidRDefault="004E29F5" w14:paraId="09A679DA" w14:textId="10D324BF">
      <w:pPr>
        <w:spacing w:after="0"/>
      </w:pPr>
      <w:r>
        <w:t xml:space="preserve">Previously approved Phase II research questions are provided for reference in </w:t>
      </w:r>
      <w:r w:rsidRPr="004E29F5">
        <w:rPr>
          <w:b/>
          <w:bCs/>
          <w:i/>
          <w:iCs/>
        </w:rPr>
        <w:t>Appendix A.</w:t>
      </w:r>
      <w:r>
        <w:t xml:space="preserve">  </w:t>
      </w:r>
      <w:r w:rsidR="00AA77E0">
        <w:t>The research questions for</w:t>
      </w:r>
      <w:r>
        <w:t xml:space="preserve"> the current</w:t>
      </w:r>
      <w:r w:rsidR="00AA77E0">
        <w:t xml:space="preserve"> information collection </w:t>
      </w:r>
      <w:r>
        <w:t xml:space="preserve">request </w:t>
      </w:r>
      <w:r w:rsidR="00AA77E0">
        <w:t xml:space="preserve">are outlined in </w:t>
      </w:r>
      <w:r w:rsidRPr="00957B7E" w:rsidR="00AA77E0">
        <w:rPr>
          <w:b/>
          <w:i/>
        </w:rPr>
        <w:t>Table 1</w:t>
      </w:r>
      <w:r w:rsidR="00AA77E0">
        <w:t xml:space="preserve">. Research questions are organized in three content domains: 1) workforce characteristics and competencies, 2) training and professional development, and 3) organizational factors. </w:t>
      </w:r>
    </w:p>
    <w:p w:rsidR="004B3744" w:rsidP="00CD3C52" w:rsidRDefault="004B3744" w14:paraId="020C3453" w14:textId="29400708">
      <w:pPr>
        <w:spacing w:after="0" w:line="240" w:lineRule="auto"/>
      </w:pPr>
    </w:p>
    <w:p w:rsidRPr="004B3744" w:rsidR="001D1C73" w:rsidP="004B3744" w:rsidRDefault="004B3744" w14:paraId="366BAD8E" w14:textId="2E2AE0E3">
      <w:pPr>
        <w:spacing w:after="120" w:line="240" w:lineRule="auto"/>
        <w:rPr>
          <w:b/>
          <w:bCs/>
          <w:i/>
        </w:rPr>
      </w:pPr>
      <w:r w:rsidRPr="004B3744">
        <w:rPr>
          <w:b/>
          <w:bCs/>
        </w:rPr>
        <w:t>Table 1.  Research Questions</w:t>
      </w:r>
      <w:r>
        <w:rPr>
          <w:b/>
          <w:bCs/>
        </w:rPr>
        <w:t xml:space="preserve"> </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9360"/>
      </w:tblGrid>
      <w:tr w:rsidRPr="00085817" w:rsidR="00C34A41" w:rsidTr="000562C0" w14:paraId="325AD9AB" w14:textId="77777777">
        <w:trPr>
          <w:cantSplit/>
          <w:trHeight w:val="440"/>
          <w:jc w:val="center"/>
        </w:trPr>
        <w:tc>
          <w:tcPr>
            <w:tcW w:w="5000" w:type="pct"/>
            <w:shd w:val="clear" w:color="auto" w:fill="002060"/>
          </w:tcPr>
          <w:p w:rsidRPr="00085817" w:rsidR="00C34A41" w:rsidP="00EA4122" w:rsidRDefault="00C34A41" w14:paraId="597681B5" w14:textId="162B0DCE">
            <w:pPr>
              <w:pStyle w:val="TableHeader"/>
              <w:keepNext w:val="0"/>
              <w:spacing w:before="0" w:after="0"/>
              <w:jc w:val="left"/>
              <w:rPr>
                <w:rFonts w:asciiTheme="minorHAnsi" w:hAnsiTheme="minorHAnsi" w:cstheme="minorHAnsi"/>
              </w:rPr>
            </w:pPr>
            <w:r w:rsidRPr="00085817">
              <w:rPr>
                <w:rFonts w:asciiTheme="minorHAnsi" w:hAnsiTheme="minorHAnsi" w:cstheme="minorHAnsi"/>
              </w:rPr>
              <w:t xml:space="preserve">Workforce Characteristics and Competencies </w:t>
            </w:r>
          </w:p>
        </w:tc>
      </w:tr>
      <w:tr w:rsidRPr="00085817" w:rsidR="00C34A41" w:rsidTr="004B3744" w14:paraId="501B04E2" w14:textId="77777777">
        <w:trPr>
          <w:cantSplit/>
          <w:trHeight w:val="620"/>
          <w:jc w:val="center"/>
        </w:trPr>
        <w:tc>
          <w:tcPr>
            <w:tcW w:w="5000" w:type="pct"/>
            <w:shd w:val="clear" w:color="auto" w:fill="D9D9D9" w:themeFill="background1" w:themeFillShade="D9"/>
          </w:tcPr>
          <w:p w:rsidRPr="00085817" w:rsidR="00C34A41" w:rsidP="00C34A41" w:rsidRDefault="00C34A41" w14:paraId="2C4437BC" w14:textId="39009E06">
            <w:pPr>
              <w:spacing w:after="160" w:line="256" w:lineRule="auto"/>
              <w:rPr>
                <w:rFonts w:cstheme="minorHAnsi"/>
                <w:sz w:val="20"/>
                <w:szCs w:val="20"/>
              </w:rPr>
            </w:pPr>
            <w:r w:rsidRPr="00085817">
              <w:rPr>
                <w:rFonts w:cstheme="minorHAnsi"/>
                <w:color w:val="000000" w:themeColor="text1"/>
                <w:sz w:val="20"/>
                <w:szCs w:val="20"/>
              </w:rPr>
              <w:t>What are the demographic and educational characteristics of the child welfare workforce, including caseworkers, supervisors, and agency directors?</w:t>
            </w:r>
          </w:p>
        </w:tc>
      </w:tr>
      <w:tr w:rsidRPr="00085817" w:rsidR="00C34A41" w:rsidTr="00AA77E0" w14:paraId="3858436C" w14:textId="77777777">
        <w:trPr>
          <w:cantSplit/>
          <w:trHeight w:val="20"/>
          <w:jc w:val="center"/>
        </w:trPr>
        <w:tc>
          <w:tcPr>
            <w:tcW w:w="5000" w:type="pct"/>
            <w:shd w:val="clear" w:color="auto" w:fill="D9D9D9" w:themeFill="background1" w:themeFillShade="D9"/>
          </w:tcPr>
          <w:p w:rsidRPr="00085817" w:rsidR="00C34A41" w:rsidP="00C34A41" w:rsidRDefault="00C34A41" w14:paraId="3CBCF6E3" w14:textId="5643655E">
            <w:pPr>
              <w:spacing w:after="160" w:line="256" w:lineRule="auto"/>
              <w:rPr>
                <w:rFonts w:cstheme="minorHAnsi"/>
                <w:sz w:val="20"/>
                <w:szCs w:val="20"/>
              </w:rPr>
            </w:pPr>
            <w:r w:rsidRPr="00085817">
              <w:rPr>
                <w:rFonts w:cstheme="minorHAnsi"/>
                <w:color w:val="000000" w:themeColor="text1"/>
                <w:sz w:val="20"/>
                <w:szCs w:val="20"/>
              </w:rPr>
              <w:t>What are the primary roles and responsibilities of the child welfare workforce?</w:t>
            </w:r>
          </w:p>
        </w:tc>
      </w:tr>
      <w:tr w:rsidRPr="00085817" w:rsidR="00C34A41" w:rsidTr="00AA77E0" w14:paraId="749F1C62" w14:textId="77777777">
        <w:trPr>
          <w:cantSplit/>
          <w:trHeight w:val="237"/>
          <w:jc w:val="center"/>
        </w:trPr>
        <w:tc>
          <w:tcPr>
            <w:tcW w:w="5000" w:type="pct"/>
            <w:shd w:val="clear" w:color="auto" w:fill="D9D9D9" w:themeFill="background1" w:themeFillShade="D9"/>
          </w:tcPr>
          <w:p w:rsidRPr="00085817" w:rsidR="00C34A41" w:rsidP="00C34A41" w:rsidRDefault="00C34A41" w14:paraId="27F4C7BB" w14:textId="274FF3E1">
            <w:pPr>
              <w:spacing w:after="160" w:line="256" w:lineRule="auto"/>
              <w:rPr>
                <w:rFonts w:cstheme="minorHAnsi"/>
                <w:sz w:val="20"/>
                <w:szCs w:val="20"/>
              </w:rPr>
            </w:pPr>
            <w:r w:rsidRPr="00085817">
              <w:rPr>
                <w:rFonts w:cstheme="minorHAnsi"/>
                <w:color w:val="000000" w:themeColor="text1"/>
                <w:sz w:val="20"/>
                <w:szCs w:val="20"/>
              </w:rPr>
              <w:t xml:space="preserve">What personal characteristics and competencies (knowledge, skills, and abilities) do child welfare staff members possess and/or demonstrate? </w:t>
            </w:r>
          </w:p>
        </w:tc>
      </w:tr>
      <w:tr w:rsidRPr="00085817" w:rsidR="00C34A41" w:rsidTr="000562C0" w14:paraId="7C4BE579" w14:textId="77777777">
        <w:trPr>
          <w:cantSplit/>
          <w:trHeight w:val="377"/>
          <w:jc w:val="center"/>
        </w:trPr>
        <w:tc>
          <w:tcPr>
            <w:tcW w:w="5000" w:type="pct"/>
            <w:shd w:val="clear" w:color="auto" w:fill="002060"/>
          </w:tcPr>
          <w:p w:rsidRPr="00085817" w:rsidR="00C34A41" w:rsidP="00EA4122" w:rsidRDefault="00C34A41" w14:paraId="1710D86F" w14:textId="5E28B989">
            <w:pPr>
              <w:pStyle w:val="TableHeader"/>
              <w:keepNext w:val="0"/>
              <w:spacing w:before="0" w:after="0"/>
              <w:jc w:val="left"/>
              <w:rPr>
                <w:rFonts w:asciiTheme="minorHAnsi" w:hAnsiTheme="minorHAnsi" w:cstheme="minorHAnsi"/>
              </w:rPr>
            </w:pPr>
            <w:r w:rsidRPr="00085817">
              <w:rPr>
                <w:rFonts w:asciiTheme="minorHAnsi" w:hAnsiTheme="minorHAnsi" w:cstheme="minorHAnsi"/>
              </w:rPr>
              <w:t>Training and Professional Development</w:t>
            </w:r>
          </w:p>
        </w:tc>
      </w:tr>
      <w:tr w:rsidRPr="00085817" w:rsidR="00C34A41" w:rsidTr="00C34A41" w14:paraId="4AA0286B" w14:textId="77777777">
        <w:trPr>
          <w:cantSplit/>
          <w:trHeight w:val="20"/>
          <w:jc w:val="center"/>
        </w:trPr>
        <w:tc>
          <w:tcPr>
            <w:tcW w:w="5000" w:type="pct"/>
            <w:shd w:val="clear" w:color="auto" w:fill="D9D9D9"/>
          </w:tcPr>
          <w:p w:rsidRPr="00085817" w:rsidR="00C34A41" w:rsidP="00C34A41" w:rsidRDefault="00C34A41" w14:paraId="1027316F" w14:textId="072277E2">
            <w:pPr>
              <w:spacing w:after="160" w:line="256" w:lineRule="auto"/>
              <w:rPr>
                <w:rFonts w:cstheme="minorHAnsi"/>
                <w:sz w:val="20"/>
                <w:szCs w:val="20"/>
              </w:rPr>
            </w:pPr>
            <w:r w:rsidRPr="00085817">
              <w:rPr>
                <w:rFonts w:cstheme="minorHAnsi"/>
                <w:color w:val="000000" w:themeColor="text1"/>
                <w:sz w:val="20"/>
                <w:szCs w:val="20"/>
              </w:rPr>
              <w:t>What training did child welfare staff possess when they were hired?  Did their training include any courses in child welfare?  What recruitment practices do agencies use to attract and hire child welfare candidates?  What onboarding practices do agencies have for new child welfare workers?</w:t>
            </w:r>
          </w:p>
        </w:tc>
      </w:tr>
      <w:tr w:rsidRPr="00085817" w:rsidR="00C34A41" w:rsidTr="00C34A41" w14:paraId="28D090D0" w14:textId="77777777">
        <w:trPr>
          <w:cantSplit/>
          <w:trHeight w:val="20"/>
          <w:jc w:val="center"/>
        </w:trPr>
        <w:tc>
          <w:tcPr>
            <w:tcW w:w="5000" w:type="pct"/>
            <w:shd w:val="clear" w:color="auto" w:fill="D9D9D9"/>
          </w:tcPr>
          <w:p w:rsidRPr="00085817" w:rsidR="00C34A41" w:rsidP="00C34A41" w:rsidRDefault="00C34A41" w14:paraId="6DD53EA1" w14:textId="40A17054">
            <w:pPr>
              <w:spacing w:after="0" w:line="240" w:lineRule="auto"/>
              <w:rPr>
                <w:rFonts w:cstheme="minorHAnsi"/>
                <w:caps/>
                <w:sz w:val="20"/>
                <w:szCs w:val="20"/>
              </w:rPr>
            </w:pPr>
            <w:r w:rsidRPr="00085817">
              <w:rPr>
                <w:rFonts w:cstheme="minorHAnsi"/>
                <w:color w:val="000000" w:themeColor="text1"/>
                <w:sz w:val="20"/>
                <w:szCs w:val="20"/>
              </w:rPr>
              <w:t xml:space="preserve">What types of training and professional development opportunities are offered to child welfare staff? What factors influence child welfare staffs’ abilities to engage in training and professional development opportunities? </w:t>
            </w:r>
          </w:p>
        </w:tc>
      </w:tr>
      <w:tr w:rsidRPr="00085817" w:rsidR="00C34A41" w:rsidTr="004B3744" w14:paraId="7F98B3BD" w14:textId="77777777">
        <w:trPr>
          <w:cantSplit/>
          <w:trHeight w:val="953"/>
          <w:jc w:val="center"/>
        </w:trPr>
        <w:tc>
          <w:tcPr>
            <w:tcW w:w="5000" w:type="pct"/>
            <w:shd w:val="clear" w:color="auto" w:fill="D9D9D9"/>
          </w:tcPr>
          <w:p w:rsidRPr="00085817" w:rsidR="00C34A41" w:rsidP="00EA4122" w:rsidRDefault="00C34A41" w14:paraId="777932A4" w14:textId="2BAD6DC1">
            <w:pPr>
              <w:spacing w:after="0" w:line="240" w:lineRule="auto"/>
              <w:rPr>
                <w:rFonts w:cstheme="minorHAnsi"/>
                <w:caps/>
                <w:sz w:val="20"/>
                <w:szCs w:val="20"/>
              </w:rPr>
            </w:pPr>
            <w:r w:rsidRPr="00085817">
              <w:rPr>
                <w:rFonts w:cstheme="minorHAnsi"/>
                <w:color w:val="000000" w:themeColor="text1"/>
                <w:sz w:val="20"/>
                <w:szCs w:val="20"/>
              </w:rPr>
              <w:t>What training and professional development opportunities do child welfare staff engage in? How does this training and professional development influence job satisfaction, retention, turnover, increased knowledge, and practice?</w:t>
            </w:r>
          </w:p>
        </w:tc>
      </w:tr>
      <w:tr w:rsidRPr="00085817" w:rsidR="00C34A41" w:rsidTr="000562C0" w14:paraId="103DA981" w14:textId="77777777">
        <w:trPr>
          <w:cantSplit/>
          <w:trHeight w:val="386"/>
          <w:jc w:val="center"/>
        </w:trPr>
        <w:tc>
          <w:tcPr>
            <w:tcW w:w="5000" w:type="pct"/>
            <w:shd w:val="clear" w:color="auto" w:fill="002060"/>
          </w:tcPr>
          <w:p w:rsidRPr="00085817" w:rsidR="00C34A41" w:rsidP="00EA4122" w:rsidRDefault="00C34A41" w14:paraId="203444BC" w14:textId="0C6DA350">
            <w:pPr>
              <w:pStyle w:val="TableText"/>
              <w:spacing w:before="0" w:after="0" w:line="240" w:lineRule="auto"/>
              <w:rPr>
                <w:rFonts w:asciiTheme="minorHAnsi" w:hAnsiTheme="minorHAnsi" w:cstheme="minorHAnsi"/>
              </w:rPr>
            </w:pPr>
            <w:r w:rsidRPr="00085817">
              <w:rPr>
                <w:rFonts w:asciiTheme="minorHAnsi" w:hAnsiTheme="minorHAnsi" w:cstheme="minorHAnsi"/>
              </w:rPr>
              <w:t>Organizational Factors</w:t>
            </w:r>
          </w:p>
        </w:tc>
      </w:tr>
      <w:tr w:rsidRPr="00085817" w:rsidR="00AA77E0" w:rsidTr="00AA77E0" w14:paraId="1378A946" w14:textId="77777777">
        <w:trPr>
          <w:cantSplit/>
          <w:trHeight w:val="20"/>
          <w:jc w:val="center"/>
        </w:trPr>
        <w:tc>
          <w:tcPr>
            <w:tcW w:w="5000" w:type="pct"/>
            <w:shd w:val="clear" w:color="auto" w:fill="D9D9D9"/>
          </w:tcPr>
          <w:p w:rsidRPr="00085817" w:rsidR="00AA77E0" w:rsidP="00AA77E0" w:rsidRDefault="00AA77E0" w14:paraId="16C4B5A1" w14:textId="777CCEDB">
            <w:pPr>
              <w:spacing w:after="160" w:line="256" w:lineRule="auto"/>
              <w:rPr>
                <w:rFonts w:cstheme="minorHAnsi"/>
                <w:sz w:val="20"/>
                <w:szCs w:val="20"/>
              </w:rPr>
            </w:pPr>
            <w:r w:rsidRPr="00085817">
              <w:rPr>
                <w:rFonts w:cstheme="minorHAnsi"/>
                <w:noProof/>
                <w:color w:val="000000" w:themeColor="text1"/>
                <w:sz w:val="20"/>
                <w:szCs w:val="20"/>
              </w:rPr>
              <w:t xml:space="preserve">What is the public child welfare agency landscape? This includes the number of child welfare staff, caseload size, turn-over rates, ratio of supervisors to workers, vacancy rates, salary levels and benefits, and union/non-union.  </w:t>
            </w:r>
          </w:p>
        </w:tc>
      </w:tr>
      <w:tr w:rsidRPr="00085817" w:rsidR="00AA77E0" w:rsidTr="004B3744" w14:paraId="45470360" w14:textId="77777777">
        <w:trPr>
          <w:cantSplit/>
          <w:trHeight w:val="629"/>
          <w:jc w:val="center"/>
        </w:trPr>
        <w:tc>
          <w:tcPr>
            <w:tcW w:w="5000" w:type="pct"/>
            <w:shd w:val="clear" w:color="auto" w:fill="D9D9D9"/>
          </w:tcPr>
          <w:p w:rsidRPr="00085817" w:rsidR="00AA77E0" w:rsidP="00AA77E0" w:rsidRDefault="00AA77E0" w14:paraId="594EF62D" w14:textId="3B21ECF1">
            <w:pPr>
              <w:spacing w:after="160"/>
              <w:rPr>
                <w:rFonts w:cstheme="minorHAnsi"/>
                <w:caps/>
                <w:sz w:val="20"/>
                <w:szCs w:val="20"/>
              </w:rPr>
            </w:pPr>
            <w:r w:rsidRPr="00085817">
              <w:rPr>
                <w:rFonts w:cstheme="minorHAnsi"/>
                <w:color w:val="000000" w:themeColor="text1"/>
                <w:sz w:val="20"/>
                <w:szCs w:val="20"/>
              </w:rPr>
              <w:t xml:space="preserve">To what extent are public–private child welfare partnerships taking place? What is the extent of privatization and contracting out?  </w:t>
            </w:r>
          </w:p>
        </w:tc>
      </w:tr>
      <w:tr w:rsidRPr="00085817" w:rsidR="00AA77E0" w:rsidTr="00AA77E0" w14:paraId="0EECAE3A" w14:textId="77777777">
        <w:trPr>
          <w:cantSplit/>
          <w:trHeight w:val="20"/>
          <w:jc w:val="center"/>
        </w:trPr>
        <w:tc>
          <w:tcPr>
            <w:tcW w:w="5000" w:type="pct"/>
            <w:shd w:val="clear" w:color="auto" w:fill="D9D9D9"/>
          </w:tcPr>
          <w:p w:rsidRPr="00085817" w:rsidR="00AA77E0" w:rsidP="00AA77E0" w:rsidRDefault="00AA77E0" w14:paraId="0C861552" w14:textId="60CC2325">
            <w:pPr>
              <w:spacing w:after="160" w:line="256" w:lineRule="auto"/>
              <w:rPr>
                <w:rFonts w:cstheme="minorHAnsi"/>
                <w:caps/>
                <w:sz w:val="20"/>
                <w:szCs w:val="20"/>
              </w:rPr>
            </w:pPr>
            <w:r w:rsidRPr="00085817">
              <w:rPr>
                <w:rFonts w:cstheme="minorHAnsi"/>
                <w:noProof/>
                <w:color w:val="000000" w:themeColor="text1"/>
                <w:sz w:val="20"/>
                <w:szCs w:val="20"/>
              </w:rPr>
              <w:t xml:space="preserve">What is the organizational culture and climate within the public child welfare agency? </w:t>
            </w:r>
            <w:r w:rsidRPr="00085817">
              <w:rPr>
                <w:rFonts w:cstheme="minorHAnsi"/>
                <w:color w:val="000000" w:themeColor="text1"/>
                <w:sz w:val="20"/>
                <w:szCs w:val="20"/>
              </w:rPr>
              <w:t>How do organizational culture and climate influence workforce issues, including role conflict, burnout, turnover, supervision, caseload/workload, or education and training requirements?</w:t>
            </w:r>
          </w:p>
        </w:tc>
      </w:tr>
      <w:tr w:rsidRPr="00085817" w:rsidR="00AA77E0" w:rsidTr="007A5AA5" w14:paraId="5CFC2E1E" w14:textId="77777777">
        <w:trPr>
          <w:cantSplit/>
          <w:trHeight w:val="548"/>
          <w:jc w:val="center"/>
        </w:trPr>
        <w:tc>
          <w:tcPr>
            <w:tcW w:w="5000" w:type="pct"/>
            <w:shd w:val="clear" w:color="auto" w:fill="D9D9D9"/>
          </w:tcPr>
          <w:p w:rsidRPr="00085817" w:rsidR="00AA77E0" w:rsidP="00EA4122" w:rsidRDefault="00AA77E0" w14:paraId="67C71EF9" w14:textId="1FF35211">
            <w:pPr>
              <w:spacing w:after="0" w:line="240" w:lineRule="auto"/>
              <w:rPr>
                <w:rFonts w:cstheme="minorHAnsi"/>
                <w:caps/>
                <w:sz w:val="20"/>
                <w:szCs w:val="20"/>
              </w:rPr>
            </w:pPr>
            <w:r w:rsidRPr="00085817">
              <w:rPr>
                <w:rFonts w:cstheme="minorHAnsi"/>
                <w:color w:val="000000" w:themeColor="text1"/>
                <w:sz w:val="20"/>
                <w:szCs w:val="20"/>
              </w:rPr>
              <w:lastRenderedPageBreak/>
              <w:t xml:space="preserve">How do child welfare staffs’ perspectives about organizational culture and climate influence workforce issues?  </w:t>
            </w:r>
          </w:p>
        </w:tc>
      </w:tr>
    </w:tbl>
    <w:p w:rsidRPr="00C34A41" w:rsidR="00C34A41" w:rsidP="001D1C73" w:rsidRDefault="00C34A41" w14:paraId="36C11C85" w14:textId="296FEB04">
      <w:pPr>
        <w:spacing w:after="0" w:line="240" w:lineRule="auto"/>
        <w:rPr>
          <w:iCs/>
        </w:rPr>
      </w:pPr>
    </w:p>
    <w:p w:rsidR="001D1C73" w:rsidP="001D1C73" w:rsidRDefault="001D1C73" w14:paraId="51121746" w14:textId="436DF4B6">
      <w:pPr>
        <w:spacing w:after="60" w:line="240" w:lineRule="auto"/>
        <w:rPr>
          <w:i/>
        </w:rPr>
      </w:pPr>
      <w:r w:rsidRPr="009139B3">
        <w:rPr>
          <w:i/>
        </w:rPr>
        <w:t>Study Design</w:t>
      </w:r>
    </w:p>
    <w:p w:rsidRPr="003D6408" w:rsidR="003D6408" w:rsidP="008E007A" w:rsidRDefault="003D6408" w14:paraId="6C51C29B" w14:textId="71192006">
      <w:pPr>
        <w:spacing w:after="0"/>
        <w:rPr>
          <w:iCs/>
        </w:rPr>
      </w:pPr>
      <w:r>
        <w:t xml:space="preserve">As with prior NSCAWs, NSCAW III employs a stratified, two-stage sample design where the </w:t>
      </w:r>
      <w:r w:rsidRPr="005C2B1F">
        <w:t>primary sampling units (PSUs) are U.S. counties or contiguous areas of two or more counties</w:t>
      </w:r>
      <w:r>
        <w:t>,</w:t>
      </w:r>
      <w:r w:rsidRPr="005C2B1F">
        <w:t xml:space="preserve"> and the secondary sampling units are children involved with the child welfare system during the sample recruitment period.</w:t>
      </w:r>
      <w:r>
        <w:t xml:space="preserve">  </w:t>
      </w:r>
      <w:r w:rsidR="00602830">
        <w:t>Public c</w:t>
      </w:r>
      <w:r w:rsidRPr="005C2B1F">
        <w:t xml:space="preserve">hild welfare agencies </w:t>
      </w:r>
      <w:r>
        <w:t>were</w:t>
      </w:r>
      <w:r w:rsidRPr="005C2B1F">
        <w:t xml:space="preserve"> selected with probability proportional to size, based on the</w:t>
      </w:r>
      <w:r w:rsidR="00602830">
        <w:t>ir</w:t>
      </w:r>
      <w:r w:rsidRPr="005C2B1F">
        <w:t xml:space="preserve"> distributions in the child welfare system</w:t>
      </w:r>
      <w:r>
        <w:t>. Selected child</w:t>
      </w:r>
      <w:r w:rsidRPr="005C2B1F">
        <w:t xml:space="preserve"> welfare agencies</w:t>
      </w:r>
      <w:r>
        <w:t xml:space="preserve"> were recruited for study participation. </w:t>
      </w:r>
      <w:r w:rsidR="00602830">
        <w:t xml:space="preserve">Participating </w:t>
      </w:r>
      <w:r>
        <w:t xml:space="preserve">agencies, in turn, provide lists of children and families recently investigated for maltreatment for sampling purposes. Sampled children and their caregivers who participate at baseline </w:t>
      </w:r>
      <w:r w:rsidR="00EC28C5">
        <w:t xml:space="preserve">comprise </w:t>
      </w:r>
      <w:r>
        <w:t xml:space="preserve">the NSCAW III cohort.  </w:t>
      </w:r>
    </w:p>
    <w:p w:rsidR="00B70A54" w:rsidP="00B810E7" w:rsidRDefault="00B70A54" w14:paraId="43163F3C" w14:textId="392C3412">
      <w:pPr>
        <w:spacing w:after="0" w:line="240" w:lineRule="auto"/>
        <w:rPr>
          <w:i/>
        </w:rPr>
      </w:pPr>
    </w:p>
    <w:p w:rsidRPr="00B70A54" w:rsidR="00B70A54" w:rsidP="008D273E" w:rsidRDefault="00B70A54" w14:paraId="5347051D" w14:textId="76B9DBA7">
      <w:pPr>
        <w:spacing w:after="0"/>
        <w:rPr>
          <w:i/>
          <w:iCs/>
        </w:rPr>
      </w:pPr>
      <w:r w:rsidRPr="00B70A54">
        <w:rPr>
          <w:i/>
          <w:iCs/>
        </w:rPr>
        <w:t>Previously Approved Requests</w:t>
      </w:r>
    </w:p>
    <w:p w:rsidR="00B70A54" w:rsidP="008D273E" w:rsidRDefault="00B70A54" w14:paraId="532C93C5" w14:textId="57DD0551">
      <w:pPr>
        <w:spacing w:after="0"/>
        <w:rPr>
          <w:iCs/>
        </w:rPr>
      </w:pPr>
    </w:p>
    <w:p w:rsidRPr="00B70A54" w:rsidR="00B70A54" w:rsidP="00B70A54" w:rsidRDefault="00B70A54" w14:paraId="77BE1D52" w14:textId="0F868082">
      <w:pPr>
        <w:autoSpaceDE w:val="0"/>
        <w:autoSpaceDN w:val="0"/>
        <w:adjustRightInd w:val="0"/>
        <w:ind w:left="1440" w:hanging="1440"/>
        <w:rPr>
          <w:rFonts w:cstheme="minorHAnsi"/>
        </w:rPr>
      </w:pPr>
      <w:r w:rsidRPr="00B70A54">
        <w:rPr>
          <w:rFonts w:eastAsia="Arial Unicode MS" w:cstheme="minorHAnsi"/>
          <w:bdr w:val="none" w:color="auto" w:sz="0" w:space="0" w:frame="1"/>
        </w:rPr>
        <w:t>Phase I</w:t>
      </w:r>
      <w:r w:rsidRPr="00532E97">
        <w:rPr>
          <w:rFonts w:eastAsia="Arial Unicode MS" w:cstheme="minorHAnsi"/>
          <w:b/>
          <w:bdr w:val="none" w:color="auto" w:sz="0" w:space="0" w:frame="1"/>
        </w:rPr>
        <w:tab/>
        <w:t xml:space="preserve">Agency </w:t>
      </w:r>
      <w:r w:rsidRPr="00532E97">
        <w:rPr>
          <w:rFonts w:cstheme="minorHAnsi"/>
          <w:b/>
        </w:rPr>
        <w:t xml:space="preserve">Recruitment – </w:t>
      </w:r>
      <w:r w:rsidRPr="00532E97">
        <w:rPr>
          <w:rFonts w:cstheme="minorHAnsi"/>
        </w:rPr>
        <w:t>OMB approved Phase I of the study</w:t>
      </w:r>
      <w:r w:rsidRPr="00532E97">
        <w:rPr>
          <w:rFonts w:cstheme="minorHAnsi"/>
          <w:b/>
        </w:rPr>
        <w:t xml:space="preserve"> </w:t>
      </w:r>
      <w:r w:rsidRPr="00532E97">
        <w:rPr>
          <w:rFonts w:cstheme="minorHAnsi"/>
        </w:rPr>
        <w:t xml:space="preserve">for the purpose of recruitment and gathering information to facilitate sampling of children in November 2016. </w:t>
      </w:r>
      <w:r w:rsidR="00036DC8">
        <w:rPr>
          <w:rFonts w:cstheme="minorHAnsi"/>
        </w:rPr>
        <w:t>In</w:t>
      </w:r>
      <w:r w:rsidRPr="00036DC8">
        <w:rPr>
          <w:rFonts w:cstheme="minorHAnsi"/>
        </w:rPr>
        <w:t xml:space="preserve"> Phase I of the project </w:t>
      </w:r>
      <w:r w:rsidR="00036DC8">
        <w:rPr>
          <w:rFonts w:cstheme="minorHAnsi"/>
        </w:rPr>
        <w:t>6</w:t>
      </w:r>
      <w:r w:rsidR="00F13BCC">
        <w:rPr>
          <w:rFonts w:cstheme="minorHAnsi"/>
        </w:rPr>
        <w:t>1</w:t>
      </w:r>
      <w:r w:rsidR="00036DC8">
        <w:rPr>
          <w:rFonts w:cstheme="minorHAnsi"/>
        </w:rPr>
        <w:t xml:space="preserve"> </w:t>
      </w:r>
      <w:r w:rsidRPr="00036DC8">
        <w:rPr>
          <w:rFonts w:cstheme="minorHAnsi"/>
        </w:rPr>
        <w:t>child welfare agencies</w:t>
      </w:r>
      <w:r w:rsidR="00036DC8">
        <w:rPr>
          <w:rFonts w:cstheme="minorHAnsi"/>
        </w:rPr>
        <w:t xml:space="preserve"> were recruited.</w:t>
      </w:r>
      <w:r w:rsidRPr="00036DC8">
        <w:rPr>
          <w:rFonts w:cstheme="minorHAnsi"/>
        </w:rPr>
        <w:t xml:space="preserve"> The </w:t>
      </w:r>
      <w:r w:rsidR="00036DC8">
        <w:rPr>
          <w:rFonts w:cstheme="minorHAnsi"/>
        </w:rPr>
        <w:t>6</w:t>
      </w:r>
      <w:r w:rsidR="00F13BCC">
        <w:rPr>
          <w:rFonts w:cstheme="minorHAnsi"/>
        </w:rPr>
        <w:t>1</w:t>
      </w:r>
      <w:r w:rsidRPr="00036DC8">
        <w:rPr>
          <w:rFonts w:cstheme="minorHAnsi"/>
        </w:rPr>
        <w:t xml:space="preserve"> participating agencies will submit, on a monthly basis for 15 months, files containing </w:t>
      </w:r>
      <w:r w:rsidR="005D7D32">
        <w:rPr>
          <w:rFonts w:cstheme="minorHAnsi"/>
        </w:rPr>
        <w:t xml:space="preserve">information about </w:t>
      </w:r>
      <w:r w:rsidRPr="00036DC8">
        <w:rPr>
          <w:rFonts w:cstheme="minorHAnsi"/>
        </w:rPr>
        <w:t xml:space="preserve">children with a closed maltreatment investigation in the prior month, as well as children who entered CWS custody without a maltreatment investigation. </w:t>
      </w:r>
    </w:p>
    <w:p w:rsidR="00EB48DC" w:rsidP="00EB48DC" w:rsidRDefault="00B70A54" w14:paraId="5C504A96" w14:textId="127284AE">
      <w:pPr>
        <w:pStyle w:val="BodyText"/>
        <w:ind w:left="1440" w:hanging="1440"/>
        <w:rPr>
          <w:rFonts w:asciiTheme="minorHAnsi" w:hAnsiTheme="minorHAnsi" w:cstheme="minorHAnsi"/>
          <w:sz w:val="22"/>
          <w:szCs w:val="22"/>
        </w:rPr>
      </w:pPr>
      <w:r w:rsidRPr="00B70A54">
        <w:rPr>
          <w:rFonts w:asciiTheme="minorHAnsi" w:hAnsiTheme="minorHAnsi" w:cstheme="minorHAnsi"/>
          <w:sz w:val="22"/>
          <w:szCs w:val="22"/>
        </w:rPr>
        <w:t>Phase II</w:t>
      </w:r>
      <w:r w:rsidRPr="00B70A54">
        <w:rPr>
          <w:rFonts w:asciiTheme="minorHAnsi" w:hAnsiTheme="minorHAnsi" w:cstheme="minorHAnsi"/>
          <w:sz w:val="22"/>
          <w:szCs w:val="22"/>
        </w:rPr>
        <w:tab/>
      </w:r>
      <w:r w:rsidRPr="00B70A54">
        <w:rPr>
          <w:rFonts w:eastAsia="Arial Unicode MS" w:asciiTheme="minorHAnsi" w:hAnsiTheme="minorHAnsi" w:cstheme="minorHAnsi"/>
          <w:b/>
          <w:sz w:val="22"/>
          <w:szCs w:val="22"/>
          <w:bdr w:val="none" w:color="auto" w:sz="0" w:space="0" w:frame="1"/>
        </w:rPr>
        <w:t xml:space="preserve">Data Collection - </w:t>
      </w:r>
      <w:r w:rsidR="006176E2">
        <w:rPr>
          <w:rFonts w:asciiTheme="minorHAnsi" w:hAnsiTheme="minorHAnsi" w:cstheme="minorHAnsi"/>
          <w:sz w:val="22"/>
          <w:szCs w:val="22"/>
        </w:rPr>
        <w:t xml:space="preserve">For </w:t>
      </w:r>
      <w:r w:rsidRPr="00B70A54">
        <w:rPr>
          <w:rFonts w:asciiTheme="minorHAnsi" w:hAnsiTheme="minorHAnsi" w:cstheme="minorHAnsi"/>
          <w:sz w:val="22"/>
          <w:szCs w:val="22"/>
        </w:rPr>
        <w:t xml:space="preserve">Phase II of the project, </w:t>
      </w:r>
      <w:r w:rsidR="006176E2">
        <w:rPr>
          <w:rFonts w:asciiTheme="minorHAnsi" w:hAnsiTheme="minorHAnsi" w:cstheme="minorHAnsi"/>
          <w:sz w:val="22"/>
          <w:szCs w:val="22"/>
        </w:rPr>
        <w:t xml:space="preserve">OMB approved </w:t>
      </w:r>
      <w:r w:rsidRPr="00B70A54">
        <w:rPr>
          <w:rFonts w:asciiTheme="minorHAnsi" w:hAnsiTheme="minorHAnsi" w:cstheme="minorHAnsi"/>
          <w:sz w:val="22"/>
          <w:szCs w:val="22"/>
        </w:rPr>
        <w:t>baseline and 18-month follow-up data collection, which include</w:t>
      </w:r>
      <w:r w:rsidR="006176E2">
        <w:rPr>
          <w:rFonts w:asciiTheme="minorHAnsi" w:hAnsiTheme="minorHAnsi" w:cstheme="minorHAnsi"/>
          <w:sz w:val="22"/>
          <w:szCs w:val="22"/>
        </w:rPr>
        <w:t>s</w:t>
      </w:r>
      <w:r w:rsidRPr="00B70A54">
        <w:rPr>
          <w:rFonts w:asciiTheme="minorHAnsi" w:hAnsiTheme="minorHAnsi" w:cstheme="minorHAnsi"/>
          <w:sz w:val="22"/>
          <w:szCs w:val="22"/>
        </w:rPr>
        <w:t xml:space="preserve"> face-to-face interviews and assessments with 4,565 children (aged birth to 17 ½ years), their adult caregivers (e.g., biological/adoptive parents, foster parents, kin caregivers, group home caregivers), and their assigned caseworkers. Baseline data collection </w:t>
      </w:r>
      <w:r w:rsidR="0016793C">
        <w:rPr>
          <w:rFonts w:asciiTheme="minorHAnsi" w:hAnsiTheme="minorHAnsi" w:cstheme="minorHAnsi"/>
          <w:sz w:val="22"/>
          <w:szCs w:val="22"/>
        </w:rPr>
        <w:t>bega</w:t>
      </w:r>
      <w:r w:rsidRPr="00B70A54">
        <w:rPr>
          <w:rFonts w:asciiTheme="minorHAnsi" w:hAnsiTheme="minorHAnsi" w:cstheme="minorHAnsi"/>
          <w:sz w:val="22"/>
          <w:szCs w:val="22"/>
        </w:rPr>
        <w:t xml:space="preserve">n in </w:t>
      </w:r>
      <w:r w:rsidR="000D3990">
        <w:rPr>
          <w:rFonts w:asciiTheme="minorHAnsi" w:hAnsiTheme="minorHAnsi" w:cstheme="minorHAnsi"/>
          <w:sz w:val="22"/>
          <w:szCs w:val="22"/>
        </w:rPr>
        <w:t>November 2017</w:t>
      </w:r>
      <w:r w:rsidRPr="00B70A54">
        <w:rPr>
          <w:rFonts w:asciiTheme="minorHAnsi" w:hAnsiTheme="minorHAnsi" w:cstheme="minorHAnsi"/>
          <w:sz w:val="22"/>
          <w:szCs w:val="22"/>
        </w:rPr>
        <w:t xml:space="preserve"> and </w:t>
      </w:r>
      <w:r w:rsidR="000D3990">
        <w:rPr>
          <w:rFonts w:asciiTheme="minorHAnsi" w:hAnsiTheme="minorHAnsi" w:cstheme="minorHAnsi"/>
          <w:sz w:val="22"/>
          <w:szCs w:val="22"/>
        </w:rPr>
        <w:t xml:space="preserve">is scheduled </w:t>
      </w:r>
      <w:r w:rsidRPr="00B70A54">
        <w:rPr>
          <w:rFonts w:asciiTheme="minorHAnsi" w:hAnsiTheme="minorHAnsi" w:cstheme="minorHAnsi"/>
          <w:sz w:val="22"/>
          <w:szCs w:val="22"/>
        </w:rPr>
        <w:t xml:space="preserve">to be completed in </w:t>
      </w:r>
      <w:r w:rsidR="00EB48DC">
        <w:rPr>
          <w:rFonts w:asciiTheme="minorHAnsi" w:hAnsiTheme="minorHAnsi" w:cstheme="minorHAnsi"/>
          <w:sz w:val="22"/>
          <w:szCs w:val="22"/>
        </w:rPr>
        <w:t>November</w:t>
      </w:r>
      <w:r w:rsidR="000D3990">
        <w:rPr>
          <w:rFonts w:asciiTheme="minorHAnsi" w:hAnsiTheme="minorHAnsi" w:cstheme="minorHAnsi"/>
          <w:sz w:val="22"/>
          <w:szCs w:val="22"/>
        </w:rPr>
        <w:t xml:space="preserve"> 2021</w:t>
      </w:r>
      <w:r w:rsidR="00EB48DC">
        <w:rPr>
          <w:rFonts w:asciiTheme="minorHAnsi" w:hAnsiTheme="minorHAnsi" w:cstheme="minorHAnsi"/>
          <w:sz w:val="22"/>
          <w:szCs w:val="22"/>
        </w:rPr>
        <w:t xml:space="preserve">, assuming in-person data collection can resume in </w:t>
      </w:r>
      <w:proofErr w:type="gramStart"/>
      <w:r w:rsidR="00EB48DC">
        <w:rPr>
          <w:rFonts w:asciiTheme="minorHAnsi" w:hAnsiTheme="minorHAnsi" w:cstheme="minorHAnsi"/>
          <w:sz w:val="22"/>
          <w:szCs w:val="22"/>
        </w:rPr>
        <w:t>Spring</w:t>
      </w:r>
      <w:proofErr w:type="gramEnd"/>
      <w:r w:rsidR="00EB48DC">
        <w:rPr>
          <w:rFonts w:asciiTheme="minorHAnsi" w:hAnsiTheme="minorHAnsi" w:cstheme="minorHAnsi"/>
          <w:sz w:val="22"/>
          <w:szCs w:val="22"/>
        </w:rPr>
        <w:t xml:space="preserve"> 2021</w:t>
      </w:r>
      <w:r w:rsidRPr="00B70A54">
        <w:rPr>
          <w:rFonts w:asciiTheme="minorHAnsi" w:hAnsiTheme="minorHAnsi" w:cstheme="minorHAnsi"/>
          <w:sz w:val="22"/>
          <w:szCs w:val="22"/>
        </w:rPr>
        <w:t xml:space="preserve">. The </w:t>
      </w:r>
      <w:r w:rsidRPr="00EB48DC">
        <w:rPr>
          <w:rFonts w:asciiTheme="minorHAnsi" w:hAnsiTheme="minorHAnsi" w:cstheme="minorHAnsi"/>
          <w:sz w:val="22"/>
          <w:szCs w:val="22"/>
        </w:rPr>
        <w:t>18-month follow-up data collection began in September 2019.</w:t>
      </w:r>
      <w:r w:rsidRPr="00EB48DC" w:rsidR="00EB48DC">
        <w:rPr>
          <w:rFonts w:asciiTheme="minorHAnsi" w:hAnsiTheme="minorHAnsi" w:cstheme="minorHAnsi"/>
          <w:sz w:val="22"/>
          <w:szCs w:val="22"/>
        </w:rPr>
        <w:t xml:space="preserve"> Due to the COVID-19 pandemic and a pause in face-to-face interviewing for the safety of interviewers and sampled respondents, the follow-up interviews for some baseline cases will occur later than 18 months.</w:t>
      </w:r>
    </w:p>
    <w:p w:rsidRPr="00EB48DC" w:rsidR="000F60EA" w:rsidP="00EB48DC" w:rsidRDefault="000F60EA" w14:paraId="42D33D0C" w14:textId="4E58BA03">
      <w:pPr>
        <w:pStyle w:val="BodyText"/>
        <w:ind w:left="1440" w:hanging="1440"/>
        <w:rPr>
          <w:rFonts w:asciiTheme="minorHAnsi" w:hAnsiTheme="minorHAnsi" w:cstheme="minorHAnsi"/>
          <w:sz w:val="22"/>
          <w:szCs w:val="22"/>
        </w:rPr>
      </w:pPr>
      <w:r>
        <w:rPr>
          <w:rFonts w:asciiTheme="minorHAnsi" w:hAnsiTheme="minorHAnsi" w:cstheme="minorHAnsi"/>
          <w:sz w:val="22"/>
          <w:szCs w:val="22"/>
        </w:rPr>
        <w:t>Phase III</w:t>
      </w:r>
      <w:r>
        <w:rPr>
          <w:rFonts w:asciiTheme="minorHAnsi" w:hAnsiTheme="minorHAnsi" w:cstheme="minorHAnsi"/>
          <w:sz w:val="22"/>
          <w:szCs w:val="22"/>
        </w:rPr>
        <w:tab/>
      </w:r>
      <w:r w:rsidRPr="0048372E">
        <w:rPr>
          <w:rFonts w:asciiTheme="minorHAnsi" w:hAnsiTheme="minorHAnsi" w:cstheme="minorHAnsi"/>
          <w:b/>
          <w:sz w:val="22"/>
          <w:szCs w:val="22"/>
        </w:rPr>
        <w:t>Data Collection</w:t>
      </w:r>
      <w:r>
        <w:rPr>
          <w:rFonts w:asciiTheme="minorHAnsi" w:hAnsiTheme="minorHAnsi" w:cstheme="minorHAnsi"/>
          <w:sz w:val="22"/>
          <w:szCs w:val="22"/>
        </w:rPr>
        <w:t xml:space="preserve"> – </w:t>
      </w:r>
      <w:r w:rsidRPr="000F60EA">
        <w:rPr>
          <w:rFonts w:asciiTheme="minorHAnsi" w:hAnsiTheme="minorHAnsi" w:cstheme="minorHAnsi"/>
          <w:sz w:val="22"/>
          <w:szCs w:val="22"/>
        </w:rPr>
        <w:t>For Phase III of the project, OMB approved workforce data collection</w:t>
      </w:r>
      <w:r w:rsidR="00525CCB">
        <w:rPr>
          <w:rFonts w:asciiTheme="minorHAnsi" w:hAnsiTheme="minorHAnsi" w:cstheme="minorHAnsi"/>
          <w:sz w:val="22"/>
          <w:szCs w:val="22"/>
        </w:rPr>
        <w:t xml:space="preserve"> </w:t>
      </w:r>
      <w:r>
        <w:rPr>
          <w:rFonts w:asciiTheme="minorHAnsi" w:hAnsiTheme="minorHAnsi" w:cstheme="minorHAnsi"/>
          <w:sz w:val="22"/>
          <w:szCs w:val="22"/>
        </w:rPr>
        <w:t xml:space="preserve">which includes telephone and/or web surveys </w:t>
      </w:r>
      <w:r w:rsidRPr="000F60EA">
        <w:rPr>
          <w:rFonts w:asciiTheme="minorHAnsi" w:hAnsiTheme="minorHAnsi" w:cstheme="minorHAnsi"/>
          <w:sz w:val="22"/>
          <w:szCs w:val="22"/>
        </w:rPr>
        <w:t xml:space="preserve">with agency directors, supervisors, and caseworkers in child welfare agencies participating in NSCAW III. </w:t>
      </w:r>
      <w:r>
        <w:rPr>
          <w:rFonts w:asciiTheme="minorHAnsi" w:hAnsiTheme="minorHAnsi" w:cstheme="minorHAnsi"/>
          <w:sz w:val="22"/>
          <w:szCs w:val="22"/>
        </w:rPr>
        <w:t xml:space="preserve">Surveys </w:t>
      </w:r>
      <w:r w:rsidRPr="000F60EA">
        <w:rPr>
          <w:rFonts w:asciiTheme="minorHAnsi" w:hAnsiTheme="minorHAnsi" w:cstheme="minorHAnsi"/>
          <w:sz w:val="22"/>
          <w:szCs w:val="22"/>
        </w:rPr>
        <w:t>will collect information on workforce characteristics and competencies, training and professional development opportunities, and organizational and agency factors.</w:t>
      </w:r>
      <w:r w:rsidRPr="000F60EA">
        <w:rPr>
          <w:rFonts w:asciiTheme="minorHAnsi" w:hAnsiTheme="minorHAnsi" w:cstheme="minorHAnsi"/>
          <w:iCs/>
          <w:sz w:val="22"/>
          <w:szCs w:val="22"/>
        </w:rPr>
        <w:t xml:space="preserve"> The surveys will also collect information about the potential impacts of the COVID-19 pandemic on child welfare workforce practices. </w:t>
      </w:r>
    </w:p>
    <w:p w:rsidR="007D4581" w:rsidP="007B7066" w:rsidRDefault="007B7066" w14:paraId="1977EC94" w14:textId="16A1AFC9">
      <w:pPr>
        <w:spacing w:after="0"/>
        <w:rPr>
          <w:rFonts w:cs="Calibri"/>
        </w:rPr>
      </w:pPr>
      <w:r>
        <w:rPr>
          <w:rFonts w:cs="Calibri"/>
        </w:rPr>
        <w:t>Th</w:t>
      </w:r>
      <w:r w:rsidR="002C3994">
        <w:rPr>
          <w:rFonts w:cs="Calibri"/>
        </w:rPr>
        <w:t xml:space="preserve">e </w:t>
      </w:r>
      <w:r w:rsidR="00B810E7">
        <w:rPr>
          <w:rFonts w:cs="Calibri"/>
        </w:rPr>
        <w:t>current</w:t>
      </w:r>
      <w:r w:rsidR="002C3994">
        <w:rPr>
          <w:rFonts w:cs="Calibri"/>
        </w:rPr>
        <w:t xml:space="preserve"> </w:t>
      </w:r>
      <w:r w:rsidR="002C3994">
        <w:t>request is for revisions to the Phase II information collection, including changes due to the COVID-19 pandemic, IRB-requested changes to reflect updated human subjects guidance, and the addition of a non-monetary incentive to adolescent respondents ages 11 to 17 years old.</w:t>
      </w:r>
      <w:r w:rsidR="00B810E7">
        <w:rPr>
          <w:rFonts w:cs="Calibri"/>
        </w:rPr>
        <w:t xml:space="preserve"> </w:t>
      </w:r>
    </w:p>
    <w:p w:rsidR="007B7066" w:rsidP="007B7066" w:rsidRDefault="007B7066" w14:paraId="69B375DA" w14:textId="5C072734">
      <w:pPr>
        <w:spacing w:after="0"/>
        <w:rPr>
          <w:rFonts w:cs="Calibri"/>
        </w:rPr>
      </w:pPr>
    </w:p>
    <w:p w:rsidRPr="00B70A54" w:rsidR="00B70A54" w:rsidP="00CD3C52" w:rsidRDefault="002C3994" w14:paraId="382F9D83" w14:textId="0D46B98A">
      <w:pPr>
        <w:pStyle w:val="BodyText"/>
        <w:spacing w:after="60" w:line="276" w:lineRule="auto"/>
        <w:rPr>
          <w:rFonts w:asciiTheme="minorHAnsi" w:hAnsiTheme="minorHAnsi" w:cstheme="minorHAnsi"/>
          <w:i/>
          <w:sz w:val="22"/>
          <w:szCs w:val="22"/>
        </w:rPr>
      </w:pPr>
      <w:r>
        <w:rPr>
          <w:rFonts w:asciiTheme="minorHAnsi" w:hAnsiTheme="minorHAnsi" w:cstheme="minorHAnsi"/>
          <w:i/>
          <w:sz w:val="22"/>
          <w:szCs w:val="22"/>
        </w:rPr>
        <w:t xml:space="preserve">Phase III </w:t>
      </w:r>
      <w:r w:rsidR="00B70A54">
        <w:rPr>
          <w:rFonts w:asciiTheme="minorHAnsi" w:hAnsiTheme="minorHAnsi" w:cstheme="minorHAnsi"/>
          <w:i/>
          <w:sz w:val="22"/>
          <w:szCs w:val="22"/>
        </w:rPr>
        <w:t xml:space="preserve"> </w:t>
      </w:r>
    </w:p>
    <w:p w:rsidR="00CB7A7C" w:rsidP="008E007A" w:rsidRDefault="00F00E8A" w14:paraId="21C8207F" w14:textId="0716A2CF">
      <w:pPr>
        <w:spacing w:after="0"/>
        <w:rPr>
          <w:iCs/>
        </w:rPr>
      </w:pPr>
      <w:r>
        <w:rPr>
          <w:iCs/>
        </w:rPr>
        <w:t xml:space="preserve">Phase III </w:t>
      </w:r>
      <w:proofErr w:type="gramStart"/>
      <w:r>
        <w:rPr>
          <w:iCs/>
        </w:rPr>
        <w:t xml:space="preserve">represents </w:t>
      </w:r>
      <w:r w:rsidR="00CB7A7C">
        <w:rPr>
          <w:iCs/>
        </w:rPr>
        <w:t xml:space="preserve"> a</w:t>
      </w:r>
      <w:proofErr w:type="gramEnd"/>
      <w:r w:rsidR="00CB7A7C">
        <w:rPr>
          <w:iCs/>
        </w:rPr>
        <w:t xml:space="preserve"> one-time survey of agency directors/administrators, supervisors, and caseworkers employed within </w:t>
      </w:r>
      <w:r w:rsidR="0039238F">
        <w:rPr>
          <w:iCs/>
        </w:rPr>
        <w:t xml:space="preserve">the </w:t>
      </w:r>
      <w:r w:rsidR="00CB7A7C">
        <w:rPr>
          <w:iCs/>
        </w:rPr>
        <w:t>6</w:t>
      </w:r>
      <w:r w:rsidR="00F13BCC">
        <w:rPr>
          <w:iCs/>
        </w:rPr>
        <w:t>1</w:t>
      </w:r>
      <w:r w:rsidR="00CB7A7C">
        <w:rPr>
          <w:iCs/>
        </w:rPr>
        <w:t xml:space="preserve"> public child welfare agencies </w:t>
      </w:r>
      <w:r w:rsidR="0039238F">
        <w:rPr>
          <w:iCs/>
        </w:rPr>
        <w:t xml:space="preserve">currently </w:t>
      </w:r>
      <w:r w:rsidR="00CB7A7C">
        <w:rPr>
          <w:iCs/>
        </w:rPr>
        <w:t xml:space="preserve">participating in </w:t>
      </w:r>
      <w:r w:rsidR="0039238F">
        <w:rPr>
          <w:iCs/>
        </w:rPr>
        <w:t xml:space="preserve">Phase II of </w:t>
      </w:r>
      <w:r w:rsidR="00CB7A7C">
        <w:rPr>
          <w:iCs/>
        </w:rPr>
        <w:t xml:space="preserve">NSCAW III.  </w:t>
      </w:r>
      <w:r w:rsidR="00723E62">
        <w:rPr>
          <w:iCs/>
        </w:rPr>
        <w:t xml:space="preserve">Field interviewers and project team members meet with </w:t>
      </w:r>
      <w:r w:rsidR="00CB7A7C">
        <w:rPr>
          <w:iCs/>
        </w:rPr>
        <w:t xml:space="preserve">agency staff to collect information on sampled children and </w:t>
      </w:r>
      <w:r w:rsidR="00723E62">
        <w:rPr>
          <w:iCs/>
        </w:rPr>
        <w:t>to conduct i</w:t>
      </w:r>
      <w:r w:rsidR="00CB7A7C">
        <w:rPr>
          <w:iCs/>
        </w:rPr>
        <w:t xml:space="preserve">nterviews with investigative and services caseworkers assigned to children in the cohort.  The new information collection is </w:t>
      </w:r>
      <w:r w:rsidR="00214E86">
        <w:rPr>
          <w:iCs/>
        </w:rPr>
        <w:t xml:space="preserve">purposefully timed to </w:t>
      </w:r>
      <w:r w:rsidR="00CB7A7C">
        <w:rPr>
          <w:iCs/>
        </w:rPr>
        <w:t xml:space="preserve">occur during the 18-month follow-up wave </w:t>
      </w:r>
      <w:r w:rsidR="00723E62">
        <w:rPr>
          <w:iCs/>
        </w:rPr>
        <w:t>of NSCAW III</w:t>
      </w:r>
      <w:r w:rsidR="00214E86">
        <w:rPr>
          <w:iCs/>
        </w:rPr>
        <w:t xml:space="preserve"> for two main reasons: 1) </w:t>
      </w:r>
      <w:r w:rsidR="00723E62">
        <w:rPr>
          <w:iCs/>
        </w:rPr>
        <w:t xml:space="preserve">the </w:t>
      </w:r>
      <w:r w:rsidR="00214E86">
        <w:rPr>
          <w:iCs/>
        </w:rPr>
        <w:t xml:space="preserve">baseline </w:t>
      </w:r>
      <w:r w:rsidR="00723E62">
        <w:rPr>
          <w:iCs/>
        </w:rPr>
        <w:t xml:space="preserve">child/family cohort </w:t>
      </w:r>
      <w:r w:rsidR="00214E86">
        <w:rPr>
          <w:iCs/>
        </w:rPr>
        <w:t xml:space="preserve">will have been </w:t>
      </w:r>
      <w:r w:rsidR="00723E62">
        <w:rPr>
          <w:iCs/>
        </w:rPr>
        <w:t xml:space="preserve">enrolled and </w:t>
      </w:r>
      <w:r w:rsidR="00CB7A7C">
        <w:rPr>
          <w:iCs/>
        </w:rPr>
        <w:t>the burden of agencies participating in the study is much l</w:t>
      </w:r>
      <w:r w:rsidR="00723E62">
        <w:rPr>
          <w:iCs/>
        </w:rPr>
        <w:t>ower</w:t>
      </w:r>
      <w:r w:rsidR="00214E86">
        <w:rPr>
          <w:iCs/>
        </w:rPr>
        <w:t xml:space="preserve">, and 2) </w:t>
      </w:r>
      <w:r w:rsidR="00723E62">
        <w:rPr>
          <w:iCs/>
        </w:rPr>
        <w:t xml:space="preserve">the study </w:t>
      </w:r>
      <w:r w:rsidR="00214E86">
        <w:rPr>
          <w:iCs/>
        </w:rPr>
        <w:t xml:space="preserve">will continue </w:t>
      </w:r>
      <w:r w:rsidR="00723E62">
        <w:rPr>
          <w:iCs/>
        </w:rPr>
        <w:t xml:space="preserve">to have the field </w:t>
      </w:r>
      <w:r w:rsidR="004E2D9A">
        <w:rPr>
          <w:iCs/>
        </w:rPr>
        <w:t xml:space="preserve">interviewing </w:t>
      </w:r>
      <w:r w:rsidR="00723E62">
        <w:rPr>
          <w:iCs/>
        </w:rPr>
        <w:t xml:space="preserve">resources and agency relationships necessary to conduct the additional </w:t>
      </w:r>
      <w:r w:rsidR="00214E86">
        <w:rPr>
          <w:iCs/>
        </w:rPr>
        <w:t xml:space="preserve">workforce </w:t>
      </w:r>
      <w:r w:rsidR="00723E62">
        <w:rPr>
          <w:iCs/>
        </w:rPr>
        <w:t xml:space="preserve">data collection.  </w:t>
      </w:r>
    </w:p>
    <w:p w:rsidR="008A332C" w:rsidP="008D273E" w:rsidRDefault="008A332C" w14:paraId="62EF2BAC" w14:textId="77777777">
      <w:pPr>
        <w:spacing w:after="0"/>
        <w:rPr>
          <w:iCs/>
        </w:rPr>
      </w:pPr>
    </w:p>
    <w:p w:rsidR="00B53DFE" w:rsidP="008D273E" w:rsidRDefault="00476867" w14:paraId="5722D46A" w14:textId="545EA74F">
      <w:pPr>
        <w:spacing w:after="0"/>
      </w:pPr>
      <w:r>
        <w:rPr>
          <w:iCs/>
        </w:rPr>
        <w:t xml:space="preserve">The </w:t>
      </w:r>
      <w:r w:rsidR="00A87D28">
        <w:rPr>
          <w:iCs/>
        </w:rPr>
        <w:t xml:space="preserve">NSCAW III </w:t>
      </w:r>
      <w:r>
        <w:rPr>
          <w:iCs/>
        </w:rPr>
        <w:t xml:space="preserve">sampling frame provides a </w:t>
      </w:r>
      <w:r w:rsidR="00723E62">
        <w:rPr>
          <w:iCs/>
        </w:rPr>
        <w:t xml:space="preserve">nationally representative sample of public child welfare agencies. </w:t>
      </w:r>
      <w:r w:rsidRPr="007937EB">
        <w:t>All</w:t>
      </w:r>
      <w:r w:rsidR="007A5AA5">
        <w:t xml:space="preserve"> </w:t>
      </w:r>
      <w:r w:rsidRPr="007937EB">
        <w:t>directors</w:t>
      </w:r>
      <w:r w:rsidR="00A87D28">
        <w:t xml:space="preserve">/administrators from agencies participating in NSCAW III </w:t>
      </w:r>
      <w:r w:rsidRPr="007937EB">
        <w:t xml:space="preserve">will be included in the sample. </w:t>
      </w:r>
      <w:r w:rsidR="00602830">
        <w:t xml:space="preserve">A sample of supervisors </w:t>
      </w:r>
      <w:r w:rsidRPr="007937EB">
        <w:t xml:space="preserve">will be randomly selected from </w:t>
      </w:r>
      <w:r w:rsidR="00A87D28">
        <w:t>each a</w:t>
      </w:r>
      <w:r>
        <w:t xml:space="preserve">gency.  </w:t>
      </w:r>
      <w:r w:rsidR="00602830">
        <w:t xml:space="preserve">A sample of </w:t>
      </w:r>
      <w:r w:rsidRPr="007937EB" w:rsidR="007A4671">
        <w:t>caseworker</w:t>
      </w:r>
      <w:r w:rsidR="007A4671">
        <w:t>s</w:t>
      </w:r>
      <w:r w:rsidRPr="007937EB" w:rsidR="007A4671">
        <w:t xml:space="preserve"> who</w:t>
      </w:r>
      <w:r w:rsidR="00602830">
        <w:t xml:space="preserve"> report to participating supervisors </w:t>
      </w:r>
      <w:r w:rsidRPr="007937EB">
        <w:t xml:space="preserve">will </w:t>
      </w:r>
      <w:r w:rsidR="001E4778">
        <w:t xml:space="preserve">also </w:t>
      </w:r>
      <w:r w:rsidRPr="007937EB" w:rsidR="007A4671">
        <w:t xml:space="preserve">be </w:t>
      </w:r>
      <w:r w:rsidR="007A4671">
        <w:t>randomly</w:t>
      </w:r>
      <w:r w:rsidR="00602830">
        <w:t xml:space="preserve"> </w:t>
      </w:r>
      <w:r w:rsidRPr="007937EB">
        <w:t>selected</w:t>
      </w:r>
      <w:r>
        <w:t>.</w:t>
      </w:r>
      <w:r w:rsidR="00730783">
        <w:t xml:space="preserve"> </w:t>
      </w:r>
      <w:r w:rsidRPr="007937EB">
        <w:t>This nested sampling</w:t>
      </w:r>
      <w:r w:rsidR="00341C7E">
        <w:t xml:space="preserve"> allows for worker perceptions within a given agency to be compared</w:t>
      </w:r>
      <w:r w:rsidR="00774893">
        <w:t>,</w:t>
      </w:r>
      <w:r w:rsidR="00341C7E">
        <w:t xml:space="preserve"> and for </w:t>
      </w:r>
      <w:r w:rsidR="00774893">
        <w:t xml:space="preserve">within </w:t>
      </w:r>
      <w:r w:rsidR="00341C7E">
        <w:t xml:space="preserve">agency characteristics and context to be considered as factors that could impact those perceptions. </w:t>
      </w:r>
      <w:r w:rsidR="00725032">
        <w:t xml:space="preserve">Because all caseworkers reporting to a participating supervisor have a chance of being selected, it is possible that a caseworker </w:t>
      </w:r>
      <w:r w:rsidR="00FC7694">
        <w:t xml:space="preserve">who provided information about participating children and families during </w:t>
      </w:r>
      <w:r w:rsidR="00725032">
        <w:t xml:space="preserve">Phase II could also be selected for a workforce interview. </w:t>
      </w:r>
      <w:r w:rsidR="008B2057">
        <w:t>S</w:t>
      </w:r>
      <w:r w:rsidR="008B2057">
        <w:rPr>
          <w:iCs/>
        </w:rPr>
        <w:t xml:space="preserve">ee </w:t>
      </w:r>
      <w:r w:rsidRPr="00723E62" w:rsidR="008B2057">
        <w:rPr>
          <w:b/>
          <w:bCs/>
          <w:i/>
        </w:rPr>
        <w:t xml:space="preserve">Sections B1 </w:t>
      </w:r>
      <w:r w:rsidRPr="00723E62" w:rsidR="008B2057">
        <w:rPr>
          <w:iCs/>
        </w:rPr>
        <w:t>and</w:t>
      </w:r>
      <w:r w:rsidRPr="00723E62" w:rsidR="008B2057">
        <w:rPr>
          <w:b/>
          <w:bCs/>
          <w:i/>
        </w:rPr>
        <w:t xml:space="preserve"> B2</w:t>
      </w:r>
      <w:r w:rsidR="008B2057">
        <w:rPr>
          <w:iCs/>
        </w:rPr>
        <w:t xml:space="preserve"> for more detail on the</w:t>
      </w:r>
      <w:r w:rsidR="00197126">
        <w:rPr>
          <w:iCs/>
        </w:rPr>
        <w:t xml:space="preserve"> plan for</w:t>
      </w:r>
      <w:r w:rsidR="008B2057">
        <w:rPr>
          <w:iCs/>
        </w:rPr>
        <w:t xml:space="preserve"> sampling. </w:t>
      </w:r>
    </w:p>
    <w:p w:rsidR="00B53DFE" w:rsidP="008D273E" w:rsidRDefault="00B53DFE" w14:paraId="43892650" w14:textId="7F8F9F81">
      <w:pPr>
        <w:spacing w:after="0"/>
      </w:pPr>
    </w:p>
    <w:p w:rsidR="00B53DFE" w:rsidP="008D273E" w:rsidRDefault="00CD73B5" w14:paraId="43E70CE7" w14:textId="6164CD38">
      <w:pPr>
        <w:keepNext/>
        <w:spacing w:after="0"/>
        <w:rPr>
          <w:rFonts w:ascii="Calibri" w:hAnsi="Calibri" w:cs="Calibri"/>
        </w:rPr>
      </w:pPr>
      <w:r>
        <w:rPr>
          <w:rFonts w:cstheme="minorHAnsi"/>
          <w:iCs/>
        </w:rPr>
        <w:t>The primary data collection mode</w:t>
      </w:r>
      <w:r w:rsidR="002E7430">
        <w:rPr>
          <w:rFonts w:cstheme="minorHAnsi"/>
          <w:iCs/>
        </w:rPr>
        <w:t>s</w:t>
      </w:r>
      <w:r>
        <w:rPr>
          <w:rFonts w:cstheme="minorHAnsi"/>
          <w:iCs/>
        </w:rPr>
        <w:t xml:space="preserve"> will be telephone and/or web</w:t>
      </w:r>
      <w:r w:rsidR="00B7661D">
        <w:rPr>
          <w:rFonts w:cstheme="minorHAnsi"/>
          <w:iCs/>
        </w:rPr>
        <w:t>.  A</w:t>
      </w:r>
      <w:r>
        <w:rPr>
          <w:rFonts w:cstheme="minorHAnsi"/>
          <w:iCs/>
        </w:rPr>
        <w:t xml:space="preserve">n in-person mode may be offered to respondents in the future </w:t>
      </w:r>
      <w:r>
        <w:rPr>
          <w:color w:val="000000" w:themeColor="text1"/>
        </w:rPr>
        <w:t xml:space="preserve">if it is safe to conduct in-person surveys in the respondent’s state and county.  The contractor has in place an Infectious Disease Response Team that is </w:t>
      </w:r>
      <w:r>
        <w:t>monitoring COVID-19 infection rates across the country. A dashboard that incorporates public health data at the state and county-level to monitor trends has been developed</w:t>
      </w:r>
      <w:r w:rsidR="002E7430">
        <w:t xml:space="preserve">.  This dashboard </w:t>
      </w:r>
      <w:r>
        <w:t>considers a variety of metrics to inform decisions about where in person field data collection can begin</w:t>
      </w:r>
      <w:r w:rsidR="002E7430">
        <w:t>, including 7-day rolling average infection rates</w:t>
      </w:r>
      <w:r>
        <w:t xml:space="preserve">. </w:t>
      </w:r>
      <w:bookmarkStart w:name="_Hlk33709354" w:id="4"/>
      <w:r w:rsidR="00B53DFE">
        <w:t>The agency director</w:t>
      </w:r>
      <w:r w:rsidR="00774893">
        <w:t xml:space="preserve"> survey </w:t>
      </w:r>
      <w:r w:rsidR="00B53DFE">
        <w:t>will be</w:t>
      </w:r>
      <w:r w:rsidR="00774893">
        <w:t xml:space="preserve"> administered by a field interviewer </w:t>
      </w:r>
      <w:r w:rsidR="004277D7">
        <w:t xml:space="preserve">using </w:t>
      </w:r>
      <w:r w:rsidR="00774893">
        <w:t>a</w:t>
      </w:r>
      <w:r w:rsidR="00B53DFE">
        <w:t xml:space="preserve"> paper-and-pencil</w:t>
      </w:r>
      <w:r w:rsidR="004277D7">
        <w:t xml:space="preserve"> instrument for both the telephone and in-person modes</w:t>
      </w:r>
      <w:r w:rsidR="00B53DFE">
        <w:t xml:space="preserve">.  The supervisor and caseworker surveys </w:t>
      </w:r>
      <w:r w:rsidRPr="00D111C7" w:rsidR="00B53DFE">
        <w:rPr>
          <w:rFonts w:ascii="Calibri" w:hAnsi="Calibri" w:cs="Calibri"/>
          <w:iCs/>
        </w:rPr>
        <w:t xml:space="preserve">will be </w:t>
      </w:r>
      <w:r w:rsidR="00774893">
        <w:rPr>
          <w:rFonts w:ascii="Calibri" w:hAnsi="Calibri" w:cs="Calibri"/>
          <w:iCs/>
        </w:rPr>
        <w:t xml:space="preserve">administered by a </w:t>
      </w:r>
      <w:r>
        <w:rPr>
          <w:rFonts w:ascii="Calibri" w:hAnsi="Calibri" w:cs="Calibri"/>
          <w:iCs/>
        </w:rPr>
        <w:t>combination of telephone and/or web, with the mo</w:t>
      </w:r>
      <w:r w:rsidR="002E7430">
        <w:rPr>
          <w:rFonts w:ascii="Calibri" w:hAnsi="Calibri" w:cs="Calibri"/>
          <w:iCs/>
        </w:rPr>
        <w:t>st</w:t>
      </w:r>
      <w:r>
        <w:rPr>
          <w:rFonts w:ascii="Calibri" w:hAnsi="Calibri" w:cs="Calibri"/>
          <w:iCs/>
        </w:rPr>
        <w:t xml:space="preserve"> sensitive items (e.g., secondary trauma, burnout) being answered by caseworkers and supervisors via </w:t>
      </w:r>
      <w:r w:rsidR="007550B8">
        <w:rPr>
          <w:rFonts w:ascii="Calibri" w:hAnsi="Calibri" w:cs="Calibri"/>
          <w:iCs/>
        </w:rPr>
        <w:t>a</w:t>
      </w:r>
      <w:r>
        <w:rPr>
          <w:rFonts w:ascii="Calibri" w:hAnsi="Calibri" w:cs="Calibri"/>
          <w:iCs/>
        </w:rPr>
        <w:t xml:space="preserve"> web</w:t>
      </w:r>
      <w:r w:rsidR="007550B8">
        <w:rPr>
          <w:rFonts w:ascii="Calibri" w:hAnsi="Calibri" w:cs="Calibri"/>
          <w:iCs/>
        </w:rPr>
        <w:t xml:space="preserve"> survey</w:t>
      </w:r>
      <w:r>
        <w:rPr>
          <w:rFonts w:ascii="Calibri" w:hAnsi="Calibri" w:cs="Calibri"/>
          <w:iCs/>
        </w:rPr>
        <w:t xml:space="preserve">. </w:t>
      </w:r>
    </w:p>
    <w:bookmarkEnd w:id="4"/>
    <w:p w:rsidR="008A332C" w:rsidP="008D273E" w:rsidRDefault="008A332C" w14:paraId="2A671CE0" w14:textId="1BD049CF">
      <w:pPr>
        <w:keepNext/>
        <w:spacing w:after="0"/>
        <w:rPr>
          <w:rFonts w:ascii="Calibri" w:hAnsi="Calibri" w:cs="Calibri"/>
        </w:rPr>
      </w:pPr>
    </w:p>
    <w:p w:rsidR="008A332C" w:rsidP="008D273E" w:rsidRDefault="008A332C" w14:paraId="0E02C247" w14:textId="20B09EF2">
      <w:pPr>
        <w:keepNext/>
        <w:spacing w:after="0"/>
        <w:rPr>
          <w:iCs/>
        </w:rPr>
      </w:pPr>
      <w:r>
        <w:t xml:space="preserve">Survey results are intended to be representative of public child welfare agencies able to participate in NSCAW III; that is, agencies located in states that do not </w:t>
      </w:r>
      <w:r w:rsidRPr="00011383">
        <w:t xml:space="preserve">prohibit the release of </w:t>
      </w:r>
      <w:r>
        <w:t xml:space="preserve">identified child maltreatment records </w:t>
      </w:r>
      <w:r w:rsidRPr="00011383">
        <w:t>required for the survey</w:t>
      </w:r>
      <w:r>
        <w:t xml:space="preserve"> </w:t>
      </w:r>
      <w:r>
        <w:rPr>
          <w:rFonts w:ascii="Calibri" w:hAnsi="Calibri" w:cs="Calibri"/>
          <w:iCs/>
        </w:rPr>
        <w:t xml:space="preserve">(see </w:t>
      </w:r>
      <w:r w:rsidRPr="008A332C">
        <w:rPr>
          <w:rFonts w:ascii="Calibri" w:hAnsi="Calibri" w:cs="Calibri"/>
          <w:b/>
          <w:bCs/>
          <w:i/>
        </w:rPr>
        <w:t>Section B1</w:t>
      </w:r>
      <w:r>
        <w:rPr>
          <w:rFonts w:ascii="Calibri" w:hAnsi="Calibri" w:cs="Calibri"/>
          <w:iCs/>
        </w:rPr>
        <w:t xml:space="preserve"> for more information). </w:t>
      </w:r>
    </w:p>
    <w:p w:rsidR="008A332C" w:rsidP="008D273E" w:rsidRDefault="008A332C" w14:paraId="79566984" w14:textId="031AD6E8">
      <w:pPr>
        <w:keepNext/>
        <w:spacing w:after="0"/>
        <w:rPr>
          <w:rFonts w:ascii="Calibri" w:hAnsi="Calibri" w:cs="Calibri"/>
        </w:rPr>
      </w:pPr>
    </w:p>
    <w:p w:rsidR="00B53DFE" w:rsidP="008D273E" w:rsidRDefault="00341C7E" w14:paraId="62209D79" w14:textId="4DE9CD5D">
      <w:pPr>
        <w:keepNext/>
        <w:spacing w:after="0"/>
        <w:rPr>
          <w:iCs/>
        </w:rPr>
      </w:pPr>
      <w:r w:rsidRPr="00B53DFE">
        <w:rPr>
          <w:b/>
          <w:bCs/>
          <w:i/>
          <w:iCs/>
        </w:rPr>
        <w:t>Table 2</w:t>
      </w:r>
      <w:r>
        <w:t xml:space="preserve"> </w:t>
      </w:r>
      <w:r w:rsidR="003C35BA">
        <w:t xml:space="preserve">provides detail on the three workforce survey instruments, including the intended respondent, content, </w:t>
      </w:r>
      <w:proofErr w:type="gramStart"/>
      <w:r w:rsidR="003C35BA">
        <w:t>purpose</w:t>
      </w:r>
      <w:proofErr w:type="gramEnd"/>
      <w:r w:rsidR="003C35BA">
        <w:t xml:space="preserve"> of the collection, mode, and duration. </w:t>
      </w:r>
      <w:r w:rsidR="008A332C">
        <w:t xml:space="preserve"> </w:t>
      </w:r>
    </w:p>
    <w:p w:rsidR="004E2D9A" w:rsidP="001D1C73" w:rsidRDefault="004E2D9A" w14:paraId="55FE6693" w14:textId="77777777">
      <w:pPr>
        <w:spacing w:after="0" w:line="240" w:lineRule="auto"/>
        <w:rPr>
          <w:i/>
        </w:rPr>
      </w:pPr>
    </w:p>
    <w:p w:rsidR="00C713D1" w:rsidRDefault="00C713D1" w14:paraId="220D04D2" w14:textId="77777777">
      <w:pPr>
        <w:rPr>
          <w:b/>
          <w:bCs/>
          <w:iCs/>
        </w:rPr>
      </w:pPr>
      <w:r>
        <w:rPr>
          <w:b/>
          <w:bCs/>
          <w:iCs/>
        </w:rPr>
        <w:br w:type="page"/>
      </w:r>
    </w:p>
    <w:p w:rsidR="003C35BA" w:rsidP="001D1C73" w:rsidRDefault="002B13AF" w14:paraId="2A3A4519" w14:textId="0F9A005F">
      <w:pPr>
        <w:spacing w:after="0" w:line="240" w:lineRule="auto"/>
        <w:rPr>
          <w:b/>
          <w:bCs/>
          <w:iCs/>
        </w:rPr>
      </w:pPr>
      <w:r w:rsidRPr="003C35BA">
        <w:rPr>
          <w:b/>
          <w:bCs/>
          <w:iCs/>
        </w:rPr>
        <w:lastRenderedPageBreak/>
        <w:t xml:space="preserve">Table 2. </w:t>
      </w:r>
      <w:r w:rsidRPr="003C35BA" w:rsidR="003C35BA">
        <w:rPr>
          <w:b/>
          <w:bCs/>
          <w:iCs/>
        </w:rPr>
        <w:t>Study Design and Instruments</w:t>
      </w:r>
    </w:p>
    <w:tbl>
      <w:tblPr>
        <w:tblStyle w:val="TableGrid"/>
        <w:tblW w:w="9265" w:type="dxa"/>
        <w:tblInd w:w="0" w:type="dxa"/>
        <w:tblLook w:val="04A0" w:firstRow="1" w:lastRow="0" w:firstColumn="1" w:lastColumn="0" w:noHBand="0" w:noVBand="1"/>
      </w:tblPr>
      <w:tblGrid>
        <w:gridCol w:w="1615"/>
        <w:gridCol w:w="1710"/>
        <w:gridCol w:w="3960"/>
        <w:gridCol w:w="1980"/>
      </w:tblGrid>
      <w:tr w:rsidRPr="00085817" w:rsidR="00085817" w:rsidTr="000562C0" w14:paraId="7A08A530" w14:textId="77777777">
        <w:tc>
          <w:tcPr>
            <w:tcW w:w="1615" w:type="dxa"/>
            <w:shd w:val="clear" w:color="auto" w:fill="002060"/>
          </w:tcPr>
          <w:p w:rsidRPr="00085817" w:rsidR="001D1C73" w:rsidP="00AC0A1F" w:rsidRDefault="003C35BA" w14:paraId="142698B1" w14:textId="5FB54B65">
            <w:pPr>
              <w:rPr>
                <w:rFonts w:asciiTheme="minorHAnsi" w:hAnsiTheme="minorHAnsi" w:cstheme="minorHAnsi"/>
                <w:b/>
                <w:bCs/>
                <w:iCs/>
                <w:color w:val="FFFFFF" w:themeColor="background1"/>
              </w:rPr>
            </w:pPr>
            <w:r w:rsidRPr="003C35BA">
              <w:rPr>
                <w:b/>
                <w:bCs/>
                <w:iCs/>
              </w:rPr>
              <w:t xml:space="preserve">  </w:t>
            </w:r>
            <w:r w:rsidRPr="00085817" w:rsidR="001D1C73">
              <w:rPr>
                <w:rFonts w:asciiTheme="minorHAnsi" w:hAnsiTheme="minorHAnsi" w:cstheme="minorHAnsi"/>
                <w:b/>
                <w:bCs/>
                <w:iCs/>
                <w:color w:val="FFFFFF" w:themeColor="background1"/>
              </w:rPr>
              <w:t>Data Collection Activity</w:t>
            </w:r>
          </w:p>
        </w:tc>
        <w:tc>
          <w:tcPr>
            <w:tcW w:w="1710" w:type="dxa"/>
            <w:shd w:val="clear" w:color="auto" w:fill="002060"/>
          </w:tcPr>
          <w:p w:rsidRPr="00085817" w:rsidR="001D1C73" w:rsidP="00AC0A1F" w:rsidRDefault="001D1C73" w14:paraId="27BC6F15" w14:textId="24BCDB61">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Instruments</w:t>
            </w:r>
          </w:p>
        </w:tc>
        <w:tc>
          <w:tcPr>
            <w:tcW w:w="3960" w:type="dxa"/>
            <w:shd w:val="clear" w:color="auto" w:fill="002060"/>
          </w:tcPr>
          <w:p w:rsidRPr="00085817" w:rsidR="001D1C73" w:rsidP="00AC0A1F" w:rsidRDefault="001D1C73" w14:paraId="02FE35A0" w14:textId="77777777">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Respondent, Content, Purpose of Collection</w:t>
            </w:r>
          </w:p>
        </w:tc>
        <w:tc>
          <w:tcPr>
            <w:tcW w:w="1980" w:type="dxa"/>
            <w:shd w:val="clear" w:color="auto" w:fill="002060"/>
          </w:tcPr>
          <w:p w:rsidRPr="00085817" w:rsidR="001D1C73" w:rsidP="00AC0A1F" w:rsidRDefault="001D1C73" w14:paraId="6D5BE90E" w14:textId="77777777">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Mode and Duration</w:t>
            </w:r>
          </w:p>
        </w:tc>
      </w:tr>
      <w:tr w:rsidRPr="00085817" w:rsidR="006A74AF" w:rsidTr="002F2A2F" w14:paraId="501EEB21" w14:textId="77777777">
        <w:tc>
          <w:tcPr>
            <w:tcW w:w="1615" w:type="dxa"/>
            <w:vMerge w:val="restart"/>
            <w:shd w:val="clear" w:color="auto" w:fill="D9D9D9" w:themeFill="background1" w:themeFillShade="D9"/>
          </w:tcPr>
          <w:p w:rsidRPr="00085817" w:rsidR="006A74AF" w:rsidP="00AC0A1F" w:rsidRDefault="006A74AF" w14:paraId="38B610F5" w14:textId="32DD0804">
            <w:pPr>
              <w:rPr>
                <w:rFonts w:asciiTheme="minorHAnsi" w:hAnsiTheme="minorHAnsi" w:cstheme="minorHAnsi"/>
              </w:rPr>
            </w:pPr>
            <w:r w:rsidRPr="00085817">
              <w:rPr>
                <w:rFonts w:asciiTheme="minorHAnsi" w:hAnsiTheme="minorHAnsi" w:cstheme="minorHAnsi"/>
              </w:rPr>
              <w:t>NSCAW II</w:t>
            </w:r>
            <w:r w:rsidR="00CB7A7C">
              <w:rPr>
                <w:rFonts w:asciiTheme="minorHAnsi" w:hAnsiTheme="minorHAnsi" w:cstheme="minorHAnsi"/>
              </w:rPr>
              <w:t>I</w:t>
            </w:r>
            <w:r w:rsidRPr="00085817">
              <w:rPr>
                <w:rFonts w:asciiTheme="minorHAnsi" w:hAnsiTheme="minorHAnsi" w:cstheme="minorHAnsi"/>
              </w:rPr>
              <w:t xml:space="preserve"> workforce surveys</w:t>
            </w:r>
          </w:p>
        </w:tc>
        <w:tc>
          <w:tcPr>
            <w:tcW w:w="1710" w:type="dxa"/>
            <w:shd w:val="clear" w:color="auto" w:fill="D9D9D9" w:themeFill="background1" w:themeFillShade="D9"/>
          </w:tcPr>
          <w:p w:rsidRPr="00085817" w:rsidR="006A74AF" w:rsidP="00AC0A1F" w:rsidRDefault="006A74AF" w14:paraId="3BB55DD9" w14:textId="6A70B133">
            <w:pPr>
              <w:rPr>
                <w:rFonts w:asciiTheme="minorHAnsi" w:hAnsiTheme="minorHAnsi" w:cstheme="minorHAnsi"/>
              </w:rPr>
            </w:pPr>
            <w:r w:rsidRPr="00085817">
              <w:rPr>
                <w:rFonts w:asciiTheme="minorHAnsi" w:hAnsiTheme="minorHAnsi" w:cstheme="minorHAnsi"/>
              </w:rPr>
              <w:t xml:space="preserve">Agency Director Survey </w:t>
            </w:r>
          </w:p>
        </w:tc>
        <w:tc>
          <w:tcPr>
            <w:tcW w:w="3960" w:type="dxa"/>
            <w:shd w:val="clear" w:color="auto" w:fill="D9D9D9" w:themeFill="background1" w:themeFillShade="D9"/>
          </w:tcPr>
          <w:p w:rsidRPr="00085817" w:rsidR="006A74AF" w:rsidP="00CD3C52" w:rsidRDefault="006A74AF" w14:paraId="5DE482D7" w14:textId="471EB997">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sidR="000562C0">
              <w:rPr>
                <w:rFonts w:asciiTheme="minorHAnsi" w:hAnsiTheme="minorHAnsi" w:cstheme="minorHAnsi"/>
              </w:rPr>
              <w:t>56</w:t>
            </w:r>
            <w:r w:rsidR="00B175D9">
              <w:rPr>
                <w:rFonts w:asciiTheme="minorHAnsi" w:hAnsiTheme="minorHAnsi" w:cstheme="minorHAnsi"/>
              </w:rPr>
              <w:t xml:space="preserve"> </w:t>
            </w:r>
            <w:r w:rsidR="00B36DAE">
              <w:rPr>
                <w:rFonts w:asciiTheme="minorHAnsi" w:hAnsiTheme="minorHAnsi" w:cstheme="minorHAnsi"/>
              </w:rPr>
              <w:t>child welfare a</w:t>
            </w:r>
            <w:r w:rsidRPr="00085817">
              <w:rPr>
                <w:rFonts w:asciiTheme="minorHAnsi" w:hAnsiTheme="minorHAnsi" w:cstheme="minorHAnsi"/>
              </w:rPr>
              <w:t>gency</w:t>
            </w:r>
            <w:r w:rsidR="00B36DAE">
              <w:rPr>
                <w:rFonts w:asciiTheme="minorHAnsi" w:hAnsiTheme="minorHAnsi" w:cstheme="minorHAnsi"/>
              </w:rPr>
              <w:t xml:space="preserve"> d</w:t>
            </w:r>
            <w:r w:rsidRPr="00085817">
              <w:rPr>
                <w:rFonts w:asciiTheme="minorHAnsi" w:hAnsiTheme="minorHAnsi" w:cstheme="minorHAnsi"/>
              </w:rPr>
              <w:t>irectors/</w:t>
            </w:r>
            <w:r w:rsidR="00B36DAE">
              <w:rPr>
                <w:rFonts w:asciiTheme="minorHAnsi" w:hAnsiTheme="minorHAnsi" w:cstheme="minorHAnsi"/>
              </w:rPr>
              <w:t>a</w:t>
            </w:r>
            <w:r w:rsidRPr="00085817">
              <w:rPr>
                <w:rFonts w:asciiTheme="minorHAnsi" w:hAnsiTheme="minorHAnsi" w:cstheme="minorHAnsi"/>
              </w:rPr>
              <w:t xml:space="preserve">dministrators </w:t>
            </w:r>
          </w:p>
          <w:p w:rsidRPr="00085817" w:rsidR="006A74AF" w:rsidP="00CD3C52" w:rsidRDefault="006A74AF" w14:paraId="173DA049" w14:textId="39F23355">
            <w:pPr>
              <w:pStyle w:val="BodyText"/>
              <w:spacing w:after="120" w:line="240" w:lineRule="auto"/>
              <w:rPr>
                <w:rFonts w:asciiTheme="minorHAnsi" w:hAnsiTheme="minorHAnsi" w:cstheme="minorHAnsi"/>
                <w:sz w:val="20"/>
              </w:rPr>
            </w:pPr>
            <w:r w:rsidRPr="00085817">
              <w:rPr>
                <w:rFonts w:asciiTheme="minorHAnsi" w:hAnsiTheme="minorHAnsi" w:cstheme="minorHAnsi"/>
                <w:b/>
                <w:sz w:val="20"/>
              </w:rPr>
              <w:t>Content</w:t>
            </w:r>
            <w:r w:rsidRPr="00085817">
              <w:rPr>
                <w:rFonts w:asciiTheme="minorHAnsi" w:hAnsiTheme="minorHAnsi" w:cstheme="minorHAnsi"/>
                <w:sz w:val="20"/>
              </w:rPr>
              <w:t xml:space="preserve">: </w:t>
            </w:r>
            <w:r w:rsidRPr="00085817" w:rsidR="00085817">
              <w:rPr>
                <w:rFonts w:asciiTheme="minorHAnsi" w:hAnsiTheme="minorHAnsi" w:cstheme="minorHAnsi"/>
                <w:sz w:val="20"/>
              </w:rPr>
              <w:t xml:space="preserve">Title and function within agency; primary roles and responsibilities; prior </w:t>
            </w:r>
            <w:r w:rsidR="00085817">
              <w:rPr>
                <w:rFonts w:asciiTheme="minorHAnsi" w:hAnsiTheme="minorHAnsi" w:cstheme="minorHAnsi"/>
                <w:sz w:val="20"/>
              </w:rPr>
              <w:t xml:space="preserve">child welfare </w:t>
            </w:r>
            <w:r w:rsidRPr="00085817" w:rsidR="00085817">
              <w:rPr>
                <w:rFonts w:asciiTheme="minorHAnsi" w:hAnsiTheme="minorHAnsi" w:cstheme="minorHAnsi"/>
                <w:sz w:val="20"/>
              </w:rPr>
              <w:t xml:space="preserve">training/ experience when hired; </w:t>
            </w:r>
            <w:r w:rsidR="00085817">
              <w:rPr>
                <w:rFonts w:asciiTheme="minorHAnsi" w:hAnsiTheme="minorHAnsi" w:cstheme="minorHAnsi"/>
                <w:sz w:val="20"/>
              </w:rPr>
              <w:t xml:space="preserve">education, </w:t>
            </w:r>
            <w:r w:rsidRPr="00085817" w:rsidR="00085817">
              <w:rPr>
                <w:rFonts w:asciiTheme="minorHAnsi" w:hAnsiTheme="minorHAnsi" w:cstheme="minorHAnsi"/>
                <w:sz w:val="20"/>
              </w:rPr>
              <w:t xml:space="preserve">years of experience </w:t>
            </w:r>
            <w:r w:rsidR="00085817">
              <w:rPr>
                <w:rFonts w:asciiTheme="minorHAnsi" w:hAnsiTheme="minorHAnsi" w:cstheme="minorHAnsi"/>
                <w:sz w:val="20"/>
              </w:rPr>
              <w:t xml:space="preserve">and other demographics; </w:t>
            </w:r>
            <w:r w:rsidRPr="00085817" w:rsidR="00085817">
              <w:rPr>
                <w:rFonts w:asciiTheme="minorHAnsi" w:hAnsiTheme="minorHAnsi" w:cstheme="minorHAnsi"/>
                <w:sz w:val="20"/>
              </w:rPr>
              <w:t xml:space="preserve">agency characteristics and structure; partnerships with other private agencies, recruitment and hiring practices, training </w:t>
            </w:r>
            <w:r w:rsidR="00085817">
              <w:rPr>
                <w:rFonts w:asciiTheme="minorHAnsi" w:hAnsiTheme="minorHAnsi" w:cstheme="minorHAnsi"/>
                <w:sz w:val="20"/>
              </w:rPr>
              <w:t>and professional development practices; agency funding.</w:t>
            </w:r>
          </w:p>
          <w:p w:rsidRPr="00085817" w:rsidR="006A74AF" w:rsidP="00CD3C52" w:rsidRDefault="006A74AF" w14:paraId="323AC8B8" w14:textId="0A53E800">
            <w:pPr>
              <w:spacing w:after="120"/>
              <w:rPr>
                <w:rFonts w:asciiTheme="minorHAnsi" w:hAnsiTheme="minorHAnsi" w:cstheme="minorHAnsi"/>
              </w:rPr>
            </w:pPr>
            <w:r w:rsidRPr="00085817">
              <w:rPr>
                <w:rFonts w:asciiTheme="minorHAnsi" w:hAnsiTheme="minorHAnsi" w:cstheme="minorHAnsi"/>
                <w:b/>
              </w:rPr>
              <w:t>Purpose</w:t>
            </w:r>
            <w:r w:rsidRPr="00085817">
              <w:rPr>
                <w:rFonts w:asciiTheme="minorHAnsi" w:hAnsiTheme="minorHAnsi" w:cstheme="minorHAnsi"/>
              </w:rPr>
              <w:t>:</w:t>
            </w:r>
            <w:r w:rsidR="00CC56C0">
              <w:rPr>
                <w:rFonts w:asciiTheme="minorHAnsi" w:hAnsiTheme="minorHAnsi" w:cstheme="minorHAnsi"/>
              </w:rPr>
              <w:t xml:space="preserve"> Collect information </w:t>
            </w:r>
            <w:r w:rsidR="00F3509B">
              <w:rPr>
                <w:rFonts w:asciiTheme="minorHAnsi" w:hAnsiTheme="minorHAnsi" w:cstheme="minorHAnsi"/>
              </w:rPr>
              <w:t xml:space="preserve">about agency director characteristics, agency context, and agency practices. </w:t>
            </w:r>
          </w:p>
        </w:tc>
        <w:tc>
          <w:tcPr>
            <w:tcW w:w="1980" w:type="dxa"/>
            <w:shd w:val="clear" w:color="auto" w:fill="D9D9D9" w:themeFill="background1" w:themeFillShade="D9"/>
          </w:tcPr>
          <w:p w:rsidRPr="00085817" w:rsidR="006A74AF" w:rsidP="00AC0A1F" w:rsidRDefault="006A74AF" w14:paraId="1432F72A" w14:textId="5C14F952">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sidR="00197126">
              <w:rPr>
                <w:rFonts w:asciiTheme="minorHAnsi" w:hAnsiTheme="minorHAnsi" w:cstheme="minorHAnsi"/>
              </w:rPr>
              <w:t xml:space="preserve"> </w:t>
            </w:r>
            <w:r w:rsidR="007F0F85">
              <w:rPr>
                <w:rFonts w:asciiTheme="minorHAnsi" w:hAnsiTheme="minorHAnsi" w:cstheme="minorHAnsi"/>
              </w:rPr>
              <w:t xml:space="preserve">Telephone, web, </w:t>
            </w:r>
            <w:r w:rsidR="008E6DFC">
              <w:rPr>
                <w:rFonts w:asciiTheme="minorHAnsi" w:hAnsiTheme="minorHAnsi" w:cstheme="minorHAnsi"/>
              </w:rPr>
              <w:t>and/</w:t>
            </w:r>
            <w:r w:rsidR="007F0F85">
              <w:rPr>
                <w:rFonts w:asciiTheme="minorHAnsi" w:hAnsiTheme="minorHAnsi" w:cstheme="minorHAnsi"/>
              </w:rPr>
              <w:t>or in-person</w:t>
            </w:r>
          </w:p>
          <w:p w:rsidRPr="00085817" w:rsidR="006A74AF" w:rsidP="00AC0A1F" w:rsidRDefault="006A74AF" w14:paraId="0240C234" w14:textId="77777777">
            <w:pPr>
              <w:rPr>
                <w:rFonts w:asciiTheme="minorHAnsi" w:hAnsiTheme="minorHAnsi" w:cstheme="minorHAnsi"/>
              </w:rPr>
            </w:pPr>
          </w:p>
          <w:p w:rsidRPr="00085817" w:rsidR="006A74AF" w:rsidP="00AC0A1F" w:rsidRDefault="006A74AF" w14:paraId="0967045C" w14:textId="00C2AC67">
            <w:pPr>
              <w:rPr>
                <w:rFonts w:asciiTheme="minorHAnsi" w:hAnsiTheme="minorHAnsi" w:cstheme="minorHAnsi"/>
              </w:rPr>
            </w:pPr>
            <w:r w:rsidRPr="00085817">
              <w:rPr>
                <w:rFonts w:asciiTheme="minorHAnsi" w:hAnsiTheme="minorHAnsi" w:cstheme="minorHAnsi"/>
                <w:b/>
              </w:rPr>
              <w:t>Duration</w:t>
            </w:r>
            <w:r w:rsidRPr="00085817">
              <w:rPr>
                <w:rFonts w:asciiTheme="minorHAnsi" w:hAnsiTheme="minorHAnsi" w:cstheme="minorHAnsi"/>
              </w:rPr>
              <w:t xml:space="preserve">: </w:t>
            </w:r>
            <w:r w:rsidR="008C190A">
              <w:rPr>
                <w:rFonts w:asciiTheme="minorHAnsi" w:hAnsiTheme="minorHAnsi" w:cstheme="minorHAnsi"/>
              </w:rPr>
              <w:t>3</w:t>
            </w:r>
            <w:r w:rsidRPr="00085817">
              <w:rPr>
                <w:rFonts w:asciiTheme="minorHAnsi" w:hAnsiTheme="minorHAnsi" w:cstheme="minorHAnsi"/>
              </w:rPr>
              <w:t>5 minutes</w:t>
            </w:r>
          </w:p>
        </w:tc>
      </w:tr>
      <w:tr w:rsidRPr="00085817" w:rsidR="006A74AF" w:rsidTr="002F2A2F" w14:paraId="148EF023" w14:textId="77777777">
        <w:tc>
          <w:tcPr>
            <w:tcW w:w="1615" w:type="dxa"/>
            <w:vMerge/>
            <w:shd w:val="clear" w:color="auto" w:fill="D9D9D9" w:themeFill="background1" w:themeFillShade="D9"/>
          </w:tcPr>
          <w:p w:rsidRPr="00085817" w:rsidR="006A74AF" w:rsidP="00AC0A1F" w:rsidRDefault="006A74AF" w14:paraId="4D2F3A2E" w14:textId="77777777">
            <w:pPr>
              <w:rPr>
                <w:rFonts w:asciiTheme="minorHAnsi" w:hAnsiTheme="minorHAnsi" w:cstheme="minorHAnsi"/>
              </w:rPr>
            </w:pPr>
          </w:p>
        </w:tc>
        <w:tc>
          <w:tcPr>
            <w:tcW w:w="1710" w:type="dxa"/>
            <w:shd w:val="clear" w:color="auto" w:fill="D9D9D9" w:themeFill="background1" w:themeFillShade="D9"/>
          </w:tcPr>
          <w:p w:rsidRPr="00085817" w:rsidR="006A74AF" w:rsidP="00AC0A1F" w:rsidRDefault="006A74AF" w14:paraId="27D7C22A" w14:textId="0BC3CD53">
            <w:pPr>
              <w:rPr>
                <w:rFonts w:asciiTheme="minorHAnsi" w:hAnsiTheme="minorHAnsi" w:cstheme="minorHAnsi"/>
              </w:rPr>
            </w:pPr>
            <w:r w:rsidRPr="00085817">
              <w:rPr>
                <w:rFonts w:asciiTheme="minorHAnsi" w:hAnsiTheme="minorHAnsi" w:cstheme="minorHAnsi"/>
              </w:rPr>
              <w:t>Supervisor Survey</w:t>
            </w:r>
          </w:p>
        </w:tc>
        <w:tc>
          <w:tcPr>
            <w:tcW w:w="3960" w:type="dxa"/>
            <w:shd w:val="clear" w:color="auto" w:fill="D9D9D9" w:themeFill="background1" w:themeFillShade="D9"/>
          </w:tcPr>
          <w:p w:rsidRPr="00B175D9" w:rsidR="006A74AF" w:rsidP="00CD3C52" w:rsidRDefault="006A74AF" w14:paraId="1B409BBA" w14:textId="5F7F2989">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sidRPr="00B175D9">
              <w:rPr>
                <w:rFonts w:asciiTheme="minorHAnsi" w:hAnsiTheme="minorHAnsi" w:cstheme="minorHAnsi"/>
              </w:rPr>
              <w:t xml:space="preserve">130 </w:t>
            </w:r>
            <w:r w:rsidR="00B36DAE">
              <w:rPr>
                <w:rFonts w:asciiTheme="minorHAnsi" w:hAnsiTheme="minorHAnsi" w:cstheme="minorHAnsi"/>
              </w:rPr>
              <w:t>child welfare s</w:t>
            </w:r>
            <w:r w:rsidRPr="00B175D9">
              <w:rPr>
                <w:rFonts w:asciiTheme="minorHAnsi" w:hAnsiTheme="minorHAnsi" w:cstheme="minorHAnsi"/>
              </w:rPr>
              <w:t xml:space="preserve">upervisors </w:t>
            </w:r>
          </w:p>
          <w:p w:rsidRPr="0022276E" w:rsidR="006A74AF" w:rsidP="00AC0A1F" w:rsidRDefault="006A74AF" w14:paraId="3F4D4F6C" w14:textId="462632C2">
            <w:pPr>
              <w:rPr>
                <w:rFonts w:asciiTheme="minorHAnsi" w:hAnsiTheme="minorHAnsi" w:cstheme="minorHAnsi"/>
              </w:rPr>
            </w:pPr>
            <w:r w:rsidRPr="00B175D9">
              <w:rPr>
                <w:rFonts w:asciiTheme="minorHAnsi" w:hAnsiTheme="minorHAnsi" w:cstheme="minorHAnsi"/>
                <w:b/>
              </w:rPr>
              <w:t>Content</w:t>
            </w:r>
            <w:r w:rsidRPr="00B175D9">
              <w:rPr>
                <w:rFonts w:asciiTheme="minorHAnsi" w:hAnsiTheme="minorHAnsi" w:cstheme="minorHAnsi"/>
              </w:rPr>
              <w:t xml:space="preserve">: </w:t>
            </w:r>
            <w:r w:rsidRPr="0022276E" w:rsidR="00085817">
              <w:rPr>
                <w:rFonts w:asciiTheme="minorHAnsi" w:hAnsiTheme="minorHAnsi" w:cstheme="minorHAnsi"/>
              </w:rPr>
              <w:t xml:space="preserve">Title and function within agency; prior child welfare training/ experience when hired; education, years of experience and other demographics; </w:t>
            </w:r>
            <w:r w:rsidRPr="0022276E" w:rsidR="00B175D9">
              <w:rPr>
                <w:rFonts w:asciiTheme="minorHAnsi" w:hAnsiTheme="minorHAnsi" w:cstheme="minorHAnsi"/>
              </w:rPr>
              <w:t>skills and competencies; number/types of caseworkers supervised;</w:t>
            </w:r>
          </w:p>
          <w:p w:rsidRPr="0022276E" w:rsidR="006A74AF" w:rsidP="00CD3C52" w:rsidRDefault="00085817" w14:paraId="13ECC5F8" w14:textId="03F08E57">
            <w:pPr>
              <w:pStyle w:val="BodyText"/>
              <w:spacing w:after="120" w:line="240" w:lineRule="auto"/>
              <w:rPr>
                <w:rFonts w:asciiTheme="minorHAnsi" w:hAnsiTheme="minorHAnsi" w:cstheme="minorHAnsi"/>
                <w:sz w:val="20"/>
              </w:rPr>
            </w:pPr>
            <w:proofErr w:type="gramStart"/>
            <w:r w:rsidRPr="0022276E">
              <w:rPr>
                <w:rFonts w:asciiTheme="minorHAnsi" w:hAnsiTheme="minorHAnsi" w:cstheme="minorHAnsi"/>
                <w:sz w:val="20"/>
              </w:rPr>
              <w:t>roles</w:t>
            </w:r>
            <w:proofErr w:type="gramEnd"/>
            <w:r w:rsidRPr="0022276E">
              <w:rPr>
                <w:rFonts w:asciiTheme="minorHAnsi" w:hAnsiTheme="minorHAnsi" w:cstheme="minorHAnsi"/>
                <w:sz w:val="20"/>
              </w:rPr>
              <w:t xml:space="preserve"> and responsibilities as a supervisor</w:t>
            </w:r>
            <w:r w:rsidRPr="0022276E" w:rsidR="00B175D9">
              <w:rPr>
                <w:rFonts w:asciiTheme="minorHAnsi" w:hAnsiTheme="minorHAnsi" w:cstheme="minorHAnsi"/>
                <w:sz w:val="20"/>
              </w:rPr>
              <w:t xml:space="preserve">; </w:t>
            </w:r>
            <w:r w:rsidRPr="0022276E">
              <w:rPr>
                <w:rFonts w:asciiTheme="minorHAnsi" w:hAnsiTheme="minorHAnsi" w:cstheme="minorHAnsi"/>
                <w:sz w:val="20"/>
              </w:rPr>
              <w:t>training and professional development</w:t>
            </w:r>
            <w:r w:rsidRPr="0022276E" w:rsidR="00B175D9">
              <w:rPr>
                <w:rFonts w:asciiTheme="minorHAnsi" w:hAnsiTheme="minorHAnsi" w:cstheme="minorHAnsi"/>
                <w:sz w:val="20"/>
              </w:rPr>
              <w:t xml:space="preserve"> opportunities for self and caseworkers; </w:t>
            </w:r>
            <w:r w:rsidRPr="0022276E">
              <w:rPr>
                <w:rFonts w:asciiTheme="minorHAnsi" w:hAnsiTheme="minorHAnsi" w:cstheme="minorHAnsi"/>
                <w:sz w:val="20"/>
              </w:rPr>
              <w:t xml:space="preserve">job </w:t>
            </w:r>
            <w:r w:rsidR="000340F8">
              <w:rPr>
                <w:rFonts w:asciiTheme="minorHAnsi" w:hAnsiTheme="minorHAnsi" w:cstheme="minorHAnsi"/>
                <w:sz w:val="20"/>
              </w:rPr>
              <w:t>stress</w:t>
            </w:r>
            <w:r w:rsidRPr="0022276E" w:rsidR="00B175D9">
              <w:rPr>
                <w:rFonts w:asciiTheme="minorHAnsi" w:hAnsiTheme="minorHAnsi" w:cstheme="minorHAnsi"/>
                <w:sz w:val="20"/>
              </w:rPr>
              <w:t xml:space="preserve">; supervisory </w:t>
            </w:r>
            <w:r w:rsidRPr="0022276E">
              <w:rPr>
                <w:rFonts w:asciiTheme="minorHAnsi" w:hAnsiTheme="minorHAnsi" w:cstheme="minorHAnsi"/>
                <w:sz w:val="20"/>
              </w:rPr>
              <w:t>relationship</w:t>
            </w:r>
            <w:r w:rsidRPr="0022276E" w:rsidR="00B175D9">
              <w:rPr>
                <w:rFonts w:asciiTheme="minorHAnsi" w:hAnsiTheme="minorHAnsi" w:cstheme="minorHAnsi"/>
                <w:sz w:val="20"/>
              </w:rPr>
              <w:t xml:space="preserve"> with </w:t>
            </w:r>
            <w:r w:rsidRPr="0022276E">
              <w:rPr>
                <w:rFonts w:asciiTheme="minorHAnsi" w:hAnsiTheme="minorHAnsi" w:cstheme="minorHAnsi"/>
                <w:sz w:val="20"/>
              </w:rPr>
              <w:t>caseworkers</w:t>
            </w:r>
            <w:r w:rsidRPr="0022276E" w:rsidR="00B175D9">
              <w:rPr>
                <w:rFonts w:asciiTheme="minorHAnsi" w:hAnsiTheme="minorHAnsi" w:cstheme="minorHAnsi"/>
                <w:sz w:val="20"/>
              </w:rPr>
              <w:t>; relationship with own supervisor</w:t>
            </w:r>
            <w:r w:rsidR="002227B3">
              <w:rPr>
                <w:rFonts w:asciiTheme="minorHAnsi" w:hAnsiTheme="minorHAnsi" w:cstheme="minorHAnsi"/>
                <w:sz w:val="20"/>
              </w:rPr>
              <w:t>, stress and burnout</w:t>
            </w:r>
            <w:r w:rsidRPr="0022276E" w:rsidR="00B175D9">
              <w:rPr>
                <w:rFonts w:asciiTheme="minorHAnsi" w:hAnsiTheme="minorHAnsi" w:cstheme="minorHAnsi"/>
                <w:sz w:val="20"/>
              </w:rPr>
              <w:t xml:space="preserve">. </w:t>
            </w:r>
          </w:p>
          <w:p w:rsidRPr="00085817" w:rsidR="006A74AF" w:rsidP="00AC0A1F" w:rsidRDefault="006A74AF" w14:paraId="7D736580" w14:textId="31170CC3">
            <w:pPr>
              <w:rPr>
                <w:rFonts w:asciiTheme="minorHAnsi" w:hAnsiTheme="minorHAnsi" w:cstheme="minorHAnsi"/>
              </w:rPr>
            </w:pPr>
            <w:r w:rsidRPr="00085817">
              <w:rPr>
                <w:rFonts w:asciiTheme="minorHAnsi" w:hAnsiTheme="minorHAnsi" w:cstheme="minorHAnsi"/>
                <w:b/>
              </w:rPr>
              <w:t>Purpose</w:t>
            </w:r>
            <w:r w:rsidRPr="00085817">
              <w:rPr>
                <w:rFonts w:asciiTheme="minorHAnsi" w:hAnsiTheme="minorHAnsi" w:cstheme="minorHAnsi"/>
              </w:rPr>
              <w:t>:</w:t>
            </w:r>
            <w:r w:rsidR="003C10B4">
              <w:rPr>
                <w:rFonts w:asciiTheme="minorHAnsi" w:hAnsiTheme="minorHAnsi" w:cstheme="minorHAnsi"/>
              </w:rPr>
              <w:t xml:space="preserve">  Collect information about supervisor characteristics and responsibilities; obtain supervisor’s perspective on training and development opportunities, caseworker skills and competencies, supervisory support to caseworkers</w:t>
            </w:r>
            <w:r w:rsidR="002227B3">
              <w:rPr>
                <w:rFonts w:asciiTheme="minorHAnsi" w:hAnsiTheme="minorHAnsi" w:cstheme="minorHAnsi"/>
              </w:rPr>
              <w:t xml:space="preserve">, and any work-related stress/burnout. </w:t>
            </w:r>
          </w:p>
        </w:tc>
        <w:tc>
          <w:tcPr>
            <w:tcW w:w="1980" w:type="dxa"/>
            <w:shd w:val="clear" w:color="auto" w:fill="D9D9D9" w:themeFill="background1" w:themeFillShade="D9"/>
          </w:tcPr>
          <w:p w:rsidRPr="00085817" w:rsidR="006A74AF" w:rsidP="00AC0A1F" w:rsidRDefault="006A74AF" w14:paraId="4F09D85C" w14:textId="49FC59E1">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sidR="007F0F85">
              <w:rPr>
                <w:rFonts w:asciiTheme="minorHAnsi" w:hAnsiTheme="minorHAnsi" w:cstheme="minorHAnsi"/>
              </w:rPr>
              <w:t xml:space="preserve">Telephone, web, </w:t>
            </w:r>
            <w:r w:rsidR="008E6DFC">
              <w:rPr>
                <w:rFonts w:asciiTheme="minorHAnsi" w:hAnsiTheme="minorHAnsi" w:cstheme="minorHAnsi"/>
              </w:rPr>
              <w:t>and/</w:t>
            </w:r>
            <w:r w:rsidR="007F0F85">
              <w:rPr>
                <w:rFonts w:asciiTheme="minorHAnsi" w:hAnsiTheme="minorHAnsi" w:cstheme="minorHAnsi"/>
              </w:rPr>
              <w:t>or in-person</w:t>
            </w:r>
            <w:r w:rsidRPr="00085817">
              <w:rPr>
                <w:rFonts w:asciiTheme="minorHAnsi" w:hAnsiTheme="minorHAnsi" w:cstheme="minorHAnsi"/>
              </w:rPr>
              <w:t xml:space="preserve"> </w:t>
            </w:r>
          </w:p>
          <w:p w:rsidRPr="00085817" w:rsidR="006A74AF" w:rsidP="00AC0A1F" w:rsidRDefault="006A74AF" w14:paraId="47BE1AD0" w14:textId="77777777">
            <w:pPr>
              <w:rPr>
                <w:rFonts w:asciiTheme="minorHAnsi" w:hAnsiTheme="minorHAnsi" w:cstheme="minorHAnsi"/>
              </w:rPr>
            </w:pPr>
          </w:p>
          <w:p w:rsidRPr="00085817" w:rsidR="006A74AF" w:rsidP="00AC0A1F" w:rsidRDefault="006A74AF" w14:paraId="63176BC9" w14:textId="475C9707">
            <w:pPr>
              <w:rPr>
                <w:rFonts w:asciiTheme="minorHAnsi" w:hAnsiTheme="minorHAnsi" w:cstheme="minorHAnsi"/>
              </w:rPr>
            </w:pPr>
            <w:r w:rsidRPr="00085817">
              <w:rPr>
                <w:rFonts w:asciiTheme="minorHAnsi" w:hAnsiTheme="minorHAnsi" w:cstheme="minorHAnsi"/>
                <w:b/>
              </w:rPr>
              <w:t>Duration</w:t>
            </w:r>
            <w:r w:rsidRPr="00085817">
              <w:rPr>
                <w:rFonts w:asciiTheme="minorHAnsi" w:hAnsiTheme="minorHAnsi" w:cstheme="minorHAnsi"/>
              </w:rPr>
              <w:t>: 3</w:t>
            </w:r>
            <w:r w:rsidR="008C190A">
              <w:rPr>
                <w:rFonts w:asciiTheme="minorHAnsi" w:hAnsiTheme="minorHAnsi" w:cstheme="minorHAnsi"/>
              </w:rPr>
              <w:t>5</w:t>
            </w:r>
            <w:r w:rsidRPr="00085817">
              <w:rPr>
                <w:rFonts w:asciiTheme="minorHAnsi" w:hAnsiTheme="minorHAnsi" w:cstheme="minorHAnsi"/>
              </w:rPr>
              <w:t xml:space="preserve"> minutes</w:t>
            </w:r>
          </w:p>
        </w:tc>
      </w:tr>
    </w:tbl>
    <w:p w:rsidR="00C713D1" w:rsidRDefault="00C713D1" w14:paraId="5E64C11F" w14:textId="77777777">
      <w:r>
        <w:br w:type="page"/>
      </w:r>
    </w:p>
    <w:tbl>
      <w:tblPr>
        <w:tblStyle w:val="TableGrid"/>
        <w:tblW w:w="9265" w:type="dxa"/>
        <w:tblInd w:w="0" w:type="dxa"/>
        <w:tblLook w:val="04A0" w:firstRow="1" w:lastRow="0" w:firstColumn="1" w:lastColumn="0" w:noHBand="0" w:noVBand="1"/>
      </w:tblPr>
      <w:tblGrid>
        <w:gridCol w:w="1615"/>
        <w:gridCol w:w="1710"/>
        <w:gridCol w:w="3960"/>
        <w:gridCol w:w="1980"/>
      </w:tblGrid>
      <w:tr w:rsidRPr="00085817" w:rsidR="00B36DAE" w:rsidTr="002F2A2F" w14:paraId="67F3C42B" w14:textId="77777777">
        <w:tc>
          <w:tcPr>
            <w:tcW w:w="1615" w:type="dxa"/>
            <w:shd w:val="clear" w:color="auto" w:fill="D9D9D9" w:themeFill="background1" w:themeFillShade="D9"/>
          </w:tcPr>
          <w:p w:rsidRPr="00085817" w:rsidR="00B36DAE" w:rsidP="00B36DAE" w:rsidRDefault="00B36DAE" w14:paraId="4A9F3AB1" w14:textId="687EAAA1">
            <w:pPr>
              <w:rPr>
                <w:rFonts w:asciiTheme="minorHAnsi" w:hAnsiTheme="minorHAnsi" w:cstheme="minorHAnsi"/>
              </w:rPr>
            </w:pPr>
          </w:p>
        </w:tc>
        <w:tc>
          <w:tcPr>
            <w:tcW w:w="1710" w:type="dxa"/>
            <w:shd w:val="clear" w:color="auto" w:fill="D9D9D9" w:themeFill="background1" w:themeFillShade="D9"/>
          </w:tcPr>
          <w:p w:rsidRPr="00085817" w:rsidR="00B36DAE" w:rsidP="00B36DAE" w:rsidRDefault="00B36DAE" w14:paraId="599B792F" w14:textId="6E0010F8">
            <w:pPr>
              <w:rPr>
                <w:rFonts w:asciiTheme="minorHAnsi" w:hAnsiTheme="minorHAnsi" w:cstheme="minorHAnsi"/>
              </w:rPr>
            </w:pPr>
            <w:r w:rsidRPr="00085817">
              <w:rPr>
                <w:rFonts w:asciiTheme="minorHAnsi" w:hAnsiTheme="minorHAnsi" w:cstheme="minorHAnsi"/>
              </w:rPr>
              <w:t xml:space="preserve">Caseworker Survey </w:t>
            </w:r>
          </w:p>
        </w:tc>
        <w:tc>
          <w:tcPr>
            <w:tcW w:w="3960" w:type="dxa"/>
            <w:shd w:val="clear" w:color="auto" w:fill="D9D9D9" w:themeFill="background1" w:themeFillShade="D9"/>
          </w:tcPr>
          <w:p w:rsidRPr="00B175D9" w:rsidR="00B36DAE" w:rsidP="00CD3C52" w:rsidRDefault="00B36DAE" w14:paraId="1F052C79" w14:textId="1D6C311D">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Pr>
                <w:rFonts w:asciiTheme="minorHAnsi" w:hAnsiTheme="minorHAnsi" w:cstheme="minorHAnsi"/>
              </w:rPr>
              <w:t xml:space="preserve">390 child welfare caseworkers </w:t>
            </w:r>
          </w:p>
          <w:p w:rsidRPr="0022276E" w:rsidR="00B36DAE" w:rsidP="00CD3C52" w:rsidRDefault="00B36DAE" w14:paraId="0A99D411" w14:textId="5BFC1CDF">
            <w:pPr>
              <w:spacing w:after="120"/>
              <w:rPr>
                <w:rFonts w:asciiTheme="minorHAnsi" w:hAnsiTheme="minorHAnsi" w:cstheme="minorHAnsi"/>
              </w:rPr>
            </w:pPr>
            <w:r w:rsidRPr="00B175D9">
              <w:rPr>
                <w:rFonts w:asciiTheme="minorHAnsi" w:hAnsiTheme="minorHAnsi" w:cstheme="minorHAnsi"/>
                <w:b/>
              </w:rPr>
              <w:t>Content</w:t>
            </w:r>
            <w:r w:rsidRPr="0022276E">
              <w:rPr>
                <w:rFonts w:asciiTheme="minorHAnsi" w:hAnsiTheme="minorHAnsi" w:cstheme="minorHAnsi"/>
              </w:rPr>
              <w:t xml:space="preserve">: Title and function within agency; prior child welfare training/ experience when hired; education, years of experience and other demographics; skills and competencies; </w:t>
            </w:r>
            <w:r w:rsidRPr="0022276E" w:rsidR="00CC56C0">
              <w:rPr>
                <w:rFonts w:asciiTheme="minorHAnsi" w:hAnsiTheme="minorHAnsi" w:cstheme="minorHAnsi"/>
              </w:rPr>
              <w:t xml:space="preserve">caseload; </w:t>
            </w:r>
            <w:r w:rsidRPr="0022276E">
              <w:rPr>
                <w:rFonts w:asciiTheme="minorHAnsi" w:hAnsiTheme="minorHAnsi" w:cstheme="minorHAnsi"/>
              </w:rPr>
              <w:t>training and professional development opportunitie</w:t>
            </w:r>
            <w:r w:rsidRPr="0022276E" w:rsidR="00CC56C0">
              <w:rPr>
                <w:rFonts w:asciiTheme="minorHAnsi" w:hAnsiTheme="minorHAnsi" w:cstheme="minorHAnsi"/>
              </w:rPr>
              <w:t>s</w:t>
            </w:r>
            <w:r w:rsidRPr="0022276E">
              <w:rPr>
                <w:rFonts w:asciiTheme="minorHAnsi" w:hAnsiTheme="minorHAnsi" w:cstheme="minorHAnsi"/>
              </w:rPr>
              <w:t xml:space="preserve">; supervisory </w:t>
            </w:r>
            <w:r w:rsidRPr="0022276E" w:rsidR="00CC56C0">
              <w:rPr>
                <w:rFonts w:asciiTheme="minorHAnsi" w:hAnsiTheme="minorHAnsi" w:cstheme="minorHAnsi"/>
              </w:rPr>
              <w:t xml:space="preserve">support and </w:t>
            </w:r>
            <w:r w:rsidRPr="0022276E">
              <w:rPr>
                <w:rFonts w:asciiTheme="minorHAnsi" w:hAnsiTheme="minorHAnsi" w:cstheme="minorHAnsi"/>
              </w:rPr>
              <w:t xml:space="preserve">relationship </w:t>
            </w:r>
            <w:r w:rsidRPr="0022276E" w:rsidR="00CC56C0">
              <w:rPr>
                <w:rFonts w:asciiTheme="minorHAnsi" w:hAnsiTheme="minorHAnsi" w:cstheme="minorHAnsi"/>
              </w:rPr>
              <w:t>to supervisor;</w:t>
            </w:r>
            <w:r w:rsidR="0022276E">
              <w:rPr>
                <w:rFonts w:asciiTheme="minorHAnsi" w:hAnsiTheme="minorHAnsi" w:cstheme="minorHAnsi"/>
              </w:rPr>
              <w:t xml:space="preserve"> salary and benefits;</w:t>
            </w:r>
            <w:r w:rsidRPr="0022276E" w:rsidR="00CC56C0">
              <w:rPr>
                <w:rFonts w:asciiTheme="minorHAnsi" w:hAnsiTheme="minorHAnsi" w:cstheme="minorHAnsi"/>
              </w:rPr>
              <w:t xml:space="preserve"> secondary traumatic stress; organizational climate.</w:t>
            </w:r>
          </w:p>
          <w:p w:rsidRPr="00085817" w:rsidR="003C10B4" w:rsidP="00CB7A7C" w:rsidRDefault="00B36DAE" w14:paraId="481BA18A" w14:textId="2C5BC117">
            <w:pPr>
              <w:rPr>
                <w:rFonts w:asciiTheme="minorHAnsi" w:hAnsiTheme="minorHAnsi" w:cstheme="minorHAnsi"/>
                <w:b/>
              </w:rPr>
            </w:pPr>
            <w:r w:rsidRPr="00085817">
              <w:rPr>
                <w:rFonts w:asciiTheme="minorHAnsi" w:hAnsiTheme="minorHAnsi" w:cstheme="minorHAnsi"/>
                <w:b/>
              </w:rPr>
              <w:t>Purpose</w:t>
            </w:r>
            <w:r w:rsidRPr="00085817">
              <w:rPr>
                <w:rFonts w:asciiTheme="minorHAnsi" w:hAnsiTheme="minorHAnsi" w:cstheme="minorHAnsi"/>
              </w:rPr>
              <w:t>:</w:t>
            </w:r>
            <w:r w:rsidR="00730783">
              <w:rPr>
                <w:rFonts w:asciiTheme="minorHAnsi" w:hAnsiTheme="minorHAnsi" w:cstheme="minorHAnsi"/>
              </w:rPr>
              <w:t xml:space="preserve"> </w:t>
            </w:r>
            <w:r w:rsidR="003C10B4">
              <w:rPr>
                <w:rFonts w:asciiTheme="minorHAnsi" w:hAnsiTheme="minorHAnsi" w:cstheme="minorHAnsi"/>
              </w:rPr>
              <w:t xml:space="preserve">Collect information about caseworker characteristics, responsibilities, and competencies; obtain caseworker’s perspective on training and development opportunities, </w:t>
            </w:r>
            <w:r w:rsidR="002227B3">
              <w:rPr>
                <w:rFonts w:asciiTheme="minorHAnsi" w:hAnsiTheme="minorHAnsi" w:cstheme="minorHAnsi"/>
              </w:rPr>
              <w:t xml:space="preserve">preparedness, job benefits and supports, </w:t>
            </w:r>
            <w:r w:rsidR="003C10B4">
              <w:rPr>
                <w:rFonts w:asciiTheme="minorHAnsi" w:hAnsiTheme="minorHAnsi" w:cstheme="minorHAnsi"/>
              </w:rPr>
              <w:t xml:space="preserve">supervisory support, stress, and </w:t>
            </w:r>
            <w:r w:rsidR="002227B3">
              <w:rPr>
                <w:rFonts w:asciiTheme="minorHAnsi" w:hAnsiTheme="minorHAnsi" w:cstheme="minorHAnsi"/>
              </w:rPr>
              <w:t xml:space="preserve">the climate/culture of the agency. </w:t>
            </w:r>
          </w:p>
        </w:tc>
        <w:tc>
          <w:tcPr>
            <w:tcW w:w="1980" w:type="dxa"/>
            <w:shd w:val="clear" w:color="auto" w:fill="D9D9D9" w:themeFill="background1" w:themeFillShade="D9"/>
          </w:tcPr>
          <w:p w:rsidRPr="00085817" w:rsidR="00B36DAE" w:rsidP="00B36DAE" w:rsidRDefault="00B36DAE" w14:paraId="671107D1" w14:textId="20603E13">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sidR="007F0F85">
              <w:rPr>
                <w:rFonts w:asciiTheme="minorHAnsi" w:hAnsiTheme="minorHAnsi" w:cstheme="minorHAnsi"/>
              </w:rPr>
              <w:t xml:space="preserve">Telephone, web, </w:t>
            </w:r>
            <w:r w:rsidR="008E6DFC">
              <w:rPr>
                <w:rFonts w:asciiTheme="minorHAnsi" w:hAnsiTheme="minorHAnsi" w:cstheme="minorHAnsi"/>
              </w:rPr>
              <w:t>and/</w:t>
            </w:r>
            <w:r w:rsidR="007F0F85">
              <w:rPr>
                <w:rFonts w:asciiTheme="minorHAnsi" w:hAnsiTheme="minorHAnsi" w:cstheme="minorHAnsi"/>
              </w:rPr>
              <w:t>or in-person</w:t>
            </w:r>
          </w:p>
          <w:p w:rsidRPr="00085817" w:rsidR="00B36DAE" w:rsidP="00B36DAE" w:rsidRDefault="00B36DAE" w14:paraId="1365D138" w14:textId="77777777">
            <w:pPr>
              <w:rPr>
                <w:rFonts w:asciiTheme="minorHAnsi" w:hAnsiTheme="minorHAnsi" w:cstheme="minorHAnsi"/>
              </w:rPr>
            </w:pPr>
          </w:p>
          <w:p w:rsidRPr="00085817" w:rsidR="00B36DAE" w:rsidP="00B36DAE" w:rsidRDefault="00B36DAE" w14:paraId="44180139" w14:textId="461AB672">
            <w:pPr>
              <w:rPr>
                <w:rFonts w:asciiTheme="minorHAnsi" w:hAnsiTheme="minorHAnsi" w:cstheme="minorHAnsi"/>
                <w:b/>
              </w:rPr>
            </w:pPr>
            <w:r w:rsidRPr="00085817">
              <w:rPr>
                <w:rFonts w:asciiTheme="minorHAnsi" w:hAnsiTheme="minorHAnsi" w:cstheme="minorHAnsi"/>
                <w:b/>
              </w:rPr>
              <w:t>Duration</w:t>
            </w:r>
            <w:r w:rsidRPr="00085817">
              <w:rPr>
                <w:rFonts w:asciiTheme="minorHAnsi" w:hAnsiTheme="minorHAnsi" w:cstheme="minorHAnsi"/>
              </w:rPr>
              <w:t xml:space="preserve">: </w:t>
            </w:r>
            <w:r w:rsidR="008C190A">
              <w:rPr>
                <w:rFonts w:asciiTheme="minorHAnsi" w:hAnsiTheme="minorHAnsi" w:cstheme="minorHAnsi"/>
              </w:rPr>
              <w:t>50</w:t>
            </w:r>
            <w:r w:rsidRPr="00085817">
              <w:rPr>
                <w:rFonts w:asciiTheme="minorHAnsi" w:hAnsiTheme="minorHAnsi" w:cstheme="minorHAnsi"/>
              </w:rPr>
              <w:t xml:space="preserve"> minutes </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Pr="009139B3" w:rsidR="002B13AF" w:rsidP="008D273E" w:rsidRDefault="002B13AF" w14:paraId="02AE3523" w14:textId="389170F3">
      <w:pPr>
        <w:spacing w:after="0"/>
      </w:pPr>
      <w:r>
        <w:t xml:space="preserve">NSCAW III (#0970-0202) provides the foundation for this information collection.  Data collected from agency directors will be supplemented with agency administrative data publicly available to researchers via NCANDS and the Adoption and Foster Care Reporting System (AFCARS). </w:t>
      </w:r>
      <w:r w:rsidR="007A5AA5">
        <w:t xml:space="preserve"> These data provide further information on the context of agencies, such as the annual number of maltreatment reports and investigations and the number of children in foster care. </w:t>
      </w:r>
      <w:r w:rsidR="00A411C5">
        <w:rPr>
          <w:rFonts w:cstheme="minorHAnsi"/>
        </w:rPr>
        <w:t>There is no burden to study participants associated with using NCANDS and AFCARS data for NSCAW III.</w:t>
      </w: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540E87" w:rsidP="008D273E" w:rsidRDefault="00540E87" w14:paraId="05E51D73" w14:textId="281B54EA">
      <w:pPr>
        <w:pStyle w:val="BodyText"/>
        <w:spacing w:after="0" w:line="276" w:lineRule="auto"/>
        <w:rPr>
          <w:rFonts w:ascii="Calibri" w:hAnsi="Calibri" w:cs="Calibri"/>
          <w:sz w:val="22"/>
          <w:szCs w:val="22"/>
        </w:rPr>
      </w:pPr>
      <w:r w:rsidRPr="00957B7E">
        <w:rPr>
          <w:rFonts w:ascii="Calibri" w:hAnsi="Calibri" w:cs="Calibri"/>
          <w:sz w:val="22"/>
          <w:szCs w:val="22"/>
        </w:rPr>
        <w:t xml:space="preserve">The </w:t>
      </w:r>
      <w:r>
        <w:rPr>
          <w:rFonts w:ascii="Calibri" w:hAnsi="Calibri" w:cs="Calibri"/>
          <w:sz w:val="22"/>
          <w:szCs w:val="22"/>
        </w:rPr>
        <w:t>supervisor</w:t>
      </w:r>
      <w:r w:rsidR="00763D20">
        <w:rPr>
          <w:rFonts w:ascii="Calibri" w:hAnsi="Calibri" w:cs="Calibri"/>
          <w:sz w:val="22"/>
          <w:szCs w:val="22"/>
        </w:rPr>
        <w:t xml:space="preserve"> and </w:t>
      </w:r>
      <w:r>
        <w:rPr>
          <w:rFonts w:ascii="Calibri" w:hAnsi="Calibri" w:cs="Calibri"/>
          <w:sz w:val="22"/>
          <w:szCs w:val="22"/>
        </w:rPr>
        <w:t>caseworker</w:t>
      </w:r>
      <w:r w:rsidR="00763D20">
        <w:rPr>
          <w:rFonts w:ascii="Calibri" w:hAnsi="Calibri" w:cs="Calibri"/>
          <w:sz w:val="22"/>
          <w:szCs w:val="22"/>
        </w:rPr>
        <w:t xml:space="preserve"> surveys</w:t>
      </w:r>
      <w:r>
        <w:rPr>
          <w:rFonts w:ascii="Calibri" w:hAnsi="Calibri" w:cs="Calibri"/>
          <w:sz w:val="22"/>
          <w:szCs w:val="22"/>
        </w:rPr>
        <w:t xml:space="preserve"> </w:t>
      </w:r>
      <w:r w:rsidR="00197126">
        <w:rPr>
          <w:rFonts w:ascii="Calibri" w:hAnsi="Calibri" w:cs="Calibri"/>
          <w:sz w:val="22"/>
          <w:szCs w:val="22"/>
        </w:rPr>
        <w:t xml:space="preserve">and the web survey option for agency directors </w:t>
      </w:r>
      <w:r w:rsidRPr="00957B7E">
        <w:rPr>
          <w:rFonts w:ascii="Calibri" w:hAnsi="Calibri" w:cs="Calibri"/>
          <w:sz w:val="22"/>
          <w:szCs w:val="22"/>
        </w:rPr>
        <w:t xml:space="preserve">will be programmed for computer-assisted </w:t>
      </w:r>
      <w:r>
        <w:rPr>
          <w:rFonts w:ascii="Calibri" w:hAnsi="Calibri" w:cs="Calibri"/>
          <w:sz w:val="22"/>
          <w:szCs w:val="22"/>
        </w:rPr>
        <w:t>interviewing (CAI)</w:t>
      </w:r>
      <w:r w:rsidRPr="00957B7E">
        <w:rPr>
          <w:rFonts w:ascii="Calibri" w:hAnsi="Calibri" w:cs="Calibri"/>
          <w:sz w:val="22"/>
          <w:szCs w:val="22"/>
        </w:rPr>
        <w:t xml:space="preserve">. </w:t>
      </w:r>
      <w:r>
        <w:rPr>
          <w:rFonts w:ascii="Calibri" w:hAnsi="Calibri" w:cs="Calibri"/>
          <w:sz w:val="22"/>
          <w:szCs w:val="22"/>
        </w:rPr>
        <w:t>CAI offers several features that make the survey more efficient, and thus less burdensome for the respondent, while also supporting data quality</w:t>
      </w:r>
      <w:r w:rsidRPr="00957B7E">
        <w:rPr>
          <w:rFonts w:ascii="Calibri" w:hAnsi="Calibri" w:cs="Calibri"/>
          <w:sz w:val="22"/>
          <w:szCs w:val="22"/>
        </w:rPr>
        <w:t xml:space="preserve">. First, </w:t>
      </w:r>
      <w:r>
        <w:rPr>
          <w:rFonts w:ascii="Calibri" w:hAnsi="Calibri" w:cs="Calibri"/>
          <w:sz w:val="22"/>
          <w:szCs w:val="22"/>
        </w:rPr>
        <w:t>CAI</w:t>
      </w:r>
      <w:r w:rsidRPr="00957B7E">
        <w:rPr>
          <w:rFonts w:ascii="Calibri" w:hAnsi="Calibri" w:cs="Calibri"/>
          <w:sz w:val="22"/>
          <w:szCs w:val="22"/>
        </w:rPr>
        <w:t xml:space="preserve"> technology makes possible the administration of complex questionnaires by interviewers with a level of accuracy that would otherwise not be </w:t>
      </w:r>
      <w:r>
        <w:rPr>
          <w:rFonts w:ascii="Calibri" w:hAnsi="Calibri" w:cs="Calibri"/>
          <w:sz w:val="22"/>
          <w:szCs w:val="22"/>
        </w:rPr>
        <w:t>feasible</w:t>
      </w:r>
      <w:r w:rsidRPr="00957B7E">
        <w:rPr>
          <w:rFonts w:ascii="Calibri" w:hAnsi="Calibri" w:cs="Calibri"/>
          <w:sz w:val="22"/>
          <w:szCs w:val="22"/>
        </w:rPr>
        <w:t xml:space="preserve">. </w:t>
      </w:r>
      <w:r>
        <w:rPr>
          <w:rFonts w:ascii="Calibri" w:hAnsi="Calibri" w:cs="Calibri"/>
          <w:sz w:val="22"/>
          <w:szCs w:val="22"/>
        </w:rPr>
        <w:t xml:space="preserve">CAI-programmed surveys </w:t>
      </w:r>
      <w:r w:rsidRPr="00957B7E">
        <w:rPr>
          <w:rFonts w:ascii="Calibri" w:hAnsi="Calibri" w:cs="Calibri"/>
          <w:sz w:val="22"/>
          <w:szCs w:val="22"/>
        </w:rPr>
        <w:t xml:space="preserve">implement complex skip patterns based on </w:t>
      </w:r>
      <w:r>
        <w:rPr>
          <w:rFonts w:ascii="Calibri" w:hAnsi="Calibri" w:cs="Calibri"/>
          <w:sz w:val="22"/>
          <w:szCs w:val="22"/>
        </w:rPr>
        <w:t>youth responses to gateway questions</w:t>
      </w:r>
      <w:r w:rsidRPr="00957B7E">
        <w:rPr>
          <w:rFonts w:ascii="Calibri" w:hAnsi="Calibri" w:cs="Calibri"/>
          <w:sz w:val="22"/>
          <w:szCs w:val="22"/>
        </w:rPr>
        <w:t xml:space="preserve"> and to fill specific wordings based on answers previously provided by the respondent. Second, CAI technology improves the consistency of data provided by a respondent. If a respondent</w:t>
      </w:r>
      <w:r>
        <w:rPr>
          <w:rFonts w:ascii="Calibri" w:hAnsi="Calibri" w:cs="Calibri"/>
          <w:sz w:val="22"/>
          <w:szCs w:val="22"/>
        </w:rPr>
        <w:t>’s</w:t>
      </w:r>
      <w:r w:rsidRPr="00957B7E">
        <w:rPr>
          <w:rFonts w:ascii="Calibri" w:hAnsi="Calibri" w:cs="Calibri"/>
          <w:sz w:val="22"/>
          <w:szCs w:val="22"/>
        </w:rPr>
        <w:t xml:space="preserve"> answers </w:t>
      </w:r>
      <w:r>
        <w:rPr>
          <w:rFonts w:ascii="Calibri" w:hAnsi="Calibri" w:cs="Calibri"/>
          <w:sz w:val="22"/>
          <w:szCs w:val="22"/>
        </w:rPr>
        <w:t>fall</w:t>
      </w:r>
      <w:r w:rsidRPr="00957B7E">
        <w:rPr>
          <w:rFonts w:ascii="Calibri" w:hAnsi="Calibri" w:cs="Calibri"/>
          <w:sz w:val="22"/>
          <w:szCs w:val="22"/>
        </w:rPr>
        <w:t xml:space="preserve"> outside the logical range, the interviewer is </w:t>
      </w:r>
      <w:r w:rsidRPr="00077243">
        <w:rPr>
          <w:rFonts w:ascii="Calibri" w:hAnsi="Calibri" w:cs="Calibri"/>
          <w:sz w:val="22"/>
          <w:szCs w:val="22"/>
        </w:rPr>
        <w:t xml:space="preserve">prompted to verify the two seemingly inconsistent pieces of data with the respondent while their thinking on how the answer was formulated is still fresh. This reduces the need for subsequent data editing. Third, CAI technology provides greater expediency with respect to data processing and analysis. </w:t>
      </w:r>
      <w:r w:rsidRPr="00077243" w:rsidR="00D80946">
        <w:rPr>
          <w:rFonts w:ascii="Calibri" w:hAnsi="Calibri" w:cs="Calibri"/>
          <w:sz w:val="22"/>
          <w:szCs w:val="22"/>
        </w:rPr>
        <w:t>Several</w:t>
      </w:r>
      <w:r w:rsidRPr="00077243">
        <w:rPr>
          <w:rFonts w:ascii="Calibri" w:hAnsi="Calibri" w:cs="Calibri"/>
          <w:sz w:val="22"/>
          <w:szCs w:val="22"/>
        </w:rPr>
        <w:t xml:space="preserve"> backend processing steps, including editing, coding, and data entry</w:t>
      </w:r>
      <w:r>
        <w:rPr>
          <w:rFonts w:ascii="Calibri" w:hAnsi="Calibri" w:cs="Calibri"/>
          <w:sz w:val="22"/>
          <w:szCs w:val="22"/>
        </w:rPr>
        <w:t xml:space="preserve"> </w:t>
      </w:r>
      <w:r w:rsidRPr="00077243">
        <w:rPr>
          <w:rFonts w:ascii="Calibri" w:hAnsi="Calibri" w:cs="Calibri"/>
          <w:sz w:val="22"/>
          <w:szCs w:val="22"/>
        </w:rPr>
        <w:t xml:space="preserve">become part of the data collection process. </w:t>
      </w:r>
    </w:p>
    <w:p w:rsidRPr="00077243" w:rsidR="00D80946" w:rsidP="008D273E" w:rsidRDefault="00D80946" w14:paraId="138F8D9B" w14:textId="77777777">
      <w:pPr>
        <w:pStyle w:val="BodyText"/>
        <w:spacing w:after="0" w:line="276" w:lineRule="auto"/>
        <w:rPr>
          <w:rFonts w:ascii="Calibri" w:hAnsi="Calibri" w:cs="Calibri"/>
          <w:sz w:val="22"/>
          <w:szCs w:val="22"/>
        </w:rPr>
      </w:pPr>
    </w:p>
    <w:p w:rsidRPr="00077243" w:rsidR="00540E87" w:rsidP="008D273E" w:rsidRDefault="00540E87" w14:paraId="41A7875A" w14:textId="7701374C">
      <w:pPr>
        <w:pStyle w:val="BodyText"/>
        <w:spacing w:after="0" w:line="276" w:lineRule="auto"/>
        <w:rPr>
          <w:rFonts w:ascii="Calibri" w:hAnsi="Calibri" w:cs="Calibri"/>
          <w:sz w:val="22"/>
          <w:szCs w:val="22"/>
        </w:rPr>
      </w:pPr>
      <w:r w:rsidRPr="00077243">
        <w:rPr>
          <w:rFonts w:ascii="Calibri" w:hAnsi="Calibri" w:cs="Calibri"/>
          <w:sz w:val="22"/>
          <w:szCs w:val="22"/>
        </w:rPr>
        <w:t xml:space="preserve">This study will </w:t>
      </w:r>
      <w:r>
        <w:rPr>
          <w:rFonts w:ascii="Calibri" w:hAnsi="Calibri" w:cs="Calibri"/>
          <w:sz w:val="22"/>
          <w:szCs w:val="22"/>
        </w:rPr>
        <w:t>use</w:t>
      </w:r>
      <w:r w:rsidRPr="00077243">
        <w:rPr>
          <w:rFonts w:ascii="Calibri" w:hAnsi="Calibri" w:cs="Calibri"/>
          <w:sz w:val="22"/>
          <w:szCs w:val="22"/>
        </w:rPr>
        <w:t xml:space="preserve"> </w:t>
      </w:r>
      <w:r w:rsidRPr="00077243">
        <w:rPr>
          <w:rFonts w:ascii="Calibri" w:hAnsi="Calibri" w:cs="Calibri"/>
          <w:spacing w:val="-3"/>
          <w:sz w:val="22"/>
          <w:szCs w:val="22"/>
        </w:rPr>
        <w:t xml:space="preserve">a </w:t>
      </w:r>
      <w:r w:rsidRPr="00077243">
        <w:rPr>
          <w:rFonts w:ascii="Calibri" w:hAnsi="Calibri" w:cs="Calibri"/>
          <w:sz w:val="22"/>
          <w:szCs w:val="22"/>
        </w:rPr>
        <w:t>computerized</w:t>
      </w:r>
      <w:r w:rsidRPr="00077243">
        <w:rPr>
          <w:rFonts w:ascii="Calibri" w:hAnsi="Calibri" w:cs="Calibri"/>
          <w:spacing w:val="-5"/>
          <w:sz w:val="22"/>
          <w:szCs w:val="22"/>
        </w:rPr>
        <w:t xml:space="preserve"> </w:t>
      </w:r>
      <w:r w:rsidRPr="00077243">
        <w:rPr>
          <w:rFonts w:ascii="Calibri" w:hAnsi="Calibri" w:cs="Calibri"/>
          <w:spacing w:val="-1"/>
          <w:sz w:val="22"/>
          <w:szCs w:val="22"/>
        </w:rPr>
        <w:t>document</w:t>
      </w:r>
      <w:r w:rsidRPr="00077243">
        <w:rPr>
          <w:rFonts w:ascii="Calibri" w:hAnsi="Calibri" w:cs="Calibri"/>
          <w:spacing w:val="-5"/>
          <w:sz w:val="22"/>
          <w:szCs w:val="22"/>
        </w:rPr>
        <w:t xml:space="preserve"> </w:t>
      </w:r>
      <w:r w:rsidRPr="00077243">
        <w:rPr>
          <w:rFonts w:ascii="Calibri" w:hAnsi="Calibri" w:cs="Calibri"/>
          <w:sz w:val="22"/>
          <w:szCs w:val="22"/>
        </w:rPr>
        <w:t>management</w:t>
      </w:r>
      <w:r w:rsidRPr="00077243">
        <w:rPr>
          <w:rFonts w:ascii="Calibri" w:hAnsi="Calibri" w:cs="Calibri"/>
          <w:spacing w:val="-6"/>
          <w:sz w:val="22"/>
          <w:szCs w:val="22"/>
        </w:rPr>
        <w:t xml:space="preserve"> </w:t>
      </w:r>
      <w:r w:rsidRPr="00077243">
        <w:rPr>
          <w:rFonts w:ascii="Calibri" w:hAnsi="Calibri" w:cs="Calibri"/>
          <w:sz w:val="22"/>
          <w:szCs w:val="22"/>
        </w:rPr>
        <w:t>system</w:t>
      </w:r>
      <w:r w:rsidRPr="00077243">
        <w:rPr>
          <w:rFonts w:ascii="Calibri" w:hAnsi="Calibri" w:cs="Calibri"/>
          <w:spacing w:val="-6"/>
          <w:sz w:val="22"/>
          <w:szCs w:val="22"/>
        </w:rPr>
        <w:t xml:space="preserve"> </w:t>
      </w:r>
      <w:r w:rsidRPr="00077243">
        <w:rPr>
          <w:rFonts w:ascii="Calibri" w:hAnsi="Calibri" w:cs="Calibri"/>
          <w:spacing w:val="-1"/>
          <w:sz w:val="22"/>
          <w:szCs w:val="22"/>
        </w:rPr>
        <w:t>(</w:t>
      </w:r>
      <w:proofErr w:type="spellStart"/>
      <w:r w:rsidRPr="00077243">
        <w:rPr>
          <w:rFonts w:ascii="Calibri" w:hAnsi="Calibri" w:cs="Calibri"/>
          <w:spacing w:val="-1"/>
          <w:sz w:val="22"/>
          <w:szCs w:val="22"/>
        </w:rPr>
        <w:t>DocMan</w:t>
      </w:r>
      <w:proofErr w:type="spellEnd"/>
      <w:r w:rsidRPr="00077243">
        <w:rPr>
          <w:rFonts w:ascii="Calibri" w:hAnsi="Calibri" w:cs="Calibri"/>
          <w:spacing w:val="-1"/>
          <w:sz w:val="22"/>
          <w:szCs w:val="22"/>
        </w:rPr>
        <w:t xml:space="preserve">) </w:t>
      </w:r>
      <w:r>
        <w:rPr>
          <w:rFonts w:ascii="Calibri" w:hAnsi="Calibri" w:cs="Calibri"/>
          <w:spacing w:val="-1"/>
          <w:sz w:val="22"/>
          <w:szCs w:val="22"/>
        </w:rPr>
        <w:t xml:space="preserve">developed by RTI International </w:t>
      </w:r>
      <w:r>
        <w:rPr>
          <w:rFonts w:ascii="Calibri" w:hAnsi="Calibri" w:cs="Calibri"/>
          <w:sz w:val="22"/>
          <w:szCs w:val="22"/>
        </w:rPr>
        <w:t>with</w:t>
      </w:r>
      <w:r w:rsidRPr="00077243">
        <w:rPr>
          <w:rFonts w:ascii="Calibri" w:hAnsi="Calibri" w:cs="Calibri"/>
          <w:spacing w:val="-5"/>
          <w:sz w:val="22"/>
          <w:szCs w:val="22"/>
        </w:rPr>
        <w:t xml:space="preserve"> </w:t>
      </w:r>
      <w:r w:rsidRPr="00077243">
        <w:rPr>
          <w:rFonts w:ascii="Calibri" w:hAnsi="Calibri" w:cs="Calibri"/>
          <w:sz w:val="22"/>
          <w:szCs w:val="22"/>
        </w:rPr>
        <w:t>which</w:t>
      </w:r>
      <w:r w:rsidRPr="00077243">
        <w:rPr>
          <w:rFonts w:ascii="Calibri" w:hAnsi="Calibri" w:cs="Calibri"/>
          <w:spacing w:val="-6"/>
          <w:sz w:val="22"/>
          <w:szCs w:val="22"/>
        </w:rPr>
        <w:t xml:space="preserve"> </w:t>
      </w:r>
      <w:r w:rsidRPr="00077243">
        <w:rPr>
          <w:rFonts w:ascii="Calibri" w:hAnsi="Calibri" w:cs="Calibri"/>
          <w:spacing w:val="-1"/>
          <w:sz w:val="22"/>
          <w:szCs w:val="22"/>
        </w:rPr>
        <w:t>interviewers</w:t>
      </w:r>
      <w:r w:rsidRPr="00077243">
        <w:rPr>
          <w:rFonts w:ascii="Calibri" w:hAnsi="Calibri" w:cs="Calibri"/>
          <w:spacing w:val="-5"/>
          <w:sz w:val="22"/>
          <w:szCs w:val="22"/>
        </w:rPr>
        <w:t xml:space="preserve"> </w:t>
      </w:r>
      <w:r w:rsidRPr="00077243">
        <w:rPr>
          <w:rFonts w:ascii="Calibri" w:hAnsi="Calibri" w:cs="Calibri"/>
          <w:spacing w:val="-1"/>
          <w:sz w:val="22"/>
          <w:szCs w:val="22"/>
        </w:rPr>
        <w:t>secure</w:t>
      </w:r>
      <w:r>
        <w:rPr>
          <w:rFonts w:ascii="Calibri" w:hAnsi="Calibri" w:cs="Calibri"/>
          <w:spacing w:val="38"/>
          <w:w w:val="99"/>
          <w:sz w:val="22"/>
          <w:szCs w:val="22"/>
        </w:rPr>
        <w:t xml:space="preserve"> </w:t>
      </w:r>
      <w:r w:rsidRPr="00077243">
        <w:rPr>
          <w:rFonts w:ascii="Calibri" w:hAnsi="Calibri" w:cs="Calibri"/>
          <w:sz w:val="22"/>
          <w:szCs w:val="22"/>
        </w:rPr>
        <w:t>respondents’</w:t>
      </w:r>
      <w:r w:rsidRPr="00077243">
        <w:rPr>
          <w:rFonts w:ascii="Calibri" w:hAnsi="Calibri" w:cs="Calibri"/>
          <w:spacing w:val="-2"/>
          <w:sz w:val="22"/>
          <w:szCs w:val="22"/>
        </w:rPr>
        <w:t xml:space="preserve"> signatures on all documents (e.g., </w:t>
      </w:r>
      <w:r w:rsidRPr="00077243">
        <w:rPr>
          <w:rFonts w:ascii="Calibri" w:hAnsi="Calibri" w:cs="Calibri"/>
          <w:sz w:val="22"/>
          <w:szCs w:val="22"/>
        </w:rPr>
        <w:t>informed</w:t>
      </w:r>
      <w:r w:rsidRPr="00077243">
        <w:rPr>
          <w:rFonts w:ascii="Calibri" w:hAnsi="Calibri" w:cs="Calibri"/>
          <w:spacing w:val="-1"/>
          <w:sz w:val="22"/>
          <w:szCs w:val="22"/>
        </w:rPr>
        <w:t xml:space="preserve"> consent</w:t>
      </w:r>
      <w:r w:rsidRPr="00077243">
        <w:rPr>
          <w:rFonts w:ascii="Calibri" w:hAnsi="Calibri" w:cs="Calibri"/>
          <w:spacing w:val="-2"/>
          <w:sz w:val="22"/>
          <w:szCs w:val="22"/>
        </w:rPr>
        <w:t xml:space="preserve"> forms) </w:t>
      </w:r>
      <w:r w:rsidRPr="00077243">
        <w:rPr>
          <w:rFonts w:ascii="Calibri" w:hAnsi="Calibri" w:cs="Calibri"/>
          <w:spacing w:val="-1"/>
          <w:sz w:val="22"/>
          <w:szCs w:val="22"/>
        </w:rPr>
        <w:t>via</w:t>
      </w:r>
      <w:r w:rsidRPr="00077243">
        <w:rPr>
          <w:rFonts w:ascii="Calibri" w:hAnsi="Calibri" w:cs="Calibri"/>
          <w:spacing w:val="-2"/>
          <w:sz w:val="22"/>
          <w:szCs w:val="22"/>
        </w:rPr>
        <w:t xml:space="preserve"> </w:t>
      </w:r>
      <w:r w:rsidRPr="00077243">
        <w:rPr>
          <w:rFonts w:ascii="Calibri" w:hAnsi="Calibri" w:cs="Calibri"/>
          <w:sz w:val="22"/>
          <w:szCs w:val="22"/>
        </w:rPr>
        <w:t>the</w:t>
      </w:r>
      <w:r w:rsidRPr="00077243">
        <w:rPr>
          <w:rFonts w:ascii="Calibri" w:hAnsi="Calibri" w:cs="Calibri"/>
          <w:spacing w:val="-1"/>
          <w:sz w:val="22"/>
          <w:szCs w:val="22"/>
        </w:rPr>
        <w:t xml:space="preserve"> laptop </w:t>
      </w:r>
      <w:r w:rsidRPr="00077243">
        <w:rPr>
          <w:rFonts w:ascii="Calibri" w:hAnsi="Calibri" w:cs="Calibri"/>
          <w:sz w:val="22"/>
          <w:szCs w:val="22"/>
        </w:rPr>
        <w:t>computer, an electronic signature pad, and</w:t>
      </w:r>
      <w:r w:rsidRPr="00077243">
        <w:rPr>
          <w:rFonts w:ascii="Calibri" w:hAnsi="Calibri" w:cs="Calibri"/>
          <w:spacing w:val="-3"/>
          <w:sz w:val="22"/>
          <w:szCs w:val="22"/>
        </w:rPr>
        <w:t xml:space="preserve"> </w:t>
      </w:r>
      <w:r w:rsidRPr="00077243">
        <w:rPr>
          <w:rFonts w:ascii="Calibri" w:hAnsi="Calibri" w:cs="Calibri"/>
          <w:sz w:val="22"/>
          <w:szCs w:val="22"/>
        </w:rPr>
        <w:t>a</w:t>
      </w:r>
      <w:r w:rsidRPr="00077243">
        <w:rPr>
          <w:rFonts w:ascii="Calibri" w:hAnsi="Calibri" w:cs="Calibri"/>
          <w:spacing w:val="-1"/>
          <w:sz w:val="22"/>
          <w:szCs w:val="22"/>
        </w:rPr>
        <w:t xml:space="preserve"> portable </w:t>
      </w:r>
      <w:r w:rsidRPr="00077243">
        <w:rPr>
          <w:rFonts w:ascii="Calibri" w:hAnsi="Calibri" w:cs="Calibri"/>
          <w:sz w:val="22"/>
          <w:szCs w:val="22"/>
        </w:rPr>
        <w:t xml:space="preserve">scanner. Signed </w:t>
      </w:r>
      <w:r w:rsidRPr="00077243">
        <w:rPr>
          <w:rFonts w:ascii="Calibri" w:hAnsi="Calibri" w:cs="Calibri"/>
          <w:sz w:val="22"/>
          <w:szCs w:val="22"/>
        </w:rPr>
        <w:lastRenderedPageBreak/>
        <w:t>forms are transmitted electronically with completed questionnaire data in encrypted files and reviewed for completeness and accuracy.</w:t>
      </w:r>
      <w:r>
        <w:rPr>
          <w:rFonts w:ascii="Calibri" w:hAnsi="Calibri" w:cs="Calibri"/>
          <w:sz w:val="22"/>
          <w:szCs w:val="22"/>
        </w:rPr>
        <w:t xml:space="preserve"> </w:t>
      </w:r>
    </w:p>
    <w:p w:rsidRPr="009139B3" w:rsidR="001D1C73" w:rsidP="008D273E" w:rsidRDefault="001D1C73" w14:paraId="381FEAAD" w14:textId="77777777">
      <w:pPr>
        <w:pStyle w:val="ListParagraph"/>
        <w:spacing w:after="0"/>
        <w:ind w:left="360"/>
      </w:pPr>
    </w:p>
    <w:p w:rsidR="001D1C73" w:rsidP="00CD3C52" w:rsidRDefault="001D1C73" w14:paraId="3B7ABC79" w14:textId="68A45F5A">
      <w:pPr>
        <w:spacing w:after="120"/>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245485" w:rsidP="008D273E" w:rsidRDefault="004E6814" w14:paraId="7935F57D" w14:textId="60E63C97">
      <w:pPr>
        <w:keepNext/>
        <w:spacing w:after="0"/>
      </w:pPr>
      <w:r>
        <w:t>E</w:t>
      </w:r>
      <w:r w:rsidR="00D80946">
        <w:t xml:space="preserve">fforts were undertaken to identify existing data, reduce duplication, and minimize burden. A literature review and website scan revealed no ongoing efforts to conduct a nationally representative study of the strengths and challenges of the workforce in public child welfare agencies.  </w:t>
      </w:r>
    </w:p>
    <w:p w:rsidR="00763D20" w:rsidP="008D273E" w:rsidRDefault="00763D20" w14:paraId="53DA3BA7" w14:textId="77777777">
      <w:pPr>
        <w:keepNext/>
        <w:spacing w:after="0"/>
      </w:pPr>
    </w:p>
    <w:p w:rsidR="00245485" w:rsidP="008D273E" w:rsidRDefault="00245485" w14:paraId="449651D8" w14:textId="63F2CF11">
      <w:pPr>
        <w:keepNext/>
        <w:spacing w:after="0"/>
      </w:pPr>
      <w:r>
        <w:t xml:space="preserve">Because the agency director survey focuses largely on agency-level characteristics, the </w:t>
      </w:r>
      <w:r w:rsidR="000B5F4F">
        <w:t xml:space="preserve">project </w:t>
      </w:r>
      <w:r>
        <w:t xml:space="preserve">team reviewed variables already available via two federal efforts - the National Child Abuse and Neglect Data System (NCANDS) </w:t>
      </w:r>
      <w:r w:rsidR="00730783">
        <w:t xml:space="preserve">(OMB #0970-0424) </w:t>
      </w:r>
      <w:r>
        <w:t xml:space="preserve">and the Adoption and Foster Care Reporting System (AFCARS) </w:t>
      </w:r>
      <w:r w:rsidR="00730783">
        <w:t xml:space="preserve">(OMB #0970-0422) </w:t>
      </w:r>
      <w:r>
        <w:t xml:space="preserve">prior to developing survey items.  Relevant information available via NCANDS and AFCARS (e.g., </w:t>
      </w:r>
      <w:r w:rsidR="007A5AA5">
        <w:t xml:space="preserve">annual </w:t>
      </w:r>
      <w:r>
        <w:t xml:space="preserve">number of maltreatment reports, </w:t>
      </w:r>
      <w:r w:rsidR="007A5AA5">
        <w:t>n</w:t>
      </w:r>
      <w:r>
        <w:t xml:space="preserve">umber of children in foster care) will be obtained via those sources to reduce the number of questions asked </w:t>
      </w:r>
      <w:r w:rsidR="008742DF">
        <w:t>of</w:t>
      </w:r>
      <w:r>
        <w:t xml:space="preserve"> agency directors. </w:t>
      </w:r>
    </w:p>
    <w:p w:rsidRPr="009139B3" w:rsidR="00763D20" w:rsidP="008D273E" w:rsidRDefault="00763D20" w14:paraId="0FE4A195" w14:textId="77777777">
      <w:pPr>
        <w:keepNext/>
        <w:spacing w:after="0"/>
      </w:pPr>
    </w:p>
    <w:p w:rsidR="001D1C73" w:rsidP="008D273E" w:rsidRDefault="004E6814" w14:paraId="7BD59622" w14:textId="72CE6546">
      <w:pPr>
        <w:keepNext/>
        <w:spacing w:after="0"/>
      </w:pPr>
      <w:r>
        <w:rPr>
          <w:iCs/>
        </w:rPr>
        <w:t xml:space="preserve">NSCAW III is uniquely positioned as a nationally representative </w:t>
      </w:r>
      <w:r w:rsidR="008E2341">
        <w:rPr>
          <w:iCs/>
        </w:rPr>
        <w:t xml:space="preserve">study </w:t>
      </w:r>
      <w:r w:rsidR="00062380">
        <w:rPr>
          <w:iCs/>
        </w:rPr>
        <w:t xml:space="preserve">operating within pubic child welfare agencies. </w:t>
      </w:r>
      <w:r w:rsidR="00562876">
        <w:rPr>
          <w:iCs/>
        </w:rPr>
        <w:t>T</w:t>
      </w:r>
      <w:r>
        <w:rPr>
          <w:iCs/>
        </w:rPr>
        <w:t xml:space="preserve">he </w:t>
      </w:r>
      <w:r w:rsidR="00D80946">
        <w:t xml:space="preserve">information being collected cannot be obtained through other sources. </w:t>
      </w:r>
    </w:p>
    <w:p w:rsidRPr="009139B3" w:rsidR="00763D20" w:rsidP="00763D20" w:rsidRDefault="00763D20" w14:paraId="7169A1E4" w14:textId="77777777">
      <w:pPr>
        <w:keepNext/>
        <w:spacing w:after="0" w:line="240" w:lineRule="auto"/>
      </w:pPr>
    </w:p>
    <w:p w:rsidR="00E1547D" w:rsidP="00E1547D" w:rsidRDefault="001D1C73" w14:paraId="117FE457" w14:textId="77777777">
      <w:pPr>
        <w:spacing w:after="120" w:line="240" w:lineRule="auto"/>
      </w:pPr>
      <w:r w:rsidRPr="009139B3">
        <w:rPr>
          <w:b/>
        </w:rPr>
        <w:t>A5</w:t>
      </w:r>
      <w:r w:rsidRPr="009139B3">
        <w:t>.</w:t>
      </w:r>
      <w:r w:rsidRPr="009139B3">
        <w:tab/>
      </w:r>
      <w:r w:rsidRPr="009139B3">
        <w:rPr>
          <w:b/>
        </w:rPr>
        <w:t>Impact on Small Businesses</w:t>
      </w:r>
    </w:p>
    <w:p w:rsidR="001D1C73" w:rsidP="00763D20" w:rsidRDefault="00505C37" w14:paraId="45C45C0C" w14:textId="421AA4C3">
      <w:pPr>
        <w:pStyle w:val="BodyText"/>
        <w:spacing w:after="0" w:line="240" w:lineRule="auto"/>
        <w:rPr>
          <w:rFonts w:asciiTheme="minorHAnsi" w:hAnsiTheme="minorHAnsi" w:cstheme="minorHAnsi"/>
          <w:sz w:val="22"/>
          <w:szCs w:val="22"/>
        </w:rPr>
      </w:pPr>
      <w:r w:rsidRPr="00505C37">
        <w:rPr>
          <w:rFonts w:asciiTheme="minorHAnsi" w:hAnsiTheme="minorHAnsi" w:cstheme="minorHAnsi"/>
          <w:sz w:val="22"/>
          <w:szCs w:val="22"/>
        </w:rPr>
        <w:t xml:space="preserve">While county child welfare agencies with fewer than 55 maltreatment investigations annually are excluded from the </w:t>
      </w:r>
      <w:r w:rsidR="00562876">
        <w:rPr>
          <w:rFonts w:asciiTheme="minorHAnsi" w:hAnsiTheme="minorHAnsi" w:cstheme="minorHAnsi"/>
          <w:sz w:val="22"/>
          <w:szCs w:val="22"/>
        </w:rPr>
        <w:t xml:space="preserve">NSCAW III </w:t>
      </w:r>
      <w:r w:rsidRPr="00505C37">
        <w:rPr>
          <w:rFonts w:asciiTheme="minorHAnsi" w:hAnsiTheme="minorHAnsi" w:cstheme="minorHAnsi"/>
          <w:sz w:val="22"/>
          <w:szCs w:val="22"/>
        </w:rPr>
        <w:t xml:space="preserve">sample frame, </w:t>
      </w:r>
      <w:r>
        <w:rPr>
          <w:rFonts w:asciiTheme="minorHAnsi" w:hAnsiTheme="minorHAnsi" w:cstheme="minorHAnsi"/>
          <w:sz w:val="22"/>
          <w:szCs w:val="22"/>
        </w:rPr>
        <w:t xml:space="preserve">some agencies employ relatively </w:t>
      </w:r>
      <w:r w:rsidR="00732052">
        <w:rPr>
          <w:rFonts w:asciiTheme="minorHAnsi" w:hAnsiTheme="minorHAnsi" w:cstheme="minorHAnsi"/>
          <w:sz w:val="22"/>
          <w:szCs w:val="22"/>
        </w:rPr>
        <w:t xml:space="preserve">few child welfare personnel.  </w:t>
      </w:r>
      <w:r w:rsidRPr="00505C37">
        <w:rPr>
          <w:rFonts w:asciiTheme="minorHAnsi" w:hAnsiTheme="minorHAnsi" w:cstheme="minorHAnsi"/>
          <w:sz w:val="22"/>
          <w:szCs w:val="22"/>
        </w:rPr>
        <w:t xml:space="preserve">In these </w:t>
      </w:r>
      <w:r w:rsidR="00732052">
        <w:rPr>
          <w:rFonts w:asciiTheme="minorHAnsi" w:hAnsiTheme="minorHAnsi" w:cstheme="minorHAnsi"/>
          <w:sz w:val="22"/>
          <w:szCs w:val="22"/>
        </w:rPr>
        <w:t xml:space="preserve">agencies, </w:t>
      </w:r>
      <w:r>
        <w:rPr>
          <w:rFonts w:asciiTheme="minorHAnsi" w:hAnsiTheme="minorHAnsi" w:cstheme="minorHAnsi"/>
          <w:sz w:val="22"/>
          <w:szCs w:val="22"/>
        </w:rPr>
        <w:t>only one survey</w:t>
      </w:r>
      <w:r w:rsidR="00732052">
        <w:rPr>
          <w:rFonts w:asciiTheme="minorHAnsi" w:hAnsiTheme="minorHAnsi" w:cstheme="minorHAnsi"/>
          <w:sz w:val="22"/>
          <w:szCs w:val="22"/>
        </w:rPr>
        <w:t xml:space="preserve"> for each respondent type</w:t>
      </w:r>
      <w:r>
        <w:rPr>
          <w:rFonts w:asciiTheme="minorHAnsi" w:hAnsiTheme="minorHAnsi" w:cstheme="minorHAnsi"/>
          <w:sz w:val="22"/>
          <w:szCs w:val="22"/>
        </w:rPr>
        <w:t xml:space="preserve"> will be sought.  </w:t>
      </w:r>
    </w:p>
    <w:p w:rsidRPr="009139B3" w:rsidR="00763D20" w:rsidP="00763D20" w:rsidRDefault="00763D20" w14:paraId="30F54BFA" w14:textId="77777777">
      <w:pPr>
        <w:pStyle w:val="BodyText"/>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1D1C73" w:rsidP="001D1C73" w:rsidRDefault="001F31F1" w14:paraId="7ED17F16" w14:textId="570B5CE8">
      <w:pPr>
        <w:spacing w:after="0"/>
      </w:pPr>
      <w:r>
        <w:t>Th</w:t>
      </w:r>
      <w:r w:rsidR="00917797">
        <w:t xml:space="preserve">e current information collection request </w:t>
      </w:r>
      <w:r>
        <w:t xml:space="preserve">is a one-time data collection. </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8D273E" w:rsidRDefault="001D1C73" w14:paraId="15C2AFB4" w14:textId="33E89394">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63D20">
        <w:t xml:space="preserve">February 4, 2020, </w:t>
      </w:r>
      <w:r w:rsidRPr="009139B3">
        <w:t xml:space="preserve">Volume </w:t>
      </w:r>
      <w:r w:rsidR="00763D20">
        <w:t>85</w:t>
      </w:r>
      <w:r w:rsidRPr="009139B3">
        <w:t xml:space="preserve">, Number </w:t>
      </w:r>
      <w:r w:rsidR="00763D20">
        <w:t>23</w:t>
      </w:r>
      <w:r w:rsidRPr="009139B3">
        <w:t xml:space="preserve">, page </w:t>
      </w:r>
      <w:r w:rsidR="00763D20">
        <w:t>6198</w:t>
      </w:r>
      <w:r w:rsidRPr="009139B3">
        <w:t xml:space="preserve">, and provided a sixty-day period for public comment.  A copy of this notice is attached as </w:t>
      </w:r>
      <w:r w:rsidRPr="00346ADE">
        <w:rPr>
          <w:b/>
          <w:bCs/>
          <w:i/>
          <w:iCs/>
        </w:rPr>
        <w:t xml:space="preserve">Appendix </w:t>
      </w:r>
      <w:r w:rsidR="008F79D8">
        <w:rPr>
          <w:b/>
          <w:bCs/>
          <w:i/>
          <w:iCs/>
        </w:rPr>
        <w:t>B</w:t>
      </w:r>
      <w:r w:rsidRPr="009139B3">
        <w:t xml:space="preserve">.  </w:t>
      </w:r>
      <w:r w:rsidRPr="007F48D5">
        <w:t xml:space="preserve">During the notice and comment period, </w:t>
      </w:r>
      <w:r w:rsidRPr="007F48D5" w:rsidR="007F48D5">
        <w:t>no</w:t>
      </w:r>
      <w:r w:rsidRPr="007F48D5">
        <w:t xml:space="preserve"> comment</w:t>
      </w:r>
      <w:r w:rsidRPr="007F48D5" w:rsidR="007F48D5">
        <w:t xml:space="preserve">s </w:t>
      </w:r>
      <w:r w:rsidRPr="007F48D5">
        <w:t>were received</w:t>
      </w:r>
      <w:r w:rsidRPr="007F48D5" w:rsidR="007F48D5">
        <w:t>.</w:t>
      </w:r>
      <w:r w:rsidRPr="009139B3">
        <w:t xml:space="preserve"> </w:t>
      </w:r>
    </w:p>
    <w:p w:rsidRPr="009139B3" w:rsidR="001D1C73" w:rsidP="008D273E" w:rsidRDefault="001D1C73" w14:paraId="68DB4E07" w14:textId="77777777">
      <w:pPr>
        <w:spacing w:after="0"/>
      </w:pPr>
    </w:p>
    <w:p w:rsidRPr="007D4581" w:rsidR="001D1C73" w:rsidP="001D1C73" w:rsidRDefault="001D1C73" w14:paraId="404D40E1" w14:textId="77777777">
      <w:pPr>
        <w:pStyle w:val="Heading4"/>
        <w:spacing w:before="0"/>
        <w:rPr>
          <w:rFonts w:asciiTheme="minorHAnsi" w:hAnsiTheme="minorHAnsi" w:cstheme="minorHAnsi"/>
          <w:b w:val="0"/>
          <w:i/>
          <w:sz w:val="22"/>
          <w:szCs w:val="22"/>
        </w:rPr>
      </w:pPr>
      <w:r w:rsidRPr="007D4581">
        <w:rPr>
          <w:rFonts w:asciiTheme="minorHAnsi" w:hAnsiTheme="minorHAnsi" w:cstheme="minorHAnsi"/>
          <w:b w:val="0"/>
          <w:i/>
          <w:sz w:val="22"/>
          <w:szCs w:val="22"/>
        </w:rPr>
        <w:lastRenderedPageBreak/>
        <w:t>Consultation with Experts Outside of the Study</w:t>
      </w:r>
    </w:p>
    <w:p w:rsidR="00763D20" w:rsidP="008D273E" w:rsidRDefault="00763D20" w14:paraId="1E1C0193" w14:textId="6BA6390F">
      <w:pPr>
        <w:shd w:val="clear" w:color="auto" w:fill="FFFFFF"/>
        <w:spacing w:after="0"/>
      </w:pPr>
      <w:r>
        <w:t xml:space="preserve">The project team consulted with several outside experts to inform </w:t>
      </w:r>
      <w:r w:rsidR="00E45F28">
        <w:t xml:space="preserve">workforce knowledge gaps, </w:t>
      </w:r>
      <w:r>
        <w:t>study design</w:t>
      </w:r>
      <w:r w:rsidR="00E45F28">
        <w:t>,</w:t>
      </w:r>
      <w:r>
        <w:t xml:space="preserve"> and survey development.  A panel </w:t>
      </w:r>
      <w:r w:rsidR="00F05ADD">
        <w:t xml:space="preserve">with expertise </w:t>
      </w:r>
      <w:r>
        <w:t xml:space="preserve">in the child welfare workforce were contributed to decisions about the utility of </w:t>
      </w:r>
      <w:r w:rsidR="00A975F3">
        <w:t xml:space="preserve">gathering workforce data as part of </w:t>
      </w:r>
      <w:r>
        <w:t>NSCAW III</w:t>
      </w:r>
      <w:r w:rsidR="00A975F3">
        <w:t>,</w:t>
      </w:r>
      <w:r>
        <w:t xml:space="preserve"> respondents to be surveyed, and key research questions and content</w:t>
      </w:r>
      <w:r w:rsidR="00F05ADD">
        <w:t xml:space="preserve">.  </w:t>
      </w:r>
      <w:r w:rsidR="00F05ADD">
        <w:rPr>
          <w:rFonts w:cstheme="minorHAnsi"/>
        </w:rPr>
        <w:t xml:space="preserve">A subset of the expert panel was asked to review and provide feedback on drafts of the agency director, supervisor, and caseworker surveys.  Their feedback and suggestions were </w:t>
      </w:r>
      <w:r w:rsidRPr="0017136C" w:rsidR="00F05ADD">
        <w:rPr>
          <w:rFonts w:cstheme="minorHAnsi"/>
        </w:rPr>
        <w:t xml:space="preserve">incorporated into the surveys included with this submission. </w:t>
      </w:r>
      <w:r w:rsidRPr="0017136C">
        <w:t>Experts</w:t>
      </w:r>
      <w:r w:rsidRPr="0017136C" w:rsidR="00F05ADD">
        <w:t xml:space="preserve"> and their </w:t>
      </w:r>
      <w:r w:rsidRPr="0017136C">
        <w:t>affiliations</w:t>
      </w:r>
      <w:r w:rsidRPr="0017136C" w:rsidR="00F05ADD">
        <w:t xml:space="preserve"> </w:t>
      </w:r>
      <w:r w:rsidRPr="0017136C">
        <w:t xml:space="preserve">are outlined in </w:t>
      </w:r>
      <w:r w:rsidRPr="0017136C">
        <w:rPr>
          <w:b/>
          <w:i/>
        </w:rPr>
        <w:t>Table 3</w:t>
      </w:r>
      <w:r w:rsidRPr="0017136C">
        <w:t>.</w:t>
      </w:r>
      <w:r>
        <w:t xml:space="preserve"> </w:t>
      </w:r>
    </w:p>
    <w:p w:rsidRPr="00B33AF9" w:rsidR="00763D20" w:rsidP="00763D20" w:rsidRDefault="00763D20" w14:paraId="3375363A" w14:textId="77777777">
      <w:pPr>
        <w:pStyle w:val="ExhibitTitle"/>
        <w:rPr>
          <w:rFonts w:asciiTheme="minorHAnsi" w:hAnsiTheme="minorHAnsi" w:cstheme="minorHAnsi"/>
          <w:sz w:val="22"/>
          <w:szCs w:val="22"/>
        </w:rPr>
      </w:pPr>
      <w:bookmarkStart w:name="_Toc458001294" w:id="5"/>
      <w:r w:rsidRPr="00A9006E">
        <w:rPr>
          <w:rFonts w:asciiTheme="minorHAnsi" w:hAnsiTheme="minorHAnsi" w:cstheme="minorHAnsi"/>
          <w:iCs/>
          <w:sz w:val="22"/>
          <w:szCs w:val="22"/>
        </w:rPr>
        <w:t xml:space="preserve">Table 3. </w:t>
      </w:r>
      <w:bookmarkEnd w:id="5"/>
      <w:r w:rsidRPr="00A9006E">
        <w:rPr>
          <w:rFonts w:asciiTheme="minorHAnsi" w:hAnsiTheme="minorHAnsi" w:cstheme="minorHAnsi"/>
          <w:iCs/>
          <w:sz w:val="22"/>
          <w:szCs w:val="22"/>
        </w:rPr>
        <w:t>Expert</w:t>
      </w:r>
      <w:r w:rsidRPr="0017136C">
        <w:rPr>
          <w:rFonts w:asciiTheme="minorHAnsi" w:hAnsiTheme="minorHAnsi" w:cstheme="minorHAnsi"/>
          <w:sz w:val="22"/>
          <w:szCs w:val="22"/>
        </w:rPr>
        <w:t xml:space="preserve"> Consultants</w:t>
      </w:r>
    </w:p>
    <w:tbl>
      <w:tblPr>
        <w:tblW w:w="963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2700"/>
        <w:gridCol w:w="6930"/>
      </w:tblGrid>
      <w:tr w:rsidRPr="00FA7AE1" w:rsidR="00FA7AE1" w:rsidTr="000562C0" w14:paraId="409D0CD5" w14:textId="77777777">
        <w:trPr>
          <w:cantSplit/>
          <w:trHeight w:val="20"/>
          <w:tblHeader/>
          <w:jc w:val="center"/>
        </w:trPr>
        <w:tc>
          <w:tcPr>
            <w:tcW w:w="1402" w:type="pct"/>
            <w:tcBorders>
              <w:top w:val="single" w:color="auto" w:sz="12" w:space="0"/>
              <w:bottom w:val="single" w:color="auto" w:sz="6" w:space="0"/>
              <w:right w:val="single" w:color="FFFFFF" w:sz="6" w:space="0"/>
            </w:tcBorders>
            <w:shd w:val="clear" w:color="auto" w:fill="002060"/>
            <w:vAlign w:val="center"/>
          </w:tcPr>
          <w:p w:rsidRPr="00FA7AE1" w:rsidR="00FA7AE1" w:rsidP="00FD77B6" w:rsidRDefault="00FA7AE1" w14:paraId="32AE1009" w14:textId="77777777">
            <w:pPr>
              <w:pStyle w:val="TableHeader"/>
              <w:keepLines/>
              <w:spacing w:before="40" w:after="40"/>
              <w:rPr>
                <w:rFonts w:asciiTheme="minorHAnsi" w:hAnsiTheme="minorHAnsi" w:cstheme="minorHAnsi"/>
              </w:rPr>
            </w:pPr>
            <w:r w:rsidRPr="00FA7AE1">
              <w:rPr>
                <w:rFonts w:asciiTheme="minorHAnsi" w:hAnsiTheme="minorHAnsi" w:cstheme="minorHAnsi"/>
              </w:rPr>
              <w:t>Expert Consultant</w:t>
            </w:r>
          </w:p>
        </w:tc>
        <w:tc>
          <w:tcPr>
            <w:tcW w:w="3598" w:type="pct"/>
            <w:tcBorders>
              <w:top w:val="single" w:color="auto" w:sz="12" w:space="0"/>
              <w:left w:val="single" w:color="FFFFFF" w:sz="6" w:space="0"/>
              <w:bottom w:val="single" w:color="auto" w:sz="6" w:space="0"/>
            </w:tcBorders>
            <w:shd w:val="clear" w:color="auto" w:fill="002060"/>
            <w:vAlign w:val="center"/>
          </w:tcPr>
          <w:p w:rsidRPr="00FA7AE1" w:rsidR="00FA7AE1" w:rsidP="00FD77B6" w:rsidRDefault="00FA7AE1" w14:paraId="5AA9EF40" w14:textId="77777777">
            <w:pPr>
              <w:pStyle w:val="TableHeader"/>
              <w:keepLines/>
              <w:spacing w:before="40" w:after="40"/>
              <w:rPr>
                <w:rFonts w:asciiTheme="minorHAnsi" w:hAnsiTheme="minorHAnsi" w:cstheme="minorHAnsi"/>
              </w:rPr>
            </w:pPr>
            <w:r w:rsidRPr="00FA7AE1">
              <w:rPr>
                <w:rFonts w:asciiTheme="minorHAnsi" w:hAnsiTheme="minorHAnsi" w:cstheme="minorHAnsi"/>
              </w:rPr>
              <w:t xml:space="preserve">Affiliation </w:t>
            </w:r>
          </w:p>
        </w:tc>
      </w:tr>
      <w:tr w:rsidRPr="00FA7AE1" w:rsidR="00FA7AE1" w:rsidTr="003E22B1" w14:paraId="2E052D0D" w14:textId="77777777">
        <w:trPr>
          <w:cantSplit/>
          <w:trHeight w:val="20"/>
          <w:jc w:val="center"/>
        </w:trPr>
        <w:tc>
          <w:tcPr>
            <w:tcW w:w="1402" w:type="pct"/>
            <w:tcBorders>
              <w:top w:val="single" w:color="auto" w:sz="6" w:space="0"/>
            </w:tcBorders>
            <w:shd w:val="clear" w:color="auto" w:fill="D9D9D9" w:themeFill="background1" w:themeFillShade="D9"/>
            <w:vAlign w:val="center"/>
          </w:tcPr>
          <w:p w:rsidRPr="00FA7AE1" w:rsidR="00FA7AE1" w:rsidP="00FA7AE1" w:rsidRDefault="00FA7AE1" w14:paraId="64022569" w14:textId="78CF724B">
            <w:pPr>
              <w:pStyle w:val="TableText"/>
              <w:keepNext/>
              <w:keepLines/>
              <w:spacing w:before="40" w:after="40"/>
              <w:rPr>
                <w:rFonts w:asciiTheme="minorHAnsi" w:hAnsiTheme="minorHAnsi" w:cstheme="minorHAnsi"/>
                <w:b w:val="0"/>
              </w:rPr>
            </w:pPr>
            <w:r w:rsidRPr="00FA7AE1">
              <w:rPr>
                <w:rFonts w:asciiTheme="minorHAnsi" w:hAnsiTheme="minorHAnsi" w:cstheme="minorHAnsi"/>
                <w:b w:val="0"/>
              </w:rPr>
              <w:t>Anita Barbee</w:t>
            </w:r>
            <w:r w:rsidR="00262216">
              <w:rPr>
                <w:rFonts w:asciiTheme="minorHAnsi" w:hAnsiTheme="minorHAnsi" w:cstheme="minorHAnsi"/>
                <w:b w:val="0"/>
              </w:rPr>
              <w:t>, MSSW, PhD</w:t>
            </w:r>
          </w:p>
        </w:tc>
        <w:tc>
          <w:tcPr>
            <w:tcW w:w="3598" w:type="pct"/>
            <w:tcBorders>
              <w:top w:val="single" w:color="auto" w:sz="6" w:space="0"/>
            </w:tcBorders>
            <w:shd w:val="clear" w:color="auto" w:fill="D9D9D9" w:themeFill="background1" w:themeFillShade="D9"/>
            <w:vAlign w:val="center"/>
          </w:tcPr>
          <w:p w:rsidRPr="00FA7AE1" w:rsidR="00FA7AE1" w:rsidP="00FA7AE1" w:rsidRDefault="00FA7AE1" w14:paraId="41622BC6" w14:textId="72B32BD6">
            <w:pPr>
              <w:pStyle w:val="TableText"/>
              <w:keepNext/>
              <w:keepLines/>
              <w:spacing w:before="40" w:after="40"/>
              <w:rPr>
                <w:rFonts w:asciiTheme="minorHAnsi" w:hAnsiTheme="minorHAnsi" w:cstheme="minorHAnsi"/>
                <w:b w:val="0"/>
              </w:rPr>
            </w:pPr>
            <w:r>
              <w:rPr>
                <w:rFonts w:asciiTheme="minorHAnsi" w:hAnsiTheme="minorHAnsi" w:cstheme="minorHAnsi"/>
                <w:b w:val="0"/>
              </w:rPr>
              <w:t xml:space="preserve">Professor and Distinguished Scholar, Kent School of Social Work, University of Louisville; Evaluation Specialist, </w:t>
            </w:r>
            <w:r w:rsidRPr="00FA7AE1">
              <w:rPr>
                <w:rFonts w:asciiTheme="minorHAnsi" w:hAnsiTheme="minorHAnsi" w:cstheme="minorHAnsi"/>
                <w:b w:val="0"/>
              </w:rPr>
              <w:t>Q</w:t>
            </w:r>
            <w:r>
              <w:rPr>
                <w:rFonts w:asciiTheme="minorHAnsi" w:hAnsiTheme="minorHAnsi" w:cstheme="minorHAnsi"/>
                <w:b w:val="0"/>
              </w:rPr>
              <w:t xml:space="preserve">uality Improvement Center for Workforce Development </w:t>
            </w:r>
          </w:p>
        </w:tc>
      </w:tr>
      <w:tr w:rsidRPr="00FA7AE1" w:rsidR="00FA7AE1" w:rsidTr="003E22B1" w14:paraId="35CB02B2" w14:textId="77777777">
        <w:trPr>
          <w:cantSplit/>
          <w:trHeight w:val="20"/>
          <w:jc w:val="center"/>
        </w:trPr>
        <w:tc>
          <w:tcPr>
            <w:tcW w:w="1402" w:type="pct"/>
            <w:tcBorders>
              <w:top w:val="single" w:color="auto" w:sz="6" w:space="0"/>
            </w:tcBorders>
            <w:shd w:val="clear" w:color="auto" w:fill="D9D9D9" w:themeFill="background1" w:themeFillShade="D9"/>
            <w:vAlign w:val="center"/>
          </w:tcPr>
          <w:p w:rsidRPr="00FA7AE1" w:rsidR="00FA7AE1" w:rsidP="00FD77B6" w:rsidRDefault="00FA7AE1" w14:paraId="179E1215" w14:textId="3B13378C">
            <w:pPr>
              <w:pStyle w:val="TableText"/>
              <w:keepNext/>
              <w:keepLines/>
              <w:spacing w:before="40" w:after="40"/>
              <w:rPr>
                <w:rFonts w:asciiTheme="minorHAnsi" w:hAnsiTheme="minorHAnsi" w:cstheme="minorHAnsi"/>
                <w:b w:val="0"/>
              </w:rPr>
            </w:pPr>
            <w:r w:rsidRPr="00FA7AE1">
              <w:rPr>
                <w:rFonts w:asciiTheme="minorHAnsi" w:hAnsiTheme="minorHAnsi" w:cstheme="minorHAnsi"/>
                <w:b w:val="0"/>
              </w:rPr>
              <w:t>Julie Breedlove</w:t>
            </w:r>
            <w:r w:rsidR="00262216">
              <w:rPr>
                <w:rFonts w:asciiTheme="minorHAnsi" w:hAnsiTheme="minorHAnsi" w:cstheme="minorHAnsi"/>
                <w:b w:val="0"/>
              </w:rPr>
              <w:t>, MSW</w:t>
            </w:r>
          </w:p>
        </w:tc>
        <w:tc>
          <w:tcPr>
            <w:tcW w:w="3598" w:type="pct"/>
            <w:tcBorders>
              <w:top w:val="single" w:color="auto" w:sz="6" w:space="0"/>
            </w:tcBorders>
            <w:shd w:val="clear" w:color="auto" w:fill="D9D9D9" w:themeFill="background1" w:themeFillShade="D9"/>
            <w:vAlign w:val="center"/>
          </w:tcPr>
          <w:p w:rsidRPr="00FA7AE1" w:rsidR="00FA7AE1" w:rsidP="00FA7AE1" w:rsidRDefault="00FA7AE1" w14:paraId="2628789C" w14:textId="1F8BD77B">
            <w:pPr>
              <w:rPr>
                <w:rFonts w:cstheme="minorHAnsi"/>
                <w:b/>
                <w:sz w:val="20"/>
                <w:szCs w:val="20"/>
              </w:rPr>
            </w:pPr>
            <w:r w:rsidRPr="00FA7AE1">
              <w:rPr>
                <w:rFonts w:cstheme="minorHAnsi"/>
                <w:bCs/>
                <w:color w:val="000000" w:themeColor="text1"/>
                <w:sz w:val="20"/>
                <w:szCs w:val="20"/>
              </w:rPr>
              <w:t xml:space="preserve">Priority Area Manager, </w:t>
            </w:r>
            <w:r w:rsidR="00262216">
              <w:rPr>
                <w:rFonts w:cstheme="minorHAnsi"/>
                <w:bCs/>
                <w:color w:val="000000" w:themeColor="text1"/>
                <w:sz w:val="20"/>
                <w:szCs w:val="20"/>
              </w:rPr>
              <w:t xml:space="preserve">ICF International, </w:t>
            </w:r>
            <w:r w:rsidRPr="00FA7AE1">
              <w:rPr>
                <w:rFonts w:cstheme="minorHAnsi"/>
                <w:bCs/>
                <w:color w:val="000000" w:themeColor="text1"/>
                <w:sz w:val="20"/>
                <w:szCs w:val="20"/>
              </w:rPr>
              <w:t>Capacity Building Center for States</w:t>
            </w:r>
          </w:p>
        </w:tc>
      </w:tr>
      <w:tr w:rsidRPr="00FA7AE1" w:rsidR="00FA7AE1" w:rsidTr="003E22B1" w14:paraId="3395124A" w14:textId="77777777">
        <w:trPr>
          <w:cantSplit/>
          <w:trHeight w:val="435"/>
          <w:jc w:val="center"/>
        </w:trPr>
        <w:tc>
          <w:tcPr>
            <w:tcW w:w="1402" w:type="pct"/>
            <w:shd w:val="clear" w:color="auto" w:fill="D9D9D9" w:themeFill="background1" w:themeFillShade="D9"/>
            <w:vAlign w:val="center"/>
          </w:tcPr>
          <w:p w:rsidRPr="00FA7AE1" w:rsidR="00FA7AE1" w:rsidP="00FA7AE1" w:rsidRDefault="00FA7AE1" w14:paraId="48332D52" w14:textId="15F49B47">
            <w:pPr>
              <w:pStyle w:val="TableText"/>
              <w:keepNext/>
              <w:keepLines/>
              <w:spacing w:before="40" w:after="40"/>
              <w:rPr>
                <w:rFonts w:asciiTheme="minorHAnsi" w:hAnsiTheme="minorHAnsi" w:cstheme="minorHAnsi"/>
                <w:b w:val="0"/>
                <w:color w:val="000000"/>
                <w:highlight w:val="yellow"/>
              </w:rPr>
            </w:pPr>
            <w:r w:rsidRPr="00FA7AE1">
              <w:rPr>
                <w:rFonts w:asciiTheme="minorHAnsi" w:hAnsiTheme="minorHAnsi" w:cstheme="minorHAnsi"/>
                <w:b w:val="0"/>
                <w:color w:val="000000"/>
              </w:rPr>
              <w:t>Nancy Dickinson</w:t>
            </w:r>
            <w:r w:rsidR="00262216">
              <w:rPr>
                <w:rFonts w:asciiTheme="minorHAnsi" w:hAnsiTheme="minorHAnsi" w:cstheme="minorHAnsi"/>
                <w:b w:val="0"/>
                <w:color w:val="000000"/>
              </w:rPr>
              <w:t>, MSSW, PhD</w:t>
            </w:r>
          </w:p>
        </w:tc>
        <w:tc>
          <w:tcPr>
            <w:tcW w:w="3598" w:type="pct"/>
            <w:shd w:val="clear" w:color="auto" w:fill="D9D9D9" w:themeFill="background1" w:themeFillShade="D9"/>
          </w:tcPr>
          <w:p w:rsidRPr="00FA7AE1" w:rsidR="00FA7AE1" w:rsidP="00FA7AE1" w:rsidRDefault="00FA7AE1" w14:paraId="6E5E87A4" w14:textId="68B2C0B1">
            <w:pPr>
              <w:rPr>
                <w:rFonts w:cstheme="minorHAnsi"/>
                <w:bCs/>
                <w:sz w:val="20"/>
                <w:szCs w:val="20"/>
              </w:rPr>
            </w:pPr>
            <w:r w:rsidRPr="00FA7AE1">
              <w:rPr>
                <w:rFonts w:cstheme="minorHAnsi"/>
                <w:bCs/>
                <w:color w:val="000000" w:themeColor="text1"/>
                <w:sz w:val="20"/>
                <w:szCs w:val="20"/>
              </w:rPr>
              <w:t>Clinical Professor, University of Maryland, School of Social Work; Project Director, National Child Welfare Workforce Institute</w:t>
            </w:r>
          </w:p>
        </w:tc>
      </w:tr>
      <w:tr w:rsidRPr="00FA7AE1" w:rsidR="00FA7AE1" w:rsidTr="003E22B1" w14:paraId="778311FC" w14:textId="77777777">
        <w:trPr>
          <w:cantSplit/>
          <w:trHeight w:val="20"/>
          <w:jc w:val="center"/>
        </w:trPr>
        <w:tc>
          <w:tcPr>
            <w:tcW w:w="1402" w:type="pct"/>
            <w:shd w:val="clear" w:color="auto" w:fill="D9D9D9" w:themeFill="background1" w:themeFillShade="D9"/>
            <w:vAlign w:val="center"/>
          </w:tcPr>
          <w:p w:rsidRPr="00FA7AE1" w:rsidR="00FA7AE1" w:rsidP="00FA7AE1" w:rsidRDefault="00FA7AE1" w14:paraId="78EB606B" w14:textId="76092D9F">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John Halloran</w:t>
            </w:r>
            <w:r w:rsidR="00262216">
              <w:rPr>
                <w:rFonts w:asciiTheme="minorHAnsi" w:hAnsiTheme="minorHAnsi" w:cstheme="minorHAnsi"/>
                <w:b w:val="0"/>
                <w:color w:val="000000"/>
              </w:rPr>
              <w:t>, PhD</w:t>
            </w:r>
          </w:p>
        </w:tc>
        <w:tc>
          <w:tcPr>
            <w:tcW w:w="3598" w:type="pct"/>
            <w:shd w:val="clear" w:color="auto" w:fill="D9D9D9" w:themeFill="background1" w:themeFillShade="D9"/>
            <w:vAlign w:val="center"/>
          </w:tcPr>
          <w:p w:rsidRPr="00FA7AE1" w:rsidR="00FA7AE1" w:rsidP="00FA7AE1" w:rsidRDefault="00262216" w14:paraId="78DEEA45" w14:textId="43FF12DB">
            <w:pPr>
              <w:pStyle w:val="TableText"/>
              <w:spacing w:before="40" w:after="40"/>
              <w:rPr>
                <w:rFonts w:asciiTheme="minorHAnsi" w:hAnsiTheme="minorHAnsi" w:cstheme="minorHAnsi"/>
                <w:b w:val="0"/>
              </w:rPr>
            </w:pPr>
            <w:r>
              <w:rPr>
                <w:rFonts w:asciiTheme="minorHAnsi" w:hAnsiTheme="minorHAnsi" w:cstheme="minorHAnsi"/>
                <w:b w:val="0"/>
                <w:color w:val="000000" w:themeColor="text1"/>
              </w:rPr>
              <w:t xml:space="preserve">Assistant Professor, </w:t>
            </w:r>
            <w:r w:rsidR="000D6127">
              <w:rPr>
                <w:rFonts w:asciiTheme="minorHAnsi" w:hAnsiTheme="minorHAnsi" w:cstheme="minorHAnsi"/>
                <w:b w:val="0"/>
                <w:color w:val="000000" w:themeColor="text1"/>
              </w:rPr>
              <w:t xml:space="preserve">Department of Social Work, </w:t>
            </w:r>
            <w:r>
              <w:rPr>
                <w:rFonts w:asciiTheme="minorHAnsi" w:hAnsiTheme="minorHAnsi" w:cstheme="minorHAnsi"/>
                <w:b w:val="0"/>
                <w:color w:val="000000" w:themeColor="text1"/>
              </w:rPr>
              <w:t xml:space="preserve">Lewis University </w:t>
            </w:r>
          </w:p>
        </w:tc>
      </w:tr>
      <w:tr w:rsidRPr="00FA7AE1" w:rsidR="00FA7AE1" w:rsidTr="003E22B1" w14:paraId="6D93F237" w14:textId="77777777">
        <w:trPr>
          <w:cantSplit/>
          <w:trHeight w:val="20"/>
          <w:jc w:val="center"/>
        </w:trPr>
        <w:tc>
          <w:tcPr>
            <w:tcW w:w="1402" w:type="pct"/>
            <w:shd w:val="clear" w:color="auto" w:fill="D9D9D9" w:themeFill="background1" w:themeFillShade="D9"/>
            <w:vAlign w:val="center"/>
          </w:tcPr>
          <w:p w:rsidRPr="00FA7AE1" w:rsidR="00FA7AE1" w:rsidP="00FA7AE1" w:rsidRDefault="00FA7AE1" w14:paraId="0BFB0518" w14:textId="5F76D905">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Mary McCarthy</w:t>
            </w:r>
            <w:r w:rsidR="00262216">
              <w:rPr>
                <w:rFonts w:asciiTheme="minorHAnsi" w:hAnsiTheme="minorHAnsi" w:cstheme="minorHAnsi"/>
                <w:b w:val="0"/>
                <w:color w:val="000000"/>
              </w:rPr>
              <w:t>, MSW, PhD</w:t>
            </w:r>
          </w:p>
        </w:tc>
        <w:tc>
          <w:tcPr>
            <w:tcW w:w="3598" w:type="pct"/>
            <w:shd w:val="clear" w:color="auto" w:fill="D9D9D9" w:themeFill="background1" w:themeFillShade="D9"/>
          </w:tcPr>
          <w:p w:rsidRPr="00FA7AE1" w:rsidR="00FA7AE1" w:rsidP="00FA7AE1" w:rsidRDefault="00FA7AE1" w14:paraId="37FF2A28" w14:textId="70AFA181">
            <w:pPr>
              <w:pStyle w:val="TableText"/>
              <w:spacing w:before="40" w:after="40"/>
              <w:rPr>
                <w:rFonts w:asciiTheme="minorHAnsi" w:hAnsiTheme="minorHAnsi" w:cstheme="minorHAnsi"/>
                <w:b w:val="0"/>
              </w:rPr>
            </w:pPr>
            <w:r w:rsidRPr="00FA7AE1">
              <w:rPr>
                <w:rFonts w:asciiTheme="minorHAnsi" w:hAnsiTheme="minorHAnsi" w:cstheme="minorHAnsi"/>
                <w:b w:val="0"/>
              </w:rPr>
              <w:t>Director, Social Work Education Consortium, University at Albany School of Social Welfare</w:t>
            </w:r>
          </w:p>
        </w:tc>
      </w:tr>
      <w:tr w:rsidRPr="00FA7AE1" w:rsidR="00FA7AE1" w:rsidTr="003E22B1" w14:paraId="09BBC6BE" w14:textId="77777777">
        <w:trPr>
          <w:cantSplit/>
          <w:trHeight w:val="45"/>
          <w:jc w:val="center"/>
        </w:trPr>
        <w:tc>
          <w:tcPr>
            <w:tcW w:w="1402" w:type="pct"/>
            <w:shd w:val="clear" w:color="auto" w:fill="D9D9D9" w:themeFill="background1" w:themeFillShade="D9"/>
            <w:vAlign w:val="center"/>
          </w:tcPr>
          <w:p w:rsidRPr="00FA7AE1" w:rsidR="00FA7AE1" w:rsidP="00FA7AE1" w:rsidRDefault="00FA7AE1" w14:paraId="5FC010A7" w14:textId="79089A0A">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Cynthia Osbourne</w:t>
            </w:r>
            <w:r w:rsidR="000D6127">
              <w:rPr>
                <w:rFonts w:asciiTheme="minorHAnsi" w:hAnsiTheme="minorHAnsi" w:cstheme="minorHAnsi"/>
                <w:b w:val="0"/>
                <w:color w:val="000000"/>
              </w:rPr>
              <w:t xml:space="preserve"> PhD</w:t>
            </w:r>
          </w:p>
        </w:tc>
        <w:tc>
          <w:tcPr>
            <w:tcW w:w="3598" w:type="pct"/>
            <w:shd w:val="clear" w:color="auto" w:fill="D9D9D9" w:themeFill="background1" w:themeFillShade="D9"/>
          </w:tcPr>
          <w:p w:rsidRPr="00FA7AE1" w:rsidR="00FA7AE1" w:rsidP="00FA7AE1" w:rsidRDefault="00FA7AE1" w14:paraId="664BCD6D" w14:textId="0F4A44C0">
            <w:pPr>
              <w:rPr>
                <w:rFonts w:cstheme="minorHAnsi"/>
                <w:bCs/>
                <w:sz w:val="20"/>
                <w:szCs w:val="20"/>
              </w:rPr>
            </w:pPr>
            <w:r w:rsidRPr="00FA7AE1">
              <w:rPr>
                <w:rFonts w:cstheme="minorHAnsi"/>
                <w:bCs/>
                <w:color w:val="000000" w:themeColor="text1"/>
                <w:sz w:val="20"/>
                <w:szCs w:val="20"/>
              </w:rPr>
              <w:t xml:space="preserve">Director, University of Texas </w:t>
            </w:r>
            <w:r w:rsidR="000D6127">
              <w:rPr>
                <w:rFonts w:cstheme="minorHAnsi"/>
                <w:bCs/>
                <w:color w:val="000000" w:themeColor="text1"/>
                <w:sz w:val="20"/>
                <w:szCs w:val="20"/>
              </w:rPr>
              <w:t>Center for Health and Social Policy; Director, University of Texas C</w:t>
            </w:r>
            <w:r w:rsidRPr="00FA7AE1">
              <w:rPr>
                <w:rFonts w:cstheme="minorHAnsi"/>
                <w:bCs/>
                <w:color w:val="000000" w:themeColor="text1"/>
                <w:sz w:val="20"/>
                <w:szCs w:val="20"/>
              </w:rPr>
              <w:t xml:space="preserve">hild and Family Research Partnership </w:t>
            </w:r>
          </w:p>
        </w:tc>
      </w:tr>
      <w:tr w:rsidRPr="00FA7AE1" w:rsidR="00FA7AE1" w:rsidTr="003E22B1" w14:paraId="0974A091" w14:textId="77777777">
        <w:trPr>
          <w:cantSplit/>
          <w:trHeight w:val="390"/>
          <w:jc w:val="center"/>
        </w:trPr>
        <w:tc>
          <w:tcPr>
            <w:tcW w:w="1402" w:type="pct"/>
            <w:shd w:val="clear" w:color="auto" w:fill="D9D9D9" w:themeFill="background1" w:themeFillShade="D9"/>
            <w:vAlign w:val="center"/>
          </w:tcPr>
          <w:p w:rsidRPr="00FA7AE1" w:rsidR="00FA7AE1" w:rsidP="00FA7AE1" w:rsidRDefault="00FA7AE1" w14:paraId="03C42C69" w14:textId="52B25F98">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Mike Shaver, PhD</w:t>
            </w:r>
          </w:p>
        </w:tc>
        <w:tc>
          <w:tcPr>
            <w:tcW w:w="3598" w:type="pct"/>
            <w:shd w:val="clear" w:color="auto" w:fill="D9D9D9" w:themeFill="background1" w:themeFillShade="D9"/>
            <w:vAlign w:val="center"/>
          </w:tcPr>
          <w:p w:rsidRPr="00FA7AE1" w:rsidR="00FA7AE1" w:rsidP="00FA7AE1" w:rsidRDefault="00FA7AE1" w14:paraId="17E87344" w14:textId="4D9A4A47">
            <w:pPr>
              <w:pStyle w:val="TableText"/>
              <w:spacing w:before="40" w:after="40"/>
              <w:rPr>
                <w:rFonts w:asciiTheme="minorHAnsi" w:hAnsiTheme="minorHAnsi" w:cstheme="minorHAnsi"/>
                <w:b w:val="0"/>
                <w:bCs w:val="0"/>
              </w:rPr>
            </w:pPr>
            <w:r w:rsidRPr="00FA7AE1">
              <w:rPr>
                <w:rFonts w:asciiTheme="minorHAnsi" w:hAnsiTheme="minorHAnsi" w:cstheme="minorHAnsi"/>
                <w:b w:val="0"/>
                <w:bCs w:val="0"/>
                <w:color w:val="000000" w:themeColor="text1"/>
              </w:rPr>
              <w:t>President and CEO, Children’s Home Society of Florida</w:t>
            </w:r>
          </w:p>
        </w:tc>
      </w:tr>
      <w:tr w:rsidRPr="00FA7AE1" w:rsidR="00FA7AE1" w:rsidTr="003E22B1" w14:paraId="78B49EF6" w14:textId="77777777">
        <w:trPr>
          <w:cantSplit/>
          <w:trHeight w:val="471"/>
          <w:jc w:val="center"/>
        </w:trPr>
        <w:tc>
          <w:tcPr>
            <w:tcW w:w="1402" w:type="pct"/>
            <w:shd w:val="clear" w:color="auto" w:fill="D9D9D9" w:themeFill="background1" w:themeFillShade="D9"/>
            <w:vAlign w:val="center"/>
          </w:tcPr>
          <w:p w:rsidRPr="00FA7AE1" w:rsidR="00FA7AE1" w:rsidP="00FA7AE1" w:rsidRDefault="00FA7AE1" w14:paraId="37F5F89B" w14:textId="5339EDAC">
            <w:pPr>
              <w:pStyle w:val="TableText"/>
              <w:spacing w:before="40" w:after="40"/>
              <w:rPr>
                <w:rFonts w:asciiTheme="minorHAnsi" w:hAnsiTheme="minorHAnsi" w:cstheme="minorHAnsi"/>
                <w:b w:val="0"/>
              </w:rPr>
            </w:pPr>
            <w:r w:rsidRPr="00FA7AE1">
              <w:rPr>
                <w:rFonts w:asciiTheme="minorHAnsi" w:hAnsiTheme="minorHAnsi" w:cstheme="minorHAnsi"/>
                <w:b w:val="0"/>
              </w:rPr>
              <w:t>Rebecca Wells, PhD</w:t>
            </w:r>
          </w:p>
        </w:tc>
        <w:tc>
          <w:tcPr>
            <w:tcW w:w="3598" w:type="pct"/>
            <w:shd w:val="clear" w:color="auto" w:fill="D9D9D9" w:themeFill="background1" w:themeFillShade="D9"/>
            <w:vAlign w:val="center"/>
          </w:tcPr>
          <w:p w:rsidRPr="000D6127" w:rsidR="000D6127" w:rsidP="000D6127" w:rsidRDefault="000D6127" w14:paraId="724F2ACC" w14:textId="019AD4B4">
            <w:pPr>
              <w:rPr>
                <w:rFonts w:cstheme="minorHAnsi"/>
                <w:b/>
                <w:sz w:val="20"/>
                <w:szCs w:val="20"/>
              </w:rPr>
            </w:pPr>
            <w:r w:rsidRPr="000D6127">
              <w:rPr>
                <w:rFonts w:cstheme="minorHAnsi"/>
                <w:bCs/>
                <w:color w:val="000000" w:themeColor="text1"/>
                <w:sz w:val="20"/>
                <w:szCs w:val="20"/>
              </w:rPr>
              <w:t xml:space="preserve">Director, </w:t>
            </w:r>
            <w:r w:rsidRPr="000D6127" w:rsidR="00FA7AE1">
              <w:rPr>
                <w:rFonts w:cstheme="minorHAnsi"/>
                <w:bCs/>
                <w:color w:val="000000" w:themeColor="text1"/>
                <w:sz w:val="20"/>
                <w:szCs w:val="20"/>
              </w:rPr>
              <w:t xml:space="preserve">University of </w:t>
            </w:r>
            <w:r w:rsidRPr="003E22B1" w:rsidR="00FA7AE1">
              <w:rPr>
                <w:rFonts w:cstheme="minorHAnsi"/>
                <w:bCs/>
                <w:color w:val="000000" w:themeColor="text1"/>
                <w:sz w:val="20"/>
                <w:szCs w:val="20"/>
                <w:shd w:val="clear" w:color="auto" w:fill="D9D9D9" w:themeFill="background1" w:themeFillShade="D9"/>
              </w:rPr>
              <w:t xml:space="preserve">Texas </w:t>
            </w:r>
            <w:r w:rsidRPr="003E22B1">
              <w:rPr>
                <w:rFonts w:cstheme="minorHAnsi"/>
                <w:sz w:val="20"/>
                <w:szCs w:val="20"/>
                <w:shd w:val="clear" w:color="auto" w:fill="D9D9D9" w:themeFill="background1" w:themeFillShade="D9"/>
              </w:rPr>
              <w:t>Center for Health Systems Research, Policy, and Practice</w:t>
            </w:r>
          </w:p>
        </w:tc>
      </w:tr>
    </w:tbl>
    <w:p w:rsidR="00763D20" w:rsidP="00763D20" w:rsidRDefault="00763D20" w14:paraId="52D46D8C" w14:textId="77777777">
      <w:pPr>
        <w:spacing w:after="0" w:line="240" w:lineRule="auto"/>
      </w:pPr>
    </w:p>
    <w:p w:rsidRPr="009139B3" w:rsidR="001D1C73" w:rsidP="001D1C73" w:rsidRDefault="001D1C73" w14:paraId="6EBEC583" w14:textId="77777777">
      <w:pPr>
        <w:spacing w:after="0"/>
      </w:pPr>
    </w:p>
    <w:p w:rsidRPr="009139B3" w:rsidR="001D1C73" w:rsidP="001D1C73" w:rsidRDefault="001D1C73" w14:paraId="2DA362B8" w14:textId="7F1CF3BB">
      <w:pPr>
        <w:spacing w:after="120" w:line="240" w:lineRule="auto"/>
      </w:pPr>
      <w:r w:rsidRPr="009139B3">
        <w:rPr>
          <w:b/>
        </w:rPr>
        <w:t>A9</w:t>
      </w:r>
      <w:r w:rsidRPr="009139B3">
        <w:t>.</w:t>
      </w:r>
      <w:r w:rsidRPr="009139B3">
        <w:tab/>
      </w:r>
      <w:r w:rsidRPr="009139B3">
        <w:rPr>
          <w:b/>
        </w:rPr>
        <w:t>Tokens of Appreciation</w:t>
      </w:r>
    </w:p>
    <w:p w:rsidR="0048032D" w:rsidP="008D273E" w:rsidRDefault="008E2341" w14:paraId="6C9F55AC" w14:textId="4F7899A3">
      <w:pPr>
        <w:spacing w:after="0"/>
      </w:pPr>
      <w:r>
        <w:t>Agenc</w:t>
      </w:r>
      <w:r w:rsidR="00EA4122">
        <w:t xml:space="preserve">ies participating in NSCAW III are committing significant time and effort to the study over the course of </w:t>
      </w:r>
      <w:r w:rsidR="00C66A7E">
        <w:t xml:space="preserve">the several </w:t>
      </w:r>
      <w:r w:rsidR="00EA4122">
        <w:t>consecutive year</w:t>
      </w:r>
      <w:r w:rsidR="00C66A7E">
        <w:t>s needed to complete the baseline</w:t>
      </w:r>
      <w:r w:rsidR="00F00E8A">
        <w:t>,</w:t>
      </w:r>
      <w:r w:rsidR="00E92B30">
        <w:t xml:space="preserve"> </w:t>
      </w:r>
      <w:r w:rsidR="00C66A7E">
        <w:t>month follow-up</w:t>
      </w:r>
      <w:r w:rsidR="00F00E8A">
        <w:t>, and workforce</w:t>
      </w:r>
      <w:r w:rsidR="00525CCB">
        <w:t xml:space="preserve"> </w:t>
      </w:r>
      <w:r w:rsidR="00C66A7E">
        <w:t xml:space="preserve">data collection efforts previously approved by OMB. </w:t>
      </w:r>
      <w:r w:rsidR="00E92B30">
        <w:t xml:space="preserve">This change request includes the addition of a non-monetary incentive to adolescent </w:t>
      </w:r>
      <w:proofErr w:type="gramStart"/>
      <w:r w:rsidR="00E92B30">
        <w:t>respondents</w:t>
      </w:r>
      <w:proofErr w:type="gramEnd"/>
      <w:r w:rsidR="00E92B30">
        <w:t xml:space="preserve"> ages 11 to 17 years old. Adolescents will be offered a $20 gift card and an additional non-monetary gift of approximately equal (i.e., $20) value such as headphones or an art kit. </w:t>
      </w:r>
    </w:p>
    <w:p w:rsidR="0048032D" w:rsidP="00CD3C52" w:rsidRDefault="0048032D" w14:paraId="089E2688" w14:textId="77777777">
      <w:pPr>
        <w:spacing w:after="0"/>
        <w:rPr>
          <w:i/>
        </w:rPr>
      </w:pPr>
    </w:p>
    <w:p w:rsidRPr="001C7E39" w:rsidR="002B78E6" w:rsidP="00CD3C52" w:rsidRDefault="002B78E6" w14:paraId="23D69ADA" w14:textId="45B1C670">
      <w:pPr>
        <w:spacing w:after="60"/>
        <w:rPr>
          <w:i/>
        </w:rPr>
      </w:pPr>
      <w:r>
        <w:rPr>
          <w:i/>
        </w:rPr>
        <w:t xml:space="preserve">Previously Approved </w:t>
      </w:r>
    </w:p>
    <w:p w:rsidR="00193D07" w:rsidP="008D273E" w:rsidRDefault="001A2DD1" w14:paraId="244687B8" w14:textId="3651851B">
      <w:pPr>
        <w:spacing w:after="0"/>
      </w:pPr>
      <w:r>
        <w:t xml:space="preserve">Tokens of appreciation </w:t>
      </w:r>
      <w:r w:rsidR="00D66B86">
        <w:t xml:space="preserve">previously </w:t>
      </w:r>
      <w:r>
        <w:t>approved in Phase I</w:t>
      </w:r>
      <w:r w:rsidR="00F00E8A">
        <w:t xml:space="preserve">, II, and </w:t>
      </w:r>
      <w:proofErr w:type="gramStart"/>
      <w:r w:rsidR="00F00E8A">
        <w:t xml:space="preserve">III </w:t>
      </w:r>
      <w:r>
        <w:t xml:space="preserve"> of</w:t>
      </w:r>
      <w:proofErr w:type="gramEnd"/>
      <w:r>
        <w:t xml:space="preserve"> NSCAW III are as follows: </w:t>
      </w:r>
    </w:p>
    <w:p w:rsidR="001A2DD1" w:rsidP="008D273E" w:rsidRDefault="001A2DD1" w14:paraId="529F69FD" w14:textId="62821117">
      <w:pPr>
        <w:spacing w:after="0"/>
      </w:pPr>
    </w:p>
    <w:tbl>
      <w:tblPr>
        <w:tblStyle w:val="TableGrid"/>
        <w:tblW w:w="0" w:type="auto"/>
        <w:tblInd w:w="0" w:type="dxa"/>
        <w:tblLook w:val="04A0" w:firstRow="1" w:lastRow="0" w:firstColumn="1" w:lastColumn="0" w:noHBand="0" w:noVBand="1"/>
      </w:tblPr>
      <w:tblGrid>
        <w:gridCol w:w="2515"/>
        <w:gridCol w:w="2744"/>
        <w:gridCol w:w="2135"/>
        <w:gridCol w:w="1956"/>
      </w:tblGrid>
      <w:tr w:rsidRPr="000562C0" w:rsidR="001A2DD1" w:rsidTr="000562C0" w14:paraId="7171C11E" w14:textId="205171D8">
        <w:tc>
          <w:tcPr>
            <w:tcW w:w="2515" w:type="dxa"/>
            <w:shd w:val="clear" w:color="auto" w:fill="002060"/>
            <w:vAlign w:val="center"/>
          </w:tcPr>
          <w:p w:rsidRPr="000562C0" w:rsidR="001A2DD1" w:rsidP="00CD3C52" w:rsidRDefault="001A2DD1" w14:paraId="22CF4AE9" w14:textId="200ED58A">
            <w:pPr>
              <w:jc w:val="center"/>
              <w:rPr>
                <w:rFonts w:asciiTheme="minorHAnsi" w:hAnsiTheme="minorHAnsi" w:cstheme="minorHAnsi"/>
                <w:b/>
                <w:bCs/>
              </w:rPr>
            </w:pPr>
            <w:r w:rsidRPr="000562C0">
              <w:rPr>
                <w:rFonts w:asciiTheme="minorHAnsi" w:hAnsiTheme="minorHAnsi" w:cstheme="minorHAnsi"/>
                <w:b/>
                <w:bCs/>
              </w:rPr>
              <w:lastRenderedPageBreak/>
              <w:t>Respondents</w:t>
            </w:r>
          </w:p>
        </w:tc>
        <w:tc>
          <w:tcPr>
            <w:tcW w:w="2744" w:type="dxa"/>
            <w:shd w:val="clear" w:color="auto" w:fill="002060"/>
            <w:vAlign w:val="center"/>
          </w:tcPr>
          <w:p w:rsidRPr="000562C0" w:rsidR="001A2DD1" w:rsidP="00CD3C52" w:rsidRDefault="001A2DD1" w14:paraId="0579A1C4" w14:textId="3105F62A">
            <w:pPr>
              <w:jc w:val="center"/>
              <w:rPr>
                <w:rFonts w:asciiTheme="minorHAnsi" w:hAnsiTheme="minorHAnsi" w:cstheme="minorHAnsi"/>
                <w:b/>
                <w:bCs/>
              </w:rPr>
            </w:pPr>
            <w:r w:rsidRPr="000562C0">
              <w:rPr>
                <w:rFonts w:asciiTheme="minorHAnsi" w:hAnsiTheme="minorHAnsi" w:cstheme="minorHAnsi"/>
                <w:b/>
                <w:bCs/>
              </w:rPr>
              <w:t>Activity</w:t>
            </w:r>
          </w:p>
        </w:tc>
        <w:tc>
          <w:tcPr>
            <w:tcW w:w="2135" w:type="dxa"/>
            <w:shd w:val="clear" w:color="auto" w:fill="002060"/>
            <w:vAlign w:val="center"/>
          </w:tcPr>
          <w:p w:rsidRPr="000562C0" w:rsidR="001A2DD1" w:rsidP="00CD3C52" w:rsidRDefault="001A2DD1" w14:paraId="263F9CDE" w14:textId="7422D051">
            <w:pPr>
              <w:jc w:val="center"/>
              <w:rPr>
                <w:rFonts w:asciiTheme="minorHAnsi" w:hAnsiTheme="minorHAnsi" w:cstheme="minorHAnsi"/>
                <w:b/>
                <w:bCs/>
              </w:rPr>
            </w:pPr>
            <w:r w:rsidRPr="000562C0">
              <w:rPr>
                <w:rFonts w:asciiTheme="minorHAnsi" w:hAnsiTheme="minorHAnsi" w:cstheme="minorHAnsi"/>
                <w:b/>
                <w:bCs/>
              </w:rPr>
              <w:t>Time per Response</w:t>
            </w:r>
          </w:p>
        </w:tc>
        <w:tc>
          <w:tcPr>
            <w:tcW w:w="1956" w:type="dxa"/>
            <w:shd w:val="clear" w:color="auto" w:fill="002060"/>
            <w:vAlign w:val="center"/>
          </w:tcPr>
          <w:p w:rsidRPr="000562C0" w:rsidR="001A2DD1" w:rsidP="00CD3C52" w:rsidRDefault="001A2DD1" w14:paraId="6F891E58" w14:textId="769EB4AD">
            <w:pPr>
              <w:jc w:val="center"/>
              <w:rPr>
                <w:rFonts w:asciiTheme="minorHAnsi" w:hAnsiTheme="minorHAnsi" w:cstheme="minorHAnsi"/>
                <w:b/>
                <w:bCs/>
              </w:rPr>
            </w:pPr>
            <w:r w:rsidRPr="000562C0">
              <w:rPr>
                <w:rFonts w:asciiTheme="minorHAnsi" w:hAnsiTheme="minorHAnsi" w:cstheme="minorHAnsi"/>
                <w:b/>
                <w:bCs/>
              </w:rPr>
              <w:t>Token of Appreciation</w:t>
            </w:r>
          </w:p>
        </w:tc>
      </w:tr>
      <w:tr w:rsidR="001A2DD1" w:rsidTr="00BE2C44" w14:paraId="7E902A83" w14:textId="7A5DFC9E">
        <w:tc>
          <w:tcPr>
            <w:tcW w:w="2515" w:type="dxa"/>
          </w:tcPr>
          <w:p w:rsidRPr="000562C0" w:rsidR="001A2DD1" w:rsidP="008D273E" w:rsidRDefault="00BE2C44" w14:paraId="340A9F40" w14:textId="76C9A5B4">
            <w:pPr>
              <w:rPr>
                <w:rFonts w:asciiTheme="minorHAnsi" w:hAnsiTheme="minorHAnsi" w:cstheme="minorHAnsi"/>
              </w:rPr>
            </w:pPr>
            <w:r w:rsidRPr="000562C0">
              <w:rPr>
                <w:rFonts w:asciiTheme="minorHAnsi" w:hAnsiTheme="minorHAnsi" w:cstheme="minorHAnsi"/>
              </w:rPr>
              <w:t>Participating c</w:t>
            </w:r>
            <w:r w:rsidRPr="000562C0" w:rsidR="001A2DD1">
              <w:rPr>
                <w:rFonts w:asciiTheme="minorHAnsi" w:hAnsiTheme="minorHAnsi" w:cstheme="minorHAnsi"/>
              </w:rPr>
              <w:t xml:space="preserve">hild welfare agencies </w:t>
            </w:r>
          </w:p>
        </w:tc>
        <w:tc>
          <w:tcPr>
            <w:tcW w:w="2744" w:type="dxa"/>
          </w:tcPr>
          <w:p w:rsidRPr="000562C0" w:rsidR="001A2DD1" w:rsidP="008D273E" w:rsidRDefault="00A9006E" w14:paraId="7826DDC0" w14:textId="6B01D4CB">
            <w:pPr>
              <w:rPr>
                <w:rFonts w:asciiTheme="minorHAnsi" w:hAnsiTheme="minorHAnsi" w:cstheme="minorHAnsi"/>
              </w:rPr>
            </w:pPr>
            <w:r w:rsidRPr="000562C0">
              <w:rPr>
                <w:rFonts w:asciiTheme="minorHAnsi" w:hAnsiTheme="minorHAnsi" w:cstheme="minorHAnsi"/>
              </w:rPr>
              <w:t xml:space="preserve">Provision of </w:t>
            </w:r>
            <w:r w:rsidRPr="000562C0" w:rsidR="001032D6">
              <w:rPr>
                <w:rFonts w:asciiTheme="minorHAnsi" w:hAnsiTheme="minorHAnsi" w:cstheme="minorHAnsi"/>
              </w:rPr>
              <w:t xml:space="preserve">contact </w:t>
            </w:r>
            <w:r w:rsidRPr="000562C0">
              <w:rPr>
                <w:rFonts w:asciiTheme="minorHAnsi" w:hAnsiTheme="minorHAnsi" w:cstheme="minorHAnsi"/>
              </w:rPr>
              <w:t>i</w:t>
            </w:r>
            <w:r w:rsidRPr="000562C0" w:rsidR="00B10595">
              <w:rPr>
                <w:rFonts w:asciiTheme="minorHAnsi" w:hAnsiTheme="minorHAnsi" w:cstheme="minorHAnsi"/>
              </w:rPr>
              <w:t xml:space="preserve">nformation </w:t>
            </w:r>
            <w:r w:rsidRPr="000562C0" w:rsidR="001032D6">
              <w:rPr>
                <w:rFonts w:asciiTheme="minorHAnsi" w:hAnsiTheme="minorHAnsi" w:cstheme="minorHAnsi"/>
              </w:rPr>
              <w:t xml:space="preserve">for sampled </w:t>
            </w:r>
            <w:r w:rsidRPr="000562C0" w:rsidR="00D66B86">
              <w:rPr>
                <w:rFonts w:asciiTheme="minorHAnsi" w:hAnsiTheme="minorHAnsi" w:cstheme="minorHAnsi"/>
              </w:rPr>
              <w:t>children and their caregivers</w:t>
            </w:r>
          </w:p>
          <w:p w:rsidRPr="000562C0" w:rsidR="00D66B86" w:rsidP="008D273E" w:rsidRDefault="00D66B86" w14:paraId="13E17F80" w14:textId="77777777">
            <w:pPr>
              <w:rPr>
                <w:rFonts w:asciiTheme="minorHAnsi" w:hAnsiTheme="minorHAnsi" w:cstheme="minorHAnsi"/>
              </w:rPr>
            </w:pPr>
          </w:p>
          <w:p w:rsidRPr="000562C0" w:rsidR="00D66B86" w:rsidP="008D273E" w:rsidRDefault="00D66B86" w14:paraId="168C1DC3" w14:textId="77BE5085">
            <w:pPr>
              <w:rPr>
                <w:rFonts w:asciiTheme="minorHAnsi" w:hAnsiTheme="minorHAnsi" w:cstheme="minorHAnsi"/>
              </w:rPr>
            </w:pPr>
            <w:r w:rsidRPr="000562C0">
              <w:rPr>
                <w:rFonts w:asciiTheme="minorHAnsi" w:hAnsiTheme="minorHAnsi" w:cstheme="minorHAnsi"/>
              </w:rPr>
              <w:t>Baseline and 18-mont</w:t>
            </w:r>
            <w:r w:rsidRPr="000562C0" w:rsidR="00BE2C44">
              <w:rPr>
                <w:rFonts w:asciiTheme="minorHAnsi" w:hAnsiTheme="minorHAnsi" w:cstheme="minorHAnsi"/>
              </w:rPr>
              <w:t>h caseworker</w:t>
            </w:r>
            <w:r w:rsidRPr="000562C0">
              <w:rPr>
                <w:rFonts w:asciiTheme="minorHAnsi" w:hAnsiTheme="minorHAnsi" w:cstheme="minorHAnsi"/>
              </w:rPr>
              <w:t xml:space="preserve"> interview</w:t>
            </w:r>
            <w:r w:rsidRPr="000562C0" w:rsidR="00BE2C44">
              <w:rPr>
                <w:rFonts w:asciiTheme="minorHAnsi" w:hAnsiTheme="minorHAnsi" w:cstheme="minorHAnsi"/>
              </w:rPr>
              <w:t>s</w:t>
            </w:r>
            <w:r w:rsidRPr="000562C0">
              <w:rPr>
                <w:rFonts w:asciiTheme="minorHAnsi" w:hAnsiTheme="minorHAnsi" w:cstheme="minorHAnsi"/>
              </w:rPr>
              <w:t xml:space="preserve"> </w:t>
            </w:r>
          </w:p>
        </w:tc>
        <w:tc>
          <w:tcPr>
            <w:tcW w:w="2135" w:type="dxa"/>
          </w:tcPr>
          <w:p w:rsidRPr="000562C0" w:rsidR="001A2DD1" w:rsidP="008D273E" w:rsidRDefault="00CB3489" w14:paraId="0ED574DD" w14:textId="00BD6372">
            <w:pPr>
              <w:rPr>
                <w:rFonts w:asciiTheme="minorHAnsi" w:hAnsiTheme="minorHAnsi" w:cstheme="minorHAnsi"/>
              </w:rPr>
            </w:pPr>
            <w:r w:rsidRPr="000562C0">
              <w:rPr>
                <w:rFonts w:asciiTheme="minorHAnsi" w:hAnsiTheme="minorHAnsi" w:cstheme="minorHAnsi"/>
              </w:rPr>
              <w:t xml:space="preserve">1 hour per month </w:t>
            </w:r>
            <w:r w:rsidRPr="000562C0" w:rsidR="00D66B86">
              <w:rPr>
                <w:rFonts w:asciiTheme="minorHAnsi" w:hAnsiTheme="minorHAnsi" w:cstheme="minorHAnsi"/>
              </w:rPr>
              <w:t xml:space="preserve">during baseline </w:t>
            </w:r>
          </w:p>
          <w:p w:rsidRPr="000562C0" w:rsidR="00CB3489" w:rsidP="008D273E" w:rsidRDefault="00CB3489" w14:paraId="0418A639" w14:textId="40AD9BEB">
            <w:pPr>
              <w:rPr>
                <w:rFonts w:asciiTheme="minorHAnsi" w:hAnsiTheme="minorHAnsi" w:cstheme="minorHAnsi"/>
              </w:rPr>
            </w:pPr>
          </w:p>
          <w:p w:rsidRPr="000562C0" w:rsidR="00CB3489" w:rsidP="008D273E" w:rsidRDefault="00CB3489" w14:paraId="5F435D96" w14:textId="7C99ED0E">
            <w:pPr>
              <w:rPr>
                <w:rFonts w:asciiTheme="minorHAnsi" w:hAnsiTheme="minorHAnsi" w:cstheme="minorHAnsi"/>
              </w:rPr>
            </w:pPr>
            <w:r w:rsidRPr="000562C0">
              <w:rPr>
                <w:rFonts w:asciiTheme="minorHAnsi" w:hAnsiTheme="minorHAnsi" w:cstheme="minorHAnsi"/>
              </w:rPr>
              <w:t xml:space="preserve">45 minutes per </w:t>
            </w:r>
            <w:r w:rsidRPr="000562C0" w:rsidR="00D66B86">
              <w:rPr>
                <w:rFonts w:asciiTheme="minorHAnsi" w:hAnsiTheme="minorHAnsi" w:cstheme="minorHAnsi"/>
              </w:rPr>
              <w:t xml:space="preserve">caseworker </w:t>
            </w:r>
            <w:r w:rsidRPr="000562C0">
              <w:rPr>
                <w:rFonts w:asciiTheme="minorHAnsi" w:hAnsiTheme="minorHAnsi" w:cstheme="minorHAnsi"/>
              </w:rPr>
              <w:t xml:space="preserve">interview </w:t>
            </w:r>
          </w:p>
          <w:p w:rsidRPr="000562C0" w:rsidR="00CB3489" w:rsidP="008D273E" w:rsidRDefault="00CB3489" w14:paraId="0F89F198" w14:textId="77777777">
            <w:pPr>
              <w:rPr>
                <w:rFonts w:asciiTheme="minorHAnsi" w:hAnsiTheme="minorHAnsi" w:cstheme="minorHAnsi"/>
              </w:rPr>
            </w:pPr>
          </w:p>
          <w:p w:rsidRPr="000562C0" w:rsidR="00CB3489" w:rsidP="008D273E" w:rsidRDefault="00CB3489" w14:paraId="185E8E92" w14:textId="2DF0F23E">
            <w:pPr>
              <w:rPr>
                <w:rFonts w:asciiTheme="minorHAnsi" w:hAnsiTheme="minorHAnsi" w:cstheme="minorHAnsi"/>
              </w:rPr>
            </w:pPr>
          </w:p>
        </w:tc>
        <w:tc>
          <w:tcPr>
            <w:tcW w:w="1956" w:type="dxa"/>
          </w:tcPr>
          <w:p w:rsidRPr="000562C0" w:rsidR="001A2DD1" w:rsidP="008D273E" w:rsidRDefault="001A2DD1" w14:paraId="02B133E9" w14:textId="760BC6D1">
            <w:pPr>
              <w:rPr>
                <w:rFonts w:asciiTheme="minorHAnsi" w:hAnsiTheme="minorHAnsi" w:cstheme="minorHAnsi"/>
              </w:rPr>
            </w:pPr>
            <w:r w:rsidRPr="000562C0">
              <w:rPr>
                <w:rFonts w:asciiTheme="minorHAnsi" w:hAnsiTheme="minorHAnsi" w:cstheme="minorHAnsi"/>
              </w:rPr>
              <w:t>$200 annually</w:t>
            </w:r>
          </w:p>
        </w:tc>
      </w:tr>
      <w:tr w:rsidR="001A2DD1" w:rsidTr="00BE2C44" w14:paraId="6B93DC3D" w14:textId="77777777">
        <w:tc>
          <w:tcPr>
            <w:tcW w:w="2515" w:type="dxa"/>
          </w:tcPr>
          <w:p w:rsidRPr="000562C0" w:rsidR="001A2DD1" w:rsidP="008D273E" w:rsidRDefault="001A2DD1" w14:paraId="306AAE39" w14:textId="4781B38E">
            <w:pPr>
              <w:rPr>
                <w:rFonts w:asciiTheme="minorHAnsi" w:hAnsiTheme="minorHAnsi" w:cstheme="minorHAnsi"/>
              </w:rPr>
            </w:pPr>
            <w:r w:rsidRPr="000562C0">
              <w:rPr>
                <w:rFonts w:asciiTheme="minorHAnsi" w:hAnsiTheme="minorHAnsi" w:cstheme="minorHAnsi"/>
              </w:rPr>
              <w:t xml:space="preserve">Caregivers </w:t>
            </w:r>
          </w:p>
        </w:tc>
        <w:tc>
          <w:tcPr>
            <w:tcW w:w="2744" w:type="dxa"/>
          </w:tcPr>
          <w:p w:rsidRPr="000562C0" w:rsidR="001A2DD1" w:rsidP="008D273E" w:rsidRDefault="001A2DD1" w14:paraId="07AA8D36" w14:textId="14B81251">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Pr="000562C0" w:rsidR="001A2DD1" w:rsidP="008D273E" w:rsidRDefault="00CB3489" w14:paraId="34F8158D" w14:textId="4A7F05EA">
            <w:pPr>
              <w:rPr>
                <w:rFonts w:asciiTheme="minorHAnsi" w:hAnsiTheme="minorHAnsi" w:cstheme="minorHAnsi"/>
              </w:rPr>
            </w:pPr>
            <w:r w:rsidRPr="000562C0">
              <w:rPr>
                <w:rFonts w:asciiTheme="minorHAnsi" w:hAnsiTheme="minorHAnsi" w:cstheme="minorHAnsi"/>
              </w:rPr>
              <w:t xml:space="preserve">100 minutes </w:t>
            </w:r>
          </w:p>
        </w:tc>
        <w:tc>
          <w:tcPr>
            <w:tcW w:w="1956" w:type="dxa"/>
          </w:tcPr>
          <w:p w:rsidRPr="000562C0" w:rsidR="001A2DD1" w:rsidP="008D273E" w:rsidRDefault="00CB3489" w14:paraId="65528110" w14:textId="77777777">
            <w:pPr>
              <w:rPr>
                <w:rFonts w:asciiTheme="minorHAnsi" w:hAnsiTheme="minorHAnsi" w:cstheme="minorHAnsi"/>
              </w:rPr>
            </w:pPr>
            <w:r w:rsidRPr="000562C0">
              <w:rPr>
                <w:rFonts w:asciiTheme="minorHAnsi" w:hAnsiTheme="minorHAnsi" w:cstheme="minorHAnsi"/>
              </w:rPr>
              <w:t xml:space="preserve">$50 cash </w:t>
            </w:r>
          </w:p>
          <w:p w:rsidRPr="000562C0" w:rsidR="00CB3489" w:rsidP="008D273E" w:rsidRDefault="00CB3489" w14:paraId="2C5FA042" w14:textId="1B1A2A2B">
            <w:pPr>
              <w:rPr>
                <w:rFonts w:asciiTheme="minorHAnsi" w:hAnsiTheme="minorHAnsi" w:cstheme="minorHAnsi"/>
              </w:rPr>
            </w:pPr>
          </w:p>
        </w:tc>
      </w:tr>
      <w:tr w:rsidR="001A2DD1" w:rsidTr="00BE2C44" w14:paraId="370F0C8F" w14:textId="77777777">
        <w:tc>
          <w:tcPr>
            <w:tcW w:w="2515" w:type="dxa"/>
          </w:tcPr>
          <w:p w:rsidRPr="000562C0" w:rsidR="001A2DD1" w:rsidP="008D273E" w:rsidRDefault="001A2DD1" w14:paraId="741C9EA8" w14:textId="65A65708">
            <w:pPr>
              <w:rPr>
                <w:rFonts w:asciiTheme="minorHAnsi" w:hAnsiTheme="minorHAnsi" w:cstheme="minorHAnsi"/>
              </w:rPr>
            </w:pPr>
            <w:r w:rsidRPr="000562C0">
              <w:rPr>
                <w:rFonts w:asciiTheme="minorHAnsi" w:hAnsiTheme="minorHAnsi" w:cstheme="minorHAnsi"/>
              </w:rPr>
              <w:t xml:space="preserve">Children 11 and older </w:t>
            </w:r>
          </w:p>
        </w:tc>
        <w:tc>
          <w:tcPr>
            <w:tcW w:w="2744" w:type="dxa"/>
          </w:tcPr>
          <w:p w:rsidRPr="000562C0" w:rsidR="001A2DD1" w:rsidP="008D273E" w:rsidRDefault="001A2DD1" w14:paraId="08FF95C9" w14:textId="74A36ACA">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Pr="000562C0" w:rsidR="001A2DD1" w:rsidP="008D273E" w:rsidRDefault="00CB3489" w14:paraId="5021F225" w14:textId="428B5791">
            <w:pPr>
              <w:rPr>
                <w:rFonts w:asciiTheme="minorHAnsi" w:hAnsiTheme="minorHAnsi" w:cstheme="minorHAnsi"/>
              </w:rPr>
            </w:pPr>
            <w:r w:rsidRPr="000562C0">
              <w:rPr>
                <w:rFonts w:asciiTheme="minorHAnsi" w:hAnsiTheme="minorHAnsi" w:cstheme="minorHAnsi"/>
              </w:rPr>
              <w:t>60-100 minutes</w:t>
            </w:r>
          </w:p>
        </w:tc>
        <w:tc>
          <w:tcPr>
            <w:tcW w:w="1956" w:type="dxa"/>
          </w:tcPr>
          <w:p w:rsidRPr="000562C0" w:rsidR="001A2DD1" w:rsidP="008D273E" w:rsidRDefault="001A2DD1" w14:paraId="3E372DA2" w14:textId="5479C8DD">
            <w:pPr>
              <w:rPr>
                <w:rFonts w:asciiTheme="minorHAnsi" w:hAnsiTheme="minorHAnsi" w:cstheme="minorHAnsi"/>
              </w:rPr>
            </w:pPr>
            <w:r w:rsidRPr="000562C0">
              <w:rPr>
                <w:rFonts w:asciiTheme="minorHAnsi" w:hAnsiTheme="minorHAnsi" w:cstheme="minorHAnsi"/>
              </w:rPr>
              <w:t>$20 gift card</w:t>
            </w:r>
            <w:r w:rsidR="005F264B">
              <w:rPr>
                <w:rFonts w:asciiTheme="minorHAnsi" w:hAnsiTheme="minorHAnsi" w:cstheme="minorHAnsi"/>
              </w:rPr>
              <w:t xml:space="preserve"> and a nonmonetary</w:t>
            </w:r>
            <w:r w:rsidR="00AA174A">
              <w:rPr>
                <w:rFonts w:asciiTheme="minorHAnsi" w:hAnsiTheme="minorHAnsi" w:cstheme="minorHAnsi"/>
              </w:rPr>
              <w:t xml:space="preserve"> gift</w:t>
            </w:r>
            <w:r w:rsidR="005F264B">
              <w:rPr>
                <w:rFonts w:asciiTheme="minorHAnsi" w:hAnsiTheme="minorHAnsi" w:cstheme="minorHAnsi"/>
              </w:rPr>
              <w:t xml:space="preserve"> of ~$20 in value</w:t>
            </w:r>
          </w:p>
          <w:p w:rsidRPr="000562C0" w:rsidR="001A2DD1" w:rsidP="008D273E" w:rsidRDefault="001A2DD1" w14:paraId="41536323" w14:textId="56338C02">
            <w:pPr>
              <w:rPr>
                <w:rFonts w:asciiTheme="minorHAnsi" w:hAnsiTheme="minorHAnsi" w:cstheme="minorHAnsi"/>
              </w:rPr>
            </w:pPr>
          </w:p>
        </w:tc>
      </w:tr>
      <w:tr w:rsidR="001A2DD1" w:rsidTr="00BE2C44" w14:paraId="5AF749FE" w14:textId="77777777">
        <w:tc>
          <w:tcPr>
            <w:tcW w:w="2515" w:type="dxa"/>
          </w:tcPr>
          <w:p w:rsidRPr="000562C0" w:rsidR="001A2DD1" w:rsidP="008D273E" w:rsidRDefault="001A2DD1" w14:paraId="36432F35" w14:textId="28F4E706">
            <w:pPr>
              <w:rPr>
                <w:rFonts w:asciiTheme="minorHAnsi" w:hAnsiTheme="minorHAnsi" w:cstheme="minorHAnsi"/>
              </w:rPr>
            </w:pPr>
            <w:r w:rsidRPr="000562C0">
              <w:rPr>
                <w:rFonts w:asciiTheme="minorHAnsi" w:hAnsiTheme="minorHAnsi" w:cstheme="minorHAnsi"/>
              </w:rPr>
              <w:t xml:space="preserve">Children 10 and younger </w:t>
            </w:r>
          </w:p>
        </w:tc>
        <w:tc>
          <w:tcPr>
            <w:tcW w:w="2744" w:type="dxa"/>
          </w:tcPr>
          <w:p w:rsidRPr="000562C0" w:rsidR="001A2DD1" w:rsidP="008D273E" w:rsidRDefault="001A2DD1" w14:paraId="4A76E6EF" w14:textId="3C44BE85">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Pr="000562C0" w:rsidR="001A2DD1" w:rsidP="008D273E" w:rsidRDefault="00CB3489" w14:paraId="4E864121" w14:textId="1A5F36E4">
            <w:pPr>
              <w:rPr>
                <w:rFonts w:asciiTheme="minorHAnsi" w:hAnsiTheme="minorHAnsi" w:cstheme="minorHAnsi"/>
              </w:rPr>
            </w:pPr>
            <w:r w:rsidRPr="000562C0">
              <w:rPr>
                <w:rFonts w:asciiTheme="minorHAnsi" w:hAnsiTheme="minorHAnsi" w:cstheme="minorHAnsi"/>
              </w:rPr>
              <w:t>60-90 minutes</w:t>
            </w:r>
          </w:p>
        </w:tc>
        <w:tc>
          <w:tcPr>
            <w:tcW w:w="1956" w:type="dxa"/>
          </w:tcPr>
          <w:p w:rsidRPr="000562C0" w:rsidR="001A2DD1" w:rsidP="008D273E" w:rsidRDefault="001A2DD1" w14:paraId="0F7D74D2" w14:textId="6D1E3711">
            <w:pPr>
              <w:rPr>
                <w:rFonts w:asciiTheme="minorHAnsi" w:hAnsiTheme="minorHAnsi" w:cstheme="minorHAnsi"/>
              </w:rPr>
            </w:pPr>
            <w:r w:rsidRPr="000562C0">
              <w:rPr>
                <w:rFonts w:asciiTheme="minorHAnsi" w:hAnsiTheme="minorHAnsi" w:cstheme="minorHAnsi"/>
              </w:rPr>
              <w:t>$10 gift card</w:t>
            </w:r>
          </w:p>
        </w:tc>
      </w:tr>
      <w:tr w:rsidR="00F00E8A" w:rsidTr="00BE2C44" w14:paraId="38FF662A" w14:textId="77777777">
        <w:tc>
          <w:tcPr>
            <w:tcW w:w="2515" w:type="dxa"/>
          </w:tcPr>
          <w:p w:rsidRPr="00F00E8A" w:rsidR="00F00E8A" w:rsidP="008D273E" w:rsidRDefault="00F00E8A" w14:paraId="5E462F4E" w14:textId="59D3B669">
            <w:pPr>
              <w:rPr>
                <w:rFonts w:asciiTheme="minorHAnsi" w:hAnsiTheme="minorHAnsi" w:cstheme="minorHAnsi"/>
              </w:rPr>
            </w:pPr>
            <w:r w:rsidRPr="00F00E8A">
              <w:rPr>
                <w:rFonts w:asciiTheme="minorHAnsi" w:hAnsiTheme="minorHAnsi" w:cstheme="minorHAnsi"/>
              </w:rPr>
              <w:t xml:space="preserve">Participating supervisors and caseworkers </w:t>
            </w:r>
          </w:p>
        </w:tc>
        <w:tc>
          <w:tcPr>
            <w:tcW w:w="2744" w:type="dxa"/>
          </w:tcPr>
          <w:p w:rsidRPr="00F00E8A" w:rsidR="00F00E8A" w:rsidP="008D273E" w:rsidRDefault="00F00E8A" w14:paraId="4591B514" w14:textId="739B2E21">
            <w:pPr>
              <w:rPr>
                <w:rFonts w:asciiTheme="minorHAnsi" w:hAnsiTheme="minorHAnsi" w:cstheme="minorHAnsi"/>
              </w:rPr>
            </w:pPr>
            <w:r w:rsidRPr="00F00E8A">
              <w:rPr>
                <w:rFonts w:asciiTheme="minorHAnsi" w:hAnsiTheme="minorHAnsi" w:cstheme="minorHAnsi"/>
              </w:rPr>
              <w:t>Workforce surveys</w:t>
            </w:r>
          </w:p>
        </w:tc>
        <w:tc>
          <w:tcPr>
            <w:tcW w:w="2135" w:type="dxa"/>
          </w:tcPr>
          <w:p w:rsidRPr="00F00E8A" w:rsidR="00F00E8A" w:rsidP="008D273E" w:rsidRDefault="00F00E8A" w14:paraId="01DC8FC5" w14:textId="7E3FB862">
            <w:pPr>
              <w:rPr>
                <w:rFonts w:asciiTheme="minorHAnsi" w:hAnsiTheme="minorHAnsi" w:cstheme="minorHAnsi"/>
              </w:rPr>
            </w:pPr>
            <w:r w:rsidRPr="00F00E8A">
              <w:rPr>
                <w:rFonts w:asciiTheme="minorHAnsi" w:hAnsiTheme="minorHAnsi" w:cstheme="minorHAnsi"/>
              </w:rPr>
              <w:t>35-</w:t>
            </w:r>
            <w:r>
              <w:rPr>
                <w:rFonts w:asciiTheme="minorHAnsi" w:hAnsiTheme="minorHAnsi" w:cstheme="minorHAnsi"/>
              </w:rPr>
              <w:t>50 minutes</w:t>
            </w:r>
          </w:p>
        </w:tc>
        <w:tc>
          <w:tcPr>
            <w:tcW w:w="1956" w:type="dxa"/>
          </w:tcPr>
          <w:p w:rsidRPr="00F00E8A" w:rsidR="00F00E8A" w:rsidP="008D273E" w:rsidRDefault="00F00E8A" w14:paraId="05842155" w14:textId="19096BE8">
            <w:pPr>
              <w:rPr>
                <w:rFonts w:asciiTheme="minorHAnsi" w:hAnsiTheme="minorHAnsi" w:cstheme="minorHAnsi"/>
              </w:rPr>
            </w:pPr>
            <w:r>
              <w:rPr>
                <w:rFonts w:asciiTheme="minorHAnsi" w:hAnsiTheme="minorHAnsi" w:cstheme="minorHAnsi"/>
              </w:rPr>
              <w:t>$20 gift card</w:t>
            </w:r>
          </w:p>
        </w:tc>
      </w:tr>
    </w:tbl>
    <w:p w:rsidR="001A2DD1" w:rsidP="008D273E" w:rsidRDefault="001A2DD1" w14:paraId="32D692BF" w14:textId="77777777">
      <w:pPr>
        <w:spacing w:after="0"/>
      </w:pPr>
    </w:p>
    <w:p w:rsidR="001A2DD1" w:rsidP="008D273E" w:rsidRDefault="001A2DD1" w14:paraId="6BB0E5A1" w14:textId="77777777">
      <w:pPr>
        <w:spacing w:after="0"/>
      </w:pPr>
    </w:p>
    <w:p w:rsidR="008C6DD2" w:rsidP="00CD3C52" w:rsidRDefault="001D1C73" w14:paraId="37392EB2" w14:textId="3F19E1E4">
      <w:pPr>
        <w:spacing w:after="120" w:line="240" w:lineRule="auto"/>
        <w:rPr>
          <w:i/>
        </w:rPr>
      </w:pPr>
      <w:r w:rsidRPr="009139B3">
        <w:rPr>
          <w:b/>
        </w:rPr>
        <w:t>A10</w:t>
      </w:r>
      <w:r w:rsidRPr="009139B3">
        <w:t>.</w:t>
      </w:r>
      <w:r w:rsidRPr="009139B3">
        <w:tab/>
      </w:r>
      <w:r w:rsidRPr="009139B3">
        <w:rPr>
          <w:b/>
        </w:rPr>
        <w:t>Privacy:  Procedures to protect privacy of information, while maximizing data sharing</w:t>
      </w:r>
    </w:p>
    <w:p w:rsidR="001D1C73" w:rsidP="001D1C73" w:rsidRDefault="001D1C73" w14:paraId="628A8123" w14:textId="2DD09D8E">
      <w:pPr>
        <w:spacing w:after="60" w:line="240" w:lineRule="auto"/>
        <w:rPr>
          <w:i/>
        </w:rPr>
      </w:pPr>
      <w:r w:rsidRPr="009139B3">
        <w:rPr>
          <w:i/>
        </w:rPr>
        <w:t>Personally Identifiable Information</w:t>
      </w:r>
    </w:p>
    <w:p w:rsidRPr="009139B3" w:rsidR="001D1C73" w:rsidP="008D273E" w:rsidRDefault="00446863" w14:paraId="7688FE78" w14:textId="11CA0337">
      <w:pPr>
        <w:spacing w:after="0"/>
        <w:rPr>
          <w:i/>
        </w:rPr>
      </w:pPr>
      <w:r w:rsidRPr="005E3967">
        <w:t xml:space="preserve">A limited amount of </w:t>
      </w:r>
      <w:r w:rsidR="0048032D">
        <w:t>personally identifiable information (</w:t>
      </w:r>
      <w:r w:rsidRPr="005E3967">
        <w:t>PII</w:t>
      </w:r>
      <w:r w:rsidR="0048032D">
        <w:t>)</w:t>
      </w:r>
      <w:r w:rsidRPr="005E3967">
        <w:t xml:space="preserve"> will be </w:t>
      </w:r>
      <w:r w:rsidR="0048032D">
        <w:t xml:space="preserve">collected </w:t>
      </w:r>
      <w:r w:rsidRPr="005E3967">
        <w:t>for the purpose</w:t>
      </w:r>
      <w:r>
        <w:t xml:space="preserve">s of contacting </w:t>
      </w:r>
      <w:r w:rsidR="003D7BDE">
        <w:t xml:space="preserve">agency directors, supervisors, and caseworkers </w:t>
      </w:r>
      <w:r>
        <w:t xml:space="preserve">to schedule interviews.  These include name, agency address, and agency telephone number.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8D273E" w:rsidRDefault="001D1C73" w14:paraId="00972ADF" w14:textId="77777777">
      <w:pPr>
        <w:spacing w:after="0"/>
        <w:rPr>
          <w:i/>
        </w:rPr>
      </w:pPr>
    </w:p>
    <w:p w:rsidR="001D1C73" w:rsidP="001D1C73" w:rsidRDefault="001D1C73" w14:paraId="4254686E" w14:textId="6593D925">
      <w:pPr>
        <w:spacing w:after="60" w:line="240" w:lineRule="auto"/>
        <w:rPr>
          <w:i/>
        </w:rPr>
      </w:pPr>
      <w:r w:rsidRPr="009139B3">
        <w:rPr>
          <w:i/>
        </w:rPr>
        <w:t>Assurances of Privacy</w:t>
      </w:r>
    </w:p>
    <w:p w:rsidR="001D1C73" w:rsidP="008D273E" w:rsidRDefault="001D1C73" w14:paraId="3B371F60" w14:textId="0E594EB2">
      <w:pPr>
        <w:spacing w:after="0"/>
        <w:rPr>
          <w:rFonts w:cstheme="minorHAnsi"/>
        </w:rPr>
      </w:pPr>
      <w:r w:rsidRPr="009139B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8305D7" w:rsidP="008D273E" w:rsidRDefault="008305D7" w14:paraId="47A67DCC" w14:textId="77777777">
      <w:pPr>
        <w:pStyle w:val="BodyText"/>
        <w:spacing w:after="0" w:line="276" w:lineRule="auto"/>
        <w:rPr>
          <w:rFonts w:ascii="Calibri" w:hAnsi="Calibri" w:cs="Calibri"/>
          <w:sz w:val="22"/>
          <w:szCs w:val="22"/>
        </w:rPr>
      </w:pPr>
    </w:p>
    <w:p w:rsidR="008305D7" w:rsidP="008D273E" w:rsidRDefault="008305D7" w14:paraId="1A40E38C" w14:textId="3F58EF28">
      <w:pPr>
        <w:pStyle w:val="BodyText"/>
        <w:spacing w:after="0" w:line="276" w:lineRule="auto"/>
        <w:rPr>
          <w:rFonts w:ascii="Calibri" w:hAnsi="Calibri" w:cs="Calibri"/>
          <w:sz w:val="22"/>
          <w:szCs w:val="22"/>
        </w:rPr>
      </w:pPr>
      <w:r>
        <w:rPr>
          <w:rFonts w:ascii="Calibri" w:hAnsi="Calibri" w:cs="Calibri"/>
          <w:sz w:val="22"/>
          <w:szCs w:val="22"/>
        </w:rPr>
        <w:t xml:space="preserve">The </w:t>
      </w:r>
      <w:r w:rsidRPr="005B32C3">
        <w:rPr>
          <w:rFonts w:ascii="Calibri" w:hAnsi="Calibri" w:cs="Calibri"/>
          <w:sz w:val="22"/>
          <w:szCs w:val="22"/>
        </w:rPr>
        <w:t xml:space="preserve">consent </w:t>
      </w:r>
      <w:r>
        <w:rPr>
          <w:rFonts w:ascii="Calibri" w:hAnsi="Calibri" w:cs="Calibri"/>
          <w:sz w:val="22"/>
          <w:szCs w:val="22"/>
        </w:rPr>
        <w:t xml:space="preserve">forms for each respondent type describe measures taken to assure participant privacy. These </w:t>
      </w:r>
      <w:r w:rsidRPr="005B32C3">
        <w:rPr>
          <w:rFonts w:ascii="Calibri" w:hAnsi="Calibri" w:cs="Calibri"/>
          <w:sz w:val="22"/>
          <w:szCs w:val="22"/>
        </w:rPr>
        <w:t xml:space="preserve">include assurances that the </w:t>
      </w:r>
      <w:r w:rsidR="00D92859">
        <w:rPr>
          <w:rFonts w:ascii="Calibri" w:hAnsi="Calibri" w:cs="Calibri"/>
          <w:sz w:val="22"/>
          <w:szCs w:val="22"/>
        </w:rPr>
        <w:t xml:space="preserve">project </w:t>
      </w:r>
      <w:r w:rsidRPr="005B32C3">
        <w:rPr>
          <w:rFonts w:ascii="Calibri" w:hAnsi="Calibri" w:cs="Calibri"/>
          <w:sz w:val="22"/>
          <w:szCs w:val="22"/>
        </w:rPr>
        <w:t xml:space="preserve">team will protect the privacy of respondents to the fullest extent possible under the law, that respondents’ participation is voluntary, and that they may withdraw their consent at any time without any negative consequences. </w:t>
      </w:r>
    </w:p>
    <w:p w:rsidR="008305D7" w:rsidP="008D273E" w:rsidRDefault="008305D7" w14:paraId="4E4E6EC8" w14:textId="77777777">
      <w:pPr>
        <w:pStyle w:val="BodyText"/>
        <w:spacing w:after="0" w:line="276" w:lineRule="auto"/>
        <w:rPr>
          <w:rFonts w:ascii="Calibri" w:hAnsi="Calibri" w:cs="Calibri"/>
          <w:sz w:val="22"/>
          <w:szCs w:val="22"/>
        </w:rPr>
      </w:pPr>
    </w:p>
    <w:p w:rsidR="008305D7" w:rsidP="008D273E" w:rsidRDefault="008305D7" w14:paraId="46662184" w14:textId="04913666">
      <w:pPr>
        <w:spacing w:after="0"/>
        <w:rPr>
          <w:spacing w:val="-1"/>
        </w:rPr>
      </w:pPr>
      <w:r>
        <w:rPr>
          <w:rFonts w:ascii="Calibri" w:hAnsi="Calibri" w:cs="Calibri"/>
        </w:rPr>
        <w:t xml:space="preserve">The supervisor and caseworker surveys will use </w:t>
      </w:r>
      <w:r>
        <w:rPr>
          <w:rFonts w:cstheme="minorHAnsi"/>
        </w:rPr>
        <w:t xml:space="preserve">Computer Audio-Recorded Interviewing (CARI). CARI is a laptop computer application developed by RTI </w:t>
      </w:r>
      <w:r w:rsidR="00246684">
        <w:rPr>
          <w:rFonts w:cstheme="minorHAnsi"/>
        </w:rPr>
        <w:t xml:space="preserve">International </w:t>
      </w:r>
      <w:r>
        <w:rPr>
          <w:rFonts w:cstheme="minorHAnsi"/>
        </w:rPr>
        <w:t xml:space="preserve">for audio recording of field data collection to verify data collection and quality of data collection. </w:t>
      </w:r>
      <w:r>
        <w:rPr>
          <w:rFonts w:ascii="Calibri" w:hAnsi="Calibri" w:cs="Calibri"/>
        </w:rPr>
        <w:t xml:space="preserve"> </w:t>
      </w:r>
      <w:r>
        <w:t xml:space="preserve">The consent form also explains that CARI recordings will not include identifying information for participants and recordings will be destroyed after a review of survey quality. Participants either provide permission or opt out of CARI for their survey. </w:t>
      </w:r>
      <w:r w:rsidRPr="005B32C3">
        <w:t xml:space="preserve">As </w:t>
      </w:r>
      <w:r w:rsidRPr="005B32C3">
        <w:lastRenderedPageBreak/>
        <w:t xml:space="preserve">noted in </w:t>
      </w:r>
      <w:r w:rsidRPr="005B32C3">
        <w:rPr>
          <w:b/>
          <w:i/>
        </w:rPr>
        <w:t xml:space="preserve">Section </w:t>
      </w:r>
      <w:r>
        <w:rPr>
          <w:b/>
          <w:i/>
        </w:rPr>
        <w:t>A3</w:t>
      </w:r>
      <w:r w:rsidRPr="005B32C3">
        <w:t>, t</w:t>
      </w:r>
      <w:r w:rsidRPr="005B32C3">
        <w:rPr>
          <w:spacing w:val="-3"/>
        </w:rPr>
        <w:t xml:space="preserve">he </w:t>
      </w:r>
      <w:r>
        <w:rPr>
          <w:spacing w:val="-3"/>
        </w:rPr>
        <w:t>C</w:t>
      </w:r>
      <w:r w:rsidRPr="005B32C3">
        <w:rPr>
          <w:spacing w:val="-3"/>
        </w:rPr>
        <w:t xml:space="preserve">ontractor will use </w:t>
      </w:r>
      <w:proofErr w:type="spellStart"/>
      <w:r w:rsidRPr="005B32C3">
        <w:rPr>
          <w:spacing w:val="-1"/>
        </w:rPr>
        <w:t>DocMan</w:t>
      </w:r>
      <w:proofErr w:type="spellEnd"/>
      <w:r w:rsidRPr="005B32C3">
        <w:rPr>
          <w:spacing w:val="-1"/>
        </w:rPr>
        <w:t xml:space="preserve"> to securely obtain and transmit signed respondent documents, including informed consent forms.</w:t>
      </w:r>
    </w:p>
    <w:p w:rsidRPr="007D3E38" w:rsidR="008305D7" w:rsidP="008D273E" w:rsidRDefault="008305D7" w14:paraId="4B848C36" w14:textId="77777777">
      <w:pPr>
        <w:spacing w:after="0"/>
        <w:rPr>
          <w:rFonts w:ascii="Calibri" w:hAnsi="Calibri" w:cs="Calibri"/>
        </w:rPr>
      </w:pPr>
    </w:p>
    <w:p w:rsidR="008305D7" w:rsidP="008D273E" w:rsidRDefault="008305D7" w14:paraId="57208C82" w14:textId="3703CF55">
      <w:pPr>
        <w:pStyle w:val="BodyText"/>
        <w:spacing w:after="0" w:line="276" w:lineRule="auto"/>
        <w:rPr>
          <w:rFonts w:ascii="Calibri" w:hAnsi="Calibri" w:cs="Calibri"/>
          <w:sz w:val="22"/>
          <w:szCs w:val="22"/>
        </w:rPr>
      </w:pPr>
      <w:r w:rsidRPr="005B32C3">
        <w:rPr>
          <w:rFonts w:ascii="Calibri" w:hAnsi="Calibri" w:cs="Calibri"/>
          <w:sz w:val="22"/>
          <w:szCs w:val="22"/>
        </w:rPr>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answer any related questions raised by respondents.</w:t>
      </w:r>
    </w:p>
    <w:p w:rsidRPr="005B32C3" w:rsidR="008305D7" w:rsidP="008D273E" w:rsidRDefault="008305D7" w14:paraId="2835AFF2" w14:textId="77777777">
      <w:pPr>
        <w:pStyle w:val="BodyText"/>
        <w:spacing w:after="0" w:line="276" w:lineRule="auto"/>
        <w:rPr>
          <w:rFonts w:ascii="Calibri" w:hAnsi="Calibri" w:cs="Calibri"/>
          <w:sz w:val="22"/>
          <w:szCs w:val="22"/>
        </w:rPr>
      </w:pPr>
    </w:p>
    <w:p w:rsidRPr="00D97243" w:rsidR="008305D7" w:rsidP="008D273E" w:rsidRDefault="008305D7" w14:paraId="16BB42FA" w14:textId="0220DCD5">
      <w:pPr>
        <w:pStyle w:val="ListBullet"/>
        <w:numPr>
          <w:ilvl w:val="0"/>
          <w:numId w:val="0"/>
        </w:numPr>
        <w:spacing w:after="0" w:line="276" w:lineRule="auto"/>
        <w:rPr>
          <w:rFonts w:ascii="Calibri" w:hAnsi="Calibri" w:cs="Calibri"/>
          <w:sz w:val="22"/>
          <w:szCs w:val="22"/>
        </w:rPr>
      </w:pPr>
      <w:r>
        <w:rPr>
          <w:rFonts w:ascii="Calibri" w:hAnsi="Calibri" w:cs="Calibri"/>
          <w:sz w:val="22"/>
          <w:szCs w:val="22"/>
        </w:rPr>
        <w:t>T</w:t>
      </w:r>
      <w:r w:rsidRPr="00D97243">
        <w:rPr>
          <w:rFonts w:ascii="Calibri" w:hAnsi="Calibri" w:cs="Calibri"/>
          <w:sz w:val="22"/>
          <w:szCs w:val="22"/>
        </w:rPr>
        <w:t xml:space="preserve">he study </w:t>
      </w:r>
      <w:r>
        <w:rPr>
          <w:rFonts w:ascii="Calibri" w:hAnsi="Calibri" w:cs="Calibri"/>
          <w:sz w:val="22"/>
          <w:szCs w:val="22"/>
        </w:rPr>
        <w:t xml:space="preserve">has obtained </w:t>
      </w:r>
      <w:r w:rsidRPr="00D97243">
        <w:rPr>
          <w:rFonts w:ascii="Calibri" w:hAnsi="Calibri" w:cs="Calibri"/>
          <w:sz w:val="22"/>
          <w:szCs w:val="22"/>
        </w:rPr>
        <w:t>a federal Certificate of Confidentiality</w:t>
      </w:r>
      <w:r>
        <w:rPr>
          <w:rFonts w:ascii="Calibri" w:hAnsi="Calibri" w:cs="Calibri"/>
          <w:sz w:val="22"/>
          <w:szCs w:val="22"/>
        </w:rPr>
        <w:t xml:space="preserve"> that covers all information collected on NSCAW III</w:t>
      </w:r>
      <w:r w:rsidRPr="00D97243">
        <w:rPr>
          <w:rFonts w:ascii="Calibri" w:hAnsi="Calibri" w:cs="Calibri"/>
          <w:sz w:val="22"/>
          <w:szCs w:val="22"/>
        </w:rPr>
        <w:t xml:space="preserve">. The Certificate of Confidentiality helps to assure participants that their information will be kept private to the fullest extent permitted by law. </w:t>
      </w:r>
      <w:r w:rsidRPr="00D97243" w:rsidDel="00D41354">
        <w:rPr>
          <w:rFonts w:ascii="Calibri" w:hAnsi="Calibri" w:cs="Calibri"/>
          <w:sz w:val="22"/>
          <w:szCs w:val="22"/>
        </w:rPr>
        <w:t xml:space="preserve">Prior to </w:t>
      </w:r>
      <w:r w:rsidR="005D2B4E">
        <w:rPr>
          <w:rFonts w:ascii="Calibri" w:hAnsi="Calibri" w:cs="Calibri"/>
          <w:sz w:val="22"/>
          <w:szCs w:val="22"/>
        </w:rPr>
        <w:t xml:space="preserve">conducting surveys </w:t>
      </w:r>
      <w:r w:rsidRPr="00D97243">
        <w:rPr>
          <w:rFonts w:ascii="Calibri" w:hAnsi="Calibri" w:cs="Calibri"/>
          <w:sz w:val="22"/>
          <w:szCs w:val="22"/>
        </w:rPr>
        <w:t xml:space="preserve">with </w:t>
      </w:r>
      <w:r>
        <w:rPr>
          <w:rFonts w:ascii="Calibri" w:hAnsi="Calibri" w:cs="Calibri"/>
          <w:sz w:val="22"/>
          <w:szCs w:val="22"/>
        </w:rPr>
        <w:t xml:space="preserve">agency directors, supervisors, and caseworkers, </w:t>
      </w:r>
      <w:r w:rsidRPr="00D97243">
        <w:rPr>
          <w:rFonts w:ascii="Calibri" w:hAnsi="Calibri" w:cs="Calibri"/>
          <w:sz w:val="22"/>
          <w:szCs w:val="22"/>
        </w:rPr>
        <w:t xml:space="preserve">study </w:t>
      </w:r>
      <w:r w:rsidRPr="00D97243" w:rsidDel="00D41354">
        <w:rPr>
          <w:rFonts w:ascii="Calibri" w:hAnsi="Calibri" w:cs="Calibri"/>
          <w:sz w:val="22"/>
          <w:szCs w:val="22"/>
        </w:rPr>
        <w:t>approval will be received from the RTI Institutional Review Board</w:t>
      </w:r>
      <w:r w:rsidRPr="00D97243">
        <w:rPr>
          <w:rFonts w:ascii="Calibri" w:hAnsi="Calibri" w:cs="Calibri"/>
          <w:sz w:val="22"/>
          <w:szCs w:val="22"/>
        </w:rPr>
        <w:t xml:space="preserve"> (IRB)</w:t>
      </w:r>
      <w:r w:rsidRPr="00D97243" w:rsidDel="00D41354">
        <w:rPr>
          <w:rFonts w:ascii="Calibri" w:hAnsi="Calibri" w:cs="Calibri"/>
          <w:sz w:val="22"/>
          <w:szCs w:val="22"/>
        </w:rPr>
        <w:t>.</w:t>
      </w:r>
    </w:p>
    <w:p w:rsidRPr="009139B3" w:rsidR="001D1C73" w:rsidP="001D1C73" w:rsidRDefault="001D1C73" w14:paraId="66D7D622" w14:textId="77777777">
      <w:pPr>
        <w:spacing w:after="0" w:line="240" w:lineRule="auto"/>
        <w:rPr>
          <w:rFonts w:cstheme="minorHAnsi"/>
        </w:rPr>
      </w:pPr>
    </w:p>
    <w:p w:rsidR="001D1C73" w:rsidP="001D1C73" w:rsidRDefault="001D1C73" w14:paraId="013EB7D6" w14:textId="39C631CF">
      <w:pPr>
        <w:spacing w:after="60" w:line="240" w:lineRule="auto"/>
        <w:rPr>
          <w:rFonts w:cstheme="minorHAnsi"/>
          <w:i/>
        </w:rPr>
      </w:pPr>
      <w:r w:rsidRPr="009139B3">
        <w:rPr>
          <w:rFonts w:cstheme="minorHAnsi"/>
          <w:i/>
        </w:rPr>
        <w:t>Data Security and Monitoring</w:t>
      </w:r>
    </w:p>
    <w:p w:rsidRPr="009139B3" w:rsidR="001D1C73" w:rsidP="008D273E" w:rsidRDefault="001D1C73" w14:paraId="5E1F4C48" w14:textId="77777777">
      <w:pPr>
        <w:spacing w:after="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8D273E" w:rsidRDefault="001D1C73" w14:paraId="71BE4131" w14:textId="77777777">
      <w:pPr>
        <w:spacing w:after="0"/>
        <w:rPr>
          <w:rFonts w:eastAsia="Times New Roman" w:cstheme="minorHAnsi"/>
        </w:rPr>
      </w:pPr>
    </w:p>
    <w:p w:rsidRPr="009139B3" w:rsidR="001D1C73" w:rsidP="008D273E" w:rsidRDefault="001D1C73" w14:paraId="2AD7F4B4" w14:textId="77777777">
      <w:pPr>
        <w:spacing w:after="0"/>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CB54D9" w:rsidP="008D273E" w:rsidRDefault="00CB54D9" w14:paraId="018A58BA" w14:textId="77777777">
      <w:pPr>
        <w:pStyle w:val="BodyText"/>
        <w:spacing w:after="0" w:line="276" w:lineRule="auto"/>
        <w:rPr>
          <w:rFonts w:ascii="Calibri" w:hAnsi="Calibri" w:cs="Calibri"/>
          <w:sz w:val="22"/>
          <w:szCs w:val="22"/>
        </w:rPr>
      </w:pPr>
    </w:p>
    <w:p w:rsidRPr="005B32C3" w:rsidR="0051598B" w:rsidP="00CD3C52" w:rsidRDefault="00CB54D9" w14:paraId="739D8782" w14:textId="1741F9BC">
      <w:pPr>
        <w:pStyle w:val="BodyText"/>
        <w:spacing w:after="120" w:line="276" w:lineRule="auto"/>
        <w:rPr>
          <w:rFonts w:ascii="Calibri" w:hAnsi="Calibri" w:cs="Calibri"/>
          <w:sz w:val="22"/>
          <w:szCs w:val="22"/>
        </w:rPr>
      </w:pPr>
      <w:r w:rsidRPr="005B32C3">
        <w:rPr>
          <w:rFonts w:ascii="Calibri" w:hAnsi="Calibri" w:cs="Calibri"/>
          <w:sz w:val="22"/>
          <w:szCs w:val="22"/>
        </w:rPr>
        <w:t xml:space="preserve">The </w:t>
      </w:r>
      <w:r w:rsidR="005D2B4E">
        <w:rPr>
          <w:rFonts w:ascii="Calibri" w:hAnsi="Calibri" w:cs="Calibri"/>
          <w:sz w:val="22"/>
          <w:szCs w:val="22"/>
        </w:rPr>
        <w:t>C</w:t>
      </w:r>
      <w:r w:rsidRPr="005B32C3">
        <w:rPr>
          <w:rFonts w:ascii="Calibri" w:hAnsi="Calibri" w:cs="Calibri"/>
          <w:sz w:val="22"/>
          <w:szCs w:val="22"/>
        </w:rPr>
        <w:t xml:space="preserve">ontractor has established data security plans for handling data during all phases of the data collection, as follows: </w:t>
      </w:r>
    </w:p>
    <w:p w:rsidRPr="005B32C3" w:rsidR="00CB54D9" w:rsidP="008D273E" w:rsidRDefault="00CB54D9" w14:paraId="766C034D" w14:textId="77777777">
      <w:pPr>
        <w:pStyle w:val="ListBullet"/>
        <w:spacing w:after="0" w:line="276" w:lineRule="auto"/>
        <w:rPr>
          <w:rFonts w:ascii="Calibri" w:hAnsi="Calibri" w:cs="Calibri"/>
          <w:sz w:val="22"/>
          <w:szCs w:val="22"/>
        </w:rPr>
      </w:pPr>
      <w:r w:rsidRPr="005B32C3">
        <w:rPr>
          <w:rFonts w:ascii="Calibri" w:hAnsi="Calibri" w:cs="Calibri"/>
          <w:sz w:val="22"/>
          <w:szCs w:val="22"/>
        </w:rPr>
        <w:t>Field staff laptops</w:t>
      </w:r>
      <w:r w:rsidRPr="005B32C3">
        <w:rPr>
          <w:rFonts w:ascii="Calibri" w:hAnsi="Calibri" w:cs="Calibri"/>
          <w:spacing w:val="-5"/>
          <w:sz w:val="22"/>
          <w:szCs w:val="22"/>
        </w:rPr>
        <w:t xml:space="preserve"> will be </w:t>
      </w:r>
      <w:r w:rsidRPr="005B32C3">
        <w:rPr>
          <w:rFonts w:ascii="Calibri" w:hAnsi="Calibri" w:cs="Calibri"/>
          <w:sz w:val="22"/>
          <w:szCs w:val="22"/>
        </w:rPr>
        <w:t>password</w:t>
      </w:r>
      <w:r>
        <w:rPr>
          <w:rFonts w:ascii="Calibri" w:hAnsi="Calibri" w:cs="Calibri"/>
          <w:sz w:val="22"/>
          <w:szCs w:val="22"/>
        </w:rPr>
        <w:t xml:space="preserve"> </w:t>
      </w:r>
      <w:r w:rsidRPr="005B32C3">
        <w:rPr>
          <w:rFonts w:ascii="Calibri" w:hAnsi="Calibri" w:cs="Calibri"/>
          <w:sz w:val="22"/>
          <w:szCs w:val="22"/>
        </w:rPr>
        <w:t>protected</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5"/>
          <w:sz w:val="22"/>
          <w:szCs w:val="22"/>
        </w:rPr>
        <w:t xml:space="preserve"> </w:t>
      </w:r>
      <w:r w:rsidRPr="005B32C3">
        <w:rPr>
          <w:rFonts w:ascii="Calibri" w:hAnsi="Calibri" w:cs="Calibri"/>
          <w:sz w:val="22"/>
          <w:szCs w:val="22"/>
        </w:rPr>
        <w:t>disk</w:t>
      </w:r>
      <w:r w:rsidRPr="005B32C3">
        <w:rPr>
          <w:rFonts w:ascii="Calibri" w:hAnsi="Calibri" w:cs="Calibri"/>
          <w:spacing w:val="-5"/>
          <w:sz w:val="22"/>
          <w:szCs w:val="22"/>
        </w:rPr>
        <w:t xml:space="preserve"> </w:t>
      </w:r>
      <w:r w:rsidRPr="005B32C3">
        <w:rPr>
          <w:rFonts w:ascii="Calibri" w:hAnsi="Calibri" w:cs="Calibri"/>
          <w:sz w:val="22"/>
          <w:szCs w:val="22"/>
        </w:rPr>
        <w:t>encrypted.</w:t>
      </w:r>
      <w:r w:rsidRPr="005B32C3">
        <w:rPr>
          <w:rFonts w:ascii="Calibri" w:hAnsi="Calibri" w:cs="Calibri"/>
          <w:spacing w:val="47"/>
          <w:sz w:val="22"/>
          <w:szCs w:val="22"/>
        </w:rPr>
        <w:t xml:space="preserve"> </w:t>
      </w:r>
      <w:r w:rsidRPr="005B32C3">
        <w:rPr>
          <w:rFonts w:ascii="Calibri" w:hAnsi="Calibri" w:cs="Calibri"/>
          <w:sz w:val="22"/>
          <w:szCs w:val="22"/>
        </w:rPr>
        <w:t>There</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4"/>
          <w:sz w:val="22"/>
          <w:szCs w:val="22"/>
        </w:rPr>
        <w:t xml:space="preserve"> </w:t>
      </w:r>
      <w:r w:rsidRPr="005B32C3">
        <w:rPr>
          <w:rFonts w:ascii="Calibri" w:hAnsi="Calibri" w:cs="Calibri"/>
          <w:sz w:val="22"/>
          <w:szCs w:val="22"/>
        </w:rPr>
        <w:t>several</w:t>
      </w:r>
      <w:r w:rsidRPr="005B32C3">
        <w:rPr>
          <w:rFonts w:ascii="Calibri" w:hAnsi="Calibri" w:cs="Calibri"/>
          <w:spacing w:val="-4"/>
          <w:sz w:val="22"/>
          <w:szCs w:val="22"/>
        </w:rPr>
        <w:t xml:space="preserve"> </w:t>
      </w:r>
      <w:r w:rsidRPr="005B32C3">
        <w:rPr>
          <w:rFonts w:ascii="Calibri" w:hAnsi="Calibri" w:cs="Calibri"/>
          <w:sz w:val="22"/>
          <w:szCs w:val="22"/>
        </w:rPr>
        <w:t>levels</w:t>
      </w:r>
      <w:r w:rsidRPr="005B32C3">
        <w:rPr>
          <w:rFonts w:ascii="Calibri" w:hAnsi="Calibri" w:cs="Calibri"/>
          <w:spacing w:val="-5"/>
          <w:sz w:val="22"/>
          <w:szCs w:val="22"/>
        </w:rPr>
        <w:t xml:space="preserve"> </w:t>
      </w:r>
      <w:r w:rsidRPr="005B32C3">
        <w:rPr>
          <w:rFonts w:ascii="Calibri" w:hAnsi="Calibri" w:cs="Calibri"/>
          <w:sz w:val="22"/>
          <w:szCs w:val="22"/>
        </w:rPr>
        <w:t>of</w:t>
      </w:r>
      <w:r w:rsidRPr="005B32C3">
        <w:rPr>
          <w:rFonts w:ascii="Calibri" w:hAnsi="Calibri" w:cs="Calibri"/>
          <w:spacing w:val="-5"/>
          <w:sz w:val="22"/>
          <w:szCs w:val="22"/>
        </w:rPr>
        <w:t xml:space="preserve"> </w:t>
      </w:r>
      <w:r w:rsidRPr="005B32C3">
        <w:rPr>
          <w:rFonts w:ascii="Calibri" w:hAnsi="Calibri" w:cs="Calibri"/>
          <w:sz w:val="22"/>
          <w:szCs w:val="22"/>
        </w:rPr>
        <w:t>password‐protected</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5"/>
          <w:sz w:val="22"/>
          <w:szCs w:val="22"/>
        </w:rPr>
        <w:t xml:space="preserve"> </w:t>
      </w:r>
      <w:r w:rsidRPr="005B32C3">
        <w:rPr>
          <w:rFonts w:ascii="Calibri" w:hAnsi="Calibri" w:cs="Calibri"/>
          <w:sz w:val="22"/>
          <w:szCs w:val="22"/>
        </w:rPr>
        <w:t>required</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5"/>
          <w:sz w:val="22"/>
          <w:szCs w:val="22"/>
        </w:rPr>
        <w:t xml:space="preserve"> </w:t>
      </w:r>
      <w:r w:rsidRPr="005B32C3">
        <w:rPr>
          <w:rFonts w:ascii="Calibri" w:hAnsi="Calibri" w:cs="Calibri"/>
          <w:sz w:val="22"/>
          <w:szCs w:val="22"/>
        </w:rPr>
        <w:t>view</w:t>
      </w:r>
      <w:r w:rsidRPr="005B32C3">
        <w:rPr>
          <w:rFonts w:ascii="Calibri" w:hAnsi="Calibri" w:cs="Calibri"/>
          <w:spacing w:val="-4"/>
          <w:sz w:val="22"/>
          <w:szCs w:val="22"/>
        </w:rPr>
        <w:t xml:space="preserve"> </w:t>
      </w:r>
      <w:r w:rsidRPr="005B32C3">
        <w:rPr>
          <w:rFonts w:ascii="Calibri" w:hAnsi="Calibri" w:cs="Calibri"/>
          <w:sz w:val="22"/>
          <w:szCs w:val="22"/>
        </w:rPr>
        <w:t>the</w:t>
      </w:r>
      <w:r w:rsidRPr="005B32C3">
        <w:rPr>
          <w:rFonts w:ascii="Calibri" w:hAnsi="Calibri" w:cs="Calibri"/>
          <w:spacing w:val="-4"/>
          <w:sz w:val="22"/>
          <w:szCs w:val="22"/>
        </w:rPr>
        <w:t xml:space="preserve"> </w:t>
      </w:r>
      <w:r w:rsidRPr="005B32C3">
        <w:rPr>
          <w:rFonts w:ascii="Calibri" w:hAnsi="Calibri" w:cs="Calibri"/>
          <w:sz w:val="22"/>
          <w:szCs w:val="22"/>
        </w:rPr>
        <w:t>files</w:t>
      </w:r>
      <w:r w:rsidRPr="005B32C3">
        <w:rPr>
          <w:rFonts w:ascii="Calibri" w:hAnsi="Calibri" w:cs="Calibri"/>
          <w:spacing w:val="-4"/>
          <w:sz w:val="22"/>
          <w:szCs w:val="22"/>
        </w:rPr>
        <w:t xml:space="preserve"> </w:t>
      </w:r>
      <w:r w:rsidRPr="005B32C3">
        <w:rPr>
          <w:rFonts w:ascii="Calibri" w:hAnsi="Calibri" w:cs="Calibri"/>
          <w:sz w:val="22"/>
          <w:szCs w:val="22"/>
        </w:rPr>
        <w:t>on</w:t>
      </w:r>
      <w:r w:rsidRPr="005B32C3">
        <w:rPr>
          <w:rFonts w:ascii="Calibri" w:hAnsi="Calibri" w:cs="Calibri"/>
          <w:spacing w:val="-5"/>
          <w:sz w:val="22"/>
          <w:szCs w:val="22"/>
        </w:rPr>
        <w:t xml:space="preserve"> </w:t>
      </w:r>
      <w:r w:rsidRPr="005B32C3">
        <w:rPr>
          <w:rFonts w:ascii="Calibri" w:hAnsi="Calibri" w:cs="Calibri"/>
          <w:sz w:val="22"/>
          <w:szCs w:val="22"/>
        </w:rPr>
        <w:t>the</w:t>
      </w:r>
      <w:r w:rsidRPr="005B32C3">
        <w:rPr>
          <w:rFonts w:ascii="Calibri" w:hAnsi="Calibri" w:cs="Calibri"/>
          <w:spacing w:val="46"/>
          <w:w w:val="99"/>
          <w:sz w:val="22"/>
          <w:szCs w:val="22"/>
        </w:rPr>
        <w:t xml:space="preserve"> </w:t>
      </w:r>
      <w:r w:rsidRPr="005B32C3">
        <w:rPr>
          <w:rFonts w:ascii="Calibri" w:hAnsi="Calibri" w:cs="Calibri"/>
          <w:sz w:val="22"/>
          <w:szCs w:val="22"/>
        </w:rPr>
        <w:t>laptops.</w:t>
      </w:r>
      <w:r w:rsidRPr="005B32C3">
        <w:rPr>
          <w:rFonts w:ascii="Calibri" w:hAnsi="Calibri" w:cs="Calibri"/>
          <w:spacing w:val="53"/>
          <w:sz w:val="22"/>
          <w:szCs w:val="22"/>
        </w:rPr>
        <w:t xml:space="preserve"> </w:t>
      </w:r>
      <w:r w:rsidRPr="005B32C3">
        <w:rPr>
          <w:rFonts w:ascii="Calibri" w:hAnsi="Calibri" w:cs="Calibri"/>
          <w:sz w:val="22"/>
          <w:szCs w:val="22"/>
        </w:rPr>
        <w:t>Failure</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provide</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2"/>
          <w:sz w:val="22"/>
          <w:szCs w:val="22"/>
        </w:rPr>
        <w:t xml:space="preserve"> </w:t>
      </w:r>
      <w:r w:rsidRPr="005B32C3">
        <w:rPr>
          <w:rFonts w:ascii="Calibri" w:hAnsi="Calibri" w:cs="Calibri"/>
          <w:sz w:val="22"/>
          <w:szCs w:val="22"/>
        </w:rPr>
        <w:t>password</w:t>
      </w:r>
      <w:r w:rsidRPr="005B32C3">
        <w:rPr>
          <w:rFonts w:ascii="Calibri" w:hAnsi="Calibri" w:cs="Calibri"/>
          <w:spacing w:val="-2"/>
          <w:sz w:val="22"/>
          <w:szCs w:val="22"/>
        </w:rPr>
        <w:t xml:space="preserve"> </w:t>
      </w:r>
      <w:r w:rsidRPr="005B32C3">
        <w:rPr>
          <w:rFonts w:ascii="Calibri" w:hAnsi="Calibri" w:cs="Calibri"/>
          <w:sz w:val="22"/>
          <w:szCs w:val="22"/>
        </w:rPr>
        <w:t>at</w:t>
      </w:r>
      <w:r w:rsidRPr="005B32C3">
        <w:rPr>
          <w:rFonts w:ascii="Calibri" w:hAnsi="Calibri" w:cs="Calibri"/>
          <w:spacing w:val="-2"/>
          <w:sz w:val="22"/>
          <w:szCs w:val="22"/>
        </w:rPr>
        <w:t xml:space="preserve"> </w:t>
      </w:r>
      <w:r w:rsidRPr="005B32C3">
        <w:rPr>
          <w:rFonts w:ascii="Calibri" w:hAnsi="Calibri" w:cs="Calibri"/>
          <w:sz w:val="22"/>
          <w:szCs w:val="22"/>
        </w:rPr>
        <w:t>any</w:t>
      </w:r>
      <w:r w:rsidRPr="005B32C3">
        <w:rPr>
          <w:rFonts w:ascii="Calibri" w:hAnsi="Calibri" w:cs="Calibri"/>
          <w:spacing w:val="-2"/>
          <w:sz w:val="22"/>
          <w:szCs w:val="22"/>
        </w:rPr>
        <w:t xml:space="preserve"> </w:t>
      </w:r>
      <w:r w:rsidRPr="005B32C3">
        <w:rPr>
          <w:rFonts w:ascii="Calibri" w:hAnsi="Calibri" w:cs="Calibri"/>
          <w:sz w:val="22"/>
          <w:szCs w:val="22"/>
        </w:rPr>
        <w:t>of</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levels</w:t>
      </w:r>
      <w:r w:rsidRPr="005B32C3">
        <w:rPr>
          <w:rFonts w:ascii="Calibri" w:hAnsi="Calibri" w:cs="Calibri"/>
          <w:spacing w:val="-2"/>
          <w:sz w:val="22"/>
          <w:szCs w:val="22"/>
        </w:rPr>
        <w:t xml:space="preserve"> </w:t>
      </w:r>
      <w:r>
        <w:rPr>
          <w:rFonts w:ascii="Calibri" w:hAnsi="Calibri" w:cs="Calibri"/>
          <w:sz w:val="22"/>
          <w:szCs w:val="22"/>
        </w:rPr>
        <w:t>denies</w:t>
      </w:r>
      <w:r w:rsidRPr="005B32C3">
        <w:rPr>
          <w:rFonts w:ascii="Calibri" w:hAnsi="Calibri" w:cs="Calibri"/>
          <w:spacing w:val="-2"/>
          <w:sz w:val="22"/>
          <w:szCs w:val="22"/>
        </w:rPr>
        <w:t xml:space="preserve"> </w:t>
      </w:r>
      <w:r w:rsidRPr="005B32C3">
        <w:rPr>
          <w:rFonts w:ascii="Calibri" w:hAnsi="Calibri" w:cs="Calibri"/>
          <w:sz w:val="22"/>
          <w:szCs w:val="22"/>
        </w:rPr>
        <w:t>access</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case</w:t>
      </w:r>
      <w:r w:rsidRPr="005B32C3">
        <w:rPr>
          <w:rFonts w:ascii="Calibri" w:hAnsi="Calibri" w:cs="Calibri"/>
          <w:spacing w:val="28"/>
          <w:w w:val="99"/>
          <w:sz w:val="22"/>
          <w:szCs w:val="22"/>
        </w:rPr>
        <w:t xml:space="preserve"> </w:t>
      </w:r>
      <w:r w:rsidRPr="005B32C3">
        <w:rPr>
          <w:rFonts w:ascii="Calibri" w:hAnsi="Calibri" w:cs="Calibri"/>
          <w:sz w:val="22"/>
          <w:szCs w:val="22"/>
        </w:rPr>
        <w:t>files.</w:t>
      </w:r>
    </w:p>
    <w:p w:rsidRPr="005E3967" w:rsidR="00CB54D9" w:rsidP="008D273E" w:rsidRDefault="00CB54D9" w14:paraId="28C78E38" w14:textId="77777777">
      <w:pPr>
        <w:pStyle w:val="ListBullet"/>
        <w:spacing w:after="0" w:line="276" w:lineRule="auto"/>
        <w:rPr>
          <w:rFonts w:ascii="Calibri" w:hAnsi="Calibri" w:cs="Calibri"/>
          <w:sz w:val="22"/>
          <w:szCs w:val="22"/>
        </w:rPr>
      </w:pPr>
      <w:r w:rsidRPr="005B32C3">
        <w:rPr>
          <w:rFonts w:ascii="Calibri" w:hAnsi="Calibri" w:cs="Calibri"/>
          <w:sz w:val="22"/>
          <w:szCs w:val="22"/>
        </w:rPr>
        <w:lastRenderedPageBreak/>
        <w:t>Data</w:t>
      </w:r>
      <w:r w:rsidRPr="005B32C3">
        <w:rPr>
          <w:rFonts w:ascii="Calibri" w:hAnsi="Calibri" w:cs="Calibri"/>
          <w:spacing w:val="-1"/>
          <w:sz w:val="22"/>
          <w:szCs w:val="22"/>
        </w:rPr>
        <w:t xml:space="preserve"> </w:t>
      </w:r>
      <w:r w:rsidRPr="005B32C3">
        <w:rPr>
          <w:rFonts w:ascii="Calibri" w:hAnsi="Calibri" w:cs="Calibri"/>
          <w:sz w:val="22"/>
          <w:szCs w:val="22"/>
        </w:rPr>
        <w:t>will</w:t>
      </w:r>
      <w:r w:rsidRPr="005B32C3">
        <w:rPr>
          <w:rFonts w:ascii="Calibri" w:hAnsi="Calibri" w:cs="Calibri"/>
          <w:spacing w:val="-2"/>
          <w:sz w:val="22"/>
          <w:szCs w:val="22"/>
        </w:rPr>
        <w:t xml:space="preserve"> </w:t>
      </w:r>
      <w:r w:rsidRPr="005B32C3">
        <w:rPr>
          <w:rFonts w:ascii="Calibri" w:hAnsi="Calibri" w:cs="Calibri"/>
          <w:spacing w:val="-1"/>
          <w:sz w:val="22"/>
          <w:szCs w:val="22"/>
        </w:rPr>
        <w:t xml:space="preserve">be </w:t>
      </w:r>
      <w:r w:rsidRPr="005B32C3">
        <w:rPr>
          <w:rFonts w:ascii="Calibri" w:hAnsi="Calibri" w:cs="Calibri"/>
          <w:sz w:val="22"/>
          <w:szCs w:val="22"/>
        </w:rPr>
        <w:t>transmitted</w:t>
      </w:r>
      <w:r w:rsidRPr="005B32C3">
        <w:rPr>
          <w:rFonts w:ascii="Calibri" w:hAnsi="Calibri" w:cs="Calibri"/>
          <w:spacing w:val="-1"/>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z w:val="22"/>
          <w:szCs w:val="22"/>
        </w:rPr>
        <w:t>stored</w:t>
      </w:r>
      <w:r w:rsidRPr="005B32C3">
        <w:rPr>
          <w:rFonts w:ascii="Calibri" w:hAnsi="Calibri" w:cs="Calibri"/>
          <w:spacing w:val="-2"/>
          <w:sz w:val="22"/>
          <w:szCs w:val="22"/>
        </w:rPr>
        <w:t xml:space="preserve"> </w:t>
      </w:r>
      <w:r w:rsidRPr="005B32C3">
        <w:rPr>
          <w:rFonts w:ascii="Calibri" w:hAnsi="Calibri" w:cs="Calibri"/>
          <w:sz w:val="22"/>
          <w:szCs w:val="22"/>
        </w:rPr>
        <w:t>in</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1"/>
          <w:sz w:val="22"/>
          <w:szCs w:val="22"/>
        </w:rPr>
        <w:t xml:space="preserve"> </w:t>
      </w:r>
      <w:r w:rsidRPr="005B32C3">
        <w:rPr>
          <w:rFonts w:ascii="Calibri" w:hAnsi="Calibri" w:cs="Calibri"/>
          <w:sz w:val="22"/>
          <w:szCs w:val="22"/>
        </w:rPr>
        <w:t>way</w:t>
      </w:r>
      <w:r w:rsidRPr="005B32C3">
        <w:rPr>
          <w:rFonts w:ascii="Calibri" w:hAnsi="Calibri" w:cs="Calibri"/>
          <w:spacing w:val="-1"/>
          <w:sz w:val="22"/>
          <w:szCs w:val="22"/>
        </w:rPr>
        <w:t xml:space="preserve"> </w:t>
      </w:r>
      <w:r w:rsidRPr="005B32C3">
        <w:rPr>
          <w:rFonts w:ascii="Calibri" w:hAnsi="Calibri" w:cs="Calibri"/>
          <w:sz w:val="22"/>
          <w:szCs w:val="22"/>
        </w:rPr>
        <w:t>that</w:t>
      </w:r>
      <w:r w:rsidRPr="005B32C3">
        <w:rPr>
          <w:rFonts w:ascii="Calibri" w:hAnsi="Calibri" w:cs="Calibri"/>
          <w:spacing w:val="-2"/>
          <w:sz w:val="22"/>
          <w:szCs w:val="22"/>
        </w:rPr>
        <w:t xml:space="preserve"> </w:t>
      </w:r>
      <w:r w:rsidRPr="005B32C3">
        <w:rPr>
          <w:rFonts w:ascii="Calibri" w:hAnsi="Calibri" w:cs="Calibri"/>
          <w:spacing w:val="-1"/>
          <w:sz w:val="22"/>
          <w:szCs w:val="22"/>
        </w:rPr>
        <w:t>only</w:t>
      </w:r>
      <w:r w:rsidRPr="005B32C3">
        <w:rPr>
          <w:rFonts w:ascii="Calibri" w:hAnsi="Calibri" w:cs="Calibri"/>
          <w:spacing w:val="24"/>
          <w:sz w:val="22"/>
          <w:szCs w:val="22"/>
        </w:rPr>
        <w:t xml:space="preserve"> </w:t>
      </w:r>
      <w:r w:rsidRPr="005B32C3">
        <w:rPr>
          <w:rFonts w:ascii="Calibri" w:hAnsi="Calibri" w:cs="Calibri"/>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of</w:t>
      </w:r>
      <w:r w:rsidRPr="005B32C3">
        <w:rPr>
          <w:rFonts w:ascii="Calibri" w:hAnsi="Calibri" w:cs="Calibri"/>
          <w:spacing w:val="-4"/>
          <w:sz w:val="22"/>
          <w:szCs w:val="22"/>
        </w:rPr>
        <w:t xml:space="preserve"> </w:t>
      </w:r>
      <w:r w:rsidRPr="005B32C3">
        <w:rPr>
          <w:rFonts w:ascii="Calibri" w:hAnsi="Calibri" w:cs="Calibri"/>
          <w:spacing w:val="-1"/>
          <w:sz w:val="22"/>
          <w:szCs w:val="22"/>
        </w:rPr>
        <w:t>the</w:t>
      </w:r>
      <w:r w:rsidRPr="005B32C3">
        <w:rPr>
          <w:rFonts w:ascii="Calibri" w:hAnsi="Calibri" w:cs="Calibri"/>
          <w:spacing w:val="-3"/>
          <w:sz w:val="22"/>
          <w:szCs w:val="22"/>
        </w:rPr>
        <w:t xml:space="preserve"> </w:t>
      </w:r>
      <w:r w:rsidRPr="005B32C3">
        <w:rPr>
          <w:rFonts w:ascii="Calibri" w:hAnsi="Calibri" w:cs="Calibri"/>
          <w:sz w:val="22"/>
          <w:szCs w:val="22"/>
        </w:rPr>
        <w:t>project</w:t>
      </w:r>
      <w:r w:rsidRPr="005B32C3">
        <w:rPr>
          <w:rFonts w:ascii="Calibri" w:hAnsi="Calibri" w:cs="Calibri"/>
          <w:spacing w:val="-4"/>
          <w:sz w:val="22"/>
          <w:szCs w:val="22"/>
        </w:rPr>
        <w:t xml:space="preserve"> </w:t>
      </w:r>
      <w:r w:rsidRPr="005B32C3">
        <w:rPr>
          <w:rFonts w:ascii="Calibri" w:hAnsi="Calibri" w:cs="Calibri"/>
          <w:sz w:val="22"/>
          <w:szCs w:val="22"/>
        </w:rPr>
        <w:t>team</w:t>
      </w:r>
      <w:r w:rsidRPr="005B32C3">
        <w:rPr>
          <w:rFonts w:ascii="Calibri" w:hAnsi="Calibri" w:cs="Calibri"/>
          <w:spacing w:val="-4"/>
          <w:sz w:val="22"/>
          <w:szCs w:val="22"/>
        </w:rPr>
        <w:t xml:space="preserve"> </w:t>
      </w:r>
      <w:r w:rsidRPr="005B32C3">
        <w:rPr>
          <w:rFonts w:ascii="Calibri" w:hAnsi="Calibri" w:cs="Calibri"/>
          <w:sz w:val="22"/>
          <w:szCs w:val="22"/>
        </w:rPr>
        <w:t>who</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3"/>
          <w:sz w:val="22"/>
          <w:szCs w:val="22"/>
        </w:rPr>
        <w:t xml:space="preserve"> </w:t>
      </w:r>
      <w:r w:rsidRPr="005B32C3">
        <w:rPr>
          <w:rFonts w:ascii="Calibri" w:hAnsi="Calibri" w:cs="Calibri"/>
          <w:spacing w:val="-1"/>
          <w:sz w:val="22"/>
          <w:szCs w:val="22"/>
        </w:rPr>
        <w:t>authorized</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4"/>
          <w:sz w:val="22"/>
          <w:szCs w:val="22"/>
        </w:rPr>
        <w:t xml:space="preserve"> </w:t>
      </w:r>
      <w:r w:rsidRPr="005B32C3">
        <w:rPr>
          <w:rFonts w:ascii="Calibri" w:hAnsi="Calibri" w:cs="Calibri"/>
          <w:sz w:val="22"/>
          <w:szCs w:val="22"/>
        </w:rPr>
        <w:t>need</w:t>
      </w:r>
      <w:r w:rsidRPr="005B32C3">
        <w:rPr>
          <w:rFonts w:ascii="Calibri" w:hAnsi="Calibri" w:cs="Calibri"/>
          <w:spacing w:val="-4"/>
          <w:sz w:val="22"/>
          <w:szCs w:val="22"/>
        </w:rPr>
        <w:t xml:space="preserve"> </w:t>
      </w:r>
      <w:r w:rsidRPr="005B32C3">
        <w:rPr>
          <w:rFonts w:ascii="Calibri" w:hAnsi="Calibri" w:cs="Calibri"/>
          <w:sz w:val="22"/>
          <w:szCs w:val="22"/>
        </w:rPr>
        <w:t>will</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4"/>
          <w:sz w:val="22"/>
          <w:szCs w:val="22"/>
        </w:rPr>
        <w:t xml:space="preserve"> </w:t>
      </w:r>
      <w:r w:rsidRPr="005B32C3">
        <w:rPr>
          <w:rFonts w:ascii="Calibri" w:hAnsi="Calibri" w:cs="Calibri"/>
          <w:sz w:val="22"/>
          <w:szCs w:val="22"/>
        </w:rPr>
        <w:t>any</w:t>
      </w:r>
      <w:r w:rsidRPr="005B32C3">
        <w:rPr>
          <w:rFonts w:ascii="Calibri" w:hAnsi="Calibri" w:cs="Calibri"/>
          <w:spacing w:val="26"/>
          <w:sz w:val="22"/>
          <w:szCs w:val="22"/>
        </w:rPr>
        <w:t xml:space="preserve"> </w:t>
      </w:r>
      <w:r w:rsidRPr="005B32C3">
        <w:rPr>
          <w:rFonts w:ascii="Calibri" w:hAnsi="Calibri" w:cs="Calibri"/>
          <w:sz w:val="22"/>
          <w:szCs w:val="22"/>
        </w:rPr>
        <w:t>identifying</w:t>
      </w:r>
      <w:r w:rsidRPr="005B32C3">
        <w:rPr>
          <w:rFonts w:ascii="Calibri" w:hAnsi="Calibri" w:cs="Calibri"/>
          <w:spacing w:val="-4"/>
          <w:sz w:val="22"/>
          <w:szCs w:val="22"/>
        </w:rPr>
        <w:t xml:space="preserve"> </w:t>
      </w:r>
      <w:r w:rsidRPr="005B32C3">
        <w:rPr>
          <w:rFonts w:ascii="Calibri" w:hAnsi="Calibri" w:cs="Calibri"/>
          <w:spacing w:val="-1"/>
          <w:sz w:val="22"/>
          <w:szCs w:val="22"/>
        </w:rPr>
        <w:t>information.</w:t>
      </w:r>
      <w:r w:rsidRPr="005B32C3">
        <w:rPr>
          <w:rFonts w:ascii="Calibri" w:hAnsi="Calibri" w:cs="Calibri"/>
          <w:spacing w:val="48"/>
          <w:sz w:val="22"/>
          <w:szCs w:val="22"/>
        </w:rPr>
        <w:t xml:space="preserve"> </w:t>
      </w:r>
      <w:r w:rsidRPr="005B32C3">
        <w:rPr>
          <w:rFonts w:ascii="Calibri" w:hAnsi="Calibri" w:cs="Calibri"/>
          <w:sz w:val="22"/>
          <w:szCs w:val="22"/>
        </w:rPr>
        <w:t>All</w:t>
      </w:r>
      <w:r w:rsidRPr="005B32C3">
        <w:rPr>
          <w:rFonts w:ascii="Calibri" w:hAnsi="Calibri" w:cs="Calibri"/>
          <w:spacing w:val="-5"/>
          <w:sz w:val="22"/>
          <w:szCs w:val="22"/>
        </w:rPr>
        <w:t xml:space="preserve"> </w:t>
      </w:r>
      <w:r w:rsidRPr="005B32C3">
        <w:rPr>
          <w:rFonts w:ascii="Calibri" w:hAnsi="Calibri" w:cs="Calibri"/>
          <w:sz w:val="22"/>
          <w:szCs w:val="22"/>
        </w:rPr>
        <w:t>project</w:t>
      </w:r>
      <w:r w:rsidRPr="005B32C3">
        <w:rPr>
          <w:rFonts w:ascii="Calibri" w:hAnsi="Calibri" w:cs="Calibri"/>
          <w:spacing w:val="-3"/>
          <w:sz w:val="22"/>
          <w:szCs w:val="22"/>
        </w:rPr>
        <w:t xml:space="preserve"> </w:t>
      </w:r>
      <w:r w:rsidRPr="005B32C3">
        <w:rPr>
          <w:rFonts w:ascii="Calibri" w:hAnsi="Calibri" w:cs="Calibri"/>
          <w:spacing w:val="-1"/>
          <w:sz w:val="22"/>
          <w:szCs w:val="22"/>
        </w:rPr>
        <w:t>team</w:t>
      </w:r>
      <w:r w:rsidRPr="005B32C3">
        <w:rPr>
          <w:rFonts w:ascii="Calibri" w:hAnsi="Calibri" w:cs="Calibri"/>
          <w:spacing w:val="-4"/>
          <w:sz w:val="22"/>
          <w:szCs w:val="22"/>
        </w:rPr>
        <w:t xml:space="preserve"> </w:t>
      </w:r>
      <w:r w:rsidRPr="005B32C3">
        <w:rPr>
          <w:rFonts w:ascii="Calibri" w:hAnsi="Calibri" w:cs="Calibri"/>
          <w:spacing w:val="-1"/>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been</w:t>
      </w:r>
      <w:r w:rsidRPr="005B32C3">
        <w:rPr>
          <w:rFonts w:ascii="Calibri" w:hAnsi="Calibri" w:cs="Calibri"/>
          <w:spacing w:val="-4"/>
          <w:sz w:val="22"/>
          <w:szCs w:val="22"/>
        </w:rPr>
        <w:t xml:space="preserve"> </w:t>
      </w:r>
      <w:r w:rsidRPr="005B32C3">
        <w:rPr>
          <w:rFonts w:ascii="Calibri" w:hAnsi="Calibri" w:cs="Calibri"/>
          <w:sz w:val="22"/>
          <w:szCs w:val="22"/>
        </w:rPr>
        <w:t>trained</w:t>
      </w:r>
      <w:r w:rsidRPr="005B32C3">
        <w:rPr>
          <w:rFonts w:ascii="Calibri" w:hAnsi="Calibri" w:cs="Calibri"/>
          <w:spacing w:val="-5"/>
          <w:sz w:val="22"/>
          <w:szCs w:val="22"/>
        </w:rPr>
        <w:t xml:space="preserve"> </w:t>
      </w:r>
      <w:r w:rsidRPr="005B32C3">
        <w:rPr>
          <w:rFonts w:ascii="Calibri" w:hAnsi="Calibri" w:cs="Calibri"/>
          <w:spacing w:val="-1"/>
          <w:sz w:val="22"/>
          <w:szCs w:val="22"/>
        </w:rPr>
        <w:t>on</w:t>
      </w:r>
      <w:r w:rsidRPr="005B32C3">
        <w:rPr>
          <w:rFonts w:ascii="Calibri" w:hAnsi="Calibri" w:cs="Calibri"/>
          <w:spacing w:val="-4"/>
          <w:sz w:val="22"/>
          <w:szCs w:val="22"/>
        </w:rPr>
        <w:t xml:space="preserve"> </w:t>
      </w:r>
      <w:r w:rsidRPr="005B32C3">
        <w:rPr>
          <w:rFonts w:ascii="Calibri" w:hAnsi="Calibri" w:cs="Calibri"/>
          <w:spacing w:val="-1"/>
          <w:sz w:val="22"/>
          <w:szCs w:val="22"/>
        </w:rPr>
        <w:t>data</w:t>
      </w:r>
      <w:r w:rsidRPr="005B32C3">
        <w:rPr>
          <w:rFonts w:ascii="Calibri" w:hAnsi="Calibri" w:cs="Calibri"/>
          <w:spacing w:val="-3"/>
          <w:sz w:val="22"/>
          <w:szCs w:val="22"/>
        </w:rPr>
        <w:t xml:space="preserve"> </w:t>
      </w:r>
      <w:r w:rsidRPr="005B32C3">
        <w:rPr>
          <w:rFonts w:ascii="Calibri" w:hAnsi="Calibri" w:cs="Calibri"/>
          <w:spacing w:val="-1"/>
          <w:sz w:val="22"/>
          <w:szCs w:val="22"/>
        </w:rPr>
        <w:t>security</w:t>
      </w:r>
      <w:r w:rsidRPr="005B32C3">
        <w:rPr>
          <w:rFonts w:ascii="Calibri" w:hAnsi="Calibri" w:cs="Calibri"/>
          <w:spacing w:val="30"/>
          <w:w w:val="99"/>
          <w:sz w:val="22"/>
          <w:szCs w:val="22"/>
        </w:rPr>
        <w:t xml:space="preserve"> </w:t>
      </w:r>
      <w:r w:rsidRPr="005B32C3">
        <w:rPr>
          <w:rFonts w:ascii="Calibri" w:hAnsi="Calibri" w:cs="Calibri"/>
          <w:sz w:val="22"/>
          <w:szCs w:val="22"/>
        </w:rPr>
        <w:t>procedures</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Pr>
          <w:rFonts w:ascii="Calibri" w:hAnsi="Calibri" w:cs="Calibri"/>
          <w:spacing w:val="-4"/>
          <w:sz w:val="22"/>
          <w:szCs w:val="22"/>
        </w:rPr>
        <w:t xml:space="preserve">have </w:t>
      </w:r>
      <w:r w:rsidRPr="005B32C3">
        <w:rPr>
          <w:rFonts w:ascii="Calibri" w:hAnsi="Calibri" w:cs="Calibri"/>
          <w:sz w:val="22"/>
          <w:szCs w:val="22"/>
        </w:rPr>
        <w:t>signed</w:t>
      </w:r>
      <w:r w:rsidRPr="005B32C3">
        <w:rPr>
          <w:rFonts w:ascii="Calibri" w:hAnsi="Calibri" w:cs="Calibri"/>
          <w:spacing w:val="-3"/>
          <w:sz w:val="22"/>
          <w:szCs w:val="22"/>
        </w:rPr>
        <w:t xml:space="preserve"> </w:t>
      </w:r>
      <w:r w:rsidRPr="005B32C3">
        <w:rPr>
          <w:rFonts w:ascii="Calibri" w:hAnsi="Calibri" w:cs="Calibri"/>
          <w:spacing w:val="-1"/>
          <w:sz w:val="22"/>
          <w:szCs w:val="22"/>
        </w:rPr>
        <w:t>agreements</w:t>
      </w:r>
      <w:r w:rsidRPr="005B32C3">
        <w:rPr>
          <w:rFonts w:ascii="Calibri" w:hAnsi="Calibri" w:cs="Calibri"/>
          <w:spacing w:val="-4"/>
          <w:sz w:val="22"/>
          <w:szCs w:val="22"/>
        </w:rPr>
        <w:t xml:space="preserve"> </w:t>
      </w:r>
      <w:r w:rsidRPr="005B32C3">
        <w:rPr>
          <w:rFonts w:ascii="Calibri" w:hAnsi="Calibri" w:cs="Calibri"/>
          <w:sz w:val="22"/>
          <w:szCs w:val="22"/>
        </w:rPr>
        <w:t>that</w:t>
      </w:r>
      <w:r w:rsidRPr="005B32C3">
        <w:rPr>
          <w:rFonts w:ascii="Calibri" w:hAnsi="Calibri" w:cs="Calibri"/>
          <w:spacing w:val="-4"/>
          <w:sz w:val="22"/>
          <w:szCs w:val="22"/>
        </w:rPr>
        <w:t xml:space="preserve"> </w:t>
      </w:r>
      <w:r w:rsidRPr="005B32C3">
        <w:rPr>
          <w:rFonts w:ascii="Calibri" w:hAnsi="Calibri" w:cs="Calibri"/>
          <w:spacing w:val="-1"/>
          <w:sz w:val="22"/>
          <w:szCs w:val="22"/>
        </w:rPr>
        <w:t>provide</w:t>
      </w:r>
      <w:r w:rsidRPr="005B32C3">
        <w:rPr>
          <w:rFonts w:ascii="Calibri" w:hAnsi="Calibri" w:cs="Calibri"/>
          <w:spacing w:val="-3"/>
          <w:sz w:val="22"/>
          <w:szCs w:val="22"/>
        </w:rPr>
        <w:t xml:space="preserve"> </w:t>
      </w:r>
      <w:r w:rsidRPr="005B32C3">
        <w:rPr>
          <w:rFonts w:ascii="Calibri" w:hAnsi="Calibri" w:cs="Calibri"/>
          <w:spacing w:val="-1"/>
          <w:sz w:val="22"/>
          <w:szCs w:val="22"/>
        </w:rPr>
        <w:t>for</w:t>
      </w:r>
      <w:r w:rsidRPr="005B32C3">
        <w:rPr>
          <w:rFonts w:ascii="Calibri" w:hAnsi="Calibri" w:cs="Calibri"/>
          <w:spacing w:val="-2"/>
          <w:sz w:val="22"/>
          <w:szCs w:val="22"/>
        </w:rPr>
        <w:t xml:space="preserve"> </w:t>
      </w:r>
      <w:r w:rsidRPr="005B32C3">
        <w:rPr>
          <w:rFonts w:ascii="Calibri" w:hAnsi="Calibri" w:cs="Calibri"/>
          <w:sz w:val="22"/>
          <w:szCs w:val="22"/>
        </w:rPr>
        <w:t>termination</w:t>
      </w:r>
      <w:r w:rsidRPr="005B32C3">
        <w:rPr>
          <w:rFonts w:ascii="Calibri" w:hAnsi="Calibri" w:cs="Calibri"/>
          <w:spacing w:val="-4"/>
          <w:sz w:val="22"/>
          <w:szCs w:val="22"/>
        </w:rPr>
        <w:t xml:space="preserve"> </w:t>
      </w:r>
      <w:r w:rsidRPr="005B32C3">
        <w:rPr>
          <w:rFonts w:ascii="Calibri" w:hAnsi="Calibri" w:cs="Calibri"/>
          <w:spacing w:val="-1"/>
          <w:sz w:val="22"/>
          <w:szCs w:val="22"/>
        </w:rPr>
        <w:t>of</w:t>
      </w:r>
      <w:r w:rsidRPr="005B32C3">
        <w:rPr>
          <w:rFonts w:ascii="Calibri" w:hAnsi="Calibri" w:cs="Calibri"/>
          <w:spacing w:val="26"/>
          <w:sz w:val="22"/>
          <w:szCs w:val="22"/>
        </w:rPr>
        <w:t xml:space="preserve"> </w:t>
      </w:r>
      <w:r w:rsidRPr="005B32C3">
        <w:rPr>
          <w:rFonts w:ascii="Calibri" w:hAnsi="Calibri" w:cs="Calibri"/>
          <w:sz w:val="22"/>
          <w:szCs w:val="22"/>
        </w:rPr>
        <w:t>employment,</w:t>
      </w:r>
      <w:r w:rsidRPr="005B32C3">
        <w:rPr>
          <w:rFonts w:ascii="Calibri" w:hAnsi="Calibri" w:cs="Calibri"/>
          <w:spacing w:val="-4"/>
          <w:sz w:val="22"/>
          <w:szCs w:val="22"/>
        </w:rPr>
        <w:t xml:space="preserve"> </w:t>
      </w:r>
      <w:r w:rsidRPr="005B32C3">
        <w:rPr>
          <w:rFonts w:ascii="Calibri" w:hAnsi="Calibri" w:cs="Calibri"/>
          <w:sz w:val="22"/>
          <w:szCs w:val="22"/>
        </w:rPr>
        <w:t>civil</w:t>
      </w:r>
      <w:r w:rsidRPr="005B32C3">
        <w:rPr>
          <w:rFonts w:ascii="Calibri" w:hAnsi="Calibri" w:cs="Calibri"/>
          <w:spacing w:val="-3"/>
          <w:sz w:val="22"/>
          <w:szCs w:val="22"/>
        </w:rPr>
        <w:t xml:space="preserve"> </w:t>
      </w:r>
      <w:r w:rsidRPr="005B32C3">
        <w:rPr>
          <w:rFonts w:ascii="Calibri" w:hAnsi="Calibri" w:cs="Calibri"/>
          <w:spacing w:val="-1"/>
          <w:sz w:val="22"/>
          <w:szCs w:val="22"/>
        </w:rPr>
        <w:t xml:space="preserve">suit,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z w:val="22"/>
          <w:szCs w:val="22"/>
        </w:rPr>
        <w:t>financial</w:t>
      </w:r>
      <w:r w:rsidRPr="005B32C3">
        <w:rPr>
          <w:rFonts w:ascii="Calibri" w:hAnsi="Calibri" w:cs="Calibri"/>
          <w:spacing w:val="-2"/>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pacing w:val="-1"/>
          <w:sz w:val="22"/>
          <w:szCs w:val="22"/>
        </w:rPr>
        <w:t>other</w:t>
      </w:r>
      <w:r w:rsidRPr="005B32C3">
        <w:rPr>
          <w:rFonts w:ascii="Calibri" w:hAnsi="Calibri" w:cs="Calibri"/>
          <w:spacing w:val="-2"/>
          <w:sz w:val="22"/>
          <w:szCs w:val="22"/>
        </w:rPr>
        <w:t xml:space="preserve"> </w:t>
      </w:r>
      <w:r w:rsidRPr="005B32C3">
        <w:rPr>
          <w:rFonts w:ascii="Calibri" w:hAnsi="Calibri" w:cs="Calibri"/>
          <w:sz w:val="22"/>
          <w:szCs w:val="22"/>
        </w:rPr>
        <w:t>penalties</w:t>
      </w:r>
      <w:r w:rsidRPr="005B32C3">
        <w:rPr>
          <w:rFonts w:ascii="Calibri" w:hAnsi="Calibri" w:cs="Calibri"/>
          <w:spacing w:val="-1"/>
          <w:sz w:val="22"/>
          <w:szCs w:val="22"/>
        </w:rPr>
        <w:t xml:space="preserve"> </w:t>
      </w:r>
      <w:r w:rsidRPr="005B32C3">
        <w:rPr>
          <w:rFonts w:ascii="Calibri" w:hAnsi="Calibri" w:cs="Calibri"/>
          <w:sz w:val="22"/>
          <w:szCs w:val="22"/>
        </w:rPr>
        <w:t>in</w:t>
      </w:r>
      <w:r w:rsidRPr="005B32C3">
        <w:rPr>
          <w:rFonts w:ascii="Calibri" w:hAnsi="Calibri" w:cs="Calibri"/>
          <w:spacing w:val="-3"/>
          <w:sz w:val="22"/>
          <w:szCs w:val="22"/>
        </w:rPr>
        <w:t xml:space="preserve"> </w:t>
      </w:r>
      <w:r w:rsidRPr="005B32C3">
        <w:rPr>
          <w:rFonts w:ascii="Calibri" w:hAnsi="Calibri" w:cs="Calibri"/>
          <w:spacing w:val="-1"/>
          <w:sz w:val="22"/>
          <w:szCs w:val="22"/>
        </w:rPr>
        <w:t>case</w:t>
      </w:r>
      <w:r w:rsidRPr="005B32C3">
        <w:rPr>
          <w:rFonts w:ascii="Calibri" w:hAnsi="Calibri" w:cs="Calibri"/>
          <w:spacing w:val="-2"/>
          <w:sz w:val="22"/>
          <w:szCs w:val="22"/>
        </w:rPr>
        <w:t xml:space="preserve"> </w:t>
      </w:r>
      <w:r w:rsidRPr="005B32C3">
        <w:rPr>
          <w:rFonts w:ascii="Calibri" w:hAnsi="Calibri" w:cs="Calibri"/>
          <w:spacing w:val="-1"/>
          <w:sz w:val="22"/>
          <w:szCs w:val="22"/>
        </w:rPr>
        <w:t>of</w:t>
      </w:r>
      <w:r w:rsidRPr="005B32C3">
        <w:rPr>
          <w:rFonts w:ascii="Calibri" w:hAnsi="Calibri" w:cs="Calibri"/>
          <w:spacing w:val="-2"/>
          <w:sz w:val="22"/>
          <w:szCs w:val="22"/>
        </w:rPr>
        <w:t xml:space="preserve"> </w:t>
      </w:r>
      <w:r w:rsidRPr="005B32C3">
        <w:rPr>
          <w:rFonts w:ascii="Calibri" w:hAnsi="Calibri" w:cs="Calibri"/>
          <w:spacing w:val="-1"/>
          <w:sz w:val="22"/>
          <w:szCs w:val="22"/>
        </w:rPr>
        <w:t>violation.</w:t>
      </w:r>
      <w:r w:rsidRPr="005B32C3">
        <w:rPr>
          <w:rFonts w:ascii="Calibri" w:hAnsi="Calibri" w:cs="Calibri"/>
          <w:spacing w:val="50"/>
          <w:sz w:val="22"/>
          <w:szCs w:val="22"/>
        </w:rPr>
        <w:t xml:space="preserve"> </w:t>
      </w:r>
      <w:r w:rsidRPr="005B32C3">
        <w:rPr>
          <w:rFonts w:ascii="Calibri" w:hAnsi="Calibri" w:cs="Calibri"/>
          <w:sz w:val="22"/>
          <w:szCs w:val="22"/>
        </w:rPr>
        <w:t>RTI</w:t>
      </w:r>
      <w:r w:rsidRPr="005B32C3">
        <w:rPr>
          <w:rFonts w:ascii="Calibri" w:hAnsi="Calibri" w:cs="Calibri"/>
          <w:spacing w:val="-3"/>
          <w:sz w:val="22"/>
          <w:szCs w:val="22"/>
        </w:rPr>
        <w:t xml:space="preserve"> </w:t>
      </w:r>
      <w:r w:rsidRPr="005B32C3">
        <w:rPr>
          <w:rFonts w:ascii="Calibri" w:hAnsi="Calibri" w:cs="Calibri"/>
          <w:sz w:val="22"/>
          <w:szCs w:val="22"/>
        </w:rPr>
        <w:t>field</w:t>
      </w:r>
      <w:r w:rsidRPr="005B32C3">
        <w:rPr>
          <w:rFonts w:ascii="Calibri" w:hAnsi="Calibri" w:cs="Calibri"/>
          <w:spacing w:val="23"/>
          <w:sz w:val="22"/>
          <w:szCs w:val="22"/>
        </w:rPr>
        <w:t xml:space="preserve"> </w:t>
      </w:r>
      <w:r w:rsidRPr="005B32C3">
        <w:rPr>
          <w:rFonts w:ascii="Calibri" w:hAnsi="Calibri" w:cs="Calibri"/>
          <w:spacing w:val="-1"/>
          <w:sz w:val="22"/>
          <w:szCs w:val="22"/>
        </w:rPr>
        <w:t>laptops</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Pr>
          <w:rFonts w:ascii="Calibri" w:hAnsi="Calibri" w:cs="Calibri"/>
          <w:spacing w:val="-2"/>
          <w:sz w:val="22"/>
          <w:szCs w:val="22"/>
        </w:rPr>
        <w:t xml:space="preserve">the </w:t>
      </w:r>
      <w:r w:rsidRPr="005B32C3">
        <w:rPr>
          <w:rFonts w:ascii="Calibri" w:hAnsi="Calibri" w:cs="Calibri"/>
          <w:spacing w:val="-1"/>
          <w:sz w:val="22"/>
          <w:szCs w:val="22"/>
        </w:rPr>
        <w:t>data</w:t>
      </w:r>
      <w:r w:rsidRPr="005B32C3">
        <w:rPr>
          <w:rFonts w:ascii="Calibri" w:hAnsi="Calibri" w:cs="Calibri"/>
          <w:spacing w:val="-2"/>
          <w:sz w:val="22"/>
          <w:szCs w:val="22"/>
        </w:rPr>
        <w:t xml:space="preserve"> </w:t>
      </w:r>
      <w:r w:rsidRPr="005B32C3">
        <w:rPr>
          <w:rFonts w:ascii="Calibri" w:hAnsi="Calibri" w:cs="Calibri"/>
          <w:sz w:val="22"/>
          <w:szCs w:val="22"/>
        </w:rPr>
        <w:t>transmitted</w:t>
      </w:r>
      <w:r w:rsidRPr="005B32C3">
        <w:rPr>
          <w:rFonts w:ascii="Calibri" w:hAnsi="Calibri" w:cs="Calibri"/>
          <w:spacing w:val="-3"/>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pacing w:val="-1"/>
          <w:sz w:val="22"/>
          <w:szCs w:val="22"/>
        </w:rPr>
        <w:t>from</w:t>
      </w:r>
      <w:r w:rsidRPr="005B32C3">
        <w:rPr>
          <w:rFonts w:ascii="Calibri" w:hAnsi="Calibri" w:cs="Calibri"/>
          <w:spacing w:val="-2"/>
          <w:sz w:val="22"/>
          <w:szCs w:val="22"/>
        </w:rPr>
        <w:t xml:space="preserve"> </w:t>
      </w:r>
      <w:r w:rsidRPr="005B32C3">
        <w:rPr>
          <w:rFonts w:ascii="Calibri" w:hAnsi="Calibri" w:cs="Calibri"/>
          <w:sz w:val="22"/>
          <w:szCs w:val="22"/>
        </w:rPr>
        <w:t>the</w:t>
      </w:r>
      <w:r>
        <w:rPr>
          <w:rFonts w:ascii="Calibri" w:hAnsi="Calibri" w:cs="Calibri"/>
          <w:sz w:val="22"/>
          <w:szCs w:val="22"/>
        </w:rPr>
        <w:t xml:space="preserve"> laptops</w:t>
      </w:r>
      <w:r w:rsidRPr="005B32C3">
        <w:rPr>
          <w:rFonts w:ascii="Calibri" w:hAnsi="Calibri" w:cs="Calibri"/>
          <w:spacing w:val="-3"/>
          <w:sz w:val="22"/>
          <w:szCs w:val="22"/>
        </w:rPr>
        <w:t xml:space="preserve"> </w:t>
      </w:r>
      <w:r w:rsidRPr="005B32C3">
        <w:rPr>
          <w:rFonts w:ascii="Calibri" w:hAnsi="Calibri" w:cs="Calibri"/>
          <w:sz w:val="22"/>
          <w:szCs w:val="22"/>
        </w:rPr>
        <w:t>are</w:t>
      </w:r>
      <w:r w:rsidRPr="005B32C3">
        <w:rPr>
          <w:rFonts w:ascii="Calibri" w:hAnsi="Calibri" w:cs="Calibri"/>
          <w:spacing w:val="-2"/>
          <w:sz w:val="22"/>
          <w:szCs w:val="22"/>
        </w:rPr>
        <w:t xml:space="preserve"> </w:t>
      </w:r>
      <w:r w:rsidRPr="005B32C3">
        <w:rPr>
          <w:rFonts w:ascii="Calibri" w:hAnsi="Calibri" w:cs="Calibri"/>
          <w:spacing w:val="-1"/>
          <w:sz w:val="22"/>
          <w:szCs w:val="22"/>
        </w:rPr>
        <w:t>encrypted</w:t>
      </w:r>
      <w:r w:rsidRPr="005B32C3">
        <w:rPr>
          <w:rFonts w:ascii="Calibri" w:hAnsi="Calibri" w:cs="Calibri"/>
          <w:spacing w:val="-3"/>
          <w:sz w:val="22"/>
          <w:szCs w:val="22"/>
        </w:rPr>
        <w:t xml:space="preserve"> </w:t>
      </w:r>
      <w:r w:rsidRPr="005B32C3">
        <w:rPr>
          <w:rFonts w:ascii="Calibri" w:hAnsi="Calibri" w:cs="Calibri"/>
          <w:sz w:val="22"/>
          <w:szCs w:val="22"/>
        </w:rPr>
        <w:t>with</w:t>
      </w:r>
      <w:r w:rsidRPr="00F20A33">
        <w:t xml:space="preserve"> </w:t>
      </w:r>
      <w:r w:rsidRPr="00F20A33">
        <w:rPr>
          <w:rFonts w:ascii="Calibri" w:hAnsi="Calibri" w:cs="Calibri"/>
          <w:sz w:val="22"/>
          <w:szCs w:val="22"/>
        </w:rPr>
        <w:t>Federal Information Processing Standard</w:t>
      </w:r>
      <w:r w:rsidRPr="005B32C3">
        <w:rPr>
          <w:rFonts w:ascii="Calibri" w:hAnsi="Calibri" w:cs="Calibri"/>
          <w:spacing w:val="-3"/>
          <w:sz w:val="22"/>
          <w:szCs w:val="22"/>
        </w:rPr>
        <w:t xml:space="preserve"> </w:t>
      </w:r>
      <w:r>
        <w:rPr>
          <w:rFonts w:ascii="Calibri" w:hAnsi="Calibri" w:cs="Calibri"/>
          <w:spacing w:val="-3"/>
          <w:sz w:val="22"/>
          <w:szCs w:val="22"/>
        </w:rPr>
        <w:t>(</w:t>
      </w:r>
      <w:r w:rsidRPr="005B32C3">
        <w:rPr>
          <w:rFonts w:ascii="Calibri" w:hAnsi="Calibri" w:cs="Calibri"/>
          <w:spacing w:val="-1"/>
          <w:sz w:val="22"/>
          <w:szCs w:val="22"/>
        </w:rPr>
        <w:t>FIPS</w:t>
      </w:r>
      <w:r>
        <w:rPr>
          <w:rFonts w:ascii="Calibri" w:hAnsi="Calibri" w:cs="Calibri"/>
          <w:spacing w:val="-1"/>
          <w:sz w:val="22"/>
          <w:szCs w:val="22"/>
        </w:rPr>
        <w:t>)</w:t>
      </w:r>
      <w:r w:rsidRPr="005B32C3">
        <w:rPr>
          <w:rFonts w:ascii="Calibri" w:hAnsi="Calibri" w:cs="Calibri"/>
          <w:spacing w:val="-2"/>
          <w:sz w:val="22"/>
          <w:szCs w:val="22"/>
        </w:rPr>
        <w:t xml:space="preserve"> </w:t>
      </w:r>
      <w:r w:rsidRPr="005B32C3">
        <w:rPr>
          <w:rFonts w:ascii="Calibri" w:hAnsi="Calibri" w:cs="Calibri"/>
          <w:spacing w:val="-1"/>
          <w:sz w:val="22"/>
          <w:szCs w:val="22"/>
        </w:rPr>
        <w:t>140.2</w:t>
      </w:r>
      <w:r>
        <w:rPr>
          <w:rFonts w:ascii="Calibri" w:hAnsi="Calibri" w:cs="Calibri"/>
          <w:spacing w:val="-3"/>
          <w:sz w:val="22"/>
          <w:szCs w:val="22"/>
        </w:rPr>
        <w:t>–</w:t>
      </w:r>
      <w:r w:rsidRPr="005B32C3">
        <w:rPr>
          <w:rFonts w:ascii="Calibri" w:hAnsi="Calibri" w:cs="Calibri"/>
          <w:sz w:val="22"/>
          <w:szCs w:val="22"/>
        </w:rPr>
        <w:t>compliant</w:t>
      </w:r>
      <w:r w:rsidRPr="005B32C3">
        <w:rPr>
          <w:rFonts w:ascii="Calibri" w:hAnsi="Calibri" w:cs="Calibri"/>
          <w:spacing w:val="21"/>
          <w:sz w:val="22"/>
          <w:szCs w:val="22"/>
        </w:rPr>
        <w:t xml:space="preserve"> </w:t>
      </w:r>
      <w:r w:rsidRPr="005E3967">
        <w:rPr>
          <w:rFonts w:ascii="Calibri" w:hAnsi="Calibri" w:cs="Calibri"/>
          <w:sz w:val="22"/>
          <w:szCs w:val="22"/>
        </w:rPr>
        <w:t>algorithms.</w:t>
      </w:r>
    </w:p>
    <w:p w:rsidRPr="005E3967" w:rsidR="00CB54D9" w:rsidP="008D273E" w:rsidRDefault="00CB54D9" w14:paraId="0AA7CDE4" w14:textId="77777777">
      <w:pPr>
        <w:pStyle w:val="ListBullet"/>
        <w:spacing w:after="0" w:line="276" w:lineRule="auto"/>
        <w:rPr>
          <w:rFonts w:ascii="Calibri" w:hAnsi="Calibri" w:cs="Calibri"/>
          <w:spacing w:val="52"/>
          <w:sz w:val="22"/>
          <w:szCs w:val="22"/>
        </w:rPr>
      </w:pPr>
      <w:r w:rsidRPr="005E3967">
        <w:rPr>
          <w:rFonts w:ascii="Calibri" w:hAnsi="Calibri" w:cs="Calibri"/>
          <w:sz w:val="22"/>
          <w:szCs w:val="22"/>
        </w:rPr>
        <w:t>All</w:t>
      </w:r>
      <w:r w:rsidRPr="005E3967">
        <w:rPr>
          <w:rFonts w:ascii="Calibri" w:hAnsi="Calibri" w:cs="Calibri"/>
          <w:spacing w:val="-6"/>
          <w:sz w:val="22"/>
          <w:szCs w:val="22"/>
        </w:rPr>
        <w:t xml:space="preserve"> </w:t>
      </w:r>
      <w:r w:rsidRPr="005E3967">
        <w:rPr>
          <w:rFonts w:ascii="Calibri" w:hAnsi="Calibri" w:cs="Calibri"/>
          <w:spacing w:val="-1"/>
          <w:sz w:val="22"/>
          <w:szCs w:val="22"/>
        </w:rPr>
        <w:t>personnel</w:t>
      </w:r>
      <w:r w:rsidRPr="005E3967">
        <w:rPr>
          <w:rFonts w:ascii="Calibri" w:hAnsi="Calibri" w:cs="Calibri"/>
          <w:spacing w:val="-4"/>
          <w:sz w:val="22"/>
          <w:szCs w:val="22"/>
        </w:rPr>
        <w:t xml:space="preserve"> </w:t>
      </w:r>
      <w:r w:rsidRPr="005E3967">
        <w:rPr>
          <w:rFonts w:ascii="Calibri" w:hAnsi="Calibri" w:cs="Calibri"/>
          <w:sz w:val="22"/>
          <w:szCs w:val="22"/>
        </w:rPr>
        <w:t>working</w:t>
      </w:r>
      <w:r w:rsidRPr="005E3967">
        <w:rPr>
          <w:rFonts w:ascii="Calibri" w:hAnsi="Calibri" w:cs="Calibri"/>
          <w:spacing w:val="-5"/>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z w:val="22"/>
          <w:szCs w:val="22"/>
        </w:rPr>
        <w:t>the</w:t>
      </w:r>
      <w:r w:rsidRPr="005E3967">
        <w:rPr>
          <w:rFonts w:ascii="Calibri" w:hAnsi="Calibri" w:cs="Calibri"/>
          <w:spacing w:val="-5"/>
          <w:sz w:val="22"/>
          <w:szCs w:val="22"/>
        </w:rPr>
        <w:t xml:space="preserve"> </w:t>
      </w:r>
      <w:r w:rsidRPr="005E3967">
        <w:rPr>
          <w:rFonts w:ascii="Calibri" w:hAnsi="Calibri" w:cs="Calibri"/>
          <w:sz w:val="22"/>
          <w:szCs w:val="22"/>
        </w:rPr>
        <w:t>survey</w:t>
      </w:r>
      <w:r w:rsidRPr="005E3967">
        <w:rPr>
          <w:rFonts w:ascii="Calibri" w:hAnsi="Calibri" w:cs="Calibri"/>
          <w:spacing w:val="24"/>
          <w:w w:val="99"/>
          <w:sz w:val="22"/>
          <w:szCs w:val="22"/>
        </w:rPr>
        <w:t xml:space="preserve"> </w:t>
      </w:r>
      <w:r w:rsidRPr="005E3967">
        <w:rPr>
          <w:rFonts w:ascii="Calibri" w:hAnsi="Calibri" w:cs="Calibri"/>
          <w:spacing w:val="-1"/>
          <w:sz w:val="22"/>
          <w:szCs w:val="22"/>
        </w:rPr>
        <w:t>must</w:t>
      </w:r>
      <w:r w:rsidRPr="005E3967">
        <w:rPr>
          <w:rFonts w:ascii="Calibri" w:hAnsi="Calibri" w:cs="Calibri"/>
          <w:spacing w:val="-3"/>
          <w:sz w:val="22"/>
          <w:szCs w:val="22"/>
        </w:rPr>
        <w:t xml:space="preserve"> </w:t>
      </w:r>
      <w:r w:rsidRPr="005E3967">
        <w:rPr>
          <w:rFonts w:ascii="Calibri" w:hAnsi="Calibri" w:cs="Calibri"/>
          <w:spacing w:val="-1"/>
          <w:sz w:val="22"/>
          <w:szCs w:val="22"/>
        </w:rPr>
        <w:t>sign</w:t>
      </w:r>
      <w:r w:rsidRPr="005E3967">
        <w:rPr>
          <w:rFonts w:ascii="Calibri" w:hAnsi="Calibri" w:cs="Calibri"/>
          <w:spacing w:val="-2"/>
          <w:sz w:val="22"/>
          <w:szCs w:val="22"/>
        </w:rPr>
        <w:t xml:space="preserve"> </w:t>
      </w:r>
      <w:r w:rsidRPr="005E3967">
        <w:rPr>
          <w:rFonts w:ascii="Calibri" w:hAnsi="Calibri" w:cs="Calibri"/>
          <w:sz w:val="22"/>
          <w:szCs w:val="22"/>
        </w:rPr>
        <w:t>affidavits</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pledging </w:t>
      </w:r>
      <w:r w:rsidRPr="005E3967">
        <w:rPr>
          <w:rFonts w:ascii="Calibri" w:hAnsi="Calibri" w:cs="Calibri"/>
          <w:sz w:val="22"/>
          <w:szCs w:val="22"/>
        </w:rPr>
        <w:t>that</w:t>
      </w:r>
      <w:r w:rsidRPr="005E3967">
        <w:rPr>
          <w:rFonts w:ascii="Calibri" w:hAnsi="Calibri" w:cs="Calibri"/>
          <w:spacing w:val="-2"/>
          <w:sz w:val="22"/>
          <w:szCs w:val="22"/>
        </w:rPr>
        <w:t xml:space="preserve"> </w:t>
      </w:r>
      <w:r w:rsidRPr="005E3967">
        <w:rPr>
          <w:rFonts w:ascii="Calibri" w:hAnsi="Calibri" w:cs="Calibri"/>
          <w:sz w:val="22"/>
          <w:szCs w:val="22"/>
        </w:rPr>
        <w:t>the</w:t>
      </w:r>
      <w:r w:rsidRPr="005E3967">
        <w:rPr>
          <w:rFonts w:ascii="Calibri" w:hAnsi="Calibri" w:cs="Calibri"/>
          <w:spacing w:val="-1"/>
          <w:sz w:val="22"/>
          <w:szCs w:val="22"/>
        </w:rPr>
        <w:t xml:space="preserve"> data </w:t>
      </w:r>
      <w:r w:rsidRPr="005E3967">
        <w:rPr>
          <w:rFonts w:ascii="Calibri" w:hAnsi="Calibri" w:cs="Calibri"/>
          <w:sz w:val="22"/>
          <w:szCs w:val="22"/>
        </w:rPr>
        <w:t>they</w:t>
      </w:r>
      <w:r w:rsidRPr="005E3967">
        <w:rPr>
          <w:rFonts w:ascii="Calibri" w:hAnsi="Calibri" w:cs="Calibri"/>
          <w:spacing w:val="-4"/>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z w:val="22"/>
          <w:szCs w:val="22"/>
        </w:rPr>
        <w:t>collect</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or </w:t>
      </w:r>
      <w:r w:rsidRPr="005E3967">
        <w:rPr>
          <w:rFonts w:ascii="Calibri" w:hAnsi="Calibri" w:cs="Calibri"/>
          <w:sz w:val="22"/>
          <w:szCs w:val="22"/>
        </w:rPr>
        <w:t>work</w:t>
      </w:r>
      <w:r w:rsidRPr="005E3967">
        <w:rPr>
          <w:rFonts w:ascii="Calibri" w:hAnsi="Calibri" w:cs="Calibri"/>
          <w:spacing w:val="-2"/>
          <w:sz w:val="22"/>
          <w:szCs w:val="22"/>
        </w:rPr>
        <w:t xml:space="preserve"> </w:t>
      </w:r>
      <w:r w:rsidRPr="005E3967">
        <w:rPr>
          <w:rFonts w:ascii="Calibri" w:hAnsi="Calibri" w:cs="Calibri"/>
          <w:sz w:val="22"/>
          <w:szCs w:val="22"/>
        </w:rPr>
        <w:t>with</w:t>
      </w:r>
      <w:r w:rsidRPr="005E3967">
        <w:rPr>
          <w:rFonts w:ascii="Calibri" w:hAnsi="Calibri" w:cs="Calibri"/>
          <w:spacing w:val="-2"/>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pacing w:val="-1"/>
          <w:sz w:val="22"/>
          <w:szCs w:val="22"/>
        </w:rPr>
        <w:t>not</w:t>
      </w:r>
      <w:r w:rsidRPr="005E3967">
        <w:rPr>
          <w:rFonts w:ascii="Calibri" w:hAnsi="Calibri" w:cs="Calibri"/>
          <w:spacing w:val="-3"/>
          <w:sz w:val="22"/>
          <w:szCs w:val="22"/>
        </w:rPr>
        <w:t xml:space="preserve"> </w:t>
      </w:r>
      <w:r w:rsidRPr="005E3967">
        <w:rPr>
          <w:rFonts w:ascii="Calibri" w:hAnsi="Calibri" w:cs="Calibri"/>
          <w:spacing w:val="-1"/>
          <w:sz w:val="22"/>
          <w:szCs w:val="22"/>
        </w:rPr>
        <w:t>be</w:t>
      </w:r>
      <w:r w:rsidRPr="005E3967">
        <w:rPr>
          <w:rFonts w:ascii="Calibri" w:hAnsi="Calibri" w:cs="Calibri"/>
          <w:spacing w:val="25"/>
          <w:w w:val="99"/>
          <w:sz w:val="22"/>
          <w:szCs w:val="22"/>
        </w:rPr>
        <w:t xml:space="preserve"> </w:t>
      </w:r>
      <w:r w:rsidRPr="005E3967">
        <w:rPr>
          <w:rFonts w:ascii="Calibri" w:hAnsi="Calibri" w:cs="Calibri"/>
          <w:spacing w:val="-1"/>
          <w:sz w:val="22"/>
          <w:szCs w:val="22"/>
        </w:rPr>
        <w:t>disclosed.</w:t>
      </w:r>
      <w:r w:rsidRPr="005E3967">
        <w:rPr>
          <w:rFonts w:ascii="Calibri" w:hAnsi="Calibri" w:cs="Calibri"/>
          <w:spacing w:val="52"/>
          <w:sz w:val="22"/>
          <w:szCs w:val="22"/>
        </w:rPr>
        <w:t xml:space="preserve"> </w:t>
      </w:r>
      <w:r w:rsidRPr="005E3967">
        <w:rPr>
          <w:rFonts w:ascii="Calibri" w:hAnsi="Calibri" w:cs="Calibri"/>
          <w:sz w:val="22"/>
          <w:szCs w:val="22"/>
        </w:rPr>
        <w:t>Penalties</w:t>
      </w:r>
      <w:r w:rsidRPr="005E3967">
        <w:rPr>
          <w:rFonts w:ascii="Calibri" w:hAnsi="Calibri" w:cs="Calibri"/>
          <w:spacing w:val="-2"/>
          <w:sz w:val="22"/>
          <w:szCs w:val="22"/>
        </w:rPr>
        <w:t xml:space="preserve"> </w:t>
      </w:r>
      <w:r w:rsidRPr="005E3967">
        <w:rPr>
          <w:rFonts w:ascii="Calibri" w:hAnsi="Calibri" w:cs="Calibri"/>
          <w:spacing w:val="-1"/>
          <w:sz w:val="22"/>
          <w:szCs w:val="22"/>
        </w:rPr>
        <w:t>for</w:t>
      </w:r>
      <w:r w:rsidRPr="005E3967">
        <w:rPr>
          <w:rFonts w:ascii="Calibri" w:hAnsi="Calibri" w:cs="Calibri"/>
          <w:sz w:val="22"/>
          <w:szCs w:val="22"/>
        </w:rPr>
        <w:t xml:space="preserve"> </w:t>
      </w:r>
      <w:r w:rsidRPr="005E3967">
        <w:rPr>
          <w:rFonts w:ascii="Calibri" w:hAnsi="Calibri" w:cs="Calibri"/>
          <w:spacing w:val="-1"/>
          <w:sz w:val="22"/>
          <w:szCs w:val="22"/>
        </w:rPr>
        <w:t>disclosure include</w:t>
      </w:r>
      <w:r w:rsidRPr="005E3967">
        <w:rPr>
          <w:rFonts w:ascii="Calibri" w:hAnsi="Calibri" w:cs="Calibri"/>
          <w:spacing w:val="1"/>
          <w:sz w:val="22"/>
          <w:szCs w:val="22"/>
        </w:rPr>
        <w:t xml:space="preserve"> </w:t>
      </w:r>
      <w:r w:rsidRPr="005E3967">
        <w:rPr>
          <w:rFonts w:ascii="Calibri" w:hAnsi="Calibri" w:cs="Calibri"/>
          <w:spacing w:val="-1"/>
          <w:sz w:val="22"/>
          <w:szCs w:val="22"/>
        </w:rPr>
        <w:t>termination of</w:t>
      </w:r>
      <w:r w:rsidRPr="005E3967">
        <w:rPr>
          <w:rFonts w:ascii="Calibri" w:hAnsi="Calibri" w:cs="Calibri"/>
          <w:spacing w:val="-2"/>
          <w:sz w:val="22"/>
          <w:szCs w:val="22"/>
        </w:rPr>
        <w:t xml:space="preserve"> </w:t>
      </w:r>
      <w:r w:rsidRPr="005E3967">
        <w:rPr>
          <w:rFonts w:ascii="Calibri" w:hAnsi="Calibri" w:cs="Calibri"/>
          <w:sz w:val="22"/>
          <w:szCs w:val="22"/>
        </w:rPr>
        <w:t>employment</w:t>
      </w:r>
      <w:r w:rsidRPr="005E3967">
        <w:rPr>
          <w:rFonts w:ascii="Calibri" w:hAnsi="Calibri" w:cs="Calibri"/>
          <w:spacing w:val="-1"/>
          <w:sz w:val="22"/>
          <w:szCs w:val="22"/>
        </w:rPr>
        <w:t xml:space="preserve"> </w:t>
      </w:r>
      <w:r w:rsidRPr="005E3967">
        <w:rPr>
          <w:rFonts w:ascii="Calibri" w:hAnsi="Calibri" w:cs="Calibri"/>
          <w:sz w:val="22"/>
          <w:szCs w:val="22"/>
        </w:rPr>
        <w:t>and</w:t>
      </w:r>
      <w:r w:rsidRPr="005E3967">
        <w:rPr>
          <w:rFonts w:ascii="Calibri" w:hAnsi="Calibri" w:cs="Calibri"/>
          <w:spacing w:val="-1"/>
          <w:sz w:val="22"/>
          <w:szCs w:val="22"/>
        </w:rPr>
        <w:t xml:space="preserve"> </w:t>
      </w:r>
      <w:r w:rsidRPr="005E3967">
        <w:rPr>
          <w:rFonts w:ascii="Calibri" w:hAnsi="Calibri" w:cs="Calibri"/>
          <w:sz w:val="22"/>
          <w:szCs w:val="22"/>
        </w:rPr>
        <w:t>substantial</w:t>
      </w:r>
      <w:r w:rsidRPr="005E3967">
        <w:rPr>
          <w:rFonts w:ascii="Calibri" w:hAnsi="Calibri" w:cs="Calibri"/>
          <w:spacing w:val="28"/>
          <w:sz w:val="22"/>
          <w:szCs w:val="22"/>
        </w:rPr>
        <w:t xml:space="preserve"> </w:t>
      </w:r>
      <w:r w:rsidRPr="005E3967">
        <w:rPr>
          <w:rFonts w:ascii="Calibri" w:hAnsi="Calibri" w:cs="Calibri"/>
          <w:sz w:val="22"/>
          <w:szCs w:val="22"/>
        </w:rPr>
        <w:t>financial</w:t>
      </w:r>
      <w:r w:rsidRPr="005E3967">
        <w:rPr>
          <w:rFonts w:ascii="Calibri" w:hAnsi="Calibri" w:cs="Calibri"/>
          <w:spacing w:val="-2"/>
          <w:sz w:val="22"/>
          <w:szCs w:val="22"/>
        </w:rPr>
        <w:t xml:space="preserve"> </w:t>
      </w:r>
      <w:r w:rsidRPr="005E3967">
        <w:rPr>
          <w:rFonts w:ascii="Calibri" w:hAnsi="Calibri" w:cs="Calibri"/>
          <w:spacing w:val="-1"/>
          <w:sz w:val="22"/>
          <w:szCs w:val="22"/>
        </w:rPr>
        <w:t>fines.</w:t>
      </w:r>
    </w:p>
    <w:p w:rsidR="00CB54D9" w:rsidP="008D273E" w:rsidRDefault="00CB54D9" w14:paraId="62926B9C" w14:textId="7767A41D">
      <w:pPr>
        <w:pStyle w:val="ListBullet"/>
        <w:spacing w:after="0" w:line="276" w:lineRule="auto"/>
        <w:rPr>
          <w:rFonts w:ascii="Calibri" w:hAnsi="Calibri" w:cs="Calibri"/>
          <w:sz w:val="22"/>
          <w:szCs w:val="22"/>
        </w:rPr>
      </w:pPr>
      <w:r w:rsidRPr="005E3967">
        <w:rPr>
          <w:rFonts w:ascii="Calibri" w:hAnsi="Calibri" w:cs="Calibri"/>
          <w:sz w:val="22"/>
          <w:szCs w:val="22"/>
        </w:rPr>
        <w:t>Access</w:t>
      </w:r>
      <w:r w:rsidRPr="005E3967">
        <w:rPr>
          <w:rFonts w:ascii="Calibri" w:hAnsi="Calibri" w:cs="Calibri"/>
          <w:spacing w:val="-3"/>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pacing w:val="-1"/>
          <w:sz w:val="22"/>
          <w:szCs w:val="22"/>
        </w:rPr>
        <w:t>project</w:t>
      </w:r>
      <w:r w:rsidRPr="005E3967">
        <w:rPr>
          <w:rFonts w:ascii="Calibri" w:hAnsi="Calibri" w:cs="Calibri"/>
          <w:spacing w:val="-3"/>
          <w:sz w:val="22"/>
          <w:szCs w:val="22"/>
        </w:rPr>
        <w:t xml:space="preserve"> </w:t>
      </w:r>
      <w:r w:rsidRPr="005E3967">
        <w:rPr>
          <w:rFonts w:ascii="Calibri" w:hAnsi="Calibri" w:cs="Calibri"/>
          <w:sz w:val="22"/>
          <w:szCs w:val="22"/>
        </w:rPr>
        <w:t>file</w:t>
      </w:r>
      <w:r w:rsidRPr="005E3967">
        <w:rPr>
          <w:rFonts w:ascii="Calibri" w:hAnsi="Calibri" w:cs="Calibri"/>
          <w:spacing w:val="-2"/>
          <w:sz w:val="22"/>
          <w:szCs w:val="22"/>
        </w:rPr>
        <w:t xml:space="preserve"> </w:t>
      </w:r>
      <w:r w:rsidRPr="005E3967">
        <w:rPr>
          <w:rFonts w:ascii="Calibri" w:hAnsi="Calibri" w:cs="Calibri"/>
          <w:spacing w:val="-1"/>
          <w:sz w:val="22"/>
          <w:szCs w:val="22"/>
        </w:rPr>
        <w:t>shares,</w:t>
      </w:r>
      <w:r w:rsidRPr="005E3967">
        <w:rPr>
          <w:rFonts w:ascii="Calibri" w:hAnsi="Calibri" w:cs="Calibri"/>
          <w:spacing w:val="-2"/>
          <w:sz w:val="22"/>
          <w:szCs w:val="22"/>
        </w:rPr>
        <w:t xml:space="preserve"> </w:t>
      </w:r>
      <w:r w:rsidRPr="005E3967">
        <w:rPr>
          <w:rFonts w:ascii="Calibri" w:hAnsi="Calibri" w:cs="Calibri"/>
          <w:sz w:val="22"/>
          <w:szCs w:val="22"/>
        </w:rPr>
        <w:t>systems,</w:t>
      </w:r>
      <w:r w:rsidRPr="005E3967">
        <w:rPr>
          <w:rFonts w:ascii="Calibri" w:hAnsi="Calibri" w:cs="Calibri"/>
          <w:spacing w:val="-3"/>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pacing w:val="-1"/>
          <w:sz w:val="22"/>
          <w:szCs w:val="22"/>
        </w:rPr>
        <w:t>data</w:t>
      </w:r>
      <w:r w:rsidRPr="005E3967">
        <w:rPr>
          <w:rFonts w:ascii="Calibri" w:hAnsi="Calibri" w:cs="Calibri"/>
          <w:spacing w:val="-3"/>
          <w:sz w:val="22"/>
          <w:szCs w:val="22"/>
        </w:rPr>
        <w:t xml:space="preserve"> </w:t>
      </w:r>
      <w:r w:rsidRPr="005E3967">
        <w:rPr>
          <w:rFonts w:ascii="Calibri" w:hAnsi="Calibri" w:cs="Calibri"/>
          <w:sz w:val="22"/>
          <w:szCs w:val="22"/>
        </w:rPr>
        <w:t>is</w:t>
      </w:r>
      <w:r w:rsidRPr="005E3967">
        <w:rPr>
          <w:rFonts w:ascii="Calibri" w:hAnsi="Calibri" w:cs="Calibri"/>
          <w:spacing w:val="-3"/>
          <w:sz w:val="22"/>
          <w:szCs w:val="22"/>
        </w:rPr>
        <w:t xml:space="preserve"> </w:t>
      </w:r>
      <w:r w:rsidRPr="005E3967">
        <w:rPr>
          <w:rFonts w:ascii="Calibri" w:hAnsi="Calibri" w:cs="Calibri"/>
          <w:sz w:val="22"/>
          <w:szCs w:val="22"/>
        </w:rPr>
        <w:t>strictly</w:t>
      </w:r>
      <w:r w:rsidRPr="005E3967">
        <w:rPr>
          <w:rFonts w:ascii="Calibri" w:hAnsi="Calibri" w:cs="Calibri"/>
          <w:spacing w:val="-2"/>
          <w:sz w:val="22"/>
          <w:szCs w:val="22"/>
        </w:rPr>
        <w:t xml:space="preserve"> </w:t>
      </w:r>
      <w:r w:rsidRPr="005E3967">
        <w:rPr>
          <w:rFonts w:ascii="Calibri" w:hAnsi="Calibri" w:cs="Calibri"/>
          <w:sz w:val="22"/>
          <w:szCs w:val="22"/>
        </w:rPr>
        <w:t>controlled</w:t>
      </w:r>
      <w:r w:rsidRPr="005E3967">
        <w:rPr>
          <w:rFonts w:ascii="Calibri" w:hAnsi="Calibri" w:cs="Calibri"/>
          <w:spacing w:val="29"/>
          <w:sz w:val="22"/>
          <w:szCs w:val="22"/>
        </w:rPr>
        <w:t xml:space="preserve"> </w:t>
      </w:r>
      <w:r w:rsidRPr="005E3967">
        <w:rPr>
          <w:rFonts w:ascii="Calibri" w:hAnsi="Calibri" w:cs="Calibri"/>
          <w:spacing w:val="-1"/>
          <w:sz w:val="22"/>
          <w:szCs w:val="22"/>
        </w:rPr>
        <w:t>by</w:t>
      </w:r>
      <w:r w:rsidRPr="005E3967">
        <w:rPr>
          <w:rFonts w:ascii="Calibri" w:hAnsi="Calibri" w:cs="Calibri"/>
          <w:spacing w:val="-2"/>
          <w:sz w:val="22"/>
          <w:szCs w:val="22"/>
        </w:rPr>
        <w:t xml:space="preserve"> </w:t>
      </w:r>
      <w:r w:rsidRPr="005E3967">
        <w:rPr>
          <w:rFonts w:ascii="Calibri" w:hAnsi="Calibri" w:cs="Calibri"/>
          <w:sz w:val="22"/>
          <w:szCs w:val="22"/>
        </w:rPr>
        <w:t>role</w:t>
      </w:r>
      <w:r>
        <w:rPr>
          <w:rFonts w:ascii="Calibri" w:hAnsi="Calibri" w:cs="Calibri"/>
          <w:sz w:val="22"/>
          <w:szCs w:val="22"/>
        </w:rPr>
        <w:t>-</w:t>
      </w:r>
      <w:r w:rsidRPr="005E3967">
        <w:rPr>
          <w:rFonts w:ascii="Calibri" w:hAnsi="Calibri" w:cs="Calibri"/>
          <w:sz w:val="22"/>
          <w:szCs w:val="22"/>
        </w:rPr>
        <w:t>based</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z w:val="22"/>
          <w:szCs w:val="22"/>
        </w:rPr>
        <w:t>in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form</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of </w:t>
      </w:r>
      <w:r w:rsidRPr="005E3967">
        <w:rPr>
          <w:rFonts w:ascii="Calibri" w:hAnsi="Calibri" w:cs="Calibri"/>
          <w:sz w:val="22"/>
          <w:szCs w:val="22"/>
        </w:rPr>
        <w:t>Windows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48"/>
          <w:sz w:val="22"/>
          <w:szCs w:val="22"/>
        </w:rPr>
        <w:t xml:space="preserve"> </w:t>
      </w:r>
      <w:r w:rsidRPr="005E3967">
        <w:rPr>
          <w:rFonts w:ascii="Calibri" w:hAnsi="Calibri" w:cs="Calibri"/>
          <w:sz w:val="22"/>
          <w:szCs w:val="22"/>
        </w:rPr>
        <w:t xml:space="preserve">An </w:t>
      </w:r>
      <w:r w:rsidRPr="005E3967">
        <w:rPr>
          <w:rFonts w:ascii="Calibri" w:hAnsi="Calibri" w:cs="Calibri"/>
          <w:spacing w:val="-1"/>
          <w:sz w:val="22"/>
          <w:szCs w:val="22"/>
        </w:rPr>
        <w:t>individual’s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4"/>
          <w:sz w:val="22"/>
          <w:szCs w:val="22"/>
        </w:rPr>
        <w:t xml:space="preserve"> </w:t>
      </w:r>
      <w:r w:rsidRPr="005E3967">
        <w:rPr>
          <w:rFonts w:ascii="Calibri" w:hAnsi="Calibri" w:cs="Calibri"/>
          <w:spacing w:val="-1"/>
          <w:sz w:val="22"/>
          <w:szCs w:val="22"/>
        </w:rPr>
        <w:t>group</w:t>
      </w:r>
      <w:r w:rsidRPr="005E3967">
        <w:rPr>
          <w:rFonts w:ascii="Calibri" w:hAnsi="Calibri" w:cs="Calibri"/>
          <w:spacing w:val="-4"/>
          <w:sz w:val="22"/>
          <w:szCs w:val="22"/>
        </w:rPr>
        <w:t xml:space="preserve"> </w:t>
      </w:r>
      <w:r w:rsidRPr="005E3967">
        <w:rPr>
          <w:rFonts w:ascii="Calibri" w:hAnsi="Calibri" w:cs="Calibri"/>
          <w:sz w:val="22"/>
          <w:szCs w:val="22"/>
        </w:rPr>
        <w:t>membership</w:t>
      </w:r>
      <w:r w:rsidRPr="005E3967">
        <w:rPr>
          <w:rFonts w:ascii="Calibri" w:hAnsi="Calibri" w:cs="Calibri"/>
          <w:spacing w:val="-5"/>
          <w:sz w:val="22"/>
          <w:szCs w:val="22"/>
        </w:rPr>
        <w:t xml:space="preserve"> </w:t>
      </w:r>
      <w:r w:rsidRPr="005E3967">
        <w:rPr>
          <w:rFonts w:ascii="Calibri" w:hAnsi="Calibri" w:cs="Calibri"/>
          <w:sz w:val="22"/>
          <w:szCs w:val="22"/>
        </w:rPr>
        <w:t>is</w:t>
      </w:r>
      <w:r w:rsidRPr="005E3967">
        <w:rPr>
          <w:rFonts w:ascii="Calibri" w:hAnsi="Calibri" w:cs="Calibri"/>
          <w:spacing w:val="-4"/>
          <w:sz w:val="22"/>
          <w:szCs w:val="22"/>
        </w:rPr>
        <w:t xml:space="preserve"> </w:t>
      </w:r>
      <w:r w:rsidRPr="005E3967">
        <w:rPr>
          <w:rFonts w:ascii="Calibri" w:hAnsi="Calibri" w:cs="Calibri"/>
          <w:sz w:val="22"/>
          <w:szCs w:val="22"/>
        </w:rPr>
        <w:t>determined</w:t>
      </w:r>
      <w:r w:rsidRPr="005E3967">
        <w:rPr>
          <w:rFonts w:ascii="Calibri" w:hAnsi="Calibri" w:cs="Calibri"/>
          <w:spacing w:val="-4"/>
          <w:sz w:val="22"/>
          <w:szCs w:val="22"/>
        </w:rPr>
        <w:t xml:space="preserve"> </w:t>
      </w:r>
      <w:r w:rsidRPr="005E3967">
        <w:rPr>
          <w:rFonts w:ascii="Calibri" w:hAnsi="Calibri" w:cs="Calibri"/>
          <w:spacing w:val="-1"/>
          <w:sz w:val="22"/>
          <w:szCs w:val="22"/>
        </w:rPr>
        <w:t>based</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pacing w:val="-1"/>
          <w:sz w:val="22"/>
          <w:szCs w:val="22"/>
        </w:rPr>
        <w:t>the</w:t>
      </w:r>
      <w:r w:rsidRPr="005E3967">
        <w:rPr>
          <w:rFonts w:ascii="Calibri" w:hAnsi="Calibri" w:cs="Calibri"/>
          <w:spacing w:val="-3"/>
          <w:sz w:val="22"/>
          <w:szCs w:val="22"/>
        </w:rPr>
        <w:t xml:space="preserve"> </w:t>
      </w:r>
      <w:r w:rsidRPr="005E3967">
        <w:rPr>
          <w:rFonts w:ascii="Calibri" w:hAnsi="Calibri" w:cs="Calibri"/>
          <w:sz w:val="22"/>
          <w:szCs w:val="22"/>
        </w:rPr>
        <w:t>minimum</w:t>
      </w:r>
      <w:r w:rsidRPr="005E3967">
        <w:rPr>
          <w:rFonts w:ascii="Calibri" w:hAnsi="Calibri" w:cs="Calibri"/>
          <w:spacing w:val="-5"/>
          <w:sz w:val="22"/>
          <w:szCs w:val="22"/>
        </w:rPr>
        <w:t xml:space="preserve"> </w:t>
      </w:r>
      <w:r w:rsidRPr="005E3967">
        <w:rPr>
          <w:rFonts w:ascii="Calibri" w:hAnsi="Calibri" w:cs="Calibri"/>
          <w:spacing w:val="-1"/>
          <w:sz w:val="22"/>
          <w:szCs w:val="22"/>
        </w:rPr>
        <w:t>necessary</w:t>
      </w:r>
      <w:r w:rsidRPr="005E3967">
        <w:rPr>
          <w:rFonts w:ascii="Calibri" w:hAnsi="Calibri" w:cs="Calibri"/>
          <w:spacing w:val="26"/>
          <w:w w:val="99"/>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perform</w:t>
      </w:r>
      <w:r w:rsidRPr="005E3967">
        <w:rPr>
          <w:rFonts w:ascii="Calibri" w:hAnsi="Calibri" w:cs="Calibri"/>
          <w:spacing w:val="-3"/>
          <w:sz w:val="22"/>
          <w:szCs w:val="22"/>
        </w:rPr>
        <w:t xml:space="preserve"> </w:t>
      </w:r>
      <w:r w:rsidRPr="005E3967">
        <w:rPr>
          <w:rFonts w:ascii="Calibri" w:hAnsi="Calibri" w:cs="Calibri"/>
          <w:sz w:val="22"/>
          <w:szCs w:val="22"/>
        </w:rPr>
        <w:t>their</w:t>
      </w:r>
      <w:r w:rsidRPr="005E3967">
        <w:rPr>
          <w:rFonts w:ascii="Calibri" w:hAnsi="Calibri" w:cs="Calibri"/>
          <w:spacing w:val="-2"/>
          <w:sz w:val="22"/>
          <w:szCs w:val="22"/>
        </w:rPr>
        <w:t xml:space="preserve"> </w:t>
      </w:r>
      <w:r w:rsidRPr="005E3967">
        <w:rPr>
          <w:rFonts w:ascii="Calibri" w:hAnsi="Calibri" w:cs="Calibri"/>
          <w:spacing w:val="-1"/>
          <w:sz w:val="22"/>
          <w:szCs w:val="22"/>
        </w:rPr>
        <w:t>job</w:t>
      </w:r>
      <w:r w:rsidRPr="005E3967">
        <w:rPr>
          <w:rFonts w:ascii="Calibri" w:hAnsi="Calibri" w:cs="Calibri"/>
          <w:spacing w:val="-3"/>
          <w:sz w:val="22"/>
          <w:szCs w:val="22"/>
        </w:rPr>
        <w:t xml:space="preserve"> </w:t>
      </w:r>
      <w:r w:rsidRPr="005E3967">
        <w:rPr>
          <w:rFonts w:ascii="Calibri" w:hAnsi="Calibri" w:cs="Calibri"/>
          <w:spacing w:val="-1"/>
          <w:sz w:val="22"/>
          <w:szCs w:val="22"/>
        </w:rPr>
        <w:t>function</w:t>
      </w:r>
      <w:r w:rsidRPr="005E3967">
        <w:rPr>
          <w:rFonts w:ascii="Calibri" w:hAnsi="Calibri" w:cs="Calibri"/>
          <w:spacing w:val="-2"/>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project</w:t>
      </w:r>
      <w:r w:rsidRPr="005E3967">
        <w:rPr>
          <w:rFonts w:ascii="Calibri" w:hAnsi="Calibri" w:cs="Calibri"/>
          <w:spacing w:val="-1"/>
          <w:sz w:val="22"/>
          <w:szCs w:val="22"/>
        </w:rPr>
        <w:t>.</w:t>
      </w:r>
      <w:r w:rsidRPr="005E3967">
        <w:rPr>
          <w:rFonts w:ascii="Calibri" w:hAnsi="Calibri" w:cs="Calibri"/>
          <w:spacing w:val="47"/>
          <w:sz w:val="22"/>
          <w:szCs w:val="22"/>
        </w:rPr>
        <w:t xml:space="preserve"> </w:t>
      </w:r>
      <w:r w:rsidRPr="005E3967">
        <w:rPr>
          <w:rFonts w:ascii="Calibri" w:hAnsi="Calibri" w:cs="Calibri"/>
          <w:spacing w:val="-1"/>
          <w:sz w:val="22"/>
          <w:szCs w:val="22"/>
        </w:rPr>
        <w:t>Staff</w:t>
      </w:r>
      <w:r w:rsidRPr="005E3967">
        <w:rPr>
          <w:rFonts w:ascii="Calibri" w:hAnsi="Calibri" w:cs="Calibri"/>
          <w:spacing w:val="-3"/>
          <w:sz w:val="22"/>
          <w:szCs w:val="22"/>
        </w:rPr>
        <w:t xml:space="preserve"> </w:t>
      </w:r>
      <w:r w:rsidRPr="005E3967">
        <w:rPr>
          <w:rFonts w:ascii="Calibri" w:hAnsi="Calibri" w:cs="Calibri"/>
          <w:sz w:val="22"/>
          <w:szCs w:val="22"/>
        </w:rPr>
        <w:t>are</w:t>
      </w:r>
      <w:r w:rsidRPr="005E3967">
        <w:rPr>
          <w:rFonts w:ascii="Calibri" w:hAnsi="Calibri" w:cs="Calibri"/>
          <w:spacing w:val="-2"/>
          <w:sz w:val="22"/>
          <w:szCs w:val="22"/>
        </w:rPr>
        <w:t xml:space="preserve"> </w:t>
      </w:r>
      <w:r w:rsidRPr="005E3967">
        <w:rPr>
          <w:rFonts w:ascii="Calibri" w:hAnsi="Calibri" w:cs="Calibri"/>
          <w:spacing w:val="-1"/>
          <w:sz w:val="22"/>
          <w:szCs w:val="22"/>
        </w:rPr>
        <w:t>only</w:t>
      </w:r>
      <w:r w:rsidRPr="005E3967">
        <w:rPr>
          <w:rFonts w:ascii="Calibri" w:hAnsi="Calibri" w:cs="Calibri"/>
          <w:spacing w:val="32"/>
          <w:sz w:val="22"/>
          <w:szCs w:val="22"/>
        </w:rPr>
        <w:t xml:space="preserve"> </w:t>
      </w:r>
      <w:r w:rsidRPr="005E3967">
        <w:rPr>
          <w:rFonts w:ascii="Calibri" w:hAnsi="Calibri" w:cs="Calibri"/>
          <w:sz w:val="22"/>
          <w:szCs w:val="22"/>
        </w:rPr>
        <w:t>added</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3"/>
          <w:sz w:val="22"/>
          <w:szCs w:val="22"/>
        </w:rPr>
        <w:t xml:space="preserve"> </w:t>
      </w:r>
      <w:r w:rsidRPr="005E3967">
        <w:rPr>
          <w:rFonts w:ascii="Calibri" w:hAnsi="Calibri" w:cs="Calibri"/>
          <w:sz w:val="22"/>
          <w:szCs w:val="22"/>
        </w:rPr>
        <w:t>after</w:t>
      </w:r>
      <w:r w:rsidRPr="005E3967">
        <w:rPr>
          <w:rFonts w:ascii="Calibri" w:hAnsi="Calibri" w:cs="Calibri"/>
          <w:spacing w:val="-2"/>
          <w:sz w:val="22"/>
          <w:szCs w:val="22"/>
        </w:rPr>
        <w:t xml:space="preserve"> </w:t>
      </w:r>
      <w:r w:rsidRPr="005E3967">
        <w:rPr>
          <w:rFonts w:ascii="Calibri" w:hAnsi="Calibri" w:cs="Calibri"/>
          <w:sz w:val="22"/>
          <w:szCs w:val="22"/>
        </w:rPr>
        <w:t>completing</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pacing w:val="-1"/>
          <w:sz w:val="22"/>
          <w:szCs w:val="22"/>
        </w:rPr>
        <w:t>Project</w:t>
      </w:r>
      <w:r w:rsidRPr="005E3967">
        <w:rPr>
          <w:rFonts w:ascii="Calibri" w:hAnsi="Calibri" w:cs="Calibri"/>
          <w:spacing w:val="-2"/>
          <w:sz w:val="22"/>
          <w:szCs w:val="22"/>
        </w:rPr>
        <w:t xml:space="preserve"> </w:t>
      </w:r>
      <w:r w:rsidRPr="005E3967">
        <w:rPr>
          <w:rFonts w:ascii="Calibri" w:hAnsi="Calibri" w:cs="Calibri"/>
          <w:sz w:val="22"/>
          <w:szCs w:val="22"/>
        </w:rPr>
        <w:t>Confidentiality</w:t>
      </w:r>
      <w:r w:rsidRPr="005E3967">
        <w:rPr>
          <w:rFonts w:ascii="Calibri" w:hAnsi="Calibri" w:cs="Calibri"/>
          <w:spacing w:val="-3"/>
          <w:sz w:val="22"/>
          <w:szCs w:val="22"/>
        </w:rPr>
        <w:t xml:space="preserve"> </w:t>
      </w:r>
      <w:r w:rsidRPr="005E3967">
        <w:rPr>
          <w:rFonts w:ascii="Calibri" w:hAnsi="Calibri" w:cs="Calibri"/>
          <w:spacing w:val="-1"/>
          <w:sz w:val="22"/>
          <w:szCs w:val="22"/>
        </w:rPr>
        <w:t>Pledge</w:t>
      </w:r>
      <w:r w:rsidRPr="005E3967">
        <w:rPr>
          <w:rFonts w:ascii="Calibri" w:hAnsi="Calibri" w:cs="Calibri"/>
          <w:spacing w:val="-2"/>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z w:val="22"/>
          <w:szCs w:val="22"/>
        </w:rPr>
        <w:t>any</w:t>
      </w:r>
      <w:r w:rsidRPr="005E3967">
        <w:rPr>
          <w:rFonts w:ascii="Calibri" w:hAnsi="Calibri" w:cs="Calibri"/>
          <w:spacing w:val="25"/>
          <w:sz w:val="22"/>
          <w:szCs w:val="22"/>
        </w:rPr>
        <w:t xml:space="preserve"> </w:t>
      </w:r>
      <w:r w:rsidRPr="005E3967">
        <w:rPr>
          <w:rFonts w:ascii="Calibri" w:hAnsi="Calibri" w:cs="Calibri"/>
          <w:sz w:val="22"/>
          <w:szCs w:val="22"/>
        </w:rPr>
        <w:t>required</w:t>
      </w:r>
      <w:r w:rsidRPr="005E3967">
        <w:rPr>
          <w:rFonts w:ascii="Calibri" w:hAnsi="Calibri" w:cs="Calibri"/>
          <w:spacing w:val="-3"/>
          <w:sz w:val="22"/>
          <w:szCs w:val="22"/>
        </w:rPr>
        <w:t xml:space="preserve"> </w:t>
      </w:r>
      <w:r w:rsidRPr="005E3967">
        <w:rPr>
          <w:rFonts w:ascii="Calibri" w:hAnsi="Calibri" w:cs="Calibri"/>
          <w:spacing w:val="-1"/>
          <w:sz w:val="22"/>
          <w:szCs w:val="22"/>
        </w:rPr>
        <w:t>trainings</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data </w:t>
      </w:r>
      <w:r w:rsidRPr="005E3967">
        <w:rPr>
          <w:rFonts w:ascii="Calibri" w:hAnsi="Calibri" w:cs="Calibri"/>
          <w:sz w:val="22"/>
          <w:szCs w:val="22"/>
        </w:rPr>
        <w:t>security.</w:t>
      </w:r>
      <w:r w:rsidRPr="005E3967">
        <w:rPr>
          <w:rFonts w:ascii="Calibri" w:hAnsi="Calibri" w:cs="Calibri"/>
          <w:spacing w:val="48"/>
          <w:sz w:val="22"/>
          <w:szCs w:val="22"/>
        </w:rPr>
        <w:t xml:space="preserve"> </w:t>
      </w:r>
      <w:r w:rsidRPr="005E3967">
        <w:rPr>
          <w:rFonts w:ascii="Calibri" w:hAnsi="Calibri" w:cs="Calibri"/>
          <w:spacing w:val="-1"/>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5"/>
          <w:sz w:val="22"/>
          <w:szCs w:val="22"/>
        </w:rPr>
        <w:t xml:space="preserve"> </w:t>
      </w:r>
      <w:r w:rsidRPr="005E3967">
        <w:rPr>
          <w:rFonts w:ascii="Calibri" w:hAnsi="Calibri" w:cs="Calibri"/>
          <w:spacing w:val="-1"/>
          <w:sz w:val="22"/>
          <w:szCs w:val="22"/>
        </w:rPr>
        <w:t>membership</w:t>
      </w:r>
      <w:r w:rsidRPr="005E3967">
        <w:rPr>
          <w:rFonts w:ascii="Calibri" w:hAnsi="Calibri" w:cs="Calibri"/>
          <w:spacing w:val="-4"/>
          <w:sz w:val="22"/>
          <w:szCs w:val="22"/>
        </w:rPr>
        <w:t xml:space="preserve"> </w:t>
      </w:r>
      <w:r w:rsidRPr="005E3967">
        <w:rPr>
          <w:rFonts w:ascii="Calibri" w:hAnsi="Calibri" w:cs="Calibri"/>
          <w:sz w:val="22"/>
          <w:szCs w:val="22"/>
        </w:rPr>
        <w:t>is</w:t>
      </w:r>
      <w:r w:rsidRPr="005E3967">
        <w:rPr>
          <w:rFonts w:ascii="Calibri" w:hAnsi="Calibri" w:cs="Calibri"/>
          <w:spacing w:val="35"/>
          <w:sz w:val="22"/>
          <w:szCs w:val="22"/>
        </w:rPr>
        <w:t xml:space="preserve"> </w:t>
      </w:r>
      <w:r w:rsidRPr="005E3967">
        <w:rPr>
          <w:rFonts w:ascii="Calibri" w:hAnsi="Calibri" w:cs="Calibri"/>
          <w:sz w:val="22"/>
          <w:szCs w:val="22"/>
        </w:rPr>
        <w:t>audited</w:t>
      </w:r>
      <w:r w:rsidRPr="005E3967">
        <w:rPr>
          <w:rFonts w:ascii="Calibri" w:hAnsi="Calibri" w:cs="Calibri"/>
          <w:spacing w:val="-4"/>
          <w:sz w:val="22"/>
          <w:szCs w:val="22"/>
        </w:rPr>
        <w:t xml:space="preserve"> </w:t>
      </w:r>
      <w:r w:rsidRPr="005E3967">
        <w:rPr>
          <w:rFonts w:ascii="Calibri" w:hAnsi="Calibri" w:cs="Calibri"/>
          <w:spacing w:val="-1"/>
          <w:sz w:val="22"/>
          <w:szCs w:val="22"/>
        </w:rPr>
        <w:t>quarterly by</w:t>
      </w:r>
      <w:r w:rsidRPr="005E3967">
        <w:rPr>
          <w:rFonts w:ascii="Calibri" w:hAnsi="Calibri" w:cs="Calibri"/>
          <w:spacing w:val="-3"/>
          <w:sz w:val="22"/>
          <w:szCs w:val="22"/>
        </w:rPr>
        <w:t xml:space="preserve"> </w:t>
      </w:r>
      <w:r w:rsidRPr="005E3967">
        <w:rPr>
          <w:rFonts w:ascii="Calibri" w:hAnsi="Calibri" w:cs="Calibri"/>
          <w:sz w:val="22"/>
          <w:szCs w:val="22"/>
        </w:rPr>
        <w:t>project</w:t>
      </w:r>
      <w:r w:rsidRPr="005E3967">
        <w:rPr>
          <w:rFonts w:ascii="Calibri" w:hAnsi="Calibri" w:cs="Calibri"/>
          <w:spacing w:val="-2"/>
          <w:sz w:val="22"/>
          <w:szCs w:val="22"/>
        </w:rPr>
        <w:t xml:space="preserve"> </w:t>
      </w:r>
      <w:r w:rsidRPr="005E3967">
        <w:rPr>
          <w:rFonts w:ascii="Calibri" w:hAnsi="Calibri" w:cs="Calibri"/>
          <w:spacing w:val="-1"/>
          <w:sz w:val="22"/>
          <w:szCs w:val="22"/>
        </w:rPr>
        <w:t>leaders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4"/>
          <w:sz w:val="22"/>
          <w:szCs w:val="22"/>
        </w:rPr>
        <w:t xml:space="preserve"> </w:t>
      </w:r>
      <w:r w:rsidRPr="005E3967">
        <w:rPr>
          <w:rFonts w:ascii="Calibri" w:hAnsi="Calibri" w:cs="Calibri"/>
          <w:sz w:val="22"/>
          <w:szCs w:val="22"/>
        </w:rPr>
        <w:t>ensure</w:t>
      </w:r>
      <w:r w:rsidRPr="005E3967">
        <w:rPr>
          <w:rFonts w:ascii="Calibri" w:hAnsi="Calibri" w:cs="Calibri"/>
          <w:spacing w:val="-3"/>
          <w:sz w:val="22"/>
          <w:szCs w:val="22"/>
        </w:rPr>
        <w:t xml:space="preserve"> </w:t>
      </w:r>
      <w:r w:rsidRPr="005E3967">
        <w:rPr>
          <w:rFonts w:ascii="Calibri" w:hAnsi="Calibri" w:cs="Calibri"/>
          <w:sz w:val="22"/>
          <w:szCs w:val="22"/>
        </w:rPr>
        <w:t>that</w:t>
      </w:r>
      <w:r w:rsidRPr="005E3967">
        <w:rPr>
          <w:rFonts w:ascii="Calibri" w:hAnsi="Calibri" w:cs="Calibri"/>
          <w:spacing w:val="-4"/>
          <w:sz w:val="22"/>
          <w:szCs w:val="22"/>
        </w:rPr>
        <w:t xml:space="preserve"> </w:t>
      </w:r>
      <w:r w:rsidRPr="005E3967">
        <w:rPr>
          <w:rFonts w:ascii="Calibri" w:hAnsi="Calibri" w:cs="Calibri"/>
          <w:spacing w:val="-1"/>
          <w:sz w:val="22"/>
          <w:szCs w:val="22"/>
        </w:rPr>
        <w:t>only</w:t>
      </w:r>
      <w:r w:rsidRPr="005E3967">
        <w:rPr>
          <w:rFonts w:ascii="Calibri" w:hAnsi="Calibri" w:cs="Calibri"/>
          <w:spacing w:val="-2"/>
          <w:sz w:val="22"/>
          <w:szCs w:val="22"/>
        </w:rPr>
        <w:t xml:space="preserve"> </w:t>
      </w:r>
      <w:r w:rsidRPr="005E3967">
        <w:rPr>
          <w:rFonts w:ascii="Calibri" w:hAnsi="Calibri" w:cs="Calibri"/>
          <w:sz w:val="22"/>
          <w:szCs w:val="22"/>
        </w:rPr>
        <w:t>those</w:t>
      </w:r>
      <w:r w:rsidRPr="005E3967">
        <w:rPr>
          <w:rFonts w:ascii="Calibri" w:hAnsi="Calibri" w:cs="Calibri"/>
          <w:spacing w:val="-3"/>
          <w:sz w:val="22"/>
          <w:szCs w:val="22"/>
        </w:rPr>
        <w:t xml:space="preserve"> </w:t>
      </w:r>
      <w:r w:rsidRPr="005E3967">
        <w:rPr>
          <w:rFonts w:ascii="Calibri" w:hAnsi="Calibri" w:cs="Calibri"/>
          <w:sz w:val="22"/>
          <w:szCs w:val="22"/>
        </w:rPr>
        <w:t>who</w:t>
      </w:r>
      <w:r w:rsidRPr="005E3967">
        <w:rPr>
          <w:rFonts w:ascii="Calibri" w:hAnsi="Calibri" w:cs="Calibri"/>
          <w:spacing w:val="-4"/>
          <w:sz w:val="22"/>
          <w:szCs w:val="22"/>
        </w:rPr>
        <w:t xml:space="preserve"> </w:t>
      </w:r>
      <w:r w:rsidRPr="005E3967">
        <w:rPr>
          <w:rFonts w:ascii="Calibri" w:hAnsi="Calibri" w:cs="Calibri"/>
          <w:sz w:val="22"/>
          <w:szCs w:val="22"/>
        </w:rPr>
        <w:t>still</w:t>
      </w:r>
      <w:r w:rsidRPr="005E3967">
        <w:rPr>
          <w:rFonts w:ascii="Calibri" w:hAnsi="Calibri" w:cs="Calibri"/>
          <w:spacing w:val="-3"/>
          <w:sz w:val="22"/>
          <w:szCs w:val="22"/>
        </w:rPr>
        <w:t xml:space="preserve"> </w:t>
      </w:r>
      <w:r w:rsidRPr="005E3967">
        <w:rPr>
          <w:rFonts w:ascii="Calibri" w:hAnsi="Calibri" w:cs="Calibri"/>
          <w:sz w:val="22"/>
          <w:szCs w:val="22"/>
        </w:rPr>
        <w:t>need</w:t>
      </w:r>
      <w:r w:rsidRPr="005E3967">
        <w:rPr>
          <w:rFonts w:ascii="Calibri" w:hAnsi="Calibri" w:cs="Calibri"/>
          <w:spacing w:val="-3"/>
          <w:sz w:val="22"/>
          <w:szCs w:val="22"/>
        </w:rPr>
        <w:t xml:space="preserve"> </w:t>
      </w:r>
      <w:r w:rsidRPr="005E3967">
        <w:rPr>
          <w:rFonts w:ascii="Calibri" w:hAnsi="Calibri" w:cs="Calibri"/>
          <w:spacing w:val="-1"/>
          <w:sz w:val="22"/>
          <w:szCs w:val="22"/>
        </w:rPr>
        <w:t>specified</w:t>
      </w:r>
      <w:r w:rsidRPr="005E3967">
        <w:rPr>
          <w:rFonts w:ascii="Calibri" w:hAnsi="Calibri" w:cs="Calibri"/>
          <w:spacing w:val="28"/>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continue</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2"/>
          <w:sz w:val="22"/>
          <w:szCs w:val="22"/>
        </w:rPr>
        <w:t xml:space="preserve"> </w:t>
      </w:r>
      <w:r w:rsidRPr="005E3967">
        <w:rPr>
          <w:rFonts w:ascii="Calibri" w:hAnsi="Calibri" w:cs="Calibri"/>
          <w:sz w:val="22"/>
          <w:szCs w:val="22"/>
        </w:rPr>
        <w:t>membership.</w:t>
      </w:r>
    </w:p>
    <w:p w:rsidRPr="005E3967" w:rsidR="00846683" w:rsidP="008D273E" w:rsidRDefault="00846683" w14:paraId="5E0FF37B" w14:textId="77777777">
      <w:pPr>
        <w:pStyle w:val="ListBullet"/>
        <w:numPr>
          <w:ilvl w:val="0"/>
          <w:numId w:val="0"/>
        </w:numPr>
        <w:spacing w:after="0" w:line="276" w:lineRule="auto"/>
        <w:ind w:left="360"/>
        <w:rPr>
          <w:rFonts w:ascii="Calibri" w:hAnsi="Calibri" w:cs="Calibri"/>
          <w:sz w:val="22"/>
          <w:szCs w:val="22"/>
        </w:rPr>
      </w:pPr>
    </w:p>
    <w:p w:rsidRPr="009139B3" w:rsidR="001D1C73" w:rsidP="008D273E" w:rsidRDefault="00B40115" w14:paraId="39D379A1" w14:textId="64A8C436">
      <w:pPr>
        <w:spacing w:after="0"/>
        <w:rPr>
          <w:rFonts w:cstheme="minorHAnsi"/>
        </w:rPr>
      </w:pPr>
      <w:r>
        <w:rPr>
          <w:rFonts w:cstheme="minorHAnsi"/>
        </w:rPr>
        <w:t>As with all other data collected on NSCAW II</w:t>
      </w:r>
      <w:r w:rsidR="004F503E">
        <w:rPr>
          <w:rFonts w:cstheme="minorHAnsi"/>
        </w:rPr>
        <w:t>I</w:t>
      </w:r>
      <w:r>
        <w:rPr>
          <w:rFonts w:cstheme="minorHAnsi"/>
        </w:rPr>
        <w:t xml:space="preserve">, workforce survey data </w:t>
      </w:r>
      <w:r w:rsidR="004F503E">
        <w:rPr>
          <w:rFonts w:cstheme="minorHAnsi"/>
        </w:rPr>
        <w:t xml:space="preserve">that has been de-identified </w:t>
      </w:r>
      <w:r>
        <w:rPr>
          <w:rFonts w:cstheme="minorHAnsi"/>
        </w:rPr>
        <w:t>will be made available to researchers via the National Data Archive on Child Abuse and Neglect</w:t>
      </w:r>
      <w:r w:rsidR="004F503E">
        <w:rPr>
          <w:rFonts w:cstheme="minorHAnsi"/>
        </w:rPr>
        <w:t xml:space="preserve"> (NDACAN)</w:t>
      </w:r>
      <w:r>
        <w:rPr>
          <w:rFonts w:cstheme="minorHAnsi"/>
        </w:rPr>
        <w:t xml:space="preserve">.  These dissemination plans are unchanged from those included in the Phase II NSCAW III submission previously approved by OMB. </w:t>
      </w:r>
    </w:p>
    <w:p w:rsidRPr="009139B3" w:rsidR="001D1C73" w:rsidP="008D273E" w:rsidRDefault="001D1C73" w14:paraId="00EDDFF9" w14:textId="77777777">
      <w:pPr>
        <w:spacing w:after="0"/>
        <w:rPr>
          <w:rFonts w:cstheme="minorHAnsi"/>
        </w:rPr>
      </w:pPr>
    </w:p>
    <w:p w:rsidRPr="009139B3" w:rsidR="001D1C73" w:rsidP="00CD3C52" w:rsidRDefault="001D1C73" w14:paraId="40B5F5B3" w14:textId="0005ED5E">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1"/>
      </w:r>
    </w:p>
    <w:p w:rsidR="008D6F7B" w:rsidP="00F551C0" w:rsidRDefault="008D6F7B" w14:paraId="66AEBCDE" w14:textId="6BF42762">
      <w:pPr>
        <w:spacing w:after="0"/>
        <w:rPr>
          <w:rFonts w:ascii="Calibri" w:hAnsi="Calibri" w:cs="Calibri"/>
        </w:rPr>
      </w:pPr>
      <w:r>
        <w:rPr>
          <w:rFonts w:cstheme="minorHAnsi"/>
        </w:rPr>
        <w:t>The supervisor and caseworker surveys contain questions about the quality of employee-supervisor relationships</w:t>
      </w:r>
      <w:r w:rsidR="00790AC6">
        <w:rPr>
          <w:rFonts w:cstheme="minorHAnsi"/>
        </w:rPr>
        <w:t xml:space="preserve"> and perceived support provided by those relationships</w:t>
      </w:r>
      <w:r>
        <w:rPr>
          <w:rFonts w:cstheme="minorHAnsi"/>
        </w:rPr>
        <w:t xml:space="preserve">. The supervisor survey contains questions about burnout and psychological distress.  The caseworker survey contains questions about </w:t>
      </w:r>
      <w:r w:rsidR="008D273E">
        <w:rPr>
          <w:rFonts w:cstheme="minorHAnsi"/>
        </w:rPr>
        <w:t xml:space="preserve">psychological distress, </w:t>
      </w:r>
      <w:r>
        <w:rPr>
          <w:rFonts w:cstheme="minorHAnsi"/>
        </w:rPr>
        <w:t>secondary traumatic stress</w:t>
      </w:r>
      <w:r w:rsidR="008D273E">
        <w:rPr>
          <w:rFonts w:cstheme="minorHAnsi"/>
        </w:rPr>
        <w:t>,</w:t>
      </w:r>
      <w:r>
        <w:rPr>
          <w:rFonts w:cstheme="minorHAnsi"/>
        </w:rPr>
        <w:t xml:space="preserve"> </w:t>
      </w:r>
      <w:r w:rsidR="00272EA7">
        <w:rPr>
          <w:rFonts w:cstheme="minorHAnsi"/>
        </w:rPr>
        <w:t xml:space="preserve">job-related stress, </w:t>
      </w:r>
      <w:r>
        <w:rPr>
          <w:rFonts w:cstheme="minorHAnsi"/>
        </w:rPr>
        <w:t>and organizational social climate.  This i</w:t>
      </w:r>
      <w:r w:rsidRPr="005B32C3">
        <w:rPr>
          <w:rFonts w:ascii="Calibri" w:hAnsi="Calibri" w:cs="Calibri"/>
        </w:rPr>
        <w:t xml:space="preserve">nformation is necessary to address the study’s </w:t>
      </w:r>
      <w:r>
        <w:rPr>
          <w:rFonts w:ascii="Calibri" w:hAnsi="Calibri" w:cs="Calibri"/>
        </w:rPr>
        <w:t>r</w:t>
      </w:r>
      <w:r w:rsidRPr="005B32C3">
        <w:rPr>
          <w:rFonts w:ascii="Calibri" w:hAnsi="Calibri" w:cs="Calibri"/>
        </w:rPr>
        <w:t>esearch questions</w:t>
      </w:r>
      <w:r>
        <w:rPr>
          <w:rFonts w:ascii="Calibri" w:hAnsi="Calibri" w:cs="Calibri"/>
        </w:rPr>
        <w:t xml:space="preserve"> and is not available from other sources</w:t>
      </w:r>
      <w:r w:rsidRPr="005B32C3">
        <w:rPr>
          <w:rFonts w:ascii="Calibri" w:hAnsi="Calibri" w:cs="Calibri"/>
        </w:rPr>
        <w:t>.</w:t>
      </w:r>
      <w:r w:rsidR="00F551C0">
        <w:rPr>
          <w:rFonts w:ascii="Calibri" w:hAnsi="Calibri" w:cs="Calibri"/>
        </w:rPr>
        <w:t xml:space="preserve"> </w:t>
      </w:r>
      <w:r w:rsidRPr="005B32C3">
        <w:rPr>
          <w:rFonts w:ascii="Calibri" w:hAnsi="Calibri" w:cs="Calibri"/>
        </w:rPr>
        <w:t xml:space="preserve">Respondents </w:t>
      </w:r>
      <w:r>
        <w:rPr>
          <w:rFonts w:ascii="Calibri" w:hAnsi="Calibri" w:cs="Calibri"/>
        </w:rPr>
        <w:t xml:space="preserve">will be </w:t>
      </w:r>
      <w:r w:rsidRPr="005B32C3">
        <w:rPr>
          <w:rFonts w:ascii="Calibri" w:hAnsi="Calibri" w:cs="Calibri"/>
        </w:rPr>
        <w:t xml:space="preserve">advised of the voluntary nature of participation and their right to refuse to answer any question during the informed consent process. </w:t>
      </w:r>
    </w:p>
    <w:p w:rsidR="001C243F" w:rsidP="001C243F" w:rsidRDefault="001C243F" w14:paraId="1A4C7D30" w14:textId="77777777">
      <w:pPr>
        <w:pStyle w:val="BodyText"/>
        <w:spacing w:after="0" w:line="240" w:lineRule="auto"/>
        <w:rPr>
          <w:b/>
        </w:rPr>
      </w:pPr>
    </w:p>
    <w:p w:rsidRPr="009139B3" w:rsidR="001D1C73" w:rsidP="001D1C73" w:rsidRDefault="001D1C73" w14:paraId="62ADEB38" w14:textId="433C8092">
      <w:pPr>
        <w:spacing w:after="120" w:line="240" w:lineRule="auto"/>
        <w:rPr>
          <w:b/>
        </w:rPr>
      </w:pPr>
      <w:r w:rsidRPr="009139B3">
        <w:rPr>
          <w:b/>
        </w:rPr>
        <w:t>A12</w:t>
      </w:r>
      <w:r w:rsidRPr="009139B3">
        <w:t>.</w:t>
      </w:r>
      <w:r w:rsidRPr="009139B3">
        <w:tab/>
      </w:r>
      <w:r w:rsidRPr="009139B3">
        <w:rPr>
          <w:b/>
        </w:rPr>
        <w:t>Burden</w:t>
      </w:r>
    </w:p>
    <w:p w:rsidR="001D1C73" w:rsidP="00CD3C52" w:rsidRDefault="001D1C73" w14:paraId="4525B6CF" w14:textId="3B134FBB">
      <w:pPr>
        <w:spacing w:after="60" w:line="240" w:lineRule="auto"/>
        <w:rPr>
          <w:i/>
        </w:rPr>
      </w:pPr>
      <w:r w:rsidRPr="009139B3">
        <w:rPr>
          <w:i/>
        </w:rPr>
        <w:t>Explanation of Burden Estimates</w:t>
      </w:r>
    </w:p>
    <w:p w:rsidRPr="009D5F6B" w:rsidR="005A21B1" w:rsidP="009D5F6B" w:rsidRDefault="005A21B1" w14:paraId="059A64BB" w14:textId="2808B44F">
      <w:pPr>
        <w:pStyle w:val="CommentText"/>
        <w:rPr>
          <w:b/>
          <w:sz w:val="22"/>
          <w:szCs w:val="22"/>
          <w:bdr w:val="none" w:color="auto" w:sz="0" w:space="0" w:frame="1"/>
        </w:rPr>
      </w:pPr>
      <w:r w:rsidRPr="009D5F6B">
        <w:rPr>
          <w:rFonts w:cstheme="minorHAnsi"/>
          <w:sz w:val="22"/>
          <w:szCs w:val="22"/>
        </w:rPr>
        <w:t>There are no remaining approved burden hours from the Phase I data collection of NSCAW III</w:t>
      </w:r>
      <w:r w:rsidRPr="009D5F6B">
        <w:rPr>
          <w:sz w:val="22"/>
          <w:szCs w:val="22"/>
          <w:bdr w:val="none" w:color="auto" w:sz="0" w:space="0" w:frame="1"/>
        </w:rPr>
        <w:t>, previously approved under 0970-0202</w:t>
      </w:r>
      <w:r w:rsidRPr="009D5F6B">
        <w:rPr>
          <w:rFonts w:cstheme="minorHAnsi"/>
          <w:sz w:val="22"/>
          <w:szCs w:val="22"/>
        </w:rPr>
        <w:t>.</w:t>
      </w:r>
      <w:r w:rsidRPr="009D5F6B" w:rsidR="009D5F6B">
        <w:rPr>
          <w:rFonts w:cstheme="minorHAnsi"/>
          <w:sz w:val="22"/>
          <w:szCs w:val="22"/>
        </w:rPr>
        <w:t xml:space="preserve"> </w:t>
      </w:r>
      <w:r w:rsidRPr="009D5F6B" w:rsidR="009D5F6B">
        <w:rPr>
          <w:sz w:val="22"/>
          <w:szCs w:val="22"/>
        </w:rPr>
        <w:t xml:space="preserve">This change request includes revised estimates to the average time per </w:t>
      </w:r>
      <w:r w:rsidRPr="009D5F6B" w:rsidR="009D5F6B">
        <w:rPr>
          <w:sz w:val="22"/>
          <w:szCs w:val="22"/>
        </w:rPr>
        <w:lastRenderedPageBreak/>
        <w:t xml:space="preserve">response to the child baseline and follow-up information collections. The revisions are based on information from the field to date. </w:t>
      </w:r>
      <w:r w:rsidRPr="009D5F6B">
        <w:rPr>
          <w:rFonts w:cstheme="minorHAnsi"/>
          <w:sz w:val="22"/>
          <w:szCs w:val="22"/>
        </w:rPr>
        <w:t xml:space="preserve"> </w:t>
      </w:r>
      <w:r w:rsidRPr="009D5F6B">
        <w:rPr>
          <w:rFonts w:cstheme="minorHAnsi"/>
          <w:b/>
          <w:bCs/>
          <w:i/>
          <w:iCs/>
          <w:sz w:val="22"/>
          <w:szCs w:val="22"/>
        </w:rPr>
        <w:t>Table 4.A</w:t>
      </w:r>
      <w:r w:rsidRPr="009D5F6B">
        <w:rPr>
          <w:sz w:val="22"/>
          <w:szCs w:val="22"/>
          <w:bdr w:val="none" w:color="auto" w:sz="0" w:space="0" w:frame="1"/>
        </w:rPr>
        <w:t xml:space="preserve"> summarizes the remaining burden for Phase II. The data collection associated with</w:t>
      </w:r>
      <w:r w:rsidRPr="009D5F6B" w:rsidR="001D553A">
        <w:rPr>
          <w:sz w:val="22"/>
          <w:szCs w:val="22"/>
          <w:bdr w:val="none" w:color="auto" w:sz="0" w:space="0" w:frame="1"/>
        </w:rPr>
        <w:t xml:space="preserve"> baseline and 18</w:t>
      </w:r>
      <w:r w:rsidRPr="009D5F6B" w:rsidR="00622B6A">
        <w:rPr>
          <w:sz w:val="22"/>
          <w:szCs w:val="22"/>
          <w:bdr w:val="none" w:color="auto" w:sz="0" w:space="0" w:frame="1"/>
        </w:rPr>
        <w:t>-</w:t>
      </w:r>
      <w:r w:rsidRPr="009D5F6B" w:rsidR="001D553A">
        <w:rPr>
          <w:sz w:val="22"/>
          <w:szCs w:val="22"/>
          <w:bdr w:val="none" w:color="auto" w:sz="0" w:space="0" w:frame="1"/>
        </w:rPr>
        <w:t>month follow-up data collection</w:t>
      </w:r>
      <w:r w:rsidRPr="009D5F6B">
        <w:rPr>
          <w:sz w:val="22"/>
          <w:szCs w:val="22"/>
          <w:bdr w:val="none" w:color="auto" w:sz="0" w:space="0" w:frame="1"/>
        </w:rPr>
        <w:t xml:space="preserve"> for Phase II is ongoing at the time of this submission</w:t>
      </w:r>
      <w:r w:rsidRPr="009D5F6B">
        <w:rPr>
          <w:bCs/>
          <w:sz w:val="22"/>
          <w:szCs w:val="22"/>
          <w:bdr w:val="none" w:color="auto" w:sz="0" w:space="0" w:frame="1"/>
        </w:rPr>
        <w:t xml:space="preserve">. </w:t>
      </w:r>
      <w:r w:rsidRPr="009D5F6B" w:rsidR="00F00E8A">
        <w:rPr>
          <w:bCs/>
          <w:sz w:val="22"/>
          <w:szCs w:val="22"/>
          <w:bdr w:val="none" w:color="auto" w:sz="0" w:space="0" w:frame="1"/>
        </w:rPr>
        <w:t xml:space="preserve"> </w:t>
      </w:r>
      <w:r w:rsidRPr="009D5F6B" w:rsidR="00F00E8A">
        <w:rPr>
          <w:b/>
          <w:i/>
          <w:iCs/>
          <w:sz w:val="22"/>
          <w:szCs w:val="22"/>
          <w:bdr w:val="none" w:color="auto" w:sz="0" w:space="0" w:frame="1"/>
        </w:rPr>
        <w:t>Table 4.B</w:t>
      </w:r>
      <w:r w:rsidRPr="009D5F6B" w:rsidR="00F00E8A">
        <w:rPr>
          <w:bCs/>
          <w:sz w:val="22"/>
          <w:szCs w:val="22"/>
          <w:bdr w:val="none" w:color="auto" w:sz="0" w:space="0" w:frame="1"/>
        </w:rPr>
        <w:t xml:space="preserve"> summarizes the remaining burden for Phase III.  Phase III is scheduled to begin in early 2021.</w:t>
      </w:r>
    </w:p>
    <w:p w:rsidR="00521737" w:rsidP="005A21B1" w:rsidRDefault="005A21B1" w14:paraId="13879EE0" w14:textId="2BEA6B56">
      <w:pPr>
        <w:pStyle w:val="ExhibitTitle"/>
        <w:ind w:left="2160" w:hanging="2160"/>
        <w:rPr>
          <w:rFonts w:asciiTheme="minorHAnsi" w:hAnsiTheme="minorHAnsi" w:cstheme="minorHAnsi"/>
          <w:i/>
          <w:sz w:val="22"/>
          <w:szCs w:val="22"/>
        </w:rPr>
      </w:pPr>
      <w:bookmarkStart w:name="_Toc458001295" w:id="6"/>
      <w:r w:rsidRPr="001D017A">
        <w:rPr>
          <w:rFonts w:asciiTheme="minorHAnsi" w:hAnsiTheme="minorHAnsi" w:cstheme="minorHAnsi"/>
          <w:iCs/>
          <w:sz w:val="22"/>
          <w:szCs w:val="22"/>
        </w:rPr>
        <w:t>Table 4.A</w:t>
      </w:r>
      <w:r w:rsidRPr="005A21B1">
        <w:rPr>
          <w:rFonts w:asciiTheme="minorHAnsi" w:hAnsiTheme="minorHAnsi" w:cstheme="minorHAnsi"/>
          <w:sz w:val="22"/>
          <w:szCs w:val="22"/>
        </w:rPr>
        <w:t xml:space="preserve"> Phase II Estimated Response Burden Remaining (</w:t>
      </w:r>
      <w:r w:rsidRPr="005A21B1">
        <w:rPr>
          <w:rFonts w:asciiTheme="minorHAnsi" w:hAnsiTheme="minorHAnsi" w:cstheme="minorHAnsi"/>
          <w:i/>
          <w:sz w:val="22"/>
          <w:szCs w:val="22"/>
        </w:rPr>
        <w:t>Previously Approved; 0970-0202, June 2017)</w:t>
      </w:r>
    </w:p>
    <w:tbl>
      <w:tblPr>
        <w:tblW w:w="97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8" w:type="dxa"/>
          <w:right w:w="58" w:type="dxa"/>
        </w:tblCellMar>
        <w:tblLook w:val="04A0" w:firstRow="1" w:lastRow="0" w:firstColumn="1" w:lastColumn="0" w:noHBand="0" w:noVBand="1"/>
      </w:tblPr>
      <w:tblGrid>
        <w:gridCol w:w="1800"/>
        <w:gridCol w:w="1440"/>
        <w:gridCol w:w="1260"/>
        <w:gridCol w:w="1170"/>
        <w:gridCol w:w="1080"/>
        <w:gridCol w:w="810"/>
        <w:gridCol w:w="990"/>
        <w:gridCol w:w="1245"/>
      </w:tblGrid>
      <w:tr w:rsidRPr="008A39AF" w:rsidR="00CD3C52" w:rsidTr="00486FCB" w14:paraId="64459A28" w14:textId="77777777">
        <w:trPr>
          <w:cantSplit/>
          <w:tblHeader/>
          <w:jc w:val="center"/>
        </w:trPr>
        <w:tc>
          <w:tcPr>
            <w:tcW w:w="1800" w:type="dxa"/>
            <w:shd w:val="clear" w:color="auto" w:fill="auto"/>
            <w:tcMar>
              <w:top w:w="0" w:type="dxa"/>
              <w:left w:w="29" w:type="dxa"/>
              <w:bottom w:w="0" w:type="dxa"/>
              <w:right w:w="29" w:type="dxa"/>
            </w:tcMar>
            <w:vAlign w:val="bottom"/>
            <w:hideMark/>
          </w:tcPr>
          <w:p w:rsidRPr="008A39AF" w:rsidR="00CD3C52" w:rsidP="00CD3C52" w:rsidRDefault="0078597E" w14:paraId="517AC190" w14:textId="700C81EF">
            <w:pPr>
              <w:pStyle w:val="TableHeader"/>
              <w:spacing w:before="40" w:after="40"/>
              <w:rPr>
                <w:rFonts w:asciiTheme="minorHAnsi" w:hAnsiTheme="minorHAnsi" w:cstheme="minorHAnsi"/>
              </w:rPr>
            </w:pPr>
            <w:r w:rsidRPr="008A39AF">
              <w:rPr>
                <w:rFonts w:asciiTheme="minorHAnsi" w:hAnsiTheme="minorHAnsi" w:cstheme="minorHAnsi"/>
              </w:rPr>
              <w:t>`</w:t>
            </w:r>
          </w:p>
        </w:tc>
        <w:tc>
          <w:tcPr>
            <w:tcW w:w="1440" w:type="dxa"/>
            <w:shd w:val="clear" w:color="auto" w:fill="auto"/>
            <w:tcMar>
              <w:top w:w="0" w:type="dxa"/>
              <w:left w:w="0" w:type="dxa"/>
              <w:bottom w:w="0" w:type="dxa"/>
              <w:right w:w="0" w:type="dxa"/>
            </w:tcMar>
            <w:vAlign w:val="bottom"/>
            <w:hideMark/>
          </w:tcPr>
          <w:p w:rsidRPr="008A39AF" w:rsidR="00CD3C52" w:rsidP="00CD3C52" w:rsidRDefault="00CD3C52" w14:paraId="6D609125" w14:textId="77777777">
            <w:pPr>
              <w:pStyle w:val="TableHeader"/>
              <w:spacing w:before="40" w:after="40"/>
              <w:rPr>
                <w:rFonts w:asciiTheme="minorHAnsi" w:hAnsiTheme="minorHAnsi" w:cstheme="minorHAnsi"/>
              </w:rPr>
            </w:pPr>
            <w:r w:rsidRPr="008A39AF">
              <w:rPr>
                <w:rFonts w:asciiTheme="minorHAnsi" w:hAnsiTheme="minorHAnsi" w:cstheme="minorHAnsi"/>
              </w:rPr>
              <w:t>No. of Respondents (total over request period)</w:t>
            </w:r>
          </w:p>
        </w:tc>
        <w:tc>
          <w:tcPr>
            <w:tcW w:w="1260" w:type="dxa"/>
            <w:shd w:val="clear" w:color="auto" w:fill="auto"/>
            <w:tcMar>
              <w:top w:w="0" w:type="dxa"/>
              <w:left w:w="0" w:type="dxa"/>
              <w:bottom w:w="0" w:type="dxa"/>
              <w:right w:w="0" w:type="dxa"/>
            </w:tcMar>
            <w:vAlign w:val="bottom"/>
            <w:hideMark/>
          </w:tcPr>
          <w:p w:rsidRPr="008A39AF" w:rsidR="00CD3C52" w:rsidP="00CD3C52" w:rsidRDefault="00CD3C52" w14:paraId="2CAD1E7F" w14:textId="77777777">
            <w:pPr>
              <w:pStyle w:val="TableHeader"/>
              <w:spacing w:before="40" w:after="40"/>
              <w:rPr>
                <w:rFonts w:asciiTheme="minorHAnsi" w:hAnsiTheme="minorHAnsi" w:cstheme="minorHAnsi"/>
              </w:rPr>
            </w:pPr>
            <w:r w:rsidRPr="008A39AF">
              <w:rPr>
                <w:rFonts w:asciiTheme="minorHAnsi" w:hAnsiTheme="minorHAnsi" w:cstheme="minorHAnsi"/>
              </w:rPr>
              <w:t>No. of Responses per Respondent (total over request period)</w:t>
            </w:r>
          </w:p>
        </w:tc>
        <w:tc>
          <w:tcPr>
            <w:tcW w:w="1170" w:type="dxa"/>
            <w:shd w:val="clear" w:color="auto" w:fill="auto"/>
            <w:tcMar>
              <w:top w:w="0" w:type="dxa"/>
              <w:left w:w="29" w:type="dxa"/>
              <w:bottom w:w="0" w:type="dxa"/>
              <w:right w:w="29" w:type="dxa"/>
            </w:tcMar>
            <w:vAlign w:val="bottom"/>
            <w:hideMark/>
          </w:tcPr>
          <w:p w:rsidRPr="008A39AF" w:rsidR="00CD3C52" w:rsidP="00CD3C52" w:rsidRDefault="00CD3C52" w14:paraId="0877B0E7" w14:textId="77777777">
            <w:pPr>
              <w:pStyle w:val="TableHeader"/>
              <w:spacing w:before="40" w:after="40"/>
              <w:rPr>
                <w:rFonts w:asciiTheme="minorHAnsi" w:hAnsiTheme="minorHAnsi" w:cstheme="minorHAnsi"/>
              </w:rPr>
            </w:pPr>
            <w:r w:rsidRPr="008A39AF">
              <w:rPr>
                <w:rFonts w:asciiTheme="minorHAnsi" w:hAnsiTheme="minorHAnsi" w:cstheme="minorHAnsi"/>
              </w:rPr>
              <w:t>Avg. Burden per Response (in hours)</w:t>
            </w:r>
          </w:p>
        </w:tc>
        <w:tc>
          <w:tcPr>
            <w:tcW w:w="1080" w:type="dxa"/>
            <w:shd w:val="clear" w:color="auto" w:fill="auto"/>
            <w:tcMar>
              <w:top w:w="0" w:type="dxa"/>
              <w:left w:w="29" w:type="dxa"/>
              <w:bottom w:w="0" w:type="dxa"/>
              <w:right w:w="29" w:type="dxa"/>
            </w:tcMar>
            <w:vAlign w:val="bottom"/>
            <w:hideMark/>
          </w:tcPr>
          <w:p w:rsidRPr="008A39AF" w:rsidR="00CD3C52" w:rsidP="00CD3C52" w:rsidRDefault="00CD3C52" w14:paraId="72CA3B52" w14:textId="77777777">
            <w:pPr>
              <w:pStyle w:val="TableHeader"/>
              <w:spacing w:before="40" w:after="40"/>
              <w:rPr>
                <w:rFonts w:asciiTheme="minorHAnsi" w:hAnsiTheme="minorHAnsi" w:cstheme="minorHAnsi"/>
              </w:rPr>
            </w:pPr>
            <w:r w:rsidRPr="008A39AF">
              <w:rPr>
                <w:rFonts w:asciiTheme="minorHAnsi" w:hAnsiTheme="minorHAnsi" w:cstheme="minorHAnsi"/>
              </w:rPr>
              <w:t>Total Burden (in hours)</w:t>
            </w:r>
          </w:p>
        </w:tc>
        <w:tc>
          <w:tcPr>
            <w:tcW w:w="810" w:type="dxa"/>
            <w:shd w:val="clear" w:color="auto" w:fill="auto"/>
            <w:tcMar>
              <w:top w:w="0" w:type="dxa"/>
              <w:left w:w="29" w:type="dxa"/>
              <w:bottom w:w="0" w:type="dxa"/>
              <w:right w:w="29" w:type="dxa"/>
            </w:tcMar>
            <w:vAlign w:val="bottom"/>
            <w:hideMark/>
          </w:tcPr>
          <w:p w:rsidRPr="008A39AF" w:rsidR="00CD3C52" w:rsidP="00CD3C52" w:rsidRDefault="00CD3C52" w14:paraId="5352BBD6" w14:textId="77777777">
            <w:pPr>
              <w:pStyle w:val="TableHeader"/>
              <w:spacing w:before="40" w:after="40"/>
              <w:rPr>
                <w:rFonts w:asciiTheme="minorHAnsi" w:hAnsiTheme="minorHAnsi" w:cstheme="minorHAnsi"/>
              </w:rPr>
            </w:pPr>
            <w:r w:rsidRPr="008A39AF">
              <w:rPr>
                <w:rFonts w:asciiTheme="minorHAnsi" w:hAnsiTheme="minorHAnsi" w:cstheme="minorHAnsi"/>
              </w:rPr>
              <w:t>Annual Burden (in hours)</w:t>
            </w:r>
          </w:p>
        </w:tc>
        <w:tc>
          <w:tcPr>
            <w:tcW w:w="990" w:type="dxa"/>
            <w:shd w:val="clear" w:color="auto" w:fill="auto"/>
            <w:tcMar>
              <w:top w:w="0" w:type="dxa"/>
              <w:left w:w="29" w:type="dxa"/>
              <w:bottom w:w="0" w:type="dxa"/>
              <w:right w:w="29" w:type="dxa"/>
            </w:tcMar>
            <w:vAlign w:val="bottom"/>
            <w:hideMark/>
          </w:tcPr>
          <w:p w:rsidRPr="008A39AF" w:rsidR="00CD3C52" w:rsidP="00CD3C52" w:rsidRDefault="00CD3C52" w14:paraId="27FCF51C" w14:textId="77777777">
            <w:pPr>
              <w:pStyle w:val="TableHeader"/>
              <w:spacing w:before="40" w:after="40"/>
              <w:rPr>
                <w:rFonts w:asciiTheme="minorHAnsi" w:hAnsiTheme="minorHAnsi" w:cstheme="minorHAnsi"/>
                <w:bCs/>
              </w:rPr>
            </w:pPr>
            <w:r w:rsidRPr="008A39AF">
              <w:rPr>
                <w:rFonts w:asciiTheme="minorHAnsi" w:hAnsiTheme="minorHAnsi" w:cstheme="minorHAnsi"/>
                <w:bCs/>
              </w:rPr>
              <w:t>Average Hourly Wage Rate</w:t>
            </w:r>
          </w:p>
        </w:tc>
        <w:tc>
          <w:tcPr>
            <w:tcW w:w="1245" w:type="dxa"/>
            <w:shd w:val="clear" w:color="auto" w:fill="auto"/>
            <w:tcMar>
              <w:top w:w="0" w:type="dxa"/>
              <w:left w:w="29" w:type="dxa"/>
              <w:bottom w:w="0" w:type="dxa"/>
              <w:right w:w="29" w:type="dxa"/>
            </w:tcMar>
            <w:vAlign w:val="bottom"/>
            <w:hideMark/>
          </w:tcPr>
          <w:p w:rsidRPr="008A39AF" w:rsidR="00CD3C52" w:rsidP="00CD3C52" w:rsidRDefault="00CD3C52" w14:paraId="2E53EA05" w14:textId="77777777">
            <w:pPr>
              <w:pStyle w:val="TableHeader"/>
              <w:spacing w:before="40" w:after="40"/>
              <w:rPr>
                <w:rFonts w:asciiTheme="minorHAnsi" w:hAnsiTheme="minorHAnsi" w:cstheme="minorHAnsi"/>
                <w:bCs/>
              </w:rPr>
            </w:pPr>
            <w:r w:rsidRPr="008A39AF">
              <w:rPr>
                <w:rFonts w:asciiTheme="minorHAnsi" w:hAnsiTheme="minorHAnsi" w:cstheme="minorHAnsi"/>
                <w:bCs/>
              </w:rPr>
              <w:t>Total Annual Respondent Cost</w:t>
            </w:r>
          </w:p>
        </w:tc>
      </w:tr>
      <w:tr w:rsidRPr="008A39AF" w:rsidR="002523B1" w:rsidTr="00486FCB" w14:paraId="400418C8"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5D37D04A" w14:textId="22C0E951">
            <w:pPr>
              <w:pStyle w:val="TableHeader"/>
              <w:spacing w:before="40" w:after="40"/>
              <w:rPr>
                <w:rFonts w:asciiTheme="minorHAnsi" w:hAnsiTheme="minorHAnsi" w:cstheme="minorHAnsi"/>
              </w:rPr>
            </w:pPr>
            <w:r w:rsidRPr="008A39AF">
              <w:rPr>
                <w:rFonts w:asciiTheme="minorHAnsi" w:hAnsiTheme="minorHAnsi" w:cstheme="minorHAnsi"/>
              </w:rPr>
              <w:t>Child – Baseline</w:t>
            </w:r>
          </w:p>
        </w:tc>
        <w:tc>
          <w:tcPr>
            <w:tcW w:w="1440" w:type="dxa"/>
            <w:shd w:val="clear" w:color="auto" w:fill="auto"/>
            <w:tcMar>
              <w:top w:w="0" w:type="dxa"/>
              <w:left w:w="0" w:type="dxa"/>
              <w:bottom w:w="0" w:type="dxa"/>
              <w:right w:w="0" w:type="dxa"/>
            </w:tcMar>
          </w:tcPr>
          <w:p w:rsidRPr="008A39AF" w:rsidR="002523B1" w:rsidP="002523B1" w:rsidRDefault="002523B1" w14:paraId="413E85F8" w14:textId="1E98EEFC">
            <w:pPr>
              <w:pStyle w:val="TableHeader"/>
              <w:spacing w:before="40" w:after="40"/>
              <w:rPr>
                <w:rFonts w:asciiTheme="minorHAnsi" w:hAnsiTheme="minorHAnsi" w:cstheme="minorHAnsi"/>
              </w:rPr>
            </w:pPr>
            <w:r w:rsidRPr="008A39AF">
              <w:rPr>
                <w:rFonts w:asciiTheme="minorHAnsi" w:hAnsiTheme="minorHAnsi" w:cstheme="minorHAnsi"/>
                <w:b w:val="0"/>
                <w:color w:val="000000"/>
              </w:rPr>
              <w:t>755</w:t>
            </w:r>
          </w:p>
        </w:tc>
        <w:tc>
          <w:tcPr>
            <w:tcW w:w="1260" w:type="dxa"/>
            <w:shd w:val="clear" w:color="auto" w:fill="auto"/>
            <w:tcMar>
              <w:top w:w="0" w:type="dxa"/>
              <w:left w:w="0" w:type="dxa"/>
              <w:bottom w:w="0" w:type="dxa"/>
              <w:right w:w="0" w:type="dxa"/>
            </w:tcMar>
            <w:vAlign w:val="bottom"/>
          </w:tcPr>
          <w:p w:rsidRPr="008A39AF" w:rsidR="002523B1" w:rsidP="002523B1" w:rsidRDefault="002523B1" w14:paraId="16A641D4" w14:textId="10435C59">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0338277A" w14:textId="6ADBE698">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w:t>
            </w:r>
            <w:r w:rsidR="00D71B49">
              <w:rPr>
                <w:rFonts w:asciiTheme="minorHAnsi" w:hAnsiTheme="minorHAnsi" w:cstheme="minorHAnsi"/>
                <w:b w:val="0"/>
                <w:color w:val="000000"/>
              </w:rPr>
              <w:t>75</w:t>
            </w:r>
          </w:p>
        </w:tc>
        <w:tc>
          <w:tcPr>
            <w:tcW w:w="1080" w:type="dxa"/>
            <w:shd w:val="clear" w:color="auto" w:fill="auto"/>
            <w:tcMar>
              <w:top w:w="0" w:type="dxa"/>
              <w:left w:w="29" w:type="dxa"/>
              <w:bottom w:w="0" w:type="dxa"/>
              <w:right w:w="29" w:type="dxa"/>
            </w:tcMar>
          </w:tcPr>
          <w:p w:rsidRPr="008A39AF" w:rsidR="002523B1" w:rsidP="002523B1" w:rsidRDefault="002523B1" w14:paraId="1C4F3569" w14:textId="112A40BE">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w:t>
            </w:r>
            <w:r w:rsidR="00D71B49">
              <w:rPr>
                <w:rFonts w:asciiTheme="minorHAnsi" w:hAnsiTheme="minorHAnsi" w:cstheme="minorHAnsi"/>
                <w:b w:val="0"/>
                <w:color w:val="000000"/>
              </w:rPr>
              <w:t>321</w:t>
            </w:r>
          </w:p>
        </w:tc>
        <w:tc>
          <w:tcPr>
            <w:tcW w:w="810" w:type="dxa"/>
            <w:shd w:val="clear" w:color="auto" w:fill="auto"/>
            <w:tcMar>
              <w:top w:w="0" w:type="dxa"/>
              <w:left w:w="29" w:type="dxa"/>
              <w:bottom w:w="0" w:type="dxa"/>
              <w:right w:w="29" w:type="dxa"/>
            </w:tcMar>
          </w:tcPr>
          <w:p w:rsidRPr="008A39AF" w:rsidR="002523B1" w:rsidP="002523B1" w:rsidRDefault="001E6DBA" w14:paraId="25C0B891" w14:textId="63D704AA">
            <w:pPr>
              <w:pStyle w:val="TableHeader"/>
              <w:spacing w:before="40" w:after="40"/>
              <w:rPr>
                <w:rFonts w:asciiTheme="minorHAnsi" w:hAnsiTheme="minorHAnsi" w:cstheme="minorHAnsi"/>
                <w:b w:val="0"/>
                <w:bCs/>
              </w:rPr>
            </w:pPr>
            <w:r>
              <w:rPr>
                <w:rFonts w:asciiTheme="minorHAnsi" w:hAnsiTheme="minorHAnsi" w:cstheme="minorHAnsi"/>
                <w:b w:val="0"/>
                <w:bCs/>
              </w:rPr>
              <w:t>441</w:t>
            </w:r>
          </w:p>
        </w:tc>
        <w:tc>
          <w:tcPr>
            <w:tcW w:w="990" w:type="dxa"/>
            <w:shd w:val="clear" w:color="auto" w:fill="auto"/>
            <w:tcMar>
              <w:top w:w="0" w:type="dxa"/>
              <w:left w:w="29" w:type="dxa"/>
              <w:bottom w:w="0" w:type="dxa"/>
              <w:right w:w="29" w:type="dxa"/>
            </w:tcMar>
          </w:tcPr>
          <w:p w:rsidRPr="008A39AF" w:rsidR="002523B1" w:rsidP="002523B1" w:rsidRDefault="002523B1" w14:paraId="6D755EBA" w14:textId="201E9996">
            <w:pPr>
              <w:pStyle w:val="TableHeader"/>
              <w:spacing w:before="40" w:after="40"/>
              <w:rPr>
                <w:rFonts w:asciiTheme="minorHAnsi" w:hAnsiTheme="minorHAnsi" w:cstheme="minorHAnsi"/>
                <w:b w:val="0"/>
                <w:bCs/>
              </w:rPr>
            </w:pPr>
            <w:r w:rsidRPr="008A39AF">
              <w:rPr>
                <w:rFonts w:asciiTheme="minorHAnsi" w:hAnsiTheme="minorHAnsi" w:cstheme="minorHAnsi"/>
                <w:b w:val="0"/>
              </w:rPr>
              <w:t>n/a</w:t>
            </w:r>
          </w:p>
        </w:tc>
        <w:tc>
          <w:tcPr>
            <w:tcW w:w="1245" w:type="dxa"/>
            <w:shd w:val="clear" w:color="auto" w:fill="auto"/>
            <w:tcMar>
              <w:top w:w="0" w:type="dxa"/>
              <w:left w:w="29" w:type="dxa"/>
              <w:bottom w:w="0" w:type="dxa"/>
              <w:right w:w="29" w:type="dxa"/>
            </w:tcMar>
          </w:tcPr>
          <w:p w:rsidRPr="008A39AF" w:rsidR="002523B1" w:rsidP="002523B1" w:rsidRDefault="002523B1" w14:paraId="4ABFED6C" w14:textId="1364B71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n/a</w:t>
            </w:r>
          </w:p>
        </w:tc>
      </w:tr>
      <w:tr w:rsidRPr="008A39AF" w:rsidR="002523B1" w:rsidTr="00486FCB" w14:paraId="47CB61AF"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7837949C" w14:textId="5DC38544">
            <w:pPr>
              <w:pStyle w:val="TableHeader"/>
              <w:spacing w:before="40" w:after="40"/>
              <w:rPr>
                <w:rFonts w:asciiTheme="minorHAnsi" w:hAnsiTheme="minorHAnsi" w:cstheme="minorHAnsi"/>
              </w:rPr>
            </w:pPr>
            <w:r w:rsidRPr="008A39AF">
              <w:rPr>
                <w:rFonts w:asciiTheme="minorHAnsi" w:hAnsiTheme="minorHAnsi" w:cstheme="minorHAnsi"/>
                <w:color w:val="000000"/>
              </w:rPr>
              <w:t>Caregiver – Baseline</w:t>
            </w:r>
          </w:p>
        </w:tc>
        <w:tc>
          <w:tcPr>
            <w:tcW w:w="1440" w:type="dxa"/>
            <w:shd w:val="clear" w:color="auto" w:fill="auto"/>
            <w:tcMar>
              <w:top w:w="0" w:type="dxa"/>
              <w:left w:w="0" w:type="dxa"/>
              <w:bottom w:w="0" w:type="dxa"/>
              <w:right w:w="0" w:type="dxa"/>
            </w:tcMar>
          </w:tcPr>
          <w:p w:rsidRPr="008A39AF" w:rsidR="002523B1" w:rsidP="002523B1" w:rsidRDefault="002523B1" w14:paraId="4E32FCB3" w14:textId="77777777">
            <w:pPr>
              <w:pStyle w:val="TableHeader"/>
              <w:spacing w:before="40" w:after="40"/>
              <w:rPr>
                <w:rFonts w:asciiTheme="minorHAnsi" w:hAnsiTheme="minorHAnsi" w:cstheme="minorHAnsi"/>
                <w:b w:val="0"/>
                <w:color w:val="000000"/>
              </w:rPr>
            </w:pPr>
          </w:p>
          <w:p w:rsidRPr="008A39AF" w:rsidR="002523B1" w:rsidP="002523B1" w:rsidRDefault="002523B1" w14:paraId="074D0A5A" w14:textId="0D8BFB43">
            <w:pPr>
              <w:pStyle w:val="TableHeader"/>
              <w:spacing w:before="40" w:after="40"/>
              <w:rPr>
                <w:rFonts w:asciiTheme="minorHAnsi" w:hAnsiTheme="minorHAnsi" w:cstheme="minorHAnsi"/>
              </w:rPr>
            </w:pPr>
            <w:r w:rsidRPr="008A39AF">
              <w:rPr>
                <w:rFonts w:asciiTheme="minorHAnsi" w:hAnsiTheme="minorHAnsi" w:cstheme="minorHAnsi"/>
                <w:b w:val="0"/>
                <w:color w:val="000000"/>
              </w:rPr>
              <w:t>1,117</w:t>
            </w:r>
          </w:p>
        </w:tc>
        <w:tc>
          <w:tcPr>
            <w:tcW w:w="1260" w:type="dxa"/>
            <w:shd w:val="clear" w:color="auto" w:fill="auto"/>
            <w:tcMar>
              <w:top w:w="0" w:type="dxa"/>
              <w:left w:w="0" w:type="dxa"/>
              <w:bottom w:w="0" w:type="dxa"/>
              <w:right w:w="0" w:type="dxa"/>
            </w:tcMar>
            <w:vAlign w:val="bottom"/>
          </w:tcPr>
          <w:p w:rsidRPr="008A39AF" w:rsidR="002523B1" w:rsidP="002523B1" w:rsidRDefault="002523B1" w14:paraId="3192E4E8" w14:textId="033A79A2">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11424C1F" w14:textId="77777777">
            <w:pPr>
              <w:pStyle w:val="TableHeader"/>
              <w:spacing w:before="40" w:after="40"/>
              <w:rPr>
                <w:rFonts w:asciiTheme="minorHAnsi" w:hAnsiTheme="minorHAnsi" w:cstheme="minorHAnsi"/>
                <w:b w:val="0"/>
                <w:color w:val="000000"/>
              </w:rPr>
            </w:pPr>
          </w:p>
          <w:p w:rsidRPr="008A39AF" w:rsidR="002523B1" w:rsidP="002523B1" w:rsidRDefault="002523B1" w14:paraId="6B645353" w14:textId="0013C391">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1.67</w:t>
            </w:r>
          </w:p>
        </w:tc>
        <w:tc>
          <w:tcPr>
            <w:tcW w:w="1080" w:type="dxa"/>
            <w:shd w:val="clear" w:color="auto" w:fill="auto"/>
            <w:tcMar>
              <w:top w:w="0" w:type="dxa"/>
              <w:left w:w="29" w:type="dxa"/>
              <w:bottom w:w="0" w:type="dxa"/>
              <w:right w:w="29" w:type="dxa"/>
            </w:tcMar>
          </w:tcPr>
          <w:p w:rsidRPr="008A39AF" w:rsidR="002523B1" w:rsidP="002523B1" w:rsidRDefault="002523B1" w14:paraId="28A5FCDF" w14:textId="77777777">
            <w:pPr>
              <w:pStyle w:val="TableHeader"/>
              <w:spacing w:before="40" w:after="40"/>
              <w:rPr>
                <w:rFonts w:asciiTheme="minorHAnsi" w:hAnsiTheme="minorHAnsi" w:cstheme="minorHAnsi"/>
                <w:b w:val="0"/>
                <w:color w:val="000000"/>
              </w:rPr>
            </w:pPr>
          </w:p>
          <w:p w:rsidRPr="008A39AF" w:rsidR="002523B1" w:rsidP="002523B1" w:rsidRDefault="002523B1" w14:paraId="02DD7617" w14:textId="02E2AE76">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1,865</w:t>
            </w:r>
          </w:p>
        </w:tc>
        <w:tc>
          <w:tcPr>
            <w:tcW w:w="810" w:type="dxa"/>
            <w:shd w:val="clear" w:color="auto" w:fill="auto"/>
            <w:tcMar>
              <w:top w:w="0" w:type="dxa"/>
              <w:left w:w="29" w:type="dxa"/>
              <w:bottom w:w="0" w:type="dxa"/>
              <w:right w:w="29" w:type="dxa"/>
            </w:tcMar>
          </w:tcPr>
          <w:p w:rsidRPr="008A39AF" w:rsidR="002523B1" w:rsidP="002523B1" w:rsidRDefault="002523B1" w14:paraId="6A15ABD2" w14:textId="77777777">
            <w:pPr>
              <w:pStyle w:val="TableHeader"/>
              <w:spacing w:before="40" w:after="40"/>
              <w:rPr>
                <w:rFonts w:asciiTheme="minorHAnsi" w:hAnsiTheme="minorHAnsi" w:cstheme="minorHAnsi"/>
                <w:b w:val="0"/>
                <w:bCs/>
              </w:rPr>
            </w:pPr>
          </w:p>
          <w:p w:rsidRPr="008A39AF" w:rsidR="002523B1" w:rsidP="002523B1" w:rsidRDefault="002523B1" w14:paraId="0508093B" w14:textId="2E343DD2">
            <w:pPr>
              <w:pStyle w:val="TableHeader"/>
              <w:spacing w:before="40" w:after="40"/>
              <w:rPr>
                <w:rFonts w:asciiTheme="minorHAnsi" w:hAnsiTheme="minorHAnsi" w:cstheme="minorHAnsi"/>
                <w:b w:val="0"/>
                <w:bCs/>
              </w:rPr>
            </w:pPr>
            <w:r w:rsidRPr="008A39AF">
              <w:rPr>
                <w:rFonts w:asciiTheme="minorHAnsi" w:hAnsiTheme="minorHAnsi" w:cstheme="minorHAnsi"/>
                <w:b w:val="0"/>
                <w:bCs/>
              </w:rPr>
              <w:t>622</w:t>
            </w:r>
          </w:p>
        </w:tc>
        <w:tc>
          <w:tcPr>
            <w:tcW w:w="990" w:type="dxa"/>
            <w:shd w:val="clear" w:color="auto" w:fill="auto"/>
            <w:tcMar>
              <w:top w:w="0" w:type="dxa"/>
              <w:left w:w="29" w:type="dxa"/>
              <w:bottom w:w="0" w:type="dxa"/>
              <w:right w:w="29" w:type="dxa"/>
            </w:tcMar>
          </w:tcPr>
          <w:p w:rsidRPr="008A39AF" w:rsidR="002523B1" w:rsidP="002523B1" w:rsidRDefault="002523B1" w14:paraId="1FF6E629" w14:textId="77777777">
            <w:pPr>
              <w:pStyle w:val="TableHeader"/>
              <w:spacing w:before="40" w:after="40"/>
              <w:rPr>
                <w:rFonts w:asciiTheme="minorHAnsi" w:hAnsiTheme="minorHAnsi" w:cstheme="minorHAnsi"/>
                <w:b w:val="0"/>
              </w:rPr>
            </w:pPr>
          </w:p>
          <w:p w:rsidRPr="008A39AF" w:rsidR="002523B1" w:rsidP="002523B1" w:rsidRDefault="002523B1" w14:paraId="2056CABE" w14:textId="229096D3">
            <w:pPr>
              <w:pStyle w:val="TableHeader"/>
              <w:spacing w:before="40" w:after="40"/>
              <w:rPr>
                <w:rFonts w:asciiTheme="minorHAnsi" w:hAnsiTheme="minorHAnsi" w:cstheme="minorHAnsi"/>
                <w:b w:val="0"/>
                <w:bCs/>
              </w:rPr>
            </w:pPr>
            <w:r w:rsidRPr="008A39AF">
              <w:rPr>
                <w:rFonts w:asciiTheme="minorHAnsi" w:hAnsiTheme="minorHAnsi" w:cstheme="minorHAnsi"/>
                <w:b w:val="0"/>
              </w:rPr>
              <w:t>$17.25</w:t>
            </w:r>
          </w:p>
        </w:tc>
        <w:tc>
          <w:tcPr>
            <w:tcW w:w="1245" w:type="dxa"/>
            <w:shd w:val="clear" w:color="auto" w:fill="auto"/>
            <w:tcMar>
              <w:top w:w="0" w:type="dxa"/>
              <w:left w:w="29" w:type="dxa"/>
              <w:bottom w:w="0" w:type="dxa"/>
              <w:right w:w="29" w:type="dxa"/>
            </w:tcMar>
          </w:tcPr>
          <w:p w:rsidRPr="008A39AF" w:rsidR="002523B1" w:rsidP="002523B1" w:rsidRDefault="002523B1" w14:paraId="4E5E9BFB" w14:textId="77777777">
            <w:pPr>
              <w:pStyle w:val="TableHeader"/>
              <w:spacing w:before="40" w:after="40"/>
              <w:rPr>
                <w:rFonts w:asciiTheme="minorHAnsi" w:hAnsiTheme="minorHAnsi" w:cstheme="minorHAnsi"/>
                <w:b w:val="0"/>
                <w:color w:val="000000"/>
              </w:rPr>
            </w:pPr>
          </w:p>
          <w:p w:rsidRPr="008A39AF" w:rsidR="002523B1" w:rsidP="002523B1" w:rsidRDefault="002523B1" w14:paraId="3CACAF3C" w14:textId="30767158">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w:t>
            </w:r>
            <w:r w:rsidRPr="008A39AF" w:rsidR="00A66B44">
              <w:rPr>
                <w:rFonts w:asciiTheme="minorHAnsi" w:hAnsiTheme="minorHAnsi" w:cstheme="minorHAnsi"/>
                <w:b w:val="0"/>
                <w:color w:val="000000"/>
              </w:rPr>
              <w:t>10,</w:t>
            </w:r>
            <w:r w:rsidRPr="008A39AF" w:rsidR="00486FCB">
              <w:rPr>
                <w:rFonts w:asciiTheme="minorHAnsi" w:hAnsiTheme="minorHAnsi" w:cstheme="minorHAnsi"/>
                <w:b w:val="0"/>
                <w:color w:val="000000"/>
              </w:rPr>
              <w:t>730</w:t>
            </w:r>
          </w:p>
        </w:tc>
      </w:tr>
      <w:tr w:rsidRPr="008A39AF" w:rsidR="002523B1" w:rsidTr="00486FCB" w14:paraId="54BAC88E"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606F404D" w14:textId="30DC6E6D">
            <w:pPr>
              <w:pStyle w:val="TableHeader"/>
              <w:spacing w:before="40" w:after="40"/>
              <w:rPr>
                <w:rFonts w:asciiTheme="minorHAnsi" w:hAnsiTheme="minorHAnsi" w:cstheme="minorHAnsi"/>
              </w:rPr>
            </w:pPr>
            <w:r w:rsidRPr="008A39AF">
              <w:rPr>
                <w:rFonts w:asciiTheme="minorHAnsi" w:hAnsiTheme="minorHAnsi" w:cstheme="minorHAnsi"/>
                <w:color w:val="000000"/>
              </w:rPr>
              <w:t>Caseworker – Baseline</w:t>
            </w:r>
          </w:p>
        </w:tc>
        <w:tc>
          <w:tcPr>
            <w:tcW w:w="1440" w:type="dxa"/>
            <w:shd w:val="clear" w:color="auto" w:fill="auto"/>
            <w:tcMar>
              <w:top w:w="0" w:type="dxa"/>
              <w:left w:w="0" w:type="dxa"/>
              <w:bottom w:w="0" w:type="dxa"/>
              <w:right w:w="0" w:type="dxa"/>
            </w:tcMar>
          </w:tcPr>
          <w:p w:rsidRPr="008A39AF" w:rsidR="002523B1" w:rsidP="002523B1" w:rsidRDefault="002523B1" w14:paraId="6BE57ACA" w14:textId="77777777">
            <w:pPr>
              <w:pStyle w:val="TableHeader"/>
              <w:spacing w:before="40" w:after="40"/>
              <w:rPr>
                <w:rFonts w:asciiTheme="minorHAnsi" w:hAnsiTheme="minorHAnsi" w:cstheme="minorHAnsi"/>
                <w:b w:val="0"/>
                <w:color w:val="000000"/>
              </w:rPr>
            </w:pPr>
          </w:p>
          <w:p w:rsidRPr="008A39AF" w:rsidR="002523B1" w:rsidP="002523B1" w:rsidRDefault="002523B1" w14:paraId="2702BFFD" w14:textId="1515442F">
            <w:pPr>
              <w:pStyle w:val="TableHeader"/>
              <w:spacing w:before="40" w:after="40"/>
              <w:rPr>
                <w:rFonts w:asciiTheme="minorHAnsi" w:hAnsiTheme="minorHAnsi" w:cstheme="minorHAnsi"/>
              </w:rPr>
            </w:pPr>
            <w:r w:rsidRPr="008A39AF">
              <w:rPr>
                <w:rFonts w:asciiTheme="minorHAnsi" w:hAnsiTheme="minorHAnsi" w:cstheme="minorHAnsi"/>
                <w:b w:val="0"/>
                <w:color w:val="000000"/>
              </w:rPr>
              <w:t>243</w:t>
            </w:r>
          </w:p>
        </w:tc>
        <w:tc>
          <w:tcPr>
            <w:tcW w:w="1260" w:type="dxa"/>
            <w:shd w:val="clear" w:color="auto" w:fill="auto"/>
            <w:tcMar>
              <w:top w:w="0" w:type="dxa"/>
              <w:left w:w="0" w:type="dxa"/>
              <w:bottom w:w="0" w:type="dxa"/>
              <w:right w:w="0" w:type="dxa"/>
            </w:tcMar>
            <w:vAlign w:val="bottom"/>
          </w:tcPr>
          <w:p w:rsidRPr="008A39AF" w:rsidR="002523B1" w:rsidP="002523B1" w:rsidRDefault="002523B1" w14:paraId="2F8C039C" w14:textId="7558F146">
            <w:pPr>
              <w:pStyle w:val="TableHeader"/>
              <w:spacing w:before="40" w:after="40"/>
              <w:rPr>
                <w:rFonts w:asciiTheme="minorHAnsi" w:hAnsiTheme="minorHAnsi" w:cstheme="minorHAnsi"/>
                <w:b w:val="0"/>
                <w:bCs/>
              </w:rPr>
            </w:pPr>
            <w:r w:rsidRPr="008A39AF">
              <w:rPr>
                <w:rFonts w:asciiTheme="minorHAnsi" w:hAnsiTheme="minorHAnsi" w:cstheme="minorHAnsi"/>
                <w:b w:val="0"/>
                <w:bCs/>
              </w:rPr>
              <w:t>3</w:t>
            </w:r>
          </w:p>
        </w:tc>
        <w:tc>
          <w:tcPr>
            <w:tcW w:w="1170" w:type="dxa"/>
            <w:shd w:val="clear" w:color="auto" w:fill="auto"/>
            <w:tcMar>
              <w:top w:w="0" w:type="dxa"/>
              <w:left w:w="29" w:type="dxa"/>
              <w:bottom w:w="0" w:type="dxa"/>
              <w:right w:w="29" w:type="dxa"/>
            </w:tcMar>
          </w:tcPr>
          <w:p w:rsidRPr="008A39AF" w:rsidR="002523B1" w:rsidP="002523B1" w:rsidRDefault="002523B1" w14:paraId="3A9828FC" w14:textId="77777777">
            <w:pPr>
              <w:pStyle w:val="TableHeader"/>
              <w:spacing w:before="40" w:after="40"/>
              <w:rPr>
                <w:rFonts w:asciiTheme="minorHAnsi" w:hAnsiTheme="minorHAnsi" w:cstheme="minorHAnsi"/>
                <w:b w:val="0"/>
                <w:color w:val="000000"/>
              </w:rPr>
            </w:pPr>
          </w:p>
          <w:p w:rsidRPr="008A39AF" w:rsidR="002523B1" w:rsidP="002523B1" w:rsidRDefault="002523B1" w14:paraId="29734214" w14:textId="376F0ED1">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.75</w:t>
            </w:r>
          </w:p>
        </w:tc>
        <w:tc>
          <w:tcPr>
            <w:tcW w:w="1080" w:type="dxa"/>
            <w:shd w:val="clear" w:color="auto" w:fill="auto"/>
            <w:tcMar>
              <w:top w:w="0" w:type="dxa"/>
              <w:left w:w="29" w:type="dxa"/>
              <w:bottom w:w="0" w:type="dxa"/>
              <w:right w:w="29" w:type="dxa"/>
            </w:tcMar>
          </w:tcPr>
          <w:p w:rsidRPr="008A39AF" w:rsidR="002523B1" w:rsidP="002523B1" w:rsidRDefault="002523B1" w14:paraId="4D4BA83A" w14:textId="77777777">
            <w:pPr>
              <w:pStyle w:val="TableHeader"/>
              <w:spacing w:before="40" w:after="40"/>
              <w:rPr>
                <w:rFonts w:asciiTheme="minorHAnsi" w:hAnsiTheme="minorHAnsi" w:cstheme="minorHAnsi"/>
                <w:b w:val="0"/>
                <w:color w:val="000000"/>
              </w:rPr>
            </w:pPr>
          </w:p>
          <w:p w:rsidRPr="008A39AF" w:rsidR="002523B1" w:rsidP="002523B1" w:rsidRDefault="002523B1" w14:paraId="45BABAE7" w14:textId="6A819E39">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547</w:t>
            </w:r>
          </w:p>
        </w:tc>
        <w:tc>
          <w:tcPr>
            <w:tcW w:w="810" w:type="dxa"/>
            <w:shd w:val="clear" w:color="auto" w:fill="auto"/>
            <w:tcMar>
              <w:top w:w="0" w:type="dxa"/>
              <w:left w:w="29" w:type="dxa"/>
              <w:bottom w:w="0" w:type="dxa"/>
              <w:right w:w="29" w:type="dxa"/>
            </w:tcMar>
          </w:tcPr>
          <w:p w:rsidRPr="008A39AF" w:rsidR="002523B1" w:rsidP="002523B1" w:rsidRDefault="002523B1" w14:paraId="682E00A0" w14:textId="77777777">
            <w:pPr>
              <w:pStyle w:val="TableHeader"/>
              <w:spacing w:before="40" w:after="40"/>
              <w:rPr>
                <w:rFonts w:asciiTheme="minorHAnsi" w:hAnsiTheme="minorHAnsi" w:cstheme="minorHAnsi"/>
                <w:b w:val="0"/>
                <w:bCs/>
              </w:rPr>
            </w:pPr>
          </w:p>
          <w:p w:rsidRPr="008A39AF" w:rsidR="002523B1" w:rsidP="002523B1" w:rsidRDefault="002523B1" w14:paraId="27A10E41" w14:textId="5E7C3FC9">
            <w:pPr>
              <w:pStyle w:val="TableHeader"/>
              <w:spacing w:before="40" w:after="40"/>
              <w:rPr>
                <w:rFonts w:asciiTheme="minorHAnsi" w:hAnsiTheme="minorHAnsi" w:cstheme="minorHAnsi"/>
                <w:b w:val="0"/>
                <w:bCs/>
              </w:rPr>
            </w:pPr>
            <w:r w:rsidRPr="008A39AF">
              <w:rPr>
                <w:rFonts w:asciiTheme="minorHAnsi" w:hAnsiTheme="minorHAnsi" w:cstheme="minorHAnsi"/>
                <w:b w:val="0"/>
                <w:bCs/>
              </w:rPr>
              <w:t>182</w:t>
            </w:r>
          </w:p>
        </w:tc>
        <w:tc>
          <w:tcPr>
            <w:tcW w:w="990" w:type="dxa"/>
            <w:shd w:val="clear" w:color="auto" w:fill="auto"/>
            <w:tcMar>
              <w:top w:w="0" w:type="dxa"/>
              <w:left w:w="29" w:type="dxa"/>
              <w:bottom w:w="0" w:type="dxa"/>
              <w:right w:w="29" w:type="dxa"/>
            </w:tcMar>
          </w:tcPr>
          <w:p w:rsidRPr="008A39AF" w:rsidR="002523B1" w:rsidP="002523B1" w:rsidRDefault="002523B1" w14:paraId="38C2EFA4" w14:textId="77777777">
            <w:pPr>
              <w:pStyle w:val="TableHeader"/>
              <w:spacing w:before="40" w:after="40"/>
              <w:rPr>
                <w:rFonts w:asciiTheme="minorHAnsi" w:hAnsiTheme="minorHAnsi" w:cstheme="minorHAnsi"/>
                <w:b w:val="0"/>
                <w:color w:val="000000"/>
              </w:rPr>
            </w:pPr>
          </w:p>
          <w:p w:rsidRPr="008A39AF" w:rsidR="002523B1" w:rsidP="002523B1" w:rsidRDefault="002523B1" w14:paraId="68ACA163" w14:textId="5DE86DA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$31.23</w:t>
            </w:r>
          </w:p>
        </w:tc>
        <w:tc>
          <w:tcPr>
            <w:tcW w:w="1245" w:type="dxa"/>
            <w:shd w:val="clear" w:color="auto" w:fill="auto"/>
            <w:tcMar>
              <w:top w:w="0" w:type="dxa"/>
              <w:left w:w="29" w:type="dxa"/>
              <w:bottom w:w="0" w:type="dxa"/>
              <w:right w:w="29" w:type="dxa"/>
            </w:tcMar>
          </w:tcPr>
          <w:p w:rsidRPr="008A39AF" w:rsidR="002523B1" w:rsidP="002523B1" w:rsidRDefault="002523B1" w14:paraId="02AF043B" w14:textId="77777777">
            <w:pPr>
              <w:pStyle w:val="TableHeader"/>
              <w:spacing w:before="40" w:after="40"/>
              <w:rPr>
                <w:rFonts w:asciiTheme="minorHAnsi" w:hAnsiTheme="minorHAnsi" w:cstheme="minorHAnsi"/>
                <w:b w:val="0"/>
                <w:color w:val="000000"/>
              </w:rPr>
            </w:pPr>
          </w:p>
          <w:p w:rsidRPr="008A39AF" w:rsidR="002523B1" w:rsidP="002523B1" w:rsidRDefault="002523B1" w14:paraId="41B841A2" w14:textId="2D73B404">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w:t>
            </w:r>
            <w:r w:rsidRPr="008A39AF" w:rsidR="00486FCB">
              <w:rPr>
                <w:rFonts w:asciiTheme="minorHAnsi" w:hAnsiTheme="minorHAnsi" w:cstheme="minorHAnsi"/>
                <w:b w:val="0"/>
                <w:color w:val="000000"/>
              </w:rPr>
              <w:t>5,684</w:t>
            </w:r>
          </w:p>
        </w:tc>
      </w:tr>
      <w:tr w:rsidRPr="008A39AF" w:rsidR="002523B1" w:rsidTr="00486FCB" w14:paraId="11CABCE9"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1CACCE39" w14:textId="13851495">
            <w:pPr>
              <w:pStyle w:val="TableHeader"/>
              <w:spacing w:before="40" w:after="40"/>
              <w:rPr>
                <w:rFonts w:asciiTheme="minorHAnsi" w:hAnsiTheme="minorHAnsi" w:cstheme="minorHAnsi"/>
              </w:rPr>
            </w:pPr>
            <w:r w:rsidRPr="008A39AF">
              <w:rPr>
                <w:rFonts w:asciiTheme="minorHAnsi" w:hAnsiTheme="minorHAnsi" w:cstheme="minorHAnsi"/>
                <w:color w:val="000000"/>
              </w:rPr>
              <w:t>Child – 18-month follow-up</w:t>
            </w:r>
          </w:p>
        </w:tc>
        <w:tc>
          <w:tcPr>
            <w:tcW w:w="1440" w:type="dxa"/>
            <w:shd w:val="clear" w:color="auto" w:fill="auto"/>
            <w:tcMar>
              <w:top w:w="0" w:type="dxa"/>
              <w:left w:w="0" w:type="dxa"/>
              <w:bottom w:w="0" w:type="dxa"/>
              <w:right w:w="0" w:type="dxa"/>
            </w:tcMar>
          </w:tcPr>
          <w:p w:rsidRPr="008A39AF" w:rsidR="002523B1" w:rsidP="002523B1" w:rsidRDefault="002523B1" w14:paraId="0D02168F" w14:textId="77777777">
            <w:pPr>
              <w:pStyle w:val="TableHeader"/>
              <w:spacing w:before="40" w:after="40"/>
              <w:rPr>
                <w:rFonts w:asciiTheme="minorHAnsi" w:hAnsiTheme="minorHAnsi" w:cstheme="minorHAnsi"/>
                <w:b w:val="0"/>
                <w:color w:val="000000"/>
              </w:rPr>
            </w:pPr>
          </w:p>
          <w:p w:rsidRPr="008A39AF" w:rsidR="002523B1" w:rsidP="002523B1" w:rsidRDefault="002523B1" w14:paraId="2C7023FF" w14:textId="5DA48EAB">
            <w:pPr>
              <w:pStyle w:val="TableHeader"/>
              <w:spacing w:before="40" w:after="40"/>
              <w:rPr>
                <w:rFonts w:asciiTheme="minorHAnsi" w:hAnsiTheme="minorHAnsi" w:cstheme="minorHAnsi"/>
              </w:rPr>
            </w:pPr>
            <w:r w:rsidRPr="008A39AF">
              <w:rPr>
                <w:rFonts w:asciiTheme="minorHAnsi" w:hAnsiTheme="minorHAnsi" w:cstheme="minorHAnsi"/>
                <w:b w:val="0"/>
                <w:color w:val="000000"/>
              </w:rPr>
              <w:t>3,217</w:t>
            </w:r>
          </w:p>
        </w:tc>
        <w:tc>
          <w:tcPr>
            <w:tcW w:w="1260" w:type="dxa"/>
            <w:shd w:val="clear" w:color="auto" w:fill="auto"/>
            <w:tcMar>
              <w:top w:w="0" w:type="dxa"/>
              <w:left w:w="0" w:type="dxa"/>
              <w:bottom w:w="0" w:type="dxa"/>
              <w:right w:w="0" w:type="dxa"/>
            </w:tcMar>
            <w:vAlign w:val="bottom"/>
          </w:tcPr>
          <w:p w:rsidRPr="008A39AF" w:rsidR="002523B1" w:rsidP="002523B1" w:rsidRDefault="002523B1" w14:paraId="6521A575" w14:textId="702CF7D3">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2BAFDC76" w14:textId="77777777">
            <w:pPr>
              <w:pStyle w:val="TableHeader"/>
              <w:spacing w:before="40" w:after="40"/>
              <w:rPr>
                <w:rFonts w:asciiTheme="minorHAnsi" w:hAnsiTheme="minorHAnsi" w:cstheme="minorHAnsi"/>
                <w:b w:val="0"/>
                <w:color w:val="000000"/>
              </w:rPr>
            </w:pPr>
          </w:p>
          <w:p w:rsidRPr="008A39AF" w:rsidR="002523B1" w:rsidP="002523B1" w:rsidRDefault="002523B1" w14:paraId="56D55FB4" w14:textId="04CF10B9">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w:t>
            </w:r>
            <w:r w:rsidR="00D71B49">
              <w:rPr>
                <w:rFonts w:asciiTheme="minorHAnsi" w:hAnsiTheme="minorHAnsi" w:cstheme="minorHAnsi"/>
                <w:b w:val="0"/>
                <w:color w:val="000000"/>
              </w:rPr>
              <w:t>5</w:t>
            </w:r>
          </w:p>
        </w:tc>
        <w:tc>
          <w:tcPr>
            <w:tcW w:w="1080" w:type="dxa"/>
            <w:shd w:val="clear" w:color="auto" w:fill="auto"/>
            <w:tcMar>
              <w:top w:w="0" w:type="dxa"/>
              <w:left w:w="29" w:type="dxa"/>
              <w:bottom w:w="0" w:type="dxa"/>
              <w:right w:w="29" w:type="dxa"/>
            </w:tcMar>
            <w:vAlign w:val="bottom"/>
          </w:tcPr>
          <w:p w:rsidRPr="008A39AF" w:rsidR="002523B1" w:rsidP="002523B1" w:rsidRDefault="002523B1" w14:paraId="52C5734D" w14:textId="0DA69E3C">
            <w:pPr>
              <w:pStyle w:val="TableHeader"/>
              <w:spacing w:before="40" w:after="40"/>
              <w:rPr>
                <w:rFonts w:asciiTheme="minorHAnsi" w:hAnsiTheme="minorHAnsi" w:cstheme="minorHAnsi"/>
                <w:b w:val="0"/>
                <w:bCs/>
              </w:rPr>
            </w:pPr>
            <w:r w:rsidRPr="008A39AF">
              <w:rPr>
                <w:rFonts w:asciiTheme="minorHAnsi" w:hAnsiTheme="minorHAnsi" w:cstheme="minorHAnsi"/>
                <w:b w:val="0"/>
                <w:bCs/>
              </w:rPr>
              <w:t>4</w:t>
            </w:r>
            <w:r w:rsidRPr="008A39AF" w:rsidR="002F7254">
              <w:rPr>
                <w:rFonts w:asciiTheme="minorHAnsi" w:hAnsiTheme="minorHAnsi" w:cstheme="minorHAnsi"/>
                <w:b w:val="0"/>
                <w:bCs/>
              </w:rPr>
              <w:t>,</w:t>
            </w:r>
            <w:r w:rsidR="00D71B49">
              <w:rPr>
                <w:rFonts w:asciiTheme="minorHAnsi" w:hAnsiTheme="minorHAnsi" w:cstheme="minorHAnsi"/>
                <w:b w:val="0"/>
                <w:bCs/>
              </w:rPr>
              <w:t>826</w:t>
            </w:r>
          </w:p>
        </w:tc>
        <w:tc>
          <w:tcPr>
            <w:tcW w:w="810" w:type="dxa"/>
            <w:shd w:val="clear" w:color="auto" w:fill="auto"/>
            <w:tcMar>
              <w:top w:w="0" w:type="dxa"/>
              <w:left w:w="29" w:type="dxa"/>
              <w:bottom w:w="0" w:type="dxa"/>
              <w:right w:w="29" w:type="dxa"/>
            </w:tcMar>
          </w:tcPr>
          <w:p w:rsidRPr="008A39AF" w:rsidR="002523B1" w:rsidP="002523B1" w:rsidRDefault="002523B1" w14:paraId="10A9DAE0" w14:textId="77777777">
            <w:pPr>
              <w:pStyle w:val="TableHeader"/>
              <w:spacing w:before="40" w:after="40"/>
              <w:rPr>
                <w:rFonts w:asciiTheme="minorHAnsi" w:hAnsiTheme="minorHAnsi" w:cstheme="minorHAnsi"/>
                <w:b w:val="0"/>
                <w:color w:val="000000"/>
              </w:rPr>
            </w:pPr>
          </w:p>
          <w:p w:rsidRPr="008A39AF" w:rsidR="002523B1" w:rsidP="002523B1" w:rsidRDefault="002523B1" w14:paraId="7BE534EC" w14:textId="3C1A699B">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w:t>
            </w:r>
            <w:r w:rsidR="001E6DBA">
              <w:rPr>
                <w:rFonts w:asciiTheme="minorHAnsi" w:hAnsiTheme="minorHAnsi" w:cstheme="minorHAnsi"/>
                <w:b w:val="0"/>
                <w:color w:val="000000"/>
              </w:rPr>
              <w:t>608</w:t>
            </w:r>
            <w:bookmarkStart w:name="_GoBack" w:id="7"/>
            <w:bookmarkEnd w:id="7"/>
          </w:p>
        </w:tc>
        <w:tc>
          <w:tcPr>
            <w:tcW w:w="990" w:type="dxa"/>
            <w:shd w:val="clear" w:color="auto" w:fill="auto"/>
            <w:tcMar>
              <w:top w:w="0" w:type="dxa"/>
              <w:left w:w="29" w:type="dxa"/>
              <w:bottom w:w="0" w:type="dxa"/>
              <w:right w:w="29" w:type="dxa"/>
            </w:tcMar>
          </w:tcPr>
          <w:p w:rsidRPr="008A39AF" w:rsidR="002523B1" w:rsidP="002523B1" w:rsidRDefault="002523B1" w14:paraId="4FE8D720" w14:textId="77777777">
            <w:pPr>
              <w:pStyle w:val="TableHeader"/>
              <w:spacing w:before="40" w:after="40"/>
              <w:rPr>
                <w:rFonts w:asciiTheme="minorHAnsi" w:hAnsiTheme="minorHAnsi" w:cstheme="minorHAnsi"/>
                <w:b w:val="0"/>
              </w:rPr>
            </w:pPr>
          </w:p>
          <w:p w:rsidRPr="008A39AF" w:rsidR="002523B1" w:rsidP="002523B1" w:rsidRDefault="002523B1" w14:paraId="232C4DC7" w14:textId="29702FDC">
            <w:pPr>
              <w:pStyle w:val="TableHeader"/>
              <w:spacing w:before="40" w:after="40"/>
              <w:rPr>
                <w:rFonts w:asciiTheme="minorHAnsi" w:hAnsiTheme="minorHAnsi" w:cstheme="minorHAnsi"/>
                <w:b w:val="0"/>
                <w:bCs/>
              </w:rPr>
            </w:pPr>
            <w:r w:rsidRPr="008A39AF">
              <w:rPr>
                <w:rFonts w:asciiTheme="minorHAnsi" w:hAnsiTheme="minorHAnsi" w:cstheme="minorHAnsi"/>
                <w:b w:val="0"/>
              </w:rPr>
              <w:t>n/a</w:t>
            </w:r>
          </w:p>
        </w:tc>
        <w:tc>
          <w:tcPr>
            <w:tcW w:w="1245" w:type="dxa"/>
            <w:shd w:val="clear" w:color="auto" w:fill="auto"/>
            <w:tcMar>
              <w:top w:w="0" w:type="dxa"/>
              <w:left w:w="29" w:type="dxa"/>
              <w:bottom w:w="0" w:type="dxa"/>
              <w:right w:w="29" w:type="dxa"/>
            </w:tcMar>
          </w:tcPr>
          <w:p w:rsidRPr="008A39AF" w:rsidR="002523B1" w:rsidP="002523B1" w:rsidRDefault="002523B1" w14:paraId="1E0C1CAF" w14:textId="77777777">
            <w:pPr>
              <w:pStyle w:val="TableHeader"/>
              <w:spacing w:before="40" w:after="40"/>
              <w:rPr>
                <w:rFonts w:asciiTheme="minorHAnsi" w:hAnsiTheme="minorHAnsi" w:cstheme="minorHAnsi"/>
                <w:b w:val="0"/>
                <w:color w:val="000000"/>
              </w:rPr>
            </w:pPr>
          </w:p>
          <w:p w:rsidRPr="008A39AF" w:rsidR="002523B1" w:rsidP="002523B1" w:rsidRDefault="002523B1" w14:paraId="75B0917F" w14:textId="32EF368A">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n/a</w:t>
            </w:r>
          </w:p>
        </w:tc>
      </w:tr>
      <w:tr w:rsidRPr="008A39AF" w:rsidR="002523B1" w:rsidTr="00486FCB" w14:paraId="1B4D07B1"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78F9C113" w14:textId="73734874">
            <w:pPr>
              <w:pStyle w:val="TableHeader"/>
              <w:spacing w:before="40" w:after="40"/>
              <w:rPr>
                <w:rFonts w:asciiTheme="minorHAnsi" w:hAnsiTheme="minorHAnsi" w:cstheme="minorHAnsi"/>
              </w:rPr>
            </w:pPr>
            <w:r w:rsidRPr="008A39AF">
              <w:rPr>
                <w:rFonts w:asciiTheme="minorHAnsi" w:hAnsiTheme="minorHAnsi" w:cstheme="minorHAnsi"/>
                <w:color w:val="000000"/>
              </w:rPr>
              <w:t>Caregiver – 18-month follow-up</w:t>
            </w:r>
          </w:p>
        </w:tc>
        <w:tc>
          <w:tcPr>
            <w:tcW w:w="1440" w:type="dxa"/>
            <w:shd w:val="clear" w:color="auto" w:fill="auto"/>
            <w:tcMar>
              <w:top w:w="0" w:type="dxa"/>
              <w:left w:w="0" w:type="dxa"/>
              <w:bottom w:w="0" w:type="dxa"/>
              <w:right w:w="0" w:type="dxa"/>
            </w:tcMar>
          </w:tcPr>
          <w:p w:rsidRPr="008A39AF" w:rsidR="002523B1" w:rsidP="002523B1" w:rsidRDefault="002523B1" w14:paraId="30FA1967" w14:textId="77777777">
            <w:pPr>
              <w:pStyle w:val="TableHeader"/>
              <w:spacing w:before="40" w:after="40"/>
              <w:rPr>
                <w:rFonts w:asciiTheme="minorHAnsi" w:hAnsiTheme="minorHAnsi" w:cstheme="minorHAnsi"/>
                <w:b w:val="0"/>
                <w:color w:val="000000"/>
              </w:rPr>
            </w:pPr>
          </w:p>
          <w:p w:rsidRPr="008A39AF" w:rsidR="002523B1" w:rsidP="002523B1" w:rsidRDefault="002523B1" w14:paraId="2070DBE2" w14:textId="242816A9">
            <w:pPr>
              <w:pStyle w:val="TableHeader"/>
              <w:spacing w:before="40" w:after="40"/>
              <w:rPr>
                <w:rFonts w:asciiTheme="minorHAnsi" w:hAnsiTheme="minorHAnsi" w:cstheme="minorHAnsi"/>
              </w:rPr>
            </w:pPr>
            <w:r w:rsidRPr="008A39AF">
              <w:rPr>
                <w:rFonts w:asciiTheme="minorHAnsi" w:hAnsiTheme="minorHAnsi" w:cstheme="minorHAnsi"/>
                <w:b w:val="0"/>
                <w:color w:val="000000"/>
              </w:rPr>
              <w:t>3,179</w:t>
            </w:r>
          </w:p>
        </w:tc>
        <w:tc>
          <w:tcPr>
            <w:tcW w:w="1260" w:type="dxa"/>
            <w:shd w:val="clear" w:color="auto" w:fill="auto"/>
            <w:tcMar>
              <w:top w:w="0" w:type="dxa"/>
              <w:left w:w="0" w:type="dxa"/>
              <w:bottom w:w="0" w:type="dxa"/>
              <w:right w:w="0" w:type="dxa"/>
            </w:tcMar>
            <w:vAlign w:val="bottom"/>
          </w:tcPr>
          <w:p w:rsidRPr="008A39AF" w:rsidR="002523B1" w:rsidP="002523B1" w:rsidRDefault="002523B1" w14:paraId="24B028D2" w14:textId="082C5211">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4279663D" w14:textId="77777777">
            <w:pPr>
              <w:pStyle w:val="TableHeader"/>
              <w:spacing w:before="40" w:after="40"/>
              <w:rPr>
                <w:rFonts w:asciiTheme="minorHAnsi" w:hAnsiTheme="minorHAnsi" w:cstheme="minorHAnsi"/>
                <w:b w:val="0"/>
                <w:color w:val="000000"/>
              </w:rPr>
            </w:pPr>
          </w:p>
          <w:p w:rsidRPr="008A39AF" w:rsidR="002523B1" w:rsidP="002523B1" w:rsidRDefault="002523B1" w14:paraId="151AD137" w14:textId="14A96AF8">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1.67</w:t>
            </w:r>
          </w:p>
        </w:tc>
        <w:tc>
          <w:tcPr>
            <w:tcW w:w="1080" w:type="dxa"/>
            <w:shd w:val="clear" w:color="auto" w:fill="auto"/>
            <w:tcMar>
              <w:top w:w="0" w:type="dxa"/>
              <w:left w:w="29" w:type="dxa"/>
              <w:bottom w:w="0" w:type="dxa"/>
              <w:right w:w="29" w:type="dxa"/>
            </w:tcMar>
            <w:vAlign w:val="bottom"/>
          </w:tcPr>
          <w:p w:rsidRPr="008A39AF" w:rsidR="002523B1" w:rsidP="002523B1" w:rsidRDefault="002523B1" w14:paraId="40D8E50D" w14:textId="187D2BB9">
            <w:pPr>
              <w:pStyle w:val="TableHeader"/>
              <w:spacing w:before="40" w:after="40"/>
              <w:rPr>
                <w:rFonts w:asciiTheme="minorHAnsi" w:hAnsiTheme="minorHAnsi" w:cstheme="minorHAnsi"/>
                <w:b w:val="0"/>
                <w:bCs/>
              </w:rPr>
            </w:pPr>
            <w:r w:rsidRPr="008A39AF">
              <w:rPr>
                <w:rFonts w:asciiTheme="minorHAnsi" w:hAnsiTheme="minorHAnsi" w:cstheme="minorHAnsi"/>
                <w:b w:val="0"/>
                <w:bCs/>
              </w:rPr>
              <w:t>5</w:t>
            </w:r>
            <w:r w:rsidRPr="008A39AF" w:rsidR="002F7254">
              <w:rPr>
                <w:rFonts w:asciiTheme="minorHAnsi" w:hAnsiTheme="minorHAnsi" w:cstheme="minorHAnsi"/>
                <w:b w:val="0"/>
                <w:bCs/>
              </w:rPr>
              <w:t>,</w:t>
            </w:r>
            <w:r w:rsidRPr="008A39AF">
              <w:rPr>
                <w:rFonts w:asciiTheme="minorHAnsi" w:hAnsiTheme="minorHAnsi" w:cstheme="minorHAnsi"/>
                <w:b w:val="0"/>
                <w:bCs/>
              </w:rPr>
              <w:t>3</w:t>
            </w:r>
            <w:r w:rsidRPr="008A39AF" w:rsidR="002F7254">
              <w:rPr>
                <w:rFonts w:asciiTheme="minorHAnsi" w:hAnsiTheme="minorHAnsi" w:cstheme="minorHAnsi"/>
                <w:b w:val="0"/>
                <w:bCs/>
              </w:rPr>
              <w:t>09</w:t>
            </w:r>
          </w:p>
        </w:tc>
        <w:tc>
          <w:tcPr>
            <w:tcW w:w="810" w:type="dxa"/>
            <w:shd w:val="clear" w:color="auto" w:fill="auto"/>
            <w:tcMar>
              <w:top w:w="0" w:type="dxa"/>
              <w:left w:w="29" w:type="dxa"/>
              <w:bottom w:w="0" w:type="dxa"/>
              <w:right w:w="29" w:type="dxa"/>
            </w:tcMar>
          </w:tcPr>
          <w:p w:rsidRPr="008A39AF" w:rsidR="002523B1" w:rsidP="002523B1" w:rsidRDefault="002523B1" w14:paraId="7CA700BD" w14:textId="77777777">
            <w:pPr>
              <w:pStyle w:val="TableHeader"/>
              <w:spacing w:before="40" w:after="40"/>
              <w:rPr>
                <w:rFonts w:asciiTheme="minorHAnsi" w:hAnsiTheme="minorHAnsi" w:cstheme="minorHAnsi"/>
                <w:b w:val="0"/>
                <w:color w:val="000000"/>
              </w:rPr>
            </w:pPr>
          </w:p>
          <w:p w:rsidRPr="008A39AF" w:rsidR="002523B1" w:rsidP="002523B1" w:rsidRDefault="002523B1" w14:paraId="5BD7F4CB" w14:textId="5F3E85FC">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1,770</w:t>
            </w:r>
          </w:p>
        </w:tc>
        <w:tc>
          <w:tcPr>
            <w:tcW w:w="990" w:type="dxa"/>
            <w:shd w:val="clear" w:color="auto" w:fill="auto"/>
            <w:tcMar>
              <w:top w:w="0" w:type="dxa"/>
              <w:left w:w="29" w:type="dxa"/>
              <w:bottom w:w="0" w:type="dxa"/>
              <w:right w:w="29" w:type="dxa"/>
            </w:tcMar>
          </w:tcPr>
          <w:p w:rsidRPr="008A39AF" w:rsidR="002523B1" w:rsidP="002523B1" w:rsidRDefault="002523B1" w14:paraId="1B01D8E2" w14:textId="77777777">
            <w:pPr>
              <w:pStyle w:val="TableHeader"/>
              <w:spacing w:before="40" w:after="40"/>
              <w:rPr>
                <w:rFonts w:asciiTheme="minorHAnsi" w:hAnsiTheme="minorHAnsi" w:cstheme="minorHAnsi"/>
                <w:b w:val="0"/>
              </w:rPr>
            </w:pPr>
          </w:p>
          <w:p w:rsidRPr="008A39AF" w:rsidR="002523B1" w:rsidP="002523B1" w:rsidRDefault="002523B1" w14:paraId="06D6FE1F" w14:textId="3291B60D">
            <w:pPr>
              <w:pStyle w:val="TableHeader"/>
              <w:spacing w:before="40" w:after="40"/>
              <w:rPr>
                <w:rFonts w:asciiTheme="minorHAnsi" w:hAnsiTheme="minorHAnsi" w:cstheme="minorHAnsi"/>
                <w:b w:val="0"/>
                <w:bCs/>
              </w:rPr>
            </w:pPr>
            <w:r w:rsidRPr="008A39AF">
              <w:rPr>
                <w:rFonts w:asciiTheme="minorHAnsi" w:hAnsiTheme="minorHAnsi" w:cstheme="minorHAnsi"/>
                <w:b w:val="0"/>
              </w:rPr>
              <w:t>$17.25</w:t>
            </w:r>
          </w:p>
        </w:tc>
        <w:tc>
          <w:tcPr>
            <w:tcW w:w="1245" w:type="dxa"/>
            <w:shd w:val="clear" w:color="auto" w:fill="auto"/>
            <w:tcMar>
              <w:top w:w="0" w:type="dxa"/>
              <w:left w:w="29" w:type="dxa"/>
              <w:bottom w:w="0" w:type="dxa"/>
              <w:right w:w="29" w:type="dxa"/>
            </w:tcMar>
          </w:tcPr>
          <w:p w:rsidRPr="008A39AF" w:rsidR="002523B1" w:rsidP="002523B1" w:rsidRDefault="002523B1" w14:paraId="72333E70" w14:textId="77777777">
            <w:pPr>
              <w:pStyle w:val="TableHeader"/>
              <w:spacing w:before="40" w:after="40"/>
              <w:rPr>
                <w:rFonts w:asciiTheme="minorHAnsi" w:hAnsiTheme="minorHAnsi" w:cstheme="minorHAnsi"/>
                <w:b w:val="0"/>
                <w:color w:val="000000"/>
              </w:rPr>
            </w:pPr>
          </w:p>
          <w:p w:rsidRPr="008A39AF" w:rsidR="002523B1" w:rsidP="002523B1" w:rsidRDefault="002523B1" w14:paraId="00DF8DBC" w14:textId="0F420129">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$30,533</w:t>
            </w:r>
          </w:p>
        </w:tc>
      </w:tr>
      <w:tr w:rsidRPr="008A39AF" w:rsidR="002523B1" w:rsidTr="00486FCB" w14:paraId="0F3E30E5"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752CD316" w14:textId="28AF906A">
            <w:pPr>
              <w:pStyle w:val="TableHeader"/>
              <w:spacing w:before="40" w:after="40"/>
              <w:rPr>
                <w:rFonts w:asciiTheme="minorHAnsi" w:hAnsiTheme="minorHAnsi" w:cstheme="minorHAnsi"/>
              </w:rPr>
            </w:pPr>
            <w:r w:rsidRPr="008A39AF">
              <w:rPr>
                <w:rFonts w:asciiTheme="minorHAnsi" w:hAnsiTheme="minorHAnsi" w:cstheme="minorHAnsi"/>
                <w:color w:val="000000"/>
              </w:rPr>
              <w:t>Caseworker – 18-month follow-up</w:t>
            </w:r>
          </w:p>
        </w:tc>
        <w:tc>
          <w:tcPr>
            <w:tcW w:w="1440" w:type="dxa"/>
            <w:shd w:val="clear" w:color="auto" w:fill="auto"/>
            <w:tcMar>
              <w:top w:w="0" w:type="dxa"/>
              <w:left w:w="0" w:type="dxa"/>
              <w:bottom w:w="0" w:type="dxa"/>
              <w:right w:w="0" w:type="dxa"/>
            </w:tcMar>
          </w:tcPr>
          <w:p w:rsidRPr="008A39AF" w:rsidR="002523B1" w:rsidP="002523B1" w:rsidRDefault="002523B1" w14:paraId="64795901" w14:textId="77777777">
            <w:pPr>
              <w:pStyle w:val="TableHeader"/>
              <w:spacing w:before="40" w:after="40"/>
              <w:rPr>
                <w:rFonts w:asciiTheme="minorHAnsi" w:hAnsiTheme="minorHAnsi" w:cstheme="minorHAnsi"/>
                <w:b w:val="0"/>
                <w:color w:val="000000"/>
              </w:rPr>
            </w:pPr>
          </w:p>
          <w:p w:rsidRPr="008A39AF" w:rsidR="002523B1" w:rsidP="002523B1" w:rsidRDefault="002523B1" w14:paraId="53AAEAC4" w14:textId="05AD4D41">
            <w:pPr>
              <w:pStyle w:val="TableHeader"/>
              <w:spacing w:before="40" w:after="40"/>
              <w:rPr>
                <w:rFonts w:asciiTheme="minorHAnsi" w:hAnsiTheme="minorHAnsi" w:cstheme="minorHAnsi"/>
              </w:rPr>
            </w:pPr>
            <w:r w:rsidRPr="008A39AF">
              <w:rPr>
                <w:rFonts w:asciiTheme="minorHAnsi" w:hAnsiTheme="minorHAnsi" w:cstheme="minorHAnsi"/>
                <w:b w:val="0"/>
                <w:color w:val="000000"/>
              </w:rPr>
              <w:t>624</w:t>
            </w:r>
          </w:p>
        </w:tc>
        <w:tc>
          <w:tcPr>
            <w:tcW w:w="1260" w:type="dxa"/>
            <w:shd w:val="clear" w:color="auto" w:fill="auto"/>
            <w:tcMar>
              <w:top w:w="0" w:type="dxa"/>
              <w:left w:w="0" w:type="dxa"/>
              <w:bottom w:w="0" w:type="dxa"/>
              <w:right w:w="0" w:type="dxa"/>
            </w:tcMar>
            <w:vAlign w:val="bottom"/>
          </w:tcPr>
          <w:p w:rsidRPr="008A39AF" w:rsidR="002523B1" w:rsidP="002523B1" w:rsidRDefault="002523B1" w14:paraId="5EFD357F" w14:textId="275505C2">
            <w:pPr>
              <w:pStyle w:val="TableHeader"/>
              <w:spacing w:before="40" w:after="40"/>
              <w:rPr>
                <w:rFonts w:asciiTheme="minorHAnsi" w:hAnsiTheme="minorHAnsi" w:cstheme="minorHAnsi"/>
                <w:b w:val="0"/>
                <w:bCs/>
              </w:rPr>
            </w:pPr>
            <w:r w:rsidRPr="008A39AF">
              <w:rPr>
                <w:rFonts w:asciiTheme="minorHAnsi" w:hAnsiTheme="minorHAnsi" w:cstheme="minorHAnsi"/>
                <w:b w:val="0"/>
                <w:bCs/>
              </w:rPr>
              <w:t>3</w:t>
            </w:r>
          </w:p>
        </w:tc>
        <w:tc>
          <w:tcPr>
            <w:tcW w:w="1170" w:type="dxa"/>
            <w:shd w:val="clear" w:color="auto" w:fill="auto"/>
            <w:tcMar>
              <w:top w:w="0" w:type="dxa"/>
              <w:left w:w="29" w:type="dxa"/>
              <w:bottom w:w="0" w:type="dxa"/>
              <w:right w:w="29" w:type="dxa"/>
            </w:tcMar>
          </w:tcPr>
          <w:p w:rsidRPr="008A39AF" w:rsidR="002523B1" w:rsidP="002523B1" w:rsidRDefault="002523B1" w14:paraId="211830C7" w14:textId="77777777">
            <w:pPr>
              <w:pStyle w:val="TableHeader"/>
              <w:spacing w:before="40" w:after="40"/>
              <w:rPr>
                <w:rFonts w:asciiTheme="minorHAnsi" w:hAnsiTheme="minorHAnsi" w:cstheme="minorHAnsi"/>
                <w:b w:val="0"/>
                <w:color w:val="000000"/>
              </w:rPr>
            </w:pPr>
          </w:p>
          <w:p w:rsidRPr="008A39AF" w:rsidR="002523B1" w:rsidP="002523B1" w:rsidRDefault="002523B1" w14:paraId="32FA303D" w14:textId="46540A3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1.0</w:t>
            </w:r>
          </w:p>
        </w:tc>
        <w:tc>
          <w:tcPr>
            <w:tcW w:w="1080" w:type="dxa"/>
            <w:shd w:val="clear" w:color="auto" w:fill="auto"/>
            <w:tcMar>
              <w:top w:w="0" w:type="dxa"/>
              <w:left w:w="29" w:type="dxa"/>
              <w:bottom w:w="0" w:type="dxa"/>
              <w:right w:w="29" w:type="dxa"/>
            </w:tcMar>
            <w:vAlign w:val="bottom"/>
          </w:tcPr>
          <w:p w:rsidRPr="008A39AF" w:rsidR="002523B1" w:rsidP="002523B1" w:rsidRDefault="002F7254" w14:paraId="43196B9A" w14:textId="64C3B7E0">
            <w:pPr>
              <w:pStyle w:val="TableHeader"/>
              <w:spacing w:before="40" w:after="40"/>
              <w:rPr>
                <w:rFonts w:asciiTheme="minorHAnsi" w:hAnsiTheme="minorHAnsi" w:cstheme="minorHAnsi"/>
                <w:b w:val="0"/>
                <w:bCs/>
              </w:rPr>
            </w:pPr>
            <w:r w:rsidRPr="008A39AF">
              <w:rPr>
                <w:rFonts w:asciiTheme="minorHAnsi" w:hAnsiTheme="minorHAnsi" w:cstheme="minorHAnsi"/>
                <w:b w:val="0"/>
                <w:bCs/>
              </w:rPr>
              <w:t>1,872</w:t>
            </w:r>
          </w:p>
        </w:tc>
        <w:tc>
          <w:tcPr>
            <w:tcW w:w="810" w:type="dxa"/>
            <w:shd w:val="clear" w:color="auto" w:fill="auto"/>
            <w:tcMar>
              <w:top w:w="0" w:type="dxa"/>
              <w:left w:w="29" w:type="dxa"/>
              <w:bottom w:w="0" w:type="dxa"/>
              <w:right w:w="29" w:type="dxa"/>
            </w:tcMar>
          </w:tcPr>
          <w:p w:rsidRPr="008A39AF" w:rsidR="002523B1" w:rsidP="002523B1" w:rsidRDefault="002523B1" w14:paraId="472526E4" w14:textId="77777777">
            <w:pPr>
              <w:pStyle w:val="TableHeader"/>
              <w:spacing w:before="40" w:after="40"/>
              <w:rPr>
                <w:rFonts w:asciiTheme="minorHAnsi" w:hAnsiTheme="minorHAnsi" w:cstheme="minorHAnsi"/>
                <w:b w:val="0"/>
                <w:color w:val="000000"/>
              </w:rPr>
            </w:pPr>
          </w:p>
          <w:p w:rsidRPr="008A39AF" w:rsidR="002523B1" w:rsidP="002523B1" w:rsidRDefault="002523B1" w14:paraId="4141CBCF" w14:textId="2DD45DF4">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624</w:t>
            </w:r>
          </w:p>
        </w:tc>
        <w:tc>
          <w:tcPr>
            <w:tcW w:w="990" w:type="dxa"/>
            <w:shd w:val="clear" w:color="auto" w:fill="auto"/>
            <w:tcMar>
              <w:top w:w="0" w:type="dxa"/>
              <w:left w:w="29" w:type="dxa"/>
              <w:bottom w:w="0" w:type="dxa"/>
              <w:right w:w="29" w:type="dxa"/>
            </w:tcMar>
          </w:tcPr>
          <w:p w:rsidRPr="008A39AF" w:rsidR="002523B1" w:rsidP="002523B1" w:rsidRDefault="002523B1" w14:paraId="1D0869BE" w14:textId="77777777">
            <w:pPr>
              <w:pStyle w:val="TableHeader"/>
              <w:spacing w:before="40" w:after="40"/>
              <w:rPr>
                <w:rFonts w:asciiTheme="minorHAnsi" w:hAnsiTheme="minorHAnsi" w:cstheme="minorHAnsi"/>
                <w:b w:val="0"/>
                <w:color w:val="000000"/>
              </w:rPr>
            </w:pPr>
          </w:p>
          <w:p w:rsidRPr="008A39AF" w:rsidR="002523B1" w:rsidP="002523B1" w:rsidRDefault="002523B1" w14:paraId="1434AE60" w14:textId="30EA0682">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$31.23</w:t>
            </w:r>
          </w:p>
        </w:tc>
        <w:tc>
          <w:tcPr>
            <w:tcW w:w="1245" w:type="dxa"/>
            <w:shd w:val="clear" w:color="auto" w:fill="auto"/>
            <w:tcMar>
              <w:top w:w="0" w:type="dxa"/>
              <w:left w:w="29" w:type="dxa"/>
              <w:bottom w:w="0" w:type="dxa"/>
              <w:right w:w="29" w:type="dxa"/>
            </w:tcMar>
          </w:tcPr>
          <w:p w:rsidRPr="008A39AF" w:rsidR="002523B1" w:rsidP="002523B1" w:rsidRDefault="002523B1" w14:paraId="2D12E7F0" w14:textId="77777777">
            <w:pPr>
              <w:pStyle w:val="TableHeader"/>
              <w:spacing w:before="40" w:after="40"/>
              <w:rPr>
                <w:rFonts w:asciiTheme="minorHAnsi" w:hAnsiTheme="minorHAnsi" w:cstheme="minorHAnsi"/>
                <w:b w:val="0"/>
                <w:color w:val="000000"/>
              </w:rPr>
            </w:pPr>
          </w:p>
          <w:p w:rsidRPr="008A39AF" w:rsidR="002523B1" w:rsidP="002523B1" w:rsidRDefault="002523B1" w14:paraId="44125B1D" w14:textId="51B5232A">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$19,488</w:t>
            </w:r>
          </w:p>
        </w:tc>
      </w:tr>
      <w:tr w:rsidRPr="008A39AF" w:rsidR="002523B1" w:rsidTr="00486FCB" w14:paraId="7C9187F5" w14:textId="77777777">
        <w:trPr>
          <w:cantSplit/>
          <w:tblHeader/>
          <w:jc w:val="center"/>
        </w:trPr>
        <w:tc>
          <w:tcPr>
            <w:tcW w:w="1800" w:type="dxa"/>
            <w:shd w:val="clear" w:color="auto" w:fill="auto"/>
            <w:tcMar>
              <w:top w:w="0" w:type="dxa"/>
              <w:left w:w="29" w:type="dxa"/>
              <w:bottom w:w="0" w:type="dxa"/>
              <w:right w:w="29" w:type="dxa"/>
            </w:tcMar>
            <w:vAlign w:val="bottom"/>
          </w:tcPr>
          <w:p w:rsidRPr="008A39AF" w:rsidR="002523B1" w:rsidP="002523B1" w:rsidRDefault="002523B1" w14:paraId="5FE66DFF" w14:textId="77777777">
            <w:pPr>
              <w:pStyle w:val="TableHeader"/>
              <w:spacing w:before="40" w:after="40"/>
              <w:rPr>
                <w:rFonts w:asciiTheme="minorHAnsi" w:hAnsiTheme="minorHAnsi" w:cstheme="minorHAnsi"/>
              </w:rPr>
            </w:pPr>
          </w:p>
        </w:tc>
        <w:tc>
          <w:tcPr>
            <w:tcW w:w="3870" w:type="dxa"/>
            <w:gridSpan w:val="3"/>
            <w:shd w:val="clear" w:color="auto" w:fill="auto"/>
            <w:tcMar>
              <w:top w:w="0" w:type="dxa"/>
              <w:left w:w="0" w:type="dxa"/>
              <w:bottom w:w="0" w:type="dxa"/>
              <w:right w:w="0" w:type="dxa"/>
            </w:tcMar>
            <w:vAlign w:val="bottom"/>
          </w:tcPr>
          <w:p w:rsidRPr="008A39AF" w:rsidR="002523B1" w:rsidP="002523B1" w:rsidRDefault="002523B1" w14:paraId="483C38E5" w14:textId="0BFD456A">
            <w:pPr>
              <w:pStyle w:val="TableHeader"/>
              <w:spacing w:before="40" w:after="40"/>
              <w:rPr>
                <w:rFonts w:asciiTheme="minorHAnsi" w:hAnsiTheme="minorHAnsi" w:cstheme="minorHAnsi"/>
                <w:b w:val="0"/>
                <w:bCs/>
              </w:rPr>
            </w:pPr>
            <w:r w:rsidRPr="008A39AF">
              <w:rPr>
                <w:rFonts w:asciiTheme="minorHAnsi" w:hAnsiTheme="minorHAnsi" w:cstheme="minorHAnsi"/>
                <w:b w:val="0"/>
                <w:bCs/>
              </w:rPr>
              <w:t>Totals:</w:t>
            </w:r>
          </w:p>
        </w:tc>
        <w:tc>
          <w:tcPr>
            <w:tcW w:w="1080" w:type="dxa"/>
            <w:shd w:val="clear" w:color="auto" w:fill="auto"/>
            <w:tcMar>
              <w:top w:w="0" w:type="dxa"/>
              <w:left w:w="29" w:type="dxa"/>
              <w:bottom w:w="0" w:type="dxa"/>
              <w:right w:w="29" w:type="dxa"/>
            </w:tcMar>
            <w:vAlign w:val="bottom"/>
          </w:tcPr>
          <w:p w:rsidRPr="008A39AF" w:rsidR="002523B1" w:rsidP="002523B1" w:rsidRDefault="002F7254" w14:paraId="495F7B76" w14:textId="181CC276">
            <w:pPr>
              <w:pStyle w:val="TableHeader"/>
              <w:spacing w:before="40" w:after="40"/>
              <w:rPr>
                <w:rFonts w:asciiTheme="minorHAnsi" w:hAnsiTheme="minorHAnsi" w:cstheme="minorHAnsi"/>
                <w:b w:val="0"/>
                <w:bCs/>
              </w:rPr>
            </w:pPr>
            <w:r w:rsidRPr="008A39AF">
              <w:rPr>
                <w:rFonts w:asciiTheme="minorHAnsi" w:hAnsiTheme="minorHAnsi" w:cstheme="minorHAnsi"/>
                <w:b w:val="0"/>
                <w:bCs/>
              </w:rPr>
              <w:t>14,875</w:t>
            </w:r>
          </w:p>
        </w:tc>
        <w:tc>
          <w:tcPr>
            <w:tcW w:w="810" w:type="dxa"/>
            <w:shd w:val="clear" w:color="auto" w:fill="auto"/>
            <w:tcMar>
              <w:top w:w="0" w:type="dxa"/>
              <w:left w:w="29" w:type="dxa"/>
              <w:bottom w:w="0" w:type="dxa"/>
              <w:right w:w="29" w:type="dxa"/>
            </w:tcMar>
            <w:vAlign w:val="bottom"/>
          </w:tcPr>
          <w:p w:rsidRPr="008A39AF" w:rsidR="002523B1" w:rsidP="002523B1" w:rsidRDefault="00D71B49" w14:paraId="6F1048A3" w14:textId="45803812">
            <w:pPr>
              <w:pStyle w:val="TableHeader"/>
              <w:spacing w:before="40" w:after="40"/>
              <w:rPr>
                <w:rFonts w:asciiTheme="minorHAnsi" w:hAnsiTheme="minorHAnsi" w:cstheme="minorHAnsi"/>
                <w:b w:val="0"/>
                <w:bCs/>
              </w:rPr>
            </w:pPr>
            <w:r>
              <w:rPr>
                <w:rFonts w:asciiTheme="minorHAnsi" w:hAnsiTheme="minorHAnsi" w:cstheme="minorHAnsi"/>
                <w:b w:val="0"/>
                <w:bCs/>
              </w:rPr>
              <w:t>5,247</w:t>
            </w:r>
          </w:p>
        </w:tc>
        <w:tc>
          <w:tcPr>
            <w:tcW w:w="990" w:type="dxa"/>
            <w:shd w:val="clear" w:color="auto" w:fill="auto"/>
            <w:tcMar>
              <w:top w:w="0" w:type="dxa"/>
              <w:left w:w="29" w:type="dxa"/>
              <w:bottom w:w="0" w:type="dxa"/>
              <w:right w:w="29" w:type="dxa"/>
            </w:tcMar>
            <w:vAlign w:val="bottom"/>
          </w:tcPr>
          <w:p w:rsidRPr="008A39AF" w:rsidR="002523B1" w:rsidP="002523B1" w:rsidRDefault="002523B1" w14:paraId="5EBF8F32" w14:textId="77777777">
            <w:pPr>
              <w:pStyle w:val="TableHeader"/>
              <w:spacing w:before="40" w:after="40"/>
              <w:rPr>
                <w:rFonts w:asciiTheme="minorHAnsi" w:hAnsiTheme="minorHAnsi" w:cstheme="minorHAnsi"/>
                <w:b w:val="0"/>
                <w:bCs/>
              </w:rPr>
            </w:pPr>
          </w:p>
        </w:tc>
        <w:tc>
          <w:tcPr>
            <w:tcW w:w="1245" w:type="dxa"/>
            <w:shd w:val="clear" w:color="auto" w:fill="auto"/>
            <w:tcMar>
              <w:top w:w="0" w:type="dxa"/>
              <w:left w:w="29" w:type="dxa"/>
              <w:bottom w:w="0" w:type="dxa"/>
              <w:right w:w="29" w:type="dxa"/>
            </w:tcMar>
            <w:vAlign w:val="bottom"/>
          </w:tcPr>
          <w:p w:rsidRPr="008A39AF" w:rsidR="002523B1" w:rsidP="002523B1" w:rsidRDefault="002F7254" w14:paraId="75E56646" w14:textId="530C2AF1">
            <w:pPr>
              <w:pStyle w:val="TableHeader"/>
              <w:spacing w:before="40" w:after="40"/>
              <w:rPr>
                <w:rFonts w:asciiTheme="minorHAnsi" w:hAnsiTheme="minorHAnsi" w:cstheme="minorHAnsi"/>
                <w:b w:val="0"/>
                <w:bCs/>
              </w:rPr>
            </w:pPr>
            <w:r w:rsidRPr="008A39AF">
              <w:rPr>
                <w:rFonts w:asciiTheme="minorHAnsi" w:hAnsiTheme="minorHAnsi" w:cstheme="minorHAnsi"/>
                <w:b w:val="0"/>
                <w:bCs/>
                <w:color w:val="000000"/>
              </w:rPr>
              <w:t>$</w:t>
            </w:r>
            <w:r w:rsidRPr="008A39AF" w:rsidR="00486FCB">
              <w:rPr>
                <w:rFonts w:asciiTheme="minorHAnsi" w:hAnsiTheme="minorHAnsi" w:cstheme="minorHAnsi"/>
                <w:b w:val="0"/>
                <w:bCs/>
                <w:color w:val="000000"/>
              </w:rPr>
              <w:t>66,435</w:t>
            </w:r>
          </w:p>
        </w:tc>
      </w:tr>
      <w:bookmarkEnd w:id="6"/>
    </w:tbl>
    <w:p w:rsidRPr="009139B3" w:rsidR="00525CCB" w:rsidP="008A39AF" w:rsidRDefault="00525CCB" w14:paraId="077A0F78" w14:textId="77777777">
      <w:pPr>
        <w:pStyle w:val="ExhibitTitle"/>
        <w:spacing w:before="120"/>
        <w:ind w:left="2160" w:hanging="2160"/>
        <w:rPr>
          <w:i/>
        </w:rPr>
      </w:pPr>
    </w:p>
    <w:p w:rsidRPr="00DB5B83" w:rsidR="00F00E8A" w:rsidP="00F00E8A" w:rsidRDefault="00532E97" w14:paraId="54FA89B6" w14:textId="7A0313E7">
      <w:pPr>
        <w:rPr>
          <w:rFonts w:cs="Times New Roman"/>
          <w:i/>
        </w:rPr>
      </w:pPr>
      <w:bookmarkStart w:name="_Toc487729341" w:id="8"/>
      <w:r w:rsidRPr="00A9006E">
        <w:rPr>
          <w:rFonts w:cstheme="minorHAnsi"/>
          <w:b/>
          <w:iCs/>
        </w:rPr>
        <w:t>Table 4</w:t>
      </w:r>
      <w:r w:rsidRPr="00A9006E" w:rsidR="009444CD">
        <w:rPr>
          <w:rFonts w:cstheme="minorHAnsi"/>
          <w:b/>
          <w:iCs/>
        </w:rPr>
        <w:t>.B</w:t>
      </w:r>
      <w:r w:rsidR="009444CD">
        <w:rPr>
          <w:rFonts w:cstheme="minorHAnsi"/>
          <w:b/>
        </w:rPr>
        <w:t xml:space="preserve"> </w:t>
      </w:r>
      <w:r w:rsidRPr="00F00E8A" w:rsidR="00F00E8A">
        <w:rPr>
          <w:rFonts w:cs="Times New Roman"/>
          <w:b/>
          <w:bCs/>
        </w:rPr>
        <w:t>Phase III Estimated Response Burden (</w:t>
      </w:r>
      <w:r w:rsidRPr="00F00E8A" w:rsidR="00F00E8A">
        <w:rPr>
          <w:rFonts w:cs="Times New Roman"/>
          <w:b/>
          <w:bCs/>
          <w:i/>
        </w:rPr>
        <w:t>Previously Approved; 0970-0202, September 2020)</w:t>
      </w:r>
    </w:p>
    <w:tbl>
      <w:tblPr>
        <w:tblStyle w:val="TableGrid"/>
        <w:tblW w:w="9653" w:type="dxa"/>
        <w:tblInd w:w="108" w:type="dxa"/>
        <w:shd w:val="clear" w:color="auto" w:fill="FFFFFF" w:themeFill="background1"/>
        <w:tblLayout w:type="fixed"/>
        <w:tblLook w:val="01E0" w:firstRow="1" w:lastRow="1" w:firstColumn="1" w:lastColumn="1" w:noHBand="0" w:noVBand="0"/>
      </w:tblPr>
      <w:tblGrid>
        <w:gridCol w:w="1597"/>
        <w:gridCol w:w="1036"/>
        <w:gridCol w:w="314"/>
        <w:gridCol w:w="1350"/>
        <w:gridCol w:w="1396"/>
        <w:gridCol w:w="900"/>
        <w:gridCol w:w="900"/>
        <w:gridCol w:w="900"/>
        <w:gridCol w:w="1260"/>
      </w:tblGrid>
      <w:tr w:rsidRPr="003E22B1" w:rsidR="00F23977" w:rsidTr="007A4671" w14:paraId="7E9E5F69" w14:textId="77777777">
        <w:tc>
          <w:tcPr>
            <w:tcW w:w="1597" w:type="dxa"/>
            <w:tcBorders>
              <w:top w:val="single" w:color="auto" w:sz="4" w:space="0"/>
              <w:left w:val="single" w:color="auto" w:sz="4" w:space="0"/>
              <w:bottom w:val="single" w:color="auto" w:sz="4" w:space="0"/>
              <w:right w:val="single" w:color="auto" w:sz="4" w:space="0"/>
            </w:tcBorders>
            <w:shd w:val="clear" w:color="auto" w:fill="002060"/>
            <w:hideMark/>
          </w:tcPr>
          <w:bookmarkEnd w:id="8"/>
          <w:p w:rsidRPr="001C1D11" w:rsidR="00F23977" w:rsidP="0047196D" w:rsidRDefault="00F23977" w14:paraId="24A5A0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 xml:space="preserve">Instrument </w:t>
            </w:r>
          </w:p>
        </w:tc>
        <w:tc>
          <w:tcPr>
            <w:tcW w:w="1350" w:type="dxa"/>
            <w:gridSpan w:val="2"/>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010C11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470E9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No. of Responses per Respondent (total over request period)</w:t>
            </w:r>
          </w:p>
        </w:tc>
        <w:tc>
          <w:tcPr>
            <w:tcW w:w="1396"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14CC8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002060"/>
          </w:tcPr>
          <w:p w:rsidRPr="001C1D11" w:rsidR="00F23977" w:rsidP="0047196D" w:rsidRDefault="00F23977" w14:paraId="04E5A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783EC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1C7155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42E8F8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Total Annual Respondent Cost</w:t>
            </w:r>
          </w:p>
        </w:tc>
      </w:tr>
      <w:tr w:rsidRPr="003E22B1" w:rsidR="00F23977" w:rsidTr="007A4671" w14:paraId="677385C1"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F23977" w14:paraId="1CBF38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22B1">
              <w:rPr>
                <w:rFonts w:asciiTheme="minorHAnsi" w:hAnsiTheme="minorHAnsi" w:cstheme="minorHAnsi"/>
                <w:bCs/>
              </w:rPr>
              <w:t>Agency Director</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EDA17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56</w:t>
            </w: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3FC42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36A56E9" w14:textId="7D74D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EE165C">
              <w:rPr>
                <w:rFonts w:asciiTheme="minorHAnsi" w:hAnsiTheme="minorHAnsi" w:cstheme="minorHAnsi"/>
                <w:bCs/>
              </w:rPr>
              <w:t>58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019521E2" w14:textId="05A9B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32</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51418A88" w14:textId="5B7F3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5A6C5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$59.56</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0A227873" w14:textId="3B1ED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5C5461">
              <w:rPr>
                <w:rFonts w:asciiTheme="minorHAnsi" w:hAnsiTheme="minorHAnsi" w:cstheme="minorHAnsi"/>
                <w:bCs/>
              </w:rPr>
              <w:t>655.16</w:t>
            </w:r>
          </w:p>
        </w:tc>
      </w:tr>
      <w:tr w:rsidRPr="003E22B1" w:rsidR="00F23977" w:rsidTr="007A4671" w14:paraId="3634FDE8"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F23977" w14:paraId="55DF1C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22B1">
              <w:rPr>
                <w:rFonts w:asciiTheme="minorHAnsi" w:hAnsiTheme="minorHAnsi" w:cstheme="minorHAnsi"/>
                <w:bCs/>
              </w:rPr>
              <w:t>Supervisor</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B637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130</w:t>
            </w: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1B663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2D200E63" w14:textId="291F2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EE165C">
              <w:rPr>
                <w:rFonts w:asciiTheme="minorHAnsi" w:hAnsiTheme="minorHAnsi" w:cstheme="minorHAnsi"/>
                <w:bCs/>
              </w:rPr>
              <w:t>58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EE165C" w14:paraId="41D4AE0D" w14:textId="2BA5C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75</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17260A82" w14:textId="11EEC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296DD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$34.49</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7528B858" w14:textId="114BB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5C5461">
              <w:rPr>
                <w:rFonts w:asciiTheme="minorHAnsi" w:hAnsiTheme="minorHAnsi" w:cstheme="minorHAnsi"/>
                <w:bCs/>
              </w:rPr>
              <w:t>862.25</w:t>
            </w:r>
          </w:p>
        </w:tc>
      </w:tr>
      <w:tr w:rsidRPr="003E22B1" w:rsidR="00F23977" w:rsidTr="007A4671" w14:paraId="3246D346"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F23977" w14:paraId="29FD8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22B1">
              <w:rPr>
                <w:rFonts w:asciiTheme="minorHAnsi" w:hAnsiTheme="minorHAnsi" w:cstheme="minorHAnsi"/>
                <w:bCs/>
              </w:rPr>
              <w:t>Caseworker</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7DAB88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390</w:t>
            </w: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3892AC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DEF0D8C" w14:textId="2024A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EE165C">
              <w:rPr>
                <w:rFonts w:asciiTheme="minorHAnsi" w:hAnsiTheme="minorHAnsi" w:cstheme="minorHAnsi"/>
                <w:bCs/>
              </w:rPr>
              <w:t>83</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EE165C" w14:paraId="06E7962B" w14:textId="3A7BA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324</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7D78AF15" w14:textId="342FD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108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19E1B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$23.92</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029F3F2A" w14:textId="29B6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5C5461">
              <w:rPr>
                <w:rFonts w:asciiTheme="minorHAnsi" w:hAnsiTheme="minorHAnsi" w:cstheme="minorHAnsi"/>
                <w:bCs/>
              </w:rPr>
              <w:t>2,583.36</w:t>
            </w:r>
          </w:p>
        </w:tc>
      </w:tr>
      <w:tr w:rsidRPr="003E22B1" w:rsidR="00F23977" w:rsidTr="007A4671" w14:paraId="1636AEE0"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3E22B1" w:rsidR="00F23977" w:rsidP="0047196D" w:rsidRDefault="00F23977" w14:paraId="6223F3EE" w14:textId="235EC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E22B1">
              <w:rPr>
                <w:rFonts w:asciiTheme="minorHAnsi" w:hAnsiTheme="minorHAnsi" w:cstheme="minorHAnsi"/>
                <w:bCs/>
              </w:rPr>
              <w:t>Total</w:t>
            </w:r>
            <w:r w:rsidR="000562C0">
              <w:rPr>
                <w:rFonts w:asciiTheme="minorHAnsi" w:hAnsiTheme="minorHAnsi" w:cstheme="minorHAnsi"/>
                <w:bCs/>
              </w:rPr>
              <w:t>s</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1851D797" w14:textId="3232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16C885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25B3D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EE165C" w14:paraId="7FF4BD5B" w14:textId="57D8D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431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6B113C13" w14:textId="5F928F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144</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E22B1" w:rsidR="00F23977" w:rsidP="0047196D" w:rsidRDefault="00F23977" w14:paraId="0F3A94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E22B1" w:rsidR="00F23977" w:rsidP="0047196D" w:rsidRDefault="00F23977" w14:paraId="554D6C0A" w14:textId="3DBC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E22B1">
              <w:rPr>
                <w:rFonts w:asciiTheme="minorHAnsi" w:hAnsiTheme="minorHAnsi" w:cstheme="minorHAnsi"/>
                <w:bCs/>
              </w:rPr>
              <w:t>$</w:t>
            </w:r>
            <w:r w:rsidR="005C5461">
              <w:rPr>
                <w:rFonts w:asciiTheme="minorHAnsi" w:hAnsiTheme="minorHAnsi" w:cstheme="minorHAnsi"/>
                <w:bCs/>
              </w:rPr>
              <w:t>4,100.77</w:t>
            </w:r>
          </w:p>
        </w:tc>
      </w:tr>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AA796F" w14:paraId="37B3A42A" w14:textId="1A34F95C">
      <w:pPr>
        <w:autoSpaceDE w:val="0"/>
        <w:autoSpaceDN w:val="0"/>
        <w:adjustRightInd w:val="0"/>
        <w:spacing w:after="0" w:line="240" w:lineRule="auto"/>
        <w:rPr>
          <w:rFonts w:cstheme="minorHAnsi"/>
        </w:rPr>
      </w:pPr>
      <w:r>
        <w:rPr>
          <w:rFonts w:cstheme="minorHAnsi"/>
        </w:rPr>
        <w:t xml:space="preserve">There are no additional costs to respondents.  </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EE0561" w:rsidR="00EE0561" w:rsidP="00E179CF" w:rsidRDefault="008E7A52" w14:paraId="151B29FC" w14:textId="1819AEF5">
      <w:pPr>
        <w:spacing w:after="0"/>
        <w:rPr>
          <w:rFonts w:cstheme="minorHAnsi"/>
          <w:i/>
          <w:iCs/>
        </w:rPr>
      </w:pPr>
      <w:r>
        <w:rPr>
          <w:rFonts w:cstheme="minorHAnsi"/>
          <w:i/>
          <w:iCs/>
        </w:rPr>
        <w:t>Phase III</w:t>
      </w:r>
    </w:p>
    <w:p w:rsidRPr="009139B3" w:rsidR="001D1C73" w:rsidP="00E179CF" w:rsidRDefault="003E22B1" w14:paraId="35E516D7" w14:textId="4773E3F9">
      <w:pPr>
        <w:spacing w:after="0"/>
        <w:rPr>
          <w:rFonts w:cstheme="minorHAnsi"/>
        </w:rPr>
      </w:pPr>
      <w:r>
        <w:rPr>
          <w:rFonts w:cstheme="minorHAnsi"/>
        </w:rPr>
        <w:t xml:space="preserve">The </w:t>
      </w:r>
      <w:r w:rsidR="00E56F21">
        <w:rPr>
          <w:rFonts w:cstheme="minorHAnsi"/>
        </w:rPr>
        <w:t>C</w:t>
      </w:r>
      <w:r>
        <w:rPr>
          <w:rFonts w:cstheme="minorHAnsi"/>
        </w:rPr>
        <w:t>ontractor u</w:t>
      </w:r>
      <w:r w:rsidR="001C1D11">
        <w:rPr>
          <w:rFonts w:cstheme="minorHAnsi"/>
        </w:rPr>
        <w:t xml:space="preserve">sed formal budget templates with staff labor rates and itemized expenses to calculate the amounts.  </w:t>
      </w:r>
      <w:r>
        <w:rPr>
          <w:rFonts w:cstheme="minorHAnsi"/>
        </w:rPr>
        <w:t xml:space="preserve">Costs include personnel labor hours and other direct costs such as field data collection expenses and equipment.  </w:t>
      </w:r>
      <w:r w:rsidR="00E179CF">
        <w:rPr>
          <w:rFonts w:cstheme="minorHAnsi"/>
        </w:rPr>
        <w:t xml:space="preserve">Estimated annualized costs to the federal government over the requested three-year approval period are as follows:   </w:t>
      </w:r>
    </w:p>
    <w:p w:rsidRPr="009139B3" w:rsidR="001D1C73" w:rsidP="001D1C73" w:rsidRDefault="001D1C73" w14:paraId="30A9FAE4" w14:textId="77777777">
      <w:pPr>
        <w:spacing w:after="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left w:w="0" w:type="dxa"/>
          <w:right w:w="0" w:type="dxa"/>
        </w:tblCellMar>
        <w:tblLook w:val="04A0" w:firstRow="1" w:lastRow="0" w:firstColumn="1" w:lastColumn="0" w:noHBand="0" w:noVBand="1"/>
      </w:tblPr>
      <w:tblGrid>
        <w:gridCol w:w="4878"/>
        <w:gridCol w:w="2250"/>
      </w:tblGrid>
      <w:tr w:rsidRPr="001C1D11" w:rsidR="001D1C73" w:rsidTr="000562C0" w14:paraId="03A6925A" w14:textId="77777777">
        <w:tc>
          <w:tcPr>
            <w:tcW w:w="4878" w:type="dxa"/>
            <w:shd w:val="clear" w:color="auto" w:fill="002060"/>
            <w:tcMar>
              <w:top w:w="0" w:type="dxa"/>
              <w:left w:w="108" w:type="dxa"/>
              <w:bottom w:w="0" w:type="dxa"/>
              <w:right w:w="108" w:type="dxa"/>
            </w:tcMar>
            <w:hideMark/>
          </w:tcPr>
          <w:p w:rsidRPr="001C1D11" w:rsidR="001D1C73" w:rsidP="00AC0A1F" w:rsidRDefault="001D1C73" w14:paraId="040ACCEE" w14:textId="77777777">
            <w:pPr>
              <w:spacing w:after="0"/>
              <w:rPr>
                <w:b/>
                <w:bCs/>
                <w:sz w:val="20"/>
                <w:szCs w:val="20"/>
              </w:rPr>
            </w:pPr>
            <w:r w:rsidRPr="001C1D11">
              <w:rPr>
                <w:b/>
                <w:bCs/>
                <w:sz w:val="20"/>
                <w:szCs w:val="20"/>
              </w:rPr>
              <w:t>Cost Category</w:t>
            </w:r>
          </w:p>
        </w:tc>
        <w:tc>
          <w:tcPr>
            <w:tcW w:w="2250" w:type="dxa"/>
            <w:shd w:val="clear" w:color="auto" w:fill="002060"/>
            <w:tcMar>
              <w:top w:w="0" w:type="dxa"/>
              <w:left w:w="108" w:type="dxa"/>
              <w:bottom w:w="0" w:type="dxa"/>
              <w:right w:w="108" w:type="dxa"/>
            </w:tcMar>
            <w:hideMark/>
          </w:tcPr>
          <w:p w:rsidRPr="001C1D11" w:rsidR="001D1C73" w:rsidP="00AC0A1F" w:rsidRDefault="001D1C73" w14:paraId="2D64809B" w14:textId="77777777">
            <w:pPr>
              <w:spacing w:after="0"/>
              <w:jc w:val="center"/>
              <w:rPr>
                <w:b/>
                <w:bCs/>
                <w:sz w:val="20"/>
                <w:szCs w:val="20"/>
              </w:rPr>
            </w:pPr>
            <w:r w:rsidRPr="001C1D11">
              <w:rPr>
                <w:b/>
                <w:bCs/>
                <w:sz w:val="20"/>
                <w:szCs w:val="20"/>
              </w:rPr>
              <w:t>Estimated Costs</w:t>
            </w:r>
          </w:p>
        </w:tc>
      </w:tr>
      <w:tr w:rsidRPr="001C1D11" w:rsidR="001D1C73" w:rsidTr="001C1D11" w14:paraId="20564B7A" w14:textId="77777777">
        <w:tc>
          <w:tcPr>
            <w:tcW w:w="4878"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28494A95" w14:textId="77777777">
            <w:pPr>
              <w:spacing w:after="0"/>
              <w:rPr>
                <w:sz w:val="20"/>
                <w:szCs w:val="20"/>
              </w:rPr>
            </w:pPr>
            <w:r w:rsidRPr="001C1D11">
              <w:rPr>
                <w:sz w:val="20"/>
                <w:szCs w:val="20"/>
              </w:rPr>
              <w:t>Instrument Development and OMB Clearance</w:t>
            </w:r>
          </w:p>
        </w:tc>
        <w:tc>
          <w:tcPr>
            <w:tcW w:w="2250"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1EBEFF56" w14:textId="59F84EF7">
            <w:pPr>
              <w:spacing w:after="0"/>
              <w:jc w:val="center"/>
              <w:rPr>
                <w:sz w:val="20"/>
                <w:szCs w:val="20"/>
              </w:rPr>
            </w:pPr>
            <w:r w:rsidRPr="001C1D11">
              <w:rPr>
                <w:sz w:val="20"/>
                <w:szCs w:val="20"/>
              </w:rPr>
              <w:t>$</w:t>
            </w:r>
            <w:r w:rsidRPr="001C1D11" w:rsidR="00A009DE">
              <w:rPr>
                <w:sz w:val="20"/>
                <w:szCs w:val="20"/>
              </w:rPr>
              <w:t>201,000</w:t>
            </w:r>
          </w:p>
        </w:tc>
      </w:tr>
      <w:tr w:rsidRPr="001C1D11" w:rsidR="001D1C73" w:rsidTr="001C1D11" w14:paraId="15425C41" w14:textId="77777777">
        <w:tc>
          <w:tcPr>
            <w:tcW w:w="4878"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299A5ADE" w14:textId="77777777">
            <w:pPr>
              <w:spacing w:after="0"/>
              <w:rPr>
                <w:rFonts w:ascii="Calibri" w:hAnsi="Calibri" w:eastAsia="Calibri" w:cs="Calibri"/>
                <w:sz w:val="20"/>
                <w:szCs w:val="20"/>
              </w:rPr>
            </w:pPr>
            <w:r w:rsidRPr="001C1D11">
              <w:rPr>
                <w:sz w:val="20"/>
                <w:szCs w:val="20"/>
              </w:rPr>
              <w:t>Field Work</w:t>
            </w:r>
          </w:p>
        </w:tc>
        <w:tc>
          <w:tcPr>
            <w:tcW w:w="2250"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219CBE6F" w14:textId="08E533D7">
            <w:pPr>
              <w:spacing w:after="0"/>
              <w:jc w:val="center"/>
              <w:rPr>
                <w:sz w:val="20"/>
                <w:szCs w:val="20"/>
              </w:rPr>
            </w:pPr>
            <w:r w:rsidRPr="001C1D11">
              <w:rPr>
                <w:sz w:val="20"/>
                <w:szCs w:val="20"/>
              </w:rPr>
              <w:t>$</w:t>
            </w:r>
            <w:r w:rsidRPr="001C1D11" w:rsidR="009F639B">
              <w:rPr>
                <w:sz w:val="20"/>
                <w:szCs w:val="20"/>
              </w:rPr>
              <w:t>131,000</w:t>
            </w:r>
          </w:p>
        </w:tc>
      </w:tr>
      <w:tr w:rsidRPr="001C1D11" w:rsidR="001D1C73" w:rsidTr="001C1D11" w14:paraId="71F20FD1" w14:textId="77777777">
        <w:tc>
          <w:tcPr>
            <w:tcW w:w="4878" w:type="dxa"/>
            <w:shd w:val="clear" w:color="auto" w:fill="FFFFFF" w:themeFill="background1"/>
            <w:tcMar>
              <w:top w:w="0" w:type="dxa"/>
              <w:left w:w="108" w:type="dxa"/>
              <w:bottom w:w="0" w:type="dxa"/>
              <w:right w:w="108" w:type="dxa"/>
            </w:tcMar>
            <w:vAlign w:val="center"/>
          </w:tcPr>
          <w:p w:rsidRPr="001C1D11" w:rsidR="001D1C73" w:rsidP="00AC0A1F" w:rsidRDefault="001D1C73" w14:paraId="2DD9D85F" w14:textId="40415C1F">
            <w:pPr>
              <w:spacing w:after="0"/>
              <w:rPr>
                <w:sz w:val="20"/>
                <w:szCs w:val="20"/>
              </w:rPr>
            </w:pPr>
            <w:r w:rsidRPr="001C1D11">
              <w:rPr>
                <w:sz w:val="20"/>
                <w:szCs w:val="20"/>
              </w:rPr>
              <w:t>Analysis</w:t>
            </w:r>
            <w:r w:rsidRPr="001C1D11" w:rsidR="00BB05B8">
              <w:rPr>
                <w:sz w:val="20"/>
                <w:szCs w:val="20"/>
              </w:rPr>
              <w:t xml:space="preserve"> &amp; Publications/Dissemination </w:t>
            </w:r>
          </w:p>
        </w:tc>
        <w:tc>
          <w:tcPr>
            <w:tcW w:w="2250" w:type="dxa"/>
            <w:shd w:val="clear" w:color="auto" w:fill="FFFFFF" w:themeFill="background1"/>
            <w:tcMar>
              <w:top w:w="0" w:type="dxa"/>
              <w:left w:w="108" w:type="dxa"/>
              <w:bottom w:w="0" w:type="dxa"/>
              <w:right w:w="108" w:type="dxa"/>
            </w:tcMar>
            <w:vAlign w:val="center"/>
          </w:tcPr>
          <w:p w:rsidRPr="001C1D11" w:rsidR="001D1C73" w:rsidP="00AC0A1F" w:rsidRDefault="001D1C73" w14:paraId="194E752D" w14:textId="66FAE3E4">
            <w:pPr>
              <w:spacing w:after="0"/>
              <w:jc w:val="center"/>
              <w:rPr>
                <w:sz w:val="20"/>
                <w:szCs w:val="20"/>
              </w:rPr>
            </w:pPr>
            <w:r w:rsidRPr="001C1D11">
              <w:rPr>
                <w:sz w:val="20"/>
                <w:szCs w:val="20"/>
              </w:rPr>
              <w:t>$</w:t>
            </w:r>
            <w:r w:rsidRPr="001C1D11" w:rsidR="00BB05B8">
              <w:rPr>
                <w:sz w:val="20"/>
                <w:szCs w:val="20"/>
              </w:rPr>
              <w:t>13,</w:t>
            </w:r>
            <w:r w:rsidRPr="001C1D11" w:rsidR="009F639B">
              <w:rPr>
                <w:sz w:val="20"/>
                <w:szCs w:val="20"/>
              </w:rPr>
              <w:t>5</w:t>
            </w:r>
            <w:r w:rsidRPr="001C1D11" w:rsidR="00BB05B8">
              <w:rPr>
                <w:sz w:val="20"/>
                <w:szCs w:val="20"/>
              </w:rPr>
              <w:t>00</w:t>
            </w:r>
          </w:p>
        </w:tc>
      </w:tr>
      <w:tr w:rsidRPr="001C1D11" w:rsidR="001D1C73" w:rsidTr="001C1D11" w14:paraId="35F03C17" w14:textId="77777777">
        <w:tc>
          <w:tcPr>
            <w:tcW w:w="4878"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7EDD4F98" w14:textId="77777777">
            <w:pPr>
              <w:spacing w:after="0"/>
              <w:jc w:val="right"/>
              <w:rPr>
                <w:rFonts w:ascii="Calibri" w:hAnsi="Calibri" w:eastAsia="Calibri" w:cs="Calibri"/>
                <w:b/>
                <w:bCs/>
                <w:sz w:val="20"/>
                <w:szCs w:val="20"/>
              </w:rPr>
            </w:pPr>
            <w:r w:rsidRPr="001C1D11">
              <w:rPr>
                <w:b/>
                <w:color w:val="000000"/>
                <w:sz w:val="20"/>
                <w:szCs w:val="20"/>
              </w:rPr>
              <w:t>Total costs over the request period</w:t>
            </w:r>
          </w:p>
        </w:tc>
        <w:tc>
          <w:tcPr>
            <w:tcW w:w="2250"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0B43751B" w14:textId="235A2F22">
            <w:pPr>
              <w:spacing w:after="0"/>
              <w:jc w:val="center"/>
              <w:rPr>
                <w:b/>
                <w:bCs/>
                <w:sz w:val="20"/>
                <w:szCs w:val="20"/>
              </w:rPr>
            </w:pPr>
            <w:r w:rsidRPr="001C1D11">
              <w:rPr>
                <w:sz w:val="20"/>
                <w:szCs w:val="20"/>
              </w:rPr>
              <w:t>$</w:t>
            </w:r>
            <w:r w:rsidRPr="001C1D11" w:rsidR="00A009DE">
              <w:rPr>
                <w:sz w:val="20"/>
                <w:szCs w:val="20"/>
              </w:rPr>
              <w:t>345,500</w:t>
            </w:r>
          </w:p>
        </w:tc>
      </w:tr>
      <w:tr w:rsidRPr="001C1D11" w:rsidR="001D1C73" w:rsidTr="001C1D11" w14:paraId="4590F9AC" w14:textId="77777777">
        <w:tc>
          <w:tcPr>
            <w:tcW w:w="4878" w:type="dxa"/>
            <w:shd w:val="clear" w:color="auto" w:fill="FFFFFF" w:themeFill="background1"/>
            <w:tcMar>
              <w:top w:w="0" w:type="dxa"/>
              <w:left w:w="108" w:type="dxa"/>
              <w:bottom w:w="0" w:type="dxa"/>
              <w:right w:w="108" w:type="dxa"/>
            </w:tcMar>
            <w:vAlign w:val="center"/>
          </w:tcPr>
          <w:p w:rsidRPr="001C1D11" w:rsidR="001D1C73" w:rsidP="00AC0A1F" w:rsidRDefault="001D1C73" w14:paraId="5C3E096F" w14:textId="77777777">
            <w:pPr>
              <w:spacing w:after="0"/>
              <w:jc w:val="right"/>
              <w:rPr>
                <w:b/>
                <w:bCs/>
                <w:sz w:val="20"/>
                <w:szCs w:val="20"/>
              </w:rPr>
            </w:pPr>
            <w:r w:rsidRPr="001C1D11">
              <w:rPr>
                <w:b/>
                <w:color w:val="000000"/>
                <w:sz w:val="20"/>
                <w:szCs w:val="20"/>
              </w:rPr>
              <w:t>Annual costs</w:t>
            </w:r>
          </w:p>
        </w:tc>
        <w:tc>
          <w:tcPr>
            <w:tcW w:w="2250" w:type="dxa"/>
            <w:shd w:val="clear" w:color="auto" w:fill="FFFFFF" w:themeFill="background1"/>
            <w:tcMar>
              <w:top w:w="0" w:type="dxa"/>
              <w:left w:w="108" w:type="dxa"/>
              <w:bottom w:w="0" w:type="dxa"/>
              <w:right w:w="108" w:type="dxa"/>
            </w:tcMar>
            <w:vAlign w:val="center"/>
          </w:tcPr>
          <w:p w:rsidRPr="001C1D11" w:rsidR="001D1C73" w:rsidP="009204CC" w:rsidRDefault="001D1C73" w14:paraId="52FCC150" w14:textId="43FDB048">
            <w:pPr>
              <w:spacing w:after="0"/>
              <w:jc w:val="center"/>
              <w:rPr>
                <w:b/>
                <w:bCs/>
                <w:sz w:val="20"/>
                <w:szCs w:val="20"/>
              </w:rPr>
            </w:pPr>
            <w:r w:rsidRPr="001C1D11">
              <w:rPr>
                <w:sz w:val="20"/>
                <w:szCs w:val="20"/>
              </w:rPr>
              <w:t>$</w:t>
            </w:r>
            <w:r w:rsidRPr="001C1D11" w:rsidR="00A009DE">
              <w:rPr>
                <w:sz w:val="20"/>
                <w:szCs w:val="20"/>
              </w:rPr>
              <w:t>115</w:t>
            </w:r>
            <w:r w:rsidR="009204CC">
              <w:rPr>
                <w:sz w:val="20"/>
                <w:szCs w:val="20"/>
              </w:rPr>
              <w:t>,</w:t>
            </w:r>
            <w:r w:rsidRPr="001C1D11" w:rsidR="00A009DE">
              <w:rPr>
                <w:sz w:val="20"/>
                <w:szCs w:val="20"/>
              </w:rPr>
              <w:t>166</w:t>
            </w:r>
          </w:p>
        </w:tc>
      </w:tr>
    </w:tbl>
    <w:p w:rsidR="001D1C73" w:rsidP="001D1C73" w:rsidRDefault="001D1C73" w14:paraId="65C70CA1" w14:textId="45B48263">
      <w:pPr>
        <w:spacing w:after="0"/>
        <w:rPr>
          <w:rFonts w:ascii="Calibri" w:hAnsi="Calibri" w:eastAsia="Calibri" w:cs="Calibri"/>
        </w:rPr>
      </w:pPr>
    </w:p>
    <w:p w:rsidRPr="00C41B1F" w:rsidR="00EE0561" w:rsidP="001D1C73" w:rsidRDefault="00EE0561" w14:paraId="38FAEAC7" w14:textId="40E45220">
      <w:pPr>
        <w:spacing w:after="0"/>
        <w:rPr>
          <w:rFonts w:eastAsia="Calibri" w:cstheme="minorHAnsi"/>
          <w:i/>
          <w:iCs/>
        </w:rPr>
      </w:pPr>
      <w:r w:rsidRPr="00C41B1F">
        <w:rPr>
          <w:rFonts w:eastAsia="Calibri" w:cstheme="minorHAnsi"/>
          <w:i/>
          <w:iCs/>
        </w:rPr>
        <w:t>Previously Approved</w:t>
      </w:r>
    </w:p>
    <w:p w:rsidR="00EE0561" w:rsidP="00CD3C52" w:rsidRDefault="00EE0561" w14:paraId="122F7802" w14:textId="1635E2EE">
      <w:pPr>
        <w:pStyle w:val="BodyText"/>
        <w:spacing w:after="0"/>
        <w:rPr>
          <w:rFonts w:asciiTheme="minorHAnsi" w:hAnsiTheme="minorHAnsi" w:cstheme="minorHAnsi"/>
          <w:sz w:val="22"/>
          <w:szCs w:val="22"/>
        </w:rPr>
      </w:pPr>
      <w:r w:rsidRPr="00C41B1F">
        <w:rPr>
          <w:rFonts w:asciiTheme="minorHAnsi" w:hAnsiTheme="minorHAnsi" w:cstheme="minorHAnsi"/>
          <w:sz w:val="22"/>
          <w:szCs w:val="22"/>
        </w:rPr>
        <w:t xml:space="preserve">Estimated annualized costs to the federal government over the </w:t>
      </w:r>
      <w:r w:rsidR="00C41B1F">
        <w:rPr>
          <w:rFonts w:asciiTheme="minorHAnsi" w:hAnsiTheme="minorHAnsi" w:cstheme="minorHAnsi"/>
          <w:sz w:val="22"/>
          <w:szCs w:val="22"/>
        </w:rPr>
        <w:t xml:space="preserve">same </w:t>
      </w:r>
      <w:r w:rsidR="00E81796">
        <w:rPr>
          <w:rFonts w:asciiTheme="minorHAnsi" w:hAnsiTheme="minorHAnsi" w:cstheme="minorHAnsi"/>
          <w:sz w:val="22"/>
          <w:szCs w:val="22"/>
        </w:rPr>
        <w:t xml:space="preserve">three-year </w:t>
      </w:r>
      <w:r w:rsidRPr="00C41B1F">
        <w:rPr>
          <w:rFonts w:asciiTheme="minorHAnsi" w:hAnsiTheme="minorHAnsi" w:cstheme="minorHAnsi"/>
          <w:sz w:val="22"/>
          <w:szCs w:val="22"/>
        </w:rPr>
        <w:t xml:space="preserve">period for Phase II </w:t>
      </w:r>
      <w:r w:rsidRPr="00C41B1F">
        <w:rPr>
          <w:rFonts w:asciiTheme="minorHAnsi" w:hAnsiTheme="minorHAnsi" w:cstheme="minorHAnsi"/>
          <w:color w:val="000000" w:themeColor="text1"/>
          <w:sz w:val="22"/>
          <w:szCs w:val="22"/>
        </w:rPr>
        <w:t>is $</w:t>
      </w:r>
      <w:r w:rsidRPr="00C41B1F" w:rsidR="00C41B1F">
        <w:rPr>
          <w:rFonts w:asciiTheme="minorHAnsi" w:hAnsiTheme="minorHAnsi" w:cstheme="minorHAnsi"/>
          <w:color w:val="000000" w:themeColor="text1"/>
          <w:sz w:val="22"/>
          <w:szCs w:val="22"/>
        </w:rPr>
        <w:t xml:space="preserve">3,434,219. </w:t>
      </w:r>
      <w:r w:rsidRPr="00C41B1F">
        <w:rPr>
          <w:rFonts w:asciiTheme="minorHAnsi" w:hAnsiTheme="minorHAnsi" w:cstheme="minorHAnsi"/>
          <w:color w:val="000000" w:themeColor="text1"/>
          <w:sz w:val="22"/>
          <w:szCs w:val="22"/>
        </w:rPr>
        <w:t xml:space="preserve"> </w:t>
      </w:r>
      <w:r w:rsidRPr="00C41B1F">
        <w:rPr>
          <w:rFonts w:asciiTheme="minorHAnsi" w:hAnsiTheme="minorHAnsi" w:cstheme="minorHAnsi"/>
          <w:sz w:val="22"/>
          <w:szCs w:val="22"/>
        </w:rPr>
        <w:t>These costs include</w:t>
      </w:r>
      <w:r w:rsidRPr="00C41B1F" w:rsidR="00C41B1F">
        <w:rPr>
          <w:rFonts w:asciiTheme="minorHAnsi" w:hAnsiTheme="minorHAnsi" w:cstheme="minorHAnsi"/>
          <w:sz w:val="22"/>
          <w:szCs w:val="22"/>
        </w:rPr>
        <w:t xml:space="preserve"> </w:t>
      </w:r>
      <w:r w:rsidR="00D275F6">
        <w:rPr>
          <w:rFonts w:asciiTheme="minorHAnsi" w:hAnsiTheme="minorHAnsi" w:cstheme="minorHAnsi"/>
          <w:sz w:val="22"/>
          <w:szCs w:val="22"/>
        </w:rPr>
        <w:t>personnel labor hours and other direct costs for rem</w:t>
      </w:r>
      <w:r w:rsidRPr="00C41B1F" w:rsidR="00C41B1F">
        <w:rPr>
          <w:rFonts w:asciiTheme="minorHAnsi" w:hAnsiTheme="minorHAnsi" w:cstheme="minorHAnsi"/>
          <w:sz w:val="22"/>
          <w:szCs w:val="22"/>
        </w:rPr>
        <w:t xml:space="preserve">aining baseline and 18-month follow-up </w:t>
      </w:r>
      <w:r w:rsidRPr="00C41B1F">
        <w:rPr>
          <w:rFonts w:asciiTheme="minorHAnsi" w:hAnsiTheme="minorHAnsi" w:cstheme="minorHAnsi"/>
          <w:sz w:val="22"/>
          <w:szCs w:val="22"/>
        </w:rPr>
        <w:t>data collection</w:t>
      </w:r>
      <w:r w:rsidR="00D275F6">
        <w:rPr>
          <w:rFonts w:asciiTheme="minorHAnsi" w:hAnsiTheme="minorHAnsi" w:cstheme="minorHAnsi"/>
          <w:sz w:val="22"/>
          <w:szCs w:val="22"/>
        </w:rPr>
        <w:t xml:space="preserve">, </w:t>
      </w:r>
      <w:r w:rsidRPr="00C41B1F">
        <w:rPr>
          <w:rFonts w:asciiTheme="minorHAnsi" w:hAnsiTheme="minorHAnsi" w:cstheme="minorHAnsi"/>
          <w:sz w:val="22"/>
          <w:szCs w:val="22"/>
        </w:rPr>
        <w:t>data processing and analysis</w:t>
      </w:r>
      <w:r w:rsidRPr="00C41B1F" w:rsidR="00C41B1F">
        <w:rPr>
          <w:rFonts w:asciiTheme="minorHAnsi" w:hAnsiTheme="minorHAnsi" w:cstheme="minorHAnsi"/>
          <w:sz w:val="22"/>
          <w:szCs w:val="22"/>
        </w:rPr>
        <w:t>, and</w:t>
      </w:r>
      <w:r w:rsidRPr="00C41B1F">
        <w:rPr>
          <w:rFonts w:asciiTheme="minorHAnsi" w:hAnsiTheme="minorHAnsi" w:cstheme="minorHAnsi"/>
          <w:sz w:val="22"/>
          <w:szCs w:val="22"/>
        </w:rPr>
        <w:t xml:space="preserve"> preparation of reports and presentations</w:t>
      </w:r>
      <w:r w:rsidRPr="00C41B1F" w:rsidR="00C41B1F">
        <w:rPr>
          <w:rFonts w:asciiTheme="minorHAnsi" w:hAnsiTheme="minorHAnsi" w:cstheme="minorHAnsi"/>
          <w:sz w:val="22"/>
          <w:szCs w:val="22"/>
        </w:rPr>
        <w:t>.</w:t>
      </w:r>
    </w:p>
    <w:p w:rsidR="00C44CFD" w:rsidP="00CD3C52" w:rsidRDefault="00C44CFD" w14:paraId="2C4F7AA3" w14:textId="77777777">
      <w:pPr>
        <w:pStyle w:val="BodyText"/>
        <w:spacing w:after="0"/>
        <w:rPr>
          <w:rFonts w:asciiTheme="minorHAnsi" w:hAnsiTheme="minorHAnsi" w:cstheme="minorHAnsi"/>
          <w:sz w:val="22"/>
          <w:szCs w:val="22"/>
        </w:rPr>
      </w:pPr>
    </w:p>
    <w:p w:rsidR="00C44CFD" w:rsidP="00CD3C52" w:rsidRDefault="00C44CFD" w14:paraId="5F9C8C9A" w14:textId="5462AB2D">
      <w:pPr>
        <w:pStyle w:val="BodyText"/>
        <w:spacing w:after="60"/>
        <w:rPr>
          <w:rFonts w:asciiTheme="minorHAnsi" w:hAnsiTheme="minorHAnsi" w:cstheme="minorHAnsi"/>
          <w:i/>
          <w:sz w:val="22"/>
          <w:szCs w:val="22"/>
        </w:rPr>
      </w:pPr>
      <w:r>
        <w:rPr>
          <w:rFonts w:asciiTheme="minorHAnsi" w:hAnsiTheme="minorHAnsi" w:cstheme="minorHAnsi"/>
          <w:i/>
          <w:sz w:val="22"/>
          <w:szCs w:val="22"/>
        </w:rPr>
        <w:t>Total Annual Costs</w:t>
      </w:r>
    </w:p>
    <w:p w:rsidRPr="00C44CFD" w:rsidR="00C44CFD" w:rsidP="00CD3C52" w:rsidRDefault="00C44CFD" w14:paraId="684DC3EC" w14:textId="5B7CBE5B">
      <w:pPr>
        <w:pStyle w:val="BodyText"/>
        <w:spacing w:after="0"/>
        <w:rPr>
          <w:rFonts w:eastAsia="Calibri" w:asciiTheme="minorHAnsi" w:hAnsiTheme="minorHAnsi" w:cstheme="minorHAnsi"/>
          <w:sz w:val="22"/>
          <w:szCs w:val="22"/>
        </w:rPr>
      </w:pPr>
      <w:r>
        <w:rPr>
          <w:rFonts w:asciiTheme="minorHAnsi" w:hAnsiTheme="minorHAnsi" w:cstheme="minorHAnsi"/>
          <w:sz w:val="22"/>
          <w:szCs w:val="22"/>
        </w:rPr>
        <w:t>Total estimated annualized to the federal government for the current and ongoing previously approved data collection is $</w:t>
      </w:r>
      <w:r w:rsidRPr="00C44CFD">
        <w:rPr>
          <w:rFonts w:asciiTheme="minorHAnsi" w:hAnsiTheme="minorHAnsi" w:cstheme="minorHAnsi"/>
          <w:sz w:val="22"/>
          <w:szCs w:val="22"/>
        </w:rPr>
        <w:t>3,549,385</w:t>
      </w:r>
      <w:r w:rsidRPr="00C44CFD">
        <w:rPr>
          <w:rFonts w:asciiTheme="minorHAnsi" w:hAnsiTheme="minorHAnsi" w:cstheme="minorHAnsi"/>
          <w:sz w:val="22"/>
          <w:szCs w:val="22"/>
        </w:rPr>
        <w:t>‬</w:t>
      </w:r>
      <w:r>
        <w:rPr>
          <w:rFonts w:asciiTheme="minorHAnsi" w:hAnsiTheme="minorHAnsi" w:cstheme="minorHAnsi"/>
          <w:sz w:val="22"/>
          <w:szCs w:val="22"/>
        </w:rPr>
        <w:t xml:space="preserve"> ($115,166 + $3,434,219). </w:t>
      </w:r>
    </w:p>
    <w:p w:rsidR="00581D47" w:rsidP="00CD3C52" w:rsidRDefault="00581D47" w14:paraId="7A005885" w14:textId="77777777">
      <w:pPr>
        <w:spacing w:after="0" w:line="240" w:lineRule="auto"/>
        <w:rPr>
          <w:rFonts w:cstheme="minorHAnsi"/>
          <w:b/>
        </w:rPr>
      </w:pPr>
    </w:p>
    <w:p w:rsidRPr="009139B3" w:rsidR="001D1C73" w:rsidP="001D1C73" w:rsidRDefault="001D1C73" w14:paraId="60855735" w14:textId="12DE6CCB">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D61129" w14:paraId="2E8F0BA5" w14:textId="258E1B44">
      <w:pPr>
        <w:spacing w:after="0" w:line="240" w:lineRule="auto"/>
        <w:rPr>
          <w:rFonts w:cstheme="minorHAnsi"/>
        </w:rPr>
      </w:pPr>
      <w:r w:rsidRPr="00D61129">
        <w:rPr>
          <w:rFonts w:cstheme="minorHAnsi"/>
          <w:bdr w:val="none" w:color="auto" w:sz="0" w:space="0" w:frame="1"/>
        </w:rPr>
        <w:t xml:space="preserve">There are no remaining approved burden hours from the Phase I NSCAW III data collection. Phase II burden was updated in </w:t>
      </w:r>
      <w:r>
        <w:rPr>
          <w:rFonts w:cstheme="minorHAnsi"/>
          <w:b/>
          <w:bCs/>
          <w:i/>
          <w:iCs/>
          <w:bdr w:val="none" w:color="auto" w:sz="0" w:space="0" w:frame="1"/>
        </w:rPr>
        <w:t xml:space="preserve">Table 4.A </w:t>
      </w:r>
      <w:r w:rsidRPr="00D61129">
        <w:rPr>
          <w:rFonts w:cstheme="minorHAnsi"/>
          <w:bdr w:val="none" w:color="auto" w:sz="0" w:space="0" w:frame="1"/>
        </w:rPr>
        <w:t>to reflect a higher average administration time across the child age distribution</w:t>
      </w:r>
      <w:r w:rsidR="009D126F">
        <w:rPr>
          <w:rFonts w:cstheme="minorHAnsi"/>
          <w:bdr w:val="none" w:color="auto" w:sz="0" w:space="0" w:frame="1"/>
        </w:rPr>
        <w:t xml:space="preserve"> </w:t>
      </w:r>
      <w:r w:rsidRPr="00D61129" w:rsidR="009D126F">
        <w:rPr>
          <w:rFonts w:cstheme="minorHAnsi"/>
          <w:bdr w:val="none" w:color="auto" w:sz="0" w:space="0" w:frame="1"/>
        </w:rPr>
        <w:t>than originally estimated</w:t>
      </w:r>
      <w:r>
        <w:rPr>
          <w:rFonts w:cstheme="minorHAnsi"/>
          <w:bdr w:val="none" w:color="auto" w:sz="0" w:space="0" w:frame="1"/>
        </w:rPr>
        <w:t>.</w:t>
      </w:r>
    </w:p>
    <w:p w:rsidR="001D1C73" w:rsidP="001D1C73" w:rsidRDefault="001D1C73" w14:paraId="69096039" w14:textId="402BD672">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CC3C7B" w:rsidP="001D1C73" w:rsidRDefault="003E22B1" w14:paraId="454A16C9" w14:textId="77777777">
      <w:pPr>
        <w:spacing w:after="120" w:line="240" w:lineRule="auto"/>
        <w:rPr>
          <w:rFonts w:cstheme="minorHAnsi"/>
        </w:rPr>
      </w:pPr>
      <w:r w:rsidRPr="003E22B1">
        <w:rPr>
          <w:rFonts w:cstheme="minorHAnsi"/>
          <w:bCs/>
        </w:rPr>
        <w:t xml:space="preserve">As noted in </w:t>
      </w:r>
      <w:r w:rsidRPr="003E22B1">
        <w:rPr>
          <w:rFonts w:cstheme="minorHAnsi"/>
          <w:b/>
          <w:i/>
          <w:iCs/>
        </w:rPr>
        <w:t>Section A.10</w:t>
      </w:r>
      <w:r w:rsidRPr="003E22B1">
        <w:rPr>
          <w:rFonts w:cstheme="minorHAnsi"/>
          <w:bCs/>
        </w:rPr>
        <w:t xml:space="preserve">, </w:t>
      </w:r>
      <w:proofErr w:type="spellStart"/>
      <w:r w:rsidRPr="003E22B1">
        <w:rPr>
          <w:rFonts w:cstheme="minorHAnsi"/>
          <w:bCs/>
        </w:rPr>
        <w:t>deidentified</w:t>
      </w:r>
      <w:proofErr w:type="spellEnd"/>
      <w:r w:rsidRPr="003E22B1">
        <w:rPr>
          <w:rFonts w:cstheme="minorHAnsi"/>
          <w:bCs/>
        </w:rPr>
        <w:t xml:space="preserve"> workforce survey data will be made available to researchers via the National Data Archive on Child Abuse and Neglect</w:t>
      </w:r>
      <w:r>
        <w:rPr>
          <w:rFonts w:cstheme="minorHAnsi"/>
        </w:rPr>
        <w:t xml:space="preserve"> (NDACAN). </w:t>
      </w:r>
      <w:bookmarkStart w:name="_Hlk36531507" w:id="9"/>
      <w:r w:rsidR="00347880">
        <w:rPr>
          <w:rFonts w:cstheme="minorHAnsi"/>
        </w:rPr>
        <w:t>Data collected from agency directors</w:t>
      </w:r>
      <w:r>
        <w:rPr>
          <w:rFonts w:cstheme="minorHAnsi"/>
        </w:rPr>
        <w:t xml:space="preserve"> </w:t>
      </w:r>
      <w:r w:rsidR="00347880">
        <w:rPr>
          <w:rFonts w:cstheme="minorHAnsi"/>
        </w:rPr>
        <w:t xml:space="preserve">will be merged with other agency-level contextual information available in NCANDS and AFCARS. Data from all workforce surveys will be analyzed in order to address the research questions provided in Section A2.  Planned dissemination products include reports, research briefs, 1-page data spotlights, webinars, and conference presentations.  </w:t>
      </w:r>
    </w:p>
    <w:p w:rsidR="003E22B1" w:rsidP="001D1C73" w:rsidRDefault="00CC3C7B" w14:paraId="6CCEA05D" w14:textId="66B87B1C">
      <w:pPr>
        <w:spacing w:after="120" w:line="240" w:lineRule="auto"/>
        <w:rPr>
          <w:rFonts w:cstheme="minorHAnsi"/>
        </w:rPr>
      </w:pPr>
      <w:r>
        <w:rPr>
          <w:rFonts w:cstheme="minorHAnsi"/>
        </w:rPr>
        <w:t xml:space="preserve">Remaining Phase II activities include baseline and 18-month follow-up surveys with children, caregivers, and caseworkers.  Phase II baseline </w:t>
      </w:r>
      <w:r w:rsidR="007C2AB0">
        <w:rPr>
          <w:rFonts w:cstheme="minorHAnsi"/>
        </w:rPr>
        <w:t xml:space="preserve">and 18-month follow-up </w:t>
      </w:r>
      <w:r>
        <w:rPr>
          <w:rFonts w:cstheme="minorHAnsi"/>
        </w:rPr>
        <w:t xml:space="preserve">data collection is scheduled to be completed in </w:t>
      </w:r>
      <w:proofErr w:type="gramStart"/>
      <w:r w:rsidR="00F00E8A">
        <w:rPr>
          <w:rFonts w:cstheme="minorHAnsi"/>
        </w:rPr>
        <w:t xml:space="preserve">November </w:t>
      </w:r>
      <w:r>
        <w:rPr>
          <w:rFonts w:cstheme="minorHAnsi"/>
        </w:rPr>
        <w:t xml:space="preserve"> 2021</w:t>
      </w:r>
      <w:proofErr w:type="gramEnd"/>
      <w:r w:rsidR="007C2AB0">
        <w:rPr>
          <w:rFonts w:cstheme="minorHAnsi"/>
        </w:rPr>
        <w:t xml:space="preserve"> and </w:t>
      </w:r>
      <w:r w:rsidR="00F00E8A">
        <w:rPr>
          <w:rFonts w:cstheme="minorHAnsi"/>
        </w:rPr>
        <w:t xml:space="preserve">July </w:t>
      </w:r>
      <w:r>
        <w:rPr>
          <w:rFonts w:cstheme="minorHAnsi"/>
        </w:rPr>
        <w:t xml:space="preserve"> 2023</w:t>
      </w:r>
      <w:r w:rsidR="007C2AB0">
        <w:rPr>
          <w:rFonts w:cstheme="minorHAnsi"/>
        </w:rPr>
        <w:t>, respectively</w:t>
      </w:r>
      <w:r>
        <w:rPr>
          <w:rFonts w:cstheme="minorHAnsi"/>
        </w:rPr>
        <w:t>.</w:t>
      </w:r>
      <w:bookmarkEnd w:id="9"/>
      <w:r>
        <w:rPr>
          <w:rFonts w:cstheme="minorHAnsi"/>
        </w:rPr>
        <w:t xml:space="preserve">  </w:t>
      </w:r>
      <w:r w:rsidR="003E22B1">
        <w:rPr>
          <w:rFonts w:cstheme="minorHAnsi"/>
        </w:rPr>
        <w:t xml:space="preserve">The timeline </w:t>
      </w:r>
      <w:r w:rsidR="001C1D11">
        <w:rPr>
          <w:rFonts w:cstheme="minorHAnsi"/>
        </w:rPr>
        <w:t xml:space="preserve">for the </w:t>
      </w:r>
      <w:r>
        <w:rPr>
          <w:rFonts w:cstheme="minorHAnsi"/>
        </w:rPr>
        <w:t xml:space="preserve">current request for </w:t>
      </w:r>
      <w:r w:rsidR="001C1D11">
        <w:rPr>
          <w:rFonts w:cstheme="minorHAnsi"/>
        </w:rPr>
        <w:t xml:space="preserve">workforce survey data collection is </w:t>
      </w:r>
      <w:r w:rsidR="00E179CF">
        <w:rPr>
          <w:rFonts w:cstheme="minorHAnsi"/>
        </w:rPr>
        <w:t xml:space="preserve">as follows: </w:t>
      </w:r>
      <w:r w:rsidR="001C1D11">
        <w:rPr>
          <w:rFonts w:cstheme="minorHAnsi"/>
        </w:rPr>
        <w:t xml:space="preserve"> </w:t>
      </w:r>
    </w:p>
    <w:p w:rsidRPr="009139B3" w:rsidR="001C1D11" w:rsidP="001D1C73" w:rsidRDefault="001C1D11" w14:paraId="021EE544" w14:textId="77777777">
      <w:pPr>
        <w:spacing w:after="120" w:line="240" w:lineRule="auto"/>
        <w:rPr>
          <w:rFonts w:cstheme="minorHAnsi"/>
        </w:rPr>
      </w:pPr>
    </w:p>
    <w:tbl>
      <w:tblPr>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86" w:type="dxa"/>
          <w:right w:w="86" w:type="dxa"/>
        </w:tblCellMar>
        <w:tblLook w:val="01E0" w:firstRow="1" w:lastRow="1" w:firstColumn="1" w:lastColumn="1" w:noHBand="0" w:noVBand="0"/>
      </w:tblPr>
      <w:tblGrid>
        <w:gridCol w:w="5130"/>
        <w:gridCol w:w="4590"/>
      </w:tblGrid>
      <w:tr w:rsidRPr="00A3625B" w:rsidR="00CB5E1B" w:rsidTr="000562C0" w14:paraId="0E276AFC" w14:textId="77777777">
        <w:trPr>
          <w:cantSplit/>
        </w:trPr>
        <w:tc>
          <w:tcPr>
            <w:tcW w:w="5130" w:type="dxa"/>
            <w:shd w:val="clear" w:color="auto" w:fill="002060"/>
            <w:vAlign w:val="center"/>
          </w:tcPr>
          <w:p w:rsidRPr="00A3625B" w:rsidR="00CB5E1B" w:rsidP="00FD77B6" w:rsidRDefault="00CB5E1B" w14:paraId="5AA92CD6" w14:textId="2201C202">
            <w:pPr>
              <w:keepNext/>
              <w:spacing w:after="0"/>
              <w:jc w:val="center"/>
              <w:rPr>
                <w:rFonts w:cstheme="minorHAnsi"/>
                <w:b/>
                <w:bCs/>
                <w:sz w:val="20"/>
                <w:szCs w:val="20"/>
              </w:rPr>
            </w:pPr>
            <w:r w:rsidRPr="00A3625B">
              <w:rPr>
                <w:rFonts w:cstheme="minorHAnsi"/>
                <w:b/>
                <w:bCs/>
                <w:sz w:val="20"/>
                <w:szCs w:val="20"/>
              </w:rPr>
              <w:lastRenderedPageBreak/>
              <w:t>Activity</w:t>
            </w:r>
            <w:r w:rsidR="00E252DD">
              <w:rPr>
                <w:rFonts w:cstheme="minorHAnsi"/>
                <w:b/>
                <w:bCs/>
                <w:sz w:val="20"/>
                <w:szCs w:val="20"/>
              </w:rPr>
              <w:t xml:space="preserve"> for Current Information Collection Request</w:t>
            </w:r>
          </w:p>
        </w:tc>
        <w:tc>
          <w:tcPr>
            <w:tcW w:w="4590" w:type="dxa"/>
            <w:shd w:val="clear" w:color="auto" w:fill="002060"/>
            <w:vAlign w:val="center"/>
          </w:tcPr>
          <w:p w:rsidRPr="00A3625B" w:rsidR="00CB5E1B" w:rsidP="00FD77B6" w:rsidRDefault="00CB5E1B" w14:paraId="2729EAF4" w14:textId="4BA58C29">
            <w:pPr>
              <w:keepNext/>
              <w:spacing w:after="0"/>
              <w:jc w:val="center"/>
              <w:rPr>
                <w:rFonts w:cstheme="minorHAnsi"/>
                <w:b/>
                <w:bCs/>
                <w:sz w:val="20"/>
                <w:szCs w:val="20"/>
              </w:rPr>
            </w:pPr>
            <w:r w:rsidRPr="00A3625B">
              <w:rPr>
                <w:rFonts w:cstheme="minorHAnsi"/>
                <w:b/>
                <w:bCs/>
                <w:sz w:val="20"/>
                <w:szCs w:val="20"/>
              </w:rPr>
              <w:t>Time Schedule</w:t>
            </w:r>
          </w:p>
        </w:tc>
      </w:tr>
      <w:tr w:rsidRPr="00A3625B" w:rsidR="00CB5E1B" w:rsidTr="007F33A9" w14:paraId="551D2DF2" w14:textId="77777777">
        <w:trPr>
          <w:cantSplit/>
        </w:trPr>
        <w:tc>
          <w:tcPr>
            <w:tcW w:w="5130" w:type="dxa"/>
            <w:shd w:val="clear" w:color="auto" w:fill="FFFFFF" w:themeFill="background1"/>
            <w:vAlign w:val="center"/>
          </w:tcPr>
          <w:p w:rsidRPr="00A3625B" w:rsidR="00CB5E1B" w:rsidP="00FD77B6" w:rsidRDefault="00CB5E1B" w14:paraId="193FFEF2" w14:textId="0007A7E9">
            <w:pPr>
              <w:keepNext/>
              <w:spacing w:after="0"/>
              <w:rPr>
                <w:rFonts w:cstheme="minorHAnsi"/>
                <w:sz w:val="20"/>
                <w:szCs w:val="20"/>
              </w:rPr>
            </w:pPr>
          </w:p>
        </w:tc>
        <w:tc>
          <w:tcPr>
            <w:tcW w:w="4590" w:type="dxa"/>
            <w:shd w:val="clear" w:color="auto" w:fill="FFFFFF" w:themeFill="background1"/>
            <w:vAlign w:val="center"/>
          </w:tcPr>
          <w:p w:rsidRPr="00A3625B" w:rsidR="00CB5E1B" w:rsidP="00FD77B6" w:rsidRDefault="00CB5E1B" w14:paraId="472442A2" w14:textId="540A85D2">
            <w:pPr>
              <w:keepNext/>
              <w:spacing w:after="0"/>
              <w:rPr>
                <w:rFonts w:cstheme="minorHAnsi"/>
                <w:sz w:val="20"/>
                <w:szCs w:val="20"/>
              </w:rPr>
            </w:pPr>
          </w:p>
        </w:tc>
      </w:tr>
      <w:tr w:rsidRPr="00A3625B" w:rsidR="00CB5E1B" w:rsidTr="007F33A9" w14:paraId="58188D2B" w14:textId="77777777">
        <w:trPr>
          <w:cantSplit/>
        </w:trPr>
        <w:tc>
          <w:tcPr>
            <w:tcW w:w="5130" w:type="dxa"/>
            <w:shd w:val="clear" w:color="auto" w:fill="FFFFFF" w:themeFill="background1"/>
            <w:vAlign w:val="center"/>
          </w:tcPr>
          <w:p w:rsidRPr="00A3625B" w:rsidR="00CB5E1B" w:rsidP="00FD77B6" w:rsidRDefault="00CB5E1B" w14:paraId="5B7888BC" w14:textId="7D7E016B">
            <w:pPr>
              <w:keepNext/>
              <w:spacing w:after="0"/>
              <w:rPr>
                <w:rFonts w:cstheme="minorHAnsi"/>
                <w:sz w:val="20"/>
                <w:szCs w:val="20"/>
              </w:rPr>
            </w:pPr>
            <w:r w:rsidRPr="00A3625B">
              <w:rPr>
                <w:rFonts w:cstheme="minorHAnsi"/>
                <w:sz w:val="20"/>
                <w:szCs w:val="20"/>
              </w:rPr>
              <w:t xml:space="preserve">Collect data </w:t>
            </w:r>
          </w:p>
        </w:tc>
        <w:tc>
          <w:tcPr>
            <w:tcW w:w="4590" w:type="dxa"/>
            <w:shd w:val="clear" w:color="auto" w:fill="FFFFFF" w:themeFill="background1"/>
            <w:vAlign w:val="center"/>
          </w:tcPr>
          <w:p w:rsidRPr="00A3625B" w:rsidR="00CB5E1B" w:rsidP="00FD77B6" w:rsidRDefault="007019CF" w14:paraId="3A227CBF" w14:textId="09A59C58">
            <w:pPr>
              <w:keepNext/>
              <w:spacing w:after="0"/>
              <w:rPr>
                <w:rFonts w:cstheme="minorHAnsi"/>
                <w:sz w:val="20"/>
                <w:szCs w:val="20"/>
              </w:rPr>
            </w:pPr>
            <w:r>
              <w:rPr>
                <w:rFonts w:cstheme="minorHAnsi"/>
                <w:sz w:val="20"/>
                <w:szCs w:val="20"/>
              </w:rPr>
              <w:t>18 months</w:t>
            </w:r>
          </w:p>
        </w:tc>
      </w:tr>
      <w:tr w:rsidRPr="00A3625B" w:rsidR="00CB5E1B" w:rsidTr="007F33A9" w14:paraId="1B245B3B" w14:textId="77777777">
        <w:trPr>
          <w:cantSplit/>
        </w:trPr>
        <w:tc>
          <w:tcPr>
            <w:tcW w:w="5130" w:type="dxa"/>
            <w:shd w:val="clear" w:color="auto" w:fill="FFFFFF" w:themeFill="background1"/>
            <w:vAlign w:val="center"/>
          </w:tcPr>
          <w:p w:rsidRPr="00A3625B" w:rsidR="00CB5E1B" w:rsidP="00FD77B6" w:rsidRDefault="00CB5E1B" w14:paraId="40EC8609" w14:textId="77777777">
            <w:pPr>
              <w:spacing w:after="0"/>
              <w:rPr>
                <w:rFonts w:cstheme="minorHAnsi"/>
                <w:sz w:val="20"/>
                <w:szCs w:val="20"/>
              </w:rPr>
            </w:pPr>
            <w:r w:rsidRPr="00A3625B">
              <w:rPr>
                <w:rFonts w:cstheme="minorHAnsi"/>
                <w:sz w:val="20"/>
                <w:szCs w:val="20"/>
              </w:rPr>
              <w:t xml:space="preserve">Clean and analyze data </w:t>
            </w:r>
          </w:p>
        </w:tc>
        <w:tc>
          <w:tcPr>
            <w:tcW w:w="4590" w:type="dxa"/>
            <w:shd w:val="clear" w:color="auto" w:fill="FFFFFF" w:themeFill="background1"/>
            <w:vAlign w:val="center"/>
          </w:tcPr>
          <w:p w:rsidRPr="00A3625B" w:rsidR="00CB5E1B" w:rsidP="00FD77B6" w:rsidRDefault="007019CF" w14:paraId="4CDED1D3" w14:textId="316B9E35">
            <w:pPr>
              <w:spacing w:after="0"/>
              <w:rPr>
                <w:rFonts w:cstheme="minorHAnsi"/>
                <w:sz w:val="20"/>
                <w:szCs w:val="20"/>
              </w:rPr>
            </w:pPr>
            <w:r>
              <w:rPr>
                <w:rFonts w:cstheme="minorHAnsi"/>
                <w:sz w:val="20"/>
                <w:szCs w:val="20"/>
              </w:rPr>
              <w:t>About 6 months after data collection is complete</w:t>
            </w:r>
          </w:p>
        </w:tc>
      </w:tr>
      <w:tr w:rsidRPr="00A3625B" w:rsidR="00CB5E1B" w:rsidTr="007F33A9" w14:paraId="1830BB49" w14:textId="77777777">
        <w:trPr>
          <w:cantSplit/>
        </w:trPr>
        <w:tc>
          <w:tcPr>
            <w:tcW w:w="5130" w:type="dxa"/>
            <w:shd w:val="clear" w:color="auto" w:fill="FFFFFF" w:themeFill="background1"/>
            <w:vAlign w:val="center"/>
          </w:tcPr>
          <w:p w:rsidRPr="00A3625B" w:rsidR="00CB5E1B" w:rsidP="00FD77B6" w:rsidRDefault="00CB5E1B" w14:paraId="5CCC9629" w14:textId="3865071E">
            <w:pPr>
              <w:spacing w:after="0"/>
              <w:rPr>
                <w:rFonts w:cstheme="minorHAnsi"/>
                <w:sz w:val="20"/>
                <w:szCs w:val="20"/>
              </w:rPr>
            </w:pPr>
            <w:r w:rsidRPr="00A3625B">
              <w:rPr>
                <w:rFonts w:cstheme="minorHAnsi"/>
                <w:sz w:val="20"/>
                <w:szCs w:val="20"/>
              </w:rPr>
              <w:t>Disseminate findings, including</w:t>
            </w:r>
            <w:r w:rsidRPr="00A3625B" w:rsidR="00B828E3">
              <w:rPr>
                <w:rFonts w:cstheme="minorHAnsi"/>
                <w:sz w:val="20"/>
                <w:szCs w:val="20"/>
              </w:rPr>
              <w:t xml:space="preserve"> </w:t>
            </w:r>
            <w:r w:rsidRPr="00A3625B">
              <w:rPr>
                <w:rFonts w:cstheme="minorHAnsi"/>
                <w:iCs/>
                <w:sz w:val="20"/>
                <w:szCs w:val="20"/>
              </w:rPr>
              <w:t>reports</w:t>
            </w:r>
            <w:r w:rsidRPr="00A3625B" w:rsidR="00B828E3">
              <w:rPr>
                <w:rFonts w:cstheme="minorHAnsi"/>
                <w:iCs/>
                <w:sz w:val="20"/>
                <w:szCs w:val="20"/>
              </w:rPr>
              <w:t xml:space="preserve"> and research </w:t>
            </w:r>
            <w:r w:rsidRPr="00A3625B">
              <w:rPr>
                <w:rFonts w:cstheme="minorHAnsi"/>
                <w:iCs/>
                <w:sz w:val="20"/>
                <w:szCs w:val="20"/>
              </w:rPr>
              <w:t>briefs</w:t>
            </w:r>
          </w:p>
        </w:tc>
        <w:tc>
          <w:tcPr>
            <w:tcW w:w="4590" w:type="dxa"/>
            <w:shd w:val="clear" w:color="auto" w:fill="FFFFFF" w:themeFill="background1"/>
            <w:vAlign w:val="center"/>
          </w:tcPr>
          <w:p w:rsidRPr="00A3625B" w:rsidR="00CB5E1B" w:rsidP="00FD77B6" w:rsidRDefault="007019CF" w14:paraId="2FA997C9" w14:textId="30E10476">
            <w:pPr>
              <w:spacing w:after="0"/>
              <w:rPr>
                <w:rFonts w:cstheme="minorHAnsi"/>
                <w:sz w:val="20"/>
                <w:szCs w:val="20"/>
              </w:rPr>
            </w:pPr>
            <w:r>
              <w:rPr>
                <w:rFonts w:cstheme="minorHAnsi"/>
                <w:sz w:val="20"/>
                <w:szCs w:val="20"/>
              </w:rPr>
              <w:t>About 12 months after data collection is complete</w:t>
            </w:r>
          </w:p>
        </w:tc>
      </w:tr>
    </w:tbl>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A005B2" w:rsidR="00A005B2" w:rsidP="00A005B2" w:rsidRDefault="00A005B2" w14:paraId="5883FE8F" w14:textId="41F3FA6E">
      <w:pPr>
        <w:pStyle w:val="Heading1"/>
        <w:rPr>
          <w:rFonts w:asciiTheme="minorHAnsi" w:hAnsiTheme="minorHAnsi" w:cstheme="minorHAnsi"/>
          <w:b/>
          <w:bCs/>
          <w:sz w:val="22"/>
          <w:szCs w:val="22"/>
        </w:rPr>
      </w:pPr>
      <w:bookmarkStart w:name="_Hlk59526828" w:id="10"/>
      <w:r w:rsidRPr="00A005B2">
        <w:rPr>
          <w:rFonts w:asciiTheme="minorHAnsi" w:hAnsiTheme="minorHAnsi" w:cstheme="minorHAnsi"/>
          <w:b/>
          <w:bCs/>
          <w:sz w:val="22"/>
          <w:szCs w:val="22"/>
        </w:rPr>
        <w:t xml:space="preserve">Attachments: Added </w:t>
      </w:r>
      <w:r w:rsidR="005B47E7">
        <w:rPr>
          <w:rFonts w:asciiTheme="minorHAnsi" w:hAnsiTheme="minorHAnsi" w:cstheme="minorHAnsi"/>
          <w:b/>
          <w:bCs/>
          <w:sz w:val="22"/>
          <w:szCs w:val="22"/>
        </w:rPr>
        <w:t>January 2021</w:t>
      </w:r>
    </w:p>
    <w:p w:rsidRPr="00A005B2" w:rsidR="00A005B2" w:rsidP="00A005B2" w:rsidRDefault="00A005B2" w14:paraId="5AC99C66" w14:textId="77777777">
      <w:pPr>
        <w:spacing w:after="120" w:line="240" w:lineRule="auto"/>
        <w:rPr>
          <w:rFonts w:cstheme="minorHAnsi"/>
        </w:rPr>
      </w:pPr>
      <w:r w:rsidRPr="00A005B2">
        <w:rPr>
          <w:rFonts w:cstheme="minorHAnsi"/>
        </w:rPr>
        <w:t>Appendix F-1: Adolescent Fact Sheet</w:t>
      </w:r>
    </w:p>
    <w:p w:rsidRPr="00A005B2" w:rsidR="00A005B2" w:rsidP="00A005B2" w:rsidRDefault="00A005B2" w14:paraId="0381D6D7" w14:textId="77777777">
      <w:pPr>
        <w:spacing w:after="120" w:line="240" w:lineRule="auto"/>
        <w:rPr>
          <w:rFonts w:cstheme="minorHAnsi"/>
        </w:rPr>
      </w:pPr>
      <w:r w:rsidRPr="00A005B2">
        <w:rPr>
          <w:rFonts w:cstheme="minorHAnsi"/>
        </w:rPr>
        <w:t xml:space="preserve">Appendix G-1: Caseworker Telephone Mode Consent Form </w:t>
      </w:r>
    </w:p>
    <w:p w:rsidR="00A005B2" w:rsidP="00A005B2" w:rsidRDefault="00A005B2" w14:paraId="05DDEE44" w14:textId="77777777">
      <w:pPr>
        <w:tabs>
          <w:tab w:val="left" w:pos="3600"/>
        </w:tabs>
        <w:spacing w:after="120" w:line="240" w:lineRule="auto"/>
        <w:rPr>
          <w:rFonts w:cstheme="minorHAnsi"/>
          <w:b/>
        </w:rPr>
      </w:pPr>
    </w:p>
    <w:p w:rsidRPr="00A005B2" w:rsidR="00A005B2" w:rsidP="00A005B2" w:rsidRDefault="00A005B2" w14:paraId="71B16390" w14:textId="021DCEF4">
      <w:pPr>
        <w:tabs>
          <w:tab w:val="left" w:pos="3600"/>
        </w:tabs>
        <w:spacing w:after="120" w:line="240" w:lineRule="auto"/>
        <w:rPr>
          <w:rFonts w:cstheme="minorHAnsi"/>
          <w:b/>
        </w:rPr>
      </w:pPr>
      <w:r w:rsidRPr="00A005B2">
        <w:rPr>
          <w:rFonts w:cstheme="minorHAnsi"/>
          <w:b/>
        </w:rPr>
        <w:t xml:space="preserve">Previously Approved Attachments: Modified </w:t>
      </w:r>
      <w:r w:rsidR="005B47E7">
        <w:rPr>
          <w:rFonts w:cstheme="minorHAnsi"/>
          <w:b/>
        </w:rPr>
        <w:t>January 2021</w:t>
      </w:r>
    </w:p>
    <w:p w:rsidRPr="00A005B2" w:rsidR="00A005B2" w:rsidP="00A005B2" w:rsidRDefault="00A005B2" w14:paraId="3D4587EB" w14:textId="77777777">
      <w:pPr>
        <w:spacing w:after="120" w:line="240" w:lineRule="auto"/>
        <w:rPr>
          <w:rFonts w:cstheme="minorHAnsi"/>
        </w:rPr>
      </w:pPr>
      <w:r w:rsidRPr="00A005B2">
        <w:rPr>
          <w:rFonts w:cstheme="minorHAnsi"/>
        </w:rPr>
        <w:t>Appendix B: NSCAW III Child Interview</w:t>
      </w:r>
    </w:p>
    <w:p w:rsidRPr="00A005B2" w:rsidR="00A005B2" w:rsidP="00A005B2" w:rsidRDefault="00A005B2" w14:paraId="2F7C1EE9" w14:textId="77777777">
      <w:pPr>
        <w:spacing w:after="120" w:line="240" w:lineRule="auto"/>
        <w:rPr>
          <w:rFonts w:cstheme="minorHAnsi"/>
        </w:rPr>
      </w:pPr>
      <w:r w:rsidRPr="00A005B2">
        <w:rPr>
          <w:rFonts w:cstheme="minorHAnsi"/>
        </w:rPr>
        <w:t>Appendix C: NSCAW III Caregiver Interview</w:t>
      </w:r>
    </w:p>
    <w:p w:rsidR="00A005B2" w:rsidP="00A005B2" w:rsidRDefault="00A005B2" w14:paraId="47BA90A2" w14:textId="77777777">
      <w:pPr>
        <w:spacing w:after="120" w:line="240" w:lineRule="auto"/>
      </w:pPr>
      <w:r>
        <w:t xml:space="preserve">Appendix D: NSCAW III Caseworker Interview </w:t>
      </w:r>
    </w:p>
    <w:p w:rsidR="00A005B2" w:rsidP="00A005B2" w:rsidRDefault="00A005B2" w14:paraId="5B4B7556" w14:textId="77777777">
      <w:pPr>
        <w:spacing w:after="120" w:line="240" w:lineRule="auto"/>
      </w:pPr>
      <w:r>
        <w:t>Appendix F: Lead Letters and Fact Sheets</w:t>
      </w:r>
    </w:p>
    <w:p w:rsidR="00A005B2" w:rsidP="00A005B2" w:rsidRDefault="00A005B2" w14:paraId="78E13FF4" w14:textId="77777777">
      <w:pPr>
        <w:spacing w:after="120" w:line="240" w:lineRule="auto"/>
      </w:pPr>
      <w:r>
        <w:t xml:space="preserve">Appendix G: Consent and Assent Forms </w:t>
      </w:r>
    </w:p>
    <w:p w:rsidR="00A005B2" w:rsidP="00A005B2" w:rsidRDefault="00A005B2" w14:paraId="745F5A11" w14:textId="77777777">
      <w:pPr>
        <w:spacing w:after="120" w:line="240" w:lineRule="auto"/>
      </w:pPr>
      <w:r>
        <w:t xml:space="preserve">Appendix H: Data Linkage Forms </w:t>
      </w:r>
    </w:p>
    <w:p w:rsidR="00A005B2" w:rsidP="00A005B2" w:rsidRDefault="00A005B2" w14:paraId="090F23B5" w14:textId="77777777">
      <w:pPr>
        <w:spacing w:after="120" w:line="240" w:lineRule="auto"/>
      </w:pPr>
      <w:r>
        <w:t>Appendix I: HIPAA Authorization Forms</w:t>
      </w:r>
    </w:p>
    <w:p w:rsidR="00A005B2" w:rsidP="00A005B2" w:rsidRDefault="00A005B2" w14:paraId="5DB3EE12" w14:textId="77777777">
      <w:pPr>
        <w:spacing w:after="120" w:line="240" w:lineRule="auto"/>
        <w:rPr>
          <w:b/>
          <w:bCs/>
        </w:rPr>
      </w:pPr>
    </w:p>
    <w:p w:rsidRPr="00610A58" w:rsidR="00A005B2" w:rsidP="00A005B2" w:rsidRDefault="00A005B2" w14:paraId="3A4F1D33" w14:textId="2E0A56E2">
      <w:pPr>
        <w:spacing w:after="120" w:line="240" w:lineRule="auto"/>
        <w:rPr>
          <w:b/>
          <w:bCs/>
        </w:rPr>
      </w:pPr>
      <w:r w:rsidRPr="00610A58">
        <w:rPr>
          <w:b/>
          <w:bCs/>
        </w:rPr>
        <w:t xml:space="preserve">Previously Approved Attachments </w:t>
      </w:r>
    </w:p>
    <w:p w:rsidR="00A005B2" w:rsidP="00A005B2" w:rsidRDefault="00A005B2" w14:paraId="082013BC" w14:textId="42F8A56F">
      <w:pPr>
        <w:spacing w:after="120" w:line="240" w:lineRule="auto"/>
      </w:pPr>
      <w:r>
        <w:t xml:space="preserve">Appendix A: NSCAW III Summary of Interviews </w:t>
      </w:r>
    </w:p>
    <w:p w:rsidR="00A005B2" w:rsidP="00A005B2" w:rsidRDefault="00A005B2" w14:paraId="171097DF" w14:textId="422C39AE">
      <w:pPr>
        <w:tabs>
          <w:tab w:val="left" w:pos="3600"/>
        </w:tabs>
        <w:spacing w:after="120" w:line="240" w:lineRule="auto"/>
        <w:rPr>
          <w:bCs/>
        </w:rPr>
      </w:pPr>
      <w:r>
        <w:rPr>
          <w:bCs/>
        </w:rPr>
        <w:t xml:space="preserve">Workforce ICR </w:t>
      </w:r>
      <w:r w:rsidRPr="00D97243">
        <w:rPr>
          <w:bCs/>
        </w:rPr>
        <w:t xml:space="preserve">Appendix A: </w:t>
      </w:r>
      <w:r>
        <w:rPr>
          <w:bCs/>
        </w:rPr>
        <w:t xml:space="preserve">NSCAW III Phase II Research Questions </w:t>
      </w:r>
    </w:p>
    <w:p w:rsidR="00C25292" w:rsidP="00C25292" w:rsidRDefault="008329CD" w14:paraId="2AEC359A" w14:textId="107CF378">
      <w:pPr>
        <w:tabs>
          <w:tab w:val="left" w:pos="3600"/>
        </w:tabs>
        <w:spacing w:after="120" w:line="240" w:lineRule="auto"/>
        <w:rPr>
          <w:bCs/>
        </w:rPr>
      </w:pPr>
      <w:bookmarkStart w:name="_Hlk18479254" w:id="11"/>
      <w:bookmarkStart w:name="_Hlk36223491" w:id="12"/>
      <w:r>
        <w:rPr>
          <w:bCs/>
        </w:rPr>
        <w:t xml:space="preserve">Workforce ICR </w:t>
      </w:r>
      <w:r w:rsidR="00FD4291">
        <w:rPr>
          <w:bCs/>
        </w:rPr>
        <w:t xml:space="preserve">Appendix B: </w:t>
      </w:r>
      <w:r w:rsidRPr="00D97243" w:rsidR="00C25292">
        <w:rPr>
          <w:bCs/>
        </w:rPr>
        <w:t xml:space="preserve">60-Day Federal Register Notice </w:t>
      </w:r>
    </w:p>
    <w:p w:rsidR="00B51D55" w:rsidP="00C25292" w:rsidRDefault="00A005B2" w14:paraId="0B4985CE" w14:textId="7E0DC28A">
      <w:pPr>
        <w:tabs>
          <w:tab w:val="left" w:pos="3600"/>
        </w:tabs>
        <w:spacing w:after="120" w:line="240" w:lineRule="auto"/>
        <w:rPr>
          <w:bCs/>
        </w:rPr>
      </w:pPr>
      <w:r>
        <w:rPr>
          <w:bCs/>
        </w:rPr>
        <w:t xml:space="preserve">Workforce ICR </w:t>
      </w:r>
      <w:r w:rsidR="00B51D55">
        <w:rPr>
          <w:bCs/>
        </w:rPr>
        <w:t>Appendix C: NSCAW III Phase I-II Site Selection and Sampling</w:t>
      </w:r>
    </w:p>
    <w:p w:rsidR="00C25292" w:rsidP="00C25292" w:rsidRDefault="00A005B2" w14:paraId="42D117A2" w14:textId="72BB85B0">
      <w:pPr>
        <w:spacing w:after="120" w:line="240" w:lineRule="auto"/>
        <w:rPr>
          <w:rFonts w:ascii="Calibri" w:hAnsi="Calibri" w:cs="Calibri"/>
          <w:bCs/>
        </w:rPr>
      </w:pPr>
      <w:r>
        <w:rPr>
          <w:bCs/>
        </w:rPr>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D</w:t>
      </w:r>
      <w:r w:rsidRPr="00163A09" w:rsidR="00C25292">
        <w:rPr>
          <w:rFonts w:ascii="Calibri" w:hAnsi="Calibri" w:cs="Calibri"/>
          <w:bCs/>
        </w:rPr>
        <w:t xml:space="preserve">: </w:t>
      </w:r>
      <w:r w:rsidR="00C25292">
        <w:rPr>
          <w:rFonts w:ascii="Calibri" w:hAnsi="Calibri" w:cs="Calibri"/>
          <w:bCs/>
        </w:rPr>
        <w:t>Research Questions and Constructs by Respondent Type</w:t>
      </w:r>
    </w:p>
    <w:p w:rsidR="00C25292" w:rsidP="00C25292" w:rsidRDefault="00C25292" w14:paraId="6A846EA7" w14:textId="77777777">
      <w:pPr>
        <w:tabs>
          <w:tab w:val="left" w:pos="3600"/>
        </w:tabs>
        <w:spacing w:after="120" w:line="240" w:lineRule="auto"/>
        <w:rPr>
          <w:bCs/>
        </w:rPr>
      </w:pPr>
      <w:bookmarkStart w:name="_Hlk19258093" w:id="13"/>
      <w:bookmarkStart w:name="_Hlk19259029" w:id="14"/>
      <w:r w:rsidRPr="00D97243">
        <w:rPr>
          <w:bCs/>
        </w:rPr>
        <w:t xml:space="preserve">Instrument 1: </w:t>
      </w:r>
      <w:r>
        <w:rPr>
          <w:bCs/>
        </w:rPr>
        <w:t xml:space="preserve">Agency Director Survey </w:t>
      </w:r>
    </w:p>
    <w:p w:rsidR="00C25292" w:rsidP="00C25292" w:rsidRDefault="00C25292" w14:paraId="7595DD79" w14:textId="77777777">
      <w:pPr>
        <w:tabs>
          <w:tab w:val="left" w:pos="3600"/>
        </w:tabs>
        <w:spacing w:after="120" w:line="240" w:lineRule="auto"/>
        <w:rPr>
          <w:bCs/>
        </w:rPr>
      </w:pPr>
      <w:r w:rsidRPr="00D97243">
        <w:rPr>
          <w:bCs/>
        </w:rPr>
        <w:t xml:space="preserve">Instrument </w:t>
      </w:r>
      <w:r>
        <w:rPr>
          <w:bCs/>
        </w:rPr>
        <w:t>2</w:t>
      </w:r>
      <w:r w:rsidRPr="00D97243">
        <w:rPr>
          <w:bCs/>
        </w:rPr>
        <w:t xml:space="preserve">: </w:t>
      </w:r>
      <w:r>
        <w:rPr>
          <w:bCs/>
        </w:rPr>
        <w:t xml:space="preserve">Supervisor Survey </w:t>
      </w:r>
    </w:p>
    <w:p w:rsidR="00C25292" w:rsidP="00C25292" w:rsidRDefault="00C25292" w14:paraId="115E5EE0" w14:textId="77777777">
      <w:pPr>
        <w:tabs>
          <w:tab w:val="left" w:pos="3600"/>
        </w:tabs>
        <w:spacing w:after="120" w:line="240" w:lineRule="auto"/>
        <w:rPr>
          <w:bCs/>
        </w:rPr>
      </w:pPr>
      <w:r w:rsidRPr="00D97243">
        <w:rPr>
          <w:bCs/>
        </w:rPr>
        <w:t xml:space="preserve">Instrument </w:t>
      </w:r>
      <w:r>
        <w:rPr>
          <w:bCs/>
        </w:rPr>
        <w:t>3</w:t>
      </w:r>
      <w:r w:rsidRPr="00D97243">
        <w:rPr>
          <w:bCs/>
        </w:rPr>
        <w:t xml:space="preserve">: </w:t>
      </w:r>
      <w:r>
        <w:rPr>
          <w:bCs/>
        </w:rPr>
        <w:t xml:space="preserve">Caseworker Survey </w:t>
      </w:r>
    </w:p>
    <w:p w:rsidRPr="00163A09" w:rsidR="00C25292" w:rsidP="00C25292" w:rsidRDefault="008329CD" w14:paraId="6C6A6AD9" w14:textId="5C7D5D01">
      <w:pPr>
        <w:spacing w:after="120" w:line="240" w:lineRule="auto"/>
        <w:rPr>
          <w:b/>
        </w:rPr>
      </w:pPr>
      <w:r>
        <w:rPr>
          <w:bCs/>
        </w:rPr>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E</w:t>
      </w:r>
      <w:r w:rsidRPr="00163A09" w:rsidR="00C25292">
        <w:rPr>
          <w:rFonts w:ascii="Calibri" w:hAnsi="Calibri" w:cs="Calibri"/>
          <w:bCs/>
        </w:rPr>
        <w:t xml:space="preserve"> </w:t>
      </w:r>
      <w:r w:rsidR="00C25292">
        <w:rPr>
          <w:rFonts w:ascii="Calibri" w:hAnsi="Calibri" w:cs="Calibri"/>
          <w:bCs/>
        </w:rPr>
        <w:t xml:space="preserve">Agency Director </w:t>
      </w:r>
      <w:r w:rsidRPr="00163A09" w:rsidR="00C25292">
        <w:rPr>
          <w:bCs/>
        </w:rPr>
        <w:t xml:space="preserve">Lead Letter </w:t>
      </w:r>
    </w:p>
    <w:p w:rsidRPr="00163A09" w:rsidR="00C25292" w:rsidP="00C25292" w:rsidRDefault="008329CD" w14:paraId="4991FEDE" w14:textId="72ED98C8">
      <w:pPr>
        <w:spacing w:after="120" w:line="240" w:lineRule="auto"/>
        <w:rPr>
          <w:bCs/>
        </w:rPr>
      </w:pPr>
      <w:bookmarkStart w:name="_Hlk19258124" w:id="15"/>
      <w:bookmarkEnd w:id="13"/>
      <w:r>
        <w:rPr>
          <w:bCs/>
        </w:rPr>
        <w:t xml:space="preserve">Workforce ICR </w:t>
      </w:r>
      <w:r w:rsidRPr="00163A09" w:rsidR="00C25292">
        <w:rPr>
          <w:bCs/>
        </w:rPr>
        <w:t>Appendix</w:t>
      </w:r>
      <w:r w:rsidR="00C25292">
        <w:rPr>
          <w:bCs/>
        </w:rPr>
        <w:t xml:space="preserve"> </w:t>
      </w:r>
      <w:r w:rsidR="00B51D55">
        <w:rPr>
          <w:bCs/>
        </w:rPr>
        <w:t>F</w:t>
      </w:r>
      <w:r w:rsidRPr="00163A09" w:rsidR="00C25292">
        <w:rPr>
          <w:bCs/>
        </w:rPr>
        <w:t xml:space="preserve">: </w:t>
      </w:r>
      <w:r w:rsidR="00C25292">
        <w:rPr>
          <w:bCs/>
        </w:rPr>
        <w:t xml:space="preserve">Supervisor Lead Letter </w:t>
      </w:r>
    </w:p>
    <w:p w:rsidR="00C25292" w:rsidP="00C25292" w:rsidRDefault="008329CD" w14:paraId="00EB6431" w14:textId="0EA557BD">
      <w:pPr>
        <w:spacing w:after="120" w:line="240" w:lineRule="auto"/>
        <w:rPr>
          <w:bCs/>
        </w:rPr>
      </w:pPr>
      <w:bookmarkStart w:name="_Hlk19258159" w:id="16"/>
      <w:bookmarkEnd w:id="15"/>
      <w:r>
        <w:rPr>
          <w:bCs/>
        </w:rPr>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G</w:t>
      </w:r>
      <w:r w:rsidRPr="00163A09" w:rsidR="00C25292">
        <w:rPr>
          <w:rFonts w:ascii="Calibri" w:hAnsi="Calibri" w:cs="Calibri"/>
          <w:bCs/>
        </w:rPr>
        <w:t xml:space="preserve">: </w:t>
      </w:r>
      <w:r w:rsidR="00C25292">
        <w:rPr>
          <w:rFonts w:ascii="Calibri" w:hAnsi="Calibri" w:cs="Calibri"/>
          <w:bCs/>
        </w:rPr>
        <w:t xml:space="preserve">Caseworker Lead Letter </w:t>
      </w:r>
    </w:p>
    <w:bookmarkEnd w:id="11"/>
    <w:bookmarkEnd w:id="14"/>
    <w:bookmarkEnd w:id="16"/>
    <w:p w:rsidRPr="00163A09" w:rsidR="00C25292" w:rsidP="00C25292" w:rsidRDefault="008329CD" w14:paraId="616F6199" w14:textId="733ED007">
      <w:pPr>
        <w:spacing w:after="120" w:line="240" w:lineRule="auto"/>
        <w:rPr>
          <w:b/>
        </w:rPr>
      </w:pPr>
      <w:r>
        <w:rPr>
          <w:bCs/>
        </w:rPr>
        <w:lastRenderedPageBreak/>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H</w:t>
      </w:r>
      <w:r w:rsidRPr="00163A09" w:rsidR="00C25292">
        <w:rPr>
          <w:rFonts w:ascii="Calibri" w:hAnsi="Calibri" w:cs="Calibri"/>
          <w:bCs/>
        </w:rPr>
        <w:t xml:space="preserve">: </w:t>
      </w:r>
      <w:r w:rsidR="00C25292">
        <w:rPr>
          <w:rFonts w:ascii="Calibri" w:hAnsi="Calibri" w:cs="Calibri"/>
          <w:bCs/>
        </w:rPr>
        <w:t xml:space="preserve">Agency Director Consent Form </w:t>
      </w:r>
    </w:p>
    <w:p w:rsidRPr="00163A09" w:rsidR="00C25292" w:rsidP="00C25292" w:rsidRDefault="008329CD" w14:paraId="09001476" w14:textId="4298CEAD">
      <w:pPr>
        <w:spacing w:after="120" w:line="240" w:lineRule="auto"/>
        <w:rPr>
          <w:bCs/>
        </w:rPr>
      </w:pPr>
      <w:r>
        <w:rPr>
          <w:bCs/>
        </w:rPr>
        <w:t xml:space="preserve">Workforce ICR </w:t>
      </w:r>
      <w:r w:rsidRPr="00163A09" w:rsidR="00C25292">
        <w:rPr>
          <w:bCs/>
        </w:rPr>
        <w:t>Appendix</w:t>
      </w:r>
      <w:r w:rsidR="00C25292">
        <w:rPr>
          <w:bCs/>
        </w:rPr>
        <w:t xml:space="preserve"> </w:t>
      </w:r>
      <w:r w:rsidR="00B51D55">
        <w:rPr>
          <w:bCs/>
        </w:rPr>
        <w:t>I</w:t>
      </w:r>
      <w:r w:rsidRPr="00163A09" w:rsidR="00C25292">
        <w:rPr>
          <w:bCs/>
        </w:rPr>
        <w:t xml:space="preserve">: </w:t>
      </w:r>
      <w:r w:rsidR="00C25292">
        <w:rPr>
          <w:bCs/>
        </w:rPr>
        <w:t xml:space="preserve">Supervisor </w:t>
      </w:r>
      <w:r w:rsidRPr="00163A09" w:rsidR="00C25292">
        <w:rPr>
          <w:bCs/>
        </w:rPr>
        <w:t xml:space="preserve">Consent Form </w:t>
      </w:r>
    </w:p>
    <w:p w:rsidR="00C25292" w:rsidP="00C25292" w:rsidRDefault="008329CD" w14:paraId="631DA4B1" w14:textId="2BDD06AC">
      <w:pPr>
        <w:spacing w:after="120" w:line="240" w:lineRule="auto"/>
        <w:rPr>
          <w:bCs/>
        </w:rPr>
      </w:pPr>
      <w:r>
        <w:rPr>
          <w:bCs/>
        </w:rPr>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J</w:t>
      </w:r>
      <w:r w:rsidRPr="00163A09" w:rsidR="00C25292">
        <w:rPr>
          <w:rFonts w:ascii="Calibri" w:hAnsi="Calibri" w:cs="Calibri"/>
          <w:bCs/>
        </w:rPr>
        <w:t xml:space="preserve">: </w:t>
      </w:r>
      <w:r w:rsidR="00C25292">
        <w:rPr>
          <w:rFonts w:ascii="Calibri" w:hAnsi="Calibri" w:cs="Calibri"/>
          <w:bCs/>
        </w:rPr>
        <w:t xml:space="preserve">Caseworker Consent Form </w:t>
      </w:r>
    </w:p>
    <w:p w:rsidR="00C25292" w:rsidP="00851C52" w:rsidRDefault="00C25292" w14:paraId="6BE37776" w14:textId="77777777"/>
    <w:bookmarkEnd w:id="12"/>
    <w:bookmarkEnd w:id="10"/>
    <w:p w:rsidR="00A3625B" w:rsidP="00851C52" w:rsidRDefault="00A3625B" w14:paraId="2E6928FD" w14:textId="77777777">
      <w:pPr>
        <w:rPr>
          <w:b/>
          <w:bCs/>
        </w:rPr>
      </w:pPr>
    </w:p>
    <w:p w:rsidR="00A3625B" w:rsidRDefault="00A3625B" w14:paraId="710971E5" w14:textId="77777777">
      <w:pPr>
        <w:rPr>
          <w:b/>
          <w:bCs/>
        </w:rPr>
      </w:pPr>
      <w:r>
        <w:rPr>
          <w:b/>
          <w:bCs/>
        </w:rPr>
        <w:br w:type="page"/>
      </w:r>
    </w:p>
    <w:p w:rsidR="00A3625B" w:rsidRDefault="00A3625B" w14:paraId="465C3B7B" w14:textId="5B62B366">
      <w:pPr>
        <w:rPr>
          <w:b/>
          <w:bCs/>
        </w:rPr>
      </w:pPr>
    </w:p>
    <w:p w:rsidRPr="00C25292" w:rsidR="00083227" w:rsidP="00A3625B" w:rsidRDefault="00851C52" w14:paraId="1E574BF6" w14:textId="623FD85C">
      <w:pPr>
        <w:jc w:val="center"/>
      </w:pPr>
      <w:r w:rsidRPr="00851C52">
        <w:rPr>
          <w:b/>
          <w:bCs/>
        </w:rPr>
        <w:t>References</w:t>
      </w:r>
    </w:p>
    <w:p w:rsidR="00851C52" w:rsidP="00851C52" w:rsidRDefault="00851C52" w14:paraId="3135FADF" w14:textId="77777777">
      <w:r>
        <w:t xml:space="preserve">Edwards, F.E., &amp; </w:t>
      </w:r>
      <w:proofErr w:type="spellStart"/>
      <w:r>
        <w:t>Wildeman</w:t>
      </w:r>
      <w:proofErr w:type="spellEnd"/>
      <w:r>
        <w:t>, C.  (2018)</w:t>
      </w:r>
      <w:proofErr w:type="gramStart"/>
      <w:r>
        <w:t>.  Characteristics</w:t>
      </w:r>
      <w:proofErr w:type="gramEnd"/>
      <w:r>
        <w:t xml:space="preserve"> of the front-line child welfare workforce.  </w:t>
      </w:r>
      <w:r w:rsidRPr="00073C86">
        <w:rPr>
          <w:i/>
          <w:iCs/>
        </w:rPr>
        <w:t>Children and Youth Services Review, 89</w:t>
      </w:r>
      <w:r>
        <w:t xml:space="preserve">, 13-26. </w:t>
      </w:r>
    </w:p>
    <w:p w:rsidR="00851C52" w:rsidP="00851C52" w:rsidRDefault="00851C52" w14:paraId="7EE5FCD9" w14:textId="77777777">
      <w:r>
        <w:t xml:space="preserve">Fluke, J. D., Corwin, T. W., </w:t>
      </w:r>
      <w:proofErr w:type="spellStart"/>
      <w:r>
        <w:t>Hollinshead</w:t>
      </w:r>
      <w:proofErr w:type="spellEnd"/>
      <w:r>
        <w:t xml:space="preserve">, D. M., &amp; Maher, E. J. (2016). Family preservation or child safety? Associations between child welfare workers’ experience, position, and perspectives. </w:t>
      </w:r>
      <w:r w:rsidRPr="00073C86">
        <w:rPr>
          <w:i/>
          <w:iCs/>
        </w:rPr>
        <w:t>Children and Youth Services Review, 69</w:t>
      </w:r>
      <w:r>
        <w:t xml:space="preserve">, 210–218.  </w:t>
      </w:r>
    </w:p>
    <w:p w:rsidR="00851C52" w:rsidP="00851C52" w:rsidRDefault="00851C52" w14:paraId="582207BE" w14:textId="10DAABF6">
      <w:proofErr w:type="spellStart"/>
      <w:r>
        <w:t>Graef</w:t>
      </w:r>
      <w:proofErr w:type="spellEnd"/>
      <w:r>
        <w:t xml:space="preserve">, M. I., &amp; Hill, E. L. (2000). Costing child protective services staff turnover. </w:t>
      </w:r>
      <w:r w:rsidRPr="00073C86">
        <w:rPr>
          <w:i/>
          <w:iCs/>
        </w:rPr>
        <w:t>Child Welfare, 79</w:t>
      </w:r>
      <w:r>
        <w:t>(5), 517–533.</w:t>
      </w:r>
    </w:p>
    <w:p w:rsidR="00797412" w:rsidP="00851C52" w:rsidRDefault="00797412" w14:paraId="1F3854A0" w14:textId="00D14152">
      <w:r>
        <w:t xml:space="preserve">Hughes, S., &amp; Lay, S. (2012).  Direct service workers’ recommendations for child welfare financing and system reform. Child Welfare League of America.  Retrieved from </w:t>
      </w:r>
      <w:hyperlink w:history="1" r:id="rId11">
        <w:r>
          <w:rPr>
            <w:rStyle w:val="Hyperlink"/>
          </w:rPr>
          <w:t>https://www.cwla.org/wp-content/uploads/2014/05/DirectServiceWEB.pdf</w:t>
        </w:r>
      </w:hyperlink>
      <w:r>
        <w:t>.</w:t>
      </w:r>
    </w:p>
    <w:p w:rsidR="00797412" w:rsidP="00851C52" w:rsidRDefault="00851C52" w14:paraId="58F329EB" w14:textId="696F715F">
      <w:proofErr w:type="spellStart"/>
      <w:r>
        <w:t>Pietrowiak</w:t>
      </w:r>
      <w:proofErr w:type="spellEnd"/>
      <w:r>
        <w:t xml:space="preserve">, D., &amp; Gambino, J. (2003). HHS Could Play a Greater Role in Helping Child Welfare Agencies Recruit and Retain Staff (Child Welfare No. GAO-03-357). Washington, DC: United States General Accounting Office. Retrieved from </w:t>
      </w:r>
      <w:hyperlink w:history="1" r:id="rId12">
        <w:r w:rsidR="00797412">
          <w:rPr>
            <w:rStyle w:val="Hyperlink"/>
          </w:rPr>
          <w:t>https://www.gao.gov/products/gao-03-357</w:t>
        </w:r>
      </w:hyperlink>
      <w:r w:rsidR="00797412">
        <w:t>.</w:t>
      </w:r>
    </w:p>
    <w:p w:rsidR="00797412" w:rsidP="00851C52" w:rsidRDefault="00797412" w14:paraId="735D4657" w14:textId="5AA259D7">
      <w:r>
        <w:t>Quality Improvement Center for Workforce Development. (2019)</w:t>
      </w:r>
      <w:proofErr w:type="gramStart"/>
      <w:r>
        <w:t>.  Recent</w:t>
      </w:r>
      <w:proofErr w:type="gramEnd"/>
      <w:r>
        <w:t xml:space="preserve"> research to build knowledge of the </w:t>
      </w:r>
      <w:r w:rsidR="00052F92">
        <w:t xml:space="preserve">child welfare workforce.  Retrieved from </w:t>
      </w:r>
      <w:hyperlink w:history="1" r:id="rId13">
        <w:r w:rsidR="00052F92">
          <w:rPr>
            <w:rStyle w:val="Hyperlink"/>
          </w:rPr>
          <w:t>https://www.qic-wd.org/blog/recent-research-build-knowledge-child-welfare-workforce</w:t>
        </w:r>
      </w:hyperlink>
      <w:r w:rsidR="00052F92">
        <w:t>.</w:t>
      </w:r>
    </w:p>
    <w:p w:rsidR="00851C52" w:rsidP="00851C52" w:rsidRDefault="00851C52" w14:paraId="27C6275F" w14:textId="31B8CA20">
      <w:proofErr w:type="spellStart"/>
      <w:r>
        <w:t>Strolin-Goltzman</w:t>
      </w:r>
      <w:proofErr w:type="spellEnd"/>
      <w:r>
        <w:t xml:space="preserve">, J., </w:t>
      </w:r>
      <w:proofErr w:type="spellStart"/>
      <w:r>
        <w:t>Kollar</w:t>
      </w:r>
      <w:proofErr w:type="spellEnd"/>
      <w:r>
        <w:t xml:space="preserve">, S., &amp; </w:t>
      </w:r>
      <w:proofErr w:type="spellStart"/>
      <w:r>
        <w:t>Trinkle</w:t>
      </w:r>
      <w:proofErr w:type="spellEnd"/>
      <w:r>
        <w:t xml:space="preserve">, J. (2010). Listening to the voices of children in foster care: Youths speak out about child welfare workforce turnover and selection. </w:t>
      </w:r>
      <w:r w:rsidRPr="00073C86">
        <w:rPr>
          <w:i/>
          <w:iCs/>
        </w:rPr>
        <w:t>Social Work, 55</w:t>
      </w:r>
      <w:r>
        <w:t>(1), 47–53.</w:t>
      </w:r>
    </w:p>
    <w:p w:rsidRPr="00851C52" w:rsidR="00851C52" w:rsidP="00851C52" w:rsidRDefault="00851C52" w14:paraId="25EA867C" w14:textId="77777777">
      <w:pPr>
        <w:rPr>
          <w:b/>
          <w:bCs/>
        </w:rPr>
      </w:pPr>
    </w:p>
    <w:sectPr w:rsidRPr="00851C52" w:rsidR="00851C52"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C803" w16cex:dateUtc="2021-01-05T17:12:00Z"/>
  <w16cex:commentExtensible w16cex:durableId="239DEA82" w16cex:dateUtc="2021-01-05T01:26:00Z"/>
  <w16cex:commentExtensible w16cex:durableId="239DE9CF" w16cex:dateUtc="2021-01-05T01:23:00Z"/>
  <w16cex:commentExtensible w16cex:durableId="239DE9DF" w16cex:dateUtc="2021-01-05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ECA592" w16cid:durableId="239DE799"/>
  <w16cid:commentId w16cid:paraId="1DF51308" w16cid:durableId="239EC803"/>
  <w16cid:commentId w16cid:paraId="503CAF7E" w16cid:durableId="239DE79A"/>
  <w16cid:commentId w16cid:paraId="51DAD761" w16cid:durableId="239DEA82"/>
  <w16cid:commentId w16cid:paraId="1648D936" w16cid:durableId="239DE79B"/>
  <w16cid:commentId w16cid:paraId="3C288571" w16cid:durableId="239DE9CF"/>
  <w16cid:commentId w16cid:paraId="0F06F131" w16cid:durableId="239DE79C"/>
  <w16cid:commentId w16cid:paraId="4C99243B" w16cid:durableId="239DE9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C43DC" w14:textId="77777777" w:rsidR="00EB5B92" w:rsidRDefault="00EB5B92" w:rsidP="0004063C">
      <w:pPr>
        <w:spacing w:after="0" w:line="240" w:lineRule="auto"/>
      </w:pPr>
      <w:r>
        <w:separator/>
      </w:r>
    </w:p>
  </w:endnote>
  <w:endnote w:type="continuationSeparator" w:id="0">
    <w:p w14:paraId="12E7ECA3" w14:textId="77777777" w:rsidR="00EB5B92" w:rsidRDefault="00EB5B9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193E3CF" w:rsidR="00EB5B92" w:rsidRDefault="00EB5B92">
        <w:pPr>
          <w:pStyle w:val="Footer"/>
          <w:jc w:val="right"/>
        </w:pPr>
        <w:r>
          <w:fldChar w:fldCharType="begin"/>
        </w:r>
        <w:r>
          <w:instrText xml:space="preserve"> PAGE   \* MERGEFORMAT </w:instrText>
        </w:r>
        <w:r>
          <w:fldChar w:fldCharType="separate"/>
        </w:r>
        <w:r w:rsidR="001E6DBA">
          <w:rPr>
            <w:noProof/>
          </w:rPr>
          <w:t>18</w:t>
        </w:r>
        <w:r>
          <w:rPr>
            <w:noProof/>
          </w:rPr>
          <w:fldChar w:fldCharType="end"/>
        </w:r>
      </w:p>
    </w:sdtContent>
  </w:sdt>
  <w:p w14:paraId="04723F22" w14:textId="77777777" w:rsidR="00EB5B92" w:rsidRDefault="00EB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A49A8" w14:textId="77777777" w:rsidR="00EB5B92" w:rsidRDefault="00EB5B92" w:rsidP="0004063C">
      <w:pPr>
        <w:spacing w:after="0" w:line="240" w:lineRule="auto"/>
      </w:pPr>
      <w:r>
        <w:separator/>
      </w:r>
    </w:p>
  </w:footnote>
  <w:footnote w:type="continuationSeparator" w:id="0">
    <w:p w14:paraId="0596D468" w14:textId="77777777" w:rsidR="00EB5B92" w:rsidRDefault="00EB5B92" w:rsidP="0004063C">
      <w:pPr>
        <w:spacing w:after="0" w:line="240" w:lineRule="auto"/>
      </w:pPr>
      <w:r>
        <w:continuationSeparator/>
      </w:r>
    </w:p>
  </w:footnote>
  <w:footnote w:id="1">
    <w:p w14:paraId="440255E6" w14:textId="77777777" w:rsidR="00EB5B92" w:rsidRPr="00D82755" w:rsidRDefault="00EB5B92"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6F04" w14:textId="77777777" w:rsidR="00EB5B92" w:rsidRPr="000D7D44" w:rsidRDefault="00EB5B92"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EB5B92" w:rsidRPr="001D1C73" w:rsidRDefault="00EB5B92"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 w15:restartNumberingAfterBreak="0">
    <w:nsid w:val="009862A7"/>
    <w:multiLevelType w:val="hybridMultilevel"/>
    <w:tmpl w:val="4640736C"/>
    <w:lvl w:ilvl="0" w:tplc="04090009">
      <w:start w:val="1"/>
      <w:numFmt w:val="bullet"/>
      <w:lvlText w:val=""/>
      <w:lvlJc w:val="left"/>
      <w:pPr>
        <w:ind w:left="2430" w:hanging="360"/>
      </w:pPr>
      <w:rPr>
        <w:rFonts w:ascii="Wingdings" w:hAnsi="Wingdings" w:hint="default"/>
      </w:rPr>
    </w:lvl>
    <w:lvl w:ilvl="1" w:tplc="04090003">
      <w:start w:val="1"/>
      <w:numFmt w:val="bullet"/>
      <w:lvlText w:val="o"/>
      <w:lvlJc w:val="left"/>
      <w:pPr>
        <w:ind w:left="3150" w:hanging="360"/>
      </w:pPr>
      <w:rPr>
        <w:rFonts w:ascii="Courier New" w:hAnsi="Courier New" w:cs="Arial"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Arial"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Arial"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D2679"/>
    <w:multiLevelType w:val="hybridMultilevel"/>
    <w:tmpl w:val="CAFA8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CE9C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B1A4E"/>
    <w:multiLevelType w:val="hybridMultilevel"/>
    <w:tmpl w:val="95D6CED4"/>
    <w:lvl w:ilvl="0" w:tplc="38D800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67756"/>
    <w:multiLevelType w:val="hybridMultilevel"/>
    <w:tmpl w:val="0116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7"/>
  </w:num>
  <w:num w:numId="4">
    <w:abstractNumId w:val="33"/>
  </w:num>
  <w:num w:numId="5">
    <w:abstractNumId w:val="22"/>
  </w:num>
  <w:num w:numId="6">
    <w:abstractNumId w:val="43"/>
  </w:num>
  <w:num w:numId="7">
    <w:abstractNumId w:val="5"/>
  </w:num>
  <w:num w:numId="8">
    <w:abstractNumId w:val="13"/>
  </w:num>
  <w:num w:numId="9">
    <w:abstractNumId w:val="21"/>
  </w:num>
  <w:num w:numId="10">
    <w:abstractNumId w:val="41"/>
  </w:num>
  <w:num w:numId="11">
    <w:abstractNumId w:val="44"/>
  </w:num>
  <w:num w:numId="12">
    <w:abstractNumId w:val="38"/>
  </w:num>
  <w:num w:numId="13">
    <w:abstractNumId w:val="32"/>
  </w:num>
  <w:num w:numId="14">
    <w:abstractNumId w:val="40"/>
  </w:num>
  <w:num w:numId="15">
    <w:abstractNumId w:val="24"/>
  </w:num>
  <w:num w:numId="16">
    <w:abstractNumId w:val="31"/>
  </w:num>
  <w:num w:numId="17">
    <w:abstractNumId w:val="19"/>
  </w:num>
  <w:num w:numId="18">
    <w:abstractNumId w:val="11"/>
  </w:num>
  <w:num w:numId="19">
    <w:abstractNumId w:val="10"/>
  </w:num>
  <w:num w:numId="20">
    <w:abstractNumId w:val="30"/>
  </w:num>
  <w:num w:numId="21">
    <w:abstractNumId w:val="1"/>
  </w:num>
  <w:num w:numId="22">
    <w:abstractNumId w:val="2"/>
  </w:num>
  <w:num w:numId="23">
    <w:abstractNumId w:val="25"/>
  </w:num>
  <w:num w:numId="24">
    <w:abstractNumId w:val="3"/>
  </w:num>
  <w:num w:numId="25">
    <w:abstractNumId w:val="15"/>
  </w:num>
  <w:num w:numId="26">
    <w:abstractNumId w:val="39"/>
  </w:num>
  <w:num w:numId="27">
    <w:abstractNumId w:val="17"/>
  </w:num>
  <w:num w:numId="28">
    <w:abstractNumId w:val="16"/>
  </w:num>
  <w:num w:numId="29">
    <w:abstractNumId w:val="4"/>
  </w:num>
  <w:num w:numId="30">
    <w:abstractNumId w:val="26"/>
  </w:num>
  <w:num w:numId="31">
    <w:abstractNumId w:val="34"/>
  </w:num>
  <w:num w:numId="32">
    <w:abstractNumId w:val="14"/>
  </w:num>
  <w:num w:numId="33">
    <w:abstractNumId w:val="23"/>
  </w:num>
  <w:num w:numId="34">
    <w:abstractNumId w:val="18"/>
  </w:num>
  <w:num w:numId="35">
    <w:abstractNumId w:val="35"/>
  </w:num>
  <w:num w:numId="36">
    <w:abstractNumId w:val="27"/>
  </w:num>
  <w:num w:numId="37">
    <w:abstractNumId w:val="9"/>
  </w:num>
  <w:num w:numId="38">
    <w:abstractNumId w:val="42"/>
  </w:num>
  <w:num w:numId="39">
    <w:abstractNumId w:val="37"/>
  </w:num>
  <w:num w:numId="40">
    <w:abstractNumId w:val="12"/>
  </w:num>
  <w:num w:numId="41">
    <w:abstractNumId w:val="28"/>
  </w:num>
  <w:num w:numId="42">
    <w:abstractNumId w:val="36"/>
  </w:num>
  <w:num w:numId="43">
    <w:abstractNumId w:val="0"/>
  </w:num>
  <w:num w:numId="44">
    <w:abstractNumId w:val="6"/>
  </w:num>
  <w:num w:numId="4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27E79"/>
    <w:rsid w:val="000340F8"/>
    <w:rsid w:val="00036DC8"/>
    <w:rsid w:val="00037D49"/>
    <w:rsid w:val="0004063C"/>
    <w:rsid w:val="0004247F"/>
    <w:rsid w:val="00052F92"/>
    <w:rsid w:val="000562C0"/>
    <w:rsid w:val="00062380"/>
    <w:rsid w:val="00062AFB"/>
    <w:rsid w:val="000655DD"/>
    <w:rsid w:val="00071F79"/>
    <w:rsid w:val="0007251B"/>
    <w:rsid w:val="000733A5"/>
    <w:rsid w:val="000776B3"/>
    <w:rsid w:val="00082C5B"/>
    <w:rsid w:val="00083227"/>
    <w:rsid w:val="00085817"/>
    <w:rsid w:val="00086CBE"/>
    <w:rsid w:val="00090812"/>
    <w:rsid w:val="000921F0"/>
    <w:rsid w:val="00094069"/>
    <w:rsid w:val="000A012A"/>
    <w:rsid w:val="000B5F4F"/>
    <w:rsid w:val="000C3EB8"/>
    <w:rsid w:val="000D3990"/>
    <w:rsid w:val="000D4E9A"/>
    <w:rsid w:val="000D6127"/>
    <w:rsid w:val="000D7D44"/>
    <w:rsid w:val="000F040C"/>
    <w:rsid w:val="000F1E4A"/>
    <w:rsid w:val="000F505A"/>
    <w:rsid w:val="000F60EA"/>
    <w:rsid w:val="00100D34"/>
    <w:rsid w:val="001032D6"/>
    <w:rsid w:val="00103EFD"/>
    <w:rsid w:val="00107D87"/>
    <w:rsid w:val="001112EE"/>
    <w:rsid w:val="00113A1A"/>
    <w:rsid w:val="0011693F"/>
    <w:rsid w:val="001244EC"/>
    <w:rsid w:val="001253F4"/>
    <w:rsid w:val="001274CB"/>
    <w:rsid w:val="00157482"/>
    <w:rsid w:val="0016793C"/>
    <w:rsid w:val="001707D8"/>
    <w:rsid w:val="0017136C"/>
    <w:rsid w:val="0017249C"/>
    <w:rsid w:val="0018021F"/>
    <w:rsid w:val="00193D07"/>
    <w:rsid w:val="00197126"/>
    <w:rsid w:val="001A2DD1"/>
    <w:rsid w:val="001A5515"/>
    <w:rsid w:val="001A79B1"/>
    <w:rsid w:val="001B0A76"/>
    <w:rsid w:val="001C1D11"/>
    <w:rsid w:val="001C243F"/>
    <w:rsid w:val="001C2A89"/>
    <w:rsid w:val="001C7E39"/>
    <w:rsid w:val="001D017A"/>
    <w:rsid w:val="001D1C73"/>
    <w:rsid w:val="001D553A"/>
    <w:rsid w:val="001E4778"/>
    <w:rsid w:val="001E6DBA"/>
    <w:rsid w:val="001E79A7"/>
    <w:rsid w:val="001F1396"/>
    <w:rsid w:val="001F31F1"/>
    <w:rsid w:val="001F57F5"/>
    <w:rsid w:val="00201D76"/>
    <w:rsid w:val="0020401C"/>
    <w:rsid w:val="0020629A"/>
    <w:rsid w:val="00206E11"/>
    <w:rsid w:val="00206F54"/>
    <w:rsid w:val="00206FE3"/>
    <w:rsid w:val="00207554"/>
    <w:rsid w:val="00207B25"/>
    <w:rsid w:val="00210730"/>
    <w:rsid w:val="00211261"/>
    <w:rsid w:val="00214E86"/>
    <w:rsid w:val="00222024"/>
    <w:rsid w:val="0022276E"/>
    <w:rsid w:val="002227B3"/>
    <w:rsid w:val="0023027B"/>
    <w:rsid w:val="00243F0F"/>
    <w:rsid w:val="00245485"/>
    <w:rsid w:val="00246684"/>
    <w:rsid w:val="002517BB"/>
    <w:rsid w:val="002523B1"/>
    <w:rsid w:val="00256E24"/>
    <w:rsid w:val="002613D8"/>
    <w:rsid w:val="00262216"/>
    <w:rsid w:val="00265491"/>
    <w:rsid w:val="00272EA7"/>
    <w:rsid w:val="00276CE2"/>
    <w:rsid w:val="00281ED3"/>
    <w:rsid w:val="00287AF1"/>
    <w:rsid w:val="002937D1"/>
    <w:rsid w:val="002A40AC"/>
    <w:rsid w:val="002A41C6"/>
    <w:rsid w:val="002A5E6D"/>
    <w:rsid w:val="002B13AF"/>
    <w:rsid w:val="002B769D"/>
    <w:rsid w:val="002B785B"/>
    <w:rsid w:val="002B78E6"/>
    <w:rsid w:val="002C3994"/>
    <w:rsid w:val="002D5CBF"/>
    <w:rsid w:val="002E0CF2"/>
    <w:rsid w:val="002E47C5"/>
    <w:rsid w:val="002E6CCF"/>
    <w:rsid w:val="002E7430"/>
    <w:rsid w:val="002F2A2F"/>
    <w:rsid w:val="002F33D0"/>
    <w:rsid w:val="002F7254"/>
    <w:rsid w:val="00300722"/>
    <w:rsid w:val="0030316D"/>
    <w:rsid w:val="00334241"/>
    <w:rsid w:val="00341C7E"/>
    <w:rsid w:val="00341E0D"/>
    <w:rsid w:val="00346ADE"/>
    <w:rsid w:val="00347880"/>
    <w:rsid w:val="00354C2E"/>
    <w:rsid w:val="00355D27"/>
    <w:rsid w:val="00362F57"/>
    <w:rsid w:val="0036460D"/>
    <w:rsid w:val="00373D2F"/>
    <w:rsid w:val="00385B59"/>
    <w:rsid w:val="0039238F"/>
    <w:rsid w:val="00392D20"/>
    <w:rsid w:val="003941AE"/>
    <w:rsid w:val="003A7774"/>
    <w:rsid w:val="003B5BE8"/>
    <w:rsid w:val="003C10B4"/>
    <w:rsid w:val="003C34B6"/>
    <w:rsid w:val="003C35BA"/>
    <w:rsid w:val="003C7358"/>
    <w:rsid w:val="003D6408"/>
    <w:rsid w:val="003D7BDE"/>
    <w:rsid w:val="003E22B1"/>
    <w:rsid w:val="003E3CF4"/>
    <w:rsid w:val="003E61F6"/>
    <w:rsid w:val="003F4CDB"/>
    <w:rsid w:val="003F60A5"/>
    <w:rsid w:val="00407537"/>
    <w:rsid w:val="004127E5"/>
    <w:rsid w:val="004165BD"/>
    <w:rsid w:val="0042220D"/>
    <w:rsid w:val="00425568"/>
    <w:rsid w:val="004277D7"/>
    <w:rsid w:val="0043377A"/>
    <w:rsid w:val="004379B6"/>
    <w:rsid w:val="0044428E"/>
    <w:rsid w:val="00446465"/>
    <w:rsid w:val="00446863"/>
    <w:rsid w:val="00450D39"/>
    <w:rsid w:val="00460D54"/>
    <w:rsid w:val="00461D3E"/>
    <w:rsid w:val="004706CC"/>
    <w:rsid w:val="0047196D"/>
    <w:rsid w:val="00476867"/>
    <w:rsid w:val="0048032D"/>
    <w:rsid w:val="0048372E"/>
    <w:rsid w:val="00486FCB"/>
    <w:rsid w:val="004A2187"/>
    <w:rsid w:val="004A5BF2"/>
    <w:rsid w:val="004B3744"/>
    <w:rsid w:val="004B75AC"/>
    <w:rsid w:val="004C03CB"/>
    <w:rsid w:val="004C3644"/>
    <w:rsid w:val="004D12DD"/>
    <w:rsid w:val="004E29F5"/>
    <w:rsid w:val="004E2D9A"/>
    <w:rsid w:val="004E5778"/>
    <w:rsid w:val="004E6814"/>
    <w:rsid w:val="004E7ED8"/>
    <w:rsid w:val="004F03C3"/>
    <w:rsid w:val="004F503E"/>
    <w:rsid w:val="004F5AAA"/>
    <w:rsid w:val="0050376D"/>
    <w:rsid w:val="00504B05"/>
    <w:rsid w:val="00505C37"/>
    <w:rsid w:val="00507069"/>
    <w:rsid w:val="00507DD2"/>
    <w:rsid w:val="00512C25"/>
    <w:rsid w:val="00513852"/>
    <w:rsid w:val="0051598B"/>
    <w:rsid w:val="00521737"/>
    <w:rsid w:val="00525CCB"/>
    <w:rsid w:val="005302CB"/>
    <w:rsid w:val="00532E97"/>
    <w:rsid w:val="00540E87"/>
    <w:rsid w:val="0054478E"/>
    <w:rsid w:val="0055434C"/>
    <w:rsid w:val="00562876"/>
    <w:rsid w:val="005649A9"/>
    <w:rsid w:val="00565334"/>
    <w:rsid w:val="00567C14"/>
    <w:rsid w:val="005729F8"/>
    <w:rsid w:val="00581D47"/>
    <w:rsid w:val="00591283"/>
    <w:rsid w:val="005A21B1"/>
    <w:rsid w:val="005A61CE"/>
    <w:rsid w:val="005A7E5A"/>
    <w:rsid w:val="005B1285"/>
    <w:rsid w:val="005B1410"/>
    <w:rsid w:val="005B47E7"/>
    <w:rsid w:val="005C5461"/>
    <w:rsid w:val="005D2B4E"/>
    <w:rsid w:val="005D4A40"/>
    <w:rsid w:val="005D61FF"/>
    <w:rsid w:val="005D7A91"/>
    <w:rsid w:val="005D7D32"/>
    <w:rsid w:val="005E493B"/>
    <w:rsid w:val="005F264B"/>
    <w:rsid w:val="005F2951"/>
    <w:rsid w:val="005F47EA"/>
    <w:rsid w:val="00602830"/>
    <w:rsid w:val="006176E2"/>
    <w:rsid w:val="00622B6A"/>
    <w:rsid w:val="00624DDC"/>
    <w:rsid w:val="006253B6"/>
    <w:rsid w:val="006257ED"/>
    <w:rsid w:val="0062686E"/>
    <w:rsid w:val="00630B30"/>
    <w:rsid w:val="00640179"/>
    <w:rsid w:val="006514EE"/>
    <w:rsid w:val="00651FF6"/>
    <w:rsid w:val="0068303E"/>
    <w:rsid w:val="0068383E"/>
    <w:rsid w:val="006A4B1E"/>
    <w:rsid w:val="006A4D02"/>
    <w:rsid w:val="006A74AF"/>
    <w:rsid w:val="006B1BF9"/>
    <w:rsid w:val="006B31DA"/>
    <w:rsid w:val="006B53F1"/>
    <w:rsid w:val="006B6037"/>
    <w:rsid w:val="006C0E56"/>
    <w:rsid w:val="006C2256"/>
    <w:rsid w:val="006C36F2"/>
    <w:rsid w:val="006E4F82"/>
    <w:rsid w:val="006F54C2"/>
    <w:rsid w:val="006F64DD"/>
    <w:rsid w:val="006F7FCB"/>
    <w:rsid w:val="007019CF"/>
    <w:rsid w:val="00702D8F"/>
    <w:rsid w:val="00716801"/>
    <w:rsid w:val="00717BDC"/>
    <w:rsid w:val="00723A28"/>
    <w:rsid w:val="00723E62"/>
    <w:rsid w:val="00725032"/>
    <w:rsid w:val="00730783"/>
    <w:rsid w:val="00731899"/>
    <w:rsid w:val="00732052"/>
    <w:rsid w:val="00733D51"/>
    <w:rsid w:val="00736B62"/>
    <w:rsid w:val="007550B8"/>
    <w:rsid w:val="00763D20"/>
    <w:rsid w:val="00764C85"/>
    <w:rsid w:val="0077310D"/>
    <w:rsid w:val="00774893"/>
    <w:rsid w:val="0078597E"/>
    <w:rsid w:val="007904AA"/>
    <w:rsid w:val="00790AC6"/>
    <w:rsid w:val="00793E3E"/>
    <w:rsid w:val="00797412"/>
    <w:rsid w:val="007A24B5"/>
    <w:rsid w:val="007A29C5"/>
    <w:rsid w:val="007A4671"/>
    <w:rsid w:val="007A5AA5"/>
    <w:rsid w:val="007B7066"/>
    <w:rsid w:val="007C2AB0"/>
    <w:rsid w:val="007C7B4B"/>
    <w:rsid w:val="007D4581"/>
    <w:rsid w:val="007D45C9"/>
    <w:rsid w:val="007F0F85"/>
    <w:rsid w:val="007F33A9"/>
    <w:rsid w:val="007F48D5"/>
    <w:rsid w:val="00815E12"/>
    <w:rsid w:val="00823428"/>
    <w:rsid w:val="008274A4"/>
    <w:rsid w:val="008305D7"/>
    <w:rsid w:val="008329CD"/>
    <w:rsid w:val="008369BA"/>
    <w:rsid w:val="00840D32"/>
    <w:rsid w:val="00843933"/>
    <w:rsid w:val="00846683"/>
    <w:rsid w:val="00851C52"/>
    <w:rsid w:val="00853EBD"/>
    <w:rsid w:val="0085716B"/>
    <w:rsid w:val="008631FB"/>
    <w:rsid w:val="00864C1F"/>
    <w:rsid w:val="00870C05"/>
    <w:rsid w:val="00870C37"/>
    <w:rsid w:val="00870FA1"/>
    <w:rsid w:val="00872C04"/>
    <w:rsid w:val="008742DF"/>
    <w:rsid w:val="00875220"/>
    <w:rsid w:val="00882068"/>
    <w:rsid w:val="00891CD9"/>
    <w:rsid w:val="008A332C"/>
    <w:rsid w:val="008A39AF"/>
    <w:rsid w:val="008B2057"/>
    <w:rsid w:val="008C190A"/>
    <w:rsid w:val="008C4EBB"/>
    <w:rsid w:val="008C6DD2"/>
    <w:rsid w:val="008D1C12"/>
    <w:rsid w:val="008D273E"/>
    <w:rsid w:val="008D4A5B"/>
    <w:rsid w:val="008D6F7B"/>
    <w:rsid w:val="008E007A"/>
    <w:rsid w:val="008E0239"/>
    <w:rsid w:val="008E2341"/>
    <w:rsid w:val="008E4718"/>
    <w:rsid w:val="008E6DFC"/>
    <w:rsid w:val="008E7A52"/>
    <w:rsid w:val="008F2446"/>
    <w:rsid w:val="008F34C2"/>
    <w:rsid w:val="008F79D8"/>
    <w:rsid w:val="009007AA"/>
    <w:rsid w:val="00901040"/>
    <w:rsid w:val="00906124"/>
    <w:rsid w:val="00910BC1"/>
    <w:rsid w:val="009139B3"/>
    <w:rsid w:val="00915B55"/>
    <w:rsid w:val="00917797"/>
    <w:rsid w:val="009204CC"/>
    <w:rsid w:val="00923E0C"/>
    <w:rsid w:val="00923F25"/>
    <w:rsid w:val="00930175"/>
    <w:rsid w:val="0093237B"/>
    <w:rsid w:val="009444CD"/>
    <w:rsid w:val="009549E8"/>
    <w:rsid w:val="00963503"/>
    <w:rsid w:val="00965DBD"/>
    <w:rsid w:val="00970C5A"/>
    <w:rsid w:val="00971944"/>
    <w:rsid w:val="009815C6"/>
    <w:rsid w:val="00996201"/>
    <w:rsid w:val="009A39E1"/>
    <w:rsid w:val="009A3AD8"/>
    <w:rsid w:val="009A6EE8"/>
    <w:rsid w:val="009B0F58"/>
    <w:rsid w:val="009C3380"/>
    <w:rsid w:val="009C5658"/>
    <w:rsid w:val="009C669D"/>
    <w:rsid w:val="009D126F"/>
    <w:rsid w:val="009D5F6B"/>
    <w:rsid w:val="009E7E38"/>
    <w:rsid w:val="009F265B"/>
    <w:rsid w:val="009F482C"/>
    <w:rsid w:val="009F639B"/>
    <w:rsid w:val="009F68DB"/>
    <w:rsid w:val="00A005B2"/>
    <w:rsid w:val="00A009DE"/>
    <w:rsid w:val="00A03E3F"/>
    <w:rsid w:val="00A05C0B"/>
    <w:rsid w:val="00A06B67"/>
    <w:rsid w:val="00A1108E"/>
    <w:rsid w:val="00A27CD0"/>
    <w:rsid w:val="00A3625B"/>
    <w:rsid w:val="00A362B6"/>
    <w:rsid w:val="00A411C5"/>
    <w:rsid w:val="00A56B3F"/>
    <w:rsid w:val="00A56B61"/>
    <w:rsid w:val="00A60B1F"/>
    <w:rsid w:val="00A66B44"/>
    <w:rsid w:val="00A67DFF"/>
    <w:rsid w:val="00A70637"/>
    <w:rsid w:val="00A71475"/>
    <w:rsid w:val="00A714DC"/>
    <w:rsid w:val="00A7179C"/>
    <w:rsid w:val="00A739E8"/>
    <w:rsid w:val="00A761CB"/>
    <w:rsid w:val="00A77C7A"/>
    <w:rsid w:val="00A850BE"/>
    <w:rsid w:val="00A85701"/>
    <w:rsid w:val="00A87D28"/>
    <w:rsid w:val="00A9006E"/>
    <w:rsid w:val="00A93035"/>
    <w:rsid w:val="00A975F3"/>
    <w:rsid w:val="00AA174A"/>
    <w:rsid w:val="00AA77E0"/>
    <w:rsid w:val="00AA796F"/>
    <w:rsid w:val="00AC0A1F"/>
    <w:rsid w:val="00AC1A32"/>
    <w:rsid w:val="00AD3261"/>
    <w:rsid w:val="00AD4355"/>
    <w:rsid w:val="00AD61E3"/>
    <w:rsid w:val="00AE3F5F"/>
    <w:rsid w:val="00AF16EC"/>
    <w:rsid w:val="00B03923"/>
    <w:rsid w:val="00B04620"/>
    <w:rsid w:val="00B10595"/>
    <w:rsid w:val="00B13DC4"/>
    <w:rsid w:val="00B175D9"/>
    <w:rsid w:val="00B17B7C"/>
    <w:rsid w:val="00B23277"/>
    <w:rsid w:val="00B245AD"/>
    <w:rsid w:val="00B36DAE"/>
    <w:rsid w:val="00B40115"/>
    <w:rsid w:val="00B4182B"/>
    <w:rsid w:val="00B4207F"/>
    <w:rsid w:val="00B4767F"/>
    <w:rsid w:val="00B51D55"/>
    <w:rsid w:val="00B53DFE"/>
    <w:rsid w:val="00B55E54"/>
    <w:rsid w:val="00B56589"/>
    <w:rsid w:val="00B64D05"/>
    <w:rsid w:val="00B70460"/>
    <w:rsid w:val="00B70A54"/>
    <w:rsid w:val="00B7661D"/>
    <w:rsid w:val="00B810E7"/>
    <w:rsid w:val="00B828E3"/>
    <w:rsid w:val="00B8411C"/>
    <w:rsid w:val="00B9441B"/>
    <w:rsid w:val="00BA5034"/>
    <w:rsid w:val="00BB05B8"/>
    <w:rsid w:val="00BB4BF8"/>
    <w:rsid w:val="00BB5E61"/>
    <w:rsid w:val="00BD702B"/>
    <w:rsid w:val="00BD7518"/>
    <w:rsid w:val="00BD7B78"/>
    <w:rsid w:val="00BE2C44"/>
    <w:rsid w:val="00BE5CE4"/>
    <w:rsid w:val="00BE773B"/>
    <w:rsid w:val="00C02BA9"/>
    <w:rsid w:val="00C05352"/>
    <w:rsid w:val="00C1301F"/>
    <w:rsid w:val="00C25292"/>
    <w:rsid w:val="00C32404"/>
    <w:rsid w:val="00C34A41"/>
    <w:rsid w:val="00C41B1F"/>
    <w:rsid w:val="00C44CFD"/>
    <w:rsid w:val="00C62EDE"/>
    <w:rsid w:val="00C66A7E"/>
    <w:rsid w:val="00C674B7"/>
    <w:rsid w:val="00C713D1"/>
    <w:rsid w:val="00C73360"/>
    <w:rsid w:val="00C86CB2"/>
    <w:rsid w:val="00C91C71"/>
    <w:rsid w:val="00C94111"/>
    <w:rsid w:val="00C95126"/>
    <w:rsid w:val="00C96642"/>
    <w:rsid w:val="00CA72A5"/>
    <w:rsid w:val="00CA7D4E"/>
    <w:rsid w:val="00CB3489"/>
    <w:rsid w:val="00CB54D9"/>
    <w:rsid w:val="00CB5E1B"/>
    <w:rsid w:val="00CB7A7C"/>
    <w:rsid w:val="00CC07BF"/>
    <w:rsid w:val="00CC3C7B"/>
    <w:rsid w:val="00CC4651"/>
    <w:rsid w:val="00CC56C0"/>
    <w:rsid w:val="00CD3C52"/>
    <w:rsid w:val="00CD73B5"/>
    <w:rsid w:val="00CD7E5C"/>
    <w:rsid w:val="00CE018E"/>
    <w:rsid w:val="00CE7A4A"/>
    <w:rsid w:val="00D045A2"/>
    <w:rsid w:val="00D1343F"/>
    <w:rsid w:val="00D13AA8"/>
    <w:rsid w:val="00D239B5"/>
    <w:rsid w:val="00D275F6"/>
    <w:rsid w:val="00D32B72"/>
    <w:rsid w:val="00D4033C"/>
    <w:rsid w:val="00D45504"/>
    <w:rsid w:val="00D5346A"/>
    <w:rsid w:val="00D55767"/>
    <w:rsid w:val="00D563E6"/>
    <w:rsid w:val="00D57B0B"/>
    <w:rsid w:val="00D60905"/>
    <w:rsid w:val="00D61129"/>
    <w:rsid w:val="00D62B4C"/>
    <w:rsid w:val="00D66B86"/>
    <w:rsid w:val="00D71B49"/>
    <w:rsid w:val="00D71BA0"/>
    <w:rsid w:val="00D749DF"/>
    <w:rsid w:val="00D75430"/>
    <w:rsid w:val="00D80946"/>
    <w:rsid w:val="00D8123B"/>
    <w:rsid w:val="00D82755"/>
    <w:rsid w:val="00D82E67"/>
    <w:rsid w:val="00D831AC"/>
    <w:rsid w:val="00D925CE"/>
    <w:rsid w:val="00D92859"/>
    <w:rsid w:val="00D93CA5"/>
    <w:rsid w:val="00D94A3E"/>
    <w:rsid w:val="00D97926"/>
    <w:rsid w:val="00DA3557"/>
    <w:rsid w:val="00DA4701"/>
    <w:rsid w:val="00DA53A8"/>
    <w:rsid w:val="00DC2DD2"/>
    <w:rsid w:val="00DC65F2"/>
    <w:rsid w:val="00DC7876"/>
    <w:rsid w:val="00DC7DD5"/>
    <w:rsid w:val="00DE3ED7"/>
    <w:rsid w:val="00DE67EA"/>
    <w:rsid w:val="00DE6DEB"/>
    <w:rsid w:val="00DF1291"/>
    <w:rsid w:val="00E1392C"/>
    <w:rsid w:val="00E14A11"/>
    <w:rsid w:val="00E1547D"/>
    <w:rsid w:val="00E179CF"/>
    <w:rsid w:val="00E22AC6"/>
    <w:rsid w:val="00E24830"/>
    <w:rsid w:val="00E252DD"/>
    <w:rsid w:val="00E26017"/>
    <w:rsid w:val="00E26546"/>
    <w:rsid w:val="00E318A6"/>
    <w:rsid w:val="00E41C62"/>
    <w:rsid w:val="00E41EE9"/>
    <w:rsid w:val="00E43BC7"/>
    <w:rsid w:val="00E45F28"/>
    <w:rsid w:val="00E461D4"/>
    <w:rsid w:val="00E56F21"/>
    <w:rsid w:val="00E62285"/>
    <w:rsid w:val="00E62819"/>
    <w:rsid w:val="00E643FC"/>
    <w:rsid w:val="00E71E25"/>
    <w:rsid w:val="00E81796"/>
    <w:rsid w:val="00E84107"/>
    <w:rsid w:val="00E9045F"/>
    <w:rsid w:val="00E92B30"/>
    <w:rsid w:val="00EA0D4F"/>
    <w:rsid w:val="00EA1341"/>
    <w:rsid w:val="00EA405B"/>
    <w:rsid w:val="00EA4122"/>
    <w:rsid w:val="00EA44E9"/>
    <w:rsid w:val="00EB48DC"/>
    <w:rsid w:val="00EB4C26"/>
    <w:rsid w:val="00EB5B92"/>
    <w:rsid w:val="00EB6134"/>
    <w:rsid w:val="00EC1A6C"/>
    <w:rsid w:val="00EC28C5"/>
    <w:rsid w:val="00ED7509"/>
    <w:rsid w:val="00EE0561"/>
    <w:rsid w:val="00EE165C"/>
    <w:rsid w:val="00EE331A"/>
    <w:rsid w:val="00EE38AF"/>
    <w:rsid w:val="00EF254B"/>
    <w:rsid w:val="00EF4FF2"/>
    <w:rsid w:val="00F00E8A"/>
    <w:rsid w:val="00F039C8"/>
    <w:rsid w:val="00F05ADD"/>
    <w:rsid w:val="00F071DE"/>
    <w:rsid w:val="00F1002C"/>
    <w:rsid w:val="00F13BCC"/>
    <w:rsid w:val="00F17E77"/>
    <w:rsid w:val="00F219E9"/>
    <w:rsid w:val="00F23977"/>
    <w:rsid w:val="00F239B7"/>
    <w:rsid w:val="00F3509B"/>
    <w:rsid w:val="00F3674F"/>
    <w:rsid w:val="00F42246"/>
    <w:rsid w:val="00F551C0"/>
    <w:rsid w:val="00F606ED"/>
    <w:rsid w:val="00F6794B"/>
    <w:rsid w:val="00F74630"/>
    <w:rsid w:val="00F9122A"/>
    <w:rsid w:val="00F9144D"/>
    <w:rsid w:val="00FA6D2C"/>
    <w:rsid w:val="00FA7AE1"/>
    <w:rsid w:val="00FB5BF6"/>
    <w:rsid w:val="00FC7694"/>
    <w:rsid w:val="00FC779A"/>
    <w:rsid w:val="00FD180F"/>
    <w:rsid w:val="00FD1C2D"/>
    <w:rsid w:val="00FD4291"/>
    <w:rsid w:val="00FD77B6"/>
    <w:rsid w:val="00FE2071"/>
    <w:rsid w:val="00FF5B33"/>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F00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763D2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qFormat/>
    <w:rsid w:val="00733D51"/>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D51"/>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763D20"/>
    <w:rPr>
      <w:rFonts w:asciiTheme="majorHAnsi" w:eastAsiaTheme="majorEastAsia" w:hAnsiTheme="majorHAnsi" w:cstheme="majorBidi"/>
      <w:color w:val="365F91" w:themeColor="accent1" w:themeShade="BF"/>
    </w:rPr>
  </w:style>
  <w:style w:type="paragraph" w:customStyle="1" w:styleId="TableText">
    <w:name w:val="Table Text"/>
    <w:basedOn w:val="Normal"/>
    <w:qFormat/>
    <w:rsid w:val="00763D20"/>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763D20"/>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
    <w:name w:val="Exhibit Title"/>
    <w:link w:val="ExhibitTitleChar"/>
    <w:qFormat/>
    <w:rsid w:val="00763D20"/>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character" w:customStyle="1" w:styleId="ExhibitTitleChar">
    <w:name w:val="Exhibit Title Char"/>
    <w:link w:val="ExhibitTitle"/>
    <w:locked/>
    <w:rsid w:val="00763D20"/>
    <w:rPr>
      <w:rFonts w:ascii="Times New Roman" w:eastAsia="Arial Unicode MS" w:hAnsi="Times New Roman" w:cs="Arial Unicode MS"/>
      <w:b/>
      <w:bCs/>
      <w:color w:val="000000"/>
      <w:sz w:val="24"/>
      <w:szCs w:val="24"/>
      <w:u w:color="455560"/>
      <w:bdr w:val="nil"/>
    </w:rPr>
  </w:style>
  <w:style w:type="paragraph" w:styleId="ListBullet">
    <w:name w:val="List Bullet"/>
    <w:basedOn w:val="Normal"/>
    <w:uiPriority w:val="99"/>
    <w:rsid w:val="008305D7"/>
    <w:pPr>
      <w:numPr>
        <w:numId w:val="43"/>
      </w:numPr>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201D76"/>
    <w:pPr>
      <w:spacing w:after="240" w:line="240" w:lineRule="auto"/>
      <w:ind w:firstLine="432"/>
    </w:pPr>
    <w:rPr>
      <w:rFonts w:ascii="Times New Roman" w:eastAsia="Times New Roman" w:hAnsi="Times New Roman" w:cs="Times New Roman"/>
      <w:sz w:val="24"/>
      <w:szCs w:val="20"/>
    </w:rPr>
  </w:style>
  <w:style w:type="character" w:customStyle="1" w:styleId="P1-StandParaChar">
    <w:name w:val="P1-Stand Para Char"/>
    <w:basedOn w:val="DefaultParagraphFont"/>
    <w:link w:val="P1-StandPara"/>
    <w:locked/>
    <w:rsid w:val="00B70A54"/>
    <w:rPr>
      <w:rFonts w:ascii="Garamond" w:hAnsi="Garamond"/>
      <w:sz w:val="24"/>
    </w:rPr>
  </w:style>
  <w:style w:type="paragraph" w:customStyle="1" w:styleId="P1-StandPara">
    <w:name w:val="P1-Stand Para"/>
    <w:basedOn w:val="Normal"/>
    <w:link w:val="P1-StandParaChar"/>
    <w:rsid w:val="00B70A54"/>
    <w:pPr>
      <w:spacing w:after="0" w:line="360" w:lineRule="atLeast"/>
      <w:ind w:firstLine="1152"/>
    </w:pPr>
    <w:rPr>
      <w:rFonts w:ascii="Garamond" w:hAnsi="Garamond"/>
      <w:sz w:val="24"/>
    </w:rPr>
  </w:style>
  <w:style w:type="paragraph" w:customStyle="1" w:styleId="MarkforTableTitle">
    <w:name w:val="Mark for Table Title"/>
    <w:basedOn w:val="Normal"/>
    <w:next w:val="Normal"/>
    <w:qFormat/>
    <w:rsid w:val="00532E97"/>
    <w:pPr>
      <w:keepNext/>
      <w:spacing w:after="60" w:line="240" w:lineRule="auto"/>
    </w:pPr>
    <w:rPr>
      <w:rFonts w:ascii="Arial Black" w:eastAsia="Times New Roman" w:hAnsi="Arial Black" w:cs="Times New Roman"/>
      <w:szCs w:val="20"/>
    </w:rPr>
  </w:style>
  <w:style w:type="character" w:customStyle="1" w:styleId="Heading1Char">
    <w:name w:val="Heading 1 Char"/>
    <w:basedOn w:val="DefaultParagraphFont"/>
    <w:link w:val="Heading1"/>
    <w:uiPriority w:val="9"/>
    <w:rsid w:val="00F00E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0500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67611180">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99150554">
      <w:bodyDiv w:val="1"/>
      <w:marLeft w:val="0"/>
      <w:marRight w:val="0"/>
      <w:marTop w:val="0"/>
      <w:marBottom w:val="0"/>
      <w:divBdr>
        <w:top w:val="none" w:sz="0" w:space="0" w:color="auto"/>
        <w:left w:val="none" w:sz="0" w:space="0" w:color="auto"/>
        <w:bottom w:val="none" w:sz="0" w:space="0" w:color="auto"/>
        <w:right w:val="none" w:sz="0" w:space="0" w:color="auto"/>
      </w:divBdr>
    </w:div>
    <w:div w:id="807549150">
      <w:bodyDiv w:val="1"/>
      <w:marLeft w:val="0"/>
      <w:marRight w:val="0"/>
      <w:marTop w:val="0"/>
      <w:marBottom w:val="0"/>
      <w:divBdr>
        <w:top w:val="none" w:sz="0" w:space="0" w:color="auto"/>
        <w:left w:val="none" w:sz="0" w:space="0" w:color="auto"/>
        <w:bottom w:val="none" w:sz="0" w:space="0" w:color="auto"/>
        <w:right w:val="none" w:sz="0" w:space="0" w:color="auto"/>
      </w:divBdr>
    </w:div>
    <w:div w:id="870338329">
      <w:bodyDiv w:val="1"/>
      <w:marLeft w:val="0"/>
      <w:marRight w:val="0"/>
      <w:marTop w:val="0"/>
      <w:marBottom w:val="0"/>
      <w:divBdr>
        <w:top w:val="none" w:sz="0" w:space="0" w:color="auto"/>
        <w:left w:val="none" w:sz="0" w:space="0" w:color="auto"/>
        <w:bottom w:val="none" w:sz="0" w:space="0" w:color="auto"/>
        <w:right w:val="none" w:sz="0" w:space="0" w:color="auto"/>
      </w:divBdr>
    </w:div>
    <w:div w:id="87195727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81484630">
      <w:bodyDiv w:val="1"/>
      <w:marLeft w:val="0"/>
      <w:marRight w:val="0"/>
      <w:marTop w:val="0"/>
      <w:marBottom w:val="0"/>
      <w:divBdr>
        <w:top w:val="none" w:sz="0" w:space="0" w:color="auto"/>
        <w:left w:val="none" w:sz="0" w:space="0" w:color="auto"/>
        <w:bottom w:val="none" w:sz="0" w:space="0" w:color="auto"/>
        <w:right w:val="none" w:sz="0" w:space="0" w:color="auto"/>
      </w:divBdr>
    </w:div>
    <w:div w:id="11399610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38333338">
      <w:bodyDiv w:val="1"/>
      <w:marLeft w:val="0"/>
      <w:marRight w:val="0"/>
      <w:marTop w:val="0"/>
      <w:marBottom w:val="0"/>
      <w:divBdr>
        <w:top w:val="none" w:sz="0" w:space="0" w:color="auto"/>
        <w:left w:val="none" w:sz="0" w:space="0" w:color="auto"/>
        <w:bottom w:val="none" w:sz="0" w:space="0" w:color="auto"/>
        <w:right w:val="none" w:sz="0" w:space="0" w:color="auto"/>
      </w:divBdr>
    </w:div>
    <w:div w:id="1725911466">
      <w:bodyDiv w:val="1"/>
      <w:marLeft w:val="0"/>
      <w:marRight w:val="0"/>
      <w:marTop w:val="0"/>
      <w:marBottom w:val="0"/>
      <w:divBdr>
        <w:top w:val="none" w:sz="0" w:space="0" w:color="auto"/>
        <w:left w:val="none" w:sz="0" w:space="0" w:color="auto"/>
        <w:bottom w:val="none" w:sz="0" w:space="0" w:color="auto"/>
        <w:right w:val="none" w:sz="0" w:space="0" w:color="auto"/>
      </w:divBdr>
    </w:div>
    <w:div w:id="1847210868">
      <w:bodyDiv w:val="1"/>
      <w:marLeft w:val="0"/>
      <w:marRight w:val="0"/>
      <w:marTop w:val="0"/>
      <w:marBottom w:val="0"/>
      <w:divBdr>
        <w:top w:val="none" w:sz="0" w:space="0" w:color="auto"/>
        <w:left w:val="none" w:sz="0" w:space="0" w:color="auto"/>
        <w:bottom w:val="none" w:sz="0" w:space="0" w:color="auto"/>
        <w:right w:val="none" w:sz="0" w:space="0" w:color="auto"/>
      </w:divBdr>
    </w:div>
    <w:div w:id="1876771074">
      <w:bodyDiv w:val="1"/>
      <w:marLeft w:val="0"/>
      <w:marRight w:val="0"/>
      <w:marTop w:val="0"/>
      <w:marBottom w:val="0"/>
      <w:divBdr>
        <w:top w:val="none" w:sz="0" w:space="0" w:color="auto"/>
        <w:left w:val="none" w:sz="0" w:space="0" w:color="auto"/>
        <w:bottom w:val="none" w:sz="0" w:space="0" w:color="auto"/>
        <w:right w:val="none" w:sz="0" w:space="0" w:color="auto"/>
      </w:divBdr>
    </w:div>
    <w:div w:id="2053262942">
      <w:bodyDiv w:val="1"/>
      <w:marLeft w:val="0"/>
      <w:marRight w:val="0"/>
      <w:marTop w:val="0"/>
      <w:marBottom w:val="0"/>
      <w:divBdr>
        <w:top w:val="none" w:sz="0" w:space="0" w:color="auto"/>
        <w:left w:val="none" w:sz="0" w:space="0" w:color="auto"/>
        <w:bottom w:val="none" w:sz="0" w:space="0" w:color="auto"/>
        <w:right w:val="none" w:sz="0" w:space="0" w:color="auto"/>
      </w:divBdr>
    </w:div>
    <w:div w:id="208217263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ic-wd.org/blog/recent-research-build-knowledge-child-welfare-workforce"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gao.gov/products/gao-03-35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wla.org/wp-content/uploads/2014/05/DirectServiceWEB.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DB25D-F193-4A9B-8B80-CDA9A2B9B2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www.w3.org/XML/1998/namespace"/>
    <ds:schemaRef ds:uri="http://purl.org/dc/dcmitype/"/>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15F01BFC-A955-4383-88E6-1EF05F5C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5835</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Smith</dc:creator>
  <cp:lastModifiedBy>Jones, Molly (ACF)</cp:lastModifiedBy>
  <cp:revision>4</cp:revision>
  <dcterms:created xsi:type="dcterms:W3CDTF">2021-01-06T15:05:00Z</dcterms:created>
  <dcterms:modified xsi:type="dcterms:W3CDTF">2021-01-11T14:03:00Z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