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6A3E" w:rsidR="0055765D" w:rsidP="0055765D" w:rsidRDefault="0055765D" w14:paraId="2453897D" w14:textId="77777777">
      <w:pPr>
        <w:pStyle w:val="Title"/>
        <w:rPr>
          <w:color w:val="000000" w:themeColor="text1"/>
        </w:rPr>
      </w:pPr>
      <w:r w:rsidRPr="00866A3E">
        <w:rPr>
          <w:color w:val="000000" w:themeColor="text1"/>
        </w:rPr>
        <w:t>SUPPORTING STATEMENT</w:t>
      </w:r>
    </w:p>
    <w:p w:rsidRPr="00866A3E" w:rsidR="0055765D" w:rsidP="0055765D" w:rsidRDefault="0055765D" w14:paraId="33CE51EF" w14:textId="77777777">
      <w:pPr>
        <w:pStyle w:val="Title"/>
        <w:rPr>
          <w:color w:val="000000" w:themeColor="text1"/>
        </w:rPr>
      </w:pPr>
      <w:r w:rsidRPr="00866A3E">
        <w:rPr>
          <w:color w:val="000000" w:themeColor="text1"/>
        </w:rPr>
        <w:t>FOR PAPERWORK REDUCTION ACT SUBMISSION</w:t>
      </w:r>
    </w:p>
    <w:p w:rsidRPr="00866A3E" w:rsidR="0055765D" w:rsidP="0055765D" w:rsidRDefault="0055765D" w14:paraId="0D2A0948" w14:textId="77777777">
      <w:pPr>
        <w:jc w:val="center"/>
        <w:rPr>
          <w:b/>
          <w:color w:val="000000" w:themeColor="text1"/>
        </w:rPr>
      </w:pPr>
      <w:r w:rsidRPr="00866A3E">
        <w:rPr>
          <w:b/>
          <w:color w:val="000000" w:themeColor="text1"/>
        </w:rPr>
        <w:t>Independent Living Services Program Performance Report</w:t>
      </w:r>
    </w:p>
    <w:p w:rsidRPr="00866A3E" w:rsidR="0055765D" w:rsidP="0055765D" w:rsidRDefault="0055765D" w14:paraId="20B2BF43" w14:textId="77777777">
      <w:pPr>
        <w:jc w:val="center"/>
        <w:rPr>
          <w:b/>
          <w:color w:val="000000" w:themeColor="text1"/>
        </w:rPr>
      </w:pPr>
      <w:r w:rsidRPr="00866A3E">
        <w:rPr>
          <w:b/>
          <w:color w:val="000000" w:themeColor="text1"/>
        </w:rPr>
        <w:t xml:space="preserve">OMB Number: 0985-0043 </w:t>
      </w:r>
    </w:p>
    <w:p w:rsidRPr="00866A3E" w:rsidR="0055765D" w:rsidP="0055765D" w:rsidRDefault="0055765D" w14:paraId="04603859" w14:textId="77777777">
      <w:pPr>
        <w:jc w:val="center"/>
        <w:rPr>
          <w:color w:val="000000" w:themeColor="text1"/>
        </w:rPr>
      </w:pPr>
    </w:p>
    <w:p w:rsidRPr="00866A3E" w:rsidR="0055765D" w:rsidP="0055765D" w:rsidRDefault="0055765D" w14:paraId="7A5E5AFC" w14:textId="77777777">
      <w:pPr>
        <w:pStyle w:val="Heading1"/>
        <w:numPr>
          <w:ilvl w:val="0"/>
          <w:numId w:val="3"/>
        </w:numPr>
        <w:spacing w:after="0"/>
        <w:rPr>
          <w:rFonts w:cs="Times New Roman"/>
          <w:color w:val="000000" w:themeColor="text1"/>
          <w:sz w:val="24"/>
          <w:szCs w:val="24"/>
        </w:rPr>
      </w:pPr>
      <w:r w:rsidRPr="00866A3E">
        <w:rPr>
          <w:rFonts w:cs="Times New Roman"/>
          <w:color w:val="000000" w:themeColor="text1"/>
          <w:sz w:val="24"/>
          <w:szCs w:val="24"/>
        </w:rPr>
        <w:t>Justification</w:t>
      </w:r>
    </w:p>
    <w:p w:rsidRPr="00866A3E" w:rsidR="0055765D" w:rsidP="0055765D" w:rsidRDefault="0055765D" w14:paraId="10D57FA5" w14:textId="77777777">
      <w:pPr>
        <w:pStyle w:val="Heading1"/>
        <w:numPr>
          <w:ilvl w:val="0"/>
          <w:numId w:val="0"/>
        </w:numPr>
        <w:spacing w:after="0"/>
        <w:rPr>
          <w:rFonts w:cs="Times New Roman"/>
          <w:color w:val="000000" w:themeColor="text1"/>
          <w:sz w:val="24"/>
          <w:szCs w:val="24"/>
        </w:rPr>
      </w:pPr>
      <w:r w:rsidRPr="00866A3E">
        <w:rPr>
          <w:rFonts w:cs="Times New Roman"/>
          <w:color w:val="000000" w:themeColor="text1"/>
          <w:sz w:val="24"/>
          <w:szCs w:val="24"/>
        </w:rPr>
        <w:t xml:space="preserve"> </w:t>
      </w:r>
    </w:p>
    <w:p w:rsidRPr="00866A3E" w:rsidR="0055765D" w:rsidP="0055765D" w:rsidRDefault="0055765D" w14:paraId="698E876C" w14:textId="77777777">
      <w:pPr>
        <w:pStyle w:val="ListParagraph"/>
        <w:numPr>
          <w:ilvl w:val="0"/>
          <w:numId w:val="1"/>
        </w:numPr>
        <w:spacing w:before="0" w:after="0"/>
        <w:ind w:left="0"/>
        <w:rPr>
          <w:b/>
          <w:color w:val="000000" w:themeColor="text1"/>
        </w:rPr>
      </w:pPr>
      <w:r w:rsidRPr="00866A3E">
        <w:rPr>
          <w:b/>
          <w:color w:val="000000" w:themeColor="text1"/>
        </w:rPr>
        <w:t xml:space="preserve">Circumstances Making the Collection of Information Necessary </w:t>
      </w:r>
    </w:p>
    <w:p w:rsidRPr="00866A3E" w:rsidR="0055765D" w:rsidP="0055765D" w:rsidRDefault="0055765D" w14:paraId="1BEE3A11" w14:textId="77777777">
      <w:pPr>
        <w:pStyle w:val="ListParagraph"/>
        <w:spacing w:before="0" w:after="0"/>
        <w:ind w:left="0"/>
        <w:rPr>
          <w:b/>
          <w:color w:val="000000" w:themeColor="text1"/>
        </w:rPr>
      </w:pPr>
    </w:p>
    <w:p w:rsidRPr="00327EBF" w:rsidR="00327EBF" w:rsidP="00327EBF" w:rsidRDefault="0055765D" w14:paraId="4BBA116B" w14:textId="7B63CD07">
      <w:pPr>
        <w:pStyle w:val="ListParagraph"/>
        <w:spacing w:before="0" w:after="0"/>
        <w:ind w:left="0"/>
        <w:rPr>
          <w:color w:val="000000" w:themeColor="text1"/>
        </w:rPr>
      </w:pPr>
      <w:r w:rsidRPr="00866A3E">
        <w:rPr>
          <w:color w:val="000000" w:themeColor="text1"/>
        </w:rPr>
        <w:t xml:space="preserve">In compliance with 44 U.S.C. § 3507, ACL has submitted the following proposed collection of information to OMB for review and clearance. </w:t>
      </w:r>
      <w:r w:rsidRPr="00E62389" w:rsidR="00327EBF">
        <w:rPr>
          <w:szCs w:val="20"/>
        </w:rPr>
        <w:t xml:space="preserve">The Independent Living Services (ILS) program provides financial assistance, through formula grants, to states, the District of Columbia, Puerto Rico, </w:t>
      </w:r>
      <w:r w:rsidR="00327EBF">
        <w:rPr>
          <w:szCs w:val="20"/>
        </w:rPr>
        <w:t>American Samoa, the Commonwealth of the Northern Mariana Islands, Guam, and the US Virgin Islands</w:t>
      </w:r>
      <w:r w:rsidRPr="00E62389" w:rsidR="00327EBF">
        <w:rPr>
          <w:szCs w:val="20"/>
        </w:rPr>
        <w:t xml:space="preserve"> for expanding, and improving the provision of, IL services. The Designated State Entity (DSE) is the agency that, on behalf of the state, receives, accounts for, and disburses funds received under Part B of the </w:t>
      </w:r>
      <w:r w:rsidRPr="00E62389" w:rsidR="00327EBF">
        <w:t>Rehabilitation Act of 1973, as amended</w:t>
      </w:r>
      <w:r w:rsidRPr="00E62389" w:rsidR="00327EBF">
        <w:rPr>
          <w:szCs w:val="20"/>
        </w:rPr>
        <w:t>. Funds are also made available for the provision of training and technical assistance to Statewide Independent Living Councils (SILCs). The</w:t>
      </w:r>
      <w:r w:rsidR="00327EBF">
        <w:rPr>
          <w:szCs w:val="20"/>
        </w:rPr>
        <w:t xml:space="preserve"> Act</w:t>
      </w:r>
      <w:r w:rsidRPr="00E62389" w:rsidR="00327EBF">
        <w:rPr>
          <w:szCs w:val="20"/>
        </w:rPr>
        <w:t xml:space="preserve"> requires three IL program reports: (1) State Plan for Independent Living (SPIL), (2) ILS Program Performance Report</w:t>
      </w:r>
      <w:r w:rsidR="00327EBF">
        <w:rPr>
          <w:szCs w:val="20"/>
        </w:rPr>
        <w:t xml:space="preserve"> (PPR)</w:t>
      </w:r>
      <w:r w:rsidRPr="00E62389" w:rsidR="00327EBF">
        <w:rPr>
          <w:szCs w:val="20"/>
        </w:rPr>
        <w:t>, and (3) Center for Independent Living (CIL) PPR. This request is for the ILS PPR,</w:t>
      </w:r>
      <w:r w:rsidR="00327EBF">
        <w:rPr>
          <w:szCs w:val="20"/>
        </w:rPr>
        <w:t xml:space="preserve"> which is</w:t>
      </w:r>
      <w:r w:rsidRPr="00E62389" w:rsidR="00327EBF">
        <w:rPr>
          <w:szCs w:val="20"/>
        </w:rPr>
        <w:t xml:space="preserve"> submitted annually by the SILC and DSE in every state that receives Part B funds. </w:t>
      </w:r>
      <w:r w:rsidR="00327EBF">
        <w:rPr>
          <w:szCs w:val="20"/>
        </w:rPr>
        <w:t>T</w:t>
      </w:r>
      <w:r w:rsidRPr="00E62389" w:rsidR="00327EBF">
        <w:rPr>
          <w:szCs w:val="20"/>
        </w:rPr>
        <w:t>he ILS PPRs</w:t>
      </w:r>
      <w:r w:rsidR="00327EBF">
        <w:rPr>
          <w:szCs w:val="20"/>
        </w:rPr>
        <w:t xml:space="preserve"> are used by ACL</w:t>
      </w:r>
      <w:r w:rsidRPr="00E62389" w:rsidR="00327EBF">
        <w:rPr>
          <w:szCs w:val="20"/>
        </w:rPr>
        <w:t xml:space="preserve"> </w:t>
      </w:r>
      <w:r w:rsidR="00327EBF">
        <w:rPr>
          <w:szCs w:val="20"/>
        </w:rPr>
        <w:t>t</w:t>
      </w:r>
      <w:r w:rsidRPr="00E62389" w:rsidR="00327EBF">
        <w:rPr>
          <w:szCs w:val="20"/>
        </w:rPr>
        <w:t xml:space="preserve">o assess grantees’ compliance with title VII of the Act, with 45 CFR part 1329 of the Code of Federal Regulations, and with applicable provisions of the HHS Regulations at 45 CFR part 75. The ILS PPR serves as the primary basis for </w:t>
      </w:r>
      <w:r w:rsidRPr="00E62389" w:rsidR="00327EBF">
        <w:rPr>
          <w:szCs w:val="20"/>
        </w:rPr>
        <w:t xml:space="preserve">ACL </w:t>
      </w:r>
      <w:r w:rsidRPr="00E62389" w:rsidR="00327EBF">
        <w:rPr>
          <w:szCs w:val="20"/>
        </w:rPr>
        <w:t>monitoring activities in fulfillment of its responsibilities under se</w:t>
      </w:r>
      <w:r w:rsidR="00327EBF">
        <w:rPr>
          <w:szCs w:val="20"/>
        </w:rPr>
        <w:t>ctions 706 and 722 of the Act. The</w:t>
      </w:r>
      <w:r w:rsidRPr="00E62389" w:rsidR="00327EBF">
        <w:rPr>
          <w:szCs w:val="20"/>
        </w:rPr>
        <w:t xml:space="preserve"> PPR</w:t>
      </w:r>
      <w:r w:rsidR="00327EBF">
        <w:rPr>
          <w:szCs w:val="20"/>
        </w:rPr>
        <w:t xml:space="preserve"> is also used by ACL</w:t>
      </w:r>
      <w:r w:rsidRPr="00E62389" w:rsidR="00327EBF">
        <w:rPr>
          <w:szCs w:val="20"/>
        </w:rPr>
        <w:t xml:space="preserve"> to design CIL and SILC training and technical assistance programs authorized by section 721 of the Act.</w:t>
      </w:r>
    </w:p>
    <w:p w:rsidR="00327EBF" w:rsidP="0055765D" w:rsidRDefault="00327EBF" w14:paraId="28286D96" w14:textId="77777777">
      <w:pPr>
        <w:pStyle w:val="ListParagraph"/>
        <w:spacing w:before="0" w:after="0"/>
        <w:ind w:left="0"/>
        <w:rPr>
          <w:color w:val="000000" w:themeColor="text1"/>
        </w:rPr>
      </w:pPr>
    </w:p>
    <w:p w:rsidR="00327EBF" w:rsidP="0055765D" w:rsidRDefault="00327EBF" w14:paraId="2E55DFCE" w14:textId="77777777">
      <w:pPr>
        <w:pStyle w:val="ListParagraph"/>
        <w:spacing w:before="0" w:after="0"/>
        <w:ind w:left="0"/>
        <w:rPr>
          <w:color w:val="000000" w:themeColor="text1"/>
        </w:rPr>
      </w:pPr>
    </w:p>
    <w:p w:rsidRPr="00866A3E" w:rsidR="0055765D" w:rsidP="0055765D" w:rsidRDefault="0055765D" w14:paraId="1D364D02" w14:textId="32AB3CDE">
      <w:pPr>
        <w:pStyle w:val="ListParagraph"/>
        <w:spacing w:before="0" w:after="0"/>
        <w:ind w:left="0"/>
        <w:rPr>
          <w:color w:val="000000" w:themeColor="text1"/>
        </w:rPr>
      </w:pPr>
      <w:r w:rsidRPr="00866A3E">
        <w:rPr>
          <w:color w:val="000000" w:themeColor="text1"/>
        </w:rPr>
        <w:t xml:space="preserve">This request is for the ILS PPR, submitted annually by the SILC and DSE in every state that receives </w:t>
      </w:r>
      <w:r>
        <w:rPr>
          <w:color w:val="000000" w:themeColor="text1"/>
        </w:rPr>
        <w:t>Part</w:t>
      </w:r>
      <w:r w:rsidRPr="00866A3E">
        <w:rPr>
          <w:color w:val="000000" w:themeColor="text1"/>
        </w:rPr>
        <w:t xml:space="preserve"> B funds. The ILS PPR serves as the </w:t>
      </w:r>
      <w:r w:rsidR="00327EBF">
        <w:rPr>
          <w:color w:val="000000" w:themeColor="text1"/>
        </w:rPr>
        <w:t>primary</w:t>
      </w:r>
      <w:r w:rsidRPr="00866A3E">
        <w:rPr>
          <w:color w:val="000000" w:themeColor="text1"/>
        </w:rPr>
        <w:t xml:space="preserve"> way for DSEs to fulfill their requirement to “submit . . . reports with respect to . . . records” of “the amount and disposition of . . . financial assistance” from ACL and the costs of projects that financial assistance from ACL pays for. 29 U.S.C. § 704(m)(4); 45 CFR 1329.6(b).</w:t>
      </w:r>
    </w:p>
    <w:p w:rsidRPr="00866A3E" w:rsidR="0055765D" w:rsidP="0055765D" w:rsidRDefault="0055765D" w14:paraId="47350D5C" w14:textId="77777777">
      <w:pPr>
        <w:pStyle w:val="ListParagraph"/>
        <w:spacing w:before="0" w:after="0"/>
        <w:ind w:left="0"/>
        <w:rPr>
          <w:b/>
          <w:color w:val="000000" w:themeColor="text1"/>
        </w:rPr>
      </w:pPr>
    </w:p>
    <w:p w:rsidRPr="00866A3E" w:rsidR="0055765D" w:rsidP="0055765D" w:rsidRDefault="0055765D" w14:paraId="594E4EC6" w14:textId="7372EE91">
      <w:pPr>
        <w:pStyle w:val="ListParagraph"/>
        <w:spacing w:before="0" w:after="0"/>
        <w:ind w:left="0"/>
        <w:rPr>
          <w:color w:val="000000" w:themeColor="text1"/>
        </w:rPr>
      </w:pPr>
      <w:r w:rsidRPr="00866A3E">
        <w:rPr>
          <w:color w:val="000000" w:themeColor="text1"/>
        </w:rPr>
        <w:t xml:space="preserve">This collection of information is an extension </w:t>
      </w:r>
      <w:r w:rsidR="00327EBF">
        <w:rPr>
          <w:color w:val="000000" w:themeColor="text1"/>
        </w:rPr>
        <w:t>without change.</w:t>
      </w:r>
    </w:p>
    <w:p w:rsidRPr="00866A3E" w:rsidR="0055765D" w:rsidP="0055765D" w:rsidRDefault="0055765D" w14:paraId="2C30DF4B" w14:textId="77777777">
      <w:pPr>
        <w:pStyle w:val="ListParagraph"/>
        <w:spacing w:before="0" w:after="0"/>
        <w:ind w:left="0"/>
        <w:rPr>
          <w:color w:val="000000" w:themeColor="text1"/>
        </w:rPr>
      </w:pPr>
    </w:p>
    <w:p w:rsidRPr="00866A3E" w:rsidR="0055765D" w:rsidP="0055765D" w:rsidRDefault="0055765D" w14:paraId="69F30028" w14:textId="77777777">
      <w:pPr>
        <w:pStyle w:val="ListParagraph"/>
        <w:numPr>
          <w:ilvl w:val="0"/>
          <w:numId w:val="1"/>
        </w:numPr>
        <w:spacing w:before="0" w:after="0"/>
        <w:ind w:left="0"/>
        <w:rPr>
          <w:b/>
          <w:color w:val="000000" w:themeColor="text1"/>
        </w:rPr>
      </w:pPr>
      <w:r w:rsidRPr="00866A3E">
        <w:rPr>
          <w:b/>
          <w:color w:val="000000" w:themeColor="text1"/>
        </w:rPr>
        <w:t>Purpose and Use of the Information Collection</w:t>
      </w:r>
    </w:p>
    <w:p w:rsidRPr="00866A3E" w:rsidR="0055765D" w:rsidP="0055765D" w:rsidRDefault="0055765D" w14:paraId="2A59FC6A" w14:textId="77777777">
      <w:pPr>
        <w:spacing w:after="0"/>
        <w:rPr>
          <w:color w:val="000000" w:themeColor="text1"/>
        </w:rPr>
      </w:pPr>
    </w:p>
    <w:p w:rsidR="00327EBF" w:rsidP="0055765D" w:rsidRDefault="0055765D" w14:paraId="5BB44CFC" w14:textId="77777777">
      <w:pPr>
        <w:spacing w:after="0"/>
        <w:rPr>
          <w:color w:val="000000" w:themeColor="text1"/>
        </w:rPr>
      </w:pPr>
      <w:r w:rsidRPr="00866A3E">
        <w:rPr>
          <w:color w:val="000000" w:themeColor="text1"/>
        </w:rPr>
        <w:t xml:space="preserve">The ILS PPRs are used by ACL to assess grantees’ compliance with Title VII of the Act, with 45 CFR part 1329 of the Code of Federal Regulations, and with applicable provisions of the HHS Regulations at 45 CFR part 75. </w:t>
      </w:r>
      <w:r w:rsidR="00327EBF">
        <w:rPr>
          <w:color w:val="000000" w:themeColor="text1"/>
        </w:rPr>
        <w:t>ACL</w:t>
      </w:r>
      <w:r w:rsidRPr="00866A3E">
        <w:rPr>
          <w:color w:val="000000" w:themeColor="text1"/>
        </w:rPr>
        <w:t xml:space="preserve"> assessments </w:t>
      </w:r>
      <w:r w:rsidRPr="00866A3E" w:rsidR="00327EBF">
        <w:rPr>
          <w:color w:val="000000" w:themeColor="text1"/>
        </w:rPr>
        <w:t xml:space="preserve">of </w:t>
      </w:r>
      <w:r w:rsidR="00327EBF">
        <w:rPr>
          <w:color w:val="000000" w:themeColor="text1"/>
        </w:rPr>
        <w:t xml:space="preserve">the PPRs </w:t>
      </w:r>
      <w:r w:rsidRPr="00866A3E">
        <w:rPr>
          <w:color w:val="000000" w:themeColor="text1"/>
        </w:rPr>
        <w:t>provides technical assistance, further assesses compliance, grants and denies continuations, and terminates grants. ILS PPRs are necessary forms of compliance assessment.</w:t>
      </w:r>
    </w:p>
    <w:p w:rsidR="00327EBF" w:rsidP="0055765D" w:rsidRDefault="00327EBF" w14:paraId="655814D0" w14:textId="77777777">
      <w:pPr>
        <w:spacing w:after="0"/>
        <w:rPr>
          <w:color w:val="000000" w:themeColor="text1"/>
        </w:rPr>
      </w:pPr>
    </w:p>
    <w:p w:rsidRPr="00866A3E" w:rsidR="0055765D" w:rsidP="0055765D" w:rsidRDefault="0055765D" w14:paraId="593527FA" w14:textId="6485353B">
      <w:pPr>
        <w:spacing w:after="0"/>
        <w:rPr>
          <w:b/>
          <w:color w:val="000000" w:themeColor="text1"/>
        </w:rPr>
      </w:pPr>
      <w:r w:rsidRPr="00866A3E">
        <w:rPr>
          <w:color w:val="000000" w:themeColor="text1"/>
        </w:rPr>
        <w:t xml:space="preserve"> In addition, ILS PPRs alert ACL about what grantees need further assessment. The PPR is also used by ACL to design CIL and SILC training and technical assistance programs authorized by section 721 of the Act. </w:t>
      </w:r>
      <w:r w:rsidRPr="00866A3E">
        <w:rPr>
          <w:color w:val="000000" w:themeColor="text1"/>
          <w:u w:val="single"/>
        </w:rPr>
        <w:t>See</w:t>
      </w:r>
      <w:r w:rsidRPr="00866A3E">
        <w:rPr>
          <w:color w:val="000000" w:themeColor="text1"/>
        </w:rPr>
        <w:t xml:space="preserve"> 29 U.S.C. § 721(b)(1); </w:t>
      </w:r>
      <w:r w:rsidRPr="00866A3E">
        <w:rPr>
          <w:color w:val="000000" w:themeColor="text1"/>
          <w:u w:val="single"/>
        </w:rPr>
        <w:t>see</w:t>
      </w:r>
      <w:r w:rsidRPr="00866A3E">
        <w:rPr>
          <w:color w:val="000000" w:themeColor="text1"/>
        </w:rPr>
        <w:t xml:space="preserve"> 45 CFR 1329.24.</w:t>
      </w:r>
      <w:r>
        <w:rPr>
          <w:color w:val="000000" w:themeColor="text1"/>
        </w:rPr>
        <w:t xml:space="preserve"> The data is also used to meet the requirements of GPRAMA regarding performance measures. </w:t>
      </w:r>
      <w:r w:rsidRPr="00BF4777" w:rsidR="00ED799D">
        <w:rPr>
          <w:color w:val="000000" w:themeColor="text1"/>
          <w:u w:val="single"/>
        </w:rPr>
        <w:t>See</w:t>
      </w:r>
      <w:r w:rsidR="00ED799D">
        <w:rPr>
          <w:color w:val="000000" w:themeColor="text1"/>
        </w:rPr>
        <w:t xml:space="preserve"> </w:t>
      </w:r>
      <w:r w:rsidRPr="003B0B98" w:rsidR="003B0B98">
        <w:rPr>
          <w:color w:val="000000" w:themeColor="text1"/>
        </w:rPr>
        <w:t>31 U.S.</w:t>
      </w:r>
      <w:r w:rsidR="00636F52">
        <w:rPr>
          <w:color w:val="000000" w:themeColor="text1"/>
        </w:rPr>
        <w:t>C.</w:t>
      </w:r>
      <w:r w:rsidRPr="003B0B98" w:rsidR="003B0B98">
        <w:rPr>
          <w:color w:val="000000" w:themeColor="text1"/>
        </w:rPr>
        <w:t xml:space="preserve"> § 1116</w:t>
      </w:r>
      <w:r w:rsidR="003B0B98">
        <w:rPr>
          <w:color w:val="000000" w:themeColor="text1"/>
        </w:rPr>
        <w:t>.</w:t>
      </w:r>
    </w:p>
    <w:p w:rsidRPr="00866A3E" w:rsidR="0055765D" w:rsidP="0055765D" w:rsidRDefault="0055765D" w14:paraId="674B87DF" w14:textId="77777777">
      <w:pPr>
        <w:pStyle w:val="ListParagraph"/>
        <w:spacing w:before="0" w:after="0"/>
        <w:ind w:left="0"/>
        <w:rPr>
          <w:color w:val="000000" w:themeColor="text1"/>
        </w:rPr>
      </w:pPr>
    </w:p>
    <w:p w:rsidRPr="00866A3E" w:rsidR="0055765D" w:rsidP="0055765D" w:rsidRDefault="0055765D" w14:paraId="57A85EFC" w14:textId="77777777">
      <w:pPr>
        <w:pStyle w:val="ListParagraph"/>
        <w:numPr>
          <w:ilvl w:val="0"/>
          <w:numId w:val="1"/>
        </w:numPr>
        <w:spacing w:before="0" w:after="0"/>
        <w:ind w:left="0"/>
        <w:rPr>
          <w:b/>
          <w:color w:val="000000" w:themeColor="text1"/>
        </w:rPr>
      </w:pPr>
      <w:r w:rsidRPr="00866A3E">
        <w:rPr>
          <w:b/>
          <w:color w:val="000000" w:themeColor="text1"/>
        </w:rPr>
        <w:t xml:space="preserve">Use of Improved Information Technology and Burden Reduction </w:t>
      </w:r>
    </w:p>
    <w:p w:rsidRPr="00866A3E" w:rsidR="0055765D" w:rsidP="0055765D" w:rsidRDefault="0055765D" w14:paraId="7150D5BE" w14:textId="77777777">
      <w:pPr>
        <w:pStyle w:val="ListParagraph"/>
        <w:spacing w:before="0" w:after="0"/>
        <w:ind w:left="0"/>
        <w:rPr>
          <w:b/>
          <w:color w:val="000000" w:themeColor="text1"/>
        </w:rPr>
      </w:pPr>
    </w:p>
    <w:p w:rsidRPr="00866A3E" w:rsidR="0055765D" w:rsidP="0055765D" w:rsidRDefault="0055765D" w14:paraId="4524BEF4" w14:textId="477C97D4">
      <w:pPr>
        <w:pStyle w:val="ListParagraph"/>
        <w:spacing w:before="0" w:after="0"/>
        <w:ind w:left="0"/>
        <w:rPr>
          <w:color w:val="000000" w:themeColor="text1"/>
        </w:rPr>
      </w:pPr>
      <w:r>
        <w:rPr>
          <w:color w:val="000000" w:themeColor="text1"/>
        </w:rPr>
        <w:t xml:space="preserve">All </w:t>
      </w:r>
      <w:r w:rsidRPr="00866A3E" w:rsidR="00130C94">
        <w:rPr>
          <w:color w:val="000000" w:themeColor="text1"/>
        </w:rPr>
        <w:t>IL</w:t>
      </w:r>
      <w:r w:rsidR="00130C94">
        <w:rPr>
          <w:color w:val="000000" w:themeColor="text1"/>
        </w:rPr>
        <w:t>S</w:t>
      </w:r>
      <w:r w:rsidRPr="00866A3E" w:rsidR="00130C94">
        <w:rPr>
          <w:color w:val="000000" w:themeColor="text1"/>
        </w:rPr>
        <w:t xml:space="preserve"> </w:t>
      </w:r>
      <w:r w:rsidRPr="00866A3E">
        <w:rPr>
          <w:color w:val="000000" w:themeColor="text1"/>
        </w:rPr>
        <w:t>PPRs are submitted</w:t>
      </w:r>
      <w:r w:rsidR="003B0B98">
        <w:rPr>
          <w:color w:val="000000" w:themeColor="text1"/>
        </w:rPr>
        <w:t xml:space="preserve"> according to ACL requirements.</w:t>
      </w:r>
      <w:r w:rsidRPr="00866A3E">
        <w:rPr>
          <w:color w:val="000000" w:themeColor="text1"/>
        </w:rPr>
        <w:t xml:space="preserve"> The questions are phrased in ways that minimize the time and effort that answering requires and in ways that channel answers into categories that conveniently tell ACL what it needs to know. (These forms are all in the same easy-to-understand and easy-to-compare format.)</w:t>
      </w:r>
    </w:p>
    <w:p w:rsidRPr="00866A3E" w:rsidR="0055765D" w:rsidP="0055765D" w:rsidRDefault="0055765D" w14:paraId="2DBE63E5" w14:textId="77777777">
      <w:pPr>
        <w:pStyle w:val="ListParagraph"/>
        <w:spacing w:before="0" w:after="0"/>
        <w:rPr>
          <w:b/>
          <w:color w:val="000000" w:themeColor="text1"/>
        </w:rPr>
      </w:pPr>
    </w:p>
    <w:p w:rsidRPr="00866A3E" w:rsidR="0055765D" w:rsidP="0055765D" w:rsidRDefault="0055765D" w14:paraId="7C0B0614" w14:textId="77777777">
      <w:pPr>
        <w:pStyle w:val="ListParagraph"/>
        <w:numPr>
          <w:ilvl w:val="0"/>
          <w:numId w:val="1"/>
        </w:numPr>
        <w:spacing w:before="0"/>
        <w:ind w:left="0"/>
        <w:contextualSpacing/>
        <w:rPr>
          <w:b/>
          <w:color w:val="000000" w:themeColor="text1"/>
        </w:rPr>
      </w:pPr>
      <w:r w:rsidRPr="00866A3E">
        <w:rPr>
          <w:b/>
          <w:color w:val="000000" w:themeColor="text1"/>
        </w:rPr>
        <w:t xml:space="preserve">Efforts to Identify Duplication and Use of Similar Information </w:t>
      </w:r>
    </w:p>
    <w:p w:rsidRPr="00866A3E" w:rsidR="0055765D" w:rsidP="0055765D" w:rsidRDefault="0055765D" w14:paraId="4DF52ED1" w14:textId="77777777">
      <w:pPr>
        <w:pStyle w:val="ListParagraph"/>
        <w:spacing w:before="0" w:after="0"/>
        <w:ind w:left="0"/>
        <w:contextualSpacing/>
        <w:rPr>
          <w:color w:val="000000" w:themeColor="text1"/>
        </w:rPr>
      </w:pPr>
    </w:p>
    <w:p w:rsidRPr="00866A3E" w:rsidR="0055765D" w:rsidP="0055765D" w:rsidRDefault="0055765D" w14:paraId="5211E403" w14:textId="77777777">
      <w:pPr>
        <w:pStyle w:val="ListParagraph"/>
        <w:spacing w:before="0" w:after="0"/>
        <w:ind w:left="0"/>
        <w:contextualSpacing/>
        <w:rPr>
          <w:color w:val="000000" w:themeColor="text1"/>
        </w:rPr>
      </w:pPr>
      <w:r w:rsidRPr="00866A3E">
        <w:rPr>
          <w:color w:val="000000" w:themeColor="text1"/>
        </w:rPr>
        <w:t>The data is necessary for the purpose described in Item 2 above and is not available through other data collections.</w:t>
      </w:r>
    </w:p>
    <w:p w:rsidRPr="00866A3E" w:rsidR="0055765D" w:rsidP="0055765D" w:rsidRDefault="0055765D" w14:paraId="13652A00" w14:textId="77777777">
      <w:pPr>
        <w:pStyle w:val="ListParagraph"/>
        <w:spacing w:before="0" w:after="0"/>
        <w:ind w:left="0"/>
        <w:rPr>
          <w:color w:val="000000" w:themeColor="text1"/>
        </w:rPr>
      </w:pPr>
    </w:p>
    <w:p w:rsidRPr="00866A3E" w:rsidR="0055765D" w:rsidP="0055765D" w:rsidRDefault="0055765D" w14:paraId="2B08EC7C" w14:textId="77777777">
      <w:pPr>
        <w:pStyle w:val="ListParagraph"/>
        <w:numPr>
          <w:ilvl w:val="0"/>
          <w:numId w:val="1"/>
        </w:numPr>
        <w:spacing w:before="0"/>
        <w:ind w:left="0"/>
        <w:contextualSpacing/>
        <w:rPr>
          <w:b/>
          <w:color w:val="000000" w:themeColor="text1"/>
        </w:rPr>
      </w:pPr>
      <w:r w:rsidRPr="00866A3E">
        <w:rPr>
          <w:b/>
          <w:color w:val="000000" w:themeColor="text1"/>
        </w:rPr>
        <w:t xml:space="preserve">Impact on Small Businesses or Other Small Entities </w:t>
      </w:r>
    </w:p>
    <w:p w:rsidRPr="00866A3E" w:rsidR="0055765D" w:rsidP="0055765D" w:rsidRDefault="0055765D" w14:paraId="10652A84" w14:textId="77777777">
      <w:pPr>
        <w:pStyle w:val="ListParagraph"/>
        <w:spacing w:before="0" w:after="0"/>
        <w:ind w:left="0"/>
        <w:contextualSpacing/>
        <w:rPr>
          <w:color w:val="000000" w:themeColor="text1"/>
        </w:rPr>
      </w:pPr>
    </w:p>
    <w:p w:rsidRPr="00866A3E" w:rsidR="0055765D" w:rsidP="0055765D" w:rsidRDefault="0055765D" w14:paraId="141CB8C9" w14:textId="77777777">
      <w:pPr>
        <w:pStyle w:val="ListParagraph"/>
        <w:spacing w:before="0" w:after="0"/>
        <w:ind w:left="0"/>
        <w:contextualSpacing/>
        <w:rPr>
          <w:color w:val="000000" w:themeColor="text1"/>
        </w:rPr>
      </w:pPr>
      <w:r w:rsidRPr="00866A3E">
        <w:rPr>
          <w:color w:val="000000" w:themeColor="text1"/>
        </w:rPr>
        <w:t>Not applicable.</w:t>
      </w:r>
    </w:p>
    <w:p w:rsidRPr="00866A3E" w:rsidR="0055765D" w:rsidP="0055765D" w:rsidRDefault="0055765D" w14:paraId="2CE9BEA7" w14:textId="77777777">
      <w:pPr>
        <w:pStyle w:val="ListParagraph"/>
        <w:spacing w:before="0" w:after="0"/>
        <w:ind w:left="0"/>
        <w:rPr>
          <w:color w:val="000000" w:themeColor="text1"/>
        </w:rPr>
      </w:pPr>
    </w:p>
    <w:p w:rsidRPr="00866A3E" w:rsidR="0055765D" w:rsidP="0055765D" w:rsidRDefault="0055765D" w14:paraId="1E43D906" w14:textId="77777777">
      <w:pPr>
        <w:pStyle w:val="ListParagraph"/>
        <w:numPr>
          <w:ilvl w:val="0"/>
          <w:numId w:val="1"/>
        </w:numPr>
        <w:spacing w:before="0"/>
        <w:ind w:left="0"/>
        <w:contextualSpacing/>
        <w:rPr>
          <w:b/>
          <w:color w:val="000000" w:themeColor="text1"/>
        </w:rPr>
      </w:pPr>
      <w:r w:rsidRPr="00866A3E">
        <w:rPr>
          <w:b/>
          <w:color w:val="000000" w:themeColor="text1"/>
        </w:rPr>
        <w:t xml:space="preserve">Consequences of Collecting the Information Less Frequently </w:t>
      </w:r>
    </w:p>
    <w:p w:rsidRPr="00866A3E" w:rsidR="0055765D" w:rsidP="0055765D" w:rsidRDefault="0055765D" w14:paraId="2BE9722E" w14:textId="77777777">
      <w:pPr>
        <w:pStyle w:val="ListParagraph"/>
        <w:spacing w:before="0" w:after="0"/>
        <w:ind w:left="0"/>
        <w:contextualSpacing/>
        <w:rPr>
          <w:color w:val="000000" w:themeColor="text1"/>
        </w:rPr>
      </w:pPr>
    </w:p>
    <w:p w:rsidRPr="00866A3E" w:rsidR="0055765D" w:rsidP="0055765D" w:rsidRDefault="0055765D" w14:paraId="35CE0EA0" w14:textId="4CF8CFDE">
      <w:pPr>
        <w:pStyle w:val="ListParagraph"/>
        <w:spacing w:before="0" w:after="0"/>
        <w:ind w:left="0"/>
        <w:contextualSpacing/>
        <w:rPr>
          <w:color w:val="000000" w:themeColor="text1"/>
        </w:rPr>
      </w:pPr>
      <w:r w:rsidRPr="00866A3E">
        <w:rPr>
          <w:color w:val="000000" w:themeColor="text1"/>
        </w:rPr>
        <w:t xml:space="preserve">The Rehab Act, as amended, requires ACL </w:t>
      </w:r>
      <w:r w:rsidR="00327EBF">
        <w:rPr>
          <w:color w:val="000000" w:themeColor="text1"/>
        </w:rPr>
        <w:t xml:space="preserve">annually determine </w:t>
      </w:r>
      <w:r w:rsidRPr="00866A3E">
        <w:rPr>
          <w:color w:val="000000" w:themeColor="text1"/>
        </w:rPr>
        <w:t xml:space="preserve">DSEs have made substantial progress and are, therefore, eligible for continuation awards. Collecting the pertinent information less than annually would not allow ACL to determine </w:t>
      </w:r>
      <w:r w:rsidR="00327EBF">
        <w:rPr>
          <w:color w:val="000000" w:themeColor="text1"/>
        </w:rPr>
        <w:t>grant funding</w:t>
      </w:r>
      <w:r w:rsidRPr="00866A3E">
        <w:rPr>
          <w:color w:val="000000" w:themeColor="text1"/>
        </w:rPr>
        <w:t xml:space="preserve"> and deny continuations as statutorily required. </w:t>
      </w:r>
      <w:r w:rsidRPr="00866A3E">
        <w:rPr>
          <w:color w:val="000000" w:themeColor="text1"/>
          <w:u w:val="single"/>
        </w:rPr>
        <w:t>See</w:t>
      </w:r>
      <w:r w:rsidRPr="00866A3E">
        <w:rPr>
          <w:color w:val="000000" w:themeColor="text1"/>
        </w:rPr>
        <w:t xml:space="preserve"> 29 U.S.C.</w:t>
      </w:r>
      <w:r w:rsidR="00636F52">
        <w:rPr>
          <w:color w:val="000000" w:themeColor="text1"/>
        </w:rPr>
        <w:t xml:space="preserve"> </w:t>
      </w:r>
      <w:r w:rsidRPr="003B0B98" w:rsidR="00636F52">
        <w:rPr>
          <w:color w:val="000000" w:themeColor="text1"/>
        </w:rPr>
        <w:t>§</w:t>
      </w:r>
      <w:r w:rsidRPr="00866A3E">
        <w:rPr>
          <w:color w:val="000000" w:themeColor="text1"/>
        </w:rPr>
        <w:t xml:space="preserve"> 711(a</w:t>
      </w:r>
      <w:r w:rsidRPr="00866A3E" w:rsidR="00327EBF">
        <w:rPr>
          <w:color w:val="000000" w:themeColor="text1"/>
        </w:rPr>
        <w:t>) (</w:t>
      </w:r>
      <w:r w:rsidRPr="00866A3E">
        <w:rPr>
          <w:color w:val="000000" w:themeColor="text1"/>
        </w:rPr>
        <w:t>1</w:t>
      </w:r>
      <w:r w:rsidRPr="00866A3E" w:rsidR="00327EBF">
        <w:rPr>
          <w:color w:val="000000" w:themeColor="text1"/>
        </w:rPr>
        <w:t>) (</w:t>
      </w:r>
      <w:r w:rsidRPr="00866A3E">
        <w:rPr>
          <w:color w:val="000000" w:themeColor="text1"/>
        </w:rPr>
        <w:t>A) (“for each fiscal year . . . , the Administrator shall make an allotment to each state”).</w:t>
      </w:r>
    </w:p>
    <w:p w:rsidRPr="00866A3E" w:rsidR="0055765D" w:rsidP="0055765D" w:rsidRDefault="0055765D" w14:paraId="3D13E7A4" w14:textId="77777777">
      <w:pPr>
        <w:pStyle w:val="ListParagraph"/>
        <w:spacing w:before="0" w:after="0"/>
        <w:ind w:left="0"/>
        <w:rPr>
          <w:color w:val="000000" w:themeColor="text1"/>
        </w:rPr>
      </w:pPr>
    </w:p>
    <w:p w:rsidRPr="00866A3E" w:rsidR="0055765D" w:rsidP="0055765D" w:rsidRDefault="0055765D" w14:paraId="3FAA5E69" w14:textId="77777777">
      <w:pPr>
        <w:pStyle w:val="ListParagraph"/>
        <w:numPr>
          <w:ilvl w:val="0"/>
          <w:numId w:val="1"/>
        </w:numPr>
        <w:spacing w:before="0"/>
        <w:ind w:left="0"/>
        <w:rPr>
          <w:b/>
          <w:color w:val="000000" w:themeColor="text1"/>
        </w:rPr>
      </w:pPr>
      <w:r w:rsidRPr="00866A3E">
        <w:rPr>
          <w:b/>
          <w:color w:val="000000" w:themeColor="text1"/>
        </w:rPr>
        <w:t xml:space="preserve">Special Circumstances Relating to the Guidelines of 5 CFR 1320.5 </w:t>
      </w:r>
    </w:p>
    <w:p w:rsidRPr="00866A3E" w:rsidR="0055765D" w:rsidP="0055765D" w:rsidRDefault="0055765D" w14:paraId="05F4C833" w14:textId="77777777">
      <w:pPr>
        <w:pStyle w:val="ListParagraph"/>
        <w:spacing w:before="0" w:after="0"/>
        <w:ind w:left="0"/>
        <w:rPr>
          <w:b/>
          <w:color w:val="000000" w:themeColor="text1"/>
        </w:rPr>
      </w:pPr>
      <w:r w:rsidRPr="00866A3E">
        <w:rPr>
          <w:b/>
          <w:color w:val="000000" w:themeColor="text1"/>
        </w:rPr>
        <w:t>Explain any special circumstances that would cause an information collection to be conducted in a manner requiring respondents to:</w:t>
      </w:r>
    </w:p>
    <w:p w:rsidRPr="00866A3E" w:rsidR="0055765D" w:rsidP="0055765D" w:rsidRDefault="0055765D" w14:paraId="1AB10F24" w14:textId="77777777">
      <w:pPr>
        <w:pStyle w:val="ListParagraph"/>
        <w:spacing w:before="0" w:after="0"/>
        <w:ind w:left="0"/>
        <w:rPr>
          <w:b/>
          <w:color w:val="000000" w:themeColor="text1"/>
        </w:rPr>
      </w:pPr>
    </w:p>
    <w:p w:rsidRPr="003678F8" w:rsidR="0055765D" w:rsidP="0055765D" w:rsidRDefault="0055765D" w14:paraId="159E9DEA" w14:textId="77777777">
      <w:pPr>
        <w:pStyle w:val="ListParagraph"/>
        <w:numPr>
          <w:ilvl w:val="0"/>
          <w:numId w:val="2"/>
        </w:numPr>
        <w:spacing w:before="0" w:after="0"/>
        <w:ind w:left="360"/>
        <w:rPr>
          <w:b/>
          <w:color w:val="000000" w:themeColor="text1"/>
        </w:rPr>
      </w:pPr>
      <w:r w:rsidRPr="00866A3E">
        <w:rPr>
          <w:b/>
          <w:color w:val="000000" w:themeColor="text1"/>
        </w:rPr>
        <w:t>report information to the agency more often than quarterly;</w:t>
      </w:r>
      <w:r w:rsidRPr="003678F8">
        <w:rPr>
          <w:color w:val="000000" w:themeColor="text1"/>
        </w:rPr>
        <w:tab/>
      </w:r>
    </w:p>
    <w:p w:rsidRPr="00866A3E" w:rsidR="0055765D" w:rsidP="0055765D" w:rsidRDefault="0055765D" w14:paraId="011CD894" w14:textId="77777777">
      <w:pPr>
        <w:pStyle w:val="ListParagraph"/>
        <w:numPr>
          <w:ilvl w:val="0"/>
          <w:numId w:val="2"/>
        </w:numPr>
        <w:spacing w:before="0" w:after="0"/>
        <w:ind w:left="360"/>
        <w:rPr>
          <w:b/>
          <w:color w:val="000000" w:themeColor="text1"/>
        </w:rPr>
      </w:pPr>
      <w:r w:rsidRPr="00866A3E">
        <w:rPr>
          <w:b/>
          <w:color w:val="000000" w:themeColor="text1"/>
        </w:rPr>
        <w:t>prepare a written response to a collection of information in fewer than 30 days after receipt of it;</w:t>
      </w:r>
    </w:p>
    <w:p w:rsidRPr="00866A3E" w:rsidR="0055765D" w:rsidP="0055765D" w:rsidRDefault="0055765D" w14:paraId="4AAD4C94" w14:textId="77777777">
      <w:pPr>
        <w:pStyle w:val="ListParagraph"/>
        <w:numPr>
          <w:ilvl w:val="0"/>
          <w:numId w:val="2"/>
        </w:numPr>
        <w:spacing w:before="0" w:after="0"/>
        <w:ind w:left="360"/>
        <w:rPr>
          <w:b/>
          <w:color w:val="000000" w:themeColor="text1"/>
        </w:rPr>
      </w:pPr>
      <w:r w:rsidRPr="00866A3E">
        <w:rPr>
          <w:b/>
          <w:color w:val="000000" w:themeColor="text1"/>
        </w:rPr>
        <w:t>submit more than an original and two copies of any document;</w:t>
      </w:r>
    </w:p>
    <w:p w:rsidRPr="00866A3E" w:rsidR="0055765D" w:rsidP="0055765D" w:rsidRDefault="0055765D" w14:paraId="755FA70D" w14:textId="77777777">
      <w:pPr>
        <w:pStyle w:val="ListParagraph"/>
        <w:numPr>
          <w:ilvl w:val="0"/>
          <w:numId w:val="2"/>
        </w:numPr>
        <w:spacing w:before="0" w:after="0"/>
        <w:ind w:left="360"/>
        <w:rPr>
          <w:b/>
          <w:color w:val="000000" w:themeColor="text1"/>
        </w:rPr>
      </w:pPr>
      <w:r w:rsidRPr="00866A3E">
        <w:rPr>
          <w:b/>
          <w:color w:val="000000" w:themeColor="text1"/>
        </w:rPr>
        <w:t xml:space="preserve">retain records, other than health, medical, government contract, grant-in-aid, or tax records, for more than three years; </w:t>
      </w:r>
    </w:p>
    <w:p w:rsidRPr="00866A3E" w:rsidR="0055765D" w:rsidP="0055765D" w:rsidRDefault="0055765D" w14:paraId="7198887E" w14:textId="77777777">
      <w:pPr>
        <w:pStyle w:val="ListParagraph"/>
        <w:numPr>
          <w:ilvl w:val="0"/>
          <w:numId w:val="2"/>
        </w:numPr>
        <w:spacing w:before="0" w:after="0"/>
        <w:ind w:left="360"/>
        <w:rPr>
          <w:b/>
          <w:color w:val="000000" w:themeColor="text1"/>
        </w:rPr>
      </w:pPr>
      <w:r w:rsidRPr="003678F8">
        <w:rPr>
          <w:b/>
          <w:color w:val="000000" w:themeColor="text1"/>
        </w:rPr>
        <w:t>design</w:t>
      </w:r>
      <w:r w:rsidRPr="00866A3E">
        <w:rPr>
          <w:color w:val="000000" w:themeColor="text1"/>
        </w:rPr>
        <w:t xml:space="preserve"> </w:t>
      </w:r>
      <w:r w:rsidRPr="00866A3E">
        <w:rPr>
          <w:b/>
          <w:color w:val="000000" w:themeColor="text1"/>
        </w:rPr>
        <w:t>a statistical survey that is not designed to produce valid and reliable results that can be generalized to the universe of study;</w:t>
      </w:r>
    </w:p>
    <w:p w:rsidRPr="00866A3E" w:rsidR="0055765D" w:rsidP="0055765D" w:rsidRDefault="0055765D" w14:paraId="03B943D6" w14:textId="77777777">
      <w:pPr>
        <w:pStyle w:val="ListParagraph"/>
        <w:numPr>
          <w:ilvl w:val="0"/>
          <w:numId w:val="2"/>
        </w:numPr>
        <w:spacing w:before="0" w:after="0"/>
        <w:ind w:left="360"/>
        <w:rPr>
          <w:b/>
          <w:color w:val="000000" w:themeColor="text1"/>
        </w:rPr>
      </w:pPr>
      <w:r w:rsidRPr="00866A3E">
        <w:rPr>
          <w:b/>
          <w:color w:val="000000" w:themeColor="text1"/>
        </w:rPr>
        <w:t>use a statistical data classification that has not been reviewed and approved by OMB;</w:t>
      </w:r>
    </w:p>
    <w:p w:rsidR="00327EBF" w:rsidP="00327EBF" w:rsidRDefault="00327EBF" w14:paraId="172D4138" w14:textId="77777777">
      <w:pPr>
        <w:pStyle w:val="ListParagraph"/>
        <w:spacing w:before="0" w:after="0"/>
        <w:ind w:left="360"/>
        <w:rPr>
          <w:b/>
          <w:color w:val="000000" w:themeColor="text1"/>
        </w:rPr>
      </w:pPr>
    </w:p>
    <w:p w:rsidR="00327EBF" w:rsidP="00327EBF" w:rsidRDefault="00327EBF" w14:paraId="6772EFAC" w14:textId="77777777">
      <w:pPr>
        <w:pStyle w:val="ListParagraph"/>
        <w:spacing w:before="0" w:after="0"/>
        <w:ind w:left="360"/>
        <w:rPr>
          <w:b/>
          <w:color w:val="000000" w:themeColor="text1"/>
        </w:rPr>
      </w:pPr>
    </w:p>
    <w:p w:rsidRPr="00866A3E" w:rsidR="0055765D" w:rsidP="0055765D" w:rsidRDefault="0055765D" w14:paraId="756C182B" w14:textId="6E0596B1">
      <w:pPr>
        <w:pStyle w:val="ListParagraph"/>
        <w:numPr>
          <w:ilvl w:val="0"/>
          <w:numId w:val="2"/>
        </w:numPr>
        <w:spacing w:before="0" w:after="0"/>
        <w:ind w:left="360"/>
        <w:rPr>
          <w:b/>
          <w:color w:val="000000" w:themeColor="text1"/>
        </w:rPr>
      </w:pPr>
      <w:r w:rsidRPr="00866A3E">
        <w:rPr>
          <w:b/>
          <w:color w:val="000000" w:themeColor="text1"/>
        </w:rPr>
        <w:lastRenderedPageBreak/>
        <w:t>include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866A3E" w:rsidR="0055765D" w:rsidP="0055765D" w:rsidRDefault="0055765D" w14:paraId="4EE82900" w14:textId="77777777">
      <w:pPr>
        <w:pStyle w:val="ListParagraph"/>
        <w:numPr>
          <w:ilvl w:val="0"/>
          <w:numId w:val="2"/>
        </w:numPr>
        <w:spacing w:before="0" w:after="0"/>
        <w:ind w:left="360"/>
        <w:rPr>
          <w:b/>
          <w:color w:val="000000" w:themeColor="text1"/>
        </w:rPr>
      </w:pPr>
      <w:r w:rsidRPr="00866A3E">
        <w:rPr>
          <w:b/>
          <w:color w:val="000000" w:themeColor="text1"/>
        </w:rPr>
        <w:t>submit proprietary trade secrets, or other confidential information unless the agency can demonstrate that it has instituted procedures to protect the information’s confidentiality to the extent permitted by law.</w:t>
      </w:r>
    </w:p>
    <w:p w:rsidRPr="00866A3E" w:rsidR="0055765D" w:rsidP="0055765D" w:rsidRDefault="0055765D" w14:paraId="3B79B6BF" w14:textId="77777777">
      <w:pPr>
        <w:tabs>
          <w:tab w:val="left" w:pos="-720"/>
          <w:tab w:val="left" w:pos="1247"/>
        </w:tabs>
        <w:suppressAutoHyphens/>
        <w:spacing w:after="0"/>
        <w:ind w:left="360" w:hanging="360"/>
        <w:rPr>
          <w:color w:val="000000" w:themeColor="text1"/>
        </w:rPr>
      </w:pPr>
    </w:p>
    <w:p w:rsidRPr="00866A3E" w:rsidR="0055765D" w:rsidP="0055765D" w:rsidRDefault="0055765D" w14:paraId="47649DBF" w14:textId="77777777">
      <w:pPr>
        <w:tabs>
          <w:tab w:val="left" w:pos="-720"/>
          <w:tab w:val="left" w:pos="1247"/>
        </w:tabs>
        <w:suppressAutoHyphens/>
        <w:spacing w:after="0"/>
        <w:ind w:left="360" w:hanging="360"/>
        <w:rPr>
          <w:color w:val="000000" w:themeColor="text1"/>
        </w:rPr>
      </w:pPr>
      <w:r w:rsidRPr="00866A3E">
        <w:rPr>
          <w:color w:val="000000" w:themeColor="text1"/>
        </w:rPr>
        <w:t>None of the listed provisions applies to this information collection.</w:t>
      </w:r>
    </w:p>
    <w:p w:rsidRPr="00866A3E" w:rsidR="0055765D" w:rsidP="0055765D" w:rsidRDefault="0055765D" w14:paraId="7A04727D" w14:textId="77777777">
      <w:pPr>
        <w:tabs>
          <w:tab w:val="left" w:pos="-720"/>
          <w:tab w:val="left" w:pos="1247"/>
        </w:tabs>
        <w:suppressAutoHyphens/>
        <w:spacing w:after="0"/>
        <w:ind w:left="360" w:hanging="360"/>
        <w:rPr>
          <w:color w:val="000000" w:themeColor="text1"/>
        </w:rPr>
      </w:pPr>
    </w:p>
    <w:p w:rsidR="00236B6B" w:rsidP="00236B6B" w:rsidRDefault="00236B6B" w14:paraId="52FE7A51" w14:textId="77777777">
      <w:pPr>
        <w:pStyle w:val="ListParagraph"/>
        <w:spacing w:before="0"/>
        <w:ind w:left="0"/>
        <w:contextualSpacing/>
        <w:rPr>
          <w:b/>
          <w:color w:val="000000" w:themeColor="text1"/>
        </w:rPr>
      </w:pPr>
    </w:p>
    <w:p w:rsidR="00236B6B" w:rsidP="00236B6B" w:rsidRDefault="00236B6B" w14:paraId="294869DC" w14:textId="77777777">
      <w:pPr>
        <w:pStyle w:val="ListParagraph"/>
        <w:spacing w:before="0"/>
        <w:ind w:left="0"/>
        <w:contextualSpacing/>
        <w:rPr>
          <w:b/>
          <w:color w:val="000000" w:themeColor="text1"/>
        </w:rPr>
      </w:pPr>
    </w:p>
    <w:p w:rsidR="0055765D" w:rsidP="0055765D" w:rsidRDefault="0055765D" w14:paraId="17A917E7" w14:textId="2499546C">
      <w:pPr>
        <w:pStyle w:val="ListParagraph"/>
        <w:numPr>
          <w:ilvl w:val="0"/>
          <w:numId w:val="1"/>
        </w:numPr>
        <w:spacing w:before="0"/>
        <w:ind w:left="0"/>
        <w:contextualSpacing/>
        <w:rPr>
          <w:b/>
          <w:color w:val="000000" w:themeColor="text1"/>
        </w:rPr>
      </w:pPr>
      <w:r w:rsidRPr="00866A3E">
        <w:rPr>
          <w:b/>
          <w:color w:val="000000" w:themeColor="text1"/>
        </w:rPr>
        <w:t xml:space="preserve">Comments in Response to the Federal Register Notice and Efforts to Consult Outside the Agency </w:t>
      </w:r>
    </w:p>
    <w:p w:rsidR="0055765D" w:rsidP="0055765D" w:rsidRDefault="0055765D" w14:paraId="4D06C160" w14:textId="77777777">
      <w:pPr>
        <w:pStyle w:val="ListParagraph"/>
        <w:spacing w:before="0"/>
        <w:ind w:left="0"/>
        <w:contextualSpacing/>
        <w:rPr>
          <w:color w:val="000000" w:themeColor="text1"/>
        </w:rPr>
      </w:pPr>
    </w:p>
    <w:p w:rsidRPr="00866A3E" w:rsidR="0055765D" w:rsidP="00236B6B" w:rsidRDefault="0055765D" w14:paraId="55259C59" w14:textId="27BCD6C1">
      <w:pPr>
        <w:pStyle w:val="ListParagraph"/>
        <w:spacing w:before="0"/>
        <w:ind w:left="0"/>
        <w:contextualSpacing/>
        <w:rPr>
          <w:color w:val="000000" w:themeColor="text1"/>
        </w:rPr>
      </w:pPr>
      <w:r w:rsidRPr="00866A3E">
        <w:rPr>
          <w:color w:val="000000" w:themeColor="text1"/>
        </w:rPr>
        <w:t xml:space="preserve">A 60-day notice published in the Federal Register in vol. </w:t>
      </w:r>
      <w:r w:rsidRPr="00866A3E" w:rsidR="00ED799D">
        <w:rPr>
          <w:color w:val="000000" w:themeColor="text1"/>
        </w:rPr>
        <w:t>8</w:t>
      </w:r>
      <w:r w:rsidR="00ED799D">
        <w:rPr>
          <w:color w:val="000000" w:themeColor="text1"/>
        </w:rPr>
        <w:t>5</w:t>
      </w:r>
      <w:r w:rsidR="00236B6B">
        <w:rPr>
          <w:color w:val="000000" w:themeColor="text1"/>
        </w:rPr>
        <w:t>, No. 243</w:t>
      </w:r>
      <w:r w:rsidRPr="00866A3E">
        <w:rPr>
          <w:color w:val="000000" w:themeColor="text1"/>
        </w:rPr>
        <w:t xml:space="preserve"> pages </w:t>
      </w:r>
      <w:r w:rsidRPr="00ED799D" w:rsidR="00ED799D">
        <w:rPr>
          <w:color w:val="000000" w:themeColor="text1"/>
        </w:rPr>
        <w:t>81924</w:t>
      </w:r>
      <w:r w:rsidRPr="00866A3E">
        <w:rPr>
          <w:color w:val="000000" w:themeColor="text1"/>
        </w:rPr>
        <w:t>–</w:t>
      </w:r>
      <w:r w:rsidRPr="00ED799D" w:rsidR="00ED799D">
        <w:rPr>
          <w:color w:val="000000" w:themeColor="text1"/>
        </w:rPr>
        <w:t>81925</w:t>
      </w:r>
      <w:r w:rsidR="00ED799D">
        <w:rPr>
          <w:color w:val="000000" w:themeColor="text1"/>
        </w:rPr>
        <w:t xml:space="preserve"> </w:t>
      </w:r>
      <w:r w:rsidRPr="00866A3E">
        <w:rPr>
          <w:color w:val="000000" w:themeColor="text1"/>
        </w:rPr>
        <w:t xml:space="preserve">on </w:t>
      </w:r>
      <w:r w:rsidR="00360365">
        <w:rPr>
          <w:color w:val="000000" w:themeColor="text1"/>
        </w:rPr>
        <w:t>December</w:t>
      </w:r>
      <w:r w:rsidRPr="00866A3E" w:rsidR="00360365">
        <w:rPr>
          <w:color w:val="000000" w:themeColor="text1"/>
        </w:rPr>
        <w:t xml:space="preserve"> 1</w:t>
      </w:r>
      <w:r w:rsidR="00360365">
        <w:rPr>
          <w:color w:val="000000" w:themeColor="text1"/>
        </w:rPr>
        <w:t>7</w:t>
      </w:r>
      <w:r w:rsidRPr="00866A3E">
        <w:rPr>
          <w:color w:val="000000" w:themeColor="text1"/>
        </w:rPr>
        <w:t xml:space="preserve">, </w:t>
      </w:r>
      <w:r w:rsidRPr="00866A3E" w:rsidR="00360365">
        <w:rPr>
          <w:color w:val="000000" w:themeColor="text1"/>
        </w:rPr>
        <w:t>20</w:t>
      </w:r>
      <w:r w:rsidR="00360365">
        <w:rPr>
          <w:color w:val="000000" w:themeColor="text1"/>
        </w:rPr>
        <w:t>20</w:t>
      </w:r>
      <w:r w:rsidRPr="00866A3E">
        <w:rPr>
          <w:color w:val="000000" w:themeColor="text1"/>
        </w:rPr>
        <w:t xml:space="preserve">. </w:t>
      </w:r>
      <w:r w:rsidR="00236B6B">
        <w:rPr>
          <w:color w:val="000000" w:themeColor="text1"/>
        </w:rPr>
        <w:t xml:space="preserve">There were no public comments received. </w:t>
      </w:r>
      <w:r w:rsidR="00327EBF">
        <w:rPr>
          <w:color w:val="000000" w:themeColor="text1"/>
        </w:rPr>
        <w:t xml:space="preserve"> A 30-day notice published in the Federal Register in vol. 86, No. xxx pages xxxx on </w:t>
      </w:r>
      <w:r w:rsidRPr="00327EBF" w:rsidR="00327EBF">
        <w:rPr>
          <w:color w:val="000000" w:themeColor="text1"/>
          <w:highlight w:val="lightGray"/>
        </w:rPr>
        <w:t>[ACL PRA Office Inserts]</w:t>
      </w:r>
    </w:p>
    <w:p w:rsidRPr="00866A3E" w:rsidR="0055765D" w:rsidP="0055765D" w:rsidRDefault="0055765D" w14:paraId="1EEBF174" w14:textId="77777777">
      <w:pPr>
        <w:spacing w:after="0"/>
        <w:rPr>
          <w:b/>
          <w:color w:val="000000" w:themeColor="text1"/>
          <w:u w:val="single"/>
        </w:rPr>
      </w:pPr>
      <w:r w:rsidRPr="00866A3E">
        <w:rPr>
          <w:b/>
          <w:color w:val="000000" w:themeColor="text1"/>
          <w:u w:val="single"/>
        </w:rPr>
        <w:t>External Consultation</w:t>
      </w:r>
    </w:p>
    <w:p w:rsidRPr="00866A3E" w:rsidR="0055765D" w:rsidP="0055765D" w:rsidRDefault="0055765D" w14:paraId="5C9AB0ED" w14:textId="77777777">
      <w:pPr>
        <w:spacing w:after="0"/>
        <w:rPr>
          <w:color w:val="000000" w:themeColor="text1"/>
        </w:rPr>
      </w:pPr>
    </w:p>
    <w:p w:rsidRPr="00866A3E" w:rsidR="0055765D" w:rsidP="0055765D" w:rsidRDefault="0055765D" w14:paraId="3582605F" w14:textId="68526494">
      <w:pPr>
        <w:spacing w:after="0"/>
        <w:rPr>
          <w:color w:val="000000" w:themeColor="text1"/>
        </w:rPr>
      </w:pPr>
      <w:r w:rsidRPr="00866A3E">
        <w:rPr>
          <w:color w:val="000000" w:themeColor="text1"/>
        </w:rPr>
        <w:t xml:space="preserve">ACL </w:t>
      </w:r>
      <w:r w:rsidR="00236B6B">
        <w:rPr>
          <w:color w:val="000000" w:themeColor="text1"/>
        </w:rPr>
        <w:t>did not seek</w:t>
      </w:r>
      <w:r w:rsidRPr="00866A3E">
        <w:rPr>
          <w:color w:val="000000" w:themeColor="text1"/>
        </w:rPr>
        <w:t xml:space="preserve"> external input </w:t>
      </w:r>
      <w:r w:rsidR="00236B6B">
        <w:rPr>
          <w:color w:val="000000" w:themeColor="text1"/>
        </w:rPr>
        <w:t>for this extension without change o</w:t>
      </w:r>
      <w:r w:rsidRPr="00866A3E">
        <w:rPr>
          <w:color w:val="000000" w:themeColor="text1"/>
        </w:rPr>
        <w:t>f the ILS PPR</w:t>
      </w:r>
      <w:r w:rsidR="00236B6B">
        <w:rPr>
          <w:color w:val="000000" w:themeColor="text1"/>
        </w:rPr>
        <w:t xml:space="preserve">. There are no </w:t>
      </w:r>
      <w:r w:rsidRPr="00866A3E" w:rsidR="00236B6B">
        <w:rPr>
          <w:color w:val="000000" w:themeColor="text1"/>
        </w:rPr>
        <w:t>substantive</w:t>
      </w:r>
      <w:r w:rsidRPr="00866A3E">
        <w:rPr>
          <w:color w:val="000000" w:themeColor="text1"/>
        </w:rPr>
        <w:t xml:space="preserve"> changes from the previous version. ACL </w:t>
      </w:r>
      <w:r w:rsidR="00236B6B">
        <w:rPr>
          <w:color w:val="000000" w:themeColor="text1"/>
        </w:rPr>
        <w:t xml:space="preserve">intends </w:t>
      </w:r>
      <w:r w:rsidRPr="00866A3E">
        <w:rPr>
          <w:color w:val="000000" w:themeColor="text1"/>
        </w:rPr>
        <w:t xml:space="preserve">to determine </w:t>
      </w:r>
      <w:r w:rsidR="00236B6B">
        <w:rPr>
          <w:color w:val="000000" w:themeColor="text1"/>
        </w:rPr>
        <w:t>any s</w:t>
      </w:r>
      <w:r w:rsidRPr="00866A3E">
        <w:rPr>
          <w:color w:val="000000" w:themeColor="text1"/>
        </w:rPr>
        <w:t xml:space="preserve">ubstantive changes </w:t>
      </w:r>
      <w:r w:rsidR="00236B6B">
        <w:rPr>
          <w:color w:val="000000" w:themeColor="text1"/>
        </w:rPr>
        <w:t xml:space="preserve">during this next collection period. </w:t>
      </w:r>
    </w:p>
    <w:p w:rsidRPr="00866A3E" w:rsidR="0055765D" w:rsidP="0055765D" w:rsidRDefault="0055765D" w14:paraId="65B7E20B" w14:textId="77777777">
      <w:pPr>
        <w:spacing w:after="0"/>
        <w:rPr>
          <w:color w:val="000000" w:themeColor="text1"/>
        </w:rPr>
      </w:pPr>
    </w:p>
    <w:p w:rsidRPr="00866A3E" w:rsidR="0055765D" w:rsidP="0055765D" w:rsidRDefault="0055765D" w14:paraId="5A67AF6A" w14:textId="77777777">
      <w:pPr>
        <w:pStyle w:val="ListParagraph"/>
        <w:numPr>
          <w:ilvl w:val="0"/>
          <w:numId w:val="1"/>
        </w:numPr>
        <w:spacing w:before="0" w:after="0"/>
        <w:ind w:left="0"/>
        <w:rPr>
          <w:b/>
          <w:color w:val="000000" w:themeColor="text1"/>
        </w:rPr>
      </w:pPr>
      <w:r w:rsidRPr="00866A3E">
        <w:rPr>
          <w:b/>
          <w:color w:val="000000" w:themeColor="text1"/>
        </w:rPr>
        <w:t xml:space="preserve">Explanation of Any Payment or Gift to Respondents </w:t>
      </w:r>
    </w:p>
    <w:p w:rsidR="0055765D" w:rsidP="0055765D" w:rsidRDefault="0055765D" w14:paraId="56C1532B" w14:textId="77777777">
      <w:pPr>
        <w:pStyle w:val="ListParagraph"/>
        <w:spacing w:before="0" w:after="0"/>
        <w:ind w:left="0"/>
        <w:rPr>
          <w:rStyle w:val="a"/>
          <w:b/>
          <w:color w:val="000000" w:themeColor="text1"/>
        </w:rPr>
      </w:pPr>
    </w:p>
    <w:p w:rsidRPr="00866A3E" w:rsidR="0055765D" w:rsidP="0055765D" w:rsidRDefault="0055765D" w14:paraId="51A07468" w14:textId="77777777">
      <w:pPr>
        <w:pStyle w:val="ListParagraph"/>
        <w:spacing w:before="0" w:after="0"/>
        <w:ind w:left="0"/>
        <w:rPr>
          <w:rStyle w:val="a"/>
          <w:b/>
          <w:color w:val="000000" w:themeColor="text1"/>
        </w:rPr>
      </w:pPr>
      <w:r w:rsidRPr="00866A3E">
        <w:rPr>
          <w:rStyle w:val="a"/>
          <w:b/>
          <w:color w:val="000000" w:themeColor="text1"/>
        </w:rPr>
        <w:t>Explain any decision to provide any payment or gift to respondents, other than remuneration of contractors or grantees with meaningful justification.</w:t>
      </w:r>
    </w:p>
    <w:p w:rsidRPr="00866A3E" w:rsidR="0055765D" w:rsidP="0055765D" w:rsidRDefault="0055765D" w14:paraId="139EA72E" w14:textId="77777777">
      <w:pPr>
        <w:pStyle w:val="ListParagraph"/>
        <w:spacing w:before="0" w:after="0"/>
        <w:ind w:left="0"/>
        <w:rPr>
          <w:color w:val="000000" w:themeColor="text1"/>
        </w:rPr>
      </w:pPr>
    </w:p>
    <w:p w:rsidRPr="00866A3E" w:rsidR="0055765D" w:rsidP="0055765D" w:rsidRDefault="0055765D" w14:paraId="48804AAE" w14:textId="77777777">
      <w:pPr>
        <w:pStyle w:val="ListParagraph"/>
        <w:spacing w:before="0" w:after="0"/>
        <w:ind w:left="0"/>
        <w:rPr>
          <w:color w:val="000000" w:themeColor="text1"/>
        </w:rPr>
      </w:pPr>
      <w:r w:rsidRPr="00866A3E">
        <w:rPr>
          <w:color w:val="000000" w:themeColor="text1"/>
        </w:rPr>
        <w:t>Not Applicable.</w:t>
      </w:r>
    </w:p>
    <w:p w:rsidRPr="00866A3E" w:rsidR="0055765D" w:rsidP="0055765D" w:rsidRDefault="0055765D" w14:paraId="7CBDCD2C" w14:textId="77777777">
      <w:pPr>
        <w:pStyle w:val="ListParagraph"/>
        <w:spacing w:before="0" w:after="0"/>
        <w:ind w:left="0"/>
        <w:rPr>
          <w:color w:val="000000" w:themeColor="text1"/>
        </w:rPr>
      </w:pPr>
    </w:p>
    <w:p w:rsidRPr="00866A3E" w:rsidR="0055765D" w:rsidP="0055765D" w:rsidRDefault="0055765D" w14:paraId="18751AA1" w14:textId="77777777">
      <w:pPr>
        <w:pStyle w:val="ListParagraph"/>
        <w:numPr>
          <w:ilvl w:val="0"/>
          <w:numId w:val="1"/>
        </w:numPr>
        <w:spacing w:before="0" w:after="0"/>
        <w:ind w:left="0"/>
        <w:rPr>
          <w:b/>
          <w:color w:val="000000" w:themeColor="text1"/>
        </w:rPr>
      </w:pPr>
      <w:r w:rsidRPr="00866A3E">
        <w:rPr>
          <w:rFonts w:eastAsiaTheme="minorEastAsia"/>
          <w:b/>
          <w:color w:val="000000" w:themeColor="text1"/>
          <w:kern w:val="24"/>
        </w:rPr>
        <w:t>Assurance of Confidentiality Provided to Respondents</w:t>
      </w:r>
    </w:p>
    <w:p w:rsidRPr="00866A3E" w:rsidR="0055765D" w:rsidP="0055765D" w:rsidRDefault="0055765D" w14:paraId="5F8B5FE3" w14:textId="77777777">
      <w:pPr>
        <w:pStyle w:val="ListParagraph"/>
        <w:spacing w:before="0" w:after="0"/>
        <w:ind w:left="0"/>
        <w:rPr>
          <w:color w:val="000000" w:themeColor="text1"/>
        </w:rPr>
      </w:pPr>
    </w:p>
    <w:p w:rsidRPr="00866A3E" w:rsidR="0055765D" w:rsidP="0055765D" w:rsidRDefault="0055765D" w14:paraId="00EA79A9" w14:textId="77777777">
      <w:pPr>
        <w:pStyle w:val="ListParagraph"/>
        <w:spacing w:before="0" w:after="0"/>
        <w:ind w:left="0"/>
        <w:rPr>
          <w:color w:val="000000" w:themeColor="text1"/>
        </w:rPr>
      </w:pPr>
      <w:r w:rsidRPr="00866A3E">
        <w:rPr>
          <w:color w:val="000000" w:themeColor="text1"/>
        </w:rPr>
        <w:t>The Department provides no assurances of confidentiality.</w:t>
      </w:r>
      <w:r w:rsidRPr="00866A3E" w:rsidDel="008875AA">
        <w:rPr>
          <w:color w:val="000000" w:themeColor="text1"/>
        </w:rPr>
        <w:t xml:space="preserve"> </w:t>
      </w:r>
    </w:p>
    <w:p w:rsidRPr="00866A3E" w:rsidR="0055765D" w:rsidP="0055765D" w:rsidRDefault="0055765D" w14:paraId="3E49F4FA" w14:textId="77777777">
      <w:pPr>
        <w:pStyle w:val="ListParagraph"/>
        <w:spacing w:before="0" w:after="0"/>
        <w:ind w:left="0"/>
        <w:rPr>
          <w:color w:val="000000" w:themeColor="text1"/>
        </w:rPr>
      </w:pPr>
    </w:p>
    <w:p w:rsidRPr="00866A3E" w:rsidR="0055765D" w:rsidP="0055765D" w:rsidRDefault="0055765D" w14:paraId="3647F795" w14:textId="77777777">
      <w:pPr>
        <w:pStyle w:val="ListParagraph"/>
        <w:numPr>
          <w:ilvl w:val="0"/>
          <w:numId w:val="1"/>
        </w:numPr>
        <w:spacing w:before="0" w:after="0"/>
        <w:ind w:left="0"/>
        <w:rPr>
          <w:b/>
          <w:color w:val="000000" w:themeColor="text1"/>
        </w:rPr>
      </w:pPr>
      <w:r w:rsidRPr="00866A3E">
        <w:rPr>
          <w:rFonts w:eastAsiaTheme="minorEastAsia"/>
          <w:b/>
          <w:color w:val="000000" w:themeColor="text1"/>
          <w:kern w:val="24"/>
        </w:rPr>
        <w:t>Justification for Sensitive Questions</w:t>
      </w:r>
    </w:p>
    <w:p w:rsidRPr="00866A3E" w:rsidR="0055765D" w:rsidP="0055765D" w:rsidRDefault="0055765D" w14:paraId="01F1EF7E" w14:textId="77777777">
      <w:pPr>
        <w:spacing w:after="0"/>
        <w:rPr>
          <w:b/>
          <w:color w:val="000000" w:themeColor="text1"/>
        </w:rPr>
      </w:pPr>
    </w:p>
    <w:p w:rsidRPr="00866A3E" w:rsidR="0055765D" w:rsidP="0055765D" w:rsidRDefault="0055765D" w14:paraId="397D5884" w14:textId="77777777">
      <w:pPr>
        <w:spacing w:after="0"/>
        <w:rPr>
          <w:color w:val="000000" w:themeColor="text1"/>
        </w:rPr>
      </w:pPr>
      <w:r w:rsidRPr="00866A3E">
        <w:rPr>
          <w:color w:val="000000" w:themeColor="text1"/>
        </w:rPr>
        <w:t>Not Applicable.</w:t>
      </w:r>
    </w:p>
    <w:p w:rsidRPr="00866A3E" w:rsidR="0055765D" w:rsidP="0055765D" w:rsidRDefault="0055765D" w14:paraId="18B98C16" w14:textId="77777777">
      <w:pPr>
        <w:pStyle w:val="ListParagraph"/>
        <w:spacing w:before="0" w:after="0"/>
        <w:ind w:left="0"/>
        <w:rPr>
          <w:color w:val="000000" w:themeColor="text1"/>
        </w:rPr>
      </w:pPr>
    </w:p>
    <w:p w:rsidRPr="00866A3E" w:rsidR="0055765D" w:rsidP="0055765D" w:rsidRDefault="0055765D" w14:paraId="213FE117" w14:textId="77777777">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Estimates of Annualized Burden Hours and Costs</w:t>
      </w:r>
    </w:p>
    <w:p w:rsidRPr="00866A3E" w:rsidR="0055765D" w:rsidP="0055765D" w:rsidRDefault="0055765D" w14:paraId="2AAAF291" w14:textId="77777777">
      <w:pPr>
        <w:spacing w:after="0"/>
        <w:rPr>
          <w:rStyle w:val="a"/>
          <w:color w:val="000000" w:themeColor="text1"/>
        </w:rPr>
      </w:pPr>
    </w:p>
    <w:p w:rsidR="00327EBF" w:rsidP="0055765D" w:rsidRDefault="0055765D" w14:paraId="0712FF4A" w14:textId="77777777">
      <w:pPr>
        <w:spacing w:after="0"/>
        <w:rPr>
          <w:rStyle w:val="a"/>
          <w:color w:val="000000" w:themeColor="text1"/>
        </w:rPr>
      </w:pPr>
      <w:r w:rsidRPr="00866A3E">
        <w:rPr>
          <w:rStyle w:val="a"/>
          <w:color w:val="000000" w:themeColor="text1"/>
        </w:rPr>
        <w:t xml:space="preserve">ACL estimates the burden of this collection of information as follows: Fifty-six jurisdictions—specifically, the fifty states, Puerto Rico, the District of Columbia, and the outlying areas—will each complete ILS PPRs annually, and it will take an estimated </w:t>
      </w:r>
      <w:r>
        <w:rPr>
          <w:rStyle w:val="a"/>
          <w:color w:val="000000" w:themeColor="text1"/>
        </w:rPr>
        <w:t>thirty-five</w:t>
      </w:r>
      <w:r w:rsidRPr="00866A3E">
        <w:rPr>
          <w:rStyle w:val="a"/>
          <w:color w:val="000000" w:themeColor="text1"/>
        </w:rPr>
        <w:t xml:space="preserve"> hours per jurisdiction per ILS PPR.</w:t>
      </w:r>
      <w:r>
        <w:rPr>
          <w:rStyle w:val="a"/>
          <w:color w:val="000000" w:themeColor="text1"/>
        </w:rPr>
        <w:t xml:space="preserve"> Each jurisdiction’s SILC and DSE will collaborate to complete the ILS PPR.</w:t>
      </w:r>
      <w:r w:rsidRPr="00866A3E">
        <w:rPr>
          <w:rStyle w:val="a"/>
          <w:color w:val="000000" w:themeColor="text1"/>
        </w:rPr>
        <w:t xml:space="preserve"> </w:t>
      </w:r>
    </w:p>
    <w:p w:rsidR="00327EBF" w:rsidP="0055765D" w:rsidRDefault="00327EBF" w14:paraId="2C2AE4FC" w14:textId="77777777">
      <w:pPr>
        <w:spacing w:after="0"/>
        <w:rPr>
          <w:rStyle w:val="a"/>
          <w:color w:val="000000" w:themeColor="text1"/>
        </w:rPr>
      </w:pPr>
    </w:p>
    <w:p w:rsidRPr="00866A3E" w:rsidR="0055765D" w:rsidP="0055765D" w:rsidRDefault="0055765D" w14:paraId="7B287BE4" w14:textId="44C09BEE">
      <w:pPr>
        <w:spacing w:after="0"/>
        <w:rPr>
          <w:rStyle w:val="a"/>
          <w:color w:val="000000" w:themeColor="text1"/>
        </w:rPr>
      </w:pPr>
      <w:r w:rsidRPr="00866A3E">
        <w:rPr>
          <w:rStyle w:val="a"/>
          <w:color w:val="000000" w:themeColor="text1"/>
        </w:rPr>
        <w:lastRenderedPageBreak/>
        <w:t xml:space="preserve">The </w:t>
      </w:r>
      <w:r>
        <w:rPr>
          <w:rStyle w:val="a"/>
          <w:color w:val="000000" w:themeColor="text1"/>
        </w:rPr>
        <w:t>fifty-six</w:t>
      </w:r>
      <w:r w:rsidRPr="00866A3E">
        <w:rPr>
          <w:rStyle w:val="a"/>
          <w:color w:val="000000" w:themeColor="text1"/>
        </w:rPr>
        <w:t xml:space="preserve"> jurisdictions combined will take an estimated 1,960 hours per year to complete ILS PPRs. This burden estimate is based on what DSEs and SILCs have told</w:t>
      </w:r>
      <w:r w:rsidR="007E4398">
        <w:rPr>
          <w:rStyle w:val="a"/>
          <w:color w:val="000000" w:themeColor="text1"/>
        </w:rPr>
        <w:t xml:space="preserve"> the Office of Independent Living Programs</w:t>
      </w:r>
      <w:r w:rsidRPr="00866A3E">
        <w:rPr>
          <w:rStyle w:val="a"/>
          <w:color w:val="000000" w:themeColor="text1"/>
        </w:rPr>
        <w:t xml:space="preserve"> </w:t>
      </w:r>
      <w:r w:rsidR="007E4398">
        <w:rPr>
          <w:rStyle w:val="a"/>
          <w:color w:val="000000" w:themeColor="text1"/>
        </w:rPr>
        <w:t>(OILP</w:t>
      </w:r>
      <w:r w:rsidR="00682EE0">
        <w:rPr>
          <w:rStyle w:val="a"/>
          <w:color w:val="000000" w:themeColor="text1"/>
        </w:rPr>
        <w:t>)</w:t>
      </w:r>
      <w:r w:rsidRPr="00866A3E" w:rsidR="007E4398">
        <w:rPr>
          <w:rStyle w:val="a"/>
          <w:color w:val="000000" w:themeColor="text1"/>
        </w:rPr>
        <w:t xml:space="preserve"> </w:t>
      </w:r>
      <w:r w:rsidRPr="00866A3E">
        <w:rPr>
          <w:rStyle w:val="a"/>
          <w:color w:val="000000" w:themeColor="text1"/>
        </w:rPr>
        <w:t>about how long filling out ILS PPRs took in previous reporting years.</w:t>
      </w:r>
    </w:p>
    <w:tbl>
      <w:tblPr>
        <w:tblW w:w="8460"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2880"/>
        <w:gridCol w:w="1530"/>
        <w:gridCol w:w="1530"/>
        <w:gridCol w:w="1260"/>
        <w:gridCol w:w="1260"/>
      </w:tblGrid>
      <w:tr w:rsidRPr="00866A3E" w:rsidR="0055765D" w:rsidTr="00236B6B" w14:paraId="5E8EE8D5" w14:textId="77777777">
        <w:trPr>
          <w:cantSplit/>
          <w:tblHeader/>
        </w:trPr>
        <w:tc>
          <w:tcPr>
            <w:tcW w:w="2880" w:type="dxa"/>
            <w:vAlign w:val="bottom"/>
          </w:tcPr>
          <w:p w:rsidRPr="00866A3E" w:rsidR="0055765D" w:rsidP="00D4067C" w:rsidRDefault="0055765D" w14:paraId="52E2DC6A" w14:textId="77777777">
            <w:pPr>
              <w:pStyle w:val="SL-FlLftSgl"/>
              <w:keepNext/>
              <w:keepLines/>
              <w:spacing w:line="240" w:lineRule="auto"/>
              <w:jc w:val="center"/>
              <w:rPr>
                <w:b/>
                <w:color w:val="000000" w:themeColor="text1"/>
                <w:sz w:val="24"/>
                <w:szCs w:val="24"/>
              </w:rPr>
            </w:pPr>
            <w:r w:rsidRPr="00866A3E">
              <w:rPr>
                <w:b/>
                <w:color w:val="000000" w:themeColor="text1"/>
                <w:sz w:val="24"/>
                <w:szCs w:val="24"/>
              </w:rPr>
              <w:t>Respondent/Data collection activity</w:t>
            </w:r>
          </w:p>
        </w:tc>
        <w:tc>
          <w:tcPr>
            <w:tcW w:w="1530" w:type="dxa"/>
            <w:vAlign w:val="bottom"/>
          </w:tcPr>
          <w:p w:rsidRPr="00866A3E" w:rsidR="0055765D" w:rsidP="00D4067C" w:rsidRDefault="0055765D" w14:paraId="642EBCF3" w14:textId="77777777">
            <w:pPr>
              <w:pStyle w:val="SL-FlLftSgl"/>
              <w:keepNext/>
              <w:keepLines/>
              <w:spacing w:line="240" w:lineRule="auto"/>
              <w:jc w:val="center"/>
              <w:rPr>
                <w:b/>
                <w:color w:val="000000" w:themeColor="text1"/>
                <w:sz w:val="24"/>
                <w:szCs w:val="24"/>
              </w:rPr>
            </w:pPr>
            <w:r w:rsidRPr="00866A3E">
              <w:rPr>
                <w:b/>
                <w:color w:val="000000" w:themeColor="text1"/>
                <w:sz w:val="24"/>
                <w:szCs w:val="24"/>
              </w:rPr>
              <w:t>Number of respondents</w:t>
            </w:r>
          </w:p>
        </w:tc>
        <w:tc>
          <w:tcPr>
            <w:tcW w:w="1530" w:type="dxa"/>
            <w:vAlign w:val="bottom"/>
          </w:tcPr>
          <w:p w:rsidRPr="00866A3E" w:rsidR="0055765D" w:rsidP="00D4067C" w:rsidRDefault="0055765D" w14:paraId="7013AC70" w14:textId="77777777">
            <w:pPr>
              <w:pStyle w:val="SL-FlLftSgl"/>
              <w:keepNext/>
              <w:keepLines/>
              <w:spacing w:line="240" w:lineRule="auto"/>
              <w:jc w:val="center"/>
              <w:rPr>
                <w:b/>
                <w:color w:val="000000" w:themeColor="text1"/>
                <w:sz w:val="24"/>
                <w:szCs w:val="24"/>
              </w:rPr>
            </w:pPr>
            <w:r w:rsidRPr="00866A3E">
              <w:rPr>
                <w:b/>
                <w:color w:val="000000" w:themeColor="text1"/>
                <w:sz w:val="24"/>
                <w:szCs w:val="24"/>
              </w:rPr>
              <w:t>Responses per respondent</w:t>
            </w:r>
          </w:p>
        </w:tc>
        <w:tc>
          <w:tcPr>
            <w:tcW w:w="1260" w:type="dxa"/>
            <w:vAlign w:val="bottom"/>
          </w:tcPr>
          <w:p w:rsidRPr="00866A3E" w:rsidR="0055765D" w:rsidP="00D4067C" w:rsidRDefault="0055765D" w14:paraId="3DCB2FB0" w14:textId="77777777">
            <w:pPr>
              <w:pStyle w:val="SL-FlLftSgl"/>
              <w:keepNext/>
              <w:keepLines/>
              <w:spacing w:line="240" w:lineRule="auto"/>
              <w:jc w:val="center"/>
              <w:rPr>
                <w:b/>
                <w:color w:val="000000" w:themeColor="text1"/>
                <w:sz w:val="24"/>
                <w:szCs w:val="24"/>
              </w:rPr>
            </w:pPr>
            <w:r w:rsidRPr="00866A3E">
              <w:rPr>
                <w:b/>
                <w:color w:val="000000" w:themeColor="text1"/>
                <w:sz w:val="24"/>
                <w:szCs w:val="24"/>
              </w:rPr>
              <w:t>Hours per response</w:t>
            </w:r>
          </w:p>
        </w:tc>
        <w:tc>
          <w:tcPr>
            <w:tcW w:w="1260" w:type="dxa"/>
            <w:vAlign w:val="bottom"/>
          </w:tcPr>
          <w:p w:rsidRPr="00866A3E" w:rsidR="0055765D" w:rsidP="00D4067C" w:rsidRDefault="0055765D" w14:paraId="36F1351A" w14:textId="77777777">
            <w:pPr>
              <w:pStyle w:val="SL-FlLftSgl"/>
              <w:keepNext/>
              <w:keepLines/>
              <w:spacing w:line="240" w:lineRule="auto"/>
              <w:jc w:val="center"/>
              <w:rPr>
                <w:b/>
                <w:color w:val="000000" w:themeColor="text1"/>
                <w:sz w:val="24"/>
                <w:szCs w:val="24"/>
              </w:rPr>
            </w:pPr>
            <w:r w:rsidRPr="00866A3E">
              <w:rPr>
                <w:b/>
                <w:color w:val="000000" w:themeColor="text1"/>
                <w:sz w:val="24"/>
                <w:szCs w:val="24"/>
              </w:rPr>
              <w:t>Total Annual burden hours</w:t>
            </w:r>
          </w:p>
        </w:tc>
      </w:tr>
      <w:tr w:rsidRPr="00866A3E" w:rsidR="0055765D" w:rsidTr="00236B6B" w14:paraId="4F639DAA" w14:textId="77777777">
        <w:trPr>
          <w:cantSplit/>
        </w:trPr>
        <w:tc>
          <w:tcPr>
            <w:tcW w:w="2880" w:type="dxa"/>
          </w:tcPr>
          <w:p w:rsidRPr="00866A3E" w:rsidR="0055765D" w:rsidP="00D4067C" w:rsidRDefault="0055765D" w14:paraId="2B870AAC" w14:textId="77777777">
            <w:pPr>
              <w:pStyle w:val="SL-FlLftSgl"/>
              <w:keepNext/>
              <w:keepLines/>
              <w:spacing w:line="240" w:lineRule="auto"/>
              <w:jc w:val="left"/>
              <w:rPr>
                <w:rFonts w:ascii="Times" w:hAnsi="Times"/>
                <w:color w:val="000000" w:themeColor="text1"/>
                <w:sz w:val="24"/>
              </w:rPr>
            </w:pPr>
            <w:r w:rsidRPr="00866A3E">
              <w:rPr>
                <w:rFonts w:ascii="Times" w:hAnsi="Times"/>
                <w:color w:val="000000" w:themeColor="text1"/>
                <w:sz w:val="24"/>
              </w:rPr>
              <w:t>SILCs and DSEs</w:t>
            </w:r>
          </w:p>
          <w:p w:rsidRPr="00866A3E" w:rsidR="0055765D" w:rsidP="00D4067C" w:rsidRDefault="0055765D" w14:paraId="76B13369" w14:textId="77777777">
            <w:pPr>
              <w:pStyle w:val="SL-FlLftSgl"/>
              <w:keepNext/>
              <w:keepLines/>
              <w:spacing w:line="240" w:lineRule="auto"/>
              <w:jc w:val="left"/>
              <w:rPr>
                <w:color w:val="000000" w:themeColor="text1"/>
                <w:sz w:val="24"/>
                <w:szCs w:val="24"/>
              </w:rPr>
            </w:pPr>
          </w:p>
        </w:tc>
        <w:tc>
          <w:tcPr>
            <w:tcW w:w="1530" w:type="dxa"/>
            <w:vAlign w:val="center"/>
          </w:tcPr>
          <w:p w:rsidRPr="00866A3E" w:rsidR="0055765D" w:rsidP="00D4067C" w:rsidRDefault="0055765D" w14:paraId="070E3590" w14:textId="77777777">
            <w:pPr>
              <w:pStyle w:val="SL-FlLftSgl"/>
              <w:keepNext/>
              <w:keepLines/>
              <w:tabs>
                <w:tab w:val="decimal" w:pos="792"/>
              </w:tabs>
              <w:spacing w:line="240" w:lineRule="auto"/>
              <w:rPr>
                <w:color w:val="000000" w:themeColor="text1"/>
                <w:sz w:val="24"/>
                <w:szCs w:val="24"/>
              </w:rPr>
            </w:pPr>
            <w:r w:rsidRPr="00866A3E">
              <w:rPr>
                <w:color w:val="000000" w:themeColor="text1"/>
                <w:sz w:val="24"/>
                <w:szCs w:val="24"/>
              </w:rPr>
              <w:t>56</w:t>
            </w:r>
          </w:p>
        </w:tc>
        <w:tc>
          <w:tcPr>
            <w:tcW w:w="1530" w:type="dxa"/>
            <w:vAlign w:val="center"/>
          </w:tcPr>
          <w:p w:rsidRPr="00866A3E" w:rsidR="0055765D" w:rsidP="00D4067C" w:rsidRDefault="0055765D" w14:paraId="472996E0" w14:textId="77777777">
            <w:pPr>
              <w:pStyle w:val="SL-FlLftSgl"/>
              <w:keepNext/>
              <w:keepLines/>
              <w:tabs>
                <w:tab w:val="decimal" w:pos="576"/>
              </w:tabs>
              <w:spacing w:line="240" w:lineRule="auto"/>
              <w:jc w:val="left"/>
              <w:rPr>
                <w:color w:val="000000" w:themeColor="text1"/>
                <w:sz w:val="24"/>
                <w:szCs w:val="24"/>
              </w:rPr>
            </w:pPr>
            <w:r w:rsidRPr="00866A3E">
              <w:rPr>
                <w:color w:val="000000" w:themeColor="text1"/>
                <w:sz w:val="24"/>
                <w:szCs w:val="24"/>
              </w:rPr>
              <w:t>1</w:t>
            </w:r>
          </w:p>
        </w:tc>
        <w:tc>
          <w:tcPr>
            <w:tcW w:w="1260" w:type="dxa"/>
            <w:vAlign w:val="center"/>
          </w:tcPr>
          <w:p w:rsidRPr="00866A3E" w:rsidR="0055765D" w:rsidP="00D4067C" w:rsidRDefault="0055765D" w14:paraId="218DE6BE" w14:textId="77777777">
            <w:pPr>
              <w:pStyle w:val="SL-FlLftSgl"/>
              <w:keepNext/>
              <w:keepLines/>
              <w:tabs>
                <w:tab w:val="decimal" w:pos="504"/>
              </w:tabs>
              <w:spacing w:line="240" w:lineRule="auto"/>
              <w:rPr>
                <w:color w:val="000000" w:themeColor="text1"/>
                <w:sz w:val="24"/>
                <w:szCs w:val="24"/>
              </w:rPr>
            </w:pPr>
            <w:r w:rsidRPr="00866A3E">
              <w:rPr>
                <w:color w:val="000000" w:themeColor="text1"/>
                <w:sz w:val="24"/>
                <w:szCs w:val="24"/>
              </w:rPr>
              <w:t>35</w:t>
            </w:r>
          </w:p>
        </w:tc>
        <w:tc>
          <w:tcPr>
            <w:tcW w:w="1260" w:type="dxa"/>
            <w:vAlign w:val="center"/>
          </w:tcPr>
          <w:p w:rsidRPr="00866A3E" w:rsidR="0055765D" w:rsidP="00D4067C" w:rsidRDefault="0055765D" w14:paraId="5BD9D8EB" w14:textId="77777777">
            <w:pPr>
              <w:pStyle w:val="SL-FlLftSgl"/>
              <w:keepNext/>
              <w:keepLines/>
              <w:tabs>
                <w:tab w:val="decimal" w:pos="720"/>
              </w:tabs>
              <w:spacing w:line="240" w:lineRule="auto"/>
              <w:rPr>
                <w:color w:val="000000" w:themeColor="text1"/>
                <w:sz w:val="24"/>
                <w:szCs w:val="24"/>
              </w:rPr>
            </w:pPr>
            <w:r w:rsidRPr="00866A3E">
              <w:rPr>
                <w:color w:val="000000" w:themeColor="text1"/>
                <w:sz w:val="24"/>
                <w:szCs w:val="24"/>
              </w:rPr>
              <w:t>1,960</w:t>
            </w:r>
          </w:p>
        </w:tc>
      </w:tr>
    </w:tbl>
    <w:p w:rsidRPr="00866A3E" w:rsidR="0055765D" w:rsidP="0055765D" w:rsidRDefault="0055765D" w14:paraId="3BA46AFC" w14:textId="77777777">
      <w:pPr>
        <w:spacing w:after="0"/>
        <w:rPr>
          <w:color w:val="000000" w:themeColor="text1"/>
        </w:rPr>
      </w:pPr>
    </w:p>
    <w:p w:rsidR="00236B6B" w:rsidP="0055765D" w:rsidRDefault="00236B6B" w14:paraId="50F2AEC1" w14:textId="77777777">
      <w:pPr>
        <w:spacing w:after="0"/>
        <w:rPr>
          <w:rStyle w:val="a"/>
          <w:b/>
          <w:color w:val="000000" w:themeColor="text1"/>
        </w:rPr>
      </w:pPr>
    </w:p>
    <w:p w:rsidR="0055765D" w:rsidP="0055765D" w:rsidRDefault="0055765D" w14:paraId="6011B985" w14:textId="626638AE">
      <w:pPr>
        <w:pStyle w:val="ListParagraph"/>
        <w:spacing w:before="0" w:after="0"/>
        <w:ind w:left="0"/>
        <w:rPr>
          <w:rStyle w:val="a"/>
          <w:color w:val="000000" w:themeColor="text1"/>
        </w:rPr>
      </w:pPr>
      <w:bookmarkStart w:name="_GoBack" w:id="0"/>
      <w:bookmarkEnd w:id="0"/>
      <w:r>
        <w:rPr>
          <w:rStyle w:val="a"/>
          <w:color w:val="000000" w:themeColor="text1"/>
        </w:rPr>
        <w:t>The calculation is based on the median salary for social workers, which, according to the Bureau of Labor Statistics, is $</w:t>
      </w:r>
      <w:r w:rsidR="00682EE0">
        <w:rPr>
          <w:rStyle w:val="a"/>
          <w:color w:val="000000" w:themeColor="text1"/>
        </w:rPr>
        <w:t>24</w:t>
      </w:r>
      <w:r>
        <w:rPr>
          <w:rStyle w:val="a"/>
          <w:color w:val="000000" w:themeColor="text1"/>
        </w:rPr>
        <w:t>.</w:t>
      </w:r>
      <w:r w:rsidR="00682EE0">
        <w:rPr>
          <w:rStyle w:val="a"/>
          <w:color w:val="000000" w:themeColor="text1"/>
        </w:rPr>
        <w:t xml:space="preserve">26 </w:t>
      </w:r>
      <w:r>
        <w:rPr>
          <w:rStyle w:val="a"/>
          <w:color w:val="000000" w:themeColor="text1"/>
        </w:rPr>
        <w:t>per hour. Multiplying the total response time—1,960 hours—by this median hourly salary results in $</w:t>
      </w:r>
      <w:r w:rsidR="00682EE0">
        <w:rPr>
          <w:rStyle w:val="a"/>
          <w:color w:val="000000" w:themeColor="text1"/>
        </w:rPr>
        <w:t>47</w:t>
      </w:r>
      <w:r>
        <w:rPr>
          <w:rStyle w:val="a"/>
          <w:color w:val="000000" w:themeColor="text1"/>
        </w:rPr>
        <w:t>,</w:t>
      </w:r>
      <w:r w:rsidR="00682EE0">
        <w:rPr>
          <w:rStyle w:val="a"/>
          <w:color w:val="000000" w:themeColor="text1"/>
        </w:rPr>
        <w:t>549</w:t>
      </w:r>
      <w:r>
        <w:rPr>
          <w:rStyle w:val="a"/>
          <w:color w:val="000000" w:themeColor="text1"/>
        </w:rPr>
        <w:t>.</w:t>
      </w:r>
      <w:r w:rsidR="00682EE0">
        <w:rPr>
          <w:rStyle w:val="a"/>
          <w:color w:val="000000" w:themeColor="text1"/>
        </w:rPr>
        <w:t>60</w:t>
      </w:r>
      <w:r>
        <w:rPr>
          <w:rStyle w:val="a"/>
          <w:color w:val="000000" w:themeColor="text1"/>
        </w:rPr>
        <w:t>. Multiplying this $</w:t>
      </w:r>
      <w:r w:rsidR="00682EE0">
        <w:rPr>
          <w:rStyle w:val="a"/>
          <w:color w:val="000000" w:themeColor="text1"/>
        </w:rPr>
        <w:t>47,549.6</w:t>
      </w:r>
      <w:r>
        <w:rPr>
          <w:rStyle w:val="a"/>
          <w:color w:val="000000" w:themeColor="text1"/>
        </w:rPr>
        <w:t>0 by two—to account for benefits and overhead costs—results in $</w:t>
      </w:r>
      <w:r w:rsidR="00682EE0">
        <w:rPr>
          <w:rStyle w:val="a"/>
          <w:color w:val="000000" w:themeColor="text1"/>
        </w:rPr>
        <w:t>95</w:t>
      </w:r>
      <w:r>
        <w:rPr>
          <w:rStyle w:val="a"/>
          <w:color w:val="000000" w:themeColor="text1"/>
        </w:rPr>
        <w:t>,</w:t>
      </w:r>
      <w:r w:rsidR="00682EE0">
        <w:rPr>
          <w:rStyle w:val="a"/>
          <w:color w:val="000000" w:themeColor="text1"/>
        </w:rPr>
        <w:t>099</w:t>
      </w:r>
      <w:r>
        <w:rPr>
          <w:rStyle w:val="a"/>
          <w:color w:val="000000" w:themeColor="text1"/>
        </w:rPr>
        <w:t>.</w:t>
      </w:r>
      <w:r w:rsidR="00682EE0">
        <w:rPr>
          <w:rStyle w:val="a"/>
          <w:color w:val="000000" w:themeColor="text1"/>
        </w:rPr>
        <w:t>20</w:t>
      </w:r>
      <w:r>
        <w:rPr>
          <w:rStyle w:val="a"/>
          <w:color w:val="000000" w:themeColor="text1"/>
        </w:rPr>
        <w:t>.</w:t>
      </w:r>
    </w:p>
    <w:p w:rsidRPr="00866A3E" w:rsidR="0055765D" w:rsidP="0055765D" w:rsidRDefault="0055765D" w14:paraId="2306FD75" w14:textId="77777777">
      <w:pPr>
        <w:pStyle w:val="ListParagraph"/>
        <w:spacing w:before="0" w:after="0"/>
        <w:ind w:left="0"/>
        <w:rPr>
          <w:rStyle w:val="a"/>
          <w:color w:val="000000" w:themeColor="text1"/>
        </w:rPr>
      </w:pPr>
    </w:p>
    <w:tbl>
      <w:tblPr>
        <w:tblStyle w:val="TableGrid"/>
        <w:tblW w:w="8568" w:type="dxa"/>
        <w:tblInd w:w="720" w:type="dxa"/>
        <w:tblLayout w:type="fixed"/>
        <w:tblLook w:val="04A0" w:firstRow="1" w:lastRow="0" w:firstColumn="1" w:lastColumn="0" w:noHBand="0" w:noVBand="1"/>
      </w:tblPr>
      <w:tblGrid>
        <w:gridCol w:w="2988"/>
        <w:gridCol w:w="2160"/>
        <w:gridCol w:w="1890"/>
        <w:gridCol w:w="1530"/>
      </w:tblGrid>
      <w:tr w:rsidRPr="00866A3E" w:rsidR="0055765D" w:rsidTr="00D4067C" w14:paraId="4786BEA9" w14:textId="77777777">
        <w:tc>
          <w:tcPr>
            <w:tcW w:w="2988" w:type="dxa"/>
          </w:tcPr>
          <w:p w:rsidRPr="00866A3E" w:rsidR="0055765D" w:rsidP="00D4067C" w:rsidRDefault="0055765D" w14:paraId="5E3638AF" w14:textId="77777777">
            <w:pPr>
              <w:pStyle w:val="ListParagraph"/>
              <w:spacing w:before="0" w:after="0"/>
              <w:ind w:left="0"/>
              <w:jc w:val="center"/>
              <w:rPr>
                <w:rStyle w:val="a"/>
                <w:color w:val="000000" w:themeColor="text1"/>
              </w:rPr>
            </w:pPr>
            <w:r w:rsidRPr="00866A3E">
              <w:rPr>
                <w:b/>
                <w:color w:val="000000" w:themeColor="text1"/>
              </w:rPr>
              <w:t>Respondent/Data collection activity</w:t>
            </w:r>
          </w:p>
        </w:tc>
        <w:tc>
          <w:tcPr>
            <w:tcW w:w="2160" w:type="dxa"/>
          </w:tcPr>
          <w:p w:rsidRPr="00866A3E" w:rsidR="0055765D" w:rsidP="00D4067C" w:rsidRDefault="0055765D" w14:paraId="612980D7" w14:textId="77777777">
            <w:pPr>
              <w:pStyle w:val="ListParagraph"/>
              <w:spacing w:before="0" w:after="0"/>
              <w:ind w:left="0"/>
              <w:jc w:val="center"/>
              <w:rPr>
                <w:b/>
                <w:color w:val="000000" w:themeColor="text1"/>
              </w:rPr>
            </w:pPr>
            <w:r w:rsidRPr="00866A3E">
              <w:rPr>
                <w:b/>
                <w:color w:val="000000" w:themeColor="text1"/>
              </w:rPr>
              <w:t>Total Annual Burden Hours</w:t>
            </w:r>
          </w:p>
        </w:tc>
        <w:tc>
          <w:tcPr>
            <w:tcW w:w="1890" w:type="dxa"/>
          </w:tcPr>
          <w:p w:rsidRPr="00866A3E" w:rsidR="0055765D" w:rsidP="00D4067C" w:rsidRDefault="0055765D" w14:paraId="1040AE32" w14:textId="77777777">
            <w:pPr>
              <w:pStyle w:val="ListParagraph"/>
              <w:spacing w:before="0" w:after="0"/>
              <w:ind w:left="0"/>
              <w:jc w:val="center"/>
              <w:rPr>
                <w:b/>
                <w:color w:val="000000" w:themeColor="text1"/>
              </w:rPr>
            </w:pPr>
            <w:r w:rsidRPr="00866A3E">
              <w:rPr>
                <w:b/>
                <w:color w:val="000000" w:themeColor="text1"/>
              </w:rPr>
              <w:t>Average Cost Per Hour</w:t>
            </w:r>
          </w:p>
        </w:tc>
        <w:tc>
          <w:tcPr>
            <w:tcW w:w="1530" w:type="dxa"/>
          </w:tcPr>
          <w:p w:rsidRPr="00866A3E" w:rsidR="0055765D" w:rsidP="00D4067C" w:rsidRDefault="0055765D" w14:paraId="1C6771D5" w14:textId="77777777">
            <w:pPr>
              <w:pStyle w:val="ListParagraph"/>
              <w:spacing w:before="0" w:after="0"/>
              <w:ind w:left="0"/>
              <w:jc w:val="center"/>
              <w:rPr>
                <w:b/>
                <w:color w:val="000000" w:themeColor="text1"/>
              </w:rPr>
            </w:pPr>
            <w:r w:rsidRPr="00866A3E">
              <w:rPr>
                <w:b/>
                <w:color w:val="000000" w:themeColor="text1"/>
              </w:rPr>
              <w:t>Total Cost</w:t>
            </w:r>
          </w:p>
        </w:tc>
      </w:tr>
      <w:tr w:rsidRPr="00866A3E" w:rsidR="0055765D" w:rsidTr="00D4067C" w14:paraId="615B7C44" w14:textId="77777777">
        <w:tc>
          <w:tcPr>
            <w:tcW w:w="2988" w:type="dxa"/>
          </w:tcPr>
          <w:p w:rsidRPr="00866A3E" w:rsidR="0055765D" w:rsidP="00D4067C" w:rsidRDefault="0055765D" w14:paraId="174D41C6" w14:textId="77777777">
            <w:pPr>
              <w:pStyle w:val="ListParagraph"/>
              <w:spacing w:before="0" w:after="0"/>
              <w:ind w:left="0"/>
              <w:rPr>
                <w:color w:val="000000" w:themeColor="text1"/>
              </w:rPr>
            </w:pPr>
            <w:r>
              <w:rPr>
                <w:color w:val="000000" w:themeColor="text1"/>
              </w:rPr>
              <w:t>ILS PPR</w:t>
            </w:r>
          </w:p>
        </w:tc>
        <w:tc>
          <w:tcPr>
            <w:tcW w:w="2160" w:type="dxa"/>
          </w:tcPr>
          <w:p w:rsidRPr="00866A3E" w:rsidR="0055765D" w:rsidP="00D4067C" w:rsidRDefault="0055765D" w14:paraId="09E0FD62" w14:textId="77777777">
            <w:pPr>
              <w:pStyle w:val="ListParagraph"/>
              <w:spacing w:before="0" w:after="0"/>
              <w:ind w:left="0"/>
              <w:rPr>
                <w:color w:val="000000" w:themeColor="text1"/>
              </w:rPr>
            </w:pPr>
            <w:r w:rsidRPr="00866A3E">
              <w:rPr>
                <w:color w:val="000000" w:themeColor="text1"/>
              </w:rPr>
              <w:t>1,960</w:t>
            </w:r>
          </w:p>
        </w:tc>
        <w:tc>
          <w:tcPr>
            <w:tcW w:w="1890" w:type="dxa"/>
          </w:tcPr>
          <w:p w:rsidRPr="00866A3E" w:rsidR="0055765D" w:rsidP="00D4067C" w:rsidRDefault="0055765D" w14:paraId="176551C6" w14:textId="435C39FA">
            <w:pPr>
              <w:pStyle w:val="ListParagraph"/>
              <w:spacing w:before="0" w:after="0"/>
              <w:ind w:left="0"/>
              <w:rPr>
                <w:color w:val="000000" w:themeColor="text1"/>
              </w:rPr>
            </w:pPr>
            <w:r w:rsidRPr="00866A3E">
              <w:rPr>
                <w:color w:val="000000" w:themeColor="text1"/>
              </w:rPr>
              <w:t>$</w:t>
            </w:r>
            <w:r w:rsidRPr="00866A3E" w:rsidR="00682EE0">
              <w:rPr>
                <w:color w:val="000000" w:themeColor="text1"/>
              </w:rPr>
              <w:t>2</w:t>
            </w:r>
            <w:r w:rsidR="00682EE0">
              <w:rPr>
                <w:color w:val="000000" w:themeColor="text1"/>
              </w:rPr>
              <w:t>4</w:t>
            </w:r>
            <w:r w:rsidRPr="00866A3E">
              <w:rPr>
                <w:color w:val="000000" w:themeColor="text1"/>
              </w:rPr>
              <w:t>.</w:t>
            </w:r>
            <w:r w:rsidR="00682EE0">
              <w:rPr>
                <w:color w:val="000000" w:themeColor="text1"/>
              </w:rPr>
              <w:t>26</w:t>
            </w:r>
          </w:p>
        </w:tc>
        <w:tc>
          <w:tcPr>
            <w:tcW w:w="1530" w:type="dxa"/>
          </w:tcPr>
          <w:p w:rsidRPr="00866A3E" w:rsidR="0055765D" w:rsidP="00D4067C" w:rsidRDefault="0055765D" w14:paraId="24FEE31C" w14:textId="0B90438B">
            <w:pPr>
              <w:pStyle w:val="ListParagraph"/>
              <w:spacing w:before="0" w:after="0"/>
              <w:ind w:left="0"/>
              <w:rPr>
                <w:color w:val="000000" w:themeColor="text1"/>
              </w:rPr>
            </w:pPr>
            <w:r w:rsidRPr="00866A3E">
              <w:rPr>
                <w:color w:val="000000" w:themeColor="text1"/>
              </w:rPr>
              <w:t>$</w:t>
            </w:r>
            <w:r w:rsidRPr="00866A3E" w:rsidR="00682EE0">
              <w:rPr>
                <w:color w:val="000000" w:themeColor="text1"/>
              </w:rPr>
              <w:t>9</w:t>
            </w:r>
            <w:r w:rsidR="00682EE0">
              <w:rPr>
                <w:color w:val="000000" w:themeColor="text1"/>
              </w:rPr>
              <w:t>5</w:t>
            </w:r>
            <w:r w:rsidRPr="00866A3E">
              <w:rPr>
                <w:color w:val="000000" w:themeColor="text1"/>
              </w:rPr>
              <w:t>,</w:t>
            </w:r>
            <w:r w:rsidR="00682EE0">
              <w:rPr>
                <w:color w:val="000000" w:themeColor="text1"/>
              </w:rPr>
              <w:t>099</w:t>
            </w:r>
            <w:r w:rsidRPr="00866A3E">
              <w:rPr>
                <w:color w:val="000000" w:themeColor="text1"/>
              </w:rPr>
              <w:t>.</w:t>
            </w:r>
            <w:r w:rsidR="00682EE0">
              <w:rPr>
                <w:color w:val="000000" w:themeColor="text1"/>
              </w:rPr>
              <w:t>2</w:t>
            </w:r>
            <w:r w:rsidRPr="00866A3E" w:rsidR="00682EE0">
              <w:rPr>
                <w:color w:val="000000" w:themeColor="text1"/>
              </w:rPr>
              <w:t>0</w:t>
            </w:r>
          </w:p>
        </w:tc>
      </w:tr>
    </w:tbl>
    <w:p w:rsidRPr="00866A3E" w:rsidR="0055765D" w:rsidP="0055765D" w:rsidRDefault="0055765D" w14:paraId="0DBB2768" w14:textId="77777777">
      <w:pPr>
        <w:pStyle w:val="ListParagraph"/>
        <w:spacing w:before="0" w:after="0"/>
        <w:ind w:left="0"/>
        <w:rPr>
          <w:rStyle w:val="a"/>
          <w:color w:val="000000" w:themeColor="text1"/>
        </w:rPr>
      </w:pPr>
    </w:p>
    <w:p w:rsidRPr="00866A3E" w:rsidR="0055765D" w:rsidP="0055765D" w:rsidRDefault="0055765D" w14:paraId="5FE36711" w14:textId="77777777">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Estimates of Other Total Annual Cost Burden to Respondents and Record Keepers</w:t>
      </w:r>
    </w:p>
    <w:p w:rsidRPr="00866A3E" w:rsidR="0055765D" w:rsidP="0055765D" w:rsidRDefault="0055765D" w14:paraId="31F5F069" w14:textId="77777777">
      <w:pPr>
        <w:pStyle w:val="ListParagraph"/>
        <w:spacing w:before="0" w:after="0"/>
        <w:ind w:left="0"/>
        <w:rPr>
          <w:color w:val="000000" w:themeColor="text1"/>
        </w:rPr>
      </w:pPr>
    </w:p>
    <w:p w:rsidRPr="00866A3E" w:rsidR="0055765D" w:rsidP="0055765D" w:rsidRDefault="0055765D" w14:paraId="4314C1F0" w14:textId="77777777">
      <w:pPr>
        <w:pStyle w:val="ListParagraph"/>
        <w:spacing w:before="0" w:after="0"/>
        <w:ind w:left="0"/>
        <w:rPr>
          <w:color w:val="000000" w:themeColor="text1"/>
        </w:rPr>
      </w:pPr>
      <w:r w:rsidRPr="00866A3E">
        <w:rPr>
          <w:color w:val="000000" w:themeColor="text1"/>
        </w:rPr>
        <w:t>No additional capital or other costs are incurred by respondents other than those specified in this question.</w:t>
      </w:r>
    </w:p>
    <w:p w:rsidRPr="00866A3E" w:rsidR="0055765D" w:rsidP="0055765D" w:rsidRDefault="0055765D" w14:paraId="0E60ED35" w14:textId="77777777">
      <w:pPr>
        <w:pStyle w:val="ListParagraph"/>
        <w:spacing w:before="0" w:after="0"/>
        <w:ind w:left="0"/>
        <w:rPr>
          <w:color w:val="000000" w:themeColor="text1"/>
        </w:rPr>
      </w:pPr>
    </w:p>
    <w:p w:rsidRPr="00866A3E" w:rsidR="0055765D" w:rsidP="0055765D" w:rsidRDefault="0055765D" w14:paraId="3778B5A3" w14:textId="77777777">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Annualized Cost to the Federal Government</w:t>
      </w:r>
    </w:p>
    <w:p w:rsidRPr="00866A3E" w:rsidR="0055765D" w:rsidP="0055765D" w:rsidRDefault="0055765D" w14:paraId="2CDD0E93" w14:textId="77777777">
      <w:pPr>
        <w:pStyle w:val="ListParagraph"/>
        <w:spacing w:before="0" w:after="0"/>
        <w:ind w:left="0"/>
        <w:rPr>
          <w:rStyle w:val="a"/>
          <w:color w:val="000000" w:themeColor="text1"/>
        </w:rPr>
      </w:pPr>
    </w:p>
    <w:p w:rsidRPr="00866A3E" w:rsidR="0055765D" w:rsidP="0055765D" w:rsidRDefault="0055765D" w14:paraId="3784E782" w14:textId="558E34AC">
      <w:pPr>
        <w:pStyle w:val="ListParagraph"/>
        <w:spacing w:before="0" w:after="0"/>
        <w:ind w:left="0"/>
        <w:rPr>
          <w:rStyle w:val="a"/>
          <w:color w:val="000000" w:themeColor="text1"/>
        </w:rPr>
      </w:pPr>
      <w:r w:rsidRPr="00866A3E">
        <w:rPr>
          <w:rStyle w:val="a"/>
          <w:color w:val="000000" w:themeColor="text1"/>
        </w:rPr>
        <w:t xml:space="preserve">Each report takes approximately </w:t>
      </w:r>
      <w:r>
        <w:rPr>
          <w:rStyle w:val="a"/>
          <w:color w:val="000000" w:themeColor="text1"/>
        </w:rPr>
        <w:t>two</w:t>
      </w:r>
      <w:r w:rsidRPr="00866A3E">
        <w:rPr>
          <w:rStyle w:val="a"/>
          <w:color w:val="000000" w:themeColor="text1"/>
        </w:rPr>
        <w:t xml:space="preserve"> hour</w:t>
      </w:r>
      <w:r>
        <w:rPr>
          <w:rStyle w:val="a"/>
          <w:color w:val="000000" w:themeColor="text1"/>
        </w:rPr>
        <w:t>s</w:t>
      </w:r>
      <w:r w:rsidRPr="00866A3E">
        <w:rPr>
          <w:rStyle w:val="a"/>
          <w:color w:val="000000" w:themeColor="text1"/>
        </w:rPr>
        <w:t xml:space="preserve"> to review and approve, and there are</w:t>
      </w:r>
      <w:r>
        <w:rPr>
          <w:rStyle w:val="a"/>
          <w:color w:val="000000" w:themeColor="text1"/>
        </w:rPr>
        <w:t xml:space="preserve"> 56</w:t>
      </w:r>
      <w:r w:rsidRPr="00866A3E">
        <w:rPr>
          <w:rStyle w:val="a"/>
          <w:color w:val="000000" w:themeColor="text1"/>
        </w:rPr>
        <w:t xml:space="preserve"> repor</w:t>
      </w:r>
      <w:r>
        <w:rPr>
          <w:rStyle w:val="a"/>
          <w:color w:val="000000" w:themeColor="text1"/>
        </w:rPr>
        <w:t xml:space="preserve">ts, so ACL </w:t>
      </w:r>
      <w:r w:rsidRPr="00866A3E">
        <w:rPr>
          <w:rStyle w:val="a"/>
          <w:color w:val="000000" w:themeColor="text1"/>
        </w:rPr>
        <w:t>will</w:t>
      </w:r>
      <w:r>
        <w:rPr>
          <w:rStyle w:val="a"/>
          <w:color w:val="000000" w:themeColor="text1"/>
        </w:rPr>
        <w:t xml:space="preserve"> spend approximately 112 hours reviewing these reports. ACL staff members who will review these reports will be GS-11s, GS-12s, and GS-13s; all will work in Washington, DC. The median salary of a reviewer is estimated as $</w:t>
      </w:r>
      <w:r w:rsidR="001E7486">
        <w:rPr>
          <w:rStyle w:val="a"/>
          <w:color w:val="000000" w:themeColor="text1"/>
        </w:rPr>
        <w:t>47</w:t>
      </w:r>
      <w:r>
        <w:rPr>
          <w:rStyle w:val="a"/>
          <w:color w:val="000000" w:themeColor="text1"/>
        </w:rPr>
        <w:t>.</w:t>
      </w:r>
      <w:r w:rsidR="001E7486">
        <w:rPr>
          <w:rStyle w:val="a"/>
          <w:color w:val="000000" w:themeColor="text1"/>
        </w:rPr>
        <w:t xml:space="preserve">35 </w:t>
      </w:r>
      <w:r>
        <w:rPr>
          <w:rStyle w:val="a"/>
          <w:color w:val="000000" w:themeColor="text1"/>
        </w:rPr>
        <w:t xml:space="preserve">per hour, which is the salary of GS-12, step 5 in the Washington, DC area. This median hourly salary multiplied by the </w:t>
      </w:r>
      <w:r w:rsidR="001E7486">
        <w:rPr>
          <w:rStyle w:val="a"/>
          <w:color w:val="000000" w:themeColor="text1"/>
        </w:rPr>
        <w:t>112</w:t>
      </w:r>
      <w:r>
        <w:rPr>
          <w:rStyle w:val="a"/>
          <w:color w:val="000000" w:themeColor="text1"/>
        </w:rPr>
        <w:t>-hour estimate of the total review time is $</w:t>
      </w:r>
      <w:r w:rsidR="001E7486">
        <w:rPr>
          <w:rStyle w:val="a"/>
          <w:color w:val="000000" w:themeColor="text1"/>
        </w:rPr>
        <w:t>5,303</w:t>
      </w:r>
      <w:r>
        <w:rPr>
          <w:rStyle w:val="a"/>
          <w:color w:val="000000" w:themeColor="text1"/>
        </w:rPr>
        <w:t>.</w:t>
      </w:r>
      <w:r w:rsidR="001E7486">
        <w:rPr>
          <w:rStyle w:val="a"/>
          <w:color w:val="000000" w:themeColor="text1"/>
        </w:rPr>
        <w:t>20</w:t>
      </w:r>
      <w:r>
        <w:rPr>
          <w:rStyle w:val="a"/>
          <w:color w:val="000000" w:themeColor="text1"/>
        </w:rPr>
        <w:t>.</w:t>
      </w:r>
      <w:r w:rsidRPr="00866A3E">
        <w:rPr>
          <w:rStyle w:val="a"/>
          <w:color w:val="000000" w:themeColor="text1"/>
        </w:rPr>
        <w:t xml:space="preserve"> </w:t>
      </w:r>
      <w:r>
        <w:rPr>
          <w:rStyle w:val="a"/>
          <w:color w:val="000000" w:themeColor="text1"/>
        </w:rPr>
        <w:t>Multiplying this $</w:t>
      </w:r>
      <w:r w:rsidR="0065531F">
        <w:rPr>
          <w:rStyle w:val="a"/>
          <w:color w:val="000000" w:themeColor="text1"/>
        </w:rPr>
        <w:t>5</w:t>
      </w:r>
      <w:r>
        <w:rPr>
          <w:rStyle w:val="a"/>
          <w:color w:val="000000" w:themeColor="text1"/>
        </w:rPr>
        <w:t>,</w:t>
      </w:r>
      <w:r w:rsidR="0065531F">
        <w:rPr>
          <w:rStyle w:val="a"/>
          <w:color w:val="000000" w:themeColor="text1"/>
        </w:rPr>
        <w:t>303</w:t>
      </w:r>
      <w:r>
        <w:rPr>
          <w:rStyle w:val="a"/>
          <w:color w:val="000000" w:themeColor="text1"/>
        </w:rPr>
        <w:t>.</w:t>
      </w:r>
      <w:r w:rsidR="0065531F">
        <w:rPr>
          <w:rStyle w:val="a"/>
          <w:color w:val="000000" w:themeColor="text1"/>
        </w:rPr>
        <w:t xml:space="preserve">20 </w:t>
      </w:r>
      <w:r>
        <w:rPr>
          <w:rStyle w:val="a"/>
          <w:color w:val="000000" w:themeColor="text1"/>
        </w:rPr>
        <w:t>by two—to account for salaries and benefits—results in an estimated total cost of the review of $</w:t>
      </w:r>
      <w:r w:rsidR="001E7486">
        <w:rPr>
          <w:rStyle w:val="a"/>
          <w:color w:val="000000" w:themeColor="text1"/>
        </w:rPr>
        <w:t>10</w:t>
      </w:r>
      <w:r>
        <w:rPr>
          <w:rStyle w:val="a"/>
          <w:color w:val="000000" w:themeColor="text1"/>
        </w:rPr>
        <w:t>,</w:t>
      </w:r>
      <w:r w:rsidR="001E7486">
        <w:rPr>
          <w:rStyle w:val="a"/>
          <w:color w:val="000000" w:themeColor="text1"/>
        </w:rPr>
        <w:t>606</w:t>
      </w:r>
      <w:r>
        <w:rPr>
          <w:rStyle w:val="a"/>
          <w:color w:val="000000" w:themeColor="text1"/>
        </w:rPr>
        <w:t>.</w:t>
      </w:r>
      <w:r w:rsidR="001E7486">
        <w:rPr>
          <w:rStyle w:val="a"/>
          <w:color w:val="000000" w:themeColor="text1"/>
        </w:rPr>
        <w:t>40</w:t>
      </w:r>
      <w:r>
        <w:rPr>
          <w:rStyle w:val="a"/>
          <w:color w:val="000000" w:themeColor="text1"/>
        </w:rPr>
        <w:t>.</w:t>
      </w:r>
    </w:p>
    <w:p w:rsidRPr="00866A3E" w:rsidR="0055765D" w:rsidP="0055765D" w:rsidRDefault="0055765D" w14:paraId="00B2325C" w14:textId="77777777">
      <w:pPr>
        <w:pStyle w:val="ListParagraph"/>
        <w:spacing w:before="0" w:after="0"/>
        <w:ind w:left="0"/>
        <w:rPr>
          <w:rStyle w:val="a"/>
          <w:color w:val="000000" w:themeColor="text1"/>
        </w:rPr>
      </w:pPr>
    </w:p>
    <w:p w:rsidRPr="00866A3E" w:rsidR="0055765D" w:rsidP="0055765D" w:rsidRDefault="0055765D" w14:paraId="4F429583" w14:textId="77777777">
      <w:pPr>
        <w:pStyle w:val="ListParagraph"/>
        <w:numPr>
          <w:ilvl w:val="0"/>
          <w:numId w:val="1"/>
        </w:numPr>
        <w:spacing w:before="0" w:after="0"/>
        <w:ind w:left="0"/>
        <w:rPr>
          <w:b/>
          <w:color w:val="000000" w:themeColor="text1"/>
        </w:rPr>
      </w:pPr>
      <w:r w:rsidRPr="00866A3E">
        <w:rPr>
          <w:rFonts w:eastAsiaTheme="minorEastAsia"/>
          <w:b/>
          <w:color w:val="000000" w:themeColor="text1"/>
          <w:kern w:val="24"/>
        </w:rPr>
        <w:t>Explanation for Program Changes or Adjustments</w:t>
      </w:r>
    </w:p>
    <w:p w:rsidRPr="00866A3E" w:rsidR="0055765D" w:rsidP="0055765D" w:rsidRDefault="0055765D" w14:paraId="486EB53B" w14:textId="77777777">
      <w:pPr>
        <w:pStyle w:val="ListParagraph"/>
        <w:spacing w:before="0" w:after="0"/>
        <w:ind w:left="0"/>
        <w:rPr>
          <w:color w:val="000000" w:themeColor="text1"/>
        </w:rPr>
      </w:pPr>
    </w:p>
    <w:p w:rsidRPr="00866A3E" w:rsidR="0055765D" w:rsidP="0055765D" w:rsidRDefault="00236B6B" w14:paraId="5A2B7A4A" w14:textId="275442E3">
      <w:pPr>
        <w:pStyle w:val="ListParagraph"/>
        <w:spacing w:before="0" w:after="0"/>
        <w:ind w:left="0"/>
        <w:rPr>
          <w:color w:val="000000" w:themeColor="text1"/>
        </w:rPr>
      </w:pPr>
      <w:r>
        <w:rPr>
          <w:color w:val="000000" w:themeColor="text1"/>
        </w:rPr>
        <w:t xml:space="preserve">This is an extension without change; there are no program changes or adjustments. </w:t>
      </w:r>
    </w:p>
    <w:p w:rsidRPr="00866A3E" w:rsidR="0055765D" w:rsidP="0055765D" w:rsidRDefault="0055765D" w14:paraId="50FF4B43" w14:textId="77777777">
      <w:pPr>
        <w:pStyle w:val="ListParagraph"/>
        <w:spacing w:before="0" w:after="0"/>
        <w:ind w:left="0"/>
        <w:rPr>
          <w:color w:val="000000" w:themeColor="text1"/>
        </w:rPr>
      </w:pPr>
    </w:p>
    <w:p w:rsidRPr="00866A3E" w:rsidR="0055765D" w:rsidP="0055765D" w:rsidRDefault="0055765D" w14:paraId="6CF73622" w14:textId="77777777">
      <w:pPr>
        <w:pStyle w:val="ListParagraph"/>
        <w:numPr>
          <w:ilvl w:val="0"/>
          <w:numId w:val="1"/>
        </w:numPr>
        <w:spacing w:before="0" w:after="0"/>
        <w:ind w:left="0"/>
        <w:rPr>
          <w:rStyle w:val="a"/>
          <w:b/>
          <w:color w:val="000000" w:themeColor="text1"/>
        </w:rPr>
      </w:pPr>
      <w:r w:rsidRPr="00866A3E">
        <w:rPr>
          <w:b/>
          <w:color w:val="000000" w:themeColor="text1"/>
        </w:rPr>
        <w:t>Plans for Tabulation and Publication and Project Time Schedule</w:t>
      </w:r>
    </w:p>
    <w:p w:rsidRPr="00866A3E" w:rsidR="0055765D" w:rsidP="0055765D" w:rsidRDefault="0055765D" w14:paraId="62E4ACA9" w14:textId="77777777">
      <w:pPr>
        <w:pStyle w:val="ListParagraph"/>
        <w:spacing w:before="0" w:after="0"/>
        <w:ind w:left="0"/>
        <w:rPr>
          <w:rStyle w:val="a"/>
          <w:color w:val="000000" w:themeColor="text1"/>
        </w:rPr>
      </w:pPr>
    </w:p>
    <w:p w:rsidRPr="00866A3E" w:rsidR="0055765D" w:rsidP="0055765D" w:rsidRDefault="0055765D" w14:paraId="79C0C867" w14:textId="77777777">
      <w:pPr>
        <w:pStyle w:val="ListParagraph"/>
        <w:spacing w:before="0" w:after="0"/>
        <w:ind w:left="0"/>
        <w:rPr>
          <w:rStyle w:val="a"/>
          <w:color w:val="000000" w:themeColor="text1"/>
        </w:rPr>
      </w:pPr>
      <w:r w:rsidRPr="00866A3E">
        <w:rPr>
          <w:rStyle w:val="a"/>
          <w:color w:val="000000" w:themeColor="text1"/>
        </w:rPr>
        <w:t>The data will be available on ACL.gov and</w:t>
      </w:r>
      <w:r>
        <w:rPr>
          <w:rStyle w:val="a"/>
          <w:color w:val="000000" w:themeColor="text1"/>
        </w:rPr>
        <w:t xml:space="preserve"> more details</w:t>
      </w:r>
      <w:r w:rsidRPr="00866A3E">
        <w:rPr>
          <w:rStyle w:val="a"/>
          <w:color w:val="000000" w:themeColor="text1"/>
        </w:rPr>
        <w:t xml:space="preserve"> will be made available to the public upon request.</w:t>
      </w:r>
    </w:p>
    <w:p w:rsidRPr="00866A3E" w:rsidR="0055765D" w:rsidP="0055765D" w:rsidRDefault="0055765D" w14:paraId="73D4FEAB" w14:textId="77777777">
      <w:pPr>
        <w:pStyle w:val="ListParagraph"/>
        <w:spacing w:before="0" w:after="0"/>
        <w:ind w:left="0"/>
        <w:rPr>
          <w:rStyle w:val="a"/>
          <w:color w:val="000000" w:themeColor="text1"/>
        </w:rPr>
      </w:pPr>
      <w:r w:rsidRPr="00866A3E">
        <w:rPr>
          <w:rStyle w:val="a"/>
          <w:color w:val="000000" w:themeColor="text1"/>
        </w:rPr>
        <w:t xml:space="preserve">  </w:t>
      </w:r>
    </w:p>
    <w:p w:rsidRPr="00866A3E" w:rsidR="0055765D" w:rsidP="0055765D" w:rsidRDefault="0055765D" w14:paraId="4D3ACBA6" w14:textId="77777777">
      <w:pPr>
        <w:pStyle w:val="ListParagraph"/>
        <w:numPr>
          <w:ilvl w:val="0"/>
          <w:numId w:val="1"/>
        </w:numPr>
        <w:spacing w:before="0" w:after="0"/>
        <w:ind w:left="0"/>
        <w:rPr>
          <w:rStyle w:val="a"/>
          <w:b/>
          <w:color w:val="000000" w:themeColor="text1"/>
        </w:rPr>
      </w:pPr>
      <w:r w:rsidRPr="00866A3E">
        <w:rPr>
          <w:rStyle w:val="a"/>
          <w:b/>
          <w:color w:val="000000" w:themeColor="text1"/>
        </w:rPr>
        <w:lastRenderedPageBreak/>
        <w:t>If seeking approval to not display the expiration date for OMB approval of the information collection, explain the reasons that display would be inappropriate.</w:t>
      </w:r>
    </w:p>
    <w:p w:rsidRPr="00866A3E" w:rsidR="0055765D" w:rsidP="0055765D" w:rsidRDefault="0055765D" w14:paraId="63A37DF0" w14:textId="77777777">
      <w:pPr>
        <w:pStyle w:val="ListParagraph"/>
        <w:spacing w:before="0" w:after="0"/>
        <w:ind w:left="0"/>
        <w:rPr>
          <w:rStyle w:val="a"/>
          <w:color w:val="000000" w:themeColor="text1"/>
        </w:rPr>
      </w:pPr>
    </w:p>
    <w:p w:rsidRPr="00866A3E" w:rsidR="0055765D" w:rsidP="0055765D" w:rsidRDefault="0055765D" w14:paraId="122349D7" w14:textId="77777777">
      <w:pPr>
        <w:pStyle w:val="ListParagraph"/>
        <w:spacing w:before="0" w:after="0"/>
        <w:ind w:left="0"/>
        <w:rPr>
          <w:rStyle w:val="a"/>
          <w:color w:val="000000" w:themeColor="text1"/>
        </w:rPr>
      </w:pPr>
      <w:r w:rsidRPr="00866A3E">
        <w:rPr>
          <w:rStyle w:val="a"/>
          <w:color w:val="000000" w:themeColor="text1"/>
        </w:rPr>
        <w:t>The OMB expiration date will be displayed.</w:t>
      </w:r>
    </w:p>
    <w:p w:rsidRPr="00866A3E" w:rsidR="0055765D" w:rsidP="0055765D" w:rsidRDefault="0055765D" w14:paraId="6ED474ED" w14:textId="77777777">
      <w:pPr>
        <w:pStyle w:val="ListParagraph"/>
        <w:spacing w:before="0" w:after="0"/>
        <w:ind w:left="0"/>
        <w:rPr>
          <w:rStyle w:val="a"/>
          <w:color w:val="000000" w:themeColor="text1"/>
        </w:rPr>
      </w:pPr>
    </w:p>
    <w:p w:rsidRPr="00866A3E" w:rsidR="0055765D" w:rsidP="0055765D" w:rsidRDefault="0055765D" w14:paraId="67968E4C" w14:textId="77777777">
      <w:pPr>
        <w:pStyle w:val="ListParagraph"/>
        <w:numPr>
          <w:ilvl w:val="0"/>
          <w:numId w:val="1"/>
        </w:numPr>
        <w:spacing w:before="0" w:after="0"/>
        <w:ind w:left="0"/>
        <w:rPr>
          <w:rStyle w:val="a"/>
          <w:b/>
          <w:color w:val="000000" w:themeColor="text1"/>
        </w:rPr>
      </w:pPr>
      <w:r w:rsidRPr="00866A3E">
        <w:rPr>
          <w:rFonts w:eastAsiaTheme="minorEastAsia"/>
          <w:b/>
          <w:color w:val="000000" w:themeColor="text1"/>
          <w:kern w:val="24"/>
        </w:rPr>
        <w:t>Exceptions to Certification for Paperwork Reduction Act Submissions</w:t>
      </w:r>
    </w:p>
    <w:p w:rsidRPr="00866A3E" w:rsidR="0055765D" w:rsidP="0055765D" w:rsidRDefault="0055765D" w14:paraId="15DDF086" w14:textId="77777777">
      <w:pPr>
        <w:pStyle w:val="ListParagraph"/>
        <w:spacing w:before="0" w:after="0"/>
        <w:ind w:left="0"/>
        <w:rPr>
          <w:rStyle w:val="a"/>
          <w:b/>
          <w:color w:val="000000" w:themeColor="text1"/>
        </w:rPr>
      </w:pPr>
    </w:p>
    <w:p w:rsidRPr="00866A3E" w:rsidR="0055765D" w:rsidP="0055765D" w:rsidRDefault="0055765D" w14:paraId="7E610244" w14:textId="77777777">
      <w:pPr>
        <w:pStyle w:val="ListParagraph"/>
        <w:spacing w:before="0" w:after="0"/>
        <w:ind w:left="0"/>
        <w:rPr>
          <w:rStyle w:val="a"/>
          <w:b/>
          <w:color w:val="000000" w:themeColor="text1"/>
        </w:rPr>
      </w:pPr>
      <w:r w:rsidRPr="00866A3E">
        <w:rPr>
          <w:rStyle w:val="a"/>
          <w:b/>
          <w:color w:val="000000" w:themeColor="text1"/>
        </w:rPr>
        <w:t>Explain each exception to the certification statement identified in the Certification of Paperwork Reduction Act.</w:t>
      </w:r>
    </w:p>
    <w:p w:rsidRPr="00866A3E" w:rsidR="0055765D" w:rsidP="0055765D" w:rsidRDefault="0055765D" w14:paraId="6AA0F6BE" w14:textId="77777777">
      <w:pPr>
        <w:pStyle w:val="ListParagraph"/>
        <w:spacing w:before="0" w:after="0"/>
        <w:ind w:left="0"/>
        <w:rPr>
          <w:color w:val="000000" w:themeColor="text1"/>
        </w:rPr>
      </w:pPr>
    </w:p>
    <w:p w:rsidRPr="0055765D" w:rsidR="005D1A14" w:rsidP="0055765D" w:rsidRDefault="0055765D" w14:paraId="3C26C398" w14:textId="77777777">
      <w:pPr>
        <w:pStyle w:val="ListParagraph"/>
        <w:spacing w:before="0" w:after="0"/>
        <w:ind w:left="0"/>
        <w:rPr>
          <w:color w:val="000000" w:themeColor="text1"/>
        </w:rPr>
      </w:pPr>
      <w:r w:rsidRPr="00866A3E">
        <w:rPr>
          <w:color w:val="000000" w:themeColor="text1"/>
        </w:rPr>
        <w:t>There are no exceptions to the certification statement.</w:t>
      </w:r>
    </w:p>
    <w:sectPr w:rsidRPr="0055765D" w:rsidR="005D1A14" w:rsidSect="00FE55D7">
      <w:footerReference w:type="default" r:id="rId7"/>
      <w:endnotePr>
        <w:numFmt w:val="decimal"/>
      </w:endnotePr>
      <w:pgSz w:w="12240" w:h="15840" w:code="1"/>
      <w:pgMar w:top="1440" w:right="1440" w:bottom="1440" w:left="1440" w:header="576" w:footer="70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849A7" w14:textId="77777777" w:rsidR="00E52CF8" w:rsidRDefault="00E52CF8">
      <w:pPr>
        <w:spacing w:after="0"/>
      </w:pPr>
      <w:r>
        <w:separator/>
      </w:r>
    </w:p>
  </w:endnote>
  <w:endnote w:type="continuationSeparator" w:id="0">
    <w:p w14:paraId="380D9F86" w14:textId="77777777" w:rsidR="00E52CF8" w:rsidRDefault="00E52C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DBE03" w14:textId="77777777" w:rsidR="008875AA" w:rsidRDefault="009A01C9">
    <w:pPr>
      <w:tabs>
        <w:tab w:val="left" w:pos="0"/>
      </w:tabs>
      <w:suppressAutoHyphens/>
    </w:pPr>
    <w:r>
      <w:rPr>
        <w:noProof/>
      </w:rPr>
      <mc:AlternateContent>
        <mc:Choice Requires="wps">
          <w:drawing>
            <wp:anchor distT="0" distB="0" distL="114300" distR="114300" simplePos="0" relativeHeight="251659264" behindDoc="1" locked="0" layoutInCell="0" allowOverlap="1" wp14:anchorId="50920F64" wp14:editId="0E654B1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EFF84EE" w14:textId="194B2888" w:rsidR="008875AA" w:rsidRDefault="009A01C9" w:rsidP="008875AA">
                          <w:pPr>
                            <w:tabs>
                              <w:tab w:val="center" w:pos="4650"/>
                            </w:tabs>
                            <w:suppressAutoHyphens/>
                            <w:jc w:val="center"/>
                          </w:pPr>
                          <w:r>
                            <w:fldChar w:fldCharType="begin"/>
                          </w:r>
                          <w:r>
                            <w:instrText>page \* arabic</w:instrText>
                          </w:r>
                          <w:r>
                            <w:fldChar w:fldCharType="separate"/>
                          </w:r>
                          <w:r w:rsidR="00327EB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20F64" id="Rectangle 1" o:spid="_x0000_s1026" style="position:absolute;margin-left:1.5pt;margin-top:12pt;width:465pt;height:1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5EFF84EE" w14:textId="194B2888" w:rsidR="008875AA" w:rsidRDefault="009A01C9" w:rsidP="008875AA">
                    <w:pPr>
                      <w:tabs>
                        <w:tab w:val="center" w:pos="4650"/>
                      </w:tabs>
                      <w:suppressAutoHyphens/>
                      <w:jc w:val="center"/>
                    </w:pPr>
                    <w:r>
                      <w:fldChar w:fldCharType="begin"/>
                    </w:r>
                    <w:r>
                      <w:instrText>page \* arabic</w:instrText>
                    </w:r>
                    <w:r>
                      <w:fldChar w:fldCharType="separate"/>
                    </w:r>
                    <w:r w:rsidR="00327EBF">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CB2D8" w14:textId="77777777" w:rsidR="00E52CF8" w:rsidRDefault="00E52CF8">
      <w:pPr>
        <w:spacing w:after="0"/>
      </w:pPr>
      <w:r>
        <w:separator/>
      </w:r>
    </w:p>
  </w:footnote>
  <w:footnote w:type="continuationSeparator" w:id="0">
    <w:p w14:paraId="0E4CA891" w14:textId="77777777" w:rsidR="00E52CF8" w:rsidRDefault="00E52C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E1688"/>
    <w:multiLevelType w:val="hybridMultilevel"/>
    <w:tmpl w:val="A31E3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3332F"/>
    <w:multiLevelType w:val="hybridMultilevel"/>
    <w:tmpl w:val="0D18A776"/>
    <w:lvl w:ilvl="0" w:tplc="796C9964">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65D"/>
    <w:rsid w:val="00130C94"/>
    <w:rsid w:val="001E7486"/>
    <w:rsid w:val="00236B6B"/>
    <w:rsid w:val="00327EBF"/>
    <w:rsid w:val="00360365"/>
    <w:rsid w:val="003B0B98"/>
    <w:rsid w:val="00507427"/>
    <w:rsid w:val="0055765D"/>
    <w:rsid w:val="005D1A14"/>
    <w:rsid w:val="00636F52"/>
    <w:rsid w:val="0065531F"/>
    <w:rsid w:val="00682EE0"/>
    <w:rsid w:val="007756FF"/>
    <w:rsid w:val="007E4398"/>
    <w:rsid w:val="009A01C9"/>
    <w:rsid w:val="00BF4777"/>
    <w:rsid w:val="00D65360"/>
    <w:rsid w:val="00D775A4"/>
    <w:rsid w:val="00E52CF8"/>
    <w:rsid w:val="00ED7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3903"/>
  <w15:chartTrackingRefBased/>
  <w15:docId w15:val="{BB98FA03-2CE8-4782-AD07-D84814C2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65D"/>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5765D"/>
    <w:pPr>
      <w:keepNext/>
      <w:widowControl w:val="0"/>
      <w:numPr>
        <w:ilvl w:val="12"/>
      </w:numPr>
      <w:ind w:left="360" w:hanging="360"/>
      <w:outlineLvl w:val="0"/>
    </w:pPr>
    <w:rPr>
      <w:rFonts w:cs="Arial"/>
      <w:b/>
      <w:snapToGrid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765D"/>
    <w:rPr>
      <w:rFonts w:ascii="Times New Roman" w:eastAsia="Times New Roman" w:hAnsi="Times New Roman" w:cs="Arial"/>
      <w:b/>
      <w:snapToGrid w:val="0"/>
      <w:sz w:val="28"/>
      <w:szCs w:val="20"/>
    </w:rPr>
  </w:style>
  <w:style w:type="character" w:customStyle="1" w:styleId="a">
    <w:name w:val="À"/>
    <w:uiPriority w:val="99"/>
    <w:rsid w:val="0055765D"/>
    <w:rPr>
      <w:rFonts w:cs="Times New Roman"/>
    </w:rPr>
  </w:style>
  <w:style w:type="paragraph" w:styleId="Title">
    <w:name w:val="Title"/>
    <w:basedOn w:val="Normal"/>
    <w:next w:val="Normal"/>
    <w:link w:val="TitleChar"/>
    <w:qFormat/>
    <w:rsid w:val="0055765D"/>
    <w:pPr>
      <w:spacing w:before="120" w:after="240"/>
      <w:jc w:val="center"/>
      <w:outlineLvl w:val="0"/>
    </w:pPr>
    <w:rPr>
      <w:b/>
      <w:bCs/>
      <w:kern w:val="28"/>
    </w:rPr>
  </w:style>
  <w:style w:type="character" w:customStyle="1" w:styleId="TitleChar">
    <w:name w:val="Title Char"/>
    <w:basedOn w:val="DefaultParagraphFont"/>
    <w:link w:val="Title"/>
    <w:rsid w:val="0055765D"/>
    <w:rPr>
      <w:rFonts w:ascii="Times New Roman" w:eastAsia="Times New Roman" w:hAnsi="Times New Roman" w:cs="Times New Roman"/>
      <w:b/>
      <w:bCs/>
      <w:kern w:val="28"/>
      <w:sz w:val="24"/>
      <w:szCs w:val="24"/>
    </w:rPr>
  </w:style>
  <w:style w:type="character" w:styleId="CommentReference">
    <w:name w:val="annotation reference"/>
    <w:uiPriority w:val="99"/>
    <w:rsid w:val="0055765D"/>
    <w:rPr>
      <w:rFonts w:cs="Times New Roman"/>
      <w:sz w:val="16"/>
      <w:szCs w:val="16"/>
    </w:rPr>
  </w:style>
  <w:style w:type="paragraph" w:styleId="CommentText">
    <w:name w:val="annotation text"/>
    <w:basedOn w:val="Normal"/>
    <w:link w:val="CommentTextChar"/>
    <w:uiPriority w:val="99"/>
    <w:rsid w:val="0055765D"/>
    <w:rPr>
      <w:sz w:val="20"/>
    </w:rPr>
  </w:style>
  <w:style w:type="character" w:customStyle="1" w:styleId="CommentTextChar">
    <w:name w:val="Comment Text Char"/>
    <w:basedOn w:val="DefaultParagraphFont"/>
    <w:link w:val="CommentText"/>
    <w:uiPriority w:val="99"/>
    <w:rsid w:val="0055765D"/>
    <w:rPr>
      <w:rFonts w:ascii="Times New Roman" w:eastAsia="Times New Roman" w:hAnsi="Times New Roman" w:cs="Times New Roman"/>
      <w:sz w:val="20"/>
      <w:szCs w:val="24"/>
    </w:rPr>
  </w:style>
  <w:style w:type="table" w:styleId="TableGrid">
    <w:name w:val="Table Grid"/>
    <w:basedOn w:val="TableNormal"/>
    <w:uiPriority w:val="99"/>
    <w:rsid w:val="0055765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765D"/>
    <w:pPr>
      <w:spacing w:before="120"/>
      <w:ind w:left="720"/>
    </w:pPr>
  </w:style>
  <w:style w:type="paragraph" w:customStyle="1" w:styleId="SL-FlLftSgl">
    <w:name w:val="SL-Fl Lft Sgl"/>
    <w:rsid w:val="0055765D"/>
    <w:pPr>
      <w:spacing w:after="0" w:line="240" w:lineRule="atLeast"/>
      <w:jc w:val="both"/>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5765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65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7E4398"/>
    <w:rPr>
      <w:b/>
      <w:bCs/>
      <w:szCs w:val="20"/>
    </w:rPr>
  </w:style>
  <w:style w:type="character" w:customStyle="1" w:styleId="CommentSubjectChar">
    <w:name w:val="Comment Subject Char"/>
    <w:basedOn w:val="CommentTextChar"/>
    <w:link w:val="CommentSubject"/>
    <w:uiPriority w:val="99"/>
    <w:semiHidden/>
    <w:rsid w:val="007E43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852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Nye, Peter (ACL)</dc:creator>
  <cp:keywords/>
  <dc:description/>
  <cp:lastModifiedBy>Washington, Tomakie (ACL)</cp:lastModifiedBy>
  <cp:revision>3</cp:revision>
  <dcterms:created xsi:type="dcterms:W3CDTF">2021-01-19T17:08:00Z</dcterms:created>
  <dcterms:modified xsi:type="dcterms:W3CDTF">2021-01-26T17:36:00Z</dcterms:modified>
</cp:coreProperties>
</file>