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947" w:rsidP="00C64947" w:rsidRDefault="00C64947" w14:paraId="1E072576" w14:textId="77777777">
      <w:pPr>
        <w:tabs>
          <w:tab w:val="center" w:pos="4680"/>
        </w:tabs>
        <w:jc w:val="center"/>
        <w:rPr>
          <w:b/>
          <w:bCs/>
          <w:sz w:val="32"/>
          <w:szCs w:val="32"/>
        </w:rPr>
      </w:pPr>
      <w:r>
        <w:rPr>
          <w:b/>
          <w:bCs/>
          <w:sz w:val="32"/>
          <w:szCs w:val="32"/>
        </w:rPr>
        <w:t>Supporting Statement</w:t>
      </w:r>
    </w:p>
    <w:p w:rsidR="00C64947" w:rsidP="00C64947" w:rsidRDefault="00C64947" w14:paraId="1334D6B8" w14:textId="77777777">
      <w:pPr>
        <w:tabs>
          <w:tab w:val="center" w:pos="4680"/>
        </w:tabs>
        <w:jc w:val="center"/>
        <w:rPr>
          <w:b/>
          <w:bCs/>
          <w:sz w:val="32"/>
          <w:szCs w:val="32"/>
        </w:rPr>
      </w:pPr>
    </w:p>
    <w:p w:rsidR="00C64947" w:rsidP="00C64947" w:rsidRDefault="00C64947" w14:paraId="6D1E02D2" w14:textId="77777777">
      <w:pPr>
        <w:tabs>
          <w:tab w:val="center" w:pos="4680"/>
        </w:tabs>
        <w:jc w:val="center"/>
        <w:rPr>
          <w:b/>
          <w:bCs/>
          <w:sz w:val="32"/>
          <w:szCs w:val="32"/>
        </w:rPr>
      </w:pPr>
      <w:r>
        <w:rPr>
          <w:b/>
          <w:bCs/>
          <w:sz w:val="32"/>
          <w:szCs w:val="32"/>
        </w:rPr>
        <w:t xml:space="preserve"> HHS </w:t>
      </w:r>
      <w:proofErr w:type="spellStart"/>
      <w:r>
        <w:rPr>
          <w:b/>
          <w:bCs/>
          <w:sz w:val="32"/>
          <w:szCs w:val="32"/>
        </w:rPr>
        <w:t>Teletracking</w:t>
      </w:r>
      <w:proofErr w:type="spellEnd"/>
      <w:r>
        <w:rPr>
          <w:b/>
          <w:bCs/>
          <w:sz w:val="32"/>
          <w:szCs w:val="32"/>
        </w:rPr>
        <w:t xml:space="preserve"> COVID-19 Portal (U.S. Healthcare COVID-19 Portal) Information Collection</w:t>
      </w:r>
    </w:p>
    <w:p w:rsidR="0098164F" w:rsidRDefault="0098164F" w14:paraId="335F120C" w14:textId="77777777">
      <w:pPr>
        <w:widowControl/>
        <w:jc w:val="center"/>
        <w:rPr>
          <w:b/>
          <w:bCs/>
          <w:color w:val="000000"/>
          <w:sz w:val="32"/>
          <w:szCs w:val="32"/>
        </w:rPr>
      </w:pPr>
    </w:p>
    <w:p w:rsidR="00C64947" w:rsidRDefault="00C64947" w14:paraId="61443597" w14:textId="77777777">
      <w:pPr>
        <w:widowControl/>
        <w:jc w:val="center"/>
        <w:rPr>
          <w:b/>
          <w:bCs/>
          <w:color w:val="000000"/>
          <w:sz w:val="32"/>
          <w:szCs w:val="32"/>
        </w:rPr>
      </w:pPr>
    </w:p>
    <w:p w:rsidR="00C64947" w:rsidRDefault="00C64947" w14:paraId="10C8DCE4" w14:textId="77777777">
      <w:pPr>
        <w:widowControl/>
        <w:jc w:val="center"/>
        <w:rPr>
          <w:b/>
          <w:bCs/>
          <w:color w:val="000000"/>
          <w:sz w:val="32"/>
          <w:szCs w:val="32"/>
        </w:rPr>
      </w:pPr>
    </w:p>
    <w:p w:rsidR="00C64947" w:rsidRDefault="00C64947" w14:paraId="04CED40C" w14:textId="77777777">
      <w:pPr>
        <w:widowControl/>
        <w:jc w:val="center"/>
        <w:rPr>
          <w:b/>
          <w:bCs/>
          <w:color w:val="000000"/>
          <w:sz w:val="32"/>
          <w:szCs w:val="32"/>
        </w:rPr>
      </w:pPr>
    </w:p>
    <w:p w:rsidR="00C64947" w:rsidRDefault="00C64947" w14:paraId="0DA99333" w14:textId="77777777">
      <w:pPr>
        <w:widowControl/>
        <w:jc w:val="center"/>
        <w:rPr>
          <w:b/>
          <w:bCs/>
          <w:color w:val="000000"/>
          <w:sz w:val="32"/>
          <w:szCs w:val="32"/>
        </w:rPr>
      </w:pPr>
    </w:p>
    <w:p w:rsidR="00C64947" w:rsidRDefault="00C64947" w14:paraId="3D80BFE7" w14:textId="77777777">
      <w:pPr>
        <w:widowControl/>
        <w:jc w:val="center"/>
        <w:rPr>
          <w:b/>
          <w:bCs/>
          <w:color w:val="000000"/>
          <w:sz w:val="32"/>
          <w:szCs w:val="32"/>
        </w:rPr>
      </w:pPr>
    </w:p>
    <w:p w:rsidR="0098164F" w:rsidRDefault="0098164F" w14:paraId="0F4ED97D" w14:textId="77777777">
      <w:pPr>
        <w:widowControl/>
        <w:jc w:val="center"/>
        <w:rPr>
          <w:b/>
          <w:bCs/>
          <w:color w:val="000000"/>
          <w:sz w:val="32"/>
          <w:szCs w:val="32"/>
        </w:rPr>
      </w:pPr>
      <w:r>
        <w:rPr>
          <w:b/>
          <w:bCs/>
          <w:color w:val="000000"/>
          <w:sz w:val="32"/>
          <w:szCs w:val="32"/>
        </w:rPr>
        <w:t>Requests for OMB Review and Approval</w:t>
      </w:r>
    </w:p>
    <w:p w:rsidR="0098164F" w:rsidRDefault="0098164F" w14:paraId="5EFA3858" w14:textId="77777777">
      <w:pPr>
        <w:widowControl/>
        <w:jc w:val="center"/>
        <w:rPr>
          <w:b/>
          <w:bCs/>
          <w:color w:val="000000"/>
          <w:sz w:val="32"/>
          <w:szCs w:val="32"/>
        </w:rPr>
      </w:pPr>
      <w:r>
        <w:rPr>
          <w:b/>
          <w:bCs/>
          <w:color w:val="000000"/>
          <w:sz w:val="32"/>
          <w:szCs w:val="32"/>
        </w:rPr>
        <w:t>Under the Paperwork Reduction Act and 5 CFR 1320</w:t>
      </w:r>
    </w:p>
    <w:p w:rsidR="0098164F" w:rsidRDefault="0098164F" w14:paraId="4050810E" w14:textId="77777777">
      <w:pPr>
        <w:widowControl/>
        <w:rPr>
          <w:color w:val="000000"/>
          <w:sz w:val="32"/>
          <w:szCs w:val="32"/>
        </w:rPr>
      </w:pPr>
    </w:p>
    <w:p w:rsidR="0098164F" w:rsidRDefault="0098164F" w14:paraId="6B73BDF1" w14:textId="77777777">
      <w:pPr>
        <w:widowControl/>
        <w:rPr>
          <w:color w:val="000000"/>
          <w:sz w:val="24"/>
        </w:rPr>
      </w:pPr>
    </w:p>
    <w:p w:rsidR="0098164F" w:rsidRDefault="0098164F" w14:paraId="524AA7CF" w14:textId="77777777">
      <w:pPr>
        <w:widowControl/>
        <w:rPr>
          <w:color w:val="000000"/>
          <w:sz w:val="24"/>
        </w:rPr>
      </w:pPr>
    </w:p>
    <w:p w:rsidR="0098164F" w:rsidRDefault="0098164F" w14:paraId="15148159" w14:textId="77777777">
      <w:pPr>
        <w:widowControl/>
        <w:rPr>
          <w:color w:val="000000"/>
          <w:sz w:val="24"/>
        </w:rPr>
      </w:pPr>
    </w:p>
    <w:p w:rsidR="0098164F" w:rsidRDefault="0098164F" w14:paraId="4EB3024E" w14:textId="77777777">
      <w:pPr>
        <w:widowControl/>
        <w:rPr>
          <w:color w:val="000000"/>
          <w:sz w:val="24"/>
        </w:rPr>
      </w:pPr>
    </w:p>
    <w:p w:rsidR="0098164F" w:rsidRDefault="0098164F" w14:paraId="446C5569" w14:textId="77777777">
      <w:pPr>
        <w:widowControl/>
        <w:rPr>
          <w:color w:val="000000"/>
          <w:sz w:val="24"/>
        </w:rPr>
      </w:pPr>
    </w:p>
    <w:p w:rsidR="0098164F" w:rsidRDefault="0098164F" w14:paraId="0B156647" w14:textId="77777777">
      <w:pPr>
        <w:widowControl/>
        <w:rPr>
          <w:color w:val="000000"/>
          <w:sz w:val="24"/>
        </w:rPr>
      </w:pPr>
    </w:p>
    <w:p w:rsidR="00C64947" w:rsidRDefault="00C64947" w14:paraId="4F01700F" w14:textId="77777777">
      <w:pPr>
        <w:widowControl/>
        <w:rPr>
          <w:color w:val="000000"/>
          <w:sz w:val="28"/>
          <w:szCs w:val="28"/>
        </w:rPr>
      </w:pPr>
    </w:p>
    <w:p w:rsidR="00C64947" w:rsidRDefault="00C64947" w14:paraId="0534C71F" w14:textId="77777777">
      <w:pPr>
        <w:widowControl/>
        <w:rPr>
          <w:color w:val="000000"/>
          <w:sz w:val="28"/>
          <w:szCs w:val="28"/>
        </w:rPr>
      </w:pPr>
    </w:p>
    <w:p w:rsidR="00C64947" w:rsidRDefault="00C64947" w14:paraId="54C7914E" w14:textId="77777777">
      <w:pPr>
        <w:widowControl/>
        <w:rPr>
          <w:color w:val="000000"/>
          <w:sz w:val="28"/>
          <w:szCs w:val="28"/>
        </w:rPr>
      </w:pPr>
    </w:p>
    <w:p w:rsidR="00C64947" w:rsidRDefault="00C64947" w14:paraId="071E3B26" w14:textId="77777777">
      <w:pPr>
        <w:widowControl/>
        <w:rPr>
          <w:color w:val="000000"/>
          <w:sz w:val="28"/>
          <w:szCs w:val="28"/>
        </w:rPr>
      </w:pPr>
    </w:p>
    <w:p w:rsidR="00C64947" w:rsidRDefault="00C64947" w14:paraId="2DCFE42B" w14:textId="77777777">
      <w:pPr>
        <w:widowControl/>
        <w:rPr>
          <w:color w:val="000000"/>
          <w:sz w:val="28"/>
          <w:szCs w:val="28"/>
        </w:rPr>
      </w:pPr>
    </w:p>
    <w:p w:rsidR="00C64947" w:rsidRDefault="00C64947" w14:paraId="1B71046A" w14:textId="77777777">
      <w:pPr>
        <w:widowControl/>
        <w:rPr>
          <w:color w:val="000000"/>
          <w:sz w:val="28"/>
          <w:szCs w:val="28"/>
        </w:rPr>
      </w:pPr>
    </w:p>
    <w:p w:rsidR="0098164F" w:rsidRDefault="0098164F" w14:paraId="59C31239" w14:textId="77777777">
      <w:pPr>
        <w:widowControl/>
        <w:rPr>
          <w:color w:val="000000"/>
          <w:sz w:val="28"/>
          <w:szCs w:val="28"/>
        </w:rPr>
      </w:pPr>
      <w:r>
        <w:rPr>
          <w:color w:val="000000"/>
          <w:sz w:val="28"/>
          <w:szCs w:val="28"/>
        </w:rPr>
        <w:t>Department of Health and Human Services</w:t>
      </w:r>
    </w:p>
    <w:p w:rsidR="0098164F" w:rsidRDefault="0098164F" w14:paraId="2B9F0BFF" w14:textId="77777777">
      <w:pPr>
        <w:widowControl/>
        <w:rPr>
          <w:color w:val="000000"/>
          <w:sz w:val="28"/>
          <w:szCs w:val="28"/>
        </w:rPr>
      </w:pPr>
    </w:p>
    <w:p w:rsidR="0098164F" w:rsidRDefault="0098164F" w14:paraId="0F9BEFB6" w14:textId="77777777">
      <w:pPr>
        <w:widowControl/>
        <w:rPr>
          <w:color w:val="000000"/>
          <w:sz w:val="28"/>
          <w:szCs w:val="28"/>
        </w:rPr>
      </w:pPr>
      <w:r>
        <w:rPr>
          <w:color w:val="000000"/>
          <w:sz w:val="28"/>
          <w:szCs w:val="28"/>
        </w:rPr>
        <w:t>Office of the Chief Information Officer</w:t>
      </w:r>
    </w:p>
    <w:p w:rsidR="0098164F" w:rsidRDefault="0098164F" w14:paraId="6C47C3D3" w14:textId="77777777">
      <w:pPr>
        <w:widowControl/>
        <w:rPr>
          <w:color w:val="000000"/>
          <w:sz w:val="28"/>
          <w:szCs w:val="28"/>
        </w:rPr>
      </w:pPr>
      <w:r>
        <w:rPr>
          <w:color w:val="000000"/>
          <w:sz w:val="28"/>
          <w:szCs w:val="28"/>
        </w:rPr>
        <w:t>Office of Resources Management</w:t>
      </w:r>
    </w:p>
    <w:p w:rsidR="0098164F" w:rsidRDefault="0098164F" w14:paraId="18306406" w14:textId="77777777">
      <w:pPr>
        <w:widowControl/>
        <w:rPr>
          <w:color w:val="000000"/>
          <w:sz w:val="28"/>
          <w:szCs w:val="28"/>
        </w:rPr>
      </w:pPr>
      <w:smartTag w:uri="urn:schemas-microsoft-com:office:smarttags" w:element="Street">
        <w:smartTag w:uri="urn:schemas-microsoft-com:office:smarttags" w:element="address">
          <w:r>
            <w:rPr>
              <w:color w:val="000000"/>
              <w:sz w:val="28"/>
              <w:szCs w:val="28"/>
            </w:rPr>
            <w:t>200 Independence Avenue, S.W.</w:t>
          </w:r>
        </w:smartTag>
      </w:smartTag>
      <w:r>
        <w:rPr>
          <w:color w:val="000000"/>
          <w:sz w:val="28"/>
          <w:szCs w:val="28"/>
        </w:rPr>
        <w:t xml:space="preserve"> 537-H</w:t>
      </w:r>
    </w:p>
    <w:p w:rsidR="0098164F" w:rsidRDefault="0098164F" w14:paraId="137A0317" w14:textId="77777777">
      <w:pPr>
        <w:widowControl/>
        <w:rPr>
          <w:color w:val="000000"/>
          <w:sz w:val="28"/>
          <w:szCs w:val="28"/>
        </w:rPr>
      </w:pPr>
      <w:smartTag w:uri="urn:schemas-microsoft-com:office:smarttags" w:element="place">
        <w:smartTag w:uri="urn:schemas-microsoft-com:office:smarttags" w:element="City">
          <w:r>
            <w:rPr>
              <w:color w:val="000000"/>
              <w:sz w:val="28"/>
              <w:szCs w:val="28"/>
            </w:rPr>
            <w:t>Washington</w:t>
          </w:r>
        </w:smartTag>
        <w:r>
          <w:rPr>
            <w:color w:val="000000"/>
            <w:sz w:val="28"/>
            <w:szCs w:val="28"/>
          </w:rPr>
          <w:t xml:space="preserve">, </w:t>
        </w:r>
        <w:smartTag w:uri="urn:schemas-microsoft-com:office:smarttags" w:element="State">
          <w:r>
            <w:rPr>
              <w:color w:val="000000"/>
              <w:sz w:val="28"/>
              <w:szCs w:val="28"/>
            </w:rPr>
            <w:t>DC</w:t>
          </w:r>
        </w:smartTag>
        <w:r>
          <w:rPr>
            <w:color w:val="000000"/>
            <w:sz w:val="28"/>
            <w:szCs w:val="28"/>
          </w:rPr>
          <w:t xml:space="preserve">  </w:t>
        </w:r>
        <w:smartTag w:uri="urn:schemas-microsoft-com:office:smarttags" w:element="PostalCode">
          <w:r>
            <w:rPr>
              <w:color w:val="000000"/>
              <w:sz w:val="28"/>
              <w:szCs w:val="28"/>
            </w:rPr>
            <w:t>20201</w:t>
          </w:r>
        </w:smartTag>
      </w:smartTag>
    </w:p>
    <w:p w:rsidR="0098164F" w:rsidRDefault="0098164F" w14:paraId="4AD532B7" w14:textId="77777777">
      <w:pPr>
        <w:widowControl/>
        <w:rPr>
          <w:color w:val="000000"/>
          <w:sz w:val="24"/>
        </w:rPr>
      </w:pPr>
    </w:p>
    <w:p w:rsidR="0098164F" w:rsidRDefault="0098164F" w14:paraId="70077A82" w14:textId="77777777">
      <w:pPr>
        <w:widowControl/>
        <w:rPr>
          <w:color w:val="000000"/>
          <w:sz w:val="24"/>
        </w:rPr>
      </w:pPr>
    </w:p>
    <w:p w:rsidR="0098164F" w:rsidRDefault="0098164F" w14:paraId="69F3B9DF" w14:textId="77777777">
      <w:pPr>
        <w:widowControl/>
        <w:rPr>
          <w:color w:val="000000"/>
          <w:sz w:val="24"/>
        </w:rPr>
      </w:pPr>
    </w:p>
    <w:p w:rsidR="0098164F" w:rsidRDefault="0098164F" w14:paraId="462E8889" w14:textId="77777777">
      <w:pPr>
        <w:widowControl/>
        <w:rPr>
          <w:color w:val="000000"/>
          <w:sz w:val="24"/>
        </w:rPr>
      </w:pPr>
    </w:p>
    <w:p w:rsidR="0098164F" w:rsidRDefault="0098164F" w14:paraId="0238D886" w14:textId="77777777">
      <w:pPr>
        <w:widowControl/>
        <w:rPr>
          <w:color w:val="000000"/>
          <w:sz w:val="24"/>
        </w:rPr>
      </w:pPr>
    </w:p>
    <w:p w:rsidR="0098164F" w:rsidRDefault="0098164F" w14:paraId="59D73D9B" w14:textId="77777777">
      <w:pPr>
        <w:widowControl/>
        <w:rPr>
          <w:color w:val="000000"/>
          <w:sz w:val="24"/>
        </w:rPr>
      </w:pPr>
      <w:r>
        <w:rPr>
          <w:color w:val="000000"/>
          <w:sz w:val="24"/>
        </w:rPr>
        <w:lastRenderedPageBreak/>
        <w:t>Version: 10/09</w:t>
      </w:r>
    </w:p>
    <w:p w:rsidR="00C64947" w:rsidRDefault="00C64947" w14:paraId="3163549B" w14:textId="77777777">
      <w:pPr>
        <w:rPr>
          <w:b/>
          <w:bCs/>
          <w:sz w:val="24"/>
        </w:rPr>
      </w:pPr>
    </w:p>
    <w:p w:rsidR="0098164F" w:rsidRDefault="0098164F" w14:paraId="4AB17B00" w14:textId="77777777">
      <w:pPr>
        <w:rPr>
          <w:b/>
          <w:bCs/>
          <w:sz w:val="24"/>
        </w:rPr>
      </w:pPr>
      <w:r>
        <w:rPr>
          <w:b/>
          <w:bCs/>
          <w:sz w:val="24"/>
        </w:rPr>
        <w:t>A.</w:t>
      </w:r>
      <w:r>
        <w:rPr>
          <w:b/>
          <w:bCs/>
          <w:sz w:val="24"/>
        </w:rPr>
        <w:tab/>
        <w:t>Justification</w:t>
      </w:r>
    </w:p>
    <w:p w:rsidR="0098164F" w:rsidRDefault="0098164F" w14:paraId="15C88DCA" w14:textId="77777777">
      <w:pPr>
        <w:rPr>
          <w:sz w:val="24"/>
        </w:rPr>
      </w:pPr>
    </w:p>
    <w:p w:rsidRPr="0003510C" w:rsidR="0098164F" w:rsidP="0003510C" w:rsidRDefault="0098164F" w14:paraId="49F4293E" w14:textId="77777777">
      <w:pPr>
        <w:pStyle w:val="ListParagraph"/>
        <w:numPr>
          <w:ilvl w:val="0"/>
          <w:numId w:val="45"/>
        </w:numPr>
        <w:rPr>
          <w:b/>
          <w:sz w:val="24"/>
        </w:rPr>
      </w:pPr>
      <w:r w:rsidRPr="0003510C">
        <w:rPr>
          <w:b/>
          <w:sz w:val="24"/>
          <w:u w:val="single"/>
        </w:rPr>
        <w:t>Circumstances Making the Collection of Information Necessary</w:t>
      </w:r>
    </w:p>
    <w:p w:rsidR="0098164F" w:rsidRDefault="0098164F" w14:paraId="36DF0578" w14:textId="77777777">
      <w:pPr>
        <w:ind w:left="720"/>
        <w:rPr>
          <w:sz w:val="24"/>
        </w:rPr>
      </w:pPr>
      <w:r>
        <w:rPr>
          <w:sz w:val="24"/>
        </w:rPr>
        <w:tab/>
      </w:r>
    </w:p>
    <w:p w:rsidR="00710039" w:rsidP="008C6C76" w:rsidRDefault="00BE214E" w14:paraId="7BF20D93" w14:textId="457ADC73">
      <w:pPr>
        <w:widowControl/>
        <w:autoSpaceDE/>
        <w:autoSpaceDN/>
        <w:adjustRightInd/>
        <w:spacing w:before="100" w:beforeAutospacing="1" w:after="100" w:afterAutospacing="1"/>
        <w:rPr>
          <w:b/>
          <w:bCs/>
          <w:sz w:val="24"/>
        </w:rPr>
      </w:pPr>
      <w:r w:rsidRPr="00C64947">
        <w:rPr>
          <w:b/>
          <w:bCs/>
          <w:sz w:val="24"/>
        </w:rPr>
        <w:t>Section 319 of the Public Health Service Act (</w:t>
      </w:r>
      <w:r w:rsidRPr="00C64947" w:rsidR="00653BD7">
        <w:rPr>
          <w:b/>
          <w:bCs/>
          <w:sz w:val="24"/>
        </w:rPr>
        <w:t>42 U.S.C. § 247d</w:t>
      </w:r>
      <w:r w:rsidRPr="00C64947">
        <w:rPr>
          <w:b/>
          <w:bCs/>
          <w:sz w:val="24"/>
        </w:rPr>
        <w:t>)</w:t>
      </w:r>
      <w:r w:rsidRPr="00C64947">
        <w:rPr>
          <w:sz w:val="24"/>
        </w:rPr>
        <w:t xml:space="preserve"> - Under section 319 of the PHS Act, when the Secretary</w:t>
      </w:r>
      <w:r w:rsidR="00A7301C">
        <w:rPr>
          <w:sz w:val="24"/>
        </w:rPr>
        <w:t xml:space="preserve"> of the Department of Health and Human Services</w:t>
      </w:r>
      <w:r w:rsidRPr="00C64947">
        <w:rPr>
          <w:sz w:val="24"/>
        </w:rPr>
        <w:t xml:space="preserve"> declared a PHE</w:t>
      </w:r>
      <w:r w:rsidR="00A7301C">
        <w:rPr>
          <w:sz w:val="24"/>
        </w:rPr>
        <w:t xml:space="preserve"> on January 31, 2020</w:t>
      </w:r>
      <w:r w:rsidR="00B3712A">
        <w:rPr>
          <w:sz w:val="24"/>
        </w:rPr>
        <w:t xml:space="preserve"> (</w:t>
      </w:r>
      <w:hyperlink w:history="1" r:id="rId8">
        <w:r w:rsidRPr="00E346F0" w:rsidR="000679E6">
          <w:rPr>
            <w:rStyle w:val="Hyperlink"/>
            <w:sz w:val="24"/>
          </w:rPr>
          <w:t>https://www.phe.gov/emergency/news/healthactions/phe/Pages/2019-nCoV.aspx</w:t>
        </w:r>
      </w:hyperlink>
      <w:r w:rsidR="00B3712A">
        <w:rPr>
          <w:sz w:val="24"/>
        </w:rPr>
        <w:t>)</w:t>
      </w:r>
      <w:r w:rsidRPr="00C64947">
        <w:rPr>
          <w:sz w:val="24"/>
        </w:rPr>
        <w:t>, consistent with his other statutory authorities, he can take such action as may be appropriate to respond to the PHE including making grants; entering into contracts; and conducting and supporting investigations into the cause, treatment, or prevention of the disease or disorder.</w:t>
      </w:r>
      <w:r w:rsidR="00A7301C">
        <w:rPr>
          <w:b/>
          <w:bCs/>
          <w:sz w:val="24"/>
        </w:rPr>
        <w:t xml:space="preserve"> </w:t>
      </w:r>
    </w:p>
    <w:p w:rsidR="00710039" w:rsidP="008C6C76" w:rsidRDefault="00710039" w14:paraId="0FFFC7E0" w14:textId="77777777">
      <w:pPr>
        <w:widowControl/>
        <w:autoSpaceDE/>
        <w:autoSpaceDN/>
        <w:adjustRightInd/>
        <w:spacing w:before="100" w:beforeAutospacing="1" w:after="100" w:afterAutospacing="1"/>
        <w:rPr>
          <w:b/>
          <w:bCs/>
          <w:sz w:val="24"/>
        </w:rPr>
      </w:pPr>
      <w:r w:rsidRPr="00C64947">
        <w:rPr>
          <w:sz w:val="24"/>
        </w:rPr>
        <w:t xml:space="preserve">Hospitals are key partners </w:t>
      </w:r>
      <w:r>
        <w:rPr>
          <w:sz w:val="24"/>
        </w:rPr>
        <w:t xml:space="preserve">in the U.S. </w:t>
      </w:r>
      <w:r w:rsidRPr="00C64947">
        <w:rPr>
          <w:sz w:val="24"/>
        </w:rPr>
        <w:t>response to COVID-19</w:t>
      </w:r>
      <w:r>
        <w:rPr>
          <w:sz w:val="24"/>
        </w:rPr>
        <w:t>. The response</w:t>
      </w:r>
      <w:r w:rsidRPr="00C64947">
        <w:rPr>
          <w:sz w:val="24"/>
        </w:rPr>
        <w:t xml:space="preserve"> is locally executed, state managed, and federally supported. </w:t>
      </w:r>
      <w:r>
        <w:rPr>
          <w:sz w:val="24"/>
        </w:rPr>
        <w:t xml:space="preserve">At the Federal level, </w:t>
      </w:r>
      <w:r w:rsidRPr="00C64947">
        <w:rPr>
          <w:sz w:val="24"/>
        </w:rPr>
        <w:t xml:space="preserve">the U.S. Department of Health &amp; Human Services COVID-19 Response Function, the White House Coronavirus Task Force, and the Centers for Disease Control &amp; Prevention COVID-19 Response Function </w:t>
      </w:r>
      <w:r>
        <w:rPr>
          <w:sz w:val="24"/>
        </w:rPr>
        <w:t xml:space="preserve">work together to support the </w:t>
      </w:r>
      <w:r w:rsidRPr="00C64947">
        <w:rPr>
          <w:sz w:val="24"/>
        </w:rPr>
        <w:t>effective operations of the American healthcare system.</w:t>
      </w:r>
    </w:p>
    <w:p w:rsidR="008C6C76" w:rsidP="008C6C76" w:rsidRDefault="00A7301C" w14:paraId="62A39F6F" w14:textId="3F4F36A7">
      <w:pPr>
        <w:widowControl/>
        <w:autoSpaceDE/>
        <w:autoSpaceDN/>
        <w:adjustRightInd/>
        <w:spacing w:before="100" w:beforeAutospacing="1" w:after="100" w:afterAutospacing="1"/>
        <w:rPr>
          <w:b/>
          <w:bCs/>
          <w:sz w:val="24"/>
        </w:rPr>
      </w:pPr>
      <w:r>
        <w:rPr>
          <w:sz w:val="24"/>
        </w:rPr>
        <w:t>This collection initially began at the end of March through</w:t>
      </w:r>
      <w:r w:rsidR="00B3712A">
        <w:rPr>
          <w:sz w:val="24"/>
        </w:rPr>
        <w:t xml:space="preserve"> a letter from</w:t>
      </w:r>
      <w:r>
        <w:rPr>
          <w:sz w:val="24"/>
        </w:rPr>
        <w:t xml:space="preserve"> the Vice President Pence to the nation’s 4,700 hospitals</w:t>
      </w:r>
      <w:r w:rsidR="00B3712A">
        <w:rPr>
          <w:sz w:val="24"/>
        </w:rPr>
        <w:t xml:space="preserve">, asking </w:t>
      </w:r>
      <w:r w:rsidR="003678F3">
        <w:rPr>
          <w:sz w:val="24"/>
        </w:rPr>
        <w:t>them</w:t>
      </w:r>
      <w:r>
        <w:rPr>
          <w:sz w:val="24"/>
        </w:rPr>
        <w:t xml:space="preserve"> to submit data daily on the number of patients tested for COVID-19, as well as information on bed capacity and requirements for other supplies</w:t>
      </w:r>
      <w:r w:rsidR="00B3712A">
        <w:rPr>
          <w:sz w:val="24"/>
        </w:rPr>
        <w:t>. (</w:t>
      </w:r>
      <w:hyperlink w:history="1" r:id="rId9">
        <w:r w:rsidRPr="00E346F0" w:rsidR="000679E6">
          <w:rPr>
            <w:rStyle w:val="Hyperlink"/>
            <w:sz w:val="24"/>
          </w:rPr>
          <w:t>https://www.cms.gov/files/document/32920-hospital-letter-vice-president-pence.pdf</w:t>
        </w:r>
      </w:hyperlink>
      <w:r w:rsidR="00B3712A">
        <w:rPr>
          <w:sz w:val="24"/>
        </w:rPr>
        <w:t>)</w:t>
      </w:r>
      <w:r w:rsidR="00B3712A">
        <w:rPr>
          <w:b/>
          <w:bCs/>
          <w:sz w:val="24"/>
        </w:rPr>
        <w:t xml:space="preserve">. </w:t>
      </w:r>
    </w:p>
    <w:p w:rsidR="008C6C76" w:rsidP="008C6C76" w:rsidRDefault="008C6C76" w14:paraId="3A2854F8" w14:textId="2DEB7F4C">
      <w:pPr>
        <w:widowControl/>
        <w:autoSpaceDE/>
        <w:autoSpaceDN/>
        <w:adjustRightInd/>
        <w:spacing w:before="100" w:beforeAutospacing="1" w:after="100" w:afterAutospacing="1"/>
        <w:rPr>
          <w:sz w:val="24"/>
        </w:rPr>
      </w:pPr>
      <w:r>
        <w:rPr>
          <w:sz w:val="24"/>
        </w:rPr>
        <w:t>The</w:t>
      </w:r>
      <w:r w:rsidR="00710039">
        <w:rPr>
          <w:sz w:val="24"/>
        </w:rPr>
        <w:t xml:space="preserve"> </w:t>
      </w:r>
      <w:proofErr w:type="spellStart"/>
      <w:r w:rsidR="00710039">
        <w:rPr>
          <w:sz w:val="24"/>
        </w:rPr>
        <w:t>Teletracking</w:t>
      </w:r>
      <w:proofErr w:type="spellEnd"/>
      <w:r w:rsidR="00710039">
        <w:rPr>
          <w:sz w:val="24"/>
        </w:rPr>
        <w:t xml:space="preserve"> portal include</w:t>
      </w:r>
      <w:r>
        <w:rPr>
          <w:sz w:val="24"/>
        </w:rPr>
        <w:t xml:space="preserve">s </w:t>
      </w:r>
      <w:r w:rsidR="00710039">
        <w:rPr>
          <w:sz w:val="24"/>
        </w:rPr>
        <w:t xml:space="preserve">some </w:t>
      </w:r>
      <w:r>
        <w:rPr>
          <w:sz w:val="24"/>
        </w:rPr>
        <w:t xml:space="preserve">data that were initially submitted by hospitals to HHS through CDC’s National Healthcare Safety Network (NHSN) COVID-19 Module </w:t>
      </w:r>
      <w:r w:rsidRPr="007E5556" w:rsidR="007E5556">
        <w:rPr>
          <w:sz w:val="24"/>
        </w:rPr>
        <w:t>(OMB Control No. 0920-1290) that was approved 3/26/2020</w:t>
      </w:r>
      <w:r w:rsidR="007E5556">
        <w:rPr>
          <w:sz w:val="24"/>
        </w:rPr>
        <w:t>.</w:t>
      </w:r>
      <w:r w:rsidRPr="007E5556" w:rsidDel="007E5556" w:rsidR="007E5556">
        <w:rPr>
          <w:sz w:val="24"/>
        </w:rPr>
        <w:t xml:space="preserve"> </w:t>
      </w:r>
      <w:r>
        <w:rPr>
          <w:sz w:val="24"/>
        </w:rPr>
        <w:t xml:space="preserve">Over the last several </w:t>
      </w:r>
      <w:proofErr w:type="spellStart"/>
      <w:r>
        <w:rPr>
          <w:sz w:val="24"/>
        </w:rPr>
        <w:t>months time</w:t>
      </w:r>
      <w:proofErr w:type="spellEnd"/>
      <w:r>
        <w:rPr>
          <w:sz w:val="24"/>
        </w:rPr>
        <w:t xml:space="preserve">, the guidance </w:t>
      </w:r>
      <w:r w:rsidR="00710039">
        <w:rPr>
          <w:sz w:val="24"/>
        </w:rPr>
        <w:t xml:space="preserve">for which data elements should be sent to HHS and through which method </w:t>
      </w:r>
      <w:r>
        <w:rPr>
          <w:sz w:val="24"/>
        </w:rPr>
        <w:t xml:space="preserve">was updated at the request of the White House Coronavirus Task Force and other leaders to improve upon this collection in order to inform the response. </w:t>
      </w:r>
      <w:r w:rsidR="008B6C63">
        <w:rPr>
          <w:sz w:val="24"/>
        </w:rPr>
        <w:t>Timeline below:</w:t>
      </w:r>
    </w:p>
    <w:p w:rsidRPr="003678F3" w:rsidR="00C201E3" w:rsidP="003678F3" w:rsidRDefault="00C201E3" w14:paraId="45D9901F" w14:textId="77777777">
      <w:pPr>
        <w:pStyle w:val="ListParagraph"/>
        <w:widowControl/>
        <w:numPr>
          <w:ilvl w:val="0"/>
          <w:numId w:val="51"/>
        </w:numPr>
        <w:autoSpaceDE/>
        <w:autoSpaceDN/>
        <w:adjustRightInd/>
        <w:spacing w:before="100" w:beforeAutospacing="1" w:after="100" w:afterAutospacing="1"/>
        <w:rPr>
          <w:sz w:val="24"/>
        </w:rPr>
      </w:pPr>
      <w:r w:rsidRPr="003678F3">
        <w:rPr>
          <w:b/>
          <w:bCs/>
          <w:sz w:val="24"/>
        </w:rPr>
        <w:t>4/10/2020:</w:t>
      </w:r>
      <w:r w:rsidRPr="003678F3">
        <w:rPr>
          <w:sz w:val="24"/>
        </w:rPr>
        <w:t xml:space="preserve"> Addition of two modules, for staffing and supply information</w:t>
      </w:r>
    </w:p>
    <w:p w:rsidRPr="003678F3" w:rsidR="00C201E3" w:rsidP="003678F3" w:rsidRDefault="00C201E3" w14:paraId="467ADAA4" w14:textId="77777777">
      <w:pPr>
        <w:pStyle w:val="ListParagraph"/>
        <w:widowControl/>
        <w:numPr>
          <w:ilvl w:val="0"/>
          <w:numId w:val="51"/>
        </w:numPr>
        <w:autoSpaceDE/>
        <w:autoSpaceDN/>
        <w:adjustRightInd/>
        <w:spacing w:before="100" w:beforeAutospacing="1" w:after="100" w:afterAutospacing="1"/>
        <w:rPr>
          <w:sz w:val="24"/>
        </w:rPr>
      </w:pPr>
      <w:r w:rsidRPr="003678F3">
        <w:rPr>
          <w:b/>
          <w:bCs/>
          <w:sz w:val="24"/>
        </w:rPr>
        <w:t>4/24/2020:</w:t>
      </w:r>
      <w:r w:rsidRPr="003678F3">
        <w:rPr>
          <w:sz w:val="24"/>
        </w:rPr>
        <w:t xml:space="preserve"> Information collection for long term care facilities added</w:t>
      </w:r>
    </w:p>
    <w:p w:rsidRPr="003678F3" w:rsidR="00C201E3" w:rsidP="003678F3" w:rsidRDefault="00C201E3" w14:paraId="72229633" w14:textId="36228615">
      <w:pPr>
        <w:pStyle w:val="ListParagraph"/>
        <w:widowControl/>
        <w:numPr>
          <w:ilvl w:val="0"/>
          <w:numId w:val="51"/>
        </w:numPr>
        <w:autoSpaceDE/>
        <w:autoSpaceDN/>
        <w:adjustRightInd/>
        <w:spacing w:before="100" w:beforeAutospacing="1" w:after="100" w:afterAutospacing="1"/>
        <w:rPr>
          <w:sz w:val="24"/>
        </w:rPr>
      </w:pPr>
      <w:r w:rsidRPr="003678F3">
        <w:rPr>
          <w:b/>
          <w:bCs/>
          <w:sz w:val="24"/>
        </w:rPr>
        <w:t>5/4/2020:</w:t>
      </w:r>
      <w:r>
        <w:rPr>
          <w:sz w:val="24"/>
        </w:rPr>
        <w:t xml:space="preserve"> </w:t>
      </w:r>
      <w:r w:rsidRPr="003678F3">
        <w:rPr>
          <w:sz w:val="24"/>
        </w:rPr>
        <w:t>Inclusion of instructions for LTCF to upload information to NHSN, and to include the burden required for enrollment of facilities.</w:t>
      </w:r>
    </w:p>
    <w:p w:rsidRPr="003678F3" w:rsidR="00C201E3" w:rsidP="003678F3" w:rsidRDefault="00C201E3" w14:paraId="33E90D73" w14:textId="77777777">
      <w:pPr>
        <w:pStyle w:val="ListParagraph"/>
        <w:widowControl/>
        <w:numPr>
          <w:ilvl w:val="0"/>
          <w:numId w:val="51"/>
        </w:numPr>
        <w:autoSpaceDE/>
        <w:autoSpaceDN/>
        <w:adjustRightInd/>
        <w:spacing w:before="100" w:beforeAutospacing="1" w:after="100" w:afterAutospacing="1"/>
        <w:rPr>
          <w:sz w:val="24"/>
        </w:rPr>
      </w:pPr>
      <w:r w:rsidRPr="003678F3">
        <w:rPr>
          <w:b/>
          <w:bCs/>
          <w:sz w:val="24"/>
        </w:rPr>
        <w:t>5/13/2020:</w:t>
      </w:r>
      <w:r w:rsidRPr="003678F3">
        <w:rPr>
          <w:sz w:val="24"/>
        </w:rPr>
        <w:t xml:space="preserve"> Provide revised versions of instructions for LTCFs to upload information to NHSN </w:t>
      </w:r>
    </w:p>
    <w:p w:rsidRPr="003678F3" w:rsidR="00C201E3" w:rsidP="003678F3" w:rsidRDefault="00C201E3" w14:paraId="0EB5D66A" w14:textId="77777777">
      <w:pPr>
        <w:pStyle w:val="ListParagraph"/>
        <w:widowControl/>
        <w:numPr>
          <w:ilvl w:val="0"/>
          <w:numId w:val="51"/>
        </w:numPr>
        <w:autoSpaceDE/>
        <w:autoSpaceDN/>
        <w:adjustRightInd/>
        <w:spacing w:before="100" w:beforeAutospacing="1" w:after="100" w:afterAutospacing="1"/>
        <w:rPr>
          <w:sz w:val="24"/>
        </w:rPr>
      </w:pPr>
      <w:r w:rsidRPr="003678F3">
        <w:rPr>
          <w:b/>
          <w:bCs/>
          <w:sz w:val="24"/>
        </w:rPr>
        <w:t>5/18/2020:</w:t>
      </w:r>
      <w:r w:rsidRPr="003678F3">
        <w:rPr>
          <w:sz w:val="24"/>
        </w:rPr>
        <w:t xml:space="preserve"> Modification of the Patient Impact and Hospital Capacity form in response to a request form the White House Coronavirus Task Force.</w:t>
      </w:r>
    </w:p>
    <w:p w:rsidRPr="003678F3" w:rsidR="00C201E3" w:rsidP="003678F3" w:rsidRDefault="00C201E3" w14:paraId="70EF479E" w14:textId="77777777">
      <w:pPr>
        <w:pStyle w:val="ListParagraph"/>
        <w:widowControl/>
        <w:numPr>
          <w:ilvl w:val="0"/>
          <w:numId w:val="51"/>
        </w:numPr>
        <w:autoSpaceDE/>
        <w:autoSpaceDN/>
        <w:adjustRightInd/>
        <w:spacing w:before="100" w:beforeAutospacing="1" w:after="100" w:afterAutospacing="1"/>
        <w:rPr>
          <w:sz w:val="24"/>
        </w:rPr>
      </w:pPr>
      <w:r w:rsidRPr="003678F3">
        <w:rPr>
          <w:b/>
          <w:bCs/>
          <w:sz w:val="24"/>
        </w:rPr>
        <w:t>6/1/2020:</w:t>
      </w:r>
      <w:r w:rsidRPr="003678F3">
        <w:rPr>
          <w:sz w:val="24"/>
        </w:rPr>
        <w:t xml:space="preserve">  Addition of data elements to the Patient Impact and Hospital Capacity form in order to strengthen the COVID-19 response efforts. </w:t>
      </w:r>
    </w:p>
    <w:p w:rsidR="00C201E3" w:rsidP="008B6C63" w:rsidRDefault="00C201E3" w14:paraId="269B718F" w14:textId="131E6AA7">
      <w:pPr>
        <w:pStyle w:val="ListParagraph"/>
        <w:widowControl/>
        <w:numPr>
          <w:ilvl w:val="0"/>
          <w:numId w:val="51"/>
        </w:numPr>
        <w:autoSpaceDE/>
        <w:autoSpaceDN/>
        <w:adjustRightInd/>
        <w:spacing w:before="100" w:beforeAutospacing="1" w:after="100" w:afterAutospacing="1"/>
        <w:rPr>
          <w:sz w:val="24"/>
        </w:rPr>
      </w:pPr>
      <w:r w:rsidRPr="003678F3">
        <w:rPr>
          <w:b/>
          <w:bCs/>
          <w:sz w:val="24"/>
        </w:rPr>
        <w:lastRenderedPageBreak/>
        <w:t>7/3/2020:</w:t>
      </w:r>
      <w:r w:rsidRPr="003678F3">
        <w:rPr>
          <w:sz w:val="24"/>
        </w:rPr>
        <w:t xml:space="preserve"> Addition of nine data elements to the Patient Impact and Hospital Capacity form and will add </w:t>
      </w:r>
      <w:proofErr w:type="spellStart"/>
      <w:r w:rsidRPr="003678F3">
        <w:rPr>
          <w:sz w:val="24"/>
        </w:rPr>
        <w:t>TeleTracking</w:t>
      </w:r>
      <w:proofErr w:type="spellEnd"/>
      <w:r w:rsidRPr="003678F3">
        <w:rPr>
          <w:sz w:val="24"/>
        </w:rPr>
        <w:t xml:space="preserve"> to the NHSN collection at the request the White House Coronavirus Task Force in order to strengthen COVID-19 response efforts.</w:t>
      </w:r>
    </w:p>
    <w:p w:rsidRPr="003678F3" w:rsidR="008B6C63" w:rsidP="003678F3" w:rsidRDefault="008B6C63" w14:paraId="10EE358E" w14:textId="1F75628F">
      <w:pPr>
        <w:pStyle w:val="ListParagraph"/>
        <w:widowControl/>
        <w:numPr>
          <w:ilvl w:val="0"/>
          <w:numId w:val="51"/>
        </w:numPr>
        <w:autoSpaceDE/>
        <w:autoSpaceDN/>
        <w:adjustRightInd/>
        <w:spacing w:before="100" w:beforeAutospacing="1" w:after="100" w:afterAutospacing="1"/>
        <w:rPr>
          <w:sz w:val="24"/>
        </w:rPr>
      </w:pPr>
      <w:r w:rsidRPr="003678F3">
        <w:rPr>
          <w:b/>
          <w:bCs/>
          <w:sz w:val="24"/>
        </w:rPr>
        <w:t>7/15/2020:</w:t>
      </w:r>
      <w:r>
        <w:rPr>
          <w:sz w:val="24"/>
        </w:rPr>
        <w:t xml:space="preserve"> Transition of NHSN reporting for COVID-19 response efforts to </w:t>
      </w:r>
      <w:proofErr w:type="spellStart"/>
      <w:r>
        <w:rPr>
          <w:sz w:val="24"/>
        </w:rPr>
        <w:t>Teletracking</w:t>
      </w:r>
      <w:proofErr w:type="spellEnd"/>
      <w:r>
        <w:rPr>
          <w:sz w:val="24"/>
        </w:rPr>
        <w:t>.</w:t>
      </w:r>
    </w:p>
    <w:p w:rsidR="008C6C76" w:rsidP="0003510C" w:rsidRDefault="00C201E3" w14:paraId="3FAE965E" w14:textId="3820652C">
      <w:pPr>
        <w:rPr>
          <w:b/>
          <w:bCs/>
          <w:sz w:val="24"/>
        </w:rPr>
      </w:pPr>
      <w:r w:rsidRPr="00C201E3">
        <w:rPr>
          <w:sz w:val="24"/>
        </w:rPr>
        <w:t xml:space="preserve">  </w:t>
      </w:r>
    </w:p>
    <w:p w:rsidRPr="003678F3" w:rsidR="0098164F" w:rsidP="0003510C" w:rsidRDefault="00B3712A" w14:paraId="27CB6BAB" w14:textId="4DD6151C">
      <w:pPr>
        <w:rPr>
          <w:sz w:val="24"/>
          <w:u w:val="single"/>
        </w:rPr>
      </w:pPr>
      <w:r w:rsidRPr="003678F3">
        <w:rPr>
          <w:bCs/>
          <w:sz w:val="24"/>
        </w:rPr>
        <w:t xml:space="preserve">Because this </w:t>
      </w:r>
      <w:r w:rsidRPr="003678F3">
        <w:rPr>
          <w:sz w:val="24"/>
        </w:rPr>
        <w:t xml:space="preserve">collection is mandatory to receive </w:t>
      </w:r>
      <w:r>
        <w:rPr>
          <w:sz w:val="24"/>
        </w:rPr>
        <w:t xml:space="preserve">certain types of </w:t>
      </w:r>
      <w:r w:rsidRPr="003678F3">
        <w:rPr>
          <w:sz w:val="24"/>
        </w:rPr>
        <w:t>Federal support,</w:t>
      </w:r>
      <w:r w:rsidRPr="003678F3">
        <w:rPr>
          <w:sz w:val="24"/>
          <w:u w:val="single"/>
        </w:rPr>
        <w:t xml:space="preserve"> </w:t>
      </w:r>
      <w:r>
        <w:rPr>
          <w:sz w:val="24"/>
          <w:u w:val="single"/>
        </w:rPr>
        <w:t xml:space="preserve">clearance under the Paperwork Reduction Act of 1995 </w:t>
      </w:r>
      <w:r w:rsidR="008C6C76">
        <w:rPr>
          <w:sz w:val="24"/>
          <w:u w:val="single"/>
        </w:rPr>
        <w:t xml:space="preserve">(PRA) </w:t>
      </w:r>
      <w:r>
        <w:rPr>
          <w:sz w:val="24"/>
          <w:u w:val="single"/>
        </w:rPr>
        <w:t xml:space="preserve">was required. As such, </w:t>
      </w:r>
      <w:r w:rsidR="008C6C76">
        <w:rPr>
          <w:sz w:val="24"/>
          <w:u w:val="single"/>
        </w:rPr>
        <w:t>the NHSN clearance under the PRA</w:t>
      </w:r>
      <w:r w:rsidR="00710039">
        <w:rPr>
          <w:sz w:val="24"/>
          <w:u w:val="single"/>
        </w:rPr>
        <w:t xml:space="preserve"> only included a portion of the hospitals that are reporting though </w:t>
      </w:r>
      <w:proofErr w:type="spellStart"/>
      <w:r w:rsidR="00710039">
        <w:rPr>
          <w:sz w:val="24"/>
          <w:u w:val="single"/>
        </w:rPr>
        <w:t>Teletracking</w:t>
      </w:r>
      <w:proofErr w:type="spellEnd"/>
      <w:r w:rsidR="00710039">
        <w:rPr>
          <w:sz w:val="24"/>
          <w:u w:val="single"/>
        </w:rPr>
        <w:t xml:space="preserve">, </w:t>
      </w:r>
      <w:r>
        <w:rPr>
          <w:sz w:val="24"/>
          <w:u w:val="single"/>
        </w:rPr>
        <w:t xml:space="preserve">this </w:t>
      </w:r>
      <w:r w:rsidR="008C6C76">
        <w:rPr>
          <w:sz w:val="24"/>
          <w:u w:val="single"/>
        </w:rPr>
        <w:t>ICR</w:t>
      </w:r>
      <w:r>
        <w:rPr>
          <w:sz w:val="24"/>
          <w:u w:val="single"/>
        </w:rPr>
        <w:t xml:space="preserve"> is being submitted as “in use without an OMB approval.”</w:t>
      </w:r>
    </w:p>
    <w:p w:rsidRPr="003678F3" w:rsidR="0098164F" w:rsidRDefault="0098164F" w14:paraId="41EE3897" w14:textId="77777777">
      <w:pPr>
        <w:ind w:left="360"/>
        <w:rPr>
          <w:b/>
          <w:sz w:val="24"/>
          <w:u w:val="single"/>
        </w:rPr>
      </w:pPr>
    </w:p>
    <w:p w:rsidRPr="0003510C" w:rsidR="0098164F" w:rsidP="0003510C" w:rsidRDefault="0098164F" w14:paraId="6AFDDEE8" w14:textId="77777777">
      <w:pPr>
        <w:pStyle w:val="ListParagraph"/>
        <w:numPr>
          <w:ilvl w:val="0"/>
          <w:numId w:val="45"/>
        </w:numPr>
        <w:rPr>
          <w:b/>
          <w:sz w:val="24"/>
        </w:rPr>
      </w:pPr>
      <w:r w:rsidRPr="0003510C">
        <w:rPr>
          <w:b/>
          <w:sz w:val="24"/>
          <w:u w:val="single"/>
        </w:rPr>
        <w:t>Purpose and Use of Information Collection</w:t>
      </w:r>
    </w:p>
    <w:p w:rsidRPr="00C64947" w:rsidR="0098164F" w:rsidRDefault="0098164F" w14:paraId="285D5342" w14:textId="77777777">
      <w:pPr>
        <w:ind w:left="1440"/>
        <w:rPr>
          <w:b/>
          <w:sz w:val="24"/>
        </w:rPr>
      </w:pPr>
    </w:p>
    <w:p w:rsidR="005E6468" w:rsidP="0003510C" w:rsidRDefault="008C6C76" w14:paraId="540D59FF" w14:textId="62EC6C9D">
      <w:pPr>
        <w:widowControl/>
        <w:autoSpaceDE/>
        <w:autoSpaceDN/>
        <w:adjustRightInd/>
        <w:spacing w:before="100" w:beforeAutospacing="1" w:after="100" w:afterAutospacing="1"/>
        <w:rPr>
          <w:sz w:val="24"/>
        </w:rPr>
      </w:pPr>
      <w:r>
        <w:rPr>
          <w:sz w:val="24"/>
        </w:rPr>
        <w:t>T</w:t>
      </w:r>
      <w:r w:rsidR="002A56CB">
        <w:rPr>
          <w:sz w:val="24"/>
        </w:rPr>
        <w:t>he data c</w:t>
      </w:r>
      <w:r>
        <w:rPr>
          <w:sz w:val="24"/>
        </w:rPr>
        <w:t xml:space="preserve">ollected through this ICR is </w:t>
      </w:r>
      <w:r w:rsidR="002A56CB">
        <w:rPr>
          <w:sz w:val="24"/>
        </w:rPr>
        <w:t xml:space="preserve">intended to </w:t>
      </w:r>
      <w:r>
        <w:rPr>
          <w:sz w:val="24"/>
        </w:rPr>
        <w:t xml:space="preserve">inform </w:t>
      </w:r>
      <w:r w:rsidR="002A56CB">
        <w:rPr>
          <w:sz w:val="24"/>
        </w:rPr>
        <w:t>the Federal government</w:t>
      </w:r>
      <w:r>
        <w:rPr>
          <w:sz w:val="24"/>
        </w:rPr>
        <w:t>’s</w:t>
      </w:r>
      <w:r w:rsidR="002A56CB">
        <w:rPr>
          <w:sz w:val="24"/>
        </w:rPr>
        <w:t xml:space="preserve"> understand disease patterns and develop policies for prevention and control of health problems related to COVID-19. </w:t>
      </w:r>
      <w:r>
        <w:rPr>
          <w:sz w:val="24"/>
        </w:rPr>
        <w:t>One of the important uses of the data collected through this ICR is</w:t>
      </w:r>
      <w:r w:rsidR="00B3712A">
        <w:rPr>
          <w:sz w:val="24"/>
        </w:rPr>
        <w:t xml:space="preserve"> to </w:t>
      </w:r>
      <w:r w:rsidRPr="00C64947" w:rsidR="00B3712A">
        <w:rPr>
          <w:sz w:val="24"/>
        </w:rPr>
        <w:t>inform critical allocations of limited supplies</w:t>
      </w:r>
      <w:r w:rsidR="00B3712A">
        <w:rPr>
          <w:sz w:val="24"/>
        </w:rPr>
        <w:t xml:space="preserve"> (e.g., protective equipment and medication).  </w:t>
      </w:r>
      <w:r w:rsidR="0053029D">
        <w:rPr>
          <w:sz w:val="24"/>
        </w:rPr>
        <w:t xml:space="preserve">For instance, </w:t>
      </w:r>
      <w:r w:rsidR="003448F5">
        <w:rPr>
          <w:sz w:val="24"/>
        </w:rPr>
        <w:t>th</w:t>
      </w:r>
      <w:r w:rsidR="005E6468">
        <w:rPr>
          <w:sz w:val="24"/>
        </w:rPr>
        <w:t xml:space="preserve">e </w:t>
      </w:r>
      <w:proofErr w:type="spellStart"/>
      <w:r w:rsidR="005E6468">
        <w:rPr>
          <w:sz w:val="24"/>
        </w:rPr>
        <w:t>Teletracking</w:t>
      </w:r>
      <w:proofErr w:type="spellEnd"/>
      <w:r w:rsidR="005E6468">
        <w:rPr>
          <w:sz w:val="24"/>
        </w:rPr>
        <w:t xml:space="preserve"> p</w:t>
      </w:r>
      <w:r w:rsidR="0053029D">
        <w:rPr>
          <w:sz w:val="24"/>
        </w:rPr>
        <w:t>ortal</w:t>
      </w:r>
      <w:r w:rsidR="005E6468">
        <w:rPr>
          <w:sz w:val="24"/>
        </w:rPr>
        <w:t xml:space="preserve"> been used to distribute </w:t>
      </w:r>
      <w:proofErr w:type="spellStart"/>
      <w:r w:rsidR="008B6C63">
        <w:rPr>
          <w:sz w:val="24"/>
        </w:rPr>
        <w:t>R</w:t>
      </w:r>
      <w:r w:rsidR="005E6468">
        <w:rPr>
          <w:sz w:val="24"/>
        </w:rPr>
        <w:t>emdesivir</w:t>
      </w:r>
      <w:proofErr w:type="spellEnd"/>
      <w:r w:rsidR="005E6468">
        <w:rPr>
          <w:sz w:val="24"/>
        </w:rPr>
        <w:t xml:space="preserve"> via distinct data calls on regular intervals. </w:t>
      </w:r>
      <w:r w:rsidRPr="00C64947" w:rsidR="005E6468">
        <w:rPr>
          <w:sz w:val="24"/>
        </w:rPr>
        <w:t xml:space="preserve">As of July 10, HHS </w:t>
      </w:r>
      <w:r w:rsidR="000679E6">
        <w:rPr>
          <w:sz w:val="24"/>
        </w:rPr>
        <w:t>reduces the number</w:t>
      </w:r>
      <w:r w:rsidRPr="00C64947" w:rsidR="005E6468">
        <w:rPr>
          <w:sz w:val="24"/>
        </w:rPr>
        <w:t xml:space="preserve"> requests for data from hospitals to support allocations</w:t>
      </w:r>
      <w:r w:rsidR="000679E6">
        <w:rPr>
          <w:sz w:val="24"/>
        </w:rPr>
        <w:t xml:space="preserve"> of the drug </w:t>
      </w:r>
      <w:proofErr w:type="spellStart"/>
      <w:r w:rsidR="000679E6">
        <w:rPr>
          <w:sz w:val="24"/>
        </w:rPr>
        <w:t>Remdesivir</w:t>
      </w:r>
      <w:proofErr w:type="spellEnd"/>
      <w:r w:rsidR="000679E6">
        <w:rPr>
          <w:sz w:val="24"/>
        </w:rPr>
        <w:t>, a vital therapeutic that HHS distributes to the American healthcare system</w:t>
      </w:r>
      <w:r w:rsidRPr="00C64947" w:rsidR="005E6468">
        <w:rPr>
          <w:sz w:val="24"/>
        </w:rPr>
        <w:t xml:space="preserve">. HHS stopped sending out one-time requests for data to aid in the distribution of </w:t>
      </w:r>
      <w:proofErr w:type="spellStart"/>
      <w:r w:rsidRPr="00C64947" w:rsidR="005E6468">
        <w:rPr>
          <w:sz w:val="24"/>
        </w:rPr>
        <w:t>Remdesivir</w:t>
      </w:r>
      <w:proofErr w:type="spellEnd"/>
      <w:r w:rsidRPr="00C64947" w:rsidR="005E6468">
        <w:rPr>
          <w:sz w:val="24"/>
        </w:rPr>
        <w:t xml:space="preserve"> or any other treatments or supplies. This daily reporting is the only mechanism used for the distribution calculations, and daily reports are needed daily to ensure accurate calculations.</w:t>
      </w:r>
    </w:p>
    <w:p w:rsidR="002A56CB" w:rsidP="0003510C" w:rsidRDefault="002A56CB" w14:paraId="1F427B0F" w14:textId="77777777">
      <w:pPr>
        <w:widowControl/>
        <w:autoSpaceDE/>
        <w:autoSpaceDN/>
        <w:adjustRightInd/>
        <w:spacing w:before="100" w:beforeAutospacing="1" w:after="100" w:afterAutospacing="1"/>
        <w:rPr>
          <w:sz w:val="24"/>
        </w:rPr>
      </w:pPr>
      <w:r>
        <w:rPr>
          <w:sz w:val="24"/>
        </w:rPr>
        <w:t xml:space="preserve">Building upon this framework, HHS CIO has improved upon this initiative to collect key data from hospitals to inform the Federal response and other key policymaking decisions. </w:t>
      </w:r>
      <w:r w:rsidR="00BC79B4">
        <w:rPr>
          <w:sz w:val="24"/>
        </w:rPr>
        <w:t xml:space="preserve">Furthermore, HHS </w:t>
      </w:r>
      <w:r w:rsidR="00BB4504">
        <w:rPr>
          <w:sz w:val="24"/>
        </w:rPr>
        <w:t>CIO and CDC are</w:t>
      </w:r>
      <w:r w:rsidR="00BC79B4">
        <w:rPr>
          <w:sz w:val="24"/>
        </w:rPr>
        <w:t xml:space="preserve"> working with the Office of Management and Budget’s United States’ Digital Services (OMB, USDS) and </w:t>
      </w:r>
      <w:r w:rsidR="001043DF">
        <w:rPr>
          <w:sz w:val="24"/>
        </w:rPr>
        <w:t xml:space="preserve">in close coordination with state and local stakeholders, including health departments, associations, hospitals, and community leaders to assess </w:t>
      </w:r>
      <w:r w:rsidR="00BC79B4">
        <w:rPr>
          <w:sz w:val="24"/>
        </w:rPr>
        <w:t xml:space="preserve">the </w:t>
      </w:r>
      <w:r w:rsidR="00BB4504">
        <w:rPr>
          <w:sz w:val="24"/>
        </w:rPr>
        <w:t>need for each of the data</w:t>
      </w:r>
      <w:r w:rsidR="00BC79B4">
        <w:rPr>
          <w:sz w:val="24"/>
        </w:rPr>
        <w:t xml:space="preserve"> elements collected as well as </w:t>
      </w:r>
      <w:r w:rsidR="001043DF">
        <w:rPr>
          <w:sz w:val="24"/>
        </w:rPr>
        <w:t xml:space="preserve">to ensure </w:t>
      </w:r>
      <w:r w:rsidR="00BB4504">
        <w:rPr>
          <w:sz w:val="24"/>
        </w:rPr>
        <w:t xml:space="preserve">the </w:t>
      </w:r>
      <w:r w:rsidR="001043DF">
        <w:rPr>
          <w:sz w:val="24"/>
        </w:rPr>
        <w:t xml:space="preserve">data </w:t>
      </w:r>
      <w:r w:rsidR="00BB4504">
        <w:rPr>
          <w:sz w:val="24"/>
        </w:rPr>
        <w:t>are</w:t>
      </w:r>
      <w:r w:rsidR="001043DF">
        <w:rPr>
          <w:sz w:val="24"/>
        </w:rPr>
        <w:t xml:space="preserve"> harmonized among respondents and that the burden on hospitals, state and local health departments, and others are considered as the COVID-19 PHE continues. HHS CIO will continually assess the mechanism of submission, burden of compliance and reporting, and utility of the information collected and update this package accordingly based on those assessments.</w:t>
      </w:r>
    </w:p>
    <w:p w:rsidR="007D7D8B" w:rsidP="0003510C" w:rsidRDefault="007D7D8B" w14:paraId="5477A5BF" w14:textId="230FAD6F">
      <w:pPr>
        <w:widowControl/>
        <w:autoSpaceDE/>
        <w:autoSpaceDN/>
        <w:adjustRightInd/>
        <w:spacing w:before="100" w:beforeAutospacing="1" w:after="100" w:afterAutospacing="1"/>
        <w:rPr>
          <w:sz w:val="24"/>
        </w:rPr>
      </w:pPr>
      <w:r>
        <w:rPr>
          <w:sz w:val="24"/>
        </w:rPr>
        <w:t>This data is critical for numerous purposes including:</w:t>
      </w:r>
    </w:p>
    <w:p w:rsidR="0098164F" w:rsidP="003678F3" w:rsidRDefault="00BE214E" w14:paraId="0D1E6C2D" w14:textId="587C0242">
      <w:pPr>
        <w:pStyle w:val="ListParagraph"/>
        <w:widowControl/>
        <w:numPr>
          <w:ilvl w:val="0"/>
          <w:numId w:val="50"/>
        </w:numPr>
        <w:autoSpaceDE/>
        <w:autoSpaceDN/>
        <w:adjustRightInd/>
        <w:spacing w:before="100" w:beforeAutospacing="1" w:after="100" w:afterAutospacing="1"/>
        <w:rPr>
          <w:sz w:val="24"/>
        </w:rPr>
      </w:pPr>
      <w:r w:rsidRPr="003678F3">
        <w:rPr>
          <w:sz w:val="24"/>
        </w:rPr>
        <w:t>Federal Government</w:t>
      </w:r>
      <w:r w:rsidR="007D7D8B">
        <w:rPr>
          <w:sz w:val="24"/>
        </w:rPr>
        <w:t xml:space="preserve">’s effective </w:t>
      </w:r>
      <w:r w:rsidRPr="003678F3">
        <w:rPr>
          <w:sz w:val="24"/>
        </w:rPr>
        <w:t>allocat</w:t>
      </w:r>
      <w:r w:rsidR="007D7D8B">
        <w:rPr>
          <w:sz w:val="24"/>
        </w:rPr>
        <w:t>ion of</w:t>
      </w:r>
      <w:r w:rsidRPr="003678F3">
        <w:rPr>
          <w:sz w:val="24"/>
        </w:rPr>
        <w:t xml:space="preserve"> resources. </w:t>
      </w:r>
      <w:r w:rsidR="007D7D8B">
        <w:rPr>
          <w:b/>
          <w:bCs/>
          <w:sz w:val="24"/>
        </w:rPr>
        <w:t>(</w:t>
      </w:r>
      <w:r w:rsidRPr="003678F3" w:rsidR="00653BD7">
        <w:rPr>
          <w:sz w:val="24"/>
        </w:rPr>
        <w:t>For example, the data collected is used to determine</w:t>
      </w:r>
      <w:r w:rsidR="007D7D8B">
        <w:rPr>
          <w:sz w:val="24"/>
        </w:rPr>
        <w:t xml:space="preserve"> and allocate</w:t>
      </w:r>
      <w:r w:rsidRPr="003678F3" w:rsidR="00653BD7">
        <w:rPr>
          <w:sz w:val="24"/>
        </w:rPr>
        <w:t xml:space="preserve"> limited</w:t>
      </w:r>
      <w:r w:rsidR="007D7D8B">
        <w:rPr>
          <w:sz w:val="24"/>
        </w:rPr>
        <w:t xml:space="preserve"> Federal</w:t>
      </w:r>
      <w:r w:rsidRPr="003678F3" w:rsidR="00653BD7">
        <w:rPr>
          <w:sz w:val="24"/>
        </w:rPr>
        <w:t xml:space="preserve"> supplies of </w:t>
      </w:r>
      <w:proofErr w:type="spellStart"/>
      <w:r w:rsidR="008B6C63">
        <w:rPr>
          <w:sz w:val="24"/>
        </w:rPr>
        <w:t>R</w:t>
      </w:r>
      <w:r w:rsidRPr="003678F3" w:rsidR="00653BD7">
        <w:rPr>
          <w:sz w:val="24"/>
        </w:rPr>
        <w:t>emdesivir</w:t>
      </w:r>
      <w:proofErr w:type="spellEnd"/>
      <w:r w:rsidRPr="003678F3" w:rsidR="00653BD7">
        <w:rPr>
          <w:sz w:val="24"/>
        </w:rPr>
        <w:t xml:space="preserve">. </w:t>
      </w:r>
      <w:proofErr w:type="spellStart"/>
      <w:r w:rsidRPr="003678F3" w:rsidR="00653BD7">
        <w:rPr>
          <w:sz w:val="24"/>
        </w:rPr>
        <w:t>Remdesivir</w:t>
      </w:r>
      <w:proofErr w:type="spellEnd"/>
      <w:r w:rsidRPr="003678F3" w:rsidR="00653BD7">
        <w:rPr>
          <w:sz w:val="24"/>
        </w:rPr>
        <w:t xml:space="preserve"> is a key therapeutic for mitigation of the effects of COVID-19.</w:t>
      </w:r>
      <w:r w:rsidR="007D7D8B">
        <w:rPr>
          <w:sz w:val="24"/>
        </w:rPr>
        <w:t>)</w:t>
      </w:r>
    </w:p>
    <w:p w:rsidR="007D7D8B" w:rsidP="003678F3" w:rsidRDefault="007D7D8B" w14:paraId="6328C161" w14:textId="77777777">
      <w:pPr>
        <w:pStyle w:val="ListParagraph"/>
        <w:widowControl/>
        <w:numPr>
          <w:ilvl w:val="0"/>
          <w:numId w:val="50"/>
        </w:numPr>
        <w:autoSpaceDE/>
        <w:autoSpaceDN/>
        <w:adjustRightInd/>
        <w:spacing w:before="100" w:beforeAutospacing="1" w:after="100" w:afterAutospacing="1"/>
        <w:rPr>
          <w:sz w:val="24"/>
        </w:rPr>
      </w:pPr>
      <w:r>
        <w:rPr>
          <w:sz w:val="24"/>
        </w:rPr>
        <w:t xml:space="preserve">Production of </w:t>
      </w:r>
      <w:r w:rsidR="008D2A7E">
        <w:rPr>
          <w:sz w:val="24"/>
        </w:rPr>
        <w:t>reports to inform state and local officials of changing local conditions</w:t>
      </w:r>
      <w:r>
        <w:rPr>
          <w:sz w:val="24"/>
        </w:rPr>
        <w:t xml:space="preserve"> (e.g., Governor’s Reports)</w:t>
      </w:r>
    </w:p>
    <w:p w:rsidR="008D2A7E" w:rsidP="003678F3" w:rsidRDefault="008D2A7E" w14:paraId="2D8F8792" w14:textId="77777777">
      <w:pPr>
        <w:pStyle w:val="ListParagraph"/>
        <w:widowControl/>
        <w:numPr>
          <w:ilvl w:val="0"/>
          <w:numId w:val="50"/>
        </w:numPr>
        <w:autoSpaceDE/>
        <w:autoSpaceDN/>
        <w:adjustRightInd/>
        <w:spacing w:before="100" w:beforeAutospacing="1" w:after="100" w:afterAutospacing="1"/>
        <w:rPr>
          <w:sz w:val="24"/>
        </w:rPr>
      </w:pPr>
      <w:r>
        <w:rPr>
          <w:sz w:val="24"/>
        </w:rPr>
        <w:lastRenderedPageBreak/>
        <w:t>Production of internal reports to inform and guide key decision-makers, including the White House Coronavirus Task Force and Operation Warp Speed</w:t>
      </w:r>
    </w:p>
    <w:p w:rsidR="005E6468" w:rsidP="003678F3" w:rsidRDefault="008D2A7E" w14:paraId="7650C400" w14:textId="3FF32C0F">
      <w:pPr>
        <w:pStyle w:val="ListParagraph"/>
        <w:widowControl/>
        <w:numPr>
          <w:ilvl w:val="0"/>
          <w:numId w:val="50"/>
        </w:numPr>
        <w:autoSpaceDE/>
        <w:autoSpaceDN/>
        <w:adjustRightInd/>
        <w:spacing w:before="100" w:beforeAutospacing="1" w:after="100" w:afterAutospacing="1"/>
        <w:rPr>
          <w:sz w:val="24"/>
        </w:rPr>
      </w:pPr>
      <w:r>
        <w:rPr>
          <w:sz w:val="24"/>
        </w:rPr>
        <w:t>Incorporation into models and other projections, estimations, or data analyses in numerous endeavors, both public and private</w:t>
      </w:r>
      <w:r w:rsidR="005E6468">
        <w:rPr>
          <w:sz w:val="24"/>
        </w:rPr>
        <w:t>, via the HHS Protect platfor</w:t>
      </w:r>
      <w:r w:rsidR="008B6C63">
        <w:rPr>
          <w:sz w:val="24"/>
        </w:rPr>
        <w:t>m</w:t>
      </w:r>
    </w:p>
    <w:p w:rsidRPr="003678F3" w:rsidR="005E6468" w:rsidP="003678F3" w:rsidRDefault="005E6468" w14:paraId="137C3DA5" w14:textId="77777777">
      <w:pPr>
        <w:pStyle w:val="ListParagraph"/>
        <w:widowControl/>
        <w:numPr>
          <w:ilvl w:val="0"/>
          <w:numId w:val="50"/>
        </w:numPr>
        <w:autoSpaceDE/>
        <w:autoSpaceDN/>
        <w:adjustRightInd/>
        <w:spacing w:before="100" w:beforeAutospacing="1" w:after="100" w:afterAutospacing="1"/>
        <w:rPr>
          <w:sz w:val="24"/>
        </w:rPr>
      </w:pPr>
      <w:r>
        <w:rPr>
          <w:sz w:val="24"/>
        </w:rPr>
        <w:t>Distribution via HHS Protect Public to inform a range of public stakeholder and leaders</w:t>
      </w:r>
    </w:p>
    <w:p w:rsidRPr="003678F3" w:rsidR="008D2A7E" w:rsidP="003678F3" w:rsidRDefault="00C201E3" w14:paraId="2055B058" w14:textId="7CFF9D30">
      <w:pPr>
        <w:pStyle w:val="ListParagraph"/>
        <w:widowControl/>
        <w:numPr>
          <w:ilvl w:val="0"/>
          <w:numId w:val="50"/>
        </w:numPr>
        <w:autoSpaceDE/>
        <w:autoSpaceDN/>
        <w:adjustRightInd/>
        <w:spacing w:before="100" w:beforeAutospacing="1" w:after="100" w:afterAutospacing="1"/>
        <w:rPr>
          <w:sz w:val="24"/>
        </w:rPr>
      </w:pPr>
      <w:r w:rsidRPr="003678F3">
        <w:rPr>
          <w:sz w:val="24"/>
        </w:rPr>
        <w:t>Coordination with other Federal health providers (Defense Health Agency, Indian Health Service, Department of Veterans Affairs) for federally-provided healthcare.</w:t>
      </w:r>
    </w:p>
    <w:p w:rsidRPr="00C64947" w:rsidR="0098164F" w:rsidRDefault="0098164F" w14:paraId="125AEBCD" w14:textId="77777777">
      <w:pPr>
        <w:rPr>
          <w:sz w:val="24"/>
        </w:rPr>
      </w:pPr>
    </w:p>
    <w:p w:rsidRPr="00C64947" w:rsidR="0098164F" w:rsidP="0003510C" w:rsidRDefault="0098164F" w14:paraId="4514C40E" w14:textId="77777777">
      <w:pPr>
        <w:numPr>
          <w:ilvl w:val="0"/>
          <w:numId w:val="45"/>
        </w:numPr>
        <w:rPr>
          <w:sz w:val="24"/>
        </w:rPr>
      </w:pPr>
      <w:r w:rsidRPr="00C64947">
        <w:rPr>
          <w:b/>
          <w:sz w:val="24"/>
          <w:u w:val="single"/>
        </w:rPr>
        <w:t>Use of Improved Information Technology and Burden Reduction</w:t>
      </w:r>
    </w:p>
    <w:p w:rsidRPr="00C64947" w:rsidR="00863546" w:rsidP="0003510C" w:rsidRDefault="00863546" w14:paraId="75FC3EB9" w14:textId="49553E71">
      <w:pPr>
        <w:widowControl/>
        <w:autoSpaceDE/>
        <w:autoSpaceDN/>
        <w:adjustRightInd/>
        <w:spacing w:before="100" w:beforeAutospacing="1" w:after="100" w:afterAutospacing="1"/>
        <w:rPr>
          <w:sz w:val="24"/>
        </w:rPr>
      </w:pPr>
      <w:r>
        <w:rPr>
          <w:sz w:val="24"/>
        </w:rPr>
        <w:t xml:space="preserve">NHSN was collecting data from </w:t>
      </w:r>
      <w:r w:rsidR="00C201E3">
        <w:rPr>
          <w:sz w:val="24"/>
        </w:rPr>
        <w:t xml:space="preserve">approximately </w:t>
      </w:r>
      <w:r w:rsidRPr="00C201E3" w:rsidR="00C201E3">
        <w:rPr>
          <w:sz w:val="24"/>
        </w:rPr>
        <w:t>3,2</w:t>
      </w:r>
      <w:r w:rsidR="003A5283">
        <w:rPr>
          <w:sz w:val="24"/>
        </w:rPr>
        <w:t>00</w:t>
      </w:r>
      <w:r w:rsidR="00C201E3">
        <w:rPr>
          <w:sz w:val="24"/>
        </w:rPr>
        <w:t xml:space="preserve"> </w:t>
      </w:r>
      <w:r>
        <w:rPr>
          <w:sz w:val="24"/>
        </w:rPr>
        <w:t>hospitals</w:t>
      </w:r>
      <w:r w:rsidR="00C201E3">
        <w:rPr>
          <w:sz w:val="24"/>
        </w:rPr>
        <w:t xml:space="preserve"> on the week of July 6, 2020</w:t>
      </w:r>
      <w:r>
        <w:rPr>
          <w:sz w:val="24"/>
        </w:rPr>
        <w:t xml:space="preserve">. At that time, estimated </w:t>
      </w:r>
      <w:r w:rsidR="00614E3C">
        <w:rPr>
          <w:sz w:val="24"/>
        </w:rPr>
        <w:t>1200</w:t>
      </w:r>
      <w:r>
        <w:rPr>
          <w:sz w:val="24"/>
        </w:rPr>
        <w:t xml:space="preserve"> hospitals were already reporting only through the </w:t>
      </w:r>
      <w:proofErr w:type="spellStart"/>
      <w:r>
        <w:rPr>
          <w:sz w:val="24"/>
        </w:rPr>
        <w:t>Teletracking</w:t>
      </w:r>
      <w:proofErr w:type="spellEnd"/>
      <w:r>
        <w:rPr>
          <w:sz w:val="24"/>
        </w:rPr>
        <w:t xml:space="preserve"> portal, and approximately </w:t>
      </w:r>
      <w:r w:rsidR="003A5283">
        <w:rPr>
          <w:sz w:val="24"/>
        </w:rPr>
        <w:t>2,000</w:t>
      </w:r>
      <w:r>
        <w:rPr>
          <w:sz w:val="24"/>
        </w:rPr>
        <w:t xml:space="preserve"> hospitals were reporting through both the </w:t>
      </w:r>
      <w:proofErr w:type="spellStart"/>
      <w:r>
        <w:rPr>
          <w:sz w:val="24"/>
        </w:rPr>
        <w:t>Teletracking</w:t>
      </w:r>
      <w:proofErr w:type="spellEnd"/>
      <w:r>
        <w:rPr>
          <w:sz w:val="24"/>
        </w:rPr>
        <w:t xml:space="preserve"> portal and NHSN. During the July </w:t>
      </w:r>
      <w:r w:rsidR="00CD0FF2">
        <w:rPr>
          <w:sz w:val="24"/>
        </w:rPr>
        <w:t xml:space="preserve">2020 </w:t>
      </w:r>
      <w:r>
        <w:rPr>
          <w:sz w:val="24"/>
        </w:rPr>
        <w:t xml:space="preserve">to August </w:t>
      </w:r>
      <w:r w:rsidR="00CD0FF2">
        <w:rPr>
          <w:sz w:val="24"/>
        </w:rPr>
        <w:t>2020</w:t>
      </w:r>
      <w:r>
        <w:rPr>
          <w:sz w:val="24"/>
        </w:rPr>
        <w:t xml:space="preserve"> period, OMB’s USDS provided technical assistance to hospitals requesting assistance</w:t>
      </w:r>
      <w:r w:rsidR="004561BB">
        <w:rPr>
          <w:sz w:val="24"/>
        </w:rPr>
        <w:t xml:space="preserve"> from HHS in changing their reporting from NHSN to the </w:t>
      </w:r>
      <w:proofErr w:type="spellStart"/>
      <w:r w:rsidR="004561BB">
        <w:rPr>
          <w:sz w:val="24"/>
        </w:rPr>
        <w:t>Teletracking</w:t>
      </w:r>
      <w:proofErr w:type="spellEnd"/>
      <w:r w:rsidR="004561BB">
        <w:rPr>
          <w:sz w:val="24"/>
        </w:rPr>
        <w:t xml:space="preserve"> portal. Many of these hospitals were also reporting some of the same data elements to their state health departments separately. OMB’s USDS is working with state health departments who wish to take responsibility for reporting data from all of the hospitals in their state, thereby reducing burden on the hospitals and increasing the quality of the data. To date, </w:t>
      </w:r>
      <w:r w:rsidR="003A5283">
        <w:rPr>
          <w:sz w:val="24"/>
        </w:rPr>
        <w:t>23</w:t>
      </w:r>
      <w:r w:rsidR="004561BB">
        <w:rPr>
          <w:sz w:val="24"/>
        </w:rPr>
        <w:t xml:space="preserve"> </w:t>
      </w:r>
      <w:r w:rsidR="003A5283">
        <w:rPr>
          <w:sz w:val="24"/>
        </w:rPr>
        <w:t>states</w:t>
      </w:r>
      <w:r w:rsidR="004561BB">
        <w:rPr>
          <w:sz w:val="24"/>
        </w:rPr>
        <w:t xml:space="preserve"> have been certified by USDS, and </w:t>
      </w:r>
      <w:r w:rsidR="003A5283">
        <w:rPr>
          <w:sz w:val="24"/>
        </w:rPr>
        <w:t>several</w:t>
      </w:r>
      <w:r w:rsidR="004561BB">
        <w:rPr>
          <w:sz w:val="24"/>
        </w:rPr>
        <w:t xml:space="preserve"> more are in the process of becoming certified.</w:t>
      </w:r>
    </w:p>
    <w:p w:rsidRPr="00C64947" w:rsidR="0098164F" w:rsidRDefault="0098164F" w14:paraId="36104094" w14:textId="77777777">
      <w:pPr>
        <w:ind w:left="360"/>
        <w:rPr>
          <w:sz w:val="24"/>
        </w:rPr>
      </w:pPr>
    </w:p>
    <w:p w:rsidRPr="00C64947" w:rsidR="0098164F" w:rsidP="0003510C" w:rsidRDefault="0098164F" w14:paraId="288A3BC5" w14:textId="77777777">
      <w:pPr>
        <w:numPr>
          <w:ilvl w:val="0"/>
          <w:numId w:val="45"/>
        </w:numPr>
        <w:rPr>
          <w:b/>
          <w:sz w:val="24"/>
        </w:rPr>
      </w:pPr>
      <w:r w:rsidRPr="00C64947">
        <w:rPr>
          <w:b/>
          <w:sz w:val="24"/>
          <w:u w:val="single"/>
        </w:rPr>
        <w:t>Efforts to  Identify Duplication and Use of Similar Information</w:t>
      </w:r>
    </w:p>
    <w:p w:rsidRPr="00C64947" w:rsidR="0098164F" w:rsidRDefault="0098164F" w14:paraId="5A23AB6A" w14:textId="77777777">
      <w:pPr>
        <w:ind w:left="720"/>
        <w:rPr>
          <w:b/>
          <w:sz w:val="24"/>
        </w:rPr>
      </w:pPr>
    </w:p>
    <w:p w:rsidRPr="00C64947" w:rsidR="00CD2BD0" w:rsidP="0003510C" w:rsidRDefault="008152BD" w14:paraId="2573D9DA" w14:textId="39BA8ADA">
      <w:pPr>
        <w:rPr>
          <w:bCs/>
          <w:sz w:val="24"/>
        </w:rPr>
      </w:pPr>
      <w:r>
        <w:rPr>
          <w:bCs/>
          <w:sz w:val="24"/>
        </w:rPr>
        <w:t xml:space="preserve">Previous to </w:t>
      </w:r>
      <w:r w:rsidRPr="00C64947" w:rsidR="00CD2BD0">
        <w:rPr>
          <w:bCs/>
          <w:sz w:val="24"/>
        </w:rPr>
        <w:t xml:space="preserve">July 10, 2020, </w:t>
      </w:r>
      <w:r>
        <w:rPr>
          <w:bCs/>
          <w:sz w:val="24"/>
        </w:rPr>
        <w:t xml:space="preserve">HHS permitted the use of submission of data via the NHSN COVID-19 module, </w:t>
      </w:r>
      <w:proofErr w:type="spellStart"/>
      <w:r>
        <w:rPr>
          <w:bCs/>
          <w:sz w:val="24"/>
        </w:rPr>
        <w:t>Teletracking</w:t>
      </w:r>
      <w:proofErr w:type="spellEnd"/>
      <w:r>
        <w:rPr>
          <w:bCs/>
          <w:sz w:val="24"/>
        </w:rPr>
        <w:t xml:space="preserve">, or other mechanisms, including the use of EHRs for direct submission. The data fields requested were agnostic of submission vehicle. The purpose of this inherently duplicative approach was to ensure hospitals began collecting this critical data expeditiously, consciously leveraging hospitals’ long standing familiarity and use of NHSN. However, as our experience grew throughout the pandemic, it became clear that this duplication was not effective for the aforementioned purposes and was an additional burden on the respondents and on the Department to maintain and update as the response and the associated data needs changed. Thus, on July 10, 2020  </w:t>
      </w:r>
      <w:r w:rsidRPr="00C64947" w:rsidR="00CD2BD0">
        <w:rPr>
          <w:bCs/>
          <w:sz w:val="24"/>
        </w:rPr>
        <w:t>HHS discontinued collection using National Healthcare Safety Network, which was collecting similar information. This single collection (along with collections intermediated through state health departments) represent the source for hospitalization information related to COVID-19 feeding the HHS Protect platform.</w:t>
      </w:r>
    </w:p>
    <w:p w:rsidRPr="00C64947" w:rsidR="0098164F" w:rsidRDefault="0098164F" w14:paraId="68793997" w14:textId="77777777">
      <w:pPr>
        <w:ind w:left="1008"/>
        <w:rPr>
          <w:sz w:val="24"/>
        </w:rPr>
      </w:pPr>
    </w:p>
    <w:p w:rsidRPr="00C64947" w:rsidR="0098164F" w:rsidP="0003510C" w:rsidRDefault="0098164F" w14:paraId="0DA334F1" w14:textId="77777777">
      <w:pPr>
        <w:numPr>
          <w:ilvl w:val="0"/>
          <w:numId w:val="45"/>
        </w:numPr>
        <w:rPr>
          <w:sz w:val="24"/>
        </w:rPr>
      </w:pPr>
      <w:r w:rsidRPr="00C64947">
        <w:rPr>
          <w:b/>
          <w:sz w:val="24"/>
          <w:u w:val="single"/>
        </w:rPr>
        <w:t>Impact on Small Businesses or Other Small Entities</w:t>
      </w:r>
    </w:p>
    <w:p w:rsidRPr="00C64947" w:rsidR="0098164F" w:rsidRDefault="0098164F" w14:paraId="4932C848" w14:textId="77777777">
      <w:pPr>
        <w:ind w:left="720"/>
        <w:rPr>
          <w:sz w:val="24"/>
        </w:rPr>
      </w:pPr>
    </w:p>
    <w:p w:rsidRPr="00C64947" w:rsidR="00CD2BD0" w:rsidP="0003510C" w:rsidRDefault="008152BD" w14:paraId="3C3A5DFB" w14:textId="3D03F0CC">
      <w:pPr>
        <w:rPr>
          <w:sz w:val="24"/>
        </w:rPr>
      </w:pPr>
      <w:r>
        <w:rPr>
          <w:sz w:val="24"/>
        </w:rPr>
        <w:t xml:space="preserve">HHS is conscious of the numerous requests for data placed upon small and rural hospitals, as well as other small businesses in the healthcare industry. </w:t>
      </w:r>
      <w:r w:rsidR="004561BB">
        <w:rPr>
          <w:sz w:val="24"/>
        </w:rPr>
        <w:t>HHS has</w:t>
      </w:r>
      <w:r>
        <w:rPr>
          <w:sz w:val="24"/>
        </w:rPr>
        <w:t xml:space="preserve"> sought to be judicious in the number of required fields, and commit to continue to doing so, in coordination and in communication with our numerous partners. </w:t>
      </w:r>
      <w:proofErr w:type="spellStart"/>
      <w:r>
        <w:rPr>
          <w:sz w:val="24"/>
        </w:rPr>
        <w:t>Teletracking</w:t>
      </w:r>
      <w:proofErr w:type="spellEnd"/>
      <w:r>
        <w:rPr>
          <w:sz w:val="24"/>
        </w:rPr>
        <w:t xml:space="preserve"> is built with this burden in mind and is capable of receiving incomplete submissions,</w:t>
      </w:r>
      <w:r w:rsidRPr="00C64947" w:rsidR="000E4A6C">
        <w:rPr>
          <w:sz w:val="24"/>
        </w:rPr>
        <w:t xml:space="preserve"> </w:t>
      </w:r>
      <w:r w:rsidRPr="00C64947">
        <w:rPr>
          <w:sz w:val="24"/>
        </w:rPr>
        <w:t>provid</w:t>
      </w:r>
      <w:r>
        <w:rPr>
          <w:sz w:val="24"/>
        </w:rPr>
        <w:t>ing the</w:t>
      </w:r>
      <w:r w:rsidRPr="00C64947">
        <w:rPr>
          <w:sz w:val="24"/>
        </w:rPr>
        <w:t xml:space="preserve"> </w:t>
      </w:r>
      <w:r w:rsidRPr="00C64947" w:rsidR="000E4A6C">
        <w:rPr>
          <w:sz w:val="24"/>
        </w:rPr>
        <w:t xml:space="preserve">flexibility for the timely delivery of </w:t>
      </w:r>
      <w:r w:rsidRPr="00C64947" w:rsidR="000E4A6C">
        <w:rPr>
          <w:sz w:val="24"/>
        </w:rPr>
        <w:lastRenderedPageBreak/>
        <w:t xml:space="preserve">critical information. </w:t>
      </w:r>
      <w:r>
        <w:rPr>
          <w:sz w:val="24"/>
        </w:rPr>
        <w:t xml:space="preserve">HHS is mindful of the data infrastructure and limitations of many small entities, many of whom are rural, and has sought, wherever possible to </w:t>
      </w:r>
      <w:r w:rsidRPr="00C64947" w:rsidR="000E4A6C">
        <w:rPr>
          <w:sz w:val="24"/>
        </w:rPr>
        <w:t>allow states and hospitals to leverage existing reporting capabilities, or where those capabilities are insufficient, to utilize HHS reporting capabilities.</w:t>
      </w:r>
      <w:r>
        <w:rPr>
          <w:sz w:val="24"/>
        </w:rPr>
        <w:t xml:space="preserve"> </w:t>
      </w:r>
      <w:r w:rsidR="0065122B">
        <w:rPr>
          <w:sz w:val="24"/>
        </w:rPr>
        <w:t>We are allowing choice in reporting to lower burden.</w:t>
      </w:r>
    </w:p>
    <w:p w:rsidRPr="00C64947" w:rsidR="0098164F" w:rsidRDefault="0098164F" w14:paraId="26342846" w14:textId="77777777">
      <w:pPr>
        <w:ind w:left="360"/>
        <w:rPr>
          <w:sz w:val="24"/>
        </w:rPr>
      </w:pPr>
    </w:p>
    <w:p w:rsidRPr="00C64947" w:rsidR="0098164F" w:rsidP="0003510C" w:rsidRDefault="0098164F" w14:paraId="39F9C0D9" w14:textId="77777777">
      <w:pPr>
        <w:numPr>
          <w:ilvl w:val="0"/>
          <w:numId w:val="45"/>
        </w:numPr>
        <w:rPr>
          <w:b/>
          <w:sz w:val="24"/>
        </w:rPr>
      </w:pPr>
      <w:r w:rsidRPr="00C64947">
        <w:rPr>
          <w:b/>
          <w:sz w:val="24"/>
          <w:u w:val="single"/>
        </w:rPr>
        <w:t>Consequences of Collecting the Information Less Frequent Collection</w:t>
      </w:r>
    </w:p>
    <w:p w:rsidRPr="00C64947" w:rsidR="0098164F" w:rsidRDefault="0098164F" w14:paraId="3D68203F" w14:textId="77777777">
      <w:pPr>
        <w:ind w:left="720"/>
        <w:rPr>
          <w:b/>
          <w:sz w:val="24"/>
        </w:rPr>
      </w:pPr>
    </w:p>
    <w:p w:rsidRPr="007A66D7" w:rsidR="0098164F" w:rsidP="0003510C" w:rsidRDefault="004561BB" w14:paraId="5EA9DB70" w14:textId="45EF87F1">
      <w:pPr>
        <w:widowControl/>
        <w:autoSpaceDE/>
        <w:autoSpaceDN/>
        <w:adjustRightInd/>
        <w:spacing w:before="100" w:beforeAutospacing="1" w:after="240"/>
        <w:rPr>
          <w:sz w:val="24"/>
        </w:rPr>
      </w:pPr>
      <w:r>
        <w:rPr>
          <w:sz w:val="24"/>
        </w:rPr>
        <w:t>T</w:t>
      </w:r>
      <w:r w:rsidR="007D54A3">
        <w:rPr>
          <w:sz w:val="24"/>
        </w:rPr>
        <w:t xml:space="preserve">o accurately and expeditiously inform the COVID-19 response, </w:t>
      </w:r>
      <w:r>
        <w:rPr>
          <w:sz w:val="24"/>
        </w:rPr>
        <w:t xml:space="preserve">hospitals (or states on behalf of hospitals) are </w:t>
      </w:r>
      <w:r w:rsidR="007D54A3">
        <w:rPr>
          <w:sz w:val="24"/>
        </w:rPr>
        <w:t>encourage</w:t>
      </w:r>
      <w:r>
        <w:rPr>
          <w:sz w:val="24"/>
        </w:rPr>
        <w:t>d</w:t>
      </w:r>
      <w:r w:rsidR="007D54A3">
        <w:rPr>
          <w:sz w:val="24"/>
        </w:rPr>
        <w:t xml:space="preserve"> provide</w:t>
      </w:r>
      <w:r>
        <w:rPr>
          <w:sz w:val="24"/>
        </w:rPr>
        <w:t xml:space="preserve"> to</w:t>
      </w:r>
      <w:r w:rsidR="007D54A3">
        <w:rPr>
          <w:sz w:val="24"/>
        </w:rPr>
        <w:t xml:space="preserve"> information </w:t>
      </w:r>
      <w:r>
        <w:rPr>
          <w:sz w:val="24"/>
        </w:rPr>
        <w:t xml:space="preserve">on a </w:t>
      </w:r>
      <w:r w:rsidR="007D54A3">
        <w:rPr>
          <w:sz w:val="24"/>
        </w:rPr>
        <w:t>daily</w:t>
      </w:r>
      <w:r>
        <w:rPr>
          <w:sz w:val="24"/>
        </w:rPr>
        <w:t xml:space="preserve"> basis</w:t>
      </w:r>
      <w:r w:rsidR="007D54A3">
        <w:rPr>
          <w:sz w:val="24"/>
        </w:rPr>
        <w:t>. However, we acknowledge the burden placed on many hospitals, including resource constraints, and have allowed for flexibilities, such as back-submissions or submitting every business days, with the un</w:t>
      </w:r>
      <w:r w:rsidR="00DA1186">
        <w:rPr>
          <w:sz w:val="24"/>
        </w:rPr>
        <w:t>derstanding that respondents may not have sufficient staff working over the weekend. It is our belief that c</w:t>
      </w:r>
      <w:r w:rsidR="007A66D7">
        <w:rPr>
          <w:sz w:val="24"/>
        </w:rPr>
        <w:t xml:space="preserve">ollection of this information daily </w:t>
      </w:r>
      <w:r w:rsidR="00DA1186">
        <w:rPr>
          <w:sz w:val="24"/>
        </w:rPr>
        <w:t>is the most effective way to</w:t>
      </w:r>
      <w:r w:rsidR="007A66D7">
        <w:rPr>
          <w:sz w:val="24"/>
        </w:rPr>
        <w:t xml:space="preserve"> detect </w:t>
      </w:r>
      <w:r>
        <w:rPr>
          <w:sz w:val="24"/>
        </w:rPr>
        <w:t xml:space="preserve">outbreaks and </w:t>
      </w:r>
      <w:r w:rsidR="005E636C">
        <w:rPr>
          <w:sz w:val="24"/>
        </w:rPr>
        <w:t>needs for Federal assistance over time and by</w:t>
      </w:r>
      <w:r w:rsidR="007A66D7">
        <w:rPr>
          <w:sz w:val="24"/>
        </w:rPr>
        <w:t xml:space="preserve"> hospital</w:t>
      </w:r>
      <w:r w:rsidR="005E636C">
        <w:rPr>
          <w:sz w:val="24"/>
        </w:rPr>
        <w:t xml:space="preserve"> and</w:t>
      </w:r>
      <w:r w:rsidR="007A66D7">
        <w:rPr>
          <w:sz w:val="24"/>
        </w:rPr>
        <w:t xml:space="preserve"> geographical area</w:t>
      </w:r>
      <w:r w:rsidR="00DA1186">
        <w:rPr>
          <w:sz w:val="24"/>
        </w:rPr>
        <w:t xml:space="preserve"> and alert the appropriate officials for action</w:t>
      </w:r>
      <w:r w:rsidR="007A66D7">
        <w:rPr>
          <w:sz w:val="24"/>
        </w:rPr>
        <w:t xml:space="preserve">. </w:t>
      </w:r>
      <w:r w:rsidR="00DA1186">
        <w:rPr>
          <w:sz w:val="24"/>
        </w:rPr>
        <w:t>Given the rapidly evolving nature of the pandemic, d</w:t>
      </w:r>
      <w:r w:rsidR="007A66D7">
        <w:rPr>
          <w:sz w:val="24"/>
        </w:rPr>
        <w:t xml:space="preserve">elays in </w:t>
      </w:r>
      <w:r w:rsidR="002D2625">
        <w:rPr>
          <w:sz w:val="24"/>
        </w:rPr>
        <w:t>identifying outbreaks</w:t>
      </w:r>
      <w:r w:rsidR="00DA1186">
        <w:rPr>
          <w:sz w:val="24"/>
        </w:rPr>
        <w:t xml:space="preserve"> or </w:t>
      </w:r>
      <w:r w:rsidR="002D2625">
        <w:rPr>
          <w:sz w:val="24"/>
        </w:rPr>
        <w:t>shortages in PPE/other critical materials</w:t>
      </w:r>
      <w:r w:rsidR="007A66D7">
        <w:rPr>
          <w:sz w:val="24"/>
        </w:rPr>
        <w:t xml:space="preserve"> </w:t>
      </w:r>
      <w:r w:rsidR="00DA1186">
        <w:rPr>
          <w:sz w:val="24"/>
        </w:rPr>
        <w:t xml:space="preserve">could </w:t>
      </w:r>
      <w:r w:rsidR="007A66D7">
        <w:rPr>
          <w:sz w:val="24"/>
        </w:rPr>
        <w:t xml:space="preserve">lead to delays in action, </w:t>
      </w:r>
      <w:r w:rsidR="00DA1186">
        <w:rPr>
          <w:sz w:val="24"/>
        </w:rPr>
        <w:t xml:space="preserve">impacting our ability to address the prevalence, </w:t>
      </w:r>
      <w:r w:rsidRPr="007A66D7" w:rsidR="007A66D7">
        <w:rPr>
          <w:sz w:val="24"/>
        </w:rPr>
        <w:t>incidence</w:t>
      </w:r>
      <w:r w:rsidR="00DA1186">
        <w:rPr>
          <w:sz w:val="24"/>
        </w:rPr>
        <w:t>, and mortality rates</w:t>
      </w:r>
      <w:r w:rsidRPr="007A66D7" w:rsidR="007A66D7">
        <w:rPr>
          <w:sz w:val="24"/>
        </w:rPr>
        <w:t xml:space="preserve"> of COVID-19</w:t>
      </w:r>
      <w:r w:rsidR="00DA1186">
        <w:rPr>
          <w:sz w:val="24"/>
        </w:rPr>
        <w:t xml:space="preserve"> within the US</w:t>
      </w:r>
      <w:r w:rsidRPr="007A66D7" w:rsidR="007A66D7">
        <w:rPr>
          <w:sz w:val="24"/>
        </w:rPr>
        <w:t>,</w:t>
      </w:r>
      <w:r w:rsidR="00DA1186">
        <w:rPr>
          <w:sz w:val="24"/>
        </w:rPr>
        <w:t xml:space="preserve"> as well as expeditiously respond to the needs of frontline and health care workers and essential workers (e.g., meatpackers).</w:t>
      </w:r>
      <w:r w:rsidRPr="007A66D7" w:rsidR="0098164F">
        <w:rPr>
          <w:sz w:val="24"/>
        </w:rPr>
        <w:tab/>
      </w:r>
    </w:p>
    <w:p w:rsidRPr="0003510C" w:rsidR="0098164F" w:rsidP="0003510C" w:rsidRDefault="0098164F" w14:paraId="35544DA0" w14:textId="77777777">
      <w:pPr>
        <w:numPr>
          <w:ilvl w:val="0"/>
          <w:numId w:val="45"/>
        </w:numPr>
        <w:rPr>
          <w:b/>
          <w:sz w:val="24"/>
        </w:rPr>
      </w:pPr>
      <w:r w:rsidRPr="00C64947">
        <w:rPr>
          <w:b/>
          <w:sz w:val="24"/>
          <w:u w:val="single"/>
        </w:rPr>
        <w:t>Special Circumstances Relating to the Guidelines of 5 CFR 1320.5</w:t>
      </w:r>
    </w:p>
    <w:p w:rsidRPr="00C64947" w:rsidR="0003510C" w:rsidP="0003510C" w:rsidRDefault="0003510C" w14:paraId="7E32C937" w14:textId="77777777">
      <w:pPr>
        <w:ind w:left="630"/>
        <w:rPr>
          <w:b/>
          <w:sz w:val="24"/>
        </w:rPr>
      </w:pPr>
    </w:p>
    <w:p w:rsidRPr="007A66D7" w:rsidR="0098164F" w:rsidP="0003510C" w:rsidRDefault="007A66D7" w14:paraId="7D5E37DD" w14:textId="77777777">
      <w:pPr>
        <w:rPr>
          <w:sz w:val="24"/>
        </w:rPr>
      </w:pPr>
      <w:r>
        <w:rPr>
          <w:sz w:val="24"/>
        </w:rPr>
        <w:t>This information is collected in response to a public health emergency.</w:t>
      </w:r>
    </w:p>
    <w:p w:rsidRPr="00C64947" w:rsidR="0098164F" w:rsidRDefault="0098164F" w14:paraId="22922747" w14:textId="77777777">
      <w:pPr>
        <w:ind w:left="360"/>
        <w:rPr>
          <w:sz w:val="24"/>
        </w:rPr>
      </w:pPr>
    </w:p>
    <w:p w:rsidRPr="00C64947" w:rsidR="0098164F" w:rsidP="0003510C" w:rsidRDefault="0098164F" w14:paraId="5BF98A5C" w14:textId="77777777">
      <w:pPr>
        <w:numPr>
          <w:ilvl w:val="0"/>
          <w:numId w:val="45"/>
        </w:numPr>
        <w:rPr>
          <w:b/>
          <w:sz w:val="24"/>
        </w:rPr>
      </w:pPr>
      <w:r w:rsidRPr="00C64947">
        <w:rPr>
          <w:b/>
          <w:iCs/>
          <w:sz w:val="24"/>
          <w:u w:val="single"/>
        </w:rPr>
        <w:t>Comments in Response to the Federal Register</w:t>
      </w:r>
      <w:r w:rsidRPr="00C64947">
        <w:rPr>
          <w:b/>
          <w:sz w:val="24"/>
          <w:u w:val="single"/>
        </w:rPr>
        <w:t xml:space="preserve"> Notice/Outside Consultation</w:t>
      </w:r>
    </w:p>
    <w:p w:rsidRPr="00C64947" w:rsidR="0098164F" w:rsidP="00C64947" w:rsidRDefault="0098164F" w14:paraId="0F3DD4C6" w14:textId="77777777">
      <w:pPr>
        <w:rPr>
          <w:sz w:val="24"/>
        </w:rPr>
      </w:pPr>
    </w:p>
    <w:p w:rsidR="0098164F" w:rsidP="0003510C" w:rsidRDefault="0003510C" w14:paraId="5218723E" w14:textId="35820D08">
      <w:pPr>
        <w:rPr>
          <w:sz w:val="24"/>
        </w:rPr>
      </w:pPr>
      <w:r w:rsidRPr="003678F3">
        <w:rPr>
          <w:b/>
          <w:bCs/>
          <w:i/>
          <w:iCs/>
          <w:sz w:val="24"/>
        </w:rPr>
        <w:t>Emergency Clearanc</w:t>
      </w:r>
      <w:r w:rsidR="003678F3">
        <w:rPr>
          <w:b/>
          <w:bCs/>
          <w:i/>
          <w:iCs/>
          <w:sz w:val="24"/>
        </w:rPr>
        <w:t>e</w:t>
      </w:r>
      <w:r w:rsidRPr="00C64947" w:rsidR="0098164F">
        <w:rPr>
          <w:sz w:val="24"/>
        </w:rPr>
        <w:t xml:space="preserve"> </w:t>
      </w:r>
      <w:r w:rsidR="00101148">
        <w:rPr>
          <w:sz w:val="24"/>
        </w:rPr>
        <w:t>– As of 9/10 over 190,000 Americans have lost their lives as a result of the COVID-19 pandemic. HHS has mobilized emergency operations and systems to support and respond to this national emergency. For more than 4,800 individual acute care facilities, this is the only means to report hospital capacity and utilization. Without this feed being immediately available the federal response apparatus was flying blind to the needs of our healthcare system. As a result, this capability was immediately stood up and we are processing the relevant paperwork to support this collection.</w:t>
      </w:r>
      <w:r w:rsidR="004C50BC">
        <w:rPr>
          <w:sz w:val="24"/>
        </w:rPr>
        <w:t xml:space="preserve"> Federal Register Notice was published on September 23, 2020, pg. 59809, v</w:t>
      </w:r>
      <w:r w:rsidR="00890C9F">
        <w:rPr>
          <w:sz w:val="24"/>
        </w:rPr>
        <w:t>ol.85.</w:t>
      </w:r>
      <w:bookmarkStart w:name="_GoBack" w:id="0"/>
      <w:bookmarkEnd w:id="0"/>
    </w:p>
    <w:p w:rsidR="004C50BC" w:rsidP="0003510C" w:rsidRDefault="004C50BC" w14:paraId="475CB9FC" w14:textId="77777777">
      <w:pPr>
        <w:rPr>
          <w:sz w:val="24"/>
        </w:rPr>
      </w:pPr>
    </w:p>
    <w:p w:rsidR="004C50BC" w:rsidP="0003510C" w:rsidRDefault="004C50BC" w14:paraId="2AFB708E" w14:textId="77777777">
      <w:pPr>
        <w:rPr>
          <w:sz w:val="24"/>
        </w:rPr>
      </w:pPr>
    </w:p>
    <w:p w:rsidRPr="006C5974" w:rsidR="0098164F" w:rsidP="0003510C" w:rsidRDefault="0098164F" w14:paraId="496C47E2" w14:textId="77777777">
      <w:pPr>
        <w:numPr>
          <w:ilvl w:val="0"/>
          <w:numId w:val="45"/>
        </w:numPr>
        <w:rPr>
          <w:b/>
          <w:sz w:val="24"/>
        </w:rPr>
      </w:pPr>
      <w:r w:rsidRPr="00C64947">
        <w:rPr>
          <w:b/>
          <w:sz w:val="24"/>
          <w:u w:val="single"/>
        </w:rPr>
        <w:t>Explanation of any Payment/Gift to Respondents</w:t>
      </w:r>
    </w:p>
    <w:p w:rsidRPr="00C64947" w:rsidR="006C5974" w:rsidP="006C5974" w:rsidRDefault="006C5974" w14:paraId="5A0E74C7" w14:textId="77777777">
      <w:pPr>
        <w:ind w:left="630"/>
        <w:rPr>
          <w:b/>
          <w:sz w:val="24"/>
        </w:rPr>
      </w:pPr>
    </w:p>
    <w:p w:rsidR="008F3406" w:rsidP="006C5974" w:rsidRDefault="008F3406" w14:paraId="77A2E1AA" w14:textId="53ACF251">
      <w:pPr>
        <w:rPr>
          <w:sz w:val="24"/>
        </w:rPr>
      </w:pPr>
      <w:r>
        <w:rPr>
          <w:sz w:val="24"/>
        </w:rPr>
        <w:t>Respondents</w:t>
      </w:r>
      <w:r w:rsidR="007A66D7">
        <w:rPr>
          <w:sz w:val="24"/>
        </w:rPr>
        <w:t xml:space="preserve"> are not offered gifts or payment directly for response to this information collection. </w:t>
      </w:r>
      <w:r w:rsidR="00DA1186">
        <w:rPr>
          <w:sz w:val="24"/>
        </w:rPr>
        <w:t xml:space="preserve">However, response to this collection directly impacts federal and state decisions regarding </w:t>
      </w:r>
      <w:r w:rsidR="007A66D7">
        <w:rPr>
          <w:sz w:val="24"/>
        </w:rPr>
        <w:t xml:space="preserve">allocation of scarce supplies and resources. </w:t>
      </w:r>
      <w:r w:rsidR="00E7054A">
        <w:rPr>
          <w:sz w:val="24"/>
        </w:rPr>
        <w:t xml:space="preserve">While there is no payment or gift to respondents in the direct sense of the question, lack of response could </w:t>
      </w:r>
      <w:r w:rsidR="007A66D7">
        <w:rPr>
          <w:sz w:val="24"/>
        </w:rPr>
        <w:t>lead to suboptimal allocation of resources</w:t>
      </w:r>
      <w:r w:rsidR="00E7054A">
        <w:rPr>
          <w:sz w:val="24"/>
        </w:rPr>
        <w:t xml:space="preserve"> and frustrate the national response to COVID-19.</w:t>
      </w:r>
    </w:p>
    <w:p w:rsidRPr="00C64947" w:rsidR="0098164F" w:rsidRDefault="0098164F" w14:paraId="3EB81BC3" w14:textId="77777777">
      <w:pPr>
        <w:ind w:left="1440"/>
        <w:rPr>
          <w:sz w:val="24"/>
        </w:rPr>
      </w:pPr>
    </w:p>
    <w:p w:rsidRPr="006C5974" w:rsidR="0098164F" w:rsidP="0003510C" w:rsidRDefault="0098164F" w14:paraId="380DDBFC" w14:textId="77777777">
      <w:pPr>
        <w:numPr>
          <w:ilvl w:val="0"/>
          <w:numId w:val="45"/>
        </w:numPr>
        <w:rPr>
          <w:b/>
          <w:sz w:val="24"/>
        </w:rPr>
      </w:pPr>
      <w:r w:rsidRPr="00C64947">
        <w:rPr>
          <w:b/>
          <w:sz w:val="24"/>
          <w:u w:val="single"/>
        </w:rPr>
        <w:t>Assurance of Confidentiality Provided to Respondents</w:t>
      </w:r>
    </w:p>
    <w:p w:rsidRPr="00C64947" w:rsidR="006C5974" w:rsidP="006C5974" w:rsidRDefault="006C5974" w14:paraId="06BD2BB7" w14:textId="77777777">
      <w:pPr>
        <w:ind w:left="630"/>
        <w:rPr>
          <w:b/>
          <w:sz w:val="24"/>
        </w:rPr>
      </w:pPr>
    </w:p>
    <w:p w:rsidR="004F18C0" w:rsidP="006C5974" w:rsidRDefault="004F18C0" w14:paraId="2242C4CE" w14:textId="77777777">
      <w:pPr>
        <w:widowControl/>
        <w:rPr>
          <w:sz w:val="24"/>
        </w:rPr>
      </w:pPr>
      <w:r>
        <w:rPr>
          <w:sz w:val="24"/>
        </w:rPr>
        <w:t>No personally identifiable information</w:t>
      </w:r>
      <w:r w:rsidR="005E636C">
        <w:rPr>
          <w:sz w:val="24"/>
        </w:rPr>
        <w:t xml:space="preserve"> (for COVID-19 patients)</w:t>
      </w:r>
      <w:r>
        <w:rPr>
          <w:sz w:val="24"/>
        </w:rPr>
        <w:t xml:space="preserve"> is collected as part of this information collection. Business identifiable information is collected, including the name of the relevant hospitals or businesses, its operating address, and unique keys or identifiers that the Federal Government uses for identification</w:t>
      </w:r>
      <w:r w:rsidR="005E636C">
        <w:rPr>
          <w:sz w:val="24"/>
        </w:rPr>
        <w:t xml:space="preserve"> of the hospitals. Hospitals are told that data may be released to certain entities that would allow identification</w:t>
      </w:r>
      <w:r>
        <w:rPr>
          <w:sz w:val="24"/>
        </w:rPr>
        <w:t>.</w:t>
      </w:r>
    </w:p>
    <w:p w:rsidRPr="00C64947" w:rsidR="004F18C0" w:rsidP="006C5974" w:rsidRDefault="005E636C" w14:paraId="7684C496" w14:textId="1A495510">
      <w:pPr>
        <w:widowControl/>
        <w:ind w:firstLine="270"/>
        <w:rPr>
          <w:sz w:val="24"/>
        </w:rPr>
      </w:pPr>
      <w:r>
        <w:rPr>
          <w:sz w:val="24"/>
        </w:rPr>
        <w:t xml:space="preserve">Data at the </w:t>
      </w:r>
      <w:r w:rsidR="004F18C0">
        <w:rPr>
          <w:sz w:val="24"/>
        </w:rPr>
        <w:t>Need to know includes, but is not limited to, public health surveillance, ensuring stable operations of the American healthcare system, allocation of supplies, and other internal US government uses.</w:t>
      </w:r>
    </w:p>
    <w:p w:rsidRPr="00C64947" w:rsidR="0098164F" w:rsidRDefault="0098164F" w14:paraId="5E769FB5" w14:textId="77777777">
      <w:pPr>
        <w:ind w:left="360"/>
        <w:rPr>
          <w:sz w:val="24"/>
        </w:rPr>
      </w:pPr>
    </w:p>
    <w:p w:rsidRPr="00C64947" w:rsidR="0098164F" w:rsidP="0003510C" w:rsidRDefault="0098164F" w14:paraId="07D9CE48" w14:textId="77777777">
      <w:pPr>
        <w:numPr>
          <w:ilvl w:val="0"/>
          <w:numId w:val="45"/>
        </w:numPr>
        <w:rPr>
          <w:b/>
          <w:sz w:val="24"/>
        </w:rPr>
      </w:pPr>
      <w:r w:rsidRPr="00C64947">
        <w:rPr>
          <w:b/>
          <w:sz w:val="24"/>
          <w:u w:val="single"/>
        </w:rPr>
        <w:t>Justification for Sensitive Questions</w:t>
      </w:r>
    </w:p>
    <w:p w:rsidR="004F18C0" w:rsidP="004F18C0" w:rsidRDefault="004F18C0" w14:paraId="49CB465F" w14:textId="77777777">
      <w:pPr>
        <w:widowControl/>
        <w:rPr>
          <w:sz w:val="24"/>
        </w:rPr>
      </w:pPr>
    </w:p>
    <w:p w:rsidR="004F18C0" w:rsidP="006C5974" w:rsidRDefault="004F18C0" w14:paraId="1657766B" w14:textId="77777777">
      <w:pPr>
        <w:widowControl/>
        <w:rPr>
          <w:sz w:val="24"/>
        </w:rPr>
      </w:pPr>
      <w:r>
        <w:rPr>
          <w:sz w:val="24"/>
        </w:rPr>
        <w:t>Providing certain metrics about a hospital’s operating status may allow inference of business</w:t>
      </w:r>
      <w:r w:rsidR="009706F5">
        <w:rPr>
          <w:sz w:val="24"/>
        </w:rPr>
        <w:t xml:space="preserve">, utilization, or other financial status. To the extent practicable, HHS manages this by limiting access to line level data, aggregating data to blend information about different </w:t>
      </w:r>
      <w:r w:rsidR="007A66D7">
        <w:rPr>
          <w:sz w:val="24"/>
        </w:rPr>
        <w:t>hospitals</w:t>
      </w:r>
      <w:r w:rsidR="009706F5">
        <w:rPr>
          <w:sz w:val="24"/>
        </w:rPr>
        <w:t>, and other statistical techniques. As having information identifiable at a facility level is crucial to understand local conditions</w:t>
      </w:r>
      <w:r w:rsidR="007A66D7">
        <w:rPr>
          <w:sz w:val="24"/>
        </w:rPr>
        <w:t xml:space="preserve"> and taking appropriate action</w:t>
      </w:r>
      <w:r w:rsidR="009706F5">
        <w:rPr>
          <w:sz w:val="24"/>
        </w:rPr>
        <w:t>, this collection is reasonable for response to a public health emergency.</w:t>
      </w:r>
    </w:p>
    <w:p w:rsidRPr="00C64947" w:rsidR="0098164F" w:rsidRDefault="0098164F" w14:paraId="34669A6C" w14:textId="77777777">
      <w:pPr>
        <w:ind w:left="360"/>
        <w:rPr>
          <w:sz w:val="24"/>
        </w:rPr>
      </w:pPr>
    </w:p>
    <w:p w:rsidRPr="00C64947" w:rsidR="0098164F" w:rsidRDefault="0098164F" w14:paraId="5F3EF9DF" w14:textId="77777777">
      <w:pPr>
        <w:widowControl/>
        <w:ind w:left="2880"/>
        <w:rPr>
          <w:sz w:val="24"/>
          <w:highlight w:val="yellow"/>
        </w:rPr>
      </w:pPr>
    </w:p>
    <w:p w:rsidRPr="00C64947" w:rsidR="0098164F" w:rsidP="006C5974" w:rsidRDefault="0098164F" w14:paraId="0E04DBA6" w14:textId="77777777">
      <w:pPr>
        <w:widowControl/>
        <w:rPr>
          <w:sz w:val="24"/>
        </w:rPr>
      </w:pPr>
      <w:r w:rsidRPr="00C64947">
        <w:rPr>
          <w:b/>
          <w:sz w:val="24"/>
        </w:rPr>
        <w:t>12</w:t>
      </w:r>
      <w:r w:rsidR="006C5974">
        <w:rPr>
          <w:b/>
          <w:sz w:val="24"/>
        </w:rPr>
        <w:t xml:space="preserve"> </w:t>
      </w:r>
      <w:r w:rsidRPr="00C64947">
        <w:rPr>
          <w:b/>
          <w:sz w:val="24"/>
        </w:rPr>
        <w:t>A</w:t>
      </w:r>
      <w:r w:rsidR="006C5974">
        <w:rPr>
          <w:b/>
          <w:sz w:val="24"/>
        </w:rPr>
        <w:t>.</w:t>
      </w:r>
      <w:r w:rsidRPr="00C64947">
        <w:rPr>
          <w:sz w:val="24"/>
        </w:rPr>
        <w:t xml:space="preserve">      </w:t>
      </w:r>
      <w:r w:rsidRPr="00C64947">
        <w:rPr>
          <w:b/>
          <w:sz w:val="24"/>
        </w:rPr>
        <w:t>Estimated Annualized Burden Hours</w:t>
      </w:r>
    </w:p>
    <w:tbl>
      <w:tblPr>
        <w:tblW w:w="8165" w:type="dxa"/>
        <w:tblInd w:w="1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30"/>
        <w:gridCol w:w="1429"/>
        <w:gridCol w:w="1523"/>
        <w:gridCol w:w="1430"/>
        <w:gridCol w:w="1177"/>
        <w:gridCol w:w="1176"/>
      </w:tblGrid>
      <w:tr w:rsidRPr="00C64947" w:rsidR="00C64947" w:rsidTr="006C5974" w14:paraId="20E6B4AA" w14:textId="77777777">
        <w:tc>
          <w:tcPr>
            <w:tcW w:w="1430" w:type="dxa"/>
            <w:shd w:val="clear" w:color="auto" w:fill="auto"/>
          </w:tcPr>
          <w:p w:rsidRPr="00C64947" w:rsidR="0098164F" w:rsidP="0098164F" w:rsidRDefault="0098164F" w14:paraId="6B6B178A" w14:textId="77777777">
            <w:pPr>
              <w:widowControl/>
              <w:rPr>
                <w:b/>
                <w:bCs/>
                <w:sz w:val="24"/>
              </w:rPr>
            </w:pPr>
            <w:r w:rsidRPr="00C64947">
              <w:rPr>
                <w:b/>
                <w:bCs/>
                <w:sz w:val="24"/>
              </w:rPr>
              <w:t>Type of</w:t>
            </w:r>
          </w:p>
          <w:p w:rsidRPr="00C64947" w:rsidR="0098164F" w:rsidP="0098164F" w:rsidRDefault="0098164F" w14:paraId="0672F7BB" w14:textId="77777777">
            <w:pPr>
              <w:widowControl/>
              <w:rPr>
                <w:b/>
                <w:bCs/>
                <w:sz w:val="24"/>
              </w:rPr>
            </w:pPr>
            <w:r w:rsidRPr="00C64947">
              <w:rPr>
                <w:b/>
                <w:bCs/>
                <w:sz w:val="24"/>
              </w:rPr>
              <w:t>Respondent</w:t>
            </w:r>
          </w:p>
          <w:p w:rsidRPr="00C64947" w:rsidR="0098164F" w:rsidP="0098164F" w:rsidRDefault="0098164F" w14:paraId="0396784F" w14:textId="77777777">
            <w:pPr>
              <w:widowControl/>
              <w:rPr>
                <w:b/>
                <w:bCs/>
                <w:sz w:val="24"/>
              </w:rPr>
            </w:pPr>
          </w:p>
        </w:tc>
        <w:tc>
          <w:tcPr>
            <w:tcW w:w="1429" w:type="dxa"/>
            <w:shd w:val="clear" w:color="auto" w:fill="auto"/>
          </w:tcPr>
          <w:p w:rsidRPr="00C64947" w:rsidR="0098164F" w:rsidP="0098164F" w:rsidRDefault="0098164F" w14:paraId="3E922B18" w14:textId="77777777">
            <w:pPr>
              <w:widowControl/>
              <w:rPr>
                <w:b/>
                <w:bCs/>
                <w:sz w:val="24"/>
              </w:rPr>
            </w:pPr>
            <w:r w:rsidRPr="00C64947">
              <w:rPr>
                <w:b/>
                <w:bCs/>
                <w:sz w:val="24"/>
              </w:rPr>
              <w:t>Form</w:t>
            </w:r>
          </w:p>
          <w:p w:rsidRPr="00C64947" w:rsidR="0098164F" w:rsidP="0098164F" w:rsidRDefault="0098164F" w14:paraId="088BFAA2" w14:textId="77777777">
            <w:pPr>
              <w:widowControl/>
              <w:rPr>
                <w:b/>
                <w:bCs/>
                <w:sz w:val="24"/>
              </w:rPr>
            </w:pPr>
            <w:r w:rsidRPr="00C64947">
              <w:rPr>
                <w:b/>
                <w:bCs/>
                <w:sz w:val="24"/>
              </w:rPr>
              <w:t>Name</w:t>
            </w:r>
          </w:p>
          <w:p w:rsidRPr="00C64947" w:rsidR="0098164F" w:rsidP="0098164F" w:rsidRDefault="0098164F" w14:paraId="7D1AD431" w14:textId="77777777">
            <w:pPr>
              <w:widowControl/>
              <w:rPr>
                <w:b/>
                <w:bCs/>
                <w:sz w:val="24"/>
              </w:rPr>
            </w:pPr>
          </w:p>
        </w:tc>
        <w:tc>
          <w:tcPr>
            <w:tcW w:w="1523" w:type="dxa"/>
            <w:shd w:val="clear" w:color="auto" w:fill="auto"/>
          </w:tcPr>
          <w:p w:rsidRPr="00C64947" w:rsidR="0098164F" w:rsidP="0098164F" w:rsidRDefault="0098164F" w14:paraId="094B569D" w14:textId="77777777">
            <w:pPr>
              <w:widowControl/>
              <w:rPr>
                <w:b/>
                <w:bCs/>
                <w:sz w:val="24"/>
              </w:rPr>
            </w:pPr>
            <w:r w:rsidRPr="00C64947">
              <w:rPr>
                <w:b/>
                <w:bCs/>
                <w:sz w:val="24"/>
              </w:rPr>
              <w:t>No. of</w:t>
            </w:r>
          </w:p>
          <w:p w:rsidRPr="00C64947" w:rsidR="0098164F" w:rsidP="0098164F" w:rsidRDefault="0098164F" w14:paraId="2A466D6C" w14:textId="77777777">
            <w:pPr>
              <w:widowControl/>
              <w:rPr>
                <w:b/>
                <w:bCs/>
                <w:sz w:val="24"/>
              </w:rPr>
            </w:pPr>
            <w:r w:rsidRPr="00C64947">
              <w:rPr>
                <w:b/>
                <w:bCs/>
                <w:sz w:val="24"/>
              </w:rPr>
              <w:t>Respondents</w:t>
            </w:r>
          </w:p>
        </w:tc>
        <w:tc>
          <w:tcPr>
            <w:tcW w:w="1430" w:type="dxa"/>
            <w:shd w:val="clear" w:color="auto" w:fill="auto"/>
          </w:tcPr>
          <w:p w:rsidRPr="00C64947" w:rsidR="0098164F" w:rsidP="0098164F" w:rsidRDefault="0098164F" w14:paraId="6AE09E66" w14:textId="77777777">
            <w:pPr>
              <w:widowControl/>
              <w:rPr>
                <w:b/>
                <w:bCs/>
                <w:sz w:val="24"/>
              </w:rPr>
            </w:pPr>
            <w:r w:rsidRPr="00C64947">
              <w:rPr>
                <w:b/>
                <w:bCs/>
                <w:sz w:val="24"/>
              </w:rPr>
              <w:t>No.</w:t>
            </w:r>
          </w:p>
          <w:p w:rsidRPr="00C64947" w:rsidR="0098164F" w:rsidP="0098164F" w:rsidRDefault="0098164F" w14:paraId="4629AAE9" w14:textId="77777777">
            <w:pPr>
              <w:widowControl/>
              <w:rPr>
                <w:b/>
                <w:bCs/>
                <w:sz w:val="24"/>
              </w:rPr>
            </w:pPr>
            <w:r w:rsidRPr="00C64947">
              <w:rPr>
                <w:b/>
                <w:bCs/>
                <w:sz w:val="24"/>
              </w:rPr>
              <w:t>Responses</w:t>
            </w:r>
          </w:p>
          <w:p w:rsidRPr="00C64947" w:rsidR="0098164F" w:rsidP="0098164F" w:rsidRDefault="0098164F" w14:paraId="478E9039" w14:textId="77777777">
            <w:pPr>
              <w:widowControl/>
              <w:rPr>
                <w:b/>
                <w:bCs/>
                <w:sz w:val="24"/>
              </w:rPr>
            </w:pPr>
            <w:r w:rsidRPr="00C64947">
              <w:rPr>
                <w:b/>
                <w:bCs/>
                <w:sz w:val="24"/>
              </w:rPr>
              <w:t>per</w:t>
            </w:r>
          </w:p>
          <w:p w:rsidRPr="00C64947" w:rsidR="0098164F" w:rsidP="0098164F" w:rsidRDefault="0098164F" w14:paraId="433FC3E8" w14:textId="77777777">
            <w:pPr>
              <w:widowControl/>
              <w:rPr>
                <w:b/>
                <w:bCs/>
                <w:sz w:val="24"/>
              </w:rPr>
            </w:pPr>
            <w:r w:rsidRPr="00C64947">
              <w:rPr>
                <w:b/>
                <w:bCs/>
                <w:sz w:val="24"/>
              </w:rPr>
              <w:t>Respondent</w:t>
            </w:r>
          </w:p>
        </w:tc>
        <w:tc>
          <w:tcPr>
            <w:tcW w:w="1177" w:type="dxa"/>
            <w:shd w:val="clear" w:color="auto" w:fill="auto"/>
          </w:tcPr>
          <w:p w:rsidRPr="00C64947" w:rsidR="0098164F" w:rsidP="0098164F" w:rsidRDefault="0098164F" w14:paraId="004B7606" w14:textId="77777777">
            <w:pPr>
              <w:widowControl/>
              <w:rPr>
                <w:b/>
                <w:bCs/>
                <w:sz w:val="24"/>
              </w:rPr>
            </w:pPr>
            <w:r w:rsidRPr="00C64947">
              <w:rPr>
                <w:b/>
                <w:bCs/>
                <w:sz w:val="24"/>
              </w:rPr>
              <w:t>Average</w:t>
            </w:r>
          </w:p>
          <w:p w:rsidRPr="00C64947" w:rsidR="0098164F" w:rsidP="0098164F" w:rsidRDefault="0098164F" w14:paraId="69FB7661" w14:textId="77777777">
            <w:pPr>
              <w:widowControl/>
              <w:rPr>
                <w:b/>
                <w:bCs/>
                <w:sz w:val="24"/>
              </w:rPr>
            </w:pPr>
            <w:r w:rsidRPr="00C64947">
              <w:rPr>
                <w:b/>
                <w:bCs/>
                <w:sz w:val="24"/>
              </w:rPr>
              <w:t>Burden per</w:t>
            </w:r>
          </w:p>
          <w:p w:rsidRPr="00C64947" w:rsidR="0098164F" w:rsidP="0098164F" w:rsidRDefault="0098164F" w14:paraId="6EF95BE7" w14:textId="77777777">
            <w:pPr>
              <w:widowControl/>
              <w:rPr>
                <w:b/>
                <w:bCs/>
                <w:sz w:val="24"/>
              </w:rPr>
            </w:pPr>
            <w:r w:rsidRPr="00C64947">
              <w:rPr>
                <w:b/>
                <w:bCs/>
                <w:sz w:val="24"/>
              </w:rPr>
              <w:t>Response</w:t>
            </w:r>
          </w:p>
          <w:p w:rsidRPr="00C64947" w:rsidR="0098164F" w:rsidP="0098164F" w:rsidRDefault="0098164F" w14:paraId="6F478E06" w14:textId="77777777">
            <w:pPr>
              <w:widowControl/>
              <w:rPr>
                <w:b/>
                <w:bCs/>
                <w:sz w:val="24"/>
              </w:rPr>
            </w:pPr>
            <w:r w:rsidRPr="00C64947">
              <w:rPr>
                <w:b/>
                <w:bCs/>
                <w:sz w:val="24"/>
              </w:rPr>
              <w:t>(in hours)</w:t>
            </w:r>
          </w:p>
        </w:tc>
        <w:tc>
          <w:tcPr>
            <w:tcW w:w="1176" w:type="dxa"/>
            <w:shd w:val="clear" w:color="auto" w:fill="auto"/>
          </w:tcPr>
          <w:p w:rsidRPr="00C64947" w:rsidR="0098164F" w:rsidP="0098164F" w:rsidRDefault="0098164F" w14:paraId="2720659B" w14:textId="77777777">
            <w:pPr>
              <w:widowControl/>
              <w:rPr>
                <w:b/>
                <w:bCs/>
                <w:sz w:val="24"/>
              </w:rPr>
            </w:pPr>
            <w:r w:rsidRPr="00C64947">
              <w:rPr>
                <w:b/>
                <w:bCs/>
                <w:sz w:val="24"/>
              </w:rPr>
              <w:t>Total Burden Hours</w:t>
            </w:r>
          </w:p>
        </w:tc>
      </w:tr>
      <w:tr w:rsidRPr="00C64947" w:rsidR="00C64947" w:rsidTr="006C5974" w14:paraId="66722994" w14:textId="77777777">
        <w:tc>
          <w:tcPr>
            <w:tcW w:w="1430" w:type="dxa"/>
            <w:shd w:val="clear" w:color="auto" w:fill="auto"/>
          </w:tcPr>
          <w:p w:rsidRPr="00C64947" w:rsidR="0098164F" w:rsidP="0098164F" w:rsidRDefault="009706F5" w14:paraId="4DADB0ED" w14:textId="77777777">
            <w:pPr>
              <w:widowControl/>
              <w:rPr>
                <w:sz w:val="24"/>
              </w:rPr>
            </w:pPr>
            <w:r>
              <w:rPr>
                <w:sz w:val="24"/>
              </w:rPr>
              <w:t>Hospitals</w:t>
            </w:r>
          </w:p>
        </w:tc>
        <w:tc>
          <w:tcPr>
            <w:tcW w:w="1429" w:type="dxa"/>
            <w:shd w:val="clear" w:color="auto" w:fill="auto"/>
          </w:tcPr>
          <w:p w:rsidRPr="00C64947" w:rsidR="0098164F" w:rsidP="0098164F" w:rsidRDefault="00BC118D" w14:paraId="1B6965C4" w14:textId="77777777">
            <w:pPr>
              <w:widowControl/>
              <w:rPr>
                <w:sz w:val="24"/>
              </w:rPr>
            </w:pPr>
            <w:r w:rsidRPr="00C64947">
              <w:rPr>
                <w:sz w:val="24"/>
              </w:rPr>
              <w:t xml:space="preserve">HHS </w:t>
            </w:r>
            <w:proofErr w:type="spellStart"/>
            <w:r w:rsidRPr="00C64947">
              <w:rPr>
                <w:sz w:val="24"/>
              </w:rPr>
              <w:t>Teletracking</w:t>
            </w:r>
            <w:proofErr w:type="spellEnd"/>
            <w:r w:rsidRPr="00C64947">
              <w:rPr>
                <w:sz w:val="24"/>
              </w:rPr>
              <w:t xml:space="preserve"> COVID-19 Portal</w:t>
            </w:r>
          </w:p>
        </w:tc>
        <w:tc>
          <w:tcPr>
            <w:tcW w:w="1523" w:type="dxa"/>
            <w:shd w:val="clear" w:color="auto" w:fill="auto"/>
          </w:tcPr>
          <w:p w:rsidRPr="00C64947" w:rsidR="0098164F" w:rsidP="0098164F" w:rsidRDefault="00BC118D" w14:paraId="3571D8BC" w14:textId="77777777">
            <w:pPr>
              <w:widowControl/>
              <w:rPr>
                <w:sz w:val="24"/>
              </w:rPr>
            </w:pPr>
            <w:r w:rsidRPr="00C64947">
              <w:rPr>
                <w:sz w:val="24"/>
              </w:rPr>
              <w:t>5500</w:t>
            </w:r>
            <w:r w:rsidRPr="00C64947" w:rsidR="0098164F">
              <w:rPr>
                <w:sz w:val="24"/>
              </w:rPr>
              <w:t xml:space="preserve">  </w:t>
            </w:r>
          </w:p>
        </w:tc>
        <w:tc>
          <w:tcPr>
            <w:tcW w:w="1430" w:type="dxa"/>
            <w:shd w:val="clear" w:color="auto" w:fill="auto"/>
          </w:tcPr>
          <w:p w:rsidRPr="00C64947" w:rsidR="0098164F" w:rsidP="0098164F" w:rsidRDefault="00BC118D" w14:paraId="6B94778A" w14:textId="77777777">
            <w:pPr>
              <w:widowControl/>
              <w:rPr>
                <w:sz w:val="24"/>
              </w:rPr>
            </w:pPr>
            <w:r w:rsidRPr="00C64947">
              <w:rPr>
                <w:sz w:val="24"/>
              </w:rPr>
              <w:t>365</w:t>
            </w:r>
          </w:p>
        </w:tc>
        <w:tc>
          <w:tcPr>
            <w:tcW w:w="1177" w:type="dxa"/>
            <w:shd w:val="clear" w:color="auto" w:fill="auto"/>
          </w:tcPr>
          <w:p w:rsidRPr="00C64947" w:rsidR="0098164F" w:rsidP="0098164F" w:rsidRDefault="00BC118D" w14:paraId="39BAE1C5" w14:textId="77777777">
            <w:pPr>
              <w:widowControl/>
              <w:rPr>
                <w:sz w:val="24"/>
              </w:rPr>
            </w:pPr>
            <w:r w:rsidRPr="00C64947">
              <w:rPr>
                <w:sz w:val="24"/>
              </w:rPr>
              <w:t>1.5</w:t>
            </w:r>
          </w:p>
        </w:tc>
        <w:tc>
          <w:tcPr>
            <w:tcW w:w="1176" w:type="dxa"/>
            <w:shd w:val="clear" w:color="auto" w:fill="auto"/>
          </w:tcPr>
          <w:p w:rsidRPr="00C64947" w:rsidR="0098164F" w:rsidP="0098164F" w:rsidRDefault="00BC118D" w14:paraId="51740720" w14:textId="77777777">
            <w:pPr>
              <w:widowControl/>
              <w:rPr>
                <w:sz w:val="24"/>
              </w:rPr>
            </w:pPr>
            <w:r w:rsidRPr="00C64947">
              <w:rPr>
                <w:sz w:val="24"/>
              </w:rPr>
              <w:t>3,011,250</w:t>
            </w:r>
          </w:p>
          <w:p w:rsidRPr="00C64947" w:rsidR="0098164F" w:rsidP="0098164F" w:rsidRDefault="0098164F" w14:paraId="6B42382E" w14:textId="77777777">
            <w:pPr>
              <w:widowControl/>
              <w:rPr>
                <w:sz w:val="24"/>
              </w:rPr>
            </w:pPr>
          </w:p>
        </w:tc>
      </w:tr>
      <w:tr w:rsidRPr="00C64947" w:rsidR="00C64947" w:rsidTr="006C5974" w14:paraId="06B64FEA" w14:textId="77777777">
        <w:tc>
          <w:tcPr>
            <w:tcW w:w="1430" w:type="dxa"/>
            <w:shd w:val="clear" w:color="auto" w:fill="auto"/>
          </w:tcPr>
          <w:p w:rsidRPr="00C64947" w:rsidR="0098164F" w:rsidP="0098164F" w:rsidRDefault="0098164F" w14:paraId="44B2101F" w14:textId="77777777">
            <w:pPr>
              <w:widowControl/>
              <w:rPr>
                <w:b/>
                <w:bCs/>
                <w:sz w:val="24"/>
              </w:rPr>
            </w:pPr>
            <w:r w:rsidRPr="00C64947">
              <w:rPr>
                <w:b/>
                <w:bCs/>
                <w:sz w:val="24"/>
              </w:rPr>
              <w:t>Total</w:t>
            </w:r>
          </w:p>
        </w:tc>
        <w:tc>
          <w:tcPr>
            <w:tcW w:w="1429" w:type="dxa"/>
            <w:shd w:val="clear" w:color="auto" w:fill="auto"/>
          </w:tcPr>
          <w:p w:rsidRPr="00C64947" w:rsidR="0098164F" w:rsidP="0098164F" w:rsidRDefault="0098164F" w14:paraId="7E214AAD" w14:textId="77777777">
            <w:pPr>
              <w:widowControl/>
              <w:rPr>
                <w:sz w:val="24"/>
              </w:rPr>
            </w:pPr>
          </w:p>
        </w:tc>
        <w:tc>
          <w:tcPr>
            <w:tcW w:w="1523" w:type="dxa"/>
            <w:shd w:val="clear" w:color="auto" w:fill="auto"/>
          </w:tcPr>
          <w:p w:rsidRPr="00C64947" w:rsidR="0098164F" w:rsidP="0098164F" w:rsidRDefault="0098164F" w14:paraId="5E3AD1BF" w14:textId="77777777">
            <w:pPr>
              <w:widowControl/>
              <w:rPr>
                <w:sz w:val="24"/>
              </w:rPr>
            </w:pPr>
          </w:p>
        </w:tc>
        <w:tc>
          <w:tcPr>
            <w:tcW w:w="1430" w:type="dxa"/>
            <w:shd w:val="clear" w:color="auto" w:fill="auto"/>
          </w:tcPr>
          <w:p w:rsidRPr="00C64947" w:rsidR="0098164F" w:rsidP="0098164F" w:rsidRDefault="0098164F" w14:paraId="118D72D1" w14:textId="77777777">
            <w:pPr>
              <w:widowControl/>
              <w:rPr>
                <w:sz w:val="24"/>
              </w:rPr>
            </w:pPr>
          </w:p>
        </w:tc>
        <w:tc>
          <w:tcPr>
            <w:tcW w:w="1177" w:type="dxa"/>
            <w:shd w:val="clear" w:color="auto" w:fill="auto"/>
          </w:tcPr>
          <w:p w:rsidRPr="00C64947" w:rsidR="0098164F" w:rsidP="0098164F" w:rsidRDefault="0098164F" w14:paraId="7A7A7B03" w14:textId="77777777">
            <w:pPr>
              <w:widowControl/>
              <w:rPr>
                <w:sz w:val="24"/>
              </w:rPr>
            </w:pPr>
          </w:p>
        </w:tc>
        <w:tc>
          <w:tcPr>
            <w:tcW w:w="1176" w:type="dxa"/>
            <w:shd w:val="clear" w:color="auto" w:fill="auto"/>
          </w:tcPr>
          <w:p w:rsidRPr="00C64947" w:rsidR="0098164F" w:rsidP="0098164F" w:rsidRDefault="00BC118D" w14:paraId="47CE200B" w14:textId="77777777">
            <w:pPr>
              <w:widowControl/>
              <w:rPr>
                <w:sz w:val="24"/>
              </w:rPr>
            </w:pPr>
            <w:r w:rsidRPr="00C64947">
              <w:rPr>
                <w:sz w:val="24"/>
              </w:rPr>
              <w:t>3,011,250</w:t>
            </w:r>
          </w:p>
          <w:p w:rsidRPr="00C64947" w:rsidR="0098164F" w:rsidP="0098164F" w:rsidRDefault="0098164F" w14:paraId="49B02CDF" w14:textId="77777777">
            <w:pPr>
              <w:widowControl/>
              <w:rPr>
                <w:sz w:val="24"/>
              </w:rPr>
            </w:pPr>
          </w:p>
        </w:tc>
      </w:tr>
    </w:tbl>
    <w:p w:rsidRPr="00C64947" w:rsidR="0098164F" w:rsidRDefault="0098164F" w14:paraId="1B2482E0" w14:textId="77777777">
      <w:pPr>
        <w:widowControl/>
        <w:rPr>
          <w:b/>
          <w:bCs/>
          <w:sz w:val="24"/>
          <w:highlight w:val="yellow"/>
        </w:rPr>
      </w:pPr>
    </w:p>
    <w:p w:rsidRPr="00C64947" w:rsidR="0098164F" w:rsidP="00387CC6" w:rsidRDefault="0098164F" w14:paraId="62BD8E0F" w14:textId="77777777">
      <w:pPr>
        <w:widowControl/>
        <w:rPr>
          <w:b/>
          <w:sz w:val="24"/>
        </w:rPr>
      </w:pPr>
      <w:r w:rsidRPr="00D43A7C">
        <w:rPr>
          <w:b/>
          <w:sz w:val="24"/>
        </w:rPr>
        <w:t>12</w:t>
      </w:r>
      <w:r w:rsidR="00D43A7C">
        <w:rPr>
          <w:b/>
          <w:sz w:val="24"/>
        </w:rPr>
        <w:t xml:space="preserve"> </w:t>
      </w:r>
      <w:r w:rsidRPr="00D43A7C" w:rsidR="00D43A7C">
        <w:rPr>
          <w:b/>
          <w:sz w:val="24"/>
        </w:rPr>
        <w:t>B</w:t>
      </w:r>
      <w:r w:rsidR="006C5974">
        <w:rPr>
          <w:b/>
          <w:sz w:val="24"/>
        </w:rPr>
        <w:t>.</w:t>
      </w:r>
      <w:r w:rsidRPr="00C64947">
        <w:rPr>
          <w:sz w:val="24"/>
        </w:rPr>
        <w:tab/>
      </w:r>
      <w:r w:rsidRPr="00C64947">
        <w:rPr>
          <w:b/>
          <w:sz w:val="24"/>
        </w:rPr>
        <w:t xml:space="preserve">Estimated Annualized </w:t>
      </w:r>
      <w:r w:rsidRPr="00C64947" w:rsidR="00110C0E">
        <w:rPr>
          <w:b/>
          <w:sz w:val="24"/>
        </w:rPr>
        <w:t xml:space="preserve">Respondent </w:t>
      </w:r>
      <w:r w:rsidRPr="00C64947">
        <w:rPr>
          <w:b/>
          <w:sz w:val="24"/>
        </w:rPr>
        <w:t>Burden Costs</w:t>
      </w:r>
    </w:p>
    <w:tbl>
      <w:tblPr>
        <w:tblW w:w="59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30"/>
        <w:gridCol w:w="1330"/>
        <w:gridCol w:w="1429"/>
        <w:gridCol w:w="1776"/>
      </w:tblGrid>
      <w:tr w:rsidRPr="00C64947" w:rsidR="009706F5" w:rsidTr="006C5974" w14:paraId="66320E46" w14:textId="77777777">
        <w:tc>
          <w:tcPr>
            <w:tcW w:w="1430" w:type="dxa"/>
            <w:shd w:val="clear" w:color="auto" w:fill="auto"/>
          </w:tcPr>
          <w:p w:rsidRPr="00C64947" w:rsidR="0098164F" w:rsidP="0098164F" w:rsidRDefault="0098164F" w14:paraId="1CFFC89E" w14:textId="77777777">
            <w:pPr>
              <w:widowControl/>
              <w:rPr>
                <w:b/>
                <w:bCs/>
                <w:sz w:val="24"/>
              </w:rPr>
            </w:pPr>
            <w:r w:rsidRPr="00C64947">
              <w:rPr>
                <w:b/>
                <w:bCs/>
                <w:sz w:val="24"/>
              </w:rPr>
              <w:t>Type of</w:t>
            </w:r>
          </w:p>
          <w:p w:rsidRPr="00C64947" w:rsidR="0098164F" w:rsidP="0098164F" w:rsidRDefault="0098164F" w14:paraId="1BC00FD8" w14:textId="77777777">
            <w:pPr>
              <w:widowControl/>
              <w:rPr>
                <w:sz w:val="24"/>
              </w:rPr>
            </w:pPr>
            <w:r w:rsidRPr="00C64947">
              <w:rPr>
                <w:b/>
                <w:bCs/>
                <w:sz w:val="24"/>
              </w:rPr>
              <w:t>Respondent</w:t>
            </w:r>
          </w:p>
          <w:p w:rsidRPr="00C64947" w:rsidR="0098164F" w:rsidP="0098164F" w:rsidRDefault="0098164F" w14:paraId="322C9F05" w14:textId="77777777">
            <w:pPr>
              <w:widowControl/>
              <w:rPr>
                <w:b/>
                <w:bCs/>
                <w:sz w:val="24"/>
              </w:rPr>
            </w:pPr>
          </w:p>
        </w:tc>
        <w:tc>
          <w:tcPr>
            <w:tcW w:w="1330" w:type="dxa"/>
            <w:shd w:val="clear" w:color="auto" w:fill="auto"/>
          </w:tcPr>
          <w:p w:rsidRPr="00C64947" w:rsidR="0098164F" w:rsidP="0098164F" w:rsidRDefault="0098164F" w14:paraId="74DD5C94" w14:textId="77777777">
            <w:pPr>
              <w:widowControl/>
              <w:rPr>
                <w:b/>
                <w:bCs/>
                <w:sz w:val="24"/>
              </w:rPr>
            </w:pPr>
            <w:r w:rsidRPr="00C64947">
              <w:rPr>
                <w:b/>
                <w:bCs/>
                <w:sz w:val="24"/>
              </w:rPr>
              <w:t>Total Burden</w:t>
            </w:r>
          </w:p>
          <w:p w:rsidRPr="00C64947" w:rsidR="0098164F" w:rsidP="0098164F" w:rsidRDefault="0098164F" w14:paraId="6B358AD5" w14:textId="77777777">
            <w:pPr>
              <w:widowControl/>
              <w:rPr>
                <w:sz w:val="24"/>
              </w:rPr>
            </w:pPr>
            <w:r w:rsidRPr="00C64947">
              <w:rPr>
                <w:b/>
                <w:bCs/>
                <w:sz w:val="24"/>
              </w:rPr>
              <w:t>Hours</w:t>
            </w:r>
          </w:p>
          <w:p w:rsidRPr="00C64947" w:rsidR="0098164F" w:rsidP="0098164F" w:rsidRDefault="0098164F" w14:paraId="001BEAF8" w14:textId="77777777">
            <w:pPr>
              <w:widowControl/>
              <w:rPr>
                <w:b/>
                <w:bCs/>
                <w:sz w:val="24"/>
              </w:rPr>
            </w:pPr>
          </w:p>
        </w:tc>
        <w:tc>
          <w:tcPr>
            <w:tcW w:w="1429" w:type="dxa"/>
            <w:shd w:val="clear" w:color="auto" w:fill="auto"/>
          </w:tcPr>
          <w:p w:rsidRPr="00C64947" w:rsidR="0098164F" w:rsidP="0098164F" w:rsidRDefault="0098164F" w14:paraId="4A11DAA0" w14:textId="77777777">
            <w:pPr>
              <w:widowControl/>
              <w:rPr>
                <w:b/>
                <w:bCs/>
                <w:sz w:val="24"/>
              </w:rPr>
            </w:pPr>
            <w:r w:rsidRPr="00C64947">
              <w:rPr>
                <w:b/>
                <w:bCs/>
                <w:sz w:val="24"/>
              </w:rPr>
              <w:t>Hourly</w:t>
            </w:r>
          </w:p>
          <w:p w:rsidRPr="00C64947" w:rsidR="0098164F" w:rsidP="0098164F" w:rsidRDefault="0098164F" w14:paraId="29FCFE40" w14:textId="77777777">
            <w:pPr>
              <w:widowControl/>
              <w:rPr>
                <w:sz w:val="24"/>
              </w:rPr>
            </w:pPr>
            <w:r w:rsidRPr="00C64947">
              <w:rPr>
                <w:b/>
                <w:bCs/>
                <w:sz w:val="24"/>
              </w:rPr>
              <w:t>Wage Rate</w:t>
            </w:r>
          </w:p>
          <w:p w:rsidRPr="00C64947" w:rsidR="0098164F" w:rsidP="0098164F" w:rsidRDefault="0098164F" w14:paraId="69B2A21B" w14:textId="77777777">
            <w:pPr>
              <w:widowControl/>
              <w:rPr>
                <w:b/>
                <w:bCs/>
                <w:sz w:val="24"/>
              </w:rPr>
            </w:pPr>
          </w:p>
        </w:tc>
        <w:tc>
          <w:tcPr>
            <w:tcW w:w="1776" w:type="dxa"/>
            <w:shd w:val="clear" w:color="auto" w:fill="auto"/>
          </w:tcPr>
          <w:p w:rsidRPr="00C64947" w:rsidR="0098164F" w:rsidP="0098164F" w:rsidRDefault="0098164F" w14:paraId="0501E33E" w14:textId="77777777">
            <w:pPr>
              <w:widowControl/>
              <w:rPr>
                <w:sz w:val="24"/>
              </w:rPr>
            </w:pPr>
            <w:r w:rsidRPr="00C64947">
              <w:rPr>
                <w:b/>
                <w:bCs/>
                <w:sz w:val="24"/>
              </w:rPr>
              <w:t>Total Respondent Costs</w:t>
            </w:r>
          </w:p>
          <w:p w:rsidRPr="00C64947" w:rsidR="0098164F" w:rsidP="0098164F" w:rsidRDefault="0098164F" w14:paraId="3477778C" w14:textId="77777777">
            <w:pPr>
              <w:widowControl/>
              <w:rPr>
                <w:b/>
                <w:bCs/>
                <w:sz w:val="24"/>
              </w:rPr>
            </w:pPr>
          </w:p>
        </w:tc>
      </w:tr>
      <w:tr w:rsidRPr="00C64947" w:rsidR="009706F5" w:rsidTr="006C5974" w14:paraId="7C4EFA7E" w14:textId="77777777">
        <w:tc>
          <w:tcPr>
            <w:tcW w:w="1430" w:type="dxa"/>
            <w:shd w:val="clear" w:color="auto" w:fill="auto"/>
          </w:tcPr>
          <w:p w:rsidRPr="00C64947" w:rsidR="0098164F" w:rsidRDefault="009706F5" w14:paraId="295A7A28" w14:textId="77777777">
            <w:pPr>
              <w:rPr>
                <w:sz w:val="24"/>
              </w:rPr>
            </w:pPr>
            <w:r>
              <w:rPr>
                <w:sz w:val="24"/>
              </w:rPr>
              <w:t xml:space="preserve">Hospital Staff – </w:t>
            </w:r>
            <w:r>
              <w:rPr>
                <w:sz w:val="24"/>
              </w:rPr>
              <w:lastRenderedPageBreak/>
              <w:t xml:space="preserve">Registered </w:t>
            </w:r>
            <w:r w:rsidRPr="00C64947" w:rsidR="0098164F">
              <w:rPr>
                <w:sz w:val="24"/>
              </w:rPr>
              <w:t>Nurses</w:t>
            </w:r>
          </w:p>
        </w:tc>
        <w:tc>
          <w:tcPr>
            <w:tcW w:w="1330" w:type="dxa"/>
            <w:shd w:val="clear" w:color="auto" w:fill="auto"/>
          </w:tcPr>
          <w:p w:rsidRPr="00C64947" w:rsidR="0098164F" w:rsidP="00BC118D" w:rsidRDefault="00BC118D" w14:paraId="0F0D2B7F" w14:textId="77777777">
            <w:pPr>
              <w:widowControl/>
              <w:rPr>
                <w:sz w:val="24"/>
              </w:rPr>
            </w:pPr>
            <w:r w:rsidRPr="00C64947">
              <w:rPr>
                <w:sz w:val="24"/>
              </w:rPr>
              <w:lastRenderedPageBreak/>
              <w:t>3,011,250</w:t>
            </w:r>
          </w:p>
        </w:tc>
        <w:tc>
          <w:tcPr>
            <w:tcW w:w="1429" w:type="dxa"/>
            <w:shd w:val="clear" w:color="auto" w:fill="auto"/>
          </w:tcPr>
          <w:p w:rsidRPr="00C64947" w:rsidR="0098164F" w:rsidP="0098164F" w:rsidRDefault="0098164F" w14:paraId="074A6E3F" w14:textId="4B13A296">
            <w:pPr>
              <w:jc w:val="right"/>
              <w:rPr>
                <w:sz w:val="24"/>
              </w:rPr>
            </w:pPr>
            <w:r w:rsidRPr="00C64947">
              <w:rPr>
                <w:sz w:val="24"/>
              </w:rPr>
              <w:t xml:space="preserve"> $</w:t>
            </w:r>
            <w:r w:rsidR="00101148">
              <w:rPr>
                <w:sz w:val="24"/>
              </w:rPr>
              <w:t>70</w:t>
            </w:r>
            <w:r w:rsidRPr="00C64947">
              <w:rPr>
                <w:sz w:val="24"/>
              </w:rPr>
              <w:t>.</w:t>
            </w:r>
            <w:r w:rsidR="00101148">
              <w:rPr>
                <w:sz w:val="24"/>
              </w:rPr>
              <w:t>48</w:t>
            </w:r>
            <w:r w:rsidRPr="00C64947">
              <w:rPr>
                <w:sz w:val="24"/>
              </w:rPr>
              <w:t xml:space="preserve"> </w:t>
            </w:r>
          </w:p>
        </w:tc>
        <w:tc>
          <w:tcPr>
            <w:tcW w:w="1776" w:type="dxa"/>
            <w:shd w:val="clear" w:color="auto" w:fill="auto"/>
          </w:tcPr>
          <w:p w:rsidRPr="00C64947" w:rsidR="0098164F" w:rsidP="0098164F" w:rsidRDefault="0098164F" w14:paraId="4D7428D3" w14:textId="4B51215E">
            <w:pPr>
              <w:jc w:val="right"/>
              <w:rPr>
                <w:sz w:val="24"/>
              </w:rPr>
            </w:pPr>
            <w:r w:rsidRPr="00C64947">
              <w:rPr>
                <w:sz w:val="24"/>
              </w:rPr>
              <w:t xml:space="preserve"> $</w:t>
            </w:r>
            <w:r w:rsidR="00101148">
              <w:rPr>
                <w:sz w:val="24"/>
              </w:rPr>
              <w:t>212,232,900</w:t>
            </w:r>
          </w:p>
        </w:tc>
      </w:tr>
      <w:tr w:rsidRPr="00C64947" w:rsidR="009706F5" w:rsidTr="006C5974" w14:paraId="1F6A1370" w14:textId="77777777">
        <w:trPr>
          <w:trHeight w:val="440"/>
        </w:trPr>
        <w:tc>
          <w:tcPr>
            <w:tcW w:w="1430" w:type="dxa"/>
            <w:shd w:val="clear" w:color="auto" w:fill="auto"/>
          </w:tcPr>
          <w:p w:rsidRPr="00C64947" w:rsidR="0098164F" w:rsidP="0098164F" w:rsidRDefault="0098164F" w14:paraId="7CECBDCA" w14:textId="77777777">
            <w:pPr>
              <w:widowControl/>
              <w:rPr>
                <w:sz w:val="24"/>
              </w:rPr>
            </w:pPr>
            <w:r w:rsidRPr="00C64947">
              <w:rPr>
                <w:sz w:val="24"/>
              </w:rPr>
              <w:t>Total</w:t>
            </w:r>
          </w:p>
        </w:tc>
        <w:tc>
          <w:tcPr>
            <w:tcW w:w="1330" w:type="dxa"/>
            <w:shd w:val="clear" w:color="auto" w:fill="auto"/>
          </w:tcPr>
          <w:p w:rsidRPr="00C64947" w:rsidR="0098164F" w:rsidP="0098164F" w:rsidRDefault="0098164F" w14:paraId="2139DEB4" w14:textId="77777777">
            <w:pPr>
              <w:widowControl/>
              <w:rPr>
                <w:sz w:val="24"/>
              </w:rPr>
            </w:pPr>
          </w:p>
        </w:tc>
        <w:tc>
          <w:tcPr>
            <w:tcW w:w="1429" w:type="dxa"/>
            <w:shd w:val="clear" w:color="auto" w:fill="auto"/>
          </w:tcPr>
          <w:p w:rsidRPr="00C64947" w:rsidR="0098164F" w:rsidP="0098164F" w:rsidRDefault="0098164F" w14:paraId="44215DA8" w14:textId="77777777">
            <w:pPr>
              <w:widowControl/>
              <w:jc w:val="right"/>
              <w:rPr>
                <w:sz w:val="24"/>
              </w:rPr>
            </w:pPr>
          </w:p>
        </w:tc>
        <w:tc>
          <w:tcPr>
            <w:tcW w:w="1776" w:type="dxa"/>
            <w:shd w:val="clear" w:color="auto" w:fill="auto"/>
          </w:tcPr>
          <w:p w:rsidRPr="00C64947" w:rsidR="0098164F" w:rsidP="0098164F" w:rsidRDefault="00101148" w14:paraId="4F12CDB2" w14:textId="0279FAEE">
            <w:pPr>
              <w:widowControl/>
              <w:jc w:val="right"/>
              <w:rPr>
                <w:sz w:val="24"/>
              </w:rPr>
            </w:pPr>
            <w:r w:rsidRPr="00C64947">
              <w:rPr>
                <w:sz w:val="24"/>
              </w:rPr>
              <w:t>$</w:t>
            </w:r>
            <w:r>
              <w:rPr>
                <w:sz w:val="24"/>
              </w:rPr>
              <w:t>212,232,900</w:t>
            </w:r>
          </w:p>
        </w:tc>
      </w:tr>
    </w:tbl>
    <w:p w:rsidRPr="00C64947" w:rsidR="0098164F" w:rsidRDefault="0098164F" w14:paraId="43786722" w14:textId="77777777">
      <w:pPr>
        <w:pStyle w:val="BodyTextIndent"/>
        <w:ind w:left="1080"/>
        <w:rPr>
          <w:rFonts w:ascii="Times New Roman" w:hAnsi="Times New Roman"/>
        </w:rPr>
      </w:pPr>
    </w:p>
    <w:p w:rsidRPr="00C64947" w:rsidR="00BC118D" w:rsidRDefault="00BC118D" w14:paraId="7D196D12" w14:textId="77777777">
      <w:pPr>
        <w:pStyle w:val="BodyTextIndent"/>
        <w:ind w:left="1080"/>
        <w:rPr>
          <w:rFonts w:ascii="Times New Roman" w:hAnsi="Times New Roman"/>
        </w:rPr>
      </w:pPr>
      <w:r w:rsidRPr="00C64947">
        <w:rPr>
          <w:rFonts w:ascii="Times New Roman" w:hAnsi="Times New Roman"/>
          <w:b/>
          <w:bCs/>
        </w:rPr>
        <w:t>Hourly Wage Rate Determination Source:</w:t>
      </w:r>
      <w:r w:rsidRPr="00C64947">
        <w:rPr>
          <w:rFonts w:ascii="Times New Roman" w:hAnsi="Times New Roman"/>
        </w:rPr>
        <w:t xml:space="preserve"> https://www.bls.gov/ooh/healthcare/registered-nurses.htm</w:t>
      </w:r>
    </w:p>
    <w:p w:rsidRPr="00C64947" w:rsidR="0098164F" w:rsidRDefault="0098164F" w14:paraId="537A570E" w14:textId="77777777">
      <w:pPr>
        <w:ind w:left="360"/>
        <w:rPr>
          <w:sz w:val="24"/>
        </w:rPr>
      </w:pPr>
    </w:p>
    <w:p w:rsidRPr="006C5974" w:rsidR="0098164F" w:rsidP="006C5974" w:rsidRDefault="0098164F" w14:paraId="176A9652" w14:textId="77777777">
      <w:pPr>
        <w:pStyle w:val="ListParagraph"/>
        <w:numPr>
          <w:ilvl w:val="0"/>
          <w:numId w:val="47"/>
        </w:numPr>
        <w:rPr>
          <w:b/>
          <w:sz w:val="24"/>
        </w:rPr>
      </w:pPr>
      <w:r w:rsidRPr="006C5974">
        <w:rPr>
          <w:b/>
          <w:sz w:val="24"/>
          <w:u w:val="single"/>
        </w:rPr>
        <w:t xml:space="preserve">Estimates of other Total Annual Cost Burden to Respondents or </w:t>
      </w:r>
      <w:proofErr w:type="spellStart"/>
      <w:r w:rsidRPr="006C5974">
        <w:rPr>
          <w:b/>
          <w:sz w:val="24"/>
          <w:u w:val="single"/>
        </w:rPr>
        <w:t>Recordkeepers</w:t>
      </w:r>
      <w:proofErr w:type="spellEnd"/>
      <w:r w:rsidRPr="006C5974">
        <w:rPr>
          <w:b/>
          <w:sz w:val="24"/>
          <w:u w:val="single"/>
        </w:rPr>
        <w:t>/Capital Costs</w:t>
      </w:r>
    </w:p>
    <w:p w:rsidRPr="00C64947" w:rsidR="0098164F" w:rsidRDefault="0098164F" w14:paraId="6F158048" w14:textId="77777777">
      <w:pPr>
        <w:ind w:left="720"/>
        <w:rPr>
          <w:b/>
          <w:sz w:val="24"/>
        </w:rPr>
      </w:pPr>
    </w:p>
    <w:p w:rsidR="009706F5" w:rsidP="00387CC6" w:rsidRDefault="009706F5" w14:paraId="26E748B6" w14:textId="0A586271">
      <w:pPr>
        <w:pStyle w:val="BodyTextIndent"/>
        <w:rPr>
          <w:rFonts w:ascii="Times New Roman" w:hAnsi="Times New Roman"/>
        </w:rPr>
      </w:pPr>
      <w:r>
        <w:rPr>
          <w:rFonts w:ascii="Times New Roman" w:hAnsi="Times New Roman"/>
        </w:rPr>
        <w:t xml:space="preserve">There are no start-up costs, beyond customary and usual business </w:t>
      </w:r>
      <w:r w:rsidR="00D0498F">
        <w:rPr>
          <w:rFonts w:ascii="Times New Roman" w:hAnsi="Times New Roman"/>
        </w:rPr>
        <w:t xml:space="preserve">practices </w:t>
      </w:r>
      <w:r>
        <w:rPr>
          <w:rFonts w:ascii="Times New Roman" w:hAnsi="Times New Roman"/>
        </w:rPr>
        <w:t>that a hospital incurs to maintain</w:t>
      </w:r>
      <w:r w:rsidR="007A66D7">
        <w:rPr>
          <w:rFonts w:ascii="Times New Roman" w:hAnsi="Times New Roman"/>
        </w:rPr>
        <w:t xml:space="preserve"> inventories of beds, maintain inventories of supplies, and manage basic metrics associated with hospital utilization.</w:t>
      </w:r>
      <w:r w:rsidR="00D0498F">
        <w:rPr>
          <w:rFonts w:ascii="Times New Roman" w:hAnsi="Times New Roman"/>
        </w:rPr>
        <w:t xml:space="preserve"> Hospitals may choose, at their discretion, to provide this information collection through automated means (direct FTPS, etc.). In this case, there are various configuration costs that may be incurred to </w:t>
      </w:r>
      <w:r w:rsidR="00387CC6">
        <w:rPr>
          <w:rFonts w:ascii="Times New Roman" w:hAnsi="Times New Roman"/>
        </w:rPr>
        <w:t>automate</w:t>
      </w:r>
      <w:r w:rsidR="00D0498F">
        <w:rPr>
          <w:rFonts w:ascii="Times New Roman" w:hAnsi="Times New Roman"/>
        </w:rPr>
        <w:t xml:space="preserve"> the response to this collection.</w:t>
      </w:r>
      <w:r w:rsidR="00042977">
        <w:rPr>
          <w:rFonts w:ascii="Times New Roman" w:hAnsi="Times New Roman"/>
        </w:rPr>
        <w:t xml:space="preserve"> For example, a hospital could create reports in their business intelligence systems to support ease of information collection. Due to the variability of complex, multi-hospital systems vs. small acute care facilities</w:t>
      </w:r>
      <w:r w:rsidR="002D2625">
        <w:rPr>
          <w:rFonts w:ascii="Times New Roman" w:hAnsi="Times New Roman"/>
        </w:rPr>
        <w:t xml:space="preserve"> (who may be manually counting)</w:t>
      </w:r>
      <w:r w:rsidR="00042977">
        <w:rPr>
          <w:rFonts w:ascii="Times New Roman" w:hAnsi="Times New Roman"/>
        </w:rPr>
        <w:t>, the scenarios for collection are complex and variable.</w:t>
      </w:r>
    </w:p>
    <w:p w:rsidR="0098164F" w:rsidRDefault="0098164F" w14:paraId="11DD4004" w14:textId="77777777">
      <w:pPr>
        <w:ind w:left="360"/>
        <w:rPr>
          <w:sz w:val="24"/>
        </w:rPr>
      </w:pPr>
    </w:p>
    <w:p w:rsidRPr="006C5974" w:rsidR="0098164F" w:rsidP="006C5974" w:rsidRDefault="0098164F" w14:paraId="6FEDA162" w14:textId="77777777">
      <w:pPr>
        <w:pStyle w:val="ListParagraph"/>
        <w:numPr>
          <w:ilvl w:val="0"/>
          <w:numId w:val="47"/>
        </w:numPr>
        <w:rPr>
          <w:b/>
          <w:sz w:val="24"/>
        </w:rPr>
      </w:pPr>
      <w:r w:rsidRPr="006C5974">
        <w:rPr>
          <w:b/>
          <w:sz w:val="24"/>
          <w:u w:val="single"/>
        </w:rPr>
        <w:t>Annualized Cost to Federal Government</w:t>
      </w:r>
    </w:p>
    <w:p w:rsidR="0098164F" w:rsidRDefault="0098164F" w14:paraId="0A5514D5" w14:textId="77777777">
      <w:pPr>
        <w:ind w:left="720"/>
        <w:rPr>
          <w:sz w:val="24"/>
        </w:rPr>
      </w:pPr>
    </w:p>
    <w:p w:rsidRPr="009706F5" w:rsidR="00CD2BD0" w:rsidP="006C5974" w:rsidRDefault="00CD2BD0" w14:paraId="7D0CD5F7" w14:textId="77777777">
      <w:pPr>
        <w:pStyle w:val="BodyTextIndent"/>
        <w:rPr>
          <w:rFonts w:ascii="Times New Roman" w:hAnsi="Times New Roman"/>
        </w:rPr>
      </w:pPr>
      <w:r w:rsidRPr="009706F5">
        <w:rPr>
          <w:rFonts w:ascii="Times New Roman" w:hAnsi="Times New Roman"/>
        </w:rPr>
        <w:t>Estimated Annualized Cost: $</w:t>
      </w:r>
      <w:r w:rsidRPr="009706F5" w:rsidR="000E4A6C">
        <w:rPr>
          <w:rFonts w:ascii="Times New Roman" w:hAnsi="Times New Roman"/>
        </w:rPr>
        <w:t>40</w:t>
      </w:r>
      <w:r w:rsidRPr="009706F5">
        <w:rPr>
          <w:rFonts w:ascii="Times New Roman" w:hAnsi="Times New Roman"/>
        </w:rPr>
        <w:t>.</w:t>
      </w:r>
      <w:r w:rsidRPr="009706F5" w:rsidR="000E4A6C">
        <w:rPr>
          <w:rFonts w:ascii="Times New Roman" w:hAnsi="Times New Roman"/>
        </w:rPr>
        <w:t>3</w:t>
      </w:r>
      <w:r w:rsidRPr="009706F5">
        <w:rPr>
          <w:rFonts w:ascii="Times New Roman" w:hAnsi="Times New Roman"/>
        </w:rPr>
        <w:t xml:space="preserve"> million</w:t>
      </w:r>
    </w:p>
    <w:p w:rsidRPr="009706F5" w:rsidR="00CD2BD0" w:rsidP="00CD2BD0" w:rsidRDefault="00CD2BD0" w14:paraId="70795379" w14:textId="77777777">
      <w:pPr>
        <w:pStyle w:val="BodyTextIndent"/>
        <w:numPr>
          <w:ilvl w:val="1"/>
          <w:numId w:val="41"/>
        </w:numPr>
        <w:rPr>
          <w:rFonts w:ascii="Times New Roman" w:hAnsi="Times New Roman"/>
        </w:rPr>
      </w:pPr>
      <w:r w:rsidRPr="009706F5">
        <w:rPr>
          <w:rFonts w:ascii="Times New Roman" w:hAnsi="Times New Roman"/>
        </w:rPr>
        <w:t>HHS Protect – 25% of Total System Cost</w:t>
      </w:r>
    </w:p>
    <w:p w:rsidRPr="009706F5" w:rsidR="00CD2BD0" w:rsidP="00CD2BD0" w:rsidRDefault="00CD2BD0" w14:paraId="798434C7" w14:textId="77777777">
      <w:pPr>
        <w:pStyle w:val="BodyTextIndent"/>
        <w:numPr>
          <w:ilvl w:val="1"/>
          <w:numId w:val="41"/>
        </w:numPr>
        <w:rPr>
          <w:rFonts w:ascii="Times New Roman" w:hAnsi="Times New Roman"/>
        </w:rPr>
      </w:pPr>
      <w:r w:rsidRPr="009706F5">
        <w:rPr>
          <w:rFonts w:ascii="Times New Roman" w:hAnsi="Times New Roman"/>
        </w:rPr>
        <w:t xml:space="preserve">HHS </w:t>
      </w:r>
      <w:proofErr w:type="spellStart"/>
      <w:r w:rsidRPr="009706F5">
        <w:rPr>
          <w:rFonts w:ascii="Times New Roman" w:hAnsi="Times New Roman"/>
        </w:rPr>
        <w:t>Teletracking</w:t>
      </w:r>
      <w:proofErr w:type="spellEnd"/>
      <w:r w:rsidRPr="009706F5">
        <w:rPr>
          <w:rFonts w:ascii="Times New Roman" w:hAnsi="Times New Roman"/>
        </w:rPr>
        <w:t xml:space="preserve"> – 100% of Total System Cost</w:t>
      </w:r>
    </w:p>
    <w:p w:rsidRPr="009706F5" w:rsidR="000E4A6C" w:rsidP="00CD2BD0" w:rsidRDefault="000E4A6C" w14:paraId="5FE99ED1" w14:textId="77777777">
      <w:pPr>
        <w:pStyle w:val="BodyTextIndent"/>
        <w:numPr>
          <w:ilvl w:val="1"/>
          <w:numId w:val="41"/>
        </w:numPr>
        <w:rPr>
          <w:rFonts w:ascii="Times New Roman" w:hAnsi="Times New Roman"/>
        </w:rPr>
      </w:pPr>
      <w:r w:rsidRPr="009706F5">
        <w:rPr>
          <w:rFonts w:ascii="Times New Roman" w:hAnsi="Times New Roman"/>
        </w:rPr>
        <w:t>Government Personnel Costs (50 state liaisons, 5 HHS Protect/CDC personnel) - $253k fully burdened pay</w:t>
      </w:r>
    </w:p>
    <w:p w:rsidR="00CD2BD0" w:rsidP="00CD2BD0" w:rsidRDefault="00CD2BD0" w14:paraId="207EA0C1" w14:textId="77777777">
      <w:pPr>
        <w:pStyle w:val="BodyTextIndent"/>
        <w:ind w:left="1800"/>
        <w:rPr>
          <w:rFonts w:ascii="Times New Roman" w:hAnsi="Times New Roman"/>
          <w:highlight w:val="yellow"/>
        </w:rPr>
      </w:pPr>
    </w:p>
    <w:p w:rsidR="0098164F" w:rsidP="006C5974" w:rsidRDefault="0098164F" w14:paraId="34E9C403" w14:textId="77777777">
      <w:pPr>
        <w:numPr>
          <w:ilvl w:val="0"/>
          <w:numId w:val="47"/>
        </w:numPr>
        <w:rPr>
          <w:b/>
          <w:sz w:val="24"/>
        </w:rPr>
      </w:pPr>
      <w:r>
        <w:rPr>
          <w:b/>
          <w:sz w:val="24"/>
          <w:u w:val="single"/>
        </w:rPr>
        <w:t>Explanation for Program Changes or Adjustments</w:t>
      </w:r>
    </w:p>
    <w:p w:rsidR="0098164F" w:rsidRDefault="0098164F" w14:paraId="07116DE7" w14:textId="77777777">
      <w:pPr>
        <w:ind w:left="720"/>
        <w:rPr>
          <w:b/>
          <w:sz w:val="24"/>
        </w:rPr>
      </w:pPr>
    </w:p>
    <w:p w:rsidRPr="009706F5" w:rsidR="0098164F" w:rsidP="006C5974" w:rsidRDefault="009706F5" w14:paraId="42B1DCFB" w14:textId="1C9C1F88">
      <w:pPr>
        <w:pStyle w:val="BodyTextIndent"/>
        <w:rPr>
          <w:rFonts w:ascii="Times New Roman" w:hAnsi="Times New Roman"/>
        </w:rPr>
      </w:pPr>
      <w:r>
        <w:rPr>
          <w:rFonts w:ascii="Times New Roman" w:hAnsi="Times New Roman"/>
        </w:rPr>
        <w:t>This is a data collection in response to a public health emergency, and its associated impact over the past several months.</w:t>
      </w:r>
      <w:r w:rsidRPr="00DD2FA5" w:rsidR="00DD2FA5">
        <w:rPr>
          <w:u w:val="single"/>
        </w:rPr>
        <w:t xml:space="preserve"> </w:t>
      </w:r>
      <w:r w:rsidR="00DD2FA5">
        <w:rPr>
          <w:u w:val="single"/>
        </w:rPr>
        <w:t>This ICR is being submitted as “in use without an OMB approval.”</w:t>
      </w:r>
    </w:p>
    <w:p w:rsidR="0098164F" w:rsidRDefault="0098164F" w14:paraId="3C776D83" w14:textId="77777777">
      <w:pPr>
        <w:ind w:left="360" w:firstLine="720"/>
        <w:rPr>
          <w:sz w:val="24"/>
        </w:rPr>
      </w:pPr>
    </w:p>
    <w:p w:rsidR="0098164F" w:rsidP="006C5974" w:rsidRDefault="0098164F" w14:paraId="4CB11CBF" w14:textId="77777777">
      <w:pPr>
        <w:numPr>
          <w:ilvl w:val="0"/>
          <w:numId w:val="47"/>
        </w:numPr>
        <w:rPr>
          <w:b/>
          <w:sz w:val="24"/>
        </w:rPr>
      </w:pPr>
      <w:r>
        <w:rPr>
          <w:b/>
          <w:sz w:val="24"/>
          <w:u w:val="single"/>
        </w:rPr>
        <w:t>Plans for Tabulation and Publication and Project Time Schedule</w:t>
      </w:r>
    </w:p>
    <w:p w:rsidR="0098164F" w:rsidRDefault="0098164F" w14:paraId="41A8A347" w14:textId="77777777">
      <w:pPr>
        <w:ind w:left="720"/>
        <w:rPr>
          <w:b/>
          <w:sz w:val="24"/>
        </w:rPr>
      </w:pPr>
    </w:p>
    <w:p w:rsidR="009706F5" w:rsidP="006C5974" w:rsidRDefault="003678F3" w14:paraId="7D8CB71A" w14:textId="2BFA9D7E">
      <w:pPr>
        <w:ind w:firstLine="630"/>
        <w:rPr>
          <w:sz w:val="24"/>
        </w:rPr>
      </w:pPr>
      <w:r>
        <w:rPr>
          <w:sz w:val="24"/>
        </w:rPr>
        <w:t>In use without an existing OMB control number</w:t>
      </w:r>
      <w:r w:rsidR="009706F5">
        <w:rPr>
          <w:sz w:val="24"/>
        </w:rPr>
        <w:t>.</w:t>
      </w:r>
    </w:p>
    <w:p w:rsidR="0098164F" w:rsidRDefault="0098164F" w14:paraId="1A595842" w14:textId="77777777">
      <w:pPr>
        <w:ind w:left="1080"/>
        <w:rPr>
          <w:sz w:val="24"/>
        </w:rPr>
      </w:pPr>
    </w:p>
    <w:p w:rsidRPr="006C5974" w:rsidR="0098164F" w:rsidP="006C5974" w:rsidRDefault="0098164F" w14:paraId="709BA089" w14:textId="77777777">
      <w:pPr>
        <w:numPr>
          <w:ilvl w:val="0"/>
          <w:numId w:val="47"/>
        </w:numPr>
        <w:rPr>
          <w:b/>
          <w:sz w:val="24"/>
        </w:rPr>
      </w:pPr>
      <w:r>
        <w:rPr>
          <w:b/>
          <w:sz w:val="24"/>
          <w:u w:val="single"/>
        </w:rPr>
        <w:t>Reason(s) Display of OMB Expiration Date is Inappropriate</w:t>
      </w:r>
    </w:p>
    <w:p w:rsidR="006C5974" w:rsidP="006C5974" w:rsidRDefault="006C5974" w14:paraId="1D6A8954" w14:textId="77777777">
      <w:pPr>
        <w:ind w:left="630"/>
        <w:rPr>
          <w:b/>
          <w:sz w:val="24"/>
        </w:rPr>
      </w:pPr>
    </w:p>
    <w:p w:rsidR="0098164F" w:rsidP="00387CC6" w:rsidRDefault="00E7054A" w14:paraId="1B23222D" w14:textId="4878B63A">
      <w:pPr>
        <w:pStyle w:val="BodyTextIndent"/>
        <w:rPr>
          <w:rFonts w:ascii="Times New Roman" w:hAnsi="Times New Roman"/>
        </w:rPr>
      </w:pPr>
      <w:r>
        <w:rPr>
          <w:rFonts w:ascii="Times New Roman" w:hAnsi="Times New Roman"/>
        </w:rPr>
        <w:t>Display of the OMB control number and expiration date are appropriate</w:t>
      </w:r>
      <w:r w:rsidR="0098164F">
        <w:rPr>
          <w:rFonts w:ascii="Times New Roman" w:hAnsi="Times New Roman"/>
        </w:rPr>
        <w:t xml:space="preserve">.  </w:t>
      </w:r>
    </w:p>
    <w:p w:rsidR="0098164F" w:rsidRDefault="0098164F" w14:paraId="2DE2D6D7" w14:textId="77777777">
      <w:pPr>
        <w:ind w:left="360"/>
        <w:rPr>
          <w:sz w:val="24"/>
        </w:rPr>
      </w:pPr>
    </w:p>
    <w:p w:rsidRPr="00387CC6" w:rsidR="0098164F" w:rsidP="006C5974" w:rsidRDefault="0098164F" w14:paraId="7258BC4F" w14:textId="77777777">
      <w:pPr>
        <w:numPr>
          <w:ilvl w:val="0"/>
          <w:numId w:val="47"/>
        </w:numPr>
        <w:rPr>
          <w:b/>
          <w:sz w:val="24"/>
        </w:rPr>
      </w:pPr>
      <w:r>
        <w:rPr>
          <w:b/>
          <w:sz w:val="24"/>
          <w:u w:val="single"/>
        </w:rPr>
        <w:lastRenderedPageBreak/>
        <w:t>Exceptions to Certification for Paperwork Reduction Act Submissions</w:t>
      </w:r>
    </w:p>
    <w:p w:rsidR="00387CC6" w:rsidP="00387CC6" w:rsidRDefault="00387CC6" w14:paraId="513D2A78" w14:textId="77777777">
      <w:pPr>
        <w:ind w:left="630"/>
        <w:rPr>
          <w:b/>
          <w:sz w:val="24"/>
        </w:rPr>
      </w:pPr>
    </w:p>
    <w:p w:rsidR="0098164F" w:rsidP="00387CC6" w:rsidRDefault="0098164F" w14:paraId="32931C87" w14:textId="73226A22">
      <w:pPr>
        <w:pStyle w:val="BodyTextIndent"/>
        <w:rPr>
          <w:rFonts w:ascii="Times New Roman" w:hAnsi="Times New Roman"/>
        </w:rPr>
      </w:pPr>
      <w:r>
        <w:rPr>
          <w:rFonts w:ascii="Times New Roman" w:hAnsi="Times New Roman"/>
        </w:rPr>
        <w:t>There are no exceptions to the certification.</w:t>
      </w:r>
    </w:p>
    <w:p w:rsidR="0098164F" w:rsidRDefault="0098164F" w14:paraId="50BA4634" w14:textId="77777777">
      <w:pPr>
        <w:pStyle w:val="BodyTextIndent"/>
        <w:ind w:left="1080"/>
        <w:rPr>
          <w:rFonts w:ascii="Times New Roman" w:hAnsi="Times New Roman"/>
        </w:rPr>
      </w:pPr>
    </w:p>
    <w:p w:rsidR="0098164F" w:rsidRDefault="0098164F" w14:paraId="15240698" w14:textId="77777777">
      <w:pPr>
        <w:rPr>
          <w:sz w:val="24"/>
        </w:rPr>
      </w:pPr>
    </w:p>
    <w:sectPr w:rsidR="0098164F">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1440" w:left="1440" w:header="1440" w:footer="144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C1E8C8" w16cid:durableId="2305175D"/>
  <w16cid:commentId w16cid:paraId="0FA22BA8" w16cid:durableId="23052337"/>
  <w16cid:commentId w16cid:paraId="380C1CF8" w16cid:durableId="2305175E"/>
  <w16cid:commentId w16cid:paraId="43C0278A" w16cid:durableId="2305175F"/>
  <w16cid:commentId w16cid:paraId="26318666" w16cid:durableId="230521C0"/>
  <w16cid:commentId w16cid:paraId="3DB9C3FB" w16cid:durableId="23051760"/>
  <w16cid:commentId w16cid:paraId="496F4873" w16cid:durableId="230521D7"/>
  <w16cid:commentId w16cid:paraId="1AA04EC6" w16cid:durableId="23051761"/>
  <w16cid:commentId w16cid:paraId="12FACC90" w16cid:durableId="23051762"/>
  <w16cid:commentId w16cid:paraId="3A86607E" w16cid:durableId="23051763"/>
  <w16cid:commentId w16cid:paraId="503093BF" w16cid:durableId="23051764"/>
  <w16cid:commentId w16cid:paraId="72A0D549" w16cid:durableId="23051765"/>
  <w16cid:commentId w16cid:paraId="1044F721" w16cid:durableId="23052014"/>
  <w16cid:commentId w16cid:paraId="1F2335A0" w16cid:durableId="23051766"/>
  <w16cid:commentId w16cid:paraId="24CD0861" w16cid:durableId="23051767"/>
  <w16cid:commentId w16cid:paraId="7060B7DC" w16cid:durableId="23051C89"/>
  <w16cid:commentId w16cid:paraId="68C72F20" w16cid:durableId="23051768"/>
  <w16cid:commentId w16cid:paraId="4CC07106" w16cid:durableId="230518A1"/>
  <w16cid:commentId w16cid:paraId="3C67E02D" w16cid:durableId="23051769"/>
  <w16cid:commentId w16cid:paraId="39C80DAB" w16cid:durableId="2305192B"/>
  <w16cid:commentId w16cid:paraId="780FFA5B" w16cid:durableId="2305176A"/>
  <w16cid:commentId w16cid:paraId="1804775D" w16cid:durableId="2305176B"/>
  <w16cid:commentId w16cid:paraId="52514551" w16cid:durableId="230519A5"/>
  <w16cid:commentId w16cid:paraId="7E63D976" w16cid:durableId="2305176C"/>
  <w16cid:commentId w16cid:paraId="249DF42E" w16cid:durableId="230519CB"/>
  <w16cid:commentId w16cid:paraId="579A8A4A" w16cid:durableId="2305176D"/>
  <w16cid:commentId w16cid:paraId="0408FF1E" w16cid:durableId="23051A0B"/>
  <w16cid:commentId w16cid:paraId="5EB80DA0" w16cid:durableId="2305176E"/>
  <w16cid:commentId w16cid:paraId="5BBD3342" w16cid:durableId="23051A26"/>
  <w16cid:commentId w16cid:paraId="55EF9DAC" w16cid:durableId="2305176F"/>
  <w16cid:commentId w16cid:paraId="7BC53482" w16cid:durableId="23051B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F3CB9" w14:textId="77777777" w:rsidR="00AA535C" w:rsidRDefault="00AA535C">
      <w:r>
        <w:separator/>
      </w:r>
    </w:p>
  </w:endnote>
  <w:endnote w:type="continuationSeparator" w:id="0">
    <w:p w14:paraId="7FEDC3B0" w14:textId="77777777" w:rsidR="00AA535C" w:rsidRDefault="00AA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3CAE7" w14:textId="77777777" w:rsidR="00B8169C" w:rsidRDefault="00B81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B8368" w14:textId="77777777" w:rsidR="00863546" w:rsidRDefault="00863546">
    <w:pPr>
      <w:spacing w:line="240" w:lineRule="exact"/>
    </w:pPr>
  </w:p>
  <w:p w14:paraId="0FCCFE02" w14:textId="12BC7F82" w:rsidR="00863546" w:rsidRDefault="00863546">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890C9F">
      <w:rPr>
        <w:noProof/>
        <w:sz w:val="24"/>
      </w:rPr>
      <w:t>6</w:t>
    </w:r>
    <w:r>
      <w:rPr>
        <w:sz w:val="24"/>
      </w:rPr>
      <w:fldChar w:fldCharType="end"/>
    </w:r>
  </w:p>
  <w:p w14:paraId="4639424E" w14:textId="77777777" w:rsidR="00863546" w:rsidRDefault="00863546">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AB9C6" w14:textId="77777777" w:rsidR="00B8169C" w:rsidRDefault="00B81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EE9D4" w14:textId="77777777" w:rsidR="00AA535C" w:rsidRDefault="00AA535C">
      <w:r>
        <w:separator/>
      </w:r>
    </w:p>
  </w:footnote>
  <w:footnote w:type="continuationSeparator" w:id="0">
    <w:p w14:paraId="369E2AEA" w14:textId="77777777" w:rsidR="00AA535C" w:rsidRDefault="00AA5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3E7A9" w14:textId="77777777" w:rsidR="00B8169C" w:rsidRDefault="00B81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656EB" w14:textId="77777777" w:rsidR="00B8169C" w:rsidRDefault="00B81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B709D" w14:textId="77777777" w:rsidR="00B8169C" w:rsidRDefault="00B81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AE5"/>
    <w:multiLevelType w:val="hybridMultilevel"/>
    <w:tmpl w:val="8A24F5AC"/>
    <w:lvl w:ilvl="0" w:tplc="CF2C495A">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AB04077"/>
    <w:multiLevelType w:val="hybridMultilevel"/>
    <w:tmpl w:val="A9A25376"/>
    <w:lvl w:ilvl="0" w:tplc="CF2C495A">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 w15:restartNumberingAfterBreak="0">
    <w:nsid w:val="0CC214B7"/>
    <w:multiLevelType w:val="hybridMultilevel"/>
    <w:tmpl w:val="4F803CE0"/>
    <w:lvl w:ilvl="0" w:tplc="250CC370">
      <w:start w:val="13"/>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1738727D"/>
    <w:multiLevelType w:val="hybridMultilevel"/>
    <w:tmpl w:val="34D06688"/>
    <w:lvl w:ilvl="0" w:tplc="4FA26760">
      <w:start w:val="13"/>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7"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9"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42E645B7"/>
    <w:multiLevelType w:val="hybridMultilevel"/>
    <w:tmpl w:val="6DCA79EE"/>
    <w:lvl w:ilvl="0" w:tplc="43D26216">
      <w:start w:val="1"/>
      <w:numFmt w:val="decimal"/>
      <w:lvlText w:val="%1."/>
      <w:lvlJc w:val="left"/>
      <w:pPr>
        <w:ind w:left="63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30"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5F70268D"/>
    <w:multiLevelType w:val="hybridMultilevel"/>
    <w:tmpl w:val="8B0CC9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649D1744"/>
    <w:multiLevelType w:val="hybridMultilevel"/>
    <w:tmpl w:val="973C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0" w15:restartNumberingAfterBreak="0">
    <w:nsid w:val="6B4E6ACD"/>
    <w:multiLevelType w:val="hybridMultilevel"/>
    <w:tmpl w:val="20A82764"/>
    <w:lvl w:ilvl="0" w:tplc="30B04422">
      <w:start w:val="13"/>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15:restartNumberingAfterBreak="0">
    <w:nsid w:val="6F0313A5"/>
    <w:multiLevelType w:val="hybridMultilevel"/>
    <w:tmpl w:val="531A5E7A"/>
    <w:lvl w:ilvl="0" w:tplc="82149A70">
      <w:start w:val="13"/>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7"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8" w15:restartNumberingAfterBreak="0">
    <w:nsid w:val="7E445B7D"/>
    <w:multiLevelType w:val="hybridMultilevel"/>
    <w:tmpl w:val="88E41BEE"/>
    <w:lvl w:ilvl="0" w:tplc="CF2C495A">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0"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50"/>
  </w:num>
  <w:num w:numId="2">
    <w:abstractNumId w:val="25"/>
  </w:num>
  <w:num w:numId="3">
    <w:abstractNumId w:val="17"/>
  </w:num>
  <w:num w:numId="4">
    <w:abstractNumId w:val="45"/>
  </w:num>
  <w:num w:numId="5">
    <w:abstractNumId w:val="49"/>
  </w:num>
  <w:num w:numId="6">
    <w:abstractNumId w:val="12"/>
  </w:num>
  <w:num w:numId="7">
    <w:abstractNumId w:val="39"/>
  </w:num>
  <w:num w:numId="8">
    <w:abstractNumId w:val="20"/>
  </w:num>
  <w:num w:numId="9">
    <w:abstractNumId w:val="29"/>
  </w:num>
  <w:num w:numId="10">
    <w:abstractNumId w:val="22"/>
  </w:num>
  <w:num w:numId="11">
    <w:abstractNumId w:val="10"/>
  </w:num>
  <w:num w:numId="12">
    <w:abstractNumId w:val="28"/>
  </w:num>
  <w:num w:numId="13">
    <w:abstractNumId w:val="24"/>
  </w:num>
  <w:num w:numId="14">
    <w:abstractNumId w:val="26"/>
  </w:num>
  <w:num w:numId="15">
    <w:abstractNumId w:val="9"/>
  </w:num>
  <w:num w:numId="16">
    <w:abstractNumId w:val="1"/>
  </w:num>
  <w:num w:numId="17">
    <w:abstractNumId w:val="2"/>
  </w:num>
  <w:num w:numId="18">
    <w:abstractNumId w:val="18"/>
  </w:num>
  <w:num w:numId="19">
    <w:abstractNumId w:val="38"/>
  </w:num>
  <w:num w:numId="20">
    <w:abstractNumId w:val="35"/>
  </w:num>
  <w:num w:numId="21">
    <w:abstractNumId w:val="21"/>
  </w:num>
  <w:num w:numId="22">
    <w:abstractNumId w:val="44"/>
  </w:num>
  <w:num w:numId="23">
    <w:abstractNumId w:val="33"/>
  </w:num>
  <w:num w:numId="24">
    <w:abstractNumId w:val="34"/>
  </w:num>
  <w:num w:numId="25">
    <w:abstractNumId w:val="47"/>
  </w:num>
  <w:num w:numId="26">
    <w:abstractNumId w:val="43"/>
  </w:num>
  <w:num w:numId="27">
    <w:abstractNumId w:val="4"/>
  </w:num>
  <w:num w:numId="28">
    <w:abstractNumId w:val="19"/>
  </w:num>
  <w:num w:numId="29">
    <w:abstractNumId w:val="46"/>
  </w:num>
  <w:num w:numId="30">
    <w:abstractNumId w:val="42"/>
  </w:num>
  <w:num w:numId="31">
    <w:abstractNumId w:val="36"/>
  </w:num>
  <w:num w:numId="32">
    <w:abstractNumId w:val="13"/>
  </w:num>
  <w:num w:numId="33">
    <w:abstractNumId w:val="3"/>
  </w:num>
  <w:num w:numId="34">
    <w:abstractNumId w:val="30"/>
  </w:num>
  <w:num w:numId="35">
    <w:abstractNumId w:val="15"/>
  </w:num>
  <w:num w:numId="36">
    <w:abstractNumId w:val="14"/>
  </w:num>
  <w:num w:numId="37">
    <w:abstractNumId w:val="16"/>
  </w:num>
  <w:num w:numId="38">
    <w:abstractNumId w:val="6"/>
  </w:num>
  <w:num w:numId="39">
    <w:abstractNumId w:val="32"/>
  </w:num>
  <w:num w:numId="40">
    <w:abstractNumId w:val="8"/>
  </w:num>
  <w:num w:numId="41">
    <w:abstractNumId w:val="31"/>
  </w:num>
  <w:num w:numId="42">
    <w:abstractNumId w:val="27"/>
  </w:num>
  <w:num w:numId="43">
    <w:abstractNumId w:val="7"/>
  </w:num>
  <w:num w:numId="44">
    <w:abstractNumId w:val="41"/>
  </w:num>
  <w:num w:numId="45">
    <w:abstractNumId w:val="23"/>
  </w:num>
  <w:num w:numId="46">
    <w:abstractNumId w:val="11"/>
  </w:num>
  <w:num w:numId="47">
    <w:abstractNumId w:val="40"/>
  </w:num>
  <w:num w:numId="48">
    <w:abstractNumId w:val="48"/>
  </w:num>
  <w:num w:numId="49">
    <w:abstractNumId w:val="0"/>
  </w:num>
  <w:num w:numId="50">
    <w:abstractNumId w:val="5"/>
  </w:num>
  <w:num w:numId="51">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1C4"/>
    <w:rsid w:val="0003510C"/>
    <w:rsid w:val="00042977"/>
    <w:rsid w:val="00044B7E"/>
    <w:rsid w:val="000679E6"/>
    <w:rsid w:val="000E4A6C"/>
    <w:rsid w:val="00101148"/>
    <w:rsid w:val="001043DF"/>
    <w:rsid w:val="00110C0E"/>
    <w:rsid w:val="002246DA"/>
    <w:rsid w:val="002A56CB"/>
    <w:rsid w:val="002C21A5"/>
    <w:rsid w:val="002D2625"/>
    <w:rsid w:val="0030112D"/>
    <w:rsid w:val="00327560"/>
    <w:rsid w:val="003448F5"/>
    <w:rsid w:val="00353407"/>
    <w:rsid w:val="003678F3"/>
    <w:rsid w:val="00387CC6"/>
    <w:rsid w:val="003A5283"/>
    <w:rsid w:val="003C6AD8"/>
    <w:rsid w:val="004408E7"/>
    <w:rsid w:val="00445740"/>
    <w:rsid w:val="004561BB"/>
    <w:rsid w:val="004B36C8"/>
    <w:rsid w:val="004C50BC"/>
    <w:rsid w:val="004D6CEC"/>
    <w:rsid w:val="004E3B4D"/>
    <w:rsid w:val="004F18C0"/>
    <w:rsid w:val="004F24F8"/>
    <w:rsid w:val="0053029D"/>
    <w:rsid w:val="005E636C"/>
    <w:rsid w:val="005E6468"/>
    <w:rsid w:val="00614E3C"/>
    <w:rsid w:val="0065122B"/>
    <w:rsid w:val="00653BD7"/>
    <w:rsid w:val="006811C4"/>
    <w:rsid w:val="006903B4"/>
    <w:rsid w:val="00691180"/>
    <w:rsid w:val="006C5974"/>
    <w:rsid w:val="00710039"/>
    <w:rsid w:val="0072506F"/>
    <w:rsid w:val="007336A7"/>
    <w:rsid w:val="007A66D7"/>
    <w:rsid w:val="007D54A3"/>
    <w:rsid w:val="007D7D8B"/>
    <w:rsid w:val="007E5556"/>
    <w:rsid w:val="007F30EC"/>
    <w:rsid w:val="008152BD"/>
    <w:rsid w:val="008168E7"/>
    <w:rsid w:val="008275D9"/>
    <w:rsid w:val="00863546"/>
    <w:rsid w:val="008656A8"/>
    <w:rsid w:val="00890C9F"/>
    <w:rsid w:val="008B6C63"/>
    <w:rsid w:val="008C6C76"/>
    <w:rsid w:val="008D2A7E"/>
    <w:rsid w:val="008D2F05"/>
    <w:rsid w:val="008F3406"/>
    <w:rsid w:val="009706F5"/>
    <w:rsid w:val="0098164F"/>
    <w:rsid w:val="009E76DD"/>
    <w:rsid w:val="00A7301C"/>
    <w:rsid w:val="00AA535C"/>
    <w:rsid w:val="00AD0AAE"/>
    <w:rsid w:val="00B3712A"/>
    <w:rsid w:val="00B73CED"/>
    <w:rsid w:val="00B8169C"/>
    <w:rsid w:val="00BB4504"/>
    <w:rsid w:val="00BC0BF7"/>
    <w:rsid w:val="00BC118D"/>
    <w:rsid w:val="00BC79B4"/>
    <w:rsid w:val="00BD0736"/>
    <w:rsid w:val="00BD6C73"/>
    <w:rsid w:val="00BE214E"/>
    <w:rsid w:val="00C12F6D"/>
    <w:rsid w:val="00C201E3"/>
    <w:rsid w:val="00C5109D"/>
    <w:rsid w:val="00C64947"/>
    <w:rsid w:val="00CD0FF2"/>
    <w:rsid w:val="00CD2BD0"/>
    <w:rsid w:val="00D0498F"/>
    <w:rsid w:val="00D43A7C"/>
    <w:rsid w:val="00D827A9"/>
    <w:rsid w:val="00D90A08"/>
    <w:rsid w:val="00DA1186"/>
    <w:rsid w:val="00DC77FE"/>
    <w:rsid w:val="00DD2FA5"/>
    <w:rsid w:val="00DF5005"/>
    <w:rsid w:val="00E7054A"/>
    <w:rsid w:val="00F15037"/>
    <w:rsid w:val="00F72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8193"/>
    <o:shapelayout v:ext="edit">
      <o:idmap v:ext="edit" data="1"/>
    </o:shapelayout>
  </w:shapeDefaults>
  <w:decimalSymbol w:val="."/>
  <w:listSeparator w:val=","/>
  <w14:docId w14:val="6C393D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C21A5"/>
    <w:rPr>
      <w:sz w:val="16"/>
      <w:szCs w:val="16"/>
    </w:rPr>
  </w:style>
  <w:style w:type="paragraph" w:styleId="CommentText">
    <w:name w:val="annotation text"/>
    <w:basedOn w:val="Normal"/>
    <w:link w:val="CommentTextChar"/>
    <w:rsid w:val="002C21A5"/>
    <w:rPr>
      <w:szCs w:val="20"/>
    </w:rPr>
  </w:style>
  <w:style w:type="character" w:customStyle="1" w:styleId="CommentTextChar">
    <w:name w:val="Comment Text Char"/>
    <w:basedOn w:val="DefaultParagraphFont"/>
    <w:link w:val="CommentText"/>
    <w:rsid w:val="002C21A5"/>
  </w:style>
  <w:style w:type="paragraph" w:styleId="CommentSubject">
    <w:name w:val="annotation subject"/>
    <w:basedOn w:val="CommentText"/>
    <w:next w:val="CommentText"/>
    <w:link w:val="CommentSubjectChar"/>
    <w:rsid w:val="002C21A5"/>
    <w:rPr>
      <w:b/>
      <w:bCs/>
    </w:rPr>
  </w:style>
  <w:style w:type="character" w:customStyle="1" w:styleId="CommentSubjectChar">
    <w:name w:val="Comment Subject Char"/>
    <w:basedOn w:val="CommentTextChar"/>
    <w:link w:val="CommentSubject"/>
    <w:rsid w:val="002C21A5"/>
    <w:rPr>
      <w:b/>
      <w:bCs/>
    </w:rPr>
  </w:style>
  <w:style w:type="paragraph" w:styleId="BalloonText">
    <w:name w:val="Balloon Text"/>
    <w:basedOn w:val="Normal"/>
    <w:link w:val="BalloonTextChar"/>
    <w:rsid w:val="002C21A5"/>
    <w:rPr>
      <w:rFonts w:ascii="Segoe UI" w:hAnsi="Segoe UI" w:cs="Segoe UI"/>
      <w:sz w:val="18"/>
      <w:szCs w:val="18"/>
    </w:rPr>
  </w:style>
  <w:style w:type="character" w:customStyle="1" w:styleId="BalloonTextChar">
    <w:name w:val="Balloon Text Char"/>
    <w:basedOn w:val="DefaultParagraphFont"/>
    <w:link w:val="BalloonText"/>
    <w:rsid w:val="002C21A5"/>
    <w:rPr>
      <w:rFonts w:ascii="Segoe UI" w:hAnsi="Segoe UI" w:cs="Segoe UI"/>
      <w:sz w:val="18"/>
      <w:szCs w:val="18"/>
    </w:rPr>
  </w:style>
  <w:style w:type="paragraph" w:styleId="ListParagraph">
    <w:name w:val="List Paragraph"/>
    <w:basedOn w:val="Normal"/>
    <w:uiPriority w:val="34"/>
    <w:qFormat/>
    <w:rsid w:val="00D43A7C"/>
    <w:pPr>
      <w:ind w:left="720"/>
      <w:contextualSpacing/>
    </w:pPr>
  </w:style>
  <w:style w:type="paragraph" w:styleId="FootnoteText">
    <w:name w:val="footnote text"/>
    <w:basedOn w:val="Normal"/>
    <w:link w:val="FootnoteTextChar"/>
    <w:rsid w:val="002A56CB"/>
    <w:rPr>
      <w:szCs w:val="20"/>
    </w:rPr>
  </w:style>
  <w:style w:type="character" w:customStyle="1" w:styleId="FootnoteTextChar">
    <w:name w:val="Footnote Text Char"/>
    <w:basedOn w:val="DefaultParagraphFont"/>
    <w:link w:val="FootnoteText"/>
    <w:rsid w:val="002A56CB"/>
  </w:style>
  <w:style w:type="character" w:styleId="Hyperlink">
    <w:name w:val="Hyperlink"/>
    <w:basedOn w:val="DefaultParagraphFont"/>
    <w:uiPriority w:val="99"/>
    <w:unhideWhenUsed/>
    <w:rsid w:val="002A56CB"/>
    <w:rPr>
      <w:color w:val="0000FF"/>
      <w:u w:val="single"/>
    </w:rPr>
  </w:style>
  <w:style w:type="paragraph" w:styleId="Revision">
    <w:name w:val="Revision"/>
    <w:hidden/>
    <w:uiPriority w:val="99"/>
    <w:semiHidden/>
    <w:rsid w:val="004408E7"/>
    <w:rPr>
      <w:szCs w:val="24"/>
    </w:rPr>
  </w:style>
  <w:style w:type="paragraph" w:styleId="Header">
    <w:name w:val="header"/>
    <w:basedOn w:val="Normal"/>
    <w:link w:val="HeaderChar"/>
    <w:rsid w:val="00B8169C"/>
    <w:pPr>
      <w:tabs>
        <w:tab w:val="center" w:pos="4680"/>
        <w:tab w:val="right" w:pos="9360"/>
      </w:tabs>
    </w:pPr>
  </w:style>
  <w:style w:type="character" w:customStyle="1" w:styleId="HeaderChar">
    <w:name w:val="Header Char"/>
    <w:basedOn w:val="DefaultParagraphFont"/>
    <w:link w:val="Header"/>
    <w:rsid w:val="00B8169C"/>
    <w:rPr>
      <w:szCs w:val="24"/>
    </w:rPr>
  </w:style>
  <w:style w:type="paragraph" w:styleId="Footer">
    <w:name w:val="footer"/>
    <w:basedOn w:val="Normal"/>
    <w:link w:val="FooterChar"/>
    <w:rsid w:val="00B8169C"/>
    <w:pPr>
      <w:tabs>
        <w:tab w:val="center" w:pos="4680"/>
        <w:tab w:val="right" w:pos="9360"/>
      </w:tabs>
    </w:pPr>
  </w:style>
  <w:style w:type="character" w:customStyle="1" w:styleId="FooterChar">
    <w:name w:val="Footer Char"/>
    <w:basedOn w:val="DefaultParagraphFont"/>
    <w:link w:val="Footer"/>
    <w:rsid w:val="00B8169C"/>
    <w:rPr>
      <w:szCs w:val="24"/>
    </w:rPr>
  </w:style>
  <w:style w:type="character" w:customStyle="1" w:styleId="UnresolvedMention">
    <w:name w:val="Unresolved Mention"/>
    <w:basedOn w:val="DefaultParagraphFont"/>
    <w:uiPriority w:val="99"/>
    <w:semiHidden/>
    <w:unhideWhenUsed/>
    <w:rsid w:val="00067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43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he.gov/emergency/news/healthactions/phe/Pages/2019-nCoV.aspx"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ms.gov/files/document/32920-hospital-letter-vice-president-pence.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9F040-90EB-4A2B-9625-5048D6150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2315</Words>
  <Characters>13605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2020-09-15T21:02:00Z</dcterms:created>
  <dcterms:modified xsi:type="dcterms:W3CDTF">2021-01-22T14:02:00Z</dcterms:modified>
</cp:coreProperties>
</file>