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4E22" w:rsidP="00FD7D37" w:rsidRDefault="00D93E9B" w14:paraId="4CF4BB14" w14:textId="77777777">
      <w:pPr>
        <w:jc w:val="center"/>
        <w:rPr>
          <w:b/>
          <w:bCs/>
          <w:sz w:val="28"/>
          <w:szCs w:val="28"/>
        </w:rPr>
      </w:pPr>
      <w:r w:rsidRPr="00633C6A">
        <w:rPr>
          <w:b/>
          <w:bCs/>
          <w:sz w:val="28"/>
          <w:szCs w:val="28"/>
        </w:rPr>
        <w:t xml:space="preserve">Supporting </w:t>
      </w:r>
      <w:proofErr w:type="gramStart"/>
      <w:r w:rsidRPr="00633C6A">
        <w:rPr>
          <w:b/>
          <w:bCs/>
          <w:sz w:val="28"/>
          <w:szCs w:val="28"/>
        </w:rPr>
        <w:t>Statement</w:t>
      </w:r>
      <w:proofErr w:type="gramEnd"/>
      <w:r w:rsidR="00824E22">
        <w:rPr>
          <w:b/>
          <w:bCs/>
          <w:sz w:val="28"/>
          <w:szCs w:val="28"/>
        </w:rPr>
        <w:t xml:space="preserve"> A</w:t>
      </w:r>
    </w:p>
    <w:p w:rsidRPr="00633C6A" w:rsidR="00D93E9B" w:rsidP="00FD7D37" w:rsidRDefault="00D93E9B" w14:paraId="63B9DDAF" w14:textId="77777777">
      <w:pPr>
        <w:jc w:val="center"/>
        <w:rPr>
          <w:b/>
          <w:bCs/>
          <w:sz w:val="28"/>
          <w:szCs w:val="28"/>
        </w:rPr>
      </w:pPr>
      <w:r w:rsidRPr="00633C6A">
        <w:rPr>
          <w:b/>
          <w:bCs/>
          <w:sz w:val="28"/>
          <w:szCs w:val="28"/>
        </w:rPr>
        <w:t>30 CFR Part 785</w:t>
      </w:r>
      <w:r w:rsidR="002D772F">
        <w:rPr>
          <w:b/>
          <w:bCs/>
          <w:sz w:val="28"/>
          <w:szCs w:val="28"/>
        </w:rPr>
        <w:t xml:space="preserve"> – Requirements for Permits for Special Categories of Mining</w:t>
      </w:r>
    </w:p>
    <w:p w:rsidRPr="007728B9" w:rsidR="00E33623" w:rsidP="00E33623" w:rsidRDefault="00E33623" w14:paraId="6C7A60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7728B9">
        <w:rPr>
          <w:b/>
          <w:bCs/>
          <w:sz w:val="28"/>
          <w:szCs w:val="28"/>
        </w:rPr>
        <w:t>OMB Control Number 1029-0040</w:t>
      </w:r>
    </w:p>
    <w:p w:rsidRPr="00E33623" w:rsidR="00D93E9B" w:rsidP="00E33623" w:rsidRDefault="00D93E9B" w14:paraId="2DCAB9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Pr="002D772F" w:rsidR="002D772F" w:rsidRDefault="002D772F" w14:paraId="553E76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Terms of Clearance:  None</w:t>
      </w:r>
    </w:p>
    <w:p w:rsidR="00824E22" w:rsidP="00824E22" w:rsidRDefault="00824E22" w14:paraId="5858B3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824E22" w:rsidP="00824E22" w:rsidRDefault="00824E22" w14:paraId="5DF9B8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824E22" w:rsidP="00824E22" w:rsidRDefault="00824E22" w14:paraId="5038F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24E22" w:rsidP="00824E22" w:rsidRDefault="00824E22" w14:paraId="35B14D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Supporting Statement A must accompany each request for approval of a collection of information.  The Supporting Statement must be prepared in the format described </w:t>
      </w:r>
      <w:proofErr w:type="gramStart"/>
      <w:r>
        <w:rPr>
          <w:sz w:val="24"/>
          <w:szCs w:val="24"/>
        </w:rPr>
        <w:t>below, and</w:t>
      </w:r>
      <w:proofErr w:type="gramEnd"/>
      <w:r>
        <w:rPr>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80EA1" w:rsidP="00824E22" w:rsidRDefault="00880EA1" w14:paraId="6E042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P="00880EA1" w:rsidRDefault="00880EA1" w14:paraId="3168DA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880EA1" w:rsidP="00880EA1" w:rsidRDefault="00880EA1" w14:paraId="1EA3C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P="00880EA1" w:rsidRDefault="00880EA1" w14:paraId="0D16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880EA1" w:rsidP="00880EA1" w:rsidRDefault="00880EA1" w14:paraId="2C399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P="00880EA1" w:rsidRDefault="00880EA1" w14:paraId="3844B25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04D90">
        <w:rPr>
          <w:b/>
          <w:i/>
          <w:sz w:val="24"/>
          <w:szCs w:val="24"/>
        </w:rPr>
        <w:t>1.</w:t>
      </w:r>
      <w:r w:rsidRPr="00104D90">
        <w:rPr>
          <w:b/>
          <w:i/>
          <w:sz w:val="24"/>
          <w:szCs w:val="24"/>
        </w:rPr>
        <w:tab/>
        <w:t>Explain the circumstances that make the collection of information necessary.  Identify any legal or administrative requirements that necessitate the collection.</w:t>
      </w:r>
    </w:p>
    <w:p w:rsidR="0027517B" w:rsidP="00880EA1" w:rsidRDefault="0027517B" w14:paraId="3E7B99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7517B" w:rsidP="0027517B" w:rsidRDefault="0027517B" w14:paraId="26C3D11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17B">
        <w:rPr>
          <w:sz w:val="24"/>
          <w:szCs w:val="24"/>
        </w:rPr>
        <w:t xml:space="preserve">Section 785.13 requires that a permit application include information for conducting experimental coal mining and reclamation practices, including a description of the performance standards for which variances or departures are requested, the duration of the experimental practice and any special monitoring mechanisms that will be implemented. </w:t>
      </w:r>
      <w:r>
        <w:rPr>
          <w:sz w:val="24"/>
          <w:szCs w:val="24"/>
        </w:rPr>
        <w:t xml:space="preserve"> </w:t>
      </w:r>
      <w:r w:rsidRPr="0027517B">
        <w:rPr>
          <w:sz w:val="24"/>
          <w:szCs w:val="24"/>
        </w:rPr>
        <w:t xml:space="preserve">Section 711 of </w:t>
      </w:r>
      <w:r>
        <w:rPr>
          <w:sz w:val="24"/>
          <w:szCs w:val="24"/>
        </w:rPr>
        <w:t>the Surface Mining Control and Reclamation Act of 1977 (</w:t>
      </w:r>
      <w:r w:rsidRPr="0027517B">
        <w:rPr>
          <w:sz w:val="24"/>
          <w:szCs w:val="24"/>
        </w:rPr>
        <w:t>SMCRA</w:t>
      </w:r>
      <w:r w:rsidR="00CA2CB3">
        <w:rPr>
          <w:sz w:val="24"/>
          <w:szCs w:val="24"/>
        </w:rPr>
        <w:t xml:space="preserve"> or the Act</w:t>
      </w:r>
      <w:r>
        <w:rPr>
          <w:sz w:val="24"/>
          <w:szCs w:val="24"/>
        </w:rPr>
        <w:t>)</w:t>
      </w:r>
      <w:r w:rsidRPr="0027517B">
        <w:rPr>
          <w:sz w:val="24"/>
          <w:szCs w:val="24"/>
        </w:rPr>
        <w:t xml:space="preserve"> provides departure on an individual experimental or research basis from the environmental protection standards under sections 515 and 516 in SMCRA and subchapter K of SMCRA regulations.  The objective of such departures is to encourage advances in mining technology and alternative reclamation practices or to allow alternative postmining land use for industrial, commercial, residential, or public use (including recreational facilities).  Experimental practices may be undertaken if they are approved by the </w:t>
      </w:r>
      <w:r>
        <w:rPr>
          <w:sz w:val="24"/>
          <w:szCs w:val="24"/>
        </w:rPr>
        <w:t>State Regulatory Authority (</w:t>
      </w:r>
      <w:r w:rsidRPr="0027517B">
        <w:rPr>
          <w:sz w:val="24"/>
          <w:szCs w:val="24"/>
        </w:rPr>
        <w:t>SRA</w:t>
      </w:r>
      <w:r>
        <w:rPr>
          <w:sz w:val="24"/>
          <w:szCs w:val="24"/>
        </w:rPr>
        <w:t>)</w:t>
      </w:r>
      <w:r w:rsidRPr="0027517B">
        <w:rPr>
          <w:sz w:val="24"/>
          <w:szCs w:val="24"/>
        </w:rPr>
        <w:t xml:space="preserve"> or the Director of </w:t>
      </w:r>
      <w:r>
        <w:rPr>
          <w:sz w:val="24"/>
          <w:szCs w:val="24"/>
        </w:rPr>
        <w:t>the Office of Surface Mining Reclamation and Enforcement (</w:t>
      </w:r>
      <w:r w:rsidRPr="0027517B">
        <w:rPr>
          <w:sz w:val="24"/>
          <w:szCs w:val="24"/>
        </w:rPr>
        <w:t>OSMRE</w:t>
      </w:r>
      <w:r>
        <w:rPr>
          <w:sz w:val="24"/>
          <w:szCs w:val="24"/>
        </w:rPr>
        <w:t>)</w:t>
      </w:r>
      <w:r w:rsidRPr="0027517B">
        <w:rPr>
          <w:sz w:val="24"/>
          <w:szCs w:val="24"/>
        </w:rPr>
        <w:t>, with the approval of the Secretary.  The SRA or the Director may require additional information as they feel necessary or may request reasonable modifications of the experimental practice as are necessary to ensure that the activities fully protect the environment and the public health and safety.</w:t>
      </w:r>
    </w:p>
    <w:p w:rsidR="0027517B" w:rsidP="0027517B" w:rsidRDefault="0027517B" w14:paraId="413995F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P="0027517B" w:rsidRDefault="00FE720E" w14:paraId="593AA4B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 xml:space="preserve">Section 785.14, authorized by section 515(c) of the Act, requires that a permit application include the information for conducting mountaintop removal mining and reclamation operations after consulting with the appropriate land-use planning agencies, engineers, and consultants.  </w:t>
      </w:r>
      <w:r w:rsidRPr="0027517B" w:rsidR="0027517B">
        <w:rPr>
          <w:sz w:val="24"/>
          <w:szCs w:val="24"/>
        </w:rPr>
        <w:t xml:space="preserve">Section 201(c)(2) of SMCRA, which provides that the Secretary shall promulgate such regulations as are necessary to carry out the purposes and provisions of the Act, authorizes </w:t>
      </w:r>
      <w:r w:rsidRPr="0027517B" w:rsidR="0027517B">
        <w:rPr>
          <w:sz w:val="24"/>
          <w:szCs w:val="24"/>
        </w:rPr>
        <w:lastRenderedPageBreak/>
        <w:t xml:space="preserve">collection of the information required by §785.14 that is not expressly required under section 515(c) of the Act.  Collection of this information is necessary to ensure adherence to and enforce the requirements for mountaintop removal mining and reclamation activities under section 515(c) of the Act, as well as to determine whether a permit is granted without regard to the requirement to restore to </w:t>
      </w:r>
      <w:r w:rsidR="0027517B">
        <w:rPr>
          <w:sz w:val="24"/>
          <w:szCs w:val="24"/>
        </w:rPr>
        <w:t>approximate original contour (</w:t>
      </w:r>
      <w:r w:rsidRPr="0027517B" w:rsidR="0027517B">
        <w:rPr>
          <w:sz w:val="24"/>
          <w:szCs w:val="24"/>
        </w:rPr>
        <w:t>AOC</w:t>
      </w:r>
      <w:r w:rsidR="0027517B">
        <w:rPr>
          <w:sz w:val="24"/>
          <w:szCs w:val="24"/>
        </w:rPr>
        <w:t>)</w:t>
      </w:r>
      <w:r w:rsidRPr="0027517B" w:rsidR="0027517B">
        <w:rPr>
          <w:sz w:val="24"/>
          <w:szCs w:val="24"/>
        </w:rPr>
        <w:t>.</w:t>
      </w:r>
    </w:p>
    <w:p w:rsidR="00FE720E" w:rsidP="0027517B" w:rsidRDefault="00FE720E" w14:paraId="39CE73C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P="0027517B" w:rsidRDefault="0027517B" w14:paraId="403C449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17B">
        <w:rPr>
          <w:sz w:val="24"/>
          <w:szCs w:val="24"/>
        </w:rPr>
        <w:t>Section 785.15 requires that a permit application include the information for conducting steep slope mining and reclamation operations in accordance with the requirements of §816.107 (backfilling and grading for surface mining on steep slope) and §817.107 (backfilling and grading for underground mining on steep slope).  Section 515(d) of the Act provides that a regulatory authority may grant a permit for a steep slope mining if the permit applicant adheres, in addition to the general performance standards under section 515 of the Act</w:t>
      </w:r>
      <w:r>
        <w:rPr>
          <w:sz w:val="24"/>
          <w:szCs w:val="24"/>
        </w:rPr>
        <w:t>.</w:t>
      </w:r>
    </w:p>
    <w:p w:rsidR="0027517B" w:rsidP="0027517B" w:rsidRDefault="0027517B" w14:paraId="6320A15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P="0027517B" w:rsidRDefault="00FE720E" w14:paraId="75DA2E7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Section 785.16 provides that a regulatory authority may issue a permit for surface coal mining and reclamation operations which includes a variance from the requirements to restore the disturbed areas to their AOC on steep slope operations</w:t>
      </w:r>
      <w:r>
        <w:rPr>
          <w:sz w:val="24"/>
          <w:szCs w:val="24"/>
        </w:rPr>
        <w:t>.</w:t>
      </w:r>
      <w:r w:rsidRPr="00FE720E">
        <w:t xml:space="preserve"> </w:t>
      </w:r>
      <w:r>
        <w:t xml:space="preserve"> </w:t>
      </w:r>
      <w:r w:rsidRPr="00FE720E">
        <w:rPr>
          <w:sz w:val="24"/>
          <w:szCs w:val="24"/>
        </w:rPr>
        <w:t>Section 515 (d) and (e) of the Act provides that the regulatory authority may issue a permit for surface mining activities incorporating a variance from the requirement of AOC</w:t>
      </w:r>
      <w:r>
        <w:rPr>
          <w:sz w:val="24"/>
          <w:szCs w:val="24"/>
        </w:rPr>
        <w:t>.</w:t>
      </w:r>
    </w:p>
    <w:p w:rsidR="00FE720E" w:rsidP="0027517B" w:rsidRDefault="00FE720E" w14:paraId="4E357D5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720E" w:rsidP="0027517B" w:rsidRDefault="00FE720E" w14:paraId="75168B6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Section 785.1</w:t>
      </w:r>
      <w:r>
        <w:rPr>
          <w:sz w:val="24"/>
          <w:szCs w:val="24"/>
        </w:rPr>
        <w:t>7</w:t>
      </w:r>
      <w:r w:rsidRPr="00FE720E">
        <w:rPr>
          <w:sz w:val="24"/>
          <w:szCs w:val="24"/>
        </w:rPr>
        <w:t xml:space="preserve"> provides that a regulatory authority may issue a permit for surface coal mining and reclamation operations </w:t>
      </w:r>
      <w:r>
        <w:rPr>
          <w:sz w:val="24"/>
          <w:szCs w:val="24"/>
        </w:rPr>
        <w:t xml:space="preserve">on prime farmlands.  </w:t>
      </w:r>
      <w:r w:rsidRPr="00FE720E">
        <w:rPr>
          <w:sz w:val="24"/>
          <w:szCs w:val="24"/>
        </w:rPr>
        <w:t xml:space="preserve">The </w:t>
      </w:r>
      <w:r>
        <w:rPr>
          <w:sz w:val="24"/>
          <w:szCs w:val="24"/>
        </w:rPr>
        <w:t>Act</w:t>
      </w:r>
      <w:r w:rsidRPr="00FE720E">
        <w:rPr>
          <w:sz w:val="24"/>
          <w:szCs w:val="24"/>
        </w:rPr>
        <w:t xml:space="preserve"> contains special permitting and performance standards governing mining on prime farmlands as defined in section 701(20).  Section 508(a)(2)(C) requires permit applications to contain a statement of the productivity of the land prior to mining including the appropriate classification as prime farmlands.  Furthermore, section 510(d)(1) provides that the regulatory authority shall grant a permit to mine on prime farmlands if it "finds in writing that the operator has the technological capability to restore such mined area, within a reasonable time, to equivalent or higher levels of yield as non-mined prime farmland in the surrounding area under equivalent levels of management and can meet the soil reconstruction standards in section 515(b)(7).</w:t>
      </w:r>
    </w:p>
    <w:p w:rsidR="00FE720E" w:rsidP="0027517B" w:rsidRDefault="00FE720E" w14:paraId="7CEE167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720E" w:rsidP="0027517B" w:rsidRDefault="00FE720E" w14:paraId="54E030B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 xml:space="preserve">Section 785.18 requires that if a permit applicant conducts combined surface and underground mining activities where a variance is requested from the contemporaneous reclamation requirements of §816.100, then a permit applicant is required to file </w:t>
      </w:r>
      <w:r>
        <w:rPr>
          <w:sz w:val="24"/>
          <w:szCs w:val="24"/>
        </w:rPr>
        <w:t xml:space="preserve">specific information </w:t>
      </w:r>
      <w:r w:rsidRPr="00FE720E">
        <w:rPr>
          <w:sz w:val="24"/>
          <w:szCs w:val="24"/>
        </w:rPr>
        <w:t>with the regulatory authority</w:t>
      </w:r>
      <w:r>
        <w:rPr>
          <w:sz w:val="24"/>
          <w:szCs w:val="24"/>
        </w:rPr>
        <w:t>.</w:t>
      </w:r>
      <w:r w:rsidRPr="00083B74" w:rsidR="00083B74">
        <w:t xml:space="preserve"> </w:t>
      </w:r>
      <w:r w:rsidR="00083B74">
        <w:t xml:space="preserve"> </w:t>
      </w:r>
      <w:r w:rsidRPr="00083B74" w:rsidR="00083B74">
        <w:rPr>
          <w:sz w:val="24"/>
          <w:szCs w:val="24"/>
        </w:rPr>
        <w:t xml:space="preserve">Section 515(b)(16) of the Act requires that reclamation efforts proceed in an environmentally sound manner and as contemporaneously as practicable.  </w:t>
      </w:r>
    </w:p>
    <w:p w:rsidR="00083B74" w:rsidP="0027517B" w:rsidRDefault="00083B74" w14:paraId="37B8B3F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P="0027517B" w:rsidRDefault="00083B74" w14:paraId="43DCF76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B74">
        <w:rPr>
          <w:sz w:val="24"/>
          <w:szCs w:val="24"/>
        </w:rPr>
        <w:t>Information collection for §785.19 is required to ensure compliance with section 510(b)(5)(A)of the Act, which requires that the proposed surface coal mining operation would not interrupt, discontinue, or preclude farming on alluvial valley floors if located west of the 100th meridian west longitude.</w:t>
      </w:r>
    </w:p>
    <w:p w:rsidR="00083B74" w:rsidP="0027517B" w:rsidRDefault="00083B74" w14:paraId="0F0B064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P="0027517B" w:rsidRDefault="00083B74" w14:paraId="34FBA01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B74">
        <w:rPr>
          <w:sz w:val="24"/>
          <w:szCs w:val="24"/>
        </w:rPr>
        <w:t xml:space="preserve">Section 785.20 requires that a permit applicant who conducts surface coal mining and reclamation operations utilizing auger mining methods, submit a permit application that includes information contained in a separate description as part of the mining and reclamation plan, the auger mining methods to be used and the measures to be used to comply with 30 CFR Part 819.  </w:t>
      </w:r>
      <w:r w:rsidRPr="00083B74">
        <w:rPr>
          <w:sz w:val="24"/>
          <w:szCs w:val="24"/>
        </w:rPr>
        <w:lastRenderedPageBreak/>
        <w:t>The statutory authority for this requirement is contained in section 515(b)(9) of the Act.</w:t>
      </w:r>
    </w:p>
    <w:p w:rsidR="00083B74" w:rsidP="0027517B" w:rsidRDefault="00083B74" w14:paraId="3438655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3B74" w:rsidR="00083B74" w:rsidP="00083B74" w:rsidRDefault="00083B74" w14:paraId="7294D18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Section </w:t>
      </w:r>
      <w:r w:rsidRPr="00083B74">
        <w:rPr>
          <w:sz w:val="24"/>
          <w:szCs w:val="24"/>
        </w:rPr>
        <w:t>785.21 enumerates special permit requirements for coal preparation plants not located within the mine area.  Any person who operates a processing plant as part of a coal mining operation [section 701(28)(A) of the Act] that is not located within the permit area of the mine must obtain a permit from the regulatory authority.  The permit application shall include:  (1) an operation and reclamation plan for the regulatory authority to determine if the operator has included all the required information; (2) maps of the processing plant, including boundaries, locations, roads, and total affected area delineation; (3) methods and cross-section of the construction operations and maintenance of the plant and supporting facilities; (4) plans for removal and dismantling of the plant and supporting facilities; and (5) reclamation plan of entire disturbed areas, including revegetation of affected areas to pre-mining status.</w:t>
      </w:r>
    </w:p>
    <w:p w:rsidRPr="00083B74" w:rsidR="00083B74" w:rsidP="00083B74" w:rsidRDefault="00083B74" w14:paraId="523661A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P="00083B74" w:rsidRDefault="00083B74" w14:paraId="0B4E615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B74">
        <w:rPr>
          <w:sz w:val="24"/>
          <w:szCs w:val="24"/>
        </w:rPr>
        <w:t xml:space="preserve">Since the information collection burden activities for the applicant to prepare a permit and the associated regulatory authority review and findings associated with this section is counted under the minimum permit application requirements of Subchapter G of the </w:t>
      </w:r>
      <w:r>
        <w:rPr>
          <w:sz w:val="24"/>
          <w:szCs w:val="24"/>
        </w:rPr>
        <w:t>regulations</w:t>
      </w:r>
      <w:r w:rsidRPr="00083B74">
        <w:rPr>
          <w:sz w:val="24"/>
          <w:szCs w:val="24"/>
        </w:rPr>
        <w:t>, OSMRE has included this information collection burden in the appropriate sections of Subchapter G.</w:t>
      </w:r>
    </w:p>
    <w:p w:rsidRPr="0027517B" w:rsidR="00FE720E" w:rsidP="0027517B" w:rsidRDefault="00FE720E" w14:paraId="58F966F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P="00967481" w:rsidRDefault="00967481" w14:paraId="72EF6D6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7481">
        <w:rPr>
          <w:sz w:val="24"/>
          <w:szCs w:val="24"/>
        </w:rPr>
        <w:t>Section 785.22 requires that a permit applicant who conducts underground coal mining and reclamation operations utilizing in situ processing activities, submit a permit application</w:t>
      </w:r>
      <w:r>
        <w:rPr>
          <w:sz w:val="24"/>
          <w:szCs w:val="24"/>
        </w:rPr>
        <w:t xml:space="preserve">.  </w:t>
      </w:r>
      <w:r w:rsidRPr="00967481">
        <w:rPr>
          <w:sz w:val="24"/>
          <w:szCs w:val="24"/>
        </w:rPr>
        <w:t>The statutory authority for this information collection requirement is contained in sections 102, 201, 505, and 701 of the Act.</w:t>
      </w:r>
    </w:p>
    <w:p w:rsidR="00967481" w:rsidP="00967481" w:rsidRDefault="00967481" w14:paraId="66446B7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7481" w:rsidP="00967481" w:rsidRDefault="00967481" w14:paraId="69DCBCC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7481">
        <w:rPr>
          <w:sz w:val="24"/>
          <w:szCs w:val="24"/>
        </w:rPr>
        <w:t>Section 785.25</w:t>
      </w:r>
      <w:r>
        <w:rPr>
          <w:sz w:val="24"/>
          <w:szCs w:val="24"/>
        </w:rPr>
        <w:t xml:space="preserve"> </w:t>
      </w:r>
      <w:r w:rsidRPr="00967481">
        <w:rPr>
          <w:sz w:val="24"/>
          <w:szCs w:val="24"/>
        </w:rPr>
        <w:t>require</w:t>
      </w:r>
      <w:r>
        <w:rPr>
          <w:sz w:val="24"/>
          <w:szCs w:val="24"/>
        </w:rPr>
        <w:t>s</w:t>
      </w:r>
      <w:r w:rsidRPr="00967481">
        <w:rPr>
          <w:sz w:val="24"/>
          <w:szCs w:val="24"/>
        </w:rPr>
        <w:t xml:space="preserve"> that a permit applicant who conducts surface coal mining on lands eligible for remining, submit a permit application</w:t>
      </w:r>
      <w:r w:rsidR="00B511DA">
        <w:rPr>
          <w:sz w:val="24"/>
          <w:szCs w:val="24"/>
        </w:rPr>
        <w:t xml:space="preserve"> with specific information as </w:t>
      </w:r>
      <w:r w:rsidRPr="00B511DA" w:rsidR="00B511DA">
        <w:rPr>
          <w:sz w:val="24"/>
          <w:szCs w:val="24"/>
        </w:rPr>
        <w:t>require</w:t>
      </w:r>
      <w:r w:rsidR="00B511DA">
        <w:rPr>
          <w:sz w:val="24"/>
          <w:szCs w:val="24"/>
        </w:rPr>
        <w:t xml:space="preserve">d by </w:t>
      </w:r>
      <w:r w:rsidRPr="00B511DA" w:rsidR="00B511DA">
        <w:rPr>
          <w:sz w:val="24"/>
          <w:szCs w:val="24"/>
        </w:rPr>
        <w:t>the Energy Policy Act of 1992 and the addition of section 415 to SMCRA made through the Tax Relief and Health Care Act of 2006.  The statutory authority for this information collection requirement is contained in sections 102, 201, 415, 505, and 701 of the Act.</w:t>
      </w:r>
    </w:p>
    <w:p w:rsidR="00083B74" w:rsidP="00880EA1" w:rsidRDefault="00083B74" w14:paraId="54430FB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104D90" w:rsidR="00880EA1" w:rsidP="00880EA1" w:rsidRDefault="00880EA1" w14:paraId="2BBF794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104D90" w:rsidR="00880EA1" w:rsidP="00880EA1" w:rsidRDefault="00880EA1" w14:paraId="6B9CC5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2.</w:t>
      </w:r>
      <w:r w:rsidRPr="00104D90">
        <w:rPr>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582709" w:rsidR="00880EA1" w:rsidP="00582709" w:rsidRDefault="00880EA1" w14:paraId="7843542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rsidRDefault="00582709" w14:paraId="49FF91C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Section 785.13:  </w:t>
      </w:r>
      <w:r w:rsidRPr="00582709">
        <w:rPr>
          <w:sz w:val="24"/>
          <w:szCs w:val="24"/>
        </w:rPr>
        <w:t>OSMRE and SRAs use the information collected for §785.13 to: (1) ensure the protection of the environment and public health and safety during and after the experimental practice granted under section 711 of SMCRA; (2) promote advances in mining technology and alternative reclamation practices; (3) allow alternative postmining land uses; and (4) effectively monitor the progress of such experimental practices.</w:t>
      </w:r>
    </w:p>
    <w:p w:rsidR="00582709" w:rsidP="00582709" w:rsidRDefault="00582709" w14:paraId="6C87D7F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rsidRDefault="00582709" w14:paraId="32749DF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4</w:t>
      </w:r>
      <w:r w:rsidRPr="00582709">
        <w:rPr>
          <w:sz w:val="24"/>
          <w:szCs w:val="24"/>
        </w:rPr>
        <w:t xml:space="preserve">:  OSMRE and SRAs use the information collected for §785.14 to:  (1) review information provided in the permit application regarding a variance from the original contour to make an evaluation and determination on original contour reclamation and reconstruction of pre-mining land use; (2) determine whether to approve or disapprove the land use variance of </w:t>
      </w:r>
      <w:r w:rsidRPr="00582709">
        <w:rPr>
          <w:sz w:val="24"/>
          <w:szCs w:val="24"/>
        </w:rPr>
        <w:lastRenderedPageBreak/>
        <w:t>mountaintop removal mining; (3) assess the progress and development of mining activities to establish that the operator is proceeding in accordance with the terms of the variance; (4) determine the immediate and cumulative effect of stream losses due to valley fills and watershed vegetational alterations to aquatic ecosystems; (5) identify flooding potential sources as a result of mountaintop mining; (6) determine whether the proposed plan for a postmining land use is compatible with state and local land use plans and programs; and (7) ensure that the postmining land use plan is fully in compliance with the provisions of the regulatory program and the Act.</w:t>
      </w:r>
    </w:p>
    <w:p w:rsidR="00582709" w:rsidP="00582709" w:rsidRDefault="00582709" w14:paraId="3EDD873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rsidRDefault="00582709" w14:paraId="53992B6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5</w:t>
      </w:r>
      <w:r w:rsidRPr="00582709">
        <w:rPr>
          <w:sz w:val="24"/>
          <w:szCs w:val="24"/>
        </w:rPr>
        <w:t>:  OSMRE and SRAs use the information collected for §785.15 to:  (1) ensure compliance with the requirements of §816.107; (2) ensure that any disturbance of land above the highwall is limited to that necessary to facilitate compliance with the environmental protection standards of section 515 of the Act; (3) evaluate the design to make sure that an excessive area above the highwall is not disturbed; (4) ensure that the backfilled area will remain stable and not be subject to excessive erosion if woody materials are allowed to be placed in the backfill area; and (5) determine that the plan for the reclaimed area is properly designed and does not present an environmental and public safety hazard.</w:t>
      </w:r>
    </w:p>
    <w:p w:rsidR="00582709" w:rsidP="00582709" w:rsidRDefault="00582709" w14:paraId="3624351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rsidRDefault="00582709" w14:paraId="26157F2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6</w:t>
      </w:r>
      <w:r w:rsidRPr="00582709">
        <w:rPr>
          <w:sz w:val="24"/>
          <w:szCs w:val="24"/>
        </w:rPr>
        <w:t>:  OSMRE and SRAs use the information collected for §785.16 to:  (1) evaluate the request for a variance from achieving AOC; (2) determine whether to approve or disapprove the land use variance for steep slope mining; (3) assess the progress and development of mining activities to ensure that the operator is proceeding in accordance with the terms of the variance; (4) determine whether the proposed plan for a postmining land use is compatible with state and local land use plans and programs; (5) determine the immediate and cumulative effect of stream losses due to valley fills and watershed vegetational alterations to aquatic ecosystems; (6) identify flooding potential sources as a result of mountaintop mining; and (7) ensure that the postmining land use plan is fully in compliance with the provisions of the Act.</w:t>
      </w:r>
    </w:p>
    <w:p w:rsidR="00582709" w:rsidP="00582709" w:rsidRDefault="00582709" w14:paraId="21BD010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rsidRDefault="00582709" w14:paraId="6ADCF99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7</w:t>
      </w:r>
      <w:r w:rsidRPr="00582709">
        <w:rPr>
          <w:sz w:val="24"/>
          <w:szCs w:val="24"/>
        </w:rPr>
        <w:t>:</w:t>
      </w:r>
      <w:r>
        <w:rPr>
          <w:sz w:val="24"/>
          <w:szCs w:val="24"/>
        </w:rPr>
        <w:t xml:space="preserve">  </w:t>
      </w:r>
      <w:r w:rsidR="009176F7">
        <w:rPr>
          <w:sz w:val="24"/>
          <w:szCs w:val="24"/>
        </w:rPr>
        <w:t xml:space="preserve">This section </w:t>
      </w:r>
      <w:r w:rsidRPr="00582709">
        <w:rPr>
          <w:sz w:val="24"/>
          <w:szCs w:val="24"/>
        </w:rPr>
        <w:t>requires that the operator report the results of a reconnaissance inspection to determine if prime farmland exists.  The details and adequacy of the reconnaissance inspection is to be determined by the regulatory authority in consultation with the U.S. Department of Agriculture’s</w:t>
      </w:r>
      <w:r w:rsidR="00313C86">
        <w:rPr>
          <w:sz w:val="24"/>
          <w:szCs w:val="24"/>
        </w:rPr>
        <w:t xml:space="preserve"> </w:t>
      </w:r>
      <w:r w:rsidRPr="00582709">
        <w:rPr>
          <w:sz w:val="24"/>
          <w:szCs w:val="24"/>
        </w:rPr>
        <w:t>Natural Resources Conservation Service</w:t>
      </w:r>
      <w:r w:rsidR="00313C86">
        <w:rPr>
          <w:sz w:val="24"/>
          <w:szCs w:val="24"/>
        </w:rPr>
        <w:t xml:space="preserve"> (NRCS)</w:t>
      </w:r>
      <w:r w:rsidRPr="00582709">
        <w:rPr>
          <w:sz w:val="24"/>
          <w:szCs w:val="24"/>
        </w:rPr>
        <w:t>.</w:t>
      </w:r>
      <w:r w:rsidR="00313C86">
        <w:rPr>
          <w:sz w:val="24"/>
          <w:szCs w:val="24"/>
        </w:rPr>
        <w:t xml:space="preserve">  </w:t>
      </w:r>
      <w:r w:rsidRPr="00582709">
        <w:rPr>
          <w:sz w:val="24"/>
          <w:szCs w:val="24"/>
        </w:rPr>
        <w:t xml:space="preserve">Section 785.17(c) requires that, where prime farmland soils have been located, a plan for soil reconstruction, replacement, and stabilization must be prepared. This prime farmland soil reclamation plan will be used as the basis to establish proof of technological capability to restore the prime farmland soil horizons in the soil profile.  </w:t>
      </w:r>
      <w:proofErr w:type="gramStart"/>
      <w:r w:rsidRPr="00582709">
        <w:rPr>
          <w:sz w:val="24"/>
          <w:szCs w:val="24"/>
        </w:rPr>
        <w:t>Also</w:t>
      </w:r>
      <w:proofErr w:type="gramEnd"/>
      <w:r w:rsidRPr="00582709">
        <w:rPr>
          <w:sz w:val="24"/>
          <w:szCs w:val="24"/>
        </w:rPr>
        <w:t xml:space="preserve"> other scientific data must be presented to establish that the method of soil reconstruction will result in equivalent or higher levels of yield.</w:t>
      </w:r>
      <w:r w:rsidR="00313C86">
        <w:rPr>
          <w:sz w:val="24"/>
          <w:szCs w:val="24"/>
        </w:rPr>
        <w:t xml:space="preserve">  </w:t>
      </w:r>
      <w:r w:rsidRPr="00582709">
        <w:rPr>
          <w:sz w:val="24"/>
          <w:szCs w:val="24"/>
        </w:rPr>
        <w:t>Section 785.17(d) requires the regulatory authority to consult with the NRCS before issuing any permit that contain prime farmland soils.  This review is to assist the regulatory authority in evaluating the adequacy of the proposed prime farmland soil reclamation plan so that restoration of equal or higher levels of productivity is achieved.</w:t>
      </w:r>
    </w:p>
    <w:p w:rsidR="00313C86" w:rsidP="00582709" w:rsidRDefault="00313C86" w14:paraId="3A5F77A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13C86" w:rsidP="00582709" w:rsidRDefault="000E3706" w14:paraId="7B7E609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706">
        <w:rPr>
          <w:sz w:val="24"/>
          <w:szCs w:val="24"/>
        </w:rPr>
        <w:t>Section 785.1</w:t>
      </w:r>
      <w:r>
        <w:rPr>
          <w:sz w:val="24"/>
          <w:szCs w:val="24"/>
        </w:rPr>
        <w:t>8</w:t>
      </w:r>
      <w:r w:rsidRPr="000E3706">
        <w:rPr>
          <w:sz w:val="24"/>
          <w:szCs w:val="24"/>
        </w:rPr>
        <w:t>:</w:t>
      </w:r>
      <w:r>
        <w:rPr>
          <w:sz w:val="24"/>
          <w:szCs w:val="24"/>
        </w:rPr>
        <w:t xml:space="preserve">  </w:t>
      </w:r>
      <w:r w:rsidRPr="000E3706">
        <w:rPr>
          <w:sz w:val="24"/>
          <w:szCs w:val="24"/>
        </w:rPr>
        <w:t xml:space="preserve">OSMRE and SRAs use the information collected for §785.18 to ensure that persons who intend to seek variances for delay in contemporaneous reclamation requirements for combined surface and underground mining activities meet the statutory requirements of section 515(b)(16), and make a determination as to whether a variance from the contemporaneous </w:t>
      </w:r>
      <w:r w:rsidRPr="000E3706">
        <w:rPr>
          <w:sz w:val="24"/>
          <w:szCs w:val="24"/>
        </w:rPr>
        <w:lastRenderedPageBreak/>
        <w:t>reclamation can be granted.  In addition, this information will be used to monitor and inspect surface and underground mining activities to ensure that they are conducted in a manner that preserves and enhances environmental and other values cited in the Act</w:t>
      </w:r>
    </w:p>
    <w:p w:rsidRPr="00582709" w:rsidR="00582709" w:rsidP="00582709" w:rsidRDefault="00582709" w14:paraId="3A4C64A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0E3706" w:rsidRDefault="000E3706" w14:paraId="1FBE7F2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706">
        <w:rPr>
          <w:sz w:val="24"/>
          <w:szCs w:val="24"/>
        </w:rPr>
        <w:t>Section 785.1</w:t>
      </w:r>
      <w:r>
        <w:rPr>
          <w:sz w:val="24"/>
          <w:szCs w:val="24"/>
        </w:rPr>
        <w:t>9</w:t>
      </w:r>
      <w:r w:rsidRPr="000E3706">
        <w:rPr>
          <w:sz w:val="24"/>
          <w:szCs w:val="24"/>
        </w:rPr>
        <w:t xml:space="preserve">:  OSMRE and SRAs use the information collected for §785.19 to:  (1) evaluate that persons who conduct surface coal mining and reclamation operations on areas or adjacent to areas including alluvial valley floors in the arid and semiarid areas west of the 100th meridian meet the statutory requirements of sections 515(b)(10)(F) and 510(b)(5)(A) of the Act; and (2) make a determination as to the extent of any alluvial valley floors within the area.  The regulatory authority determines whether an alluvial valley floor exists by reviewing available data and field studies that include detailed geologic, hydrologic, land use, soils, and vegetation data.  The regulatory authority may also request additional data collection and analysis or other supporting documents, </w:t>
      </w:r>
      <w:proofErr w:type="gramStart"/>
      <w:r w:rsidRPr="000E3706">
        <w:rPr>
          <w:sz w:val="24"/>
          <w:szCs w:val="24"/>
        </w:rPr>
        <w:t>maps</w:t>
      </w:r>
      <w:proofErr w:type="gramEnd"/>
      <w:r w:rsidRPr="000E3706">
        <w:rPr>
          <w:sz w:val="24"/>
          <w:szCs w:val="24"/>
        </w:rPr>
        <w:t xml:space="preserve"> and illustrations in order to make such a determination.</w:t>
      </w:r>
      <w:r>
        <w:rPr>
          <w:sz w:val="24"/>
          <w:szCs w:val="24"/>
        </w:rPr>
        <w:t xml:space="preserve">  </w:t>
      </w:r>
      <w:r w:rsidRPr="000E3706">
        <w:rPr>
          <w:sz w:val="24"/>
          <w:szCs w:val="24"/>
        </w:rPr>
        <w:t>In addition, the information collected for §785.19 is used to ensure that the essential hydrologic functions of alluvial valley floors in the arid and semiarid areas of the country are preserved throughout the mining and reclamation process and the proposed surface coal mining operation would not interrupt, or preclude farming on alluvial valley floors that are irrigated or sub-irrigated.</w:t>
      </w:r>
    </w:p>
    <w:p w:rsidR="000F571E" w:rsidP="000E3706" w:rsidRDefault="000F571E" w14:paraId="6A20301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571E" w:rsidP="000E3706" w:rsidRDefault="00884349" w14:paraId="6FE1BC0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84349">
        <w:rPr>
          <w:sz w:val="24"/>
          <w:szCs w:val="24"/>
        </w:rPr>
        <w:t>Section 785.</w:t>
      </w:r>
      <w:r>
        <w:rPr>
          <w:sz w:val="24"/>
          <w:szCs w:val="24"/>
        </w:rPr>
        <w:t>20</w:t>
      </w:r>
      <w:r w:rsidRPr="00884349">
        <w:rPr>
          <w:sz w:val="24"/>
          <w:szCs w:val="24"/>
        </w:rPr>
        <w:t>:  OSMRE and SRAs use the information collected for §785.20 to ensure that the proposed auger mining and reclamation operations are planned and will be conducted to minimize disturbances to facilities, structure and the hydrologic balance and to assure maximum recovery of coal resources.  Moreover, the information will assure the regulatory authority that no hazard is created to the environment, public health, or safety.</w:t>
      </w:r>
    </w:p>
    <w:p w:rsidR="000F571E" w:rsidP="000E3706" w:rsidRDefault="000F571E" w14:paraId="41F7DC1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571E" w:rsidP="000E3706" w:rsidRDefault="00884349" w14:paraId="5CC3665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84349">
        <w:rPr>
          <w:sz w:val="24"/>
          <w:szCs w:val="24"/>
        </w:rPr>
        <w:t>Section 785.</w:t>
      </w:r>
      <w:r>
        <w:rPr>
          <w:sz w:val="24"/>
          <w:szCs w:val="24"/>
        </w:rPr>
        <w:t>22</w:t>
      </w:r>
      <w:r w:rsidRPr="00884349">
        <w:rPr>
          <w:sz w:val="24"/>
          <w:szCs w:val="24"/>
        </w:rPr>
        <w:t xml:space="preserve">:  OSMRE and SRAs use the information collected for §785.22 to ensure that the </w:t>
      </w:r>
      <w:proofErr w:type="gramStart"/>
      <w:r w:rsidRPr="00884349">
        <w:rPr>
          <w:sz w:val="24"/>
          <w:szCs w:val="24"/>
        </w:rPr>
        <w:t>in situ</w:t>
      </w:r>
      <w:proofErr w:type="gramEnd"/>
      <w:r w:rsidRPr="00884349">
        <w:rPr>
          <w:sz w:val="24"/>
          <w:szCs w:val="24"/>
        </w:rPr>
        <w:t xml:space="preserve"> processing activities are conducted in a manner that preserves and enhances environmental values, including air and water quality in accordance with the Act.  Moreover, the information will assure the regulatory authority that the permit applicant would monitor the quantity and quality of surface and ground water in compliance with 30 CFR Parts 817 and 828 and approved by the regulatory authority.</w:t>
      </w:r>
    </w:p>
    <w:p w:rsidR="00884349" w:rsidP="000E3706" w:rsidRDefault="00884349" w14:paraId="4F3A582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4349" w:rsidP="000E3706" w:rsidRDefault="00884349" w14:paraId="0C5562C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84349">
        <w:rPr>
          <w:sz w:val="24"/>
          <w:szCs w:val="24"/>
        </w:rPr>
        <w:t>Section 785.2</w:t>
      </w:r>
      <w:r>
        <w:rPr>
          <w:sz w:val="24"/>
          <w:szCs w:val="24"/>
        </w:rPr>
        <w:t>5</w:t>
      </w:r>
      <w:r w:rsidRPr="00884349">
        <w:rPr>
          <w:sz w:val="24"/>
          <w:szCs w:val="24"/>
        </w:rPr>
        <w:t>:  Section 785.25(a) and (b) require that a permit applicant who conducts surface coal mining on lands eligible for remining, submit a permit application that includes all the information required under the current laws and regulations that are applicable to surface coal mining and reclamation operations</w:t>
      </w:r>
      <w:r>
        <w:rPr>
          <w:sz w:val="24"/>
          <w:szCs w:val="24"/>
        </w:rPr>
        <w:t xml:space="preserve">.  </w:t>
      </w:r>
      <w:r w:rsidRPr="00884349">
        <w:rPr>
          <w:sz w:val="24"/>
          <w:szCs w:val="24"/>
        </w:rPr>
        <w:t>The information required in §785.25(a) and (b) is necessary to allow states to issue permits to applicants with unabated violations in compliance with §773.13</w:t>
      </w:r>
      <w:r w:rsidR="00694594">
        <w:rPr>
          <w:sz w:val="24"/>
          <w:szCs w:val="24"/>
        </w:rPr>
        <w:t xml:space="preserve">.  </w:t>
      </w:r>
      <w:r w:rsidRPr="00884349">
        <w:rPr>
          <w:sz w:val="24"/>
          <w:szCs w:val="24"/>
        </w:rPr>
        <w:t xml:space="preserve">The information required by §785.25(a) and (b) will assist states in making the determination that unabated violations were the result of unanticipated events or conditions and allow them to issue a </w:t>
      </w:r>
      <w:r w:rsidR="00694594">
        <w:rPr>
          <w:sz w:val="24"/>
          <w:szCs w:val="24"/>
        </w:rPr>
        <w:t xml:space="preserve">remining </w:t>
      </w:r>
      <w:r w:rsidRPr="00884349">
        <w:rPr>
          <w:sz w:val="24"/>
          <w:szCs w:val="24"/>
        </w:rPr>
        <w:t xml:space="preserve">permit to an applicant with an unabated violation meeting those conditions.  </w:t>
      </w:r>
    </w:p>
    <w:p w:rsidR="00694594" w:rsidP="000E3706" w:rsidRDefault="00694594" w14:paraId="42BB617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83E30" w:rsidR="00880EA1" w:rsidP="00F83E30" w:rsidRDefault="00880EA1" w14:paraId="299788D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04D90">
        <w:rPr>
          <w:b/>
          <w:i/>
          <w:sz w:val="24"/>
          <w:szCs w:val="24"/>
        </w:rPr>
        <w:t>3.</w:t>
      </w:r>
      <w:r w:rsidRPr="00104D90">
        <w:rPr>
          <w:b/>
          <w:i/>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w:t>
      </w:r>
      <w:r w:rsidRPr="00104D90">
        <w:rPr>
          <w:b/>
          <w:i/>
          <w:sz w:val="24"/>
          <w:szCs w:val="24"/>
        </w:rPr>
        <w:lastRenderedPageBreak/>
        <w:t>using information technology to reduce burden and specifically how this collection meets GPEA requirements.</w:t>
      </w:r>
    </w:p>
    <w:p w:rsidRPr="00F83E30" w:rsidR="00F83E30" w:rsidP="00F83E30" w:rsidRDefault="00F83E30" w14:paraId="3568B1A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83E30" w:rsidR="00F83E30" w:rsidP="00F83E30" w:rsidRDefault="00F83E30" w14:paraId="0C7484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83E30">
        <w:rPr>
          <w:sz w:val="24"/>
          <w:szCs w:val="24"/>
        </w:rPr>
        <w:t>OSMRE continues to work with SRAs</w:t>
      </w:r>
      <w:r>
        <w:rPr>
          <w:sz w:val="24"/>
          <w:szCs w:val="24"/>
        </w:rPr>
        <w:t xml:space="preserve"> </w:t>
      </w:r>
      <w:r w:rsidRPr="00F83E30">
        <w:rPr>
          <w:sz w:val="24"/>
          <w:szCs w:val="24"/>
        </w:rPr>
        <w:t>and coal companies to develop procedures for the preparation and processing of permit applications electronically.  Progress has been made in most states to increase the use of electronic and information technology to improve efficiency and reduce the time and cost burden to permit applicants and SRAs.  Nationally, OSMRE estimates that the SRAs are making progress in electronic permitting, receiving 7</w:t>
      </w:r>
      <w:r>
        <w:rPr>
          <w:sz w:val="24"/>
          <w:szCs w:val="24"/>
        </w:rPr>
        <w:t>5</w:t>
      </w:r>
      <w:r w:rsidRPr="00F83E30">
        <w:rPr>
          <w:sz w:val="24"/>
          <w:szCs w:val="24"/>
        </w:rPr>
        <w:t>% of permit applications electronically.</w:t>
      </w:r>
    </w:p>
    <w:p w:rsidRPr="00F83E30" w:rsidR="00880EA1" w:rsidP="00F83E30" w:rsidRDefault="00880EA1" w14:paraId="6D03502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P="00880EA1" w:rsidRDefault="00880EA1" w14:paraId="33263F5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4.</w:t>
      </w:r>
      <w:r w:rsidRPr="00104D90">
        <w:rPr>
          <w:b/>
          <w:i/>
          <w:sz w:val="24"/>
          <w:szCs w:val="24"/>
        </w:rPr>
        <w:tab/>
        <w:t>Describe efforts to identify duplication.  Show specifically why any similar information already available cannot be used or modified for use for the purposes described in Item 2 above.</w:t>
      </w:r>
    </w:p>
    <w:p w:rsidRPr="00104D90" w:rsidR="00F83E30" w:rsidP="00880EA1" w:rsidRDefault="00F83E30" w14:paraId="5D587A0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633C6A" w:rsidR="00F83E30" w:rsidP="00F83E30" w:rsidRDefault="00F83E30" w14:paraId="264DD900"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22419">
        <w:rPr>
          <w:sz w:val="24"/>
          <w:szCs w:val="24"/>
        </w:rPr>
        <w:t>The information requested by 30 CFR Part 785 is unique to each person or site.  Circumstances vary with each proposed</w:t>
      </w:r>
      <w:r w:rsidRPr="00633C6A">
        <w:rPr>
          <w:sz w:val="24"/>
          <w:szCs w:val="24"/>
        </w:rPr>
        <w:t xml:space="preserve"> coal mining site in which a permit application has been received.  Thus, there is no available information that can be used in lieu of that supplied on each application.  Information is collected infrequently (generally only once, at the time that a person submits a special application for special categories of surface coal mining and reclamation operations).  Duplication of such information is minimal to nonexistent.</w:t>
      </w:r>
    </w:p>
    <w:p w:rsidR="00F83E30" w:rsidP="00880EA1" w:rsidRDefault="00F83E30" w14:paraId="138A9DE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rsidRDefault="00880EA1" w14:paraId="47D89D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5.</w:t>
      </w:r>
      <w:r w:rsidRPr="00104D90">
        <w:rPr>
          <w:b/>
          <w:i/>
          <w:sz w:val="24"/>
          <w:szCs w:val="24"/>
        </w:rPr>
        <w:tab/>
        <w:t>If the collection of information impacts small businesses or other small entities, describe any methods used to minimize burden.</w:t>
      </w:r>
    </w:p>
    <w:p w:rsidR="00EA0F4C" w:rsidP="00880EA1" w:rsidRDefault="00EA0F4C" w14:paraId="5C0C136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104D90" w:rsidR="00EA0F4C" w:rsidP="00EA0F4C" w:rsidRDefault="00EA0F4C" w14:paraId="5650CFF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633C6A">
        <w:rPr>
          <w:sz w:val="24"/>
          <w:szCs w:val="24"/>
        </w:rPr>
        <w:t>There are no special provisions for small businesses or other small entities.  Special provisions are not appropriate because the requested information is the minimum needed to document the permit to conduct special categories of coal mining and reclamation operations.  Adequate documentation of this permit is essential to ensure protection of public health and safety, water quantity and quality, alluvial valley floors, prime farm lands, wild life and habitat, while encouraging maximizing</w:t>
      </w:r>
      <w:r w:rsidRPr="00633C6A">
        <w:rPr>
          <w:b/>
          <w:bCs/>
          <w:sz w:val="24"/>
          <w:szCs w:val="24"/>
        </w:rPr>
        <w:t xml:space="preserve"> </w:t>
      </w:r>
      <w:r w:rsidRPr="00633C6A">
        <w:rPr>
          <w:sz w:val="24"/>
          <w:szCs w:val="24"/>
        </w:rPr>
        <w:t xml:space="preserve">the production or recovery of coal reserves and minimizing the environmental disturbances around the coal mining site.  </w:t>
      </w:r>
    </w:p>
    <w:p w:rsidRPr="00104D90" w:rsidR="00880EA1" w:rsidP="00880EA1" w:rsidRDefault="00880EA1" w14:paraId="75476BD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rsidRDefault="00880EA1" w14:paraId="5000A5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6.</w:t>
      </w:r>
      <w:r w:rsidRPr="00104D90">
        <w:rPr>
          <w:b/>
          <w:i/>
          <w:sz w:val="24"/>
          <w:szCs w:val="24"/>
        </w:rPr>
        <w:tab/>
        <w:t>Describe the consequence to Federal program or policy activities if the collection is not conducted or is conducted less frequently, as well as any technical or legal obstacles to reducing burden.</w:t>
      </w:r>
    </w:p>
    <w:p w:rsidRPr="00104D90" w:rsidR="00895F6B" w:rsidP="00880EA1" w:rsidRDefault="00895F6B" w14:paraId="43CE285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633C6A" w:rsidR="00895F6B" w:rsidP="00895F6B" w:rsidRDefault="00895F6B" w14:paraId="56EE356C"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33C6A">
        <w:rPr>
          <w:sz w:val="24"/>
          <w:szCs w:val="24"/>
        </w:rPr>
        <w:t xml:space="preserve">Information is collected only at the time an application is made; therefore, frequency of collection does not apply here.  Failure to collect the information requested </w:t>
      </w:r>
      <w:r>
        <w:rPr>
          <w:sz w:val="24"/>
          <w:szCs w:val="24"/>
        </w:rPr>
        <w:t>for</w:t>
      </w:r>
      <w:r w:rsidRPr="00633C6A">
        <w:rPr>
          <w:sz w:val="24"/>
          <w:szCs w:val="24"/>
        </w:rPr>
        <w:t xml:space="preserve"> 30 CFR Part 785 would impair the ability of </w:t>
      </w:r>
      <w:r>
        <w:rPr>
          <w:sz w:val="24"/>
          <w:szCs w:val="24"/>
        </w:rPr>
        <w:t>OSMRE</w:t>
      </w:r>
      <w:r w:rsidRPr="00633C6A">
        <w:rPr>
          <w:sz w:val="24"/>
          <w:szCs w:val="24"/>
        </w:rPr>
        <w:t xml:space="preserve"> and </w:t>
      </w:r>
      <w:r>
        <w:rPr>
          <w:sz w:val="24"/>
          <w:szCs w:val="24"/>
        </w:rPr>
        <w:t>SRAs</w:t>
      </w:r>
      <w:r w:rsidRPr="00633C6A">
        <w:rPr>
          <w:sz w:val="24"/>
          <w:szCs w:val="24"/>
        </w:rPr>
        <w:t xml:space="preserve"> to ensure that respondents are conducting special categories of coal mining and reclamation operations in a manner that preserves and enhances environmental values in accordance with the Act.</w:t>
      </w:r>
    </w:p>
    <w:p w:rsidRPr="00104D90" w:rsidR="00EA0F4C" w:rsidP="00895F6B" w:rsidRDefault="00EA0F4C" w14:paraId="0B84435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104D90" w:rsidR="00880EA1" w:rsidP="00880EA1" w:rsidRDefault="00880EA1" w14:paraId="6C17D83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7.</w:t>
      </w:r>
      <w:r w:rsidRPr="00104D90">
        <w:rPr>
          <w:b/>
          <w:i/>
          <w:sz w:val="24"/>
          <w:szCs w:val="24"/>
        </w:rPr>
        <w:tab/>
        <w:t>Explain any special circumstances that would cause an information collection to be conducted in a manner:</w:t>
      </w:r>
    </w:p>
    <w:p w:rsidRPr="00104D90" w:rsidR="00880EA1" w:rsidP="00880EA1" w:rsidRDefault="00880EA1" w14:paraId="69CE82A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respondents to report information to the agency more often than </w:t>
      </w:r>
      <w:proofErr w:type="gramStart"/>
      <w:r w:rsidRPr="00104D90">
        <w:rPr>
          <w:b/>
          <w:i/>
          <w:sz w:val="24"/>
          <w:szCs w:val="24"/>
        </w:rPr>
        <w:lastRenderedPageBreak/>
        <w:t>quarterly;</w:t>
      </w:r>
      <w:proofErr w:type="gramEnd"/>
    </w:p>
    <w:p w:rsidRPr="00104D90" w:rsidR="00880EA1" w:rsidP="00880EA1" w:rsidRDefault="00880EA1" w14:paraId="327653C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respondents to prepare a written response to a collection of information in fewer than 30 days after receipt of </w:t>
      </w:r>
      <w:proofErr w:type="gramStart"/>
      <w:r w:rsidRPr="00104D90">
        <w:rPr>
          <w:b/>
          <w:i/>
          <w:sz w:val="24"/>
          <w:szCs w:val="24"/>
        </w:rPr>
        <w:t>it;</w:t>
      </w:r>
      <w:proofErr w:type="gramEnd"/>
    </w:p>
    <w:p w:rsidRPr="00104D90" w:rsidR="00880EA1" w:rsidP="00880EA1" w:rsidRDefault="00880EA1" w14:paraId="007995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respondents to submit more than an original and two copies of any </w:t>
      </w:r>
      <w:proofErr w:type="gramStart"/>
      <w:r w:rsidRPr="00104D90">
        <w:rPr>
          <w:b/>
          <w:i/>
          <w:sz w:val="24"/>
          <w:szCs w:val="24"/>
        </w:rPr>
        <w:t>document;</w:t>
      </w:r>
      <w:proofErr w:type="gramEnd"/>
    </w:p>
    <w:p w:rsidRPr="00104D90" w:rsidR="00880EA1" w:rsidP="00880EA1" w:rsidRDefault="00880EA1" w14:paraId="537760E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respondents to retain records, other than health, medical, government contract, grant-in-aid, or tax records, for more than three </w:t>
      </w:r>
      <w:proofErr w:type="gramStart"/>
      <w:r w:rsidRPr="00104D90">
        <w:rPr>
          <w:b/>
          <w:i/>
          <w:sz w:val="24"/>
          <w:szCs w:val="24"/>
        </w:rPr>
        <w:t>years;</w:t>
      </w:r>
      <w:proofErr w:type="gramEnd"/>
    </w:p>
    <w:p w:rsidRPr="00104D90" w:rsidR="00880EA1" w:rsidP="00880EA1" w:rsidRDefault="00880EA1" w14:paraId="25CD766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in connection with a statistical survey that is not designed to produce valid and reliable results that can be generalized to the universe of </w:t>
      </w:r>
      <w:proofErr w:type="gramStart"/>
      <w:r w:rsidRPr="00104D90">
        <w:rPr>
          <w:b/>
          <w:i/>
          <w:sz w:val="24"/>
          <w:szCs w:val="24"/>
        </w:rPr>
        <w:t>study;</w:t>
      </w:r>
      <w:proofErr w:type="gramEnd"/>
    </w:p>
    <w:p w:rsidRPr="00104D90" w:rsidR="00880EA1" w:rsidP="00880EA1" w:rsidRDefault="00880EA1" w14:paraId="564435B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requiring the use of a statistical data classification that has not been reviewed and approved by </w:t>
      </w:r>
      <w:proofErr w:type="gramStart"/>
      <w:r w:rsidRPr="00104D90">
        <w:rPr>
          <w:b/>
          <w:i/>
          <w:sz w:val="24"/>
          <w:szCs w:val="24"/>
        </w:rPr>
        <w:t>OMB;</w:t>
      </w:r>
      <w:proofErr w:type="gramEnd"/>
    </w:p>
    <w:p w:rsidRPr="00104D90" w:rsidR="00880EA1" w:rsidP="00880EA1" w:rsidRDefault="00880EA1" w14:paraId="11CDA7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04D90" w:rsidR="00880EA1" w:rsidP="00880EA1" w:rsidRDefault="00880EA1" w14:paraId="19A6EE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80EA1" w:rsidP="00757A35" w:rsidRDefault="00880EA1" w14:paraId="341C070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757A35" w:rsidR="00757A35" w:rsidP="00757A35" w:rsidRDefault="00757A35" w14:paraId="324647C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7A35">
        <w:rPr>
          <w:sz w:val="24"/>
          <w:szCs w:val="24"/>
        </w:rPr>
        <w:t>No collection of information for 30 CFR Part 785 is inconsistent with the guidelines in 5 CFR 1320.5(d)(2) as summarized in the instructions for this item of the supporting document.</w:t>
      </w:r>
    </w:p>
    <w:p w:rsidR="00757A35" w:rsidP="00757A35" w:rsidRDefault="00757A35" w14:paraId="4D3D360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104D90" w:rsidR="00880EA1" w:rsidP="00880EA1" w:rsidRDefault="00880EA1" w14:paraId="404F5B8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8.</w:t>
      </w:r>
      <w:r w:rsidRPr="00104D90">
        <w:rPr>
          <w:b/>
          <w:i/>
          <w:sz w:val="24"/>
          <w:szCs w:val="24"/>
        </w:rPr>
        <w:tab/>
        <w:t xml:space="preserve">If applicable, provide a copy and identify the date and page number of </w:t>
      </w:r>
      <w:proofErr w:type="gramStart"/>
      <w:r w:rsidRPr="00104D90">
        <w:rPr>
          <w:b/>
          <w:i/>
          <w:sz w:val="24"/>
          <w:szCs w:val="24"/>
        </w:rPr>
        <w:t>publication</w:t>
      </w:r>
      <w:proofErr w:type="gramEnd"/>
      <w:r w:rsidRPr="00104D90">
        <w:rPr>
          <w:b/>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104D90" w:rsidR="00880EA1" w:rsidP="00880EA1" w:rsidRDefault="00880EA1" w14:paraId="3F7621F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104D90" w:rsidR="00880EA1" w:rsidP="00880EA1" w:rsidRDefault="00880EA1" w14:paraId="320263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04D90" w:rsidR="00880EA1" w:rsidP="00880EA1" w:rsidRDefault="00880EA1" w14:paraId="20BFD7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rsidRDefault="00880EA1" w14:paraId="7AC1251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57A35" w:rsidP="00757A35" w:rsidRDefault="00757A35" w14:paraId="5EB8D41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757A35" w:rsidP="00757A35" w:rsidRDefault="00D37140" w14:paraId="73AE9156" w14:textId="4D0FFC6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C</w:t>
      </w:r>
      <w:r w:rsidRPr="00633C6A" w:rsidR="00757A35">
        <w:rPr>
          <w:sz w:val="24"/>
          <w:szCs w:val="24"/>
        </w:rPr>
        <w:t>ontact</w:t>
      </w:r>
      <w:r>
        <w:rPr>
          <w:sz w:val="24"/>
          <w:szCs w:val="24"/>
        </w:rPr>
        <w:t xml:space="preserve">s were made with </w:t>
      </w:r>
      <w:r w:rsidRPr="00633C6A" w:rsidR="00757A35">
        <w:rPr>
          <w:sz w:val="24"/>
          <w:szCs w:val="24"/>
        </w:rPr>
        <w:t>respondents w</w:t>
      </w:r>
      <w:r w:rsidR="00CA14A2">
        <w:rPr>
          <w:sz w:val="24"/>
          <w:szCs w:val="24"/>
        </w:rPr>
        <w:t xml:space="preserve">ith </w:t>
      </w:r>
      <w:r>
        <w:rPr>
          <w:sz w:val="24"/>
          <w:szCs w:val="24"/>
        </w:rPr>
        <w:t xml:space="preserve">previous </w:t>
      </w:r>
      <w:r w:rsidRPr="00633C6A" w:rsidR="00757A35">
        <w:rPr>
          <w:sz w:val="24"/>
          <w:szCs w:val="24"/>
        </w:rPr>
        <w:t xml:space="preserve">experience preparing applications for the various special categories of mining.  Respondents provided </w:t>
      </w:r>
      <w:r>
        <w:rPr>
          <w:sz w:val="24"/>
          <w:szCs w:val="24"/>
        </w:rPr>
        <w:t xml:space="preserve">comments of </w:t>
      </w:r>
      <w:r w:rsidRPr="00633C6A" w:rsidR="00757A35">
        <w:rPr>
          <w:sz w:val="24"/>
          <w:szCs w:val="24"/>
        </w:rPr>
        <w:t>estimates of the reporting burden</w:t>
      </w:r>
      <w:r>
        <w:rPr>
          <w:sz w:val="24"/>
          <w:szCs w:val="24"/>
        </w:rPr>
        <w:t xml:space="preserve"> </w:t>
      </w:r>
      <w:r w:rsidRPr="00633C6A" w:rsidR="00757A35">
        <w:rPr>
          <w:sz w:val="24"/>
          <w:szCs w:val="24"/>
        </w:rPr>
        <w:t xml:space="preserve">along with information from field office personnel who are closely involved with the oversight of the application approval process for </w:t>
      </w:r>
      <w:r w:rsidRPr="008476D2" w:rsidR="00757A35">
        <w:rPr>
          <w:sz w:val="24"/>
          <w:szCs w:val="24"/>
        </w:rPr>
        <w:t xml:space="preserve">special categories of mining.  </w:t>
      </w:r>
      <w:r>
        <w:rPr>
          <w:sz w:val="24"/>
          <w:szCs w:val="24"/>
        </w:rPr>
        <w:lastRenderedPageBreak/>
        <w:t>R</w:t>
      </w:r>
      <w:r w:rsidRPr="008476D2" w:rsidR="00757A35">
        <w:rPr>
          <w:sz w:val="24"/>
          <w:szCs w:val="24"/>
        </w:rPr>
        <w:t xml:space="preserve">espondents </w:t>
      </w:r>
      <w:r w:rsidR="009D09B1">
        <w:rPr>
          <w:sz w:val="24"/>
          <w:szCs w:val="24"/>
        </w:rPr>
        <w:t xml:space="preserve">(listed below) </w:t>
      </w:r>
      <w:r>
        <w:rPr>
          <w:sz w:val="24"/>
          <w:szCs w:val="24"/>
        </w:rPr>
        <w:t>note</w:t>
      </w:r>
      <w:r w:rsidR="009D09B1">
        <w:rPr>
          <w:sz w:val="24"/>
          <w:szCs w:val="24"/>
        </w:rPr>
        <w:t>d</w:t>
      </w:r>
      <w:r>
        <w:rPr>
          <w:sz w:val="24"/>
          <w:szCs w:val="24"/>
        </w:rPr>
        <w:t xml:space="preserve"> that although the frequency of applications were less than in the previous years</w:t>
      </w:r>
      <w:r w:rsidR="009D09B1">
        <w:rPr>
          <w:sz w:val="24"/>
          <w:szCs w:val="24"/>
        </w:rPr>
        <w:t>,</w:t>
      </w:r>
      <w:r>
        <w:rPr>
          <w:sz w:val="24"/>
          <w:szCs w:val="24"/>
        </w:rPr>
        <w:t xml:space="preserve"> the </w:t>
      </w:r>
      <w:r w:rsidR="009D09B1">
        <w:rPr>
          <w:sz w:val="24"/>
          <w:szCs w:val="24"/>
        </w:rPr>
        <w:t>amount of time per application was expected to remain consistent for the foreseeable future</w:t>
      </w:r>
      <w:r w:rsidRPr="008476D2" w:rsidR="00757A35">
        <w:rPr>
          <w:sz w:val="24"/>
          <w:szCs w:val="24"/>
        </w:rPr>
        <w:t>.</w:t>
      </w:r>
    </w:p>
    <w:p w:rsidR="00757A35" w:rsidP="00757A35" w:rsidRDefault="00757A35" w14:paraId="0B0A75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Pr="008B5DD3" w:rsidR="00757A35" w:rsidP="00757A35" w:rsidRDefault="00757A35" w14:paraId="1C888E59" w14:textId="77777777">
      <w:pPr>
        <w:tabs>
          <w:tab w:val="left" w:pos="-1440"/>
        </w:tabs>
        <w:rPr>
          <w:bCs/>
          <w:sz w:val="24"/>
          <w:szCs w:val="24"/>
        </w:rPr>
      </w:pPr>
    </w:p>
    <w:p w:rsidRPr="00582EE0" w:rsidR="00582EE0" w:rsidP="00582EE0" w:rsidRDefault="00582EE0" w14:paraId="531AB4D1" w14:textId="77777777">
      <w:pPr>
        <w:tabs>
          <w:tab w:val="left" w:pos="-1440"/>
        </w:tabs>
        <w:rPr>
          <w:bCs/>
          <w:sz w:val="24"/>
          <w:szCs w:val="24"/>
        </w:rPr>
      </w:pPr>
      <w:r w:rsidRPr="00582EE0">
        <w:rPr>
          <w:bCs/>
          <w:sz w:val="24"/>
          <w:szCs w:val="24"/>
        </w:rPr>
        <w:t>Environmental Control Manager, Division of Mine Permits</w:t>
      </w:r>
    </w:p>
    <w:p w:rsidRPr="00582EE0" w:rsidR="00582EE0" w:rsidP="00582EE0" w:rsidRDefault="00582EE0" w14:paraId="4297A08D" w14:textId="4A26318B">
      <w:pPr>
        <w:tabs>
          <w:tab w:val="left" w:pos="-1440"/>
        </w:tabs>
        <w:rPr>
          <w:bCs/>
          <w:sz w:val="24"/>
          <w:szCs w:val="24"/>
        </w:rPr>
      </w:pPr>
      <w:r w:rsidRPr="00582EE0">
        <w:rPr>
          <w:bCs/>
          <w:sz w:val="24"/>
          <w:szCs w:val="24"/>
        </w:rPr>
        <w:t>Kentucky Department of Natural Resources</w:t>
      </w:r>
    </w:p>
    <w:p w:rsidRPr="00582EE0" w:rsidR="00582EE0" w:rsidP="00582EE0" w:rsidRDefault="00582EE0" w14:paraId="4DF706E8" w14:textId="36479077">
      <w:pPr>
        <w:tabs>
          <w:tab w:val="left" w:pos="-1440"/>
        </w:tabs>
        <w:rPr>
          <w:bCs/>
          <w:sz w:val="24"/>
          <w:szCs w:val="24"/>
        </w:rPr>
      </w:pPr>
      <w:r w:rsidRPr="00582EE0">
        <w:rPr>
          <w:bCs/>
          <w:sz w:val="24"/>
          <w:szCs w:val="24"/>
        </w:rPr>
        <w:t>#2 Hudson Hollow</w:t>
      </w:r>
    </w:p>
    <w:p w:rsidRPr="00582EE0" w:rsidR="00582EE0" w:rsidP="00582EE0" w:rsidRDefault="00582EE0" w14:paraId="18D0C947" w14:textId="727DFF71">
      <w:pPr>
        <w:tabs>
          <w:tab w:val="left" w:pos="-1440"/>
        </w:tabs>
        <w:rPr>
          <w:bCs/>
          <w:sz w:val="24"/>
          <w:szCs w:val="24"/>
        </w:rPr>
      </w:pPr>
      <w:r w:rsidRPr="00582EE0">
        <w:rPr>
          <w:bCs/>
          <w:sz w:val="24"/>
          <w:szCs w:val="24"/>
        </w:rPr>
        <w:t>Frankfort, Kentucky 40601</w:t>
      </w:r>
    </w:p>
    <w:p w:rsidR="00582EE0" w:rsidP="00757A35" w:rsidRDefault="00582EE0" w14:paraId="0B069205" w14:textId="77777777">
      <w:pPr>
        <w:tabs>
          <w:tab w:val="left" w:pos="-1440"/>
        </w:tabs>
        <w:rPr>
          <w:bCs/>
          <w:sz w:val="24"/>
          <w:szCs w:val="24"/>
        </w:rPr>
      </w:pPr>
    </w:p>
    <w:p w:rsidR="00757A35" w:rsidP="00757A35" w:rsidRDefault="00757A35" w14:paraId="3DC9ABDF" w14:textId="161C785A">
      <w:pPr>
        <w:tabs>
          <w:tab w:val="left" w:pos="-1440"/>
        </w:tabs>
        <w:rPr>
          <w:bCs/>
          <w:sz w:val="24"/>
          <w:szCs w:val="24"/>
        </w:rPr>
      </w:pPr>
      <w:r>
        <w:rPr>
          <w:bCs/>
          <w:sz w:val="24"/>
          <w:szCs w:val="24"/>
        </w:rPr>
        <w:t>Alabama Surface Mining Commission</w:t>
      </w:r>
    </w:p>
    <w:p w:rsidRPr="008B5DD3" w:rsidR="00757A35" w:rsidP="00757A35" w:rsidRDefault="00757A35" w14:paraId="7CD3650C" w14:textId="77777777">
      <w:pPr>
        <w:tabs>
          <w:tab w:val="left" w:pos="-1440"/>
        </w:tabs>
        <w:rPr>
          <w:bCs/>
          <w:sz w:val="24"/>
          <w:szCs w:val="24"/>
        </w:rPr>
      </w:pPr>
      <w:r w:rsidRPr="00DF3F51">
        <w:rPr>
          <w:bCs/>
          <w:sz w:val="24"/>
          <w:szCs w:val="24"/>
        </w:rPr>
        <w:t>1811 Second Avenue, 2nd Floor</w:t>
      </w:r>
      <w:r w:rsidRPr="00DF3F51">
        <w:rPr>
          <w:bCs/>
          <w:sz w:val="24"/>
          <w:szCs w:val="24"/>
        </w:rPr>
        <w:br/>
        <w:t>P.O. Box 2390</w:t>
      </w:r>
    </w:p>
    <w:p w:rsidRPr="008B5DD3" w:rsidR="00757A35" w:rsidP="00757A35" w:rsidRDefault="00757A35" w14:paraId="54D871CC" w14:textId="77777777">
      <w:pPr>
        <w:tabs>
          <w:tab w:val="left" w:pos="-1440"/>
        </w:tabs>
        <w:rPr>
          <w:bCs/>
          <w:sz w:val="24"/>
          <w:szCs w:val="24"/>
        </w:rPr>
      </w:pPr>
      <w:r>
        <w:rPr>
          <w:bCs/>
          <w:sz w:val="24"/>
          <w:szCs w:val="24"/>
        </w:rPr>
        <w:t>Jasper, AL  35502</w:t>
      </w:r>
      <w:r w:rsidRPr="008B5DD3">
        <w:rPr>
          <w:bCs/>
          <w:sz w:val="24"/>
          <w:szCs w:val="24"/>
        </w:rPr>
        <w:t xml:space="preserve"> </w:t>
      </w:r>
    </w:p>
    <w:p w:rsidR="00757A35" w:rsidP="00757A35" w:rsidRDefault="00757A35" w14:paraId="0E928371" w14:textId="77777777">
      <w:pPr>
        <w:tabs>
          <w:tab w:val="left" w:pos="-1440"/>
        </w:tabs>
        <w:rPr>
          <w:bCs/>
          <w:sz w:val="24"/>
          <w:szCs w:val="24"/>
        </w:rPr>
      </w:pPr>
    </w:p>
    <w:p w:rsidR="00757A35" w:rsidP="00757A35" w:rsidRDefault="00757A35" w14:paraId="25C941D8" w14:textId="77777777">
      <w:pPr>
        <w:tabs>
          <w:tab w:val="left" w:pos="-1440"/>
        </w:tabs>
        <w:rPr>
          <w:bCs/>
          <w:sz w:val="24"/>
          <w:szCs w:val="24"/>
        </w:rPr>
      </w:pPr>
      <w:r>
        <w:rPr>
          <w:bCs/>
          <w:sz w:val="24"/>
          <w:szCs w:val="24"/>
        </w:rPr>
        <w:t>Reclamation Program Manager</w:t>
      </w:r>
    </w:p>
    <w:p w:rsidR="00757A35" w:rsidP="00757A35" w:rsidRDefault="00757A35" w14:paraId="34EFD35C" w14:textId="77777777">
      <w:pPr>
        <w:tabs>
          <w:tab w:val="left" w:pos="-1440"/>
        </w:tabs>
        <w:rPr>
          <w:bCs/>
          <w:sz w:val="24"/>
          <w:szCs w:val="24"/>
        </w:rPr>
      </w:pPr>
      <w:r>
        <w:rPr>
          <w:bCs/>
          <w:sz w:val="24"/>
          <w:szCs w:val="24"/>
        </w:rPr>
        <w:t>Virginia Department of Mines, Minerals &amp; Energy</w:t>
      </w:r>
    </w:p>
    <w:p w:rsidR="00757A35" w:rsidP="00757A35" w:rsidRDefault="00757A35" w14:paraId="6F8C4CBB" w14:textId="77777777">
      <w:pPr>
        <w:tabs>
          <w:tab w:val="left" w:pos="-1440"/>
        </w:tabs>
        <w:rPr>
          <w:bCs/>
          <w:sz w:val="24"/>
          <w:szCs w:val="24"/>
        </w:rPr>
      </w:pPr>
      <w:r>
        <w:rPr>
          <w:bCs/>
          <w:sz w:val="24"/>
          <w:szCs w:val="24"/>
        </w:rPr>
        <w:t>3405 Mountain Empire Rd</w:t>
      </w:r>
    </w:p>
    <w:p w:rsidR="00757A35" w:rsidP="00757A35" w:rsidRDefault="00757A35" w14:paraId="746899BE" w14:textId="77777777">
      <w:pPr>
        <w:tabs>
          <w:tab w:val="left" w:pos="-1440"/>
        </w:tabs>
        <w:rPr>
          <w:bCs/>
          <w:sz w:val="24"/>
          <w:szCs w:val="24"/>
        </w:rPr>
      </w:pPr>
      <w:r>
        <w:rPr>
          <w:bCs/>
          <w:sz w:val="24"/>
          <w:szCs w:val="24"/>
        </w:rPr>
        <w:t>Big Stone Gap, VA  24219</w:t>
      </w:r>
    </w:p>
    <w:p w:rsidRPr="008B5DD3" w:rsidR="00757A35" w:rsidP="00757A35" w:rsidRDefault="00757A35" w14:paraId="33DF7599" w14:textId="77777777">
      <w:pPr>
        <w:shd w:val="clear" w:color="auto" w:fill="FFFFFF"/>
        <w:rPr>
          <w:color w:val="000000"/>
          <w:sz w:val="24"/>
          <w:szCs w:val="24"/>
        </w:rPr>
      </w:pPr>
    </w:p>
    <w:p w:rsidRPr="00D37140" w:rsidR="00D37140" w:rsidP="00D37140" w:rsidRDefault="00D37140" w14:paraId="7CD8A726" w14:textId="7D1C1C2B">
      <w:pPr>
        <w:rPr>
          <w:sz w:val="24"/>
          <w:szCs w:val="24"/>
        </w:rPr>
      </w:pPr>
      <w:r w:rsidRPr="00D37140">
        <w:rPr>
          <w:sz w:val="24"/>
          <w:szCs w:val="24"/>
        </w:rPr>
        <w:t>Technical Group</w:t>
      </w:r>
      <w:r w:rsidR="00CA14A2">
        <w:rPr>
          <w:sz w:val="24"/>
          <w:szCs w:val="24"/>
        </w:rPr>
        <w:t xml:space="preserve"> Supervisor</w:t>
      </w:r>
    </w:p>
    <w:p w:rsidRPr="00D37140" w:rsidR="00D37140" w:rsidP="00D37140" w:rsidRDefault="00D37140" w14:paraId="4B3C555E" w14:textId="7098D12B">
      <w:pPr>
        <w:rPr>
          <w:sz w:val="24"/>
          <w:szCs w:val="24"/>
        </w:rPr>
      </w:pPr>
      <w:r w:rsidRPr="00D37140">
        <w:rPr>
          <w:sz w:val="24"/>
          <w:szCs w:val="24"/>
        </w:rPr>
        <w:t>Knoxville Field Office</w:t>
      </w:r>
    </w:p>
    <w:p w:rsidRPr="00D37140" w:rsidR="00D37140" w:rsidP="00D37140" w:rsidRDefault="00D37140" w14:paraId="64A3D601" w14:textId="319D5AB4">
      <w:pPr>
        <w:rPr>
          <w:sz w:val="24"/>
          <w:szCs w:val="24"/>
        </w:rPr>
      </w:pPr>
      <w:r w:rsidRPr="00D37140">
        <w:rPr>
          <w:sz w:val="24"/>
          <w:szCs w:val="24"/>
        </w:rPr>
        <w:t>710 Locust Street, 2</w:t>
      </w:r>
      <w:r w:rsidRPr="00D37140">
        <w:rPr>
          <w:sz w:val="24"/>
          <w:szCs w:val="24"/>
          <w:vertAlign w:val="superscript"/>
        </w:rPr>
        <w:t>nd</w:t>
      </w:r>
      <w:r w:rsidRPr="00D37140">
        <w:rPr>
          <w:sz w:val="24"/>
          <w:szCs w:val="24"/>
        </w:rPr>
        <w:t xml:space="preserve"> Floor</w:t>
      </w:r>
      <w:r w:rsidRPr="00D37140">
        <w:rPr>
          <w:sz w:val="24"/>
          <w:szCs w:val="24"/>
        </w:rPr>
        <w:tab/>
      </w:r>
    </w:p>
    <w:p w:rsidRPr="00D37140" w:rsidR="00D37140" w:rsidP="00D37140" w:rsidRDefault="00D37140" w14:paraId="7C55E2EA" w14:textId="3822F92C">
      <w:pPr>
        <w:rPr>
          <w:sz w:val="24"/>
          <w:szCs w:val="24"/>
        </w:rPr>
      </w:pPr>
      <w:r w:rsidRPr="00D37140">
        <w:rPr>
          <w:sz w:val="24"/>
          <w:szCs w:val="24"/>
        </w:rPr>
        <w:t>Knoxville, Tennessee 37902</w:t>
      </w:r>
      <w:r w:rsidR="009D09B1">
        <w:rPr>
          <w:sz w:val="24"/>
          <w:szCs w:val="24"/>
        </w:rPr>
        <w:br/>
      </w:r>
    </w:p>
    <w:p w:rsidRPr="00274AEE" w:rsidR="00757A35" w:rsidP="00757A35" w:rsidRDefault="00757A35" w14:paraId="363A31F9" w14:textId="60C49BF1">
      <w:pPr>
        <w:rPr>
          <w:bCs/>
          <w:sz w:val="24"/>
          <w:szCs w:val="24"/>
        </w:rPr>
      </w:pPr>
      <w:r w:rsidRPr="00274AEE">
        <w:rPr>
          <w:bCs/>
          <w:sz w:val="24"/>
          <w:szCs w:val="24"/>
        </w:rPr>
        <w:t xml:space="preserve">On </w:t>
      </w:r>
      <w:r w:rsidR="00A3629B">
        <w:rPr>
          <w:bCs/>
          <w:sz w:val="24"/>
          <w:szCs w:val="24"/>
        </w:rPr>
        <w:t>January</w:t>
      </w:r>
      <w:r w:rsidRPr="00274AEE">
        <w:rPr>
          <w:bCs/>
          <w:sz w:val="24"/>
          <w:szCs w:val="24"/>
        </w:rPr>
        <w:t xml:space="preserve"> </w:t>
      </w:r>
      <w:r w:rsidR="00A3629B">
        <w:rPr>
          <w:bCs/>
          <w:sz w:val="24"/>
          <w:szCs w:val="24"/>
        </w:rPr>
        <w:t>15</w:t>
      </w:r>
      <w:r w:rsidRPr="00274AEE">
        <w:rPr>
          <w:bCs/>
          <w:sz w:val="24"/>
          <w:szCs w:val="24"/>
        </w:rPr>
        <w:t>, 20</w:t>
      </w:r>
      <w:r w:rsidR="00A3629B">
        <w:rPr>
          <w:bCs/>
          <w:sz w:val="24"/>
          <w:szCs w:val="24"/>
        </w:rPr>
        <w:t>21</w:t>
      </w:r>
      <w:r w:rsidRPr="00274AEE">
        <w:rPr>
          <w:bCs/>
          <w:sz w:val="24"/>
          <w:szCs w:val="24"/>
        </w:rPr>
        <w:t xml:space="preserve">, OSMRE published a notice in the </w:t>
      </w:r>
      <w:r w:rsidRPr="00274AEE">
        <w:rPr>
          <w:bCs/>
          <w:sz w:val="24"/>
          <w:szCs w:val="24"/>
          <w:u w:val="single"/>
        </w:rPr>
        <w:t>Federal</w:t>
      </w:r>
      <w:r w:rsidRPr="00274AEE">
        <w:rPr>
          <w:bCs/>
          <w:sz w:val="24"/>
          <w:szCs w:val="24"/>
        </w:rPr>
        <w:t xml:space="preserve"> </w:t>
      </w:r>
      <w:r w:rsidRPr="00274AEE">
        <w:rPr>
          <w:bCs/>
          <w:sz w:val="24"/>
          <w:szCs w:val="24"/>
          <w:u w:val="single"/>
        </w:rPr>
        <w:t>Register</w:t>
      </w:r>
      <w:r w:rsidRPr="00274AEE">
        <w:rPr>
          <w:bCs/>
          <w:sz w:val="24"/>
          <w:szCs w:val="24"/>
        </w:rPr>
        <w:t xml:space="preserve"> (</w:t>
      </w:r>
      <w:r>
        <w:rPr>
          <w:bCs/>
          <w:sz w:val="24"/>
          <w:szCs w:val="24"/>
        </w:rPr>
        <w:t>8</w:t>
      </w:r>
      <w:r w:rsidR="00582EE0">
        <w:rPr>
          <w:bCs/>
          <w:sz w:val="24"/>
          <w:szCs w:val="24"/>
        </w:rPr>
        <w:t>6</w:t>
      </w:r>
      <w:r w:rsidRPr="00274AEE">
        <w:rPr>
          <w:bCs/>
          <w:sz w:val="24"/>
          <w:szCs w:val="24"/>
        </w:rPr>
        <w:t xml:space="preserve"> FR </w:t>
      </w:r>
      <w:r w:rsidR="00582EE0">
        <w:rPr>
          <w:bCs/>
          <w:sz w:val="24"/>
          <w:szCs w:val="24"/>
        </w:rPr>
        <w:t>4123</w:t>
      </w:r>
      <w:r w:rsidRPr="00274AEE">
        <w:rPr>
          <w:bCs/>
          <w:sz w:val="24"/>
          <w:szCs w:val="24"/>
        </w:rPr>
        <w:t>), which provided 60 days for the public to comment on the information collection requirements of this part.  OSMRE did not receive any comments regarding the information collection activities of this part.</w:t>
      </w:r>
    </w:p>
    <w:p w:rsidRPr="00104D90" w:rsidR="00880EA1" w:rsidP="00757A35" w:rsidRDefault="00880EA1" w14:paraId="719BEEF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880EA1" w:rsidP="00880EA1" w:rsidRDefault="00880EA1" w14:paraId="062BDEA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9.</w:t>
      </w:r>
      <w:r w:rsidRPr="00104D90">
        <w:rPr>
          <w:b/>
          <w:i/>
          <w:sz w:val="24"/>
          <w:szCs w:val="24"/>
        </w:rPr>
        <w:tab/>
        <w:t>Explain any decision to provide any payment or gift to respondents, other than remuneration of contractors or grantees.</w:t>
      </w:r>
    </w:p>
    <w:p w:rsidR="00BA4642" w:rsidP="00880EA1" w:rsidRDefault="00BA4642" w14:paraId="5C08E9C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BA4642" w:rsidR="00BA4642" w:rsidP="00880EA1" w:rsidRDefault="00BA4642" w14:paraId="5CFC897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4642">
        <w:rPr>
          <w:sz w:val="24"/>
          <w:szCs w:val="24"/>
        </w:rPr>
        <w:t>OSMRE and SRAs provide no payments or gifts to respondents.</w:t>
      </w:r>
    </w:p>
    <w:p w:rsidRPr="00104D90" w:rsidR="00880EA1" w:rsidP="00880EA1" w:rsidRDefault="00880EA1" w14:paraId="5F31CFA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rsidRDefault="00880EA1" w14:paraId="14F903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04D90">
        <w:rPr>
          <w:b/>
          <w:i/>
          <w:sz w:val="24"/>
          <w:szCs w:val="24"/>
        </w:rPr>
        <w:t>10.</w:t>
      </w:r>
      <w:r w:rsidRPr="00104D90">
        <w:rPr>
          <w:b/>
          <w:i/>
          <w:sz w:val="24"/>
          <w:szCs w:val="24"/>
        </w:rPr>
        <w:tab/>
        <w:t>Describe any assurance of confidentiality provided to respondents and the basis for the assurance in statute, regulation, or agency policy.</w:t>
      </w:r>
    </w:p>
    <w:p w:rsidR="00BA4642" w:rsidP="00880EA1" w:rsidRDefault="00BA4642" w14:paraId="301974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A4642" w:rsidR="00BA4642" w:rsidP="00BA4642" w:rsidRDefault="00BA4642" w14:paraId="5BA6331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4642">
        <w:rPr>
          <w:sz w:val="24"/>
          <w:szCs w:val="24"/>
        </w:rPr>
        <w:t xml:space="preserve">30 CFR 773.13(d)(3) requires that each permit application must be available for public inspection.  However, the applicant has the right to request confidentiality for information in the application, such as analysis of the chemical and physical properties of the coal to be mined, and the nature and location of archeological resources on public land and Indian land.  Sections 507(b)(17), 508(a)(12), and 508(b) of SMCRA require that certain types of permit application information be kept confidential.  The Archeological Resources Protection Act of 1979, 16 U.S.C.  470, requires that information on the nature and location of archaeological resources be </w:t>
      </w:r>
      <w:r w:rsidRPr="00BA4642">
        <w:rPr>
          <w:sz w:val="24"/>
          <w:szCs w:val="24"/>
        </w:rPr>
        <w:lastRenderedPageBreak/>
        <w:t>kept confidential.</w:t>
      </w:r>
    </w:p>
    <w:p w:rsidRPr="00104D90" w:rsidR="00880EA1" w:rsidP="00880EA1" w:rsidRDefault="00880EA1" w14:paraId="120287D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rsidRDefault="00880EA1" w14:paraId="062138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04D90">
        <w:rPr>
          <w:b/>
          <w:i/>
          <w:sz w:val="24"/>
          <w:szCs w:val="24"/>
        </w:rPr>
        <w:t>11.</w:t>
      </w:r>
      <w:r w:rsidRPr="00104D90">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4642" w:rsidP="00880EA1" w:rsidRDefault="00BA4642" w14:paraId="43922B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A4642" w:rsidR="00BA4642" w:rsidP="00880EA1" w:rsidRDefault="00BA4642" w14:paraId="598D3F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4642">
        <w:rPr>
          <w:sz w:val="24"/>
          <w:szCs w:val="24"/>
        </w:rPr>
        <w:t>There are no questions of a sensitive nature</w:t>
      </w:r>
      <w:r>
        <w:rPr>
          <w:sz w:val="24"/>
          <w:szCs w:val="24"/>
        </w:rPr>
        <w:t xml:space="preserve"> asked</w:t>
      </w:r>
      <w:r w:rsidRPr="00BA4642">
        <w:rPr>
          <w:sz w:val="24"/>
          <w:szCs w:val="24"/>
        </w:rPr>
        <w:t>.</w:t>
      </w:r>
    </w:p>
    <w:p w:rsidRPr="00104D90" w:rsidR="00880EA1" w:rsidP="00880EA1" w:rsidRDefault="00880EA1" w14:paraId="1ACD83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104D90" w:rsidR="00880EA1" w:rsidP="00880EA1" w:rsidRDefault="00880EA1" w14:paraId="5933466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12.</w:t>
      </w:r>
      <w:r w:rsidRPr="00104D90">
        <w:rPr>
          <w:b/>
          <w:i/>
          <w:sz w:val="24"/>
          <w:szCs w:val="24"/>
        </w:rPr>
        <w:tab/>
        <w:t>Provide estimates of the hour burden of the collection of information.  The statement should:</w:t>
      </w:r>
    </w:p>
    <w:p w:rsidRPr="00104D90" w:rsidR="00880EA1" w:rsidP="00880EA1" w:rsidRDefault="00880EA1" w14:paraId="1F212CB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04D90" w:rsidR="00880EA1" w:rsidP="00880EA1" w:rsidRDefault="00880EA1" w14:paraId="56BE65D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If this request for approval covers more than one form, provide separate hour burden estimates for each </w:t>
      </w:r>
      <w:proofErr w:type="gramStart"/>
      <w:r w:rsidRPr="00104D90">
        <w:rPr>
          <w:b/>
          <w:i/>
          <w:sz w:val="24"/>
          <w:szCs w:val="24"/>
        </w:rPr>
        <w:t>form</w:t>
      </w:r>
      <w:proofErr w:type="gramEnd"/>
      <w:r w:rsidRPr="00104D90">
        <w:rPr>
          <w:b/>
          <w:i/>
          <w:sz w:val="24"/>
          <w:szCs w:val="24"/>
        </w:rPr>
        <w:t xml:space="preserve"> and aggregate the hour burdens.</w:t>
      </w:r>
    </w:p>
    <w:p w:rsidRPr="00104D90" w:rsidR="00880EA1" w:rsidP="00880EA1" w:rsidRDefault="00880EA1" w14:paraId="6156BE4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A4642" w:rsidP="00BA4642" w:rsidRDefault="00BA4642" w14:paraId="57CD9DD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4642" w:rsidP="00BA4642" w:rsidRDefault="00BA4642" w14:paraId="062C9C2B" w14:textId="04B83E5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4642">
        <w:rPr>
          <w:sz w:val="24"/>
          <w:szCs w:val="24"/>
        </w:rPr>
        <w:t>The total number of respondents was derived from OSMRE’s annual reports for evaluation years 201</w:t>
      </w:r>
      <w:r w:rsidR="00CA14A2">
        <w:rPr>
          <w:sz w:val="24"/>
          <w:szCs w:val="24"/>
        </w:rPr>
        <w:t>8</w:t>
      </w:r>
      <w:r w:rsidRPr="00BA4642">
        <w:rPr>
          <w:sz w:val="24"/>
          <w:szCs w:val="24"/>
        </w:rPr>
        <w:t xml:space="preserve"> through 20</w:t>
      </w:r>
      <w:r w:rsidR="00CA14A2">
        <w:rPr>
          <w:sz w:val="24"/>
          <w:szCs w:val="24"/>
        </w:rPr>
        <w:t>20</w:t>
      </w:r>
      <w:r w:rsidRPr="00BA4642">
        <w:rPr>
          <w:sz w:val="24"/>
          <w:szCs w:val="24"/>
        </w:rPr>
        <w:t>.  Burden hour estimates were derived from discussions with respondents identified in item 8.</w:t>
      </w:r>
    </w:p>
    <w:p w:rsidR="00E25855" w:rsidP="00BA4642" w:rsidRDefault="00E25855" w14:paraId="786FE26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25855" w:rsidR="00E25855" w:rsidP="00E25855" w:rsidRDefault="00CA14A2" w14:paraId="774D7FE0" w14:textId="5FA1C45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br/>
      </w:r>
      <w:r>
        <w:rPr>
          <w:sz w:val="24"/>
          <w:szCs w:val="24"/>
        </w:rPr>
        <w:br/>
      </w:r>
      <w:r w:rsidRPr="00E25855" w:rsidR="00E25855">
        <w:rPr>
          <w:sz w:val="24"/>
          <w:szCs w:val="24"/>
        </w:rPr>
        <w:t>a.</w:t>
      </w:r>
      <w:r w:rsidRPr="00E25855" w:rsidR="00E25855">
        <w:rPr>
          <w:sz w:val="24"/>
          <w:szCs w:val="24"/>
        </w:rPr>
        <w:tab/>
      </w:r>
      <w:r w:rsidRPr="00E25855" w:rsidR="00E25855">
        <w:rPr>
          <w:sz w:val="24"/>
          <w:szCs w:val="24"/>
          <w:u w:val="single"/>
        </w:rPr>
        <w:t>Burden Hour Estimates for Respondents</w:t>
      </w:r>
    </w:p>
    <w:p w:rsidRPr="00E25855" w:rsidR="00E25855" w:rsidP="00E25855" w:rsidRDefault="00E25855" w14:paraId="732FBB5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25855" w:rsidR="00E25855" w:rsidP="00E25855" w:rsidRDefault="00E25855" w14:paraId="093217E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The following table summarizes the information collection requirements and changes to the current collection burden for 30 CFR </w:t>
      </w:r>
      <w:r>
        <w:rPr>
          <w:sz w:val="24"/>
          <w:szCs w:val="24"/>
        </w:rPr>
        <w:t>p</w:t>
      </w:r>
      <w:r w:rsidRPr="00E25855">
        <w:rPr>
          <w:sz w:val="24"/>
          <w:szCs w:val="24"/>
        </w:rPr>
        <w:t>art</w:t>
      </w:r>
      <w:r>
        <w:rPr>
          <w:sz w:val="24"/>
          <w:szCs w:val="24"/>
        </w:rPr>
        <w:t xml:space="preserve"> 785</w:t>
      </w:r>
      <w:r w:rsidRPr="00E25855">
        <w:rPr>
          <w:sz w:val="24"/>
          <w:szCs w:val="24"/>
        </w:rPr>
        <w:t>.</w:t>
      </w:r>
    </w:p>
    <w:p w:rsidR="00E25855" w:rsidP="00E25855" w:rsidRDefault="00E25855" w14:paraId="61CAB32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25855" w:rsidR="00CF3213" w:rsidP="00E25855" w:rsidRDefault="00CF3213" w14:paraId="3848DE8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Pr="00E25855" w:rsidR="00CF3213" w:rsidSect="00E25855">
          <w:footerReference w:type="even" r:id="rId8"/>
          <w:footerReference w:type="default" r:id="rId9"/>
          <w:footerReference w:type="first" r:id="rId10"/>
          <w:type w:val="continuous"/>
          <w:pgSz w:w="12240" w:h="15840" w:code="1"/>
          <w:pgMar w:top="1440" w:right="1440" w:bottom="1440" w:left="1440" w:header="1440" w:footer="1440" w:gutter="0"/>
          <w:cols w:space="720"/>
          <w:noEndnote/>
          <w:titlePg/>
        </w:sectPr>
      </w:pPr>
    </w:p>
    <w:p w:rsidRPr="00BA4642" w:rsidR="00E25855" w:rsidP="00BA4642" w:rsidRDefault="00E25855" w14:paraId="5E8CB8D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14A2" w:rsidP="00BA4642" w:rsidRDefault="00CA14A2" w14:paraId="11C29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rsidRDefault="00CA14A2" w14:paraId="3C5A2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rsidRDefault="00CA14A2" w14:paraId="176314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rsidRDefault="00CA14A2" w14:paraId="1A86BE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rsidRDefault="00CA14A2" w14:paraId="474E6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rsidRDefault="00CA14A2" w14:paraId="52D240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rsidRDefault="00CA14A2" w14:paraId="74FD70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rsidRDefault="00CA14A2" w14:paraId="33681D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Pr="00633C6A" w:rsidR="00BA4642" w:rsidP="00BA4642" w:rsidRDefault="00BA4642" w14:paraId="579B7F2C" w14:textId="39E2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633C6A">
        <w:rPr>
          <w:rFonts w:ascii="Arial" w:hAnsi="Arial" w:cs="Arial"/>
          <w:b/>
          <w:bCs/>
        </w:rPr>
        <w:t>INFORMATION COLLECTION SUMMARY FOR 30 CFR PART 785</w:t>
      </w:r>
      <w:r w:rsidRPr="00633C6A">
        <w:rPr>
          <w:rFonts w:ascii="Arial" w:hAnsi="Arial" w:cs="Arial"/>
          <w:sz w:val="28"/>
          <w:szCs w:val="28"/>
        </w:rPr>
        <w:t xml:space="preserve"> </w:t>
      </w:r>
    </w:p>
    <w:p w:rsidRPr="00633C6A" w:rsidR="00BA4642" w:rsidP="00BA4642" w:rsidRDefault="00BA4642" w14:paraId="036A92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A4642" w:rsidP="00BA4642" w:rsidRDefault="00BA4642" w14:paraId="6F43458B" w14:textId="47DD2647">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00F030E0" w:rsidP="00BA4642" w:rsidRDefault="00F030E0" w14:paraId="0A124976" w14:textId="7A98FB45">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tbl>
      <w:tblPr>
        <w:tblW w:w="9600" w:type="dxa"/>
        <w:tblInd w:w="118" w:type="dxa"/>
        <w:tblLook w:val="04A0" w:firstRow="1" w:lastRow="0" w:firstColumn="1" w:lastColumn="0" w:noHBand="0" w:noVBand="1"/>
      </w:tblPr>
      <w:tblGrid>
        <w:gridCol w:w="937"/>
        <w:gridCol w:w="1061"/>
        <w:gridCol w:w="1005"/>
        <w:gridCol w:w="1005"/>
        <w:gridCol w:w="1061"/>
        <w:gridCol w:w="829"/>
        <w:gridCol w:w="829"/>
        <w:gridCol w:w="1050"/>
        <w:gridCol w:w="891"/>
        <w:gridCol w:w="932"/>
      </w:tblGrid>
      <w:tr w:rsidRPr="00F030E0" w:rsidR="00F030E0" w:rsidTr="00F030E0" w14:paraId="1A6BFEA2" w14:textId="77777777">
        <w:trPr>
          <w:trHeight w:val="790"/>
        </w:trPr>
        <w:tc>
          <w:tcPr>
            <w:tcW w:w="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18029818" w14:textId="77777777">
            <w:pPr>
              <w:widowControl/>
              <w:autoSpaceDE/>
              <w:autoSpaceDN/>
              <w:adjustRightInd/>
              <w:rPr>
                <w:color w:val="000000"/>
              </w:rPr>
            </w:pPr>
            <w:r w:rsidRPr="00F030E0">
              <w:rPr>
                <w:color w:val="000000"/>
              </w:rPr>
              <w:t>Section</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030E0" w:rsidR="00F030E0" w:rsidP="00F030E0" w:rsidRDefault="00F030E0" w14:paraId="3691828C" w14:textId="77777777">
            <w:pPr>
              <w:widowControl/>
              <w:autoSpaceDE/>
              <w:autoSpaceDN/>
              <w:adjustRightInd/>
              <w:jc w:val="center"/>
              <w:rPr>
                <w:color w:val="000000"/>
              </w:rPr>
            </w:pPr>
            <w:r w:rsidRPr="00F030E0">
              <w:rPr>
                <w:color w:val="000000"/>
              </w:rPr>
              <w:t>Number of Applicant Responses</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030E0" w:rsidR="00F030E0" w:rsidP="00F030E0" w:rsidRDefault="00F030E0" w14:paraId="074A06AF" w14:textId="77777777">
            <w:pPr>
              <w:widowControl/>
              <w:autoSpaceDE/>
              <w:autoSpaceDN/>
              <w:adjustRightInd/>
              <w:jc w:val="center"/>
              <w:rPr>
                <w:color w:val="000000"/>
              </w:rPr>
            </w:pPr>
            <w:r w:rsidRPr="00F030E0">
              <w:rPr>
                <w:color w:val="000000"/>
              </w:rPr>
              <w:t>Hours Per Applicant</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030E0" w:rsidR="00F030E0" w:rsidP="00F030E0" w:rsidRDefault="00F030E0" w14:paraId="3DEF288A" w14:textId="77777777">
            <w:pPr>
              <w:widowControl/>
              <w:autoSpaceDE/>
              <w:autoSpaceDN/>
              <w:adjustRightInd/>
              <w:jc w:val="center"/>
              <w:rPr>
                <w:color w:val="000000"/>
              </w:rPr>
            </w:pPr>
            <w:r w:rsidRPr="00F030E0">
              <w:rPr>
                <w:color w:val="000000"/>
              </w:rPr>
              <w:t>Total Hours Per Applicant</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030E0" w:rsidR="00F030E0" w:rsidP="00F030E0" w:rsidRDefault="00F030E0" w14:paraId="1AF2FC1E" w14:textId="77777777">
            <w:pPr>
              <w:widowControl/>
              <w:autoSpaceDE/>
              <w:autoSpaceDN/>
              <w:adjustRightInd/>
              <w:jc w:val="center"/>
              <w:rPr>
                <w:color w:val="000000"/>
              </w:rPr>
            </w:pPr>
            <w:r w:rsidRPr="00F030E0">
              <w:rPr>
                <w:color w:val="000000"/>
              </w:rPr>
              <w:t>Number of State Responses</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030E0" w:rsidR="00F030E0" w:rsidP="00F030E0" w:rsidRDefault="00F030E0" w14:paraId="76BED766" w14:textId="77777777">
            <w:pPr>
              <w:widowControl/>
              <w:autoSpaceDE/>
              <w:autoSpaceDN/>
              <w:adjustRightInd/>
              <w:jc w:val="center"/>
              <w:rPr>
                <w:color w:val="000000"/>
              </w:rPr>
            </w:pPr>
            <w:r w:rsidRPr="00F030E0">
              <w:rPr>
                <w:color w:val="000000"/>
              </w:rPr>
              <w:t>Hours per State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030E0" w:rsidR="00F030E0" w:rsidP="00F030E0" w:rsidRDefault="00F030E0" w14:paraId="125A4F5B" w14:textId="77777777">
            <w:pPr>
              <w:widowControl/>
              <w:autoSpaceDE/>
              <w:autoSpaceDN/>
              <w:adjustRightInd/>
              <w:jc w:val="center"/>
              <w:rPr>
                <w:color w:val="000000"/>
              </w:rPr>
            </w:pPr>
            <w:r w:rsidRPr="00F030E0">
              <w:rPr>
                <w:color w:val="000000"/>
              </w:rPr>
              <w:t>Total Hours Per State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030E0" w:rsidR="00F030E0" w:rsidP="00F030E0" w:rsidRDefault="00F030E0" w14:paraId="2DA30DBB" w14:textId="77777777">
            <w:pPr>
              <w:widowControl/>
              <w:autoSpaceDE/>
              <w:autoSpaceDN/>
              <w:adjustRightInd/>
              <w:jc w:val="center"/>
              <w:rPr>
                <w:color w:val="000000"/>
              </w:rPr>
            </w:pPr>
            <w:r w:rsidRPr="00F030E0">
              <w:rPr>
                <w:color w:val="000000"/>
              </w:rPr>
              <w:t>Total Hours Requested</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030E0" w:rsidR="00F030E0" w:rsidP="00F030E0" w:rsidRDefault="00F030E0" w14:paraId="63529733" w14:textId="77777777">
            <w:pPr>
              <w:widowControl/>
              <w:autoSpaceDE/>
              <w:autoSpaceDN/>
              <w:adjustRightInd/>
              <w:jc w:val="center"/>
              <w:rPr>
                <w:color w:val="000000"/>
              </w:rPr>
            </w:pPr>
            <w:r w:rsidRPr="00F030E0">
              <w:rPr>
                <w:color w:val="000000"/>
              </w:rPr>
              <w:t>Current Hours</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030E0" w:rsidR="00F030E0" w:rsidP="00F030E0" w:rsidRDefault="00F030E0" w14:paraId="727F5851" w14:textId="63BFA6E1">
            <w:pPr>
              <w:widowControl/>
              <w:autoSpaceDE/>
              <w:autoSpaceDN/>
              <w:adjustRightInd/>
              <w:jc w:val="center"/>
              <w:rPr>
                <w:color w:val="000000"/>
              </w:rPr>
            </w:pPr>
            <w:r w:rsidRPr="00F030E0">
              <w:rPr>
                <w:color w:val="000000"/>
              </w:rPr>
              <w:t xml:space="preserve">Changes </w:t>
            </w:r>
            <w:proofErr w:type="gramStart"/>
            <w:r w:rsidRPr="00F030E0">
              <w:rPr>
                <w:color w:val="000000"/>
              </w:rPr>
              <w:t>To</w:t>
            </w:r>
            <w:proofErr w:type="gramEnd"/>
            <w:r w:rsidRPr="00F030E0">
              <w:rPr>
                <w:color w:val="000000"/>
              </w:rPr>
              <w:t xml:space="preserve"> Current</w:t>
            </w:r>
            <w:r w:rsidR="00CA14A2">
              <w:rPr>
                <w:color w:val="000000"/>
              </w:rPr>
              <w:t xml:space="preserve"> hours</w:t>
            </w:r>
          </w:p>
        </w:tc>
      </w:tr>
      <w:tr w:rsidRPr="00F030E0" w:rsidR="00F030E0" w:rsidTr="00F030E0" w14:paraId="601D8B21"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3C145336" w14:textId="77777777">
            <w:pPr>
              <w:widowControl/>
              <w:autoSpaceDE/>
              <w:autoSpaceDN/>
              <w:adjustRightInd/>
              <w:jc w:val="right"/>
              <w:rPr>
                <w:color w:val="000000"/>
              </w:rPr>
            </w:pPr>
            <w:r w:rsidRPr="00F030E0">
              <w:rPr>
                <w:color w:val="000000"/>
              </w:rPr>
              <w:t>785.13</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2C90798"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5354F47" w14:textId="77777777">
            <w:pPr>
              <w:widowControl/>
              <w:autoSpaceDE/>
              <w:autoSpaceDN/>
              <w:adjustRightInd/>
              <w:jc w:val="center"/>
              <w:rPr>
                <w:color w:val="000000"/>
              </w:rPr>
            </w:pPr>
            <w:r w:rsidRPr="00F030E0">
              <w:rPr>
                <w:color w:val="000000"/>
              </w:rPr>
              <w:t>1,000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92F106B" w14:textId="77777777">
            <w:pPr>
              <w:widowControl/>
              <w:autoSpaceDE/>
              <w:autoSpaceDN/>
              <w:adjustRightInd/>
              <w:jc w:val="center"/>
              <w:rPr>
                <w:color w:val="000000"/>
              </w:rPr>
            </w:pPr>
            <w:r w:rsidRPr="00F030E0">
              <w:rPr>
                <w:color w:val="000000"/>
              </w:rPr>
              <w:t>1,000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6D958022"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B617916" w14:textId="77777777">
            <w:pPr>
              <w:widowControl/>
              <w:autoSpaceDE/>
              <w:autoSpaceDN/>
              <w:adjustRightInd/>
              <w:jc w:val="center"/>
              <w:rPr>
                <w:color w:val="000000"/>
              </w:rPr>
            </w:pPr>
            <w:r w:rsidRPr="00F030E0">
              <w:rPr>
                <w:color w:val="000000"/>
              </w:rPr>
              <w:t>80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56F07A7" w14:textId="77777777">
            <w:pPr>
              <w:widowControl/>
              <w:autoSpaceDE/>
              <w:autoSpaceDN/>
              <w:adjustRightInd/>
              <w:jc w:val="center"/>
              <w:rPr>
                <w:color w:val="000000"/>
              </w:rPr>
            </w:pPr>
            <w:r w:rsidRPr="00F030E0">
              <w:rPr>
                <w:color w:val="000000"/>
              </w:rPr>
              <w:t>80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F855029" w14:textId="77777777">
            <w:pPr>
              <w:widowControl/>
              <w:autoSpaceDE/>
              <w:autoSpaceDN/>
              <w:adjustRightInd/>
              <w:jc w:val="center"/>
              <w:rPr>
                <w:color w:val="000000"/>
              </w:rPr>
            </w:pPr>
            <w:r w:rsidRPr="00F030E0">
              <w:rPr>
                <w:color w:val="000000"/>
              </w:rPr>
              <w:t>1,080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860FB1B" w14:textId="77777777">
            <w:pPr>
              <w:widowControl/>
              <w:autoSpaceDE/>
              <w:autoSpaceDN/>
              <w:adjustRightInd/>
              <w:jc w:val="center"/>
              <w:rPr>
                <w:color w:val="000000"/>
              </w:rPr>
            </w:pPr>
            <w:r w:rsidRPr="00F030E0">
              <w:rPr>
                <w:color w:val="000000"/>
              </w:rPr>
              <w:t>1,080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B8DF5DB" w14:textId="77777777">
            <w:pPr>
              <w:widowControl/>
              <w:autoSpaceDE/>
              <w:autoSpaceDN/>
              <w:adjustRightInd/>
              <w:jc w:val="center"/>
              <w:rPr>
                <w:color w:val="000000"/>
              </w:rPr>
            </w:pPr>
            <w:r w:rsidRPr="00F030E0">
              <w:rPr>
                <w:color w:val="000000"/>
              </w:rPr>
              <w:t>0</w:t>
            </w:r>
          </w:p>
        </w:tc>
      </w:tr>
      <w:tr w:rsidRPr="00F030E0" w:rsidR="00F030E0" w:rsidTr="00F030E0" w14:paraId="2F73A70B"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686F5025" w14:textId="77777777">
            <w:pPr>
              <w:widowControl/>
              <w:autoSpaceDE/>
              <w:autoSpaceDN/>
              <w:adjustRightInd/>
              <w:jc w:val="right"/>
              <w:rPr>
                <w:color w:val="000000"/>
              </w:rPr>
            </w:pPr>
            <w:r w:rsidRPr="00F030E0">
              <w:rPr>
                <w:color w:val="000000"/>
              </w:rPr>
              <w:t>785.14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1628F82"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D282F91" w14:textId="77777777">
            <w:pPr>
              <w:widowControl/>
              <w:autoSpaceDE/>
              <w:autoSpaceDN/>
              <w:adjustRightInd/>
              <w:jc w:val="center"/>
              <w:rPr>
                <w:color w:val="000000"/>
              </w:rPr>
            </w:pPr>
            <w:r w:rsidRPr="00F030E0">
              <w:rPr>
                <w:color w:val="000000"/>
              </w:rPr>
              <w:t>250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9B59023" w14:textId="77777777">
            <w:pPr>
              <w:widowControl/>
              <w:autoSpaceDE/>
              <w:autoSpaceDN/>
              <w:adjustRightInd/>
              <w:jc w:val="center"/>
              <w:rPr>
                <w:color w:val="000000"/>
              </w:rPr>
            </w:pPr>
            <w:r w:rsidRPr="00F030E0">
              <w:rPr>
                <w:color w:val="000000"/>
              </w:rPr>
              <w:t>250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5676CFA"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BCC79A2" w14:textId="77777777">
            <w:pPr>
              <w:widowControl/>
              <w:autoSpaceDE/>
              <w:autoSpaceDN/>
              <w:adjustRightInd/>
              <w:jc w:val="center"/>
              <w:rPr>
                <w:color w:val="000000"/>
              </w:rPr>
            </w:pPr>
            <w:r w:rsidRPr="00F030E0">
              <w:rPr>
                <w:color w:val="000000"/>
              </w:rPr>
              <w:t>420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E62E1EA" w14:textId="77777777">
            <w:pPr>
              <w:widowControl/>
              <w:autoSpaceDE/>
              <w:autoSpaceDN/>
              <w:adjustRightInd/>
              <w:jc w:val="center"/>
              <w:rPr>
                <w:color w:val="000000"/>
              </w:rPr>
            </w:pPr>
            <w:r w:rsidRPr="00F030E0">
              <w:rPr>
                <w:color w:val="000000"/>
              </w:rPr>
              <w:t>420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281B256" w14:textId="77777777">
            <w:pPr>
              <w:widowControl/>
              <w:autoSpaceDE/>
              <w:autoSpaceDN/>
              <w:adjustRightInd/>
              <w:jc w:val="center"/>
              <w:rPr>
                <w:color w:val="000000"/>
              </w:rPr>
            </w:pPr>
            <w:r w:rsidRPr="00F030E0">
              <w:rPr>
                <w:color w:val="000000"/>
              </w:rPr>
              <w:t>670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4A36F65" w14:textId="77777777">
            <w:pPr>
              <w:widowControl/>
              <w:autoSpaceDE/>
              <w:autoSpaceDN/>
              <w:adjustRightInd/>
              <w:jc w:val="center"/>
              <w:rPr>
                <w:color w:val="000000"/>
              </w:rPr>
            </w:pPr>
            <w:r w:rsidRPr="00F030E0">
              <w:rPr>
                <w:color w:val="000000"/>
              </w:rPr>
              <w:t>670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CF57419" w14:textId="77777777">
            <w:pPr>
              <w:widowControl/>
              <w:autoSpaceDE/>
              <w:autoSpaceDN/>
              <w:adjustRightInd/>
              <w:jc w:val="center"/>
              <w:rPr>
                <w:color w:val="000000"/>
              </w:rPr>
            </w:pPr>
            <w:r w:rsidRPr="00F030E0">
              <w:rPr>
                <w:color w:val="000000"/>
              </w:rPr>
              <w:t>0</w:t>
            </w:r>
          </w:p>
        </w:tc>
      </w:tr>
      <w:tr w:rsidRPr="00F030E0" w:rsidR="00F030E0" w:rsidTr="00F030E0" w14:paraId="31968436"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02DC212C" w14:textId="77777777">
            <w:pPr>
              <w:widowControl/>
              <w:autoSpaceDE/>
              <w:autoSpaceDN/>
              <w:adjustRightInd/>
              <w:jc w:val="right"/>
              <w:rPr>
                <w:color w:val="000000"/>
              </w:rPr>
            </w:pPr>
            <w:r w:rsidRPr="00F030E0">
              <w:rPr>
                <w:color w:val="000000"/>
              </w:rPr>
              <w:t>785.15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1F15619" w14:textId="77777777">
            <w:pPr>
              <w:widowControl/>
              <w:autoSpaceDE/>
              <w:autoSpaceDN/>
              <w:adjustRightInd/>
              <w:jc w:val="center"/>
              <w:rPr>
                <w:color w:val="000000"/>
              </w:rPr>
            </w:pPr>
            <w:r w:rsidRPr="00F030E0">
              <w:rPr>
                <w:color w:val="000000"/>
              </w:rPr>
              <w:t>3</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280D101" w14:textId="77777777">
            <w:pPr>
              <w:widowControl/>
              <w:autoSpaceDE/>
              <w:autoSpaceDN/>
              <w:adjustRightInd/>
              <w:jc w:val="center"/>
              <w:rPr>
                <w:color w:val="000000"/>
              </w:rPr>
            </w:pPr>
            <w:r w:rsidRPr="00F030E0">
              <w:rPr>
                <w:color w:val="000000"/>
              </w:rPr>
              <w:t>140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2DEEEA1" w14:textId="77777777">
            <w:pPr>
              <w:widowControl/>
              <w:autoSpaceDE/>
              <w:autoSpaceDN/>
              <w:adjustRightInd/>
              <w:jc w:val="center"/>
              <w:rPr>
                <w:color w:val="000000"/>
              </w:rPr>
            </w:pPr>
            <w:r w:rsidRPr="00F030E0">
              <w:rPr>
                <w:color w:val="000000"/>
              </w:rPr>
              <w:t>420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D75531C" w14:textId="77777777">
            <w:pPr>
              <w:widowControl/>
              <w:autoSpaceDE/>
              <w:autoSpaceDN/>
              <w:adjustRightInd/>
              <w:jc w:val="center"/>
              <w:rPr>
                <w:color w:val="000000"/>
              </w:rPr>
            </w:pPr>
            <w:r w:rsidRPr="00F030E0">
              <w:rPr>
                <w:color w:val="000000"/>
              </w:rPr>
              <w:t>3</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69020A9F" w14:textId="77777777">
            <w:pPr>
              <w:widowControl/>
              <w:autoSpaceDE/>
              <w:autoSpaceDN/>
              <w:adjustRightInd/>
              <w:jc w:val="center"/>
              <w:rPr>
                <w:color w:val="000000"/>
              </w:rPr>
            </w:pPr>
            <w:r w:rsidRPr="00F030E0">
              <w:rPr>
                <w:color w:val="000000"/>
              </w:rPr>
              <w:t>35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E5E7179" w14:textId="77777777">
            <w:pPr>
              <w:widowControl/>
              <w:autoSpaceDE/>
              <w:autoSpaceDN/>
              <w:adjustRightInd/>
              <w:jc w:val="center"/>
              <w:rPr>
                <w:color w:val="000000"/>
              </w:rPr>
            </w:pPr>
            <w:r w:rsidRPr="00F030E0">
              <w:rPr>
                <w:color w:val="000000"/>
              </w:rPr>
              <w:t>105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833DE29" w14:textId="77777777">
            <w:pPr>
              <w:widowControl/>
              <w:autoSpaceDE/>
              <w:autoSpaceDN/>
              <w:adjustRightInd/>
              <w:jc w:val="center"/>
              <w:rPr>
                <w:color w:val="000000"/>
              </w:rPr>
            </w:pPr>
            <w:r w:rsidRPr="00F030E0">
              <w:rPr>
                <w:color w:val="000000"/>
              </w:rPr>
              <w:t>525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8DEB55E" w14:textId="77777777">
            <w:pPr>
              <w:widowControl/>
              <w:autoSpaceDE/>
              <w:autoSpaceDN/>
              <w:adjustRightInd/>
              <w:jc w:val="center"/>
              <w:rPr>
                <w:color w:val="000000"/>
              </w:rPr>
            </w:pPr>
            <w:r w:rsidRPr="00F030E0">
              <w:rPr>
                <w:color w:val="000000"/>
              </w:rPr>
              <w:t>875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2E0B541" w14:textId="77777777">
            <w:pPr>
              <w:widowControl/>
              <w:autoSpaceDE/>
              <w:autoSpaceDN/>
              <w:adjustRightInd/>
              <w:jc w:val="center"/>
              <w:rPr>
                <w:color w:val="000000"/>
              </w:rPr>
            </w:pPr>
            <w:r w:rsidRPr="00F030E0">
              <w:rPr>
                <w:color w:val="000000"/>
              </w:rPr>
              <w:t>-350</w:t>
            </w:r>
          </w:p>
        </w:tc>
      </w:tr>
      <w:tr w:rsidRPr="00F030E0" w:rsidR="00F030E0" w:rsidTr="00F030E0" w14:paraId="57479E00"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765AE05C" w14:textId="77777777">
            <w:pPr>
              <w:widowControl/>
              <w:autoSpaceDE/>
              <w:autoSpaceDN/>
              <w:adjustRightInd/>
              <w:jc w:val="right"/>
              <w:rPr>
                <w:color w:val="000000"/>
              </w:rPr>
            </w:pPr>
            <w:r w:rsidRPr="00F030E0">
              <w:rPr>
                <w:color w:val="000000"/>
              </w:rPr>
              <w:t>785.16</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75E13F9"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F30F653" w14:textId="77777777">
            <w:pPr>
              <w:widowControl/>
              <w:autoSpaceDE/>
              <w:autoSpaceDN/>
              <w:adjustRightInd/>
              <w:jc w:val="center"/>
              <w:rPr>
                <w:color w:val="000000"/>
              </w:rPr>
            </w:pPr>
            <w:r w:rsidRPr="00F030E0">
              <w:rPr>
                <w:color w:val="000000"/>
              </w:rPr>
              <w:t>10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646690D6" w14:textId="77777777">
            <w:pPr>
              <w:widowControl/>
              <w:autoSpaceDE/>
              <w:autoSpaceDN/>
              <w:adjustRightInd/>
              <w:jc w:val="center"/>
              <w:rPr>
                <w:color w:val="000000"/>
              </w:rPr>
            </w:pPr>
            <w:r w:rsidRPr="00F030E0">
              <w:rPr>
                <w:color w:val="000000"/>
              </w:rPr>
              <w:t>10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DCF54E8"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5F92917" w14:textId="77777777">
            <w:pPr>
              <w:widowControl/>
              <w:autoSpaceDE/>
              <w:autoSpaceDN/>
              <w:adjustRightInd/>
              <w:jc w:val="center"/>
              <w:rPr>
                <w:color w:val="000000"/>
              </w:rPr>
            </w:pPr>
            <w:r w:rsidRPr="00F030E0">
              <w:rPr>
                <w:color w:val="000000"/>
              </w:rPr>
              <w:t>40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62AA24E8" w14:textId="77777777">
            <w:pPr>
              <w:widowControl/>
              <w:autoSpaceDE/>
              <w:autoSpaceDN/>
              <w:adjustRightInd/>
              <w:jc w:val="center"/>
              <w:rPr>
                <w:color w:val="000000"/>
              </w:rPr>
            </w:pPr>
            <w:r w:rsidRPr="00F030E0">
              <w:rPr>
                <w:color w:val="000000"/>
              </w:rPr>
              <w:t>40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456B20C" w14:textId="77777777">
            <w:pPr>
              <w:widowControl/>
              <w:autoSpaceDE/>
              <w:autoSpaceDN/>
              <w:adjustRightInd/>
              <w:jc w:val="center"/>
              <w:rPr>
                <w:color w:val="000000"/>
              </w:rPr>
            </w:pPr>
            <w:r w:rsidRPr="00F030E0">
              <w:rPr>
                <w:color w:val="000000"/>
              </w:rPr>
              <w:t>50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CF9410F" w14:textId="77777777">
            <w:pPr>
              <w:widowControl/>
              <w:autoSpaceDE/>
              <w:autoSpaceDN/>
              <w:adjustRightInd/>
              <w:jc w:val="center"/>
              <w:rPr>
                <w:color w:val="000000"/>
              </w:rPr>
            </w:pPr>
            <w:r w:rsidRPr="00F030E0">
              <w:rPr>
                <w:color w:val="000000"/>
              </w:rPr>
              <w:t>50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141E054" w14:textId="77777777">
            <w:pPr>
              <w:widowControl/>
              <w:autoSpaceDE/>
              <w:autoSpaceDN/>
              <w:adjustRightInd/>
              <w:jc w:val="center"/>
              <w:rPr>
                <w:color w:val="000000"/>
              </w:rPr>
            </w:pPr>
            <w:r w:rsidRPr="00F030E0">
              <w:rPr>
                <w:color w:val="000000"/>
              </w:rPr>
              <w:t>0</w:t>
            </w:r>
          </w:p>
        </w:tc>
      </w:tr>
      <w:tr w:rsidRPr="00F030E0" w:rsidR="00F030E0" w:rsidTr="00F030E0" w14:paraId="65360CF0"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71855BA3" w14:textId="77777777">
            <w:pPr>
              <w:widowControl/>
              <w:autoSpaceDE/>
              <w:autoSpaceDN/>
              <w:adjustRightInd/>
              <w:jc w:val="right"/>
              <w:rPr>
                <w:color w:val="000000"/>
              </w:rPr>
            </w:pPr>
            <w:r w:rsidRPr="00F030E0">
              <w:rPr>
                <w:color w:val="000000"/>
              </w:rPr>
              <w:t>785.17</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4196843" w14:textId="77777777">
            <w:pPr>
              <w:widowControl/>
              <w:autoSpaceDE/>
              <w:autoSpaceDN/>
              <w:adjustRightInd/>
              <w:jc w:val="center"/>
              <w:rPr>
                <w:color w:val="000000"/>
              </w:rPr>
            </w:pPr>
            <w:r w:rsidRPr="00F030E0">
              <w:rPr>
                <w:color w:val="000000"/>
              </w:rPr>
              <w:t>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DC1A97A" w14:textId="77777777">
            <w:pPr>
              <w:widowControl/>
              <w:autoSpaceDE/>
              <w:autoSpaceDN/>
              <w:adjustRightInd/>
              <w:jc w:val="center"/>
              <w:rPr>
                <w:color w:val="000000"/>
              </w:rPr>
            </w:pPr>
            <w:r w:rsidRPr="00F030E0">
              <w:rPr>
                <w:color w:val="000000"/>
              </w:rPr>
              <w:t>70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98FB70B" w14:textId="77777777">
            <w:pPr>
              <w:widowControl/>
              <w:autoSpaceDE/>
              <w:autoSpaceDN/>
              <w:adjustRightInd/>
              <w:jc w:val="center"/>
              <w:rPr>
                <w:color w:val="000000"/>
              </w:rPr>
            </w:pPr>
            <w:r w:rsidRPr="00F030E0">
              <w:rPr>
                <w:color w:val="000000"/>
              </w:rPr>
              <w:t>280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696DCF13" w14:textId="77777777">
            <w:pPr>
              <w:widowControl/>
              <w:autoSpaceDE/>
              <w:autoSpaceDN/>
              <w:adjustRightInd/>
              <w:jc w:val="center"/>
              <w:rPr>
                <w:color w:val="000000"/>
              </w:rPr>
            </w:pPr>
            <w:r w:rsidRPr="00F030E0">
              <w:rPr>
                <w:color w:val="000000"/>
              </w:rPr>
              <w:t>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4AE00F1" w14:textId="77777777">
            <w:pPr>
              <w:widowControl/>
              <w:autoSpaceDE/>
              <w:autoSpaceDN/>
              <w:adjustRightInd/>
              <w:jc w:val="center"/>
              <w:rPr>
                <w:color w:val="000000"/>
              </w:rPr>
            </w:pPr>
            <w:r w:rsidRPr="00F030E0">
              <w:rPr>
                <w:color w:val="000000"/>
              </w:rPr>
              <w:t>13</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266ECC1" w14:textId="77777777">
            <w:pPr>
              <w:widowControl/>
              <w:autoSpaceDE/>
              <w:autoSpaceDN/>
              <w:adjustRightInd/>
              <w:jc w:val="center"/>
              <w:rPr>
                <w:color w:val="000000"/>
              </w:rPr>
            </w:pPr>
            <w:r w:rsidRPr="00F030E0">
              <w:rPr>
                <w:color w:val="000000"/>
              </w:rPr>
              <w:t>52</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1955B5E" w14:textId="77777777">
            <w:pPr>
              <w:widowControl/>
              <w:autoSpaceDE/>
              <w:autoSpaceDN/>
              <w:adjustRightInd/>
              <w:jc w:val="center"/>
              <w:rPr>
                <w:color w:val="000000"/>
              </w:rPr>
            </w:pPr>
            <w:r w:rsidRPr="00F030E0">
              <w:rPr>
                <w:color w:val="000000"/>
              </w:rPr>
              <w:t>332</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9DEE1EB" w14:textId="77777777">
            <w:pPr>
              <w:widowControl/>
              <w:autoSpaceDE/>
              <w:autoSpaceDN/>
              <w:adjustRightInd/>
              <w:jc w:val="center"/>
              <w:rPr>
                <w:color w:val="000000"/>
              </w:rPr>
            </w:pPr>
            <w:r w:rsidRPr="00F030E0">
              <w:rPr>
                <w:color w:val="000000"/>
              </w:rPr>
              <w:t>332</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668DB3C2" w14:textId="77777777">
            <w:pPr>
              <w:widowControl/>
              <w:autoSpaceDE/>
              <w:autoSpaceDN/>
              <w:adjustRightInd/>
              <w:jc w:val="center"/>
              <w:rPr>
                <w:color w:val="000000"/>
              </w:rPr>
            </w:pPr>
            <w:r w:rsidRPr="00F030E0">
              <w:rPr>
                <w:color w:val="000000"/>
              </w:rPr>
              <w:t>0</w:t>
            </w:r>
          </w:p>
        </w:tc>
      </w:tr>
      <w:tr w:rsidRPr="00F030E0" w:rsidR="00F030E0" w:rsidTr="00F030E0" w14:paraId="46731390"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659B4FDE" w14:textId="77777777">
            <w:pPr>
              <w:widowControl/>
              <w:autoSpaceDE/>
              <w:autoSpaceDN/>
              <w:adjustRightInd/>
              <w:jc w:val="right"/>
              <w:rPr>
                <w:color w:val="000000"/>
              </w:rPr>
            </w:pPr>
            <w:r w:rsidRPr="00F030E0">
              <w:rPr>
                <w:color w:val="000000"/>
              </w:rPr>
              <w:t>785.18</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253DB15" w14:textId="77777777">
            <w:pPr>
              <w:widowControl/>
              <w:autoSpaceDE/>
              <w:autoSpaceDN/>
              <w:adjustRightInd/>
              <w:jc w:val="center"/>
              <w:rPr>
                <w:color w:val="000000"/>
              </w:rPr>
            </w:pPr>
            <w:r w:rsidRPr="00F030E0">
              <w:rPr>
                <w:color w:val="000000"/>
              </w:rPr>
              <w:t>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6086987" w14:textId="77777777">
            <w:pPr>
              <w:widowControl/>
              <w:autoSpaceDE/>
              <w:autoSpaceDN/>
              <w:adjustRightInd/>
              <w:jc w:val="center"/>
              <w:rPr>
                <w:color w:val="000000"/>
              </w:rPr>
            </w:pPr>
            <w:r w:rsidRPr="00F030E0">
              <w:rPr>
                <w:color w:val="000000"/>
              </w:rPr>
              <w:t>60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BC54305" w14:textId="77777777">
            <w:pPr>
              <w:widowControl/>
              <w:autoSpaceDE/>
              <w:autoSpaceDN/>
              <w:adjustRightInd/>
              <w:jc w:val="center"/>
              <w:rPr>
                <w:color w:val="000000"/>
              </w:rPr>
            </w:pPr>
            <w:r w:rsidRPr="00F030E0">
              <w:rPr>
                <w:color w:val="000000"/>
              </w:rPr>
              <w:t>300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9A914FF" w14:textId="77777777">
            <w:pPr>
              <w:widowControl/>
              <w:autoSpaceDE/>
              <w:autoSpaceDN/>
              <w:adjustRightInd/>
              <w:jc w:val="center"/>
              <w:rPr>
                <w:color w:val="000000"/>
              </w:rPr>
            </w:pPr>
            <w:r w:rsidRPr="00F030E0">
              <w:rPr>
                <w:color w:val="000000"/>
              </w:rPr>
              <w:t>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6974FFB" w14:textId="77777777">
            <w:pPr>
              <w:widowControl/>
              <w:autoSpaceDE/>
              <w:autoSpaceDN/>
              <w:adjustRightInd/>
              <w:jc w:val="center"/>
              <w:rPr>
                <w:color w:val="000000"/>
              </w:rPr>
            </w:pPr>
            <w:r w:rsidRPr="00F030E0">
              <w:rPr>
                <w:color w:val="000000"/>
              </w:rPr>
              <w:t>30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5E425C1" w14:textId="77777777">
            <w:pPr>
              <w:widowControl/>
              <w:autoSpaceDE/>
              <w:autoSpaceDN/>
              <w:adjustRightInd/>
              <w:jc w:val="center"/>
              <w:rPr>
                <w:color w:val="000000"/>
              </w:rPr>
            </w:pPr>
            <w:r w:rsidRPr="00F030E0">
              <w:rPr>
                <w:color w:val="000000"/>
              </w:rPr>
              <w:t>150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C89213A" w14:textId="77777777">
            <w:pPr>
              <w:widowControl/>
              <w:autoSpaceDE/>
              <w:autoSpaceDN/>
              <w:adjustRightInd/>
              <w:jc w:val="center"/>
              <w:rPr>
                <w:color w:val="000000"/>
              </w:rPr>
            </w:pPr>
            <w:r w:rsidRPr="00F030E0">
              <w:rPr>
                <w:color w:val="000000"/>
              </w:rPr>
              <w:t>450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3CC65D2" w14:textId="77777777">
            <w:pPr>
              <w:widowControl/>
              <w:autoSpaceDE/>
              <w:autoSpaceDN/>
              <w:adjustRightInd/>
              <w:jc w:val="center"/>
              <w:rPr>
                <w:color w:val="000000"/>
              </w:rPr>
            </w:pPr>
            <w:r w:rsidRPr="00F030E0">
              <w:rPr>
                <w:color w:val="000000"/>
              </w:rPr>
              <w:t>720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36AE229" w14:textId="77777777">
            <w:pPr>
              <w:widowControl/>
              <w:autoSpaceDE/>
              <w:autoSpaceDN/>
              <w:adjustRightInd/>
              <w:jc w:val="center"/>
              <w:rPr>
                <w:color w:val="000000"/>
              </w:rPr>
            </w:pPr>
            <w:r w:rsidRPr="00F030E0">
              <w:rPr>
                <w:color w:val="000000"/>
              </w:rPr>
              <w:t>-270</w:t>
            </w:r>
          </w:p>
        </w:tc>
      </w:tr>
      <w:tr w:rsidRPr="00F030E0" w:rsidR="00F030E0" w:rsidTr="00F030E0" w14:paraId="1090EFF1"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47C25EE4" w14:textId="77777777">
            <w:pPr>
              <w:widowControl/>
              <w:autoSpaceDE/>
              <w:autoSpaceDN/>
              <w:adjustRightInd/>
              <w:jc w:val="right"/>
              <w:rPr>
                <w:color w:val="000000"/>
              </w:rPr>
            </w:pPr>
            <w:r w:rsidRPr="00F030E0">
              <w:rPr>
                <w:color w:val="000000"/>
              </w:rPr>
              <w:t>785.19</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6BF3A08"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121F947" w14:textId="77777777">
            <w:pPr>
              <w:widowControl/>
              <w:autoSpaceDE/>
              <w:autoSpaceDN/>
              <w:adjustRightInd/>
              <w:jc w:val="center"/>
              <w:rPr>
                <w:color w:val="000000"/>
              </w:rPr>
            </w:pPr>
            <w:r w:rsidRPr="00F030E0">
              <w:rPr>
                <w:color w:val="000000"/>
              </w:rPr>
              <w:t>300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F6517B9" w14:textId="77777777">
            <w:pPr>
              <w:widowControl/>
              <w:autoSpaceDE/>
              <w:autoSpaceDN/>
              <w:adjustRightInd/>
              <w:jc w:val="center"/>
              <w:rPr>
                <w:color w:val="000000"/>
              </w:rPr>
            </w:pPr>
            <w:r w:rsidRPr="00F030E0">
              <w:rPr>
                <w:color w:val="000000"/>
              </w:rPr>
              <w:t>300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44BE2A9"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0E4327B1" w14:textId="77777777">
            <w:pPr>
              <w:widowControl/>
              <w:autoSpaceDE/>
              <w:autoSpaceDN/>
              <w:adjustRightInd/>
              <w:jc w:val="center"/>
              <w:rPr>
                <w:color w:val="000000"/>
              </w:rPr>
            </w:pPr>
            <w:r w:rsidRPr="00F030E0">
              <w:rPr>
                <w:color w:val="000000"/>
              </w:rPr>
              <w:t>7</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15670EA" w14:textId="77777777">
            <w:pPr>
              <w:widowControl/>
              <w:autoSpaceDE/>
              <w:autoSpaceDN/>
              <w:adjustRightInd/>
              <w:jc w:val="center"/>
              <w:rPr>
                <w:color w:val="000000"/>
              </w:rPr>
            </w:pPr>
            <w:r w:rsidRPr="00F030E0">
              <w:rPr>
                <w:color w:val="000000"/>
              </w:rPr>
              <w:t>7</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C36A304" w14:textId="77777777">
            <w:pPr>
              <w:widowControl/>
              <w:autoSpaceDE/>
              <w:autoSpaceDN/>
              <w:adjustRightInd/>
              <w:jc w:val="center"/>
              <w:rPr>
                <w:color w:val="000000"/>
              </w:rPr>
            </w:pPr>
            <w:r w:rsidRPr="00F030E0">
              <w:rPr>
                <w:color w:val="000000"/>
              </w:rPr>
              <w:t>307</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7189A68" w14:textId="77777777">
            <w:pPr>
              <w:widowControl/>
              <w:autoSpaceDE/>
              <w:autoSpaceDN/>
              <w:adjustRightInd/>
              <w:jc w:val="center"/>
              <w:rPr>
                <w:color w:val="000000"/>
              </w:rPr>
            </w:pPr>
            <w:r w:rsidRPr="00F030E0">
              <w:rPr>
                <w:color w:val="000000"/>
              </w:rPr>
              <w:t>307</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5E86C57" w14:textId="77777777">
            <w:pPr>
              <w:widowControl/>
              <w:autoSpaceDE/>
              <w:autoSpaceDN/>
              <w:adjustRightInd/>
              <w:jc w:val="center"/>
              <w:rPr>
                <w:color w:val="000000"/>
              </w:rPr>
            </w:pPr>
            <w:r w:rsidRPr="00F030E0">
              <w:rPr>
                <w:color w:val="000000"/>
              </w:rPr>
              <w:t>0</w:t>
            </w:r>
          </w:p>
        </w:tc>
      </w:tr>
      <w:tr w:rsidRPr="00F030E0" w:rsidR="00F030E0" w:rsidTr="00F030E0" w14:paraId="645CD1C1"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2351BC15" w14:textId="77777777">
            <w:pPr>
              <w:widowControl/>
              <w:autoSpaceDE/>
              <w:autoSpaceDN/>
              <w:adjustRightInd/>
              <w:jc w:val="right"/>
              <w:rPr>
                <w:color w:val="000000"/>
              </w:rPr>
            </w:pPr>
            <w:r w:rsidRPr="00F030E0">
              <w:rPr>
                <w:color w:val="000000"/>
              </w:rPr>
              <w:t>785.2</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1A928B4" w14:textId="77777777">
            <w:pPr>
              <w:widowControl/>
              <w:autoSpaceDE/>
              <w:autoSpaceDN/>
              <w:adjustRightInd/>
              <w:jc w:val="center"/>
              <w:rPr>
                <w:color w:val="000000"/>
              </w:rPr>
            </w:pPr>
            <w:r w:rsidRPr="00F030E0">
              <w:rPr>
                <w:color w:val="000000"/>
              </w:rPr>
              <w:t>19</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18B4846" w14:textId="77777777">
            <w:pPr>
              <w:widowControl/>
              <w:autoSpaceDE/>
              <w:autoSpaceDN/>
              <w:adjustRightInd/>
              <w:jc w:val="center"/>
              <w:rPr>
                <w:color w:val="000000"/>
              </w:rPr>
            </w:pPr>
            <w:r w:rsidRPr="00F030E0">
              <w:rPr>
                <w:color w:val="000000"/>
              </w:rPr>
              <w:t>25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76078D2" w14:textId="77777777">
            <w:pPr>
              <w:widowControl/>
              <w:autoSpaceDE/>
              <w:autoSpaceDN/>
              <w:adjustRightInd/>
              <w:jc w:val="center"/>
              <w:rPr>
                <w:color w:val="000000"/>
              </w:rPr>
            </w:pPr>
            <w:r w:rsidRPr="00F030E0">
              <w:rPr>
                <w:color w:val="000000"/>
              </w:rPr>
              <w:t>475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B0816DC" w14:textId="77777777">
            <w:pPr>
              <w:widowControl/>
              <w:autoSpaceDE/>
              <w:autoSpaceDN/>
              <w:adjustRightInd/>
              <w:jc w:val="center"/>
              <w:rPr>
                <w:color w:val="000000"/>
              </w:rPr>
            </w:pPr>
            <w:r w:rsidRPr="00F030E0">
              <w:rPr>
                <w:color w:val="000000"/>
              </w:rPr>
              <w:t>19</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061D875" w14:textId="77777777">
            <w:pPr>
              <w:widowControl/>
              <w:autoSpaceDE/>
              <w:autoSpaceDN/>
              <w:adjustRightInd/>
              <w:jc w:val="center"/>
              <w:rPr>
                <w:color w:val="000000"/>
              </w:rPr>
            </w:pPr>
            <w:r w:rsidRPr="00F030E0">
              <w:rPr>
                <w:color w:val="000000"/>
              </w:rPr>
              <w:t>30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4B9AE83" w14:textId="77777777">
            <w:pPr>
              <w:widowControl/>
              <w:autoSpaceDE/>
              <w:autoSpaceDN/>
              <w:adjustRightInd/>
              <w:jc w:val="center"/>
              <w:rPr>
                <w:color w:val="000000"/>
              </w:rPr>
            </w:pPr>
            <w:r w:rsidRPr="00F030E0">
              <w:rPr>
                <w:color w:val="000000"/>
              </w:rPr>
              <w:t>570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2689F4C" w14:textId="77777777">
            <w:pPr>
              <w:widowControl/>
              <w:autoSpaceDE/>
              <w:autoSpaceDN/>
              <w:adjustRightInd/>
              <w:jc w:val="center"/>
              <w:rPr>
                <w:color w:val="000000"/>
              </w:rPr>
            </w:pPr>
            <w:r w:rsidRPr="00F030E0">
              <w:rPr>
                <w:color w:val="000000"/>
              </w:rPr>
              <w:t>1,045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2B3F9ED" w14:textId="77777777">
            <w:pPr>
              <w:widowControl/>
              <w:autoSpaceDE/>
              <w:autoSpaceDN/>
              <w:adjustRightInd/>
              <w:jc w:val="center"/>
              <w:rPr>
                <w:color w:val="000000"/>
              </w:rPr>
            </w:pPr>
            <w:r w:rsidRPr="00F030E0">
              <w:rPr>
                <w:color w:val="000000"/>
              </w:rPr>
              <w:t>1,100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D87F8B2" w14:textId="77777777">
            <w:pPr>
              <w:widowControl/>
              <w:autoSpaceDE/>
              <w:autoSpaceDN/>
              <w:adjustRightInd/>
              <w:jc w:val="center"/>
              <w:rPr>
                <w:color w:val="000000"/>
              </w:rPr>
            </w:pPr>
            <w:r w:rsidRPr="00F030E0">
              <w:rPr>
                <w:color w:val="000000"/>
              </w:rPr>
              <w:t>-55</w:t>
            </w:r>
          </w:p>
        </w:tc>
      </w:tr>
      <w:tr w:rsidRPr="00F030E0" w:rsidR="00F030E0" w:rsidTr="00F030E0" w14:paraId="4B472A57"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57E7B426" w14:textId="77777777">
            <w:pPr>
              <w:widowControl/>
              <w:autoSpaceDE/>
              <w:autoSpaceDN/>
              <w:adjustRightInd/>
              <w:jc w:val="right"/>
              <w:rPr>
                <w:color w:val="000000"/>
              </w:rPr>
            </w:pPr>
            <w:r w:rsidRPr="00F030E0">
              <w:rPr>
                <w:color w:val="000000"/>
              </w:rPr>
              <w:t>785.22</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6EF70A3E"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650D0B5" w14:textId="77777777">
            <w:pPr>
              <w:widowControl/>
              <w:autoSpaceDE/>
              <w:autoSpaceDN/>
              <w:adjustRightInd/>
              <w:jc w:val="center"/>
              <w:rPr>
                <w:color w:val="000000"/>
              </w:rPr>
            </w:pPr>
            <w:r w:rsidRPr="00F030E0">
              <w:rPr>
                <w:color w:val="000000"/>
              </w:rPr>
              <w:t>40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5635DB0" w14:textId="77777777">
            <w:pPr>
              <w:widowControl/>
              <w:autoSpaceDE/>
              <w:autoSpaceDN/>
              <w:adjustRightInd/>
              <w:jc w:val="center"/>
              <w:rPr>
                <w:color w:val="000000"/>
              </w:rPr>
            </w:pPr>
            <w:r w:rsidRPr="00F030E0">
              <w:rPr>
                <w:color w:val="000000"/>
              </w:rPr>
              <w:t>40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00DE9AD" w14:textId="77777777">
            <w:pPr>
              <w:widowControl/>
              <w:autoSpaceDE/>
              <w:autoSpaceDN/>
              <w:adjustRightInd/>
              <w:jc w:val="center"/>
              <w:rPr>
                <w:color w:val="000000"/>
              </w:rPr>
            </w:pPr>
            <w:r w:rsidRPr="00F030E0">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0CA6949" w14:textId="77777777">
            <w:pPr>
              <w:widowControl/>
              <w:autoSpaceDE/>
              <w:autoSpaceDN/>
              <w:adjustRightInd/>
              <w:jc w:val="center"/>
              <w:rPr>
                <w:color w:val="000000"/>
              </w:rPr>
            </w:pPr>
            <w:r w:rsidRPr="00F030E0">
              <w:rPr>
                <w:color w:val="000000"/>
              </w:rPr>
              <w:t>24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03614C0" w14:textId="77777777">
            <w:pPr>
              <w:widowControl/>
              <w:autoSpaceDE/>
              <w:autoSpaceDN/>
              <w:adjustRightInd/>
              <w:jc w:val="center"/>
              <w:rPr>
                <w:color w:val="000000"/>
              </w:rPr>
            </w:pPr>
            <w:r w:rsidRPr="00F030E0">
              <w:rPr>
                <w:color w:val="000000"/>
              </w:rPr>
              <w:t>24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5C6CDB5" w14:textId="77777777">
            <w:pPr>
              <w:widowControl/>
              <w:autoSpaceDE/>
              <w:autoSpaceDN/>
              <w:adjustRightInd/>
              <w:jc w:val="center"/>
              <w:rPr>
                <w:color w:val="000000"/>
              </w:rPr>
            </w:pPr>
            <w:r w:rsidRPr="00F030E0">
              <w:rPr>
                <w:color w:val="000000"/>
              </w:rPr>
              <w:t>64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6CE8F4A" w14:textId="77777777">
            <w:pPr>
              <w:widowControl/>
              <w:autoSpaceDE/>
              <w:autoSpaceDN/>
              <w:adjustRightInd/>
              <w:jc w:val="center"/>
              <w:rPr>
                <w:color w:val="000000"/>
              </w:rPr>
            </w:pPr>
            <w:r w:rsidRPr="00F030E0">
              <w:rPr>
                <w:color w:val="000000"/>
              </w:rPr>
              <w:t>64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D5BF15B" w14:textId="77777777">
            <w:pPr>
              <w:widowControl/>
              <w:autoSpaceDE/>
              <w:autoSpaceDN/>
              <w:adjustRightInd/>
              <w:jc w:val="center"/>
              <w:rPr>
                <w:color w:val="000000"/>
              </w:rPr>
            </w:pPr>
            <w:r w:rsidRPr="00F030E0">
              <w:rPr>
                <w:color w:val="000000"/>
              </w:rPr>
              <w:t>0</w:t>
            </w:r>
          </w:p>
        </w:tc>
      </w:tr>
      <w:tr w:rsidRPr="00F030E0" w:rsidR="00F030E0" w:rsidTr="00F030E0" w14:paraId="4E8BBDF8"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0430363B" w14:textId="77777777">
            <w:pPr>
              <w:widowControl/>
              <w:autoSpaceDE/>
              <w:autoSpaceDN/>
              <w:adjustRightInd/>
              <w:jc w:val="right"/>
              <w:rPr>
                <w:color w:val="000000"/>
              </w:rPr>
            </w:pPr>
            <w:r w:rsidRPr="00F030E0">
              <w:rPr>
                <w:color w:val="000000"/>
              </w:rPr>
              <w:t>785.25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89D3B1E" w14:textId="77777777">
            <w:pPr>
              <w:widowControl/>
              <w:autoSpaceDE/>
              <w:autoSpaceDN/>
              <w:adjustRightInd/>
              <w:jc w:val="center"/>
              <w:rPr>
                <w:color w:val="000000"/>
              </w:rPr>
            </w:pPr>
            <w:r w:rsidRPr="00F030E0">
              <w:rPr>
                <w:color w:val="000000"/>
              </w:rPr>
              <w:t>8</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2F1C4E4" w14:textId="77777777">
            <w:pPr>
              <w:widowControl/>
              <w:autoSpaceDE/>
              <w:autoSpaceDN/>
              <w:adjustRightInd/>
              <w:jc w:val="center"/>
              <w:rPr>
                <w:color w:val="000000"/>
              </w:rPr>
            </w:pPr>
            <w:r w:rsidRPr="00F030E0">
              <w:rPr>
                <w:color w:val="000000"/>
              </w:rPr>
              <w:t>70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01B3440" w14:textId="77777777">
            <w:pPr>
              <w:widowControl/>
              <w:autoSpaceDE/>
              <w:autoSpaceDN/>
              <w:adjustRightInd/>
              <w:jc w:val="center"/>
              <w:rPr>
                <w:color w:val="000000"/>
              </w:rPr>
            </w:pPr>
            <w:r w:rsidRPr="00F030E0">
              <w:rPr>
                <w:color w:val="000000"/>
              </w:rPr>
              <w:t>560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EB0316C" w14:textId="77777777">
            <w:pPr>
              <w:widowControl/>
              <w:autoSpaceDE/>
              <w:autoSpaceDN/>
              <w:adjustRightInd/>
              <w:jc w:val="center"/>
              <w:rPr>
                <w:color w:val="000000"/>
              </w:rPr>
            </w:pPr>
            <w:r w:rsidRPr="00F030E0">
              <w:rPr>
                <w:color w:val="000000"/>
              </w:rPr>
              <w:t>8</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864E296" w14:textId="77777777">
            <w:pPr>
              <w:widowControl/>
              <w:autoSpaceDE/>
              <w:autoSpaceDN/>
              <w:adjustRightInd/>
              <w:jc w:val="center"/>
              <w:rPr>
                <w:color w:val="000000"/>
              </w:rPr>
            </w:pPr>
            <w:r w:rsidRPr="00F030E0">
              <w:rPr>
                <w:color w:val="000000"/>
              </w:rPr>
              <w:t>24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15572FA" w14:textId="77777777">
            <w:pPr>
              <w:widowControl/>
              <w:autoSpaceDE/>
              <w:autoSpaceDN/>
              <w:adjustRightInd/>
              <w:jc w:val="center"/>
              <w:rPr>
                <w:color w:val="000000"/>
              </w:rPr>
            </w:pPr>
            <w:r w:rsidRPr="00F030E0">
              <w:rPr>
                <w:color w:val="000000"/>
              </w:rPr>
              <w:t>192</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628BC89" w14:textId="77777777">
            <w:pPr>
              <w:widowControl/>
              <w:autoSpaceDE/>
              <w:autoSpaceDN/>
              <w:adjustRightInd/>
              <w:jc w:val="center"/>
              <w:rPr>
                <w:color w:val="000000"/>
              </w:rPr>
            </w:pPr>
            <w:r w:rsidRPr="00F030E0">
              <w:rPr>
                <w:color w:val="000000"/>
              </w:rPr>
              <w:t>752</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53D593D5" w14:textId="77777777">
            <w:pPr>
              <w:widowControl/>
              <w:autoSpaceDE/>
              <w:autoSpaceDN/>
              <w:adjustRightInd/>
              <w:jc w:val="center"/>
              <w:rPr>
                <w:color w:val="000000"/>
              </w:rPr>
            </w:pPr>
            <w:r w:rsidRPr="00F030E0">
              <w:rPr>
                <w:color w:val="000000"/>
              </w:rPr>
              <w:t>846</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39537D5" w14:textId="77777777">
            <w:pPr>
              <w:widowControl/>
              <w:autoSpaceDE/>
              <w:autoSpaceDN/>
              <w:adjustRightInd/>
              <w:jc w:val="center"/>
              <w:rPr>
                <w:color w:val="000000"/>
              </w:rPr>
            </w:pPr>
            <w:r w:rsidRPr="00F030E0">
              <w:rPr>
                <w:color w:val="000000"/>
              </w:rPr>
              <w:t>-94</w:t>
            </w:r>
          </w:p>
        </w:tc>
      </w:tr>
      <w:tr w:rsidRPr="00F030E0" w:rsidR="00F030E0" w:rsidTr="00F030E0" w14:paraId="18859C13" w14:textId="77777777">
        <w:trPr>
          <w:trHeight w:val="300"/>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030E0" w:rsidR="00F030E0" w:rsidP="00F030E0" w:rsidRDefault="00F030E0" w14:paraId="6203B9E5" w14:textId="77777777">
            <w:pPr>
              <w:widowControl/>
              <w:autoSpaceDE/>
              <w:autoSpaceDN/>
              <w:adjustRightInd/>
              <w:jc w:val="center"/>
              <w:rPr>
                <w:b/>
                <w:bCs/>
                <w:color w:val="000000"/>
              </w:rPr>
            </w:pPr>
            <w:r w:rsidRPr="00F030E0">
              <w:rPr>
                <w:b/>
                <w:bCs/>
                <w:color w:val="000000"/>
              </w:rPr>
              <w:t>TOTAL</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43FF681F" w14:textId="77777777">
            <w:pPr>
              <w:widowControl/>
              <w:autoSpaceDE/>
              <w:autoSpaceDN/>
              <w:adjustRightInd/>
              <w:jc w:val="center"/>
              <w:rPr>
                <w:color w:val="000000"/>
              </w:rPr>
            </w:pPr>
            <w:r w:rsidRPr="00F030E0">
              <w:rPr>
                <w:color w:val="000000"/>
              </w:rPr>
              <w:t>44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84A569D" w14:textId="77777777">
            <w:pPr>
              <w:widowControl/>
              <w:autoSpaceDE/>
              <w:autoSpaceDN/>
              <w:adjustRightInd/>
              <w:jc w:val="center"/>
              <w:rPr>
                <w:color w:val="000000"/>
              </w:rPr>
            </w:pPr>
            <w:r w:rsidRPr="00F030E0">
              <w:rPr>
                <w:color w:val="000000"/>
              </w:rPr>
              <w:t> </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6E98759" w14:textId="77777777">
            <w:pPr>
              <w:widowControl/>
              <w:autoSpaceDE/>
              <w:autoSpaceDN/>
              <w:adjustRightInd/>
              <w:jc w:val="center"/>
              <w:rPr>
                <w:color w:val="000000"/>
              </w:rPr>
            </w:pPr>
            <w:r w:rsidRPr="00F030E0">
              <w:rPr>
                <w:color w:val="000000"/>
              </w:rPr>
              <w:t>3,635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17FA31A8" w14:textId="77777777">
            <w:pPr>
              <w:widowControl/>
              <w:autoSpaceDE/>
              <w:autoSpaceDN/>
              <w:adjustRightInd/>
              <w:jc w:val="center"/>
              <w:rPr>
                <w:color w:val="000000"/>
              </w:rPr>
            </w:pPr>
            <w:r w:rsidRPr="00F030E0">
              <w:rPr>
                <w:color w:val="000000"/>
              </w:rPr>
              <w:t>44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44FC914" w14:textId="77777777">
            <w:pPr>
              <w:widowControl/>
              <w:autoSpaceDE/>
              <w:autoSpaceDN/>
              <w:adjustRightInd/>
              <w:jc w:val="center"/>
              <w:rPr>
                <w:color w:val="000000"/>
              </w:rPr>
            </w:pPr>
            <w:r w:rsidRPr="00F030E0">
              <w:rPr>
                <w:color w:val="000000"/>
              </w:rPr>
              <w:t> </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3E1F64F" w14:textId="77777777">
            <w:pPr>
              <w:widowControl/>
              <w:autoSpaceDE/>
              <w:autoSpaceDN/>
              <w:adjustRightInd/>
              <w:jc w:val="center"/>
              <w:rPr>
                <w:color w:val="000000"/>
              </w:rPr>
            </w:pPr>
            <w:r w:rsidRPr="00F030E0">
              <w:rPr>
                <w:color w:val="000000"/>
              </w:rPr>
              <w:t>1,640</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7EB2F9DB" w14:textId="77777777">
            <w:pPr>
              <w:widowControl/>
              <w:autoSpaceDE/>
              <w:autoSpaceDN/>
              <w:adjustRightInd/>
              <w:jc w:val="center"/>
              <w:rPr>
                <w:color w:val="000000"/>
              </w:rPr>
            </w:pPr>
            <w:r w:rsidRPr="00F030E0">
              <w:rPr>
                <w:color w:val="000000"/>
              </w:rPr>
              <w:t>5,275</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33283980" w14:textId="77777777">
            <w:pPr>
              <w:widowControl/>
              <w:autoSpaceDE/>
              <w:autoSpaceDN/>
              <w:adjustRightInd/>
              <w:jc w:val="center"/>
              <w:rPr>
                <w:color w:val="000000"/>
              </w:rPr>
            </w:pPr>
            <w:r w:rsidRPr="00F030E0">
              <w:rPr>
                <w:color w:val="000000"/>
              </w:rPr>
              <w:t>6,044</w:t>
            </w:r>
          </w:p>
        </w:tc>
        <w:tc>
          <w:tcPr>
            <w:tcW w:w="960" w:type="dxa"/>
            <w:tcBorders>
              <w:top w:val="nil"/>
              <w:left w:val="nil"/>
              <w:bottom w:val="single" w:color="auto" w:sz="8" w:space="0"/>
              <w:right w:val="single" w:color="auto" w:sz="8" w:space="0"/>
            </w:tcBorders>
            <w:shd w:val="clear" w:color="auto" w:fill="auto"/>
            <w:vAlign w:val="center"/>
            <w:hideMark/>
          </w:tcPr>
          <w:p w:rsidRPr="00F030E0" w:rsidR="00F030E0" w:rsidP="00F030E0" w:rsidRDefault="00F030E0" w14:paraId="2932AF8E" w14:textId="77777777">
            <w:pPr>
              <w:widowControl/>
              <w:autoSpaceDE/>
              <w:autoSpaceDN/>
              <w:adjustRightInd/>
              <w:jc w:val="center"/>
              <w:rPr>
                <w:color w:val="000000"/>
              </w:rPr>
            </w:pPr>
            <w:r w:rsidRPr="00F030E0">
              <w:rPr>
                <w:color w:val="000000"/>
              </w:rPr>
              <w:t>-769</w:t>
            </w:r>
          </w:p>
        </w:tc>
      </w:tr>
    </w:tbl>
    <w:p w:rsidR="00F030E0" w:rsidP="00BA4642" w:rsidRDefault="00F030E0" w14:paraId="6AB9D641" w14:textId="765D5DB1">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00F030E0" w:rsidP="00BA4642" w:rsidRDefault="009D09B1" w14:paraId="76E04695" w14:textId="3BE5F851">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r>
        <w:rPr>
          <w:b/>
          <w:bCs/>
          <w:sz w:val="28"/>
          <w:szCs w:val="28"/>
        </w:rPr>
        <w:br/>
      </w:r>
      <w:r>
        <w:rPr>
          <w:b/>
          <w:bCs/>
          <w:sz w:val="28"/>
          <w:szCs w:val="28"/>
        </w:rPr>
        <w:br/>
      </w:r>
    </w:p>
    <w:p w:rsidR="00F030E0" w:rsidP="00BA4642" w:rsidRDefault="00F030E0" w14:paraId="5A28FD3E" w14:textId="77777777">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00E25855" w:rsidP="00BA4642" w:rsidRDefault="00E25855" w14:paraId="02CFDFDC" w14:textId="77777777">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Pr="00E25855" w:rsidR="00E25855" w:rsidP="00E25855" w:rsidRDefault="00E25855" w14:paraId="7BCB9FD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b.</w:t>
      </w:r>
      <w:r w:rsidRPr="00E25855">
        <w:rPr>
          <w:sz w:val="24"/>
          <w:szCs w:val="24"/>
        </w:rPr>
        <w:tab/>
      </w:r>
      <w:r w:rsidRPr="00E25855">
        <w:rPr>
          <w:sz w:val="24"/>
          <w:szCs w:val="24"/>
          <w:u w:val="single"/>
        </w:rPr>
        <w:t>Estimated Annual Wage Cost to Respondents</w:t>
      </w:r>
    </w:p>
    <w:p w:rsidR="00BA4642" w:rsidP="00BA4642" w:rsidRDefault="00BA4642" w14:paraId="4DC0A9D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25855" w:rsidR="00E25855" w:rsidP="00E25855" w:rsidRDefault="00E25855" w14:paraId="733FA13F" w14:textId="5E6B93D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OSMRE has estimated wage costs for respondents working in industry and those working as state regulatory employees. OSMRE has derived these wages from the Bureau of Labor Statistics (BLS) websites at </w:t>
      </w:r>
      <w:hyperlink w:history="1" r:id="rId11">
        <w:r w:rsidRPr="008025E6" w:rsidR="00FA0706">
          <w:rPr>
            <w:rStyle w:val="Hyperlink"/>
            <w:sz w:val="24"/>
            <w:szCs w:val="24"/>
          </w:rPr>
          <w:t>http://www.bls.gov/oes/current/naics4_212100.htm</w:t>
        </w:r>
      </w:hyperlink>
      <w:r w:rsidRPr="00E25855">
        <w:rPr>
          <w:sz w:val="24"/>
          <w:szCs w:val="24"/>
        </w:rPr>
        <w:t xml:space="preserve"> for industry wages, and </w:t>
      </w:r>
      <w:hyperlink w:history="1" r:id="rId12">
        <w:r w:rsidRPr="008025E6" w:rsidR="00FA0706">
          <w:rPr>
            <w:rStyle w:val="Hyperlink"/>
            <w:sz w:val="24"/>
            <w:szCs w:val="24"/>
          </w:rPr>
          <w:t>http://www.bls.gov/oes/current/naics4_999200.htm</w:t>
        </w:r>
      </w:hyperlink>
      <w:r w:rsidR="00FA0706">
        <w:rPr>
          <w:sz w:val="24"/>
          <w:szCs w:val="24"/>
        </w:rPr>
        <w:t xml:space="preserve"> </w:t>
      </w:r>
      <w:r w:rsidRPr="00E25855">
        <w:rPr>
          <w:sz w:val="24"/>
          <w:szCs w:val="24"/>
        </w:rPr>
        <w:t xml:space="preserve">for state employee wages.  </w:t>
      </w:r>
      <w:r w:rsidRPr="00F030E0" w:rsidR="00F030E0">
        <w:rPr>
          <w:sz w:val="24"/>
          <w:szCs w:val="24"/>
        </w:rPr>
        <w:t>Benefits are included in these wage calculations using a rate of 1.4 of the salary for industry personnel, and 1.6 for state employees per the BLS news release USDL-20-2266, EMPLOYER COSTS FOR EMPLOYEE COMPENSATION—SEPTEMBER 2020, dated December 17, 2020 (</w:t>
      </w:r>
      <w:hyperlink w:history="1" r:id="rId13">
        <w:r w:rsidRPr="00F030E0" w:rsidR="00F030E0">
          <w:rPr>
            <w:rStyle w:val="Hyperlink"/>
            <w:sz w:val="24"/>
            <w:szCs w:val="24"/>
          </w:rPr>
          <w:t>http://www.bls.gov/news.release/pdf/ecec.pdf</w:t>
        </w:r>
      </w:hyperlink>
      <w:r w:rsidRPr="00F030E0" w:rsidR="00F030E0">
        <w:rPr>
          <w:sz w:val="24"/>
          <w:szCs w:val="24"/>
        </w:rPr>
        <w:t>).</w:t>
      </w:r>
    </w:p>
    <w:p w:rsidRPr="00E25855" w:rsidR="00E25855" w:rsidP="00E25855" w:rsidRDefault="00E25855" w14:paraId="6B19E46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A19A7" w:rsidR="00E25855" w:rsidP="00E25855" w:rsidRDefault="00E25855" w14:paraId="5B5CEAD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Industry reported that their permit application staff consisted of a combination of mining engineers, civil engineers, hydrologists, engineering technicians, operations managers, and administrative support.  The exact combination of </w:t>
      </w:r>
      <w:r w:rsidRPr="000A19A7">
        <w:rPr>
          <w:sz w:val="24"/>
          <w:szCs w:val="24"/>
        </w:rPr>
        <w:t>disciplines varies by company and/or preparer.</w:t>
      </w:r>
      <w:r w:rsidRPr="004B5F7C" w:rsidR="004B5F7C">
        <w:t xml:space="preserve"> </w:t>
      </w:r>
      <w:r w:rsidRPr="004B5F7C" w:rsidR="004B5F7C">
        <w:rPr>
          <w:sz w:val="24"/>
          <w:szCs w:val="24"/>
        </w:rPr>
        <w:t xml:space="preserve">For simplicity, we will assume that the salary of a mining engineer represents an average approximation of the various </w:t>
      </w:r>
      <w:r w:rsidR="004B5F7C">
        <w:rPr>
          <w:sz w:val="24"/>
          <w:szCs w:val="24"/>
        </w:rPr>
        <w:t xml:space="preserve">scientific </w:t>
      </w:r>
      <w:r w:rsidRPr="004B5F7C" w:rsidR="004B5F7C">
        <w:rPr>
          <w:sz w:val="24"/>
          <w:szCs w:val="24"/>
        </w:rPr>
        <w:t>disciplines</w:t>
      </w:r>
      <w:r w:rsidR="004B5F7C">
        <w:rPr>
          <w:sz w:val="24"/>
          <w:szCs w:val="24"/>
        </w:rPr>
        <w:t xml:space="preserve"> for industry.</w:t>
      </w:r>
    </w:p>
    <w:p w:rsidRPr="000A19A7" w:rsidR="00E25855" w:rsidP="00E25855" w:rsidRDefault="00E25855" w14:paraId="16AADBD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D09B1" w:rsidP="000A19A7" w:rsidRDefault="009D09B1" w14:paraId="02E67724"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rsidRDefault="009D09B1" w14:paraId="55F3A1AF"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rsidRDefault="009D09B1" w14:paraId="3CF3D371"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rsidRDefault="009D09B1" w14:paraId="29F9E5BF"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rsidRDefault="009D09B1" w14:paraId="6C5467EB"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rsidRDefault="009D09B1" w14:paraId="56976765"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0A19A7" w:rsidR="000A19A7" w:rsidP="000A19A7" w:rsidRDefault="000A19A7" w14:paraId="33C1238C" w14:textId="7D23844D">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Industry Wage Cost</w:t>
      </w:r>
    </w:p>
    <w:p w:rsidR="00E25855" w:rsidP="00E25855" w:rsidRDefault="00E25855" w14:paraId="6FC9ECF1"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40C8" w:rsidP="00E25855" w:rsidRDefault="000840C8" w14:paraId="33563BA3"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860" w:type="dxa"/>
        <w:tblInd w:w="118" w:type="dxa"/>
        <w:tblLook w:val="04A0" w:firstRow="1" w:lastRow="0" w:firstColumn="1" w:lastColumn="0" w:noHBand="0" w:noVBand="1"/>
      </w:tblPr>
      <w:tblGrid>
        <w:gridCol w:w="1800"/>
        <w:gridCol w:w="1920"/>
        <w:gridCol w:w="2220"/>
        <w:gridCol w:w="1660"/>
        <w:gridCol w:w="2260"/>
      </w:tblGrid>
      <w:tr w:rsidRPr="000840C8" w:rsidR="000840C8" w:rsidTr="000840C8" w14:paraId="49EC909A" w14:textId="77777777">
        <w:trPr>
          <w:trHeight w:val="720"/>
        </w:trPr>
        <w:tc>
          <w:tcPr>
            <w:tcW w:w="180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0840C8" w:rsidR="000840C8" w:rsidP="000840C8" w:rsidRDefault="000840C8" w14:paraId="4854172C" w14:textId="77777777">
            <w:pPr>
              <w:widowControl/>
              <w:autoSpaceDE/>
              <w:autoSpaceDN/>
              <w:adjustRightInd/>
              <w:rPr>
                <w:color w:val="000000"/>
                <w:sz w:val="24"/>
                <w:szCs w:val="24"/>
              </w:rPr>
            </w:pPr>
            <w:r w:rsidRPr="000840C8">
              <w:rPr>
                <w:color w:val="000000"/>
                <w:sz w:val="24"/>
                <w:szCs w:val="24"/>
              </w:rPr>
              <w:t>Position</w:t>
            </w:r>
          </w:p>
        </w:tc>
        <w:tc>
          <w:tcPr>
            <w:tcW w:w="1920" w:type="dxa"/>
            <w:tcBorders>
              <w:top w:val="single" w:color="auto" w:sz="8" w:space="0"/>
              <w:left w:val="nil"/>
              <w:bottom w:val="single" w:color="auto" w:sz="8" w:space="0"/>
              <w:right w:val="single" w:color="auto" w:sz="8" w:space="0"/>
            </w:tcBorders>
            <w:shd w:val="clear" w:color="000000" w:fill="FFFFFF"/>
            <w:vAlign w:val="center"/>
            <w:hideMark/>
          </w:tcPr>
          <w:p w:rsidRPr="000840C8" w:rsidR="000840C8" w:rsidP="000840C8" w:rsidRDefault="000840C8" w14:paraId="5D09CE2C" w14:textId="77777777">
            <w:pPr>
              <w:widowControl/>
              <w:autoSpaceDE/>
              <w:autoSpaceDN/>
              <w:adjustRightInd/>
              <w:rPr>
                <w:color w:val="000000"/>
                <w:sz w:val="24"/>
                <w:szCs w:val="24"/>
              </w:rPr>
            </w:pPr>
            <w:r w:rsidRPr="000840C8">
              <w:rPr>
                <w:color w:val="000000"/>
                <w:sz w:val="24"/>
                <w:szCs w:val="24"/>
              </w:rPr>
              <w:t>Hour Rate (BLS)</w:t>
            </w:r>
          </w:p>
        </w:tc>
        <w:tc>
          <w:tcPr>
            <w:tcW w:w="2220" w:type="dxa"/>
            <w:tcBorders>
              <w:top w:val="single" w:color="auto" w:sz="8" w:space="0"/>
              <w:left w:val="nil"/>
              <w:bottom w:val="single" w:color="auto" w:sz="8" w:space="0"/>
              <w:right w:val="single" w:color="auto" w:sz="8" w:space="0"/>
            </w:tcBorders>
            <w:shd w:val="clear" w:color="000000" w:fill="FFFFFF"/>
            <w:vAlign w:val="center"/>
            <w:hideMark/>
          </w:tcPr>
          <w:p w:rsidRPr="000840C8" w:rsidR="000840C8" w:rsidP="000840C8" w:rsidRDefault="000840C8" w14:paraId="5C3749FF" w14:textId="77777777">
            <w:pPr>
              <w:widowControl/>
              <w:autoSpaceDE/>
              <w:autoSpaceDN/>
              <w:adjustRightInd/>
              <w:jc w:val="center"/>
              <w:rPr>
                <w:color w:val="000000"/>
                <w:sz w:val="24"/>
                <w:szCs w:val="24"/>
              </w:rPr>
            </w:pPr>
            <w:r w:rsidRPr="000840C8">
              <w:rPr>
                <w:color w:val="000000"/>
                <w:sz w:val="24"/>
                <w:szCs w:val="24"/>
              </w:rPr>
              <w:t>Hourly Rate with Benefits (x 1.4)</w:t>
            </w:r>
          </w:p>
        </w:tc>
        <w:tc>
          <w:tcPr>
            <w:tcW w:w="1660" w:type="dxa"/>
            <w:tcBorders>
              <w:top w:val="single" w:color="auto" w:sz="8" w:space="0"/>
              <w:left w:val="nil"/>
              <w:bottom w:val="single" w:color="auto" w:sz="8" w:space="0"/>
              <w:right w:val="single" w:color="auto" w:sz="8" w:space="0"/>
            </w:tcBorders>
            <w:shd w:val="clear" w:color="000000" w:fill="FFFFFF"/>
            <w:vAlign w:val="center"/>
            <w:hideMark/>
          </w:tcPr>
          <w:p w:rsidRPr="000840C8" w:rsidR="000840C8" w:rsidP="000840C8" w:rsidRDefault="000840C8" w14:paraId="501E9793" w14:textId="77777777">
            <w:pPr>
              <w:widowControl/>
              <w:autoSpaceDE/>
              <w:autoSpaceDN/>
              <w:adjustRightInd/>
              <w:jc w:val="center"/>
              <w:rPr>
                <w:color w:val="000000"/>
                <w:sz w:val="24"/>
                <w:szCs w:val="24"/>
              </w:rPr>
            </w:pPr>
            <w:r w:rsidRPr="000840C8">
              <w:rPr>
                <w:color w:val="000000"/>
                <w:sz w:val="24"/>
                <w:szCs w:val="24"/>
              </w:rPr>
              <w:t>Percent of total hours</w:t>
            </w:r>
          </w:p>
        </w:tc>
        <w:tc>
          <w:tcPr>
            <w:tcW w:w="2260" w:type="dxa"/>
            <w:tcBorders>
              <w:top w:val="single" w:color="auto" w:sz="8" w:space="0"/>
              <w:left w:val="nil"/>
              <w:bottom w:val="single" w:color="auto" w:sz="8" w:space="0"/>
              <w:right w:val="single" w:color="auto" w:sz="8" w:space="0"/>
            </w:tcBorders>
            <w:shd w:val="clear" w:color="000000" w:fill="FFFFFF"/>
            <w:vAlign w:val="center"/>
            <w:hideMark/>
          </w:tcPr>
          <w:p w:rsidRPr="000840C8" w:rsidR="000840C8" w:rsidP="000840C8" w:rsidRDefault="000840C8" w14:paraId="40A9B75F" w14:textId="6A5B5722">
            <w:pPr>
              <w:widowControl/>
              <w:autoSpaceDE/>
              <w:autoSpaceDN/>
              <w:adjustRightInd/>
              <w:jc w:val="center"/>
              <w:rPr>
                <w:color w:val="000000"/>
                <w:sz w:val="24"/>
                <w:szCs w:val="24"/>
              </w:rPr>
            </w:pPr>
            <w:proofErr w:type="gramStart"/>
            <w:r w:rsidRPr="000840C8">
              <w:rPr>
                <w:color w:val="000000"/>
                <w:sz w:val="24"/>
                <w:szCs w:val="24"/>
              </w:rPr>
              <w:t>Weighted-contribution</w:t>
            </w:r>
            <w:proofErr w:type="gramEnd"/>
            <w:r w:rsidRPr="000840C8">
              <w:rPr>
                <w:color w:val="000000"/>
                <w:sz w:val="24"/>
                <w:szCs w:val="24"/>
              </w:rPr>
              <w:t xml:space="preserve"> </w:t>
            </w:r>
            <w:r w:rsidR="00F913A1">
              <w:rPr>
                <w:color w:val="000000"/>
                <w:sz w:val="24"/>
                <w:szCs w:val="24"/>
              </w:rPr>
              <w:t xml:space="preserve">in average </w:t>
            </w:r>
            <w:r w:rsidRPr="000840C8">
              <w:rPr>
                <w:color w:val="000000"/>
                <w:sz w:val="24"/>
                <w:szCs w:val="24"/>
              </w:rPr>
              <w:t xml:space="preserve">wage </w:t>
            </w:r>
          </w:p>
        </w:tc>
      </w:tr>
      <w:tr w:rsidRPr="000840C8" w:rsidR="000840C8" w:rsidTr="000840C8" w14:paraId="63888C24" w14:textId="77777777">
        <w:trPr>
          <w:trHeight w:val="630"/>
        </w:trPr>
        <w:tc>
          <w:tcPr>
            <w:tcW w:w="1800" w:type="dxa"/>
            <w:tcBorders>
              <w:top w:val="nil"/>
              <w:left w:val="single" w:color="auto" w:sz="8" w:space="0"/>
              <w:bottom w:val="single" w:color="auto" w:sz="8" w:space="0"/>
              <w:right w:val="single" w:color="auto" w:sz="8" w:space="0"/>
            </w:tcBorders>
            <w:shd w:val="clear" w:color="000000" w:fill="FFFFFF"/>
            <w:vAlign w:val="center"/>
            <w:hideMark/>
          </w:tcPr>
          <w:p w:rsidRPr="000840C8" w:rsidR="000840C8" w:rsidP="000840C8" w:rsidRDefault="000840C8" w14:paraId="13743CAA" w14:textId="77777777">
            <w:pPr>
              <w:widowControl/>
              <w:autoSpaceDE/>
              <w:autoSpaceDN/>
              <w:adjustRightInd/>
              <w:rPr>
                <w:color w:val="000000"/>
                <w:sz w:val="24"/>
                <w:szCs w:val="24"/>
              </w:rPr>
            </w:pPr>
            <w:r w:rsidRPr="000840C8">
              <w:rPr>
                <w:color w:val="000000"/>
                <w:sz w:val="24"/>
                <w:szCs w:val="24"/>
              </w:rPr>
              <w:t>Administrative Support</w:t>
            </w:r>
          </w:p>
        </w:tc>
        <w:tc>
          <w:tcPr>
            <w:tcW w:w="192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6D47FBA1" w14:textId="77777777">
            <w:pPr>
              <w:widowControl/>
              <w:autoSpaceDE/>
              <w:autoSpaceDN/>
              <w:adjustRightInd/>
              <w:jc w:val="center"/>
              <w:rPr>
                <w:color w:val="000000"/>
                <w:sz w:val="24"/>
                <w:szCs w:val="24"/>
              </w:rPr>
            </w:pPr>
            <w:r w:rsidRPr="000840C8">
              <w:rPr>
                <w:color w:val="000000"/>
                <w:sz w:val="24"/>
                <w:szCs w:val="24"/>
              </w:rPr>
              <w:t xml:space="preserve">$19.61 </w:t>
            </w:r>
          </w:p>
        </w:tc>
        <w:tc>
          <w:tcPr>
            <w:tcW w:w="222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7D8D4054" w14:textId="77777777">
            <w:pPr>
              <w:widowControl/>
              <w:autoSpaceDE/>
              <w:autoSpaceDN/>
              <w:adjustRightInd/>
              <w:jc w:val="center"/>
              <w:rPr>
                <w:color w:val="000000"/>
                <w:sz w:val="24"/>
                <w:szCs w:val="24"/>
              </w:rPr>
            </w:pPr>
            <w:r w:rsidRPr="000840C8">
              <w:rPr>
                <w:color w:val="000000"/>
                <w:sz w:val="24"/>
                <w:szCs w:val="24"/>
              </w:rPr>
              <w:t xml:space="preserve">$27.45 </w:t>
            </w:r>
          </w:p>
        </w:tc>
        <w:tc>
          <w:tcPr>
            <w:tcW w:w="166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2EE9C5A3" w14:textId="77777777">
            <w:pPr>
              <w:widowControl/>
              <w:autoSpaceDE/>
              <w:autoSpaceDN/>
              <w:adjustRightInd/>
              <w:jc w:val="center"/>
              <w:rPr>
                <w:color w:val="000000"/>
                <w:sz w:val="24"/>
                <w:szCs w:val="24"/>
              </w:rPr>
            </w:pPr>
            <w:r w:rsidRPr="000840C8">
              <w:rPr>
                <w:color w:val="000000"/>
                <w:sz w:val="24"/>
                <w:szCs w:val="24"/>
              </w:rPr>
              <w:t>10%</w:t>
            </w:r>
          </w:p>
        </w:tc>
        <w:tc>
          <w:tcPr>
            <w:tcW w:w="226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594FC013" w14:textId="77777777">
            <w:pPr>
              <w:widowControl/>
              <w:autoSpaceDE/>
              <w:autoSpaceDN/>
              <w:adjustRightInd/>
              <w:jc w:val="center"/>
              <w:rPr>
                <w:color w:val="000000"/>
                <w:sz w:val="24"/>
                <w:szCs w:val="24"/>
              </w:rPr>
            </w:pPr>
            <w:r w:rsidRPr="000840C8">
              <w:rPr>
                <w:color w:val="000000"/>
                <w:sz w:val="24"/>
                <w:szCs w:val="24"/>
              </w:rPr>
              <w:t xml:space="preserve">$2.75 </w:t>
            </w:r>
          </w:p>
        </w:tc>
      </w:tr>
      <w:tr w:rsidRPr="000840C8" w:rsidR="000840C8" w:rsidTr="000840C8" w14:paraId="42911129" w14:textId="77777777">
        <w:trPr>
          <w:trHeight w:val="630"/>
        </w:trPr>
        <w:tc>
          <w:tcPr>
            <w:tcW w:w="1800" w:type="dxa"/>
            <w:tcBorders>
              <w:top w:val="nil"/>
              <w:left w:val="single" w:color="auto" w:sz="8" w:space="0"/>
              <w:bottom w:val="single" w:color="auto" w:sz="8" w:space="0"/>
              <w:right w:val="single" w:color="auto" w:sz="8" w:space="0"/>
            </w:tcBorders>
            <w:shd w:val="clear" w:color="000000" w:fill="FFFFFF"/>
            <w:vAlign w:val="center"/>
            <w:hideMark/>
          </w:tcPr>
          <w:p w:rsidRPr="000840C8" w:rsidR="000840C8" w:rsidP="000840C8" w:rsidRDefault="000840C8" w14:paraId="087528DC" w14:textId="77777777">
            <w:pPr>
              <w:widowControl/>
              <w:autoSpaceDE/>
              <w:autoSpaceDN/>
              <w:adjustRightInd/>
              <w:rPr>
                <w:color w:val="000000"/>
                <w:sz w:val="24"/>
                <w:szCs w:val="24"/>
              </w:rPr>
            </w:pPr>
            <w:r w:rsidRPr="000840C8">
              <w:rPr>
                <w:color w:val="000000"/>
                <w:sz w:val="24"/>
                <w:szCs w:val="24"/>
              </w:rPr>
              <w:t>Mining Engineer</w:t>
            </w:r>
          </w:p>
        </w:tc>
        <w:tc>
          <w:tcPr>
            <w:tcW w:w="192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11AD22FE" w14:textId="77777777">
            <w:pPr>
              <w:widowControl/>
              <w:autoSpaceDE/>
              <w:autoSpaceDN/>
              <w:adjustRightInd/>
              <w:jc w:val="center"/>
              <w:rPr>
                <w:color w:val="000000"/>
                <w:sz w:val="24"/>
                <w:szCs w:val="24"/>
              </w:rPr>
            </w:pPr>
            <w:r w:rsidRPr="000840C8">
              <w:rPr>
                <w:color w:val="000000"/>
                <w:sz w:val="24"/>
                <w:szCs w:val="24"/>
              </w:rPr>
              <w:t xml:space="preserve">$42.54 </w:t>
            </w:r>
          </w:p>
        </w:tc>
        <w:tc>
          <w:tcPr>
            <w:tcW w:w="222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3A241E0D" w14:textId="77777777">
            <w:pPr>
              <w:widowControl/>
              <w:autoSpaceDE/>
              <w:autoSpaceDN/>
              <w:adjustRightInd/>
              <w:jc w:val="center"/>
              <w:rPr>
                <w:color w:val="000000"/>
                <w:sz w:val="24"/>
                <w:szCs w:val="24"/>
              </w:rPr>
            </w:pPr>
            <w:r w:rsidRPr="000840C8">
              <w:rPr>
                <w:color w:val="000000"/>
                <w:sz w:val="24"/>
                <w:szCs w:val="24"/>
              </w:rPr>
              <w:t xml:space="preserve">$59.56 </w:t>
            </w:r>
          </w:p>
        </w:tc>
        <w:tc>
          <w:tcPr>
            <w:tcW w:w="166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16A19FE8" w14:textId="77777777">
            <w:pPr>
              <w:widowControl/>
              <w:autoSpaceDE/>
              <w:autoSpaceDN/>
              <w:adjustRightInd/>
              <w:jc w:val="center"/>
              <w:rPr>
                <w:color w:val="000000"/>
                <w:sz w:val="24"/>
                <w:szCs w:val="24"/>
              </w:rPr>
            </w:pPr>
            <w:r w:rsidRPr="000840C8">
              <w:rPr>
                <w:color w:val="000000"/>
                <w:sz w:val="24"/>
                <w:szCs w:val="24"/>
              </w:rPr>
              <w:t>85%</w:t>
            </w:r>
          </w:p>
        </w:tc>
        <w:tc>
          <w:tcPr>
            <w:tcW w:w="226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51805030" w14:textId="77777777">
            <w:pPr>
              <w:widowControl/>
              <w:autoSpaceDE/>
              <w:autoSpaceDN/>
              <w:adjustRightInd/>
              <w:jc w:val="center"/>
              <w:rPr>
                <w:color w:val="000000"/>
                <w:sz w:val="24"/>
                <w:szCs w:val="24"/>
              </w:rPr>
            </w:pPr>
            <w:r w:rsidRPr="000840C8">
              <w:rPr>
                <w:color w:val="000000"/>
                <w:sz w:val="24"/>
                <w:szCs w:val="24"/>
              </w:rPr>
              <w:t xml:space="preserve">$50.62 </w:t>
            </w:r>
          </w:p>
        </w:tc>
      </w:tr>
      <w:tr w:rsidRPr="000840C8" w:rsidR="000840C8" w:rsidTr="000840C8" w14:paraId="6A1A0D53" w14:textId="77777777">
        <w:trPr>
          <w:trHeight w:val="630"/>
        </w:trPr>
        <w:tc>
          <w:tcPr>
            <w:tcW w:w="1800" w:type="dxa"/>
            <w:tcBorders>
              <w:top w:val="nil"/>
              <w:left w:val="single" w:color="auto" w:sz="8" w:space="0"/>
              <w:bottom w:val="single" w:color="auto" w:sz="8" w:space="0"/>
              <w:right w:val="single" w:color="auto" w:sz="8" w:space="0"/>
            </w:tcBorders>
            <w:shd w:val="clear" w:color="000000" w:fill="FFFFFF"/>
            <w:vAlign w:val="center"/>
            <w:hideMark/>
          </w:tcPr>
          <w:p w:rsidRPr="000840C8" w:rsidR="000840C8" w:rsidP="000840C8" w:rsidRDefault="000840C8" w14:paraId="524C35EC" w14:textId="77777777">
            <w:pPr>
              <w:widowControl/>
              <w:autoSpaceDE/>
              <w:autoSpaceDN/>
              <w:adjustRightInd/>
              <w:rPr>
                <w:color w:val="000000"/>
                <w:sz w:val="24"/>
                <w:szCs w:val="24"/>
              </w:rPr>
            </w:pPr>
            <w:r w:rsidRPr="000840C8">
              <w:rPr>
                <w:color w:val="000000"/>
                <w:sz w:val="24"/>
                <w:szCs w:val="24"/>
              </w:rPr>
              <w:t>Operations Manager</w:t>
            </w:r>
          </w:p>
        </w:tc>
        <w:tc>
          <w:tcPr>
            <w:tcW w:w="192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50BD8B61" w14:textId="77777777">
            <w:pPr>
              <w:widowControl/>
              <w:autoSpaceDE/>
              <w:autoSpaceDN/>
              <w:adjustRightInd/>
              <w:jc w:val="center"/>
              <w:rPr>
                <w:color w:val="000000"/>
                <w:sz w:val="24"/>
                <w:szCs w:val="24"/>
              </w:rPr>
            </w:pPr>
            <w:r w:rsidRPr="000840C8">
              <w:rPr>
                <w:color w:val="000000"/>
                <w:sz w:val="24"/>
                <w:szCs w:val="24"/>
              </w:rPr>
              <w:t xml:space="preserve">$52.23 </w:t>
            </w:r>
          </w:p>
        </w:tc>
        <w:tc>
          <w:tcPr>
            <w:tcW w:w="222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1298F09E" w14:textId="77777777">
            <w:pPr>
              <w:widowControl/>
              <w:autoSpaceDE/>
              <w:autoSpaceDN/>
              <w:adjustRightInd/>
              <w:jc w:val="center"/>
              <w:rPr>
                <w:color w:val="000000"/>
                <w:sz w:val="24"/>
                <w:szCs w:val="24"/>
              </w:rPr>
            </w:pPr>
            <w:r w:rsidRPr="000840C8">
              <w:rPr>
                <w:color w:val="000000"/>
                <w:sz w:val="24"/>
                <w:szCs w:val="24"/>
              </w:rPr>
              <w:t xml:space="preserve">$73.12 </w:t>
            </w:r>
          </w:p>
        </w:tc>
        <w:tc>
          <w:tcPr>
            <w:tcW w:w="166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105391DA" w14:textId="77777777">
            <w:pPr>
              <w:widowControl/>
              <w:autoSpaceDE/>
              <w:autoSpaceDN/>
              <w:adjustRightInd/>
              <w:jc w:val="center"/>
              <w:rPr>
                <w:color w:val="000000"/>
                <w:sz w:val="24"/>
                <w:szCs w:val="24"/>
              </w:rPr>
            </w:pPr>
            <w:r w:rsidRPr="000840C8">
              <w:rPr>
                <w:color w:val="000000"/>
                <w:sz w:val="24"/>
                <w:szCs w:val="24"/>
              </w:rPr>
              <w:t>5%</w:t>
            </w:r>
          </w:p>
        </w:tc>
        <w:tc>
          <w:tcPr>
            <w:tcW w:w="226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710F115D" w14:textId="77777777">
            <w:pPr>
              <w:widowControl/>
              <w:autoSpaceDE/>
              <w:autoSpaceDN/>
              <w:adjustRightInd/>
              <w:jc w:val="center"/>
              <w:rPr>
                <w:color w:val="000000"/>
                <w:sz w:val="24"/>
                <w:szCs w:val="24"/>
              </w:rPr>
            </w:pPr>
            <w:r w:rsidRPr="000840C8">
              <w:rPr>
                <w:color w:val="000000"/>
                <w:sz w:val="24"/>
                <w:szCs w:val="24"/>
              </w:rPr>
              <w:t xml:space="preserve">$3.66 </w:t>
            </w:r>
          </w:p>
        </w:tc>
      </w:tr>
      <w:tr w:rsidRPr="000840C8" w:rsidR="000840C8" w:rsidTr="000840C8" w14:paraId="6E807C5F" w14:textId="77777777">
        <w:trPr>
          <w:trHeight w:val="320"/>
        </w:trPr>
        <w:tc>
          <w:tcPr>
            <w:tcW w:w="1800" w:type="dxa"/>
            <w:tcBorders>
              <w:top w:val="nil"/>
              <w:left w:val="single" w:color="auto" w:sz="8" w:space="0"/>
              <w:bottom w:val="single" w:color="auto" w:sz="8" w:space="0"/>
              <w:right w:val="single" w:color="auto" w:sz="8" w:space="0"/>
            </w:tcBorders>
            <w:shd w:val="clear" w:color="000000" w:fill="FFFFFF"/>
            <w:vAlign w:val="center"/>
            <w:hideMark/>
          </w:tcPr>
          <w:p w:rsidRPr="000840C8" w:rsidR="000840C8" w:rsidP="000840C8" w:rsidRDefault="000840C8" w14:paraId="047E22C4" w14:textId="77777777">
            <w:pPr>
              <w:widowControl/>
              <w:autoSpaceDE/>
              <w:autoSpaceDN/>
              <w:adjustRightInd/>
              <w:rPr>
                <w:color w:val="000000"/>
                <w:sz w:val="24"/>
                <w:szCs w:val="24"/>
              </w:rPr>
            </w:pPr>
            <w:r w:rsidRPr="000840C8">
              <w:rPr>
                <w:color w:val="000000"/>
                <w:sz w:val="24"/>
                <w:szCs w:val="24"/>
              </w:rPr>
              <w:t>Total</w:t>
            </w:r>
          </w:p>
        </w:tc>
        <w:tc>
          <w:tcPr>
            <w:tcW w:w="192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7608651C" w14:textId="77777777">
            <w:pPr>
              <w:widowControl/>
              <w:autoSpaceDE/>
              <w:autoSpaceDN/>
              <w:adjustRightInd/>
              <w:rPr>
                <w:color w:val="000000"/>
                <w:sz w:val="24"/>
                <w:szCs w:val="24"/>
              </w:rPr>
            </w:pPr>
            <w:r w:rsidRPr="000840C8">
              <w:rPr>
                <w:color w:val="000000"/>
                <w:sz w:val="24"/>
                <w:szCs w:val="24"/>
              </w:rPr>
              <w:t> </w:t>
            </w:r>
          </w:p>
        </w:tc>
        <w:tc>
          <w:tcPr>
            <w:tcW w:w="222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3B1BCDF2" w14:textId="77777777">
            <w:pPr>
              <w:widowControl/>
              <w:autoSpaceDE/>
              <w:autoSpaceDN/>
              <w:adjustRightInd/>
              <w:jc w:val="center"/>
              <w:rPr>
                <w:color w:val="000000"/>
                <w:sz w:val="24"/>
                <w:szCs w:val="24"/>
              </w:rPr>
            </w:pPr>
            <w:r w:rsidRPr="000840C8">
              <w:rPr>
                <w:color w:val="000000"/>
                <w:sz w:val="24"/>
                <w:szCs w:val="24"/>
              </w:rPr>
              <w:t> </w:t>
            </w:r>
          </w:p>
        </w:tc>
        <w:tc>
          <w:tcPr>
            <w:tcW w:w="166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34B8909C" w14:textId="77777777">
            <w:pPr>
              <w:widowControl/>
              <w:autoSpaceDE/>
              <w:autoSpaceDN/>
              <w:adjustRightInd/>
              <w:jc w:val="center"/>
              <w:rPr>
                <w:color w:val="000000"/>
                <w:sz w:val="24"/>
                <w:szCs w:val="24"/>
              </w:rPr>
            </w:pPr>
            <w:r w:rsidRPr="000840C8">
              <w:rPr>
                <w:color w:val="000000"/>
                <w:sz w:val="24"/>
                <w:szCs w:val="24"/>
              </w:rPr>
              <w:t>100%</w:t>
            </w:r>
          </w:p>
        </w:tc>
        <w:tc>
          <w:tcPr>
            <w:tcW w:w="2260" w:type="dxa"/>
            <w:tcBorders>
              <w:top w:val="nil"/>
              <w:left w:val="nil"/>
              <w:bottom w:val="single" w:color="auto" w:sz="8" w:space="0"/>
              <w:right w:val="single" w:color="auto" w:sz="8" w:space="0"/>
            </w:tcBorders>
            <w:shd w:val="clear" w:color="000000" w:fill="FFFFFF"/>
            <w:vAlign w:val="center"/>
            <w:hideMark/>
          </w:tcPr>
          <w:p w:rsidRPr="000840C8" w:rsidR="000840C8" w:rsidP="000840C8" w:rsidRDefault="000840C8" w14:paraId="27908664" w14:textId="77777777">
            <w:pPr>
              <w:widowControl/>
              <w:autoSpaceDE/>
              <w:autoSpaceDN/>
              <w:adjustRightInd/>
              <w:jc w:val="center"/>
              <w:rPr>
                <w:color w:val="000000"/>
                <w:sz w:val="24"/>
                <w:szCs w:val="24"/>
              </w:rPr>
            </w:pPr>
            <w:r w:rsidRPr="000840C8">
              <w:rPr>
                <w:noProof/>
                <w:color w:val="000000"/>
                <w:sz w:val="24"/>
                <w:szCs w:val="24"/>
              </w:rPr>
              <w:t xml:space="preserve">$57.02 </w:t>
            </w:r>
          </w:p>
        </w:tc>
      </w:tr>
    </w:tbl>
    <w:p w:rsidR="000840C8" w:rsidP="00E25855" w:rsidRDefault="000840C8" w14:paraId="7B5060CF"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40C8" w:rsidP="00E25855" w:rsidRDefault="000840C8" w14:paraId="07397E09"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25855" w:rsidR="00E25855" w:rsidP="00E25855" w:rsidRDefault="00E25855" w14:paraId="3093BCD5" w14:textId="6574D7B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At an average cost of $</w:t>
      </w:r>
      <w:r w:rsidR="00FE1EAF">
        <w:rPr>
          <w:sz w:val="24"/>
          <w:szCs w:val="24"/>
        </w:rPr>
        <w:t>57.</w:t>
      </w:r>
      <w:r w:rsidR="00F030E0">
        <w:rPr>
          <w:sz w:val="24"/>
          <w:szCs w:val="24"/>
        </w:rPr>
        <w:t>02</w:t>
      </w:r>
      <w:r w:rsidRPr="00E25855">
        <w:rPr>
          <w:sz w:val="24"/>
          <w:szCs w:val="24"/>
        </w:rPr>
        <w:t xml:space="preserve"> per hour, the estimated total annual cost for industry respondents is </w:t>
      </w:r>
      <w:r w:rsidR="00523BE6">
        <w:rPr>
          <w:sz w:val="24"/>
          <w:szCs w:val="24"/>
        </w:rPr>
        <w:t>$207,283</w:t>
      </w:r>
      <w:r w:rsidRPr="00E25855">
        <w:rPr>
          <w:sz w:val="24"/>
          <w:szCs w:val="24"/>
        </w:rPr>
        <w:t xml:space="preserve"> </w:t>
      </w:r>
      <w:r w:rsidR="00523BE6">
        <w:rPr>
          <w:sz w:val="24"/>
          <w:szCs w:val="24"/>
        </w:rPr>
        <w:t xml:space="preserve">(3,635 </w:t>
      </w:r>
      <w:r w:rsidRPr="00E25855">
        <w:rPr>
          <w:sz w:val="24"/>
          <w:szCs w:val="24"/>
        </w:rPr>
        <w:t>hours x $</w:t>
      </w:r>
      <w:r w:rsidR="00CF3213">
        <w:rPr>
          <w:sz w:val="24"/>
          <w:szCs w:val="24"/>
        </w:rPr>
        <w:t>57.</w:t>
      </w:r>
      <w:r w:rsidR="004F6333">
        <w:rPr>
          <w:sz w:val="24"/>
          <w:szCs w:val="24"/>
        </w:rPr>
        <w:t>02</w:t>
      </w:r>
      <w:r w:rsidR="00523BE6">
        <w:rPr>
          <w:sz w:val="24"/>
          <w:szCs w:val="24"/>
        </w:rPr>
        <w:t xml:space="preserve"> per hour)</w:t>
      </w:r>
      <w:r w:rsidRPr="00E25855">
        <w:rPr>
          <w:sz w:val="24"/>
          <w:szCs w:val="24"/>
        </w:rPr>
        <w:t>.</w:t>
      </w:r>
    </w:p>
    <w:p w:rsidRPr="00E25855" w:rsidR="00E25855" w:rsidP="00E25855" w:rsidRDefault="00E25855" w14:paraId="2EC004C8"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25855" w:rsidR="00E25855" w:rsidP="00E25855" w:rsidRDefault="00E25855" w14:paraId="1784387D" w14:textId="7808D41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State regulatory authorities reported that their review staff consisted of a combination of mining engineers, civil engineers, engineering technicians, and hydrologists.  The exact combination of disciplines varies by regulatory authority.  For simplicity, we will assume that the salary of a mining engineer represents an average of the various disciplines of the state review team.</w:t>
      </w:r>
    </w:p>
    <w:p w:rsidRPr="00E25855" w:rsidR="00E25855" w:rsidP="00E25855" w:rsidRDefault="00E25855" w14:paraId="4677BFFE"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25855" w:rsidR="00E25855" w:rsidP="00E25855" w:rsidRDefault="00E25855" w14:paraId="7B0D5008" w14:textId="7A7B1D03">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I</w:t>
      </w:r>
      <w:r w:rsidR="00842C7A">
        <w:rPr>
          <w:sz w:val="24"/>
          <w:szCs w:val="24"/>
        </w:rPr>
        <w:t>t</w:t>
      </w:r>
      <w:r w:rsidRPr="00E25855">
        <w:rPr>
          <w:sz w:val="24"/>
          <w:szCs w:val="24"/>
        </w:rPr>
        <w:t xml:space="preserve"> takes </w:t>
      </w:r>
      <w:r w:rsidR="004F6333">
        <w:rPr>
          <w:sz w:val="24"/>
          <w:szCs w:val="24"/>
        </w:rPr>
        <w:t>1,640</w:t>
      </w:r>
      <w:r w:rsidRPr="00E25855">
        <w:rPr>
          <w:sz w:val="24"/>
          <w:szCs w:val="24"/>
        </w:rPr>
        <w:t xml:space="preserve"> hours </w:t>
      </w:r>
      <w:r w:rsidR="009D09B1">
        <w:rPr>
          <w:sz w:val="24"/>
          <w:szCs w:val="24"/>
        </w:rPr>
        <w:t>(see burden hour summary)</w:t>
      </w:r>
      <w:r w:rsidR="009D09B1">
        <w:rPr>
          <w:sz w:val="24"/>
          <w:szCs w:val="24"/>
        </w:rPr>
        <w:t xml:space="preserve"> </w:t>
      </w:r>
      <w:r w:rsidRPr="00E25855">
        <w:rPr>
          <w:sz w:val="24"/>
          <w:szCs w:val="24"/>
        </w:rPr>
        <w:t xml:space="preserve">for state regulatory authorities to review and prepare findings required by </w:t>
      </w:r>
      <w:r w:rsidR="00DD3820">
        <w:rPr>
          <w:sz w:val="24"/>
          <w:szCs w:val="24"/>
        </w:rPr>
        <w:t>all sections</w:t>
      </w:r>
      <w:r w:rsidRPr="00E25855">
        <w:rPr>
          <w:sz w:val="24"/>
          <w:szCs w:val="24"/>
        </w:rPr>
        <w:t>.  We estimate that the wage cost is $</w:t>
      </w:r>
      <w:r w:rsidR="00A3225E">
        <w:rPr>
          <w:sz w:val="24"/>
          <w:szCs w:val="24"/>
        </w:rPr>
        <w:t>88.43</w:t>
      </w:r>
      <w:r w:rsidRPr="00E25855">
        <w:rPr>
          <w:sz w:val="24"/>
          <w:szCs w:val="24"/>
        </w:rPr>
        <w:t xml:space="preserve"> per hour </w:t>
      </w:r>
      <w:r w:rsidR="00A3225E">
        <w:rPr>
          <w:sz w:val="24"/>
          <w:szCs w:val="24"/>
        </w:rPr>
        <w:t xml:space="preserve">($55.27 </w:t>
      </w:r>
      <w:r w:rsidR="00002973">
        <w:rPr>
          <w:sz w:val="24"/>
          <w:szCs w:val="24"/>
        </w:rPr>
        <w:t>for a mining engineer</w:t>
      </w:r>
      <w:r w:rsidR="00CA14A2">
        <w:rPr>
          <w:sz w:val="24"/>
          <w:szCs w:val="24"/>
        </w:rPr>
        <w:t>,</w:t>
      </w:r>
      <w:r w:rsidR="00002973">
        <w:rPr>
          <w:sz w:val="24"/>
          <w:szCs w:val="24"/>
        </w:rPr>
        <w:t xml:space="preserve"> </w:t>
      </w:r>
      <w:r w:rsidR="00A3225E">
        <w:rPr>
          <w:sz w:val="24"/>
          <w:szCs w:val="24"/>
        </w:rPr>
        <w:t xml:space="preserve">plus </w:t>
      </w:r>
      <w:r w:rsidRPr="00E25855">
        <w:rPr>
          <w:sz w:val="24"/>
          <w:szCs w:val="24"/>
        </w:rPr>
        <w:t>benefits</w:t>
      </w:r>
      <w:r w:rsidR="00A3225E">
        <w:rPr>
          <w:sz w:val="24"/>
          <w:szCs w:val="24"/>
        </w:rPr>
        <w:t>)</w:t>
      </w:r>
      <w:r w:rsidRPr="00E25855">
        <w:rPr>
          <w:sz w:val="24"/>
          <w:szCs w:val="24"/>
        </w:rPr>
        <w:t xml:space="preserve">.  Therefore, the estimated total annual wage cost for state regulatory authorities is </w:t>
      </w:r>
      <w:r w:rsidR="00A3225E">
        <w:rPr>
          <w:sz w:val="24"/>
          <w:szCs w:val="24"/>
        </w:rPr>
        <w:t>$145,028</w:t>
      </w:r>
      <w:r w:rsidRPr="00E25855">
        <w:rPr>
          <w:sz w:val="24"/>
          <w:szCs w:val="24"/>
        </w:rPr>
        <w:t xml:space="preserve"> </w:t>
      </w:r>
      <w:r w:rsidR="00A3225E">
        <w:rPr>
          <w:sz w:val="24"/>
          <w:szCs w:val="24"/>
        </w:rPr>
        <w:t xml:space="preserve">($88.43 </w:t>
      </w:r>
      <w:r w:rsidRPr="00E25855">
        <w:rPr>
          <w:sz w:val="24"/>
          <w:szCs w:val="24"/>
        </w:rPr>
        <w:t xml:space="preserve">per hour x </w:t>
      </w:r>
      <w:r w:rsidR="00AC1A35">
        <w:rPr>
          <w:sz w:val="24"/>
          <w:szCs w:val="24"/>
        </w:rPr>
        <w:t>1,</w:t>
      </w:r>
      <w:r w:rsidR="00A3225E">
        <w:rPr>
          <w:sz w:val="24"/>
          <w:szCs w:val="24"/>
        </w:rPr>
        <w:t>640</w:t>
      </w:r>
      <w:r w:rsidRPr="00E25855">
        <w:rPr>
          <w:sz w:val="24"/>
          <w:szCs w:val="24"/>
        </w:rPr>
        <w:t xml:space="preserve"> hours</w:t>
      </w:r>
      <w:r w:rsidR="00A3225E">
        <w:rPr>
          <w:sz w:val="24"/>
          <w:szCs w:val="24"/>
        </w:rPr>
        <w:t>)</w:t>
      </w:r>
      <w:r w:rsidRPr="00E25855">
        <w:rPr>
          <w:sz w:val="24"/>
          <w:szCs w:val="24"/>
        </w:rPr>
        <w:t>.</w:t>
      </w:r>
    </w:p>
    <w:p w:rsidRPr="00E25855" w:rsidR="00E25855" w:rsidP="00E25855" w:rsidRDefault="00E25855" w14:paraId="48C43E2A"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25855" w:rsidR="00E25855" w:rsidP="00E25855" w:rsidRDefault="00E25855" w14:paraId="2B91A375" w14:textId="6995BE4B">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Therefore, we estimate that the total annual wage cost for all respondents will be </w:t>
      </w:r>
      <w:r w:rsidR="00A3225E">
        <w:rPr>
          <w:sz w:val="24"/>
          <w:szCs w:val="24"/>
        </w:rPr>
        <w:t xml:space="preserve">$352,311($207,283 </w:t>
      </w:r>
      <w:r w:rsidR="00002973">
        <w:rPr>
          <w:sz w:val="24"/>
          <w:szCs w:val="24"/>
        </w:rPr>
        <w:t xml:space="preserve">for industry wage cost </w:t>
      </w:r>
      <w:r w:rsidR="00A3225E">
        <w:rPr>
          <w:sz w:val="24"/>
          <w:szCs w:val="24"/>
        </w:rPr>
        <w:t>+ $145,028</w:t>
      </w:r>
      <w:r w:rsidR="00002973">
        <w:rPr>
          <w:sz w:val="24"/>
          <w:szCs w:val="24"/>
        </w:rPr>
        <w:t xml:space="preserve"> for state wage cost</w:t>
      </w:r>
      <w:r w:rsidR="00A3225E">
        <w:rPr>
          <w:sz w:val="24"/>
          <w:szCs w:val="24"/>
        </w:rPr>
        <w:t xml:space="preserve">). </w:t>
      </w:r>
    </w:p>
    <w:p w:rsidRPr="00E25855" w:rsidR="00BA4642" w:rsidP="00BA4642" w:rsidRDefault="00BA4642" w14:paraId="0D387CF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25855" w:rsidR="00880EA1" w:rsidP="00880EA1" w:rsidRDefault="00880EA1" w14:paraId="4B1E27A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25855">
        <w:rPr>
          <w:b/>
          <w:i/>
          <w:sz w:val="24"/>
          <w:szCs w:val="24"/>
        </w:rPr>
        <w:t>13.</w:t>
      </w:r>
      <w:r w:rsidRPr="00E25855">
        <w:rPr>
          <w:b/>
          <w:i/>
          <w:sz w:val="24"/>
          <w:szCs w:val="24"/>
        </w:rPr>
        <w:tab/>
        <w:t>Provide an estimate of the total annual non-hour cost burden to respondents or recordkeepers resulting from the collection of information.  (Do not include the cost of any hour burden already reflected in item 12.)</w:t>
      </w:r>
    </w:p>
    <w:p w:rsidRPr="00104D90" w:rsidR="00880EA1" w:rsidP="00880EA1" w:rsidRDefault="00880EA1" w14:paraId="5EE4266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25855">
        <w:rPr>
          <w:b/>
          <w:i/>
          <w:sz w:val="24"/>
          <w:szCs w:val="24"/>
        </w:rPr>
        <w:tab/>
        <w:t>*</w:t>
      </w:r>
      <w:r w:rsidRPr="00E25855">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25855">
        <w:rPr>
          <w:b/>
          <w:i/>
          <w:sz w:val="24"/>
          <w:szCs w:val="24"/>
        </w:rPr>
        <w:t>take into account</w:t>
      </w:r>
      <w:proofErr w:type="gramEnd"/>
      <w:r w:rsidRPr="00E25855">
        <w:rPr>
          <w:b/>
          <w:i/>
          <w:sz w:val="24"/>
          <w:szCs w:val="24"/>
        </w:rPr>
        <w:t xml:space="preserve"> costs associated with generating, maintaining, and disclosing or providing the information (including filing fees paid for form processing).  Include descriptions of </w:t>
      </w:r>
      <w:r w:rsidRPr="00E25855">
        <w:rPr>
          <w:b/>
          <w:i/>
          <w:sz w:val="24"/>
          <w:szCs w:val="24"/>
        </w:rPr>
        <w:lastRenderedPageBreak/>
        <w:t>methods used to estimate major cost factors including system and technology acquisition, expected</w:t>
      </w:r>
      <w:r w:rsidRPr="00104D90">
        <w:rPr>
          <w:b/>
          <w:i/>
          <w:sz w:val="24"/>
          <w:szCs w:val="24"/>
        </w:rPr>
        <w:t xml:space="preserve"> useful life of capital equipment, the discount rate(s), and the </w:t>
      </w:r>
      <w:proofErr w:type="gramStart"/>
      <w:r w:rsidRPr="00104D90">
        <w:rPr>
          <w:b/>
          <w:i/>
          <w:sz w:val="24"/>
          <w:szCs w:val="24"/>
        </w:rPr>
        <w:t>time period</w:t>
      </w:r>
      <w:proofErr w:type="gramEnd"/>
      <w:r w:rsidRPr="00104D90">
        <w:rPr>
          <w:b/>
          <w:i/>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104D90">
        <w:rPr>
          <w:b/>
          <w:i/>
          <w:sz w:val="24"/>
          <w:szCs w:val="24"/>
        </w:rPr>
        <w:t>drilling</w:t>
      </w:r>
      <w:proofErr w:type="gramEnd"/>
      <w:r w:rsidRPr="00104D90">
        <w:rPr>
          <w:b/>
          <w:i/>
          <w:sz w:val="24"/>
          <w:szCs w:val="24"/>
        </w:rPr>
        <w:t xml:space="preserve"> and testing equipment; and record storage facilities.</w:t>
      </w:r>
    </w:p>
    <w:p w:rsidRPr="00104D90" w:rsidR="00880EA1" w:rsidP="00880EA1" w:rsidRDefault="00880EA1" w14:paraId="71A23D7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80EA1" w:rsidP="00880EA1" w:rsidRDefault="00880EA1" w14:paraId="781D0E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1A35" w:rsidP="00AC1A35" w:rsidRDefault="00AC1A35" w14:paraId="0DC97DF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AC1A35" w:rsidR="00AC1A35" w:rsidP="00AC1A35" w:rsidRDefault="00AC1A35" w14:paraId="05F1076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C1A35">
        <w:rPr>
          <w:sz w:val="24"/>
          <w:szCs w:val="24"/>
        </w:rPr>
        <w:t>a.</w:t>
      </w:r>
      <w:r w:rsidRPr="00AC1A35">
        <w:rPr>
          <w:sz w:val="24"/>
          <w:szCs w:val="24"/>
        </w:rPr>
        <w:tab/>
        <w:t>Total Capital and Start-up Costs</w:t>
      </w:r>
    </w:p>
    <w:p w:rsidRPr="00AC1A35" w:rsidR="00AC1A35" w:rsidP="00AC1A35" w:rsidRDefault="00AC1A35" w14:paraId="0AB4C7A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AC1A35" w:rsidR="00AC1A35" w:rsidP="00AC1A35" w:rsidRDefault="00AC1A35" w14:paraId="545BA94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1A35">
        <w:rPr>
          <w:sz w:val="24"/>
          <w:szCs w:val="24"/>
        </w:rPr>
        <w:t>Compliance with 30 CFR Part 785 does not involve any capital or start-up costs apart from those associated with customary business practices in the mining industry.</w:t>
      </w:r>
    </w:p>
    <w:p w:rsidRPr="00AC1A35" w:rsidR="00AC1A35" w:rsidP="00AC1A35" w:rsidRDefault="00AC1A35" w14:paraId="5B7A0C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AC1A35" w:rsidR="00AC1A35" w:rsidP="00AC1A35" w:rsidRDefault="00AC1A35" w14:paraId="7444C9F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C1A35">
        <w:rPr>
          <w:sz w:val="24"/>
          <w:szCs w:val="24"/>
        </w:rPr>
        <w:t>b.</w:t>
      </w:r>
      <w:r w:rsidRPr="00AC1A35">
        <w:rPr>
          <w:sz w:val="24"/>
          <w:szCs w:val="24"/>
        </w:rPr>
        <w:tab/>
        <w:t>Total Operation and Maintenance and Purchase of Services Costs</w:t>
      </w:r>
    </w:p>
    <w:p w:rsidRPr="00AC1A35" w:rsidR="00AC1A35" w:rsidP="00AC1A35" w:rsidRDefault="00AC1A35" w14:paraId="0E0524B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AC1A35" w:rsidR="00AC1A35" w:rsidP="00AC1A35" w:rsidRDefault="00AC1A35" w14:paraId="765EFAA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1A35">
        <w:rPr>
          <w:sz w:val="24"/>
          <w:szCs w:val="24"/>
        </w:rPr>
        <w:t>There are no significant or distinct operation or maintenance costs associated with this section beyond that required under normal and customary business activities.</w:t>
      </w:r>
    </w:p>
    <w:p w:rsidRPr="00104D90" w:rsidR="00880EA1" w:rsidP="00880EA1" w:rsidRDefault="00880EA1" w14:paraId="34C338B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rsidRDefault="00880EA1" w14:paraId="40632F6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14.</w:t>
      </w:r>
      <w:r w:rsidRPr="00104D90">
        <w:rPr>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0706" w:rsidP="00880EA1" w:rsidRDefault="00FA0706" w14:paraId="381F40D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52F1E" w:rsidP="00FA0706" w:rsidRDefault="00BD5A73" w14:paraId="3035B71C" w14:textId="24AA398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r w:rsidRPr="00BD5A73">
        <w:rPr>
          <w:bCs/>
          <w:iCs/>
          <w:sz w:val="24"/>
          <w:szCs w:val="24"/>
        </w:rPr>
        <w:t xml:space="preserve">Wage costs for OSMRE employees are calculated based on the Office of Personnel Management update wage and salaries: </w:t>
      </w:r>
      <w:hyperlink w:history="1" r:id="rId14">
        <w:r w:rsidRPr="00BD5A73">
          <w:rPr>
            <w:rStyle w:val="Hyperlink"/>
            <w:bCs/>
            <w:iCs/>
            <w:sz w:val="24"/>
            <w:szCs w:val="24"/>
          </w:rPr>
          <w:t>https://www.opm.gov/policy-data-oversight/pay-leave/salaries-wages/salary-tables/21Tables/html/RUS_h.aspx</w:t>
        </w:r>
      </w:hyperlink>
      <w:r w:rsidR="009D09B1">
        <w:rPr>
          <w:sz w:val="24"/>
          <w:szCs w:val="24"/>
        </w:rPr>
        <w:t xml:space="preserve">. </w:t>
      </w:r>
      <w:hyperlink w:history="1"/>
      <w:r w:rsidRPr="00BD5A73">
        <w:rPr>
          <w:bCs/>
          <w:iCs/>
          <w:sz w:val="24"/>
          <w:szCs w:val="24"/>
        </w:rPr>
        <w:t>We  included a benefit factor of 1.6 for Federal employees in accordance with release USDL-20-2266, EMPLOYER COSTS FOR EMPLOYEE COMPENSATION—SEPTEMBER 2020, dated December 17, 2020 (</w:t>
      </w:r>
      <w:hyperlink w:history="1" r:id="rId15">
        <w:r w:rsidRPr="00BD5A73">
          <w:rPr>
            <w:rStyle w:val="Hyperlink"/>
            <w:bCs/>
            <w:iCs/>
            <w:sz w:val="24"/>
            <w:szCs w:val="24"/>
          </w:rPr>
          <w:t>http://www.bls.gov/news.release/pdf/ecec.pdf</w:t>
        </w:r>
      </w:hyperlink>
      <w:r w:rsidRPr="00BD5A73">
        <w:rPr>
          <w:bCs/>
          <w:iCs/>
          <w:sz w:val="24"/>
          <w:szCs w:val="24"/>
        </w:rPr>
        <w:t>).</w:t>
      </w:r>
    </w:p>
    <w:p w:rsidR="00524299" w:rsidP="00FA0706" w:rsidRDefault="00524299" w14:paraId="4E3C9D88" w14:textId="067458D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p>
    <w:p w:rsidRPr="00524299" w:rsidR="00524299" w:rsidP="00524299" w:rsidRDefault="00435781" w14:paraId="27C67411" w14:textId="2E48E18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r>
        <w:rPr>
          <w:bCs/>
          <w:iCs/>
          <w:sz w:val="24"/>
          <w:szCs w:val="24"/>
        </w:rPr>
        <w:t xml:space="preserve">We anticipate </w:t>
      </w:r>
      <w:r w:rsidRPr="00524299" w:rsidR="00524299">
        <w:rPr>
          <w:bCs/>
          <w:iCs/>
          <w:sz w:val="24"/>
          <w:szCs w:val="24"/>
        </w:rPr>
        <w:t>a</w:t>
      </w:r>
      <w:r w:rsidR="009D09B1">
        <w:rPr>
          <w:bCs/>
          <w:iCs/>
          <w:sz w:val="24"/>
          <w:szCs w:val="24"/>
        </w:rPr>
        <w:t>s</w:t>
      </w:r>
      <w:r w:rsidRPr="00524299" w:rsidR="00524299">
        <w:rPr>
          <w:bCs/>
          <w:iCs/>
          <w:sz w:val="24"/>
          <w:szCs w:val="24"/>
        </w:rPr>
        <w:t xml:space="preserve"> </w:t>
      </w:r>
      <w:r w:rsidR="009D09B1">
        <w:rPr>
          <w:bCs/>
          <w:iCs/>
          <w:sz w:val="24"/>
          <w:szCs w:val="24"/>
        </w:rPr>
        <w:t xml:space="preserve">typical a </w:t>
      </w:r>
      <w:r w:rsidRPr="00524299" w:rsidR="00524299">
        <w:rPr>
          <w:bCs/>
          <w:iCs/>
          <w:sz w:val="24"/>
          <w:szCs w:val="24"/>
        </w:rPr>
        <w:t>GS-13/1 regulatory program specialist will review application</w:t>
      </w:r>
      <w:r w:rsidR="00524299">
        <w:rPr>
          <w:bCs/>
          <w:iCs/>
          <w:sz w:val="24"/>
          <w:szCs w:val="24"/>
        </w:rPr>
        <w:t>s</w:t>
      </w:r>
      <w:r w:rsidRPr="00524299" w:rsidR="00524299">
        <w:rPr>
          <w:bCs/>
          <w:iCs/>
          <w:sz w:val="24"/>
          <w:szCs w:val="24"/>
        </w:rPr>
        <w:t xml:space="preserve">.  The hour rate is estimated at $70.64 ($44.15 per hour x 1.6). </w:t>
      </w:r>
      <w:r w:rsidR="00307061">
        <w:rPr>
          <w:bCs/>
          <w:iCs/>
          <w:sz w:val="24"/>
          <w:szCs w:val="24"/>
        </w:rPr>
        <w:t xml:space="preserve">Federal </w:t>
      </w:r>
      <w:r>
        <w:rPr>
          <w:bCs/>
          <w:iCs/>
          <w:sz w:val="24"/>
          <w:szCs w:val="24"/>
        </w:rPr>
        <w:t xml:space="preserve">hours for </w:t>
      </w:r>
      <w:r w:rsidR="00307061">
        <w:rPr>
          <w:bCs/>
          <w:iCs/>
          <w:sz w:val="24"/>
          <w:szCs w:val="24"/>
        </w:rPr>
        <w:t xml:space="preserve">oversight </w:t>
      </w:r>
      <w:r w:rsidR="009D09B1">
        <w:rPr>
          <w:bCs/>
          <w:iCs/>
          <w:sz w:val="24"/>
          <w:szCs w:val="24"/>
        </w:rPr>
        <w:t xml:space="preserve">are </w:t>
      </w:r>
      <w:r w:rsidR="00307061">
        <w:rPr>
          <w:bCs/>
          <w:iCs/>
          <w:sz w:val="24"/>
          <w:szCs w:val="24"/>
        </w:rPr>
        <w:t>estimated by section</w:t>
      </w:r>
      <w:r w:rsidR="009D09B1">
        <w:rPr>
          <w:bCs/>
          <w:iCs/>
          <w:sz w:val="24"/>
          <w:szCs w:val="24"/>
        </w:rPr>
        <w:t>,</w:t>
      </w:r>
      <w:r w:rsidR="00307061">
        <w:rPr>
          <w:bCs/>
          <w:iCs/>
          <w:sz w:val="24"/>
          <w:szCs w:val="24"/>
        </w:rPr>
        <w:t xml:space="preserve"> totaling 4</w:t>
      </w:r>
      <w:r>
        <w:rPr>
          <w:bCs/>
          <w:iCs/>
          <w:sz w:val="24"/>
          <w:szCs w:val="24"/>
        </w:rPr>
        <w:t>11</w:t>
      </w:r>
      <w:r w:rsidR="00307061">
        <w:rPr>
          <w:bCs/>
          <w:iCs/>
          <w:sz w:val="24"/>
          <w:szCs w:val="24"/>
        </w:rPr>
        <w:t xml:space="preserve"> hours</w:t>
      </w:r>
      <w:r w:rsidR="009D09B1">
        <w:rPr>
          <w:bCs/>
          <w:iCs/>
          <w:sz w:val="24"/>
          <w:szCs w:val="24"/>
        </w:rPr>
        <w:t>,</w:t>
      </w:r>
      <w:r w:rsidR="00307061">
        <w:rPr>
          <w:bCs/>
          <w:iCs/>
          <w:sz w:val="24"/>
          <w:szCs w:val="24"/>
        </w:rPr>
        <w:t xml:space="preserve"> and 52 hours for </w:t>
      </w:r>
      <w:r>
        <w:rPr>
          <w:bCs/>
          <w:iCs/>
          <w:sz w:val="24"/>
          <w:szCs w:val="24"/>
        </w:rPr>
        <w:t xml:space="preserve">one </w:t>
      </w:r>
      <w:r w:rsidR="00307061">
        <w:rPr>
          <w:bCs/>
          <w:iCs/>
          <w:sz w:val="24"/>
          <w:szCs w:val="24"/>
        </w:rPr>
        <w:t xml:space="preserve">federal program (Tennessee). </w:t>
      </w:r>
      <w:r w:rsidR="00814746">
        <w:rPr>
          <w:bCs/>
          <w:iCs/>
          <w:sz w:val="24"/>
          <w:szCs w:val="24"/>
        </w:rPr>
        <w:t>Total Federal burden and wage cost is therefore $3</w:t>
      </w:r>
      <w:r>
        <w:rPr>
          <w:bCs/>
          <w:iCs/>
          <w:sz w:val="24"/>
          <w:szCs w:val="24"/>
        </w:rPr>
        <w:t>2</w:t>
      </w:r>
      <w:r w:rsidR="00814746">
        <w:rPr>
          <w:bCs/>
          <w:iCs/>
          <w:sz w:val="24"/>
          <w:szCs w:val="24"/>
        </w:rPr>
        <w:t>,</w:t>
      </w:r>
      <w:r>
        <w:rPr>
          <w:bCs/>
          <w:iCs/>
          <w:sz w:val="24"/>
          <w:szCs w:val="24"/>
        </w:rPr>
        <w:t>706</w:t>
      </w:r>
      <w:r w:rsidR="00814746">
        <w:rPr>
          <w:bCs/>
          <w:iCs/>
          <w:sz w:val="24"/>
          <w:szCs w:val="24"/>
        </w:rPr>
        <w:t xml:space="preserve"> ($70.64 per hour x </w:t>
      </w:r>
      <w:r>
        <w:rPr>
          <w:bCs/>
          <w:iCs/>
          <w:sz w:val="24"/>
          <w:szCs w:val="24"/>
        </w:rPr>
        <w:t>463</w:t>
      </w:r>
      <w:r w:rsidR="00814746">
        <w:rPr>
          <w:bCs/>
          <w:iCs/>
          <w:sz w:val="24"/>
          <w:szCs w:val="24"/>
        </w:rPr>
        <w:t xml:space="preserve"> hours). </w:t>
      </w:r>
    </w:p>
    <w:p w:rsidRPr="00524299" w:rsidR="00524299" w:rsidP="00524299" w:rsidRDefault="00524299" w14:paraId="035F8B3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p>
    <w:p w:rsidR="00524299" w:rsidP="00FA0706" w:rsidRDefault="00524299" w14:paraId="1ADFF96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2F1E" w:rsidP="00FA0706" w:rsidRDefault="00D52F1E" w14:paraId="17BE738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2F1E" w:rsidP="00D52F1E" w:rsidRDefault="00D52F1E" w14:paraId="0062F164" w14:textId="70C094D1">
      <w:pPr>
        <w:widowControl/>
        <w:ind w:left="720"/>
        <w:jc w:val="center"/>
        <w:rPr>
          <w:sz w:val="24"/>
          <w:szCs w:val="24"/>
        </w:rPr>
      </w:pPr>
      <w:r w:rsidRPr="00D52F1E">
        <w:rPr>
          <w:sz w:val="24"/>
          <w:szCs w:val="24"/>
        </w:rPr>
        <w:t>SUMMARY OF FEDERAL BURDEN AND COSTS</w:t>
      </w:r>
    </w:p>
    <w:p w:rsidR="00524299" w:rsidP="00D52F1E" w:rsidRDefault="00524299" w14:paraId="6A202CC8" w14:textId="6F62F634">
      <w:pPr>
        <w:widowControl/>
        <w:ind w:left="720"/>
        <w:jc w:val="center"/>
        <w:rPr>
          <w:sz w:val="24"/>
          <w:szCs w:val="24"/>
        </w:rPr>
      </w:pPr>
    </w:p>
    <w:tbl>
      <w:tblPr>
        <w:tblW w:w="10200" w:type="dxa"/>
        <w:tblInd w:w="131" w:type="dxa"/>
        <w:tblLook w:val="04A0" w:firstRow="1" w:lastRow="0" w:firstColumn="1" w:lastColumn="0" w:noHBand="0" w:noVBand="1"/>
      </w:tblPr>
      <w:tblGrid>
        <w:gridCol w:w="2155"/>
        <w:gridCol w:w="1643"/>
        <w:gridCol w:w="1324"/>
        <w:gridCol w:w="943"/>
        <w:gridCol w:w="943"/>
        <w:gridCol w:w="1236"/>
        <w:gridCol w:w="1734"/>
        <w:gridCol w:w="222"/>
      </w:tblGrid>
      <w:tr w:rsidRPr="00435781" w:rsidR="00435781" w:rsidTr="00435781" w14:paraId="417712D4" w14:textId="77777777">
        <w:trPr>
          <w:gridAfter w:val="1"/>
          <w:wAfter w:w="36" w:type="dxa"/>
          <w:trHeight w:val="330"/>
        </w:trPr>
        <w:tc>
          <w:tcPr>
            <w:tcW w:w="2228" w:type="dxa"/>
            <w:vMerge w:val="restart"/>
            <w:tcBorders>
              <w:top w:val="double" w:color="auto" w:sz="6" w:space="0"/>
              <w:left w:val="double" w:color="auto" w:sz="6" w:space="0"/>
              <w:bottom w:val="nil"/>
              <w:right w:val="single" w:color="auto" w:sz="8" w:space="0"/>
            </w:tcBorders>
            <w:shd w:val="clear" w:color="000000" w:fill="FFFFFF"/>
            <w:vAlign w:val="center"/>
            <w:hideMark/>
          </w:tcPr>
          <w:p w:rsidRPr="00435781" w:rsidR="00435781" w:rsidP="00435781" w:rsidRDefault="00435781" w14:paraId="39B31976" w14:textId="77777777">
            <w:pPr>
              <w:widowControl/>
              <w:autoSpaceDE/>
              <w:autoSpaceDN/>
              <w:adjustRightInd/>
              <w:jc w:val="center"/>
              <w:rPr>
                <w:color w:val="000000"/>
                <w:sz w:val="22"/>
                <w:szCs w:val="22"/>
              </w:rPr>
            </w:pPr>
            <w:r w:rsidRPr="00435781">
              <w:rPr>
                <w:color w:val="000000"/>
                <w:sz w:val="22"/>
                <w:szCs w:val="22"/>
              </w:rPr>
              <w:t>SECTION</w:t>
            </w:r>
          </w:p>
        </w:tc>
        <w:tc>
          <w:tcPr>
            <w:tcW w:w="1656" w:type="dxa"/>
            <w:vMerge w:val="restart"/>
            <w:tcBorders>
              <w:top w:val="double" w:color="auto" w:sz="6" w:space="0"/>
              <w:left w:val="nil"/>
              <w:bottom w:val="single" w:color="000000" w:sz="8" w:space="0"/>
              <w:right w:val="single" w:color="auto" w:sz="8" w:space="0"/>
            </w:tcBorders>
            <w:shd w:val="clear" w:color="000000" w:fill="FFFFFF"/>
            <w:vAlign w:val="center"/>
            <w:hideMark/>
          </w:tcPr>
          <w:p w:rsidRPr="00435781" w:rsidR="00435781" w:rsidP="00435781" w:rsidRDefault="00435781" w14:paraId="26E49611" w14:textId="77777777">
            <w:pPr>
              <w:widowControl/>
              <w:autoSpaceDE/>
              <w:autoSpaceDN/>
              <w:adjustRightInd/>
              <w:jc w:val="center"/>
              <w:rPr>
                <w:color w:val="000000"/>
                <w:sz w:val="22"/>
                <w:szCs w:val="22"/>
              </w:rPr>
            </w:pPr>
            <w:r w:rsidRPr="00435781">
              <w:rPr>
                <w:color w:val="000000"/>
                <w:sz w:val="22"/>
                <w:szCs w:val="22"/>
              </w:rPr>
              <w:t>OVERSIGHT STAFF HOURS</w:t>
            </w:r>
          </w:p>
        </w:tc>
        <w:tc>
          <w:tcPr>
            <w:tcW w:w="3251" w:type="dxa"/>
            <w:gridSpan w:val="3"/>
            <w:vMerge w:val="restart"/>
            <w:tcBorders>
              <w:top w:val="double" w:color="auto" w:sz="6" w:space="0"/>
              <w:left w:val="single" w:color="auto" w:sz="8" w:space="0"/>
              <w:bottom w:val="single" w:color="000000" w:sz="8" w:space="0"/>
              <w:right w:val="single" w:color="000000" w:sz="8" w:space="0"/>
            </w:tcBorders>
            <w:shd w:val="clear" w:color="auto" w:fill="auto"/>
            <w:vAlign w:val="center"/>
            <w:hideMark/>
          </w:tcPr>
          <w:p w:rsidRPr="00435781" w:rsidR="00435781" w:rsidP="00435781" w:rsidRDefault="00435781" w14:paraId="2A5DC79E" w14:textId="77777777">
            <w:pPr>
              <w:widowControl/>
              <w:autoSpaceDE/>
              <w:autoSpaceDN/>
              <w:adjustRightInd/>
              <w:jc w:val="center"/>
              <w:rPr>
                <w:color w:val="000000"/>
                <w:sz w:val="22"/>
                <w:szCs w:val="22"/>
              </w:rPr>
            </w:pPr>
            <w:r w:rsidRPr="00435781">
              <w:rPr>
                <w:color w:val="000000"/>
                <w:sz w:val="22"/>
                <w:szCs w:val="22"/>
              </w:rPr>
              <w:t>FEDERAL PROGRAM</w:t>
            </w:r>
          </w:p>
        </w:tc>
        <w:tc>
          <w:tcPr>
            <w:tcW w:w="1256" w:type="dxa"/>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435781" w:rsidR="00435781" w:rsidP="00435781" w:rsidRDefault="00435781" w14:paraId="6ABFD023" w14:textId="77777777">
            <w:pPr>
              <w:widowControl/>
              <w:autoSpaceDE/>
              <w:autoSpaceDN/>
              <w:adjustRightInd/>
              <w:jc w:val="center"/>
              <w:rPr>
                <w:color w:val="000000"/>
                <w:sz w:val="22"/>
                <w:szCs w:val="22"/>
              </w:rPr>
            </w:pPr>
            <w:r w:rsidRPr="00435781">
              <w:rPr>
                <w:color w:val="000000"/>
                <w:sz w:val="22"/>
                <w:szCs w:val="22"/>
              </w:rPr>
              <w:t>TOTAL STAFF HOURS</w:t>
            </w:r>
          </w:p>
        </w:tc>
        <w:tc>
          <w:tcPr>
            <w:tcW w:w="1773" w:type="dxa"/>
            <w:vMerge w:val="restart"/>
            <w:tcBorders>
              <w:top w:val="double" w:color="auto" w:sz="6" w:space="0"/>
              <w:left w:val="single" w:color="auto" w:sz="8" w:space="0"/>
              <w:bottom w:val="single" w:color="000000" w:sz="8" w:space="0"/>
              <w:right w:val="double" w:color="auto" w:sz="6" w:space="0"/>
            </w:tcBorders>
            <w:shd w:val="clear" w:color="auto" w:fill="auto"/>
            <w:vAlign w:val="center"/>
            <w:hideMark/>
          </w:tcPr>
          <w:p w:rsidRPr="00435781" w:rsidR="00435781" w:rsidP="00435781" w:rsidRDefault="00435781" w14:paraId="5BA0C374" w14:textId="77777777">
            <w:pPr>
              <w:widowControl/>
              <w:autoSpaceDE/>
              <w:autoSpaceDN/>
              <w:adjustRightInd/>
              <w:jc w:val="center"/>
              <w:rPr>
                <w:color w:val="000000"/>
                <w:sz w:val="22"/>
                <w:szCs w:val="22"/>
              </w:rPr>
            </w:pPr>
            <w:r w:rsidRPr="00435781">
              <w:rPr>
                <w:color w:val="000000"/>
                <w:sz w:val="22"/>
                <w:szCs w:val="22"/>
              </w:rPr>
              <w:t>TOTAL FEDERAL WAGE COSTS</w:t>
            </w:r>
          </w:p>
        </w:tc>
      </w:tr>
      <w:tr w:rsidRPr="00435781" w:rsidR="00435781" w:rsidTr="00435781" w14:paraId="11F0D73A" w14:textId="77777777">
        <w:trPr>
          <w:trHeight w:val="580"/>
        </w:trPr>
        <w:tc>
          <w:tcPr>
            <w:tcW w:w="2228" w:type="dxa"/>
            <w:vMerge/>
            <w:tcBorders>
              <w:top w:val="double" w:color="auto" w:sz="6" w:space="0"/>
              <w:left w:val="double" w:color="auto" w:sz="6" w:space="0"/>
              <w:bottom w:val="nil"/>
              <w:right w:val="single" w:color="auto" w:sz="8" w:space="0"/>
            </w:tcBorders>
            <w:vAlign w:val="center"/>
            <w:hideMark/>
          </w:tcPr>
          <w:p w:rsidRPr="00435781" w:rsidR="00435781" w:rsidP="00435781" w:rsidRDefault="00435781" w14:paraId="101A391E" w14:textId="77777777">
            <w:pPr>
              <w:widowControl/>
              <w:autoSpaceDE/>
              <w:autoSpaceDN/>
              <w:adjustRightInd/>
              <w:rPr>
                <w:color w:val="000000"/>
                <w:sz w:val="22"/>
                <w:szCs w:val="22"/>
              </w:rPr>
            </w:pPr>
          </w:p>
        </w:tc>
        <w:tc>
          <w:tcPr>
            <w:tcW w:w="1656" w:type="dxa"/>
            <w:vMerge/>
            <w:tcBorders>
              <w:top w:val="double" w:color="auto" w:sz="6" w:space="0"/>
              <w:left w:val="nil"/>
              <w:bottom w:val="single" w:color="000000" w:sz="8" w:space="0"/>
              <w:right w:val="single" w:color="auto" w:sz="8" w:space="0"/>
            </w:tcBorders>
            <w:vAlign w:val="center"/>
            <w:hideMark/>
          </w:tcPr>
          <w:p w:rsidRPr="00435781" w:rsidR="00435781" w:rsidP="00435781" w:rsidRDefault="00435781" w14:paraId="590DEF2A" w14:textId="77777777">
            <w:pPr>
              <w:widowControl/>
              <w:autoSpaceDE/>
              <w:autoSpaceDN/>
              <w:adjustRightInd/>
              <w:rPr>
                <w:color w:val="000000"/>
                <w:sz w:val="22"/>
                <w:szCs w:val="22"/>
              </w:rPr>
            </w:pPr>
          </w:p>
        </w:tc>
        <w:tc>
          <w:tcPr>
            <w:tcW w:w="3251" w:type="dxa"/>
            <w:gridSpan w:val="3"/>
            <w:vMerge/>
            <w:tcBorders>
              <w:top w:val="double" w:color="auto" w:sz="6" w:space="0"/>
              <w:left w:val="single" w:color="auto" w:sz="8" w:space="0"/>
              <w:bottom w:val="single" w:color="000000" w:sz="8" w:space="0"/>
              <w:right w:val="single" w:color="000000" w:sz="8" w:space="0"/>
            </w:tcBorders>
            <w:vAlign w:val="center"/>
            <w:hideMark/>
          </w:tcPr>
          <w:p w:rsidRPr="00435781" w:rsidR="00435781" w:rsidP="00435781" w:rsidRDefault="00435781" w14:paraId="069D121A" w14:textId="77777777">
            <w:pPr>
              <w:widowControl/>
              <w:autoSpaceDE/>
              <w:autoSpaceDN/>
              <w:adjustRightInd/>
              <w:rPr>
                <w:color w:val="000000"/>
                <w:sz w:val="22"/>
                <w:szCs w:val="22"/>
              </w:rPr>
            </w:pPr>
          </w:p>
        </w:tc>
        <w:tc>
          <w:tcPr>
            <w:tcW w:w="1256" w:type="dxa"/>
            <w:vMerge/>
            <w:tcBorders>
              <w:top w:val="double" w:color="auto" w:sz="6" w:space="0"/>
              <w:left w:val="single" w:color="auto" w:sz="8" w:space="0"/>
              <w:bottom w:val="single" w:color="000000" w:sz="8" w:space="0"/>
              <w:right w:val="single" w:color="auto" w:sz="8" w:space="0"/>
            </w:tcBorders>
            <w:vAlign w:val="center"/>
            <w:hideMark/>
          </w:tcPr>
          <w:p w:rsidRPr="00435781" w:rsidR="00435781" w:rsidP="00435781" w:rsidRDefault="00435781" w14:paraId="52CC1BE1" w14:textId="77777777">
            <w:pPr>
              <w:widowControl/>
              <w:autoSpaceDE/>
              <w:autoSpaceDN/>
              <w:adjustRightInd/>
              <w:rPr>
                <w:color w:val="000000"/>
                <w:sz w:val="22"/>
                <w:szCs w:val="22"/>
              </w:rPr>
            </w:pPr>
          </w:p>
        </w:tc>
        <w:tc>
          <w:tcPr>
            <w:tcW w:w="1773" w:type="dxa"/>
            <w:vMerge/>
            <w:tcBorders>
              <w:top w:val="double" w:color="auto" w:sz="6" w:space="0"/>
              <w:left w:val="single" w:color="auto" w:sz="8" w:space="0"/>
              <w:bottom w:val="single" w:color="000000" w:sz="8" w:space="0"/>
              <w:right w:val="double" w:color="auto" w:sz="6" w:space="0"/>
            </w:tcBorders>
            <w:vAlign w:val="center"/>
            <w:hideMark/>
          </w:tcPr>
          <w:p w:rsidRPr="00435781" w:rsidR="00435781" w:rsidP="00435781" w:rsidRDefault="00435781" w14:paraId="7B56558F" w14:textId="77777777">
            <w:pPr>
              <w:widowControl/>
              <w:autoSpaceDE/>
              <w:autoSpaceDN/>
              <w:adjustRightInd/>
              <w:rPr>
                <w:color w:val="000000"/>
                <w:sz w:val="22"/>
                <w:szCs w:val="22"/>
              </w:rPr>
            </w:pPr>
          </w:p>
        </w:tc>
        <w:tc>
          <w:tcPr>
            <w:tcW w:w="36" w:type="dxa"/>
            <w:tcBorders>
              <w:top w:val="nil"/>
              <w:left w:val="nil"/>
              <w:bottom w:val="nil"/>
              <w:right w:val="nil"/>
            </w:tcBorders>
            <w:shd w:val="clear" w:color="auto" w:fill="auto"/>
            <w:noWrap/>
            <w:vAlign w:val="bottom"/>
            <w:hideMark/>
          </w:tcPr>
          <w:p w:rsidRPr="00435781" w:rsidR="00435781" w:rsidP="00435781" w:rsidRDefault="00435781" w14:paraId="3A1D5273" w14:textId="77777777">
            <w:pPr>
              <w:widowControl/>
              <w:autoSpaceDE/>
              <w:autoSpaceDN/>
              <w:adjustRightInd/>
              <w:jc w:val="center"/>
              <w:rPr>
                <w:color w:val="000000"/>
                <w:sz w:val="22"/>
                <w:szCs w:val="22"/>
              </w:rPr>
            </w:pPr>
          </w:p>
        </w:tc>
      </w:tr>
      <w:tr w:rsidRPr="00435781" w:rsidR="00435781" w:rsidTr="00435781" w14:paraId="6DD89FFA" w14:textId="77777777">
        <w:trPr>
          <w:trHeight w:val="320"/>
        </w:trPr>
        <w:tc>
          <w:tcPr>
            <w:tcW w:w="2228" w:type="dxa"/>
            <w:vMerge/>
            <w:tcBorders>
              <w:top w:val="double" w:color="auto" w:sz="6" w:space="0"/>
              <w:left w:val="double" w:color="auto" w:sz="6" w:space="0"/>
              <w:bottom w:val="nil"/>
              <w:right w:val="single" w:color="auto" w:sz="8" w:space="0"/>
            </w:tcBorders>
            <w:vAlign w:val="center"/>
            <w:hideMark/>
          </w:tcPr>
          <w:p w:rsidRPr="00435781" w:rsidR="00435781" w:rsidP="00435781" w:rsidRDefault="00435781" w14:paraId="5F7D908E" w14:textId="77777777">
            <w:pPr>
              <w:widowControl/>
              <w:autoSpaceDE/>
              <w:autoSpaceDN/>
              <w:adjustRightInd/>
              <w:rPr>
                <w:color w:val="000000"/>
                <w:sz w:val="22"/>
                <w:szCs w:val="22"/>
              </w:rPr>
            </w:pPr>
          </w:p>
        </w:tc>
        <w:tc>
          <w:tcPr>
            <w:tcW w:w="1656" w:type="dxa"/>
            <w:vMerge/>
            <w:tcBorders>
              <w:top w:val="double" w:color="auto" w:sz="6" w:space="0"/>
              <w:left w:val="nil"/>
              <w:bottom w:val="single" w:color="000000" w:sz="8" w:space="0"/>
              <w:right w:val="single" w:color="auto" w:sz="8" w:space="0"/>
            </w:tcBorders>
            <w:vAlign w:val="center"/>
            <w:hideMark/>
          </w:tcPr>
          <w:p w:rsidRPr="00435781" w:rsidR="00435781" w:rsidP="00435781" w:rsidRDefault="00435781" w14:paraId="6F1F722C" w14:textId="77777777">
            <w:pPr>
              <w:widowControl/>
              <w:autoSpaceDE/>
              <w:autoSpaceDN/>
              <w:adjustRightInd/>
              <w:rPr>
                <w:color w:val="000000"/>
                <w:sz w:val="22"/>
                <w:szCs w:val="22"/>
              </w:rPr>
            </w:pPr>
          </w:p>
        </w:tc>
        <w:tc>
          <w:tcPr>
            <w:tcW w:w="3251" w:type="dxa"/>
            <w:gridSpan w:val="3"/>
            <w:vMerge/>
            <w:tcBorders>
              <w:top w:val="double" w:color="auto" w:sz="6" w:space="0"/>
              <w:left w:val="single" w:color="auto" w:sz="8" w:space="0"/>
              <w:bottom w:val="single" w:color="000000" w:sz="8" w:space="0"/>
              <w:right w:val="single" w:color="000000" w:sz="8" w:space="0"/>
            </w:tcBorders>
            <w:vAlign w:val="center"/>
            <w:hideMark/>
          </w:tcPr>
          <w:p w:rsidRPr="00435781" w:rsidR="00435781" w:rsidP="00435781" w:rsidRDefault="00435781" w14:paraId="246BF2FA" w14:textId="77777777">
            <w:pPr>
              <w:widowControl/>
              <w:autoSpaceDE/>
              <w:autoSpaceDN/>
              <w:adjustRightInd/>
              <w:rPr>
                <w:color w:val="000000"/>
                <w:sz w:val="22"/>
                <w:szCs w:val="22"/>
              </w:rPr>
            </w:pPr>
          </w:p>
        </w:tc>
        <w:tc>
          <w:tcPr>
            <w:tcW w:w="1256" w:type="dxa"/>
            <w:vMerge/>
            <w:tcBorders>
              <w:top w:val="double" w:color="auto" w:sz="6" w:space="0"/>
              <w:left w:val="single" w:color="auto" w:sz="8" w:space="0"/>
              <w:bottom w:val="single" w:color="000000" w:sz="8" w:space="0"/>
              <w:right w:val="single" w:color="auto" w:sz="8" w:space="0"/>
            </w:tcBorders>
            <w:vAlign w:val="center"/>
            <w:hideMark/>
          </w:tcPr>
          <w:p w:rsidRPr="00435781" w:rsidR="00435781" w:rsidP="00435781" w:rsidRDefault="00435781" w14:paraId="5C55375C" w14:textId="77777777">
            <w:pPr>
              <w:widowControl/>
              <w:autoSpaceDE/>
              <w:autoSpaceDN/>
              <w:adjustRightInd/>
              <w:rPr>
                <w:color w:val="000000"/>
                <w:sz w:val="22"/>
                <w:szCs w:val="22"/>
              </w:rPr>
            </w:pPr>
          </w:p>
        </w:tc>
        <w:tc>
          <w:tcPr>
            <w:tcW w:w="1773" w:type="dxa"/>
            <w:vMerge/>
            <w:tcBorders>
              <w:top w:val="double" w:color="auto" w:sz="6" w:space="0"/>
              <w:left w:val="single" w:color="auto" w:sz="8" w:space="0"/>
              <w:bottom w:val="single" w:color="000000" w:sz="8" w:space="0"/>
              <w:right w:val="double" w:color="auto" w:sz="6" w:space="0"/>
            </w:tcBorders>
            <w:vAlign w:val="center"/>
            <w:hideMark/>
          </w:tcPr>
          <w:p w:rsidRPr="00435781" w:rsidR="00435781" w:rsidP="00435781" w:rsidRDefault="00435781" w14:paraId="4C39BCC2" w14:textId="77777777">
            <w:pPr>
              <w:widowControl/>
              <w:autoSpaceDE/>
              <w:autoSpaceDN/>
              <w:adjustRightInd/>
              <w:rPr>
                <w:color w:val="000000"/>
                <w:sz w:val="22"/>
                <w:szCs w:val="22"/>
              </w:rPr>
            </w:pPr>
          </w:p>
        </w:tc>
        <w:tc>
          <w:tcPr>
            <w:tcW w:w="36" w:type="dxa"/>
            <w:tcBorders>
              <w:top w:val="nil"/>
              <w:left w:val="nil"/>
              <w:bottom w:val="nil"/>
              <w:right w:val="nil"/>
            </w:tcBorders>
            <w:shd w:val="clear" w:color="auto" w:fill="auto"/>
            <w:noWrap/>
            <w:vAlign w:val="bottom"/>
            <w:hideMark/>
          </w:tcPr>
          <w:p w:rsidRPr="00435781" w:rsidR="00435781" w:rsidP="00435781" w:rsidRDefault="00435781" w14:paraId="5E0B2D60" w14:textId="77777777">
            <w:pPr>
              <w:widowControl/>
              <w:autoSpaceDE/>
              <w:autoSpaceDN/>
              <w:adjustRightInd/>
            </w:pPr>
          </w:p>
        </w:tc>
      </w:tr>
      <w:tr w:rsidRPr="00435781" w:rsidR="00435781" w:rsidTr="00435781" w14:paraId="63320874" w14:textId="77777777">
        <w:trPr>
          <w:trHeight w:val="810"/>
        </w:trPr>
        <w:tc>
          <w:tcPr>
            <w:tcW w:w="2228" w:type="dxa"/>
            <w:tcBorders>
              <w:top w:val="nil"/>
              <w:left w:val="double" w:color="auto" w:sz="6" w:space="0"/>
              <w:bottom w:val="double" w:color="auto" w:sz="6" w:space="0"/>
              <w:right w:val="single" w:color="auto" w:sz="8" w:space="0"/>
            </w:tcBorders>
            <w:shd w:val="clear" w:color="000000" w:fill="FFFFFF"/>
            <w:vAlign w:val="center"/>
            <w:hideMark/>
          </w:tcPr>
          <w:p w:rsidRPr="00435781" w:rsidR="00435781" w:rsidP="00435781" w:rsidRDefault="00435781" w14:paraId="2A7E2D70" w14:textId="77777777">
            <w:pPr>
              <w:widowControl/>
              <w:autoSpaceDE/>
              <w:autoSpaceDN/>
              <w:adjustRightInd/>
              <w:jc w:val="center"/>
              <w:rPr>
                <w:color w:val="000000"/>
                <w:sz w:val="22"/>
                <w:szCs w:val="22"/>
              </w:rPr>
            </w:pPr>
            <w:r w:rsidRPr="00435781">
              <w:rPr>
                <w:rFonts w:cs="Arial"/>
                <w:color w:val="000000"/>
                <w:sz w:val="22"/>
                <w:szCs w:val="22"/>
              </w:rPr>
              <w:t> </w:t>
            </w:r>
          </w:p>
        </w:tc>
        <w:tc>
          <w:tcPr>
            <w:tcW w:w="1656" w:type="dxa"/>
            <w:tcBorders>
              <w:top w:val="nil"/>
              <w:left w:val="nil"/>
              <w:bottom w:val="double" w:color="auto" w:sz="6" w:space="0"/>
              <w:right w:val="single" w:color="auto" w:sz="8" w:space="0"/>
            </w:tcBorders>
            <w:shd w:val="clear" w:color="000000" w:fill="FFFFFF"/>
            <w:vAlign w:val="center"/>
            <w:hideMark/>
          </w:tcPr>
          <w:p w:rsidRPr="00435781" w:rsidR="00435781" w:rsidP="00435781" w:rsidRDefault="00435781" w14:paraId="45A1DFA7" w14:textId="77777777">
            <w:pPr>
              <w:widowControl/>
              <w:autoSpaceDE/>
              <w:autoSpaceDN/>
              <w:adjustRightInd/>
              <w:jc w:val="center"/>
              <w:rPr>
                <w:color w:val="000000"/>
                <w:sz w:val="22"/>
                <w:szCs w:val="22"/>
              </w:rPr>
            </w:pPr>
            <w:r w:rsidRPr="00435781">
              <w:rPr>
                <w:color w:val="000000"/>
                <w:sz w:val="22"/>
                <w:szCs w:val="22"/>
              </w:rPr>
              <w:t>Hours by Section</w:t>
            </w:r>
          </w:p>
        </w:tc>
        <w:tc>
          <w:tcPr>
            <w:tcW w:w="1337" w:type="dxa"/>
            <w:tcBorders>
              <w:top w:val="nil"/>
              <w:left w:val="nil"/>
              <w:bottom w:val="double" w:color="auto" w:sz="6" w:space="0"/>
              <w:right w:val="single" w:color="auto" w:sz="8" w:space="0"/>
            </w:tcBorders>
            <w:shd w:val="clear" w:color="auto" w:fill="auto"/>
            <w:vAlign w:val="center"/>
            <w:hideMark/>
          </w:tcPr>
          <w:p w:rsidRPr="00435781" w:rsidR="00435781" w:rsidP="00435781" w:rsidRDefault="00435781" w14:paraId="6E0DEBD2" w14:textId="77777777">
            <w:pPr>
              <w:widowControl/>
              <w:autoSpaceDE/>
              <w:autoSpaceDN/>
              <w:adjustRightInd/>
              <w:jc w:val="center"/>
              <w:rPr>
                <w:color w:val="000000"/>
                <w:sz w:val="22"/>
                <w:szCs w:val="22"/>
              </w:rPr>
            </w:pPr>
            <w:r w:rsidRPr="00435781">
              <w:rPr>
                <w:color w:val="000000"/>
                <w:sz w:val="22"/>
                <w:szCs w:val="22"/>
              </w:rPr>
              <w:t>Responses</w:t>
            </w:r>
          </w:p>
        </w:tc>
        <w:tc>
          <w:tcPr>
            <w:tcW w:w="957" w:type="dxa"/>
            <w:tcBorders>
              <w:top w:val="nil"/>
              <w:left w:val="nil"/>
              <w:bottom w:val="double" w:color="auto" w:sz="6" w:space="0"/>
              <w:right w:val="single" w:color="auto" w:sz="8" w:space="0"/>
            </w:tcBorders>
            <w:shd w:val="clear" w:color="auto" w:fill="auto"/>
            <w:vAlign w:val="center"/>
            <w:hideMark/>
          </w:tcPr>
          <w:p w:rsidRPr="00435781" w:rsidR="00435781" w:rsidP="00435781" w:rsidRDefault="00435781" w14:paraId="271CD58C" w14:textId="77777777">
            <w:pPr>
              <w:widowControl/>
              <w:autoSpaceDE/>
              <w:autoSpaceDN/>
              <w:adjustRightInd/>
              <w:jc w:val="center"/>
              <w:rPr>
                <w:color w:val="000000"/>
                <w:sz w:val="22"/>
                <w:szCs w:val="22"/>
              </w:rPr>
            </w:pPr>
            <w:r w:rsidRPr="00435781">
              <w:rPr>
                <w:color w:val="000000"/>
                <w:sz w:val="22"/>
                <w:szCs w:val="22"/>
              </w:rPr>
              <w:t>Staff Hours</w:t>
            </w:r>
          </w:p>
        </w:tc>
        <w:tc>
          <w:tcPr>
            <w:tcW w:w="957" w:type="dxa"/>
            <w:tcBorders>
              <w:top w:val="nil"/>
              <w:left w:val="nil"/>
              <w:bottom w:val="double" w:color="auto" w:sz="6" w:space="0"/>
              <w:right w:val="single" w:color="auto" w:sz="8" w:space="0"/>
            </w:tcBorders>
            <w:shd w:val="clear" w:color="auto" w:fill="auto"/>
            <w:vAlign w:val="center"/>
            <w:hideMark/>
          </w:tcPr>
          <w:p w:rsidRPr="00435781" w:rsidR="00435781" w:rsidP="00435781" w:rsidRDefault="00435781" w14:paraId="183911E3" w14:textId="77777777">
            <w:pPr>
              <w:widowControl/>
              <w:autoSpaceDE/>
              <w:autoSpaceDN/>
              <w:adjustRightInd/>
              <w:jc w:val="center"/>
              <w:rPr>
                <w:color w:val="000000"/>
                <w:sz w:val="22"/>
                <w:szCs w:val="22"/>
              </w:rPr>
            </w:pPr>
            <w:r w:rsidRPr="00435781">
              <w:rPr>
                <w:color w:val="000000"/>
                <w:sz w:val="22"/>
                <w:szCs w:val="22"/>
              </w:rPr>
              <w:t>Total Hours</w:t>
            </w:r>
          </w:p>
        </w:tc>
        <w:tc>
          <w:tcPr>
            <w:tcW w:w="1256" w:type="dxa"/>
            <w:tcBorders>
              <w:top w:val="nil"/>
              <w:left w:val="nil"/>
              <w:bottom w:val="double" w:color="auto" w:sz="6" w:space="0"/>
              <w:right w:val="single" w:color="auto" w:sz="8" w:space="0"/>
            </w:tcBorders>
            <w:shd w:val="clear" w:color="auto" w:fill="auto"/>
            <w:vAlign w:val="center"/>
            <w:hideMark/>
          </w:tcPr>
          <w:p w:rsidRPr="00435781" w:rsidR="00435781" w:rsidP="00435781" w:rsidRDefault="00435781" w14:paraId="606FE384" w14:textId="77777777">
            <w:pPr>
              <w:widowControl/>
              <w:autoSpaceDE/>
              <w:autoSpaceDN/>
              <w:adjustRightInd/>
              <w:jc w:val="center"/>
              <w:rPr>
                <w:color w:val="000000"/>
                <w:sz w:val="22"/>
                <w:szCs w:val="22"/>
              </w:rPr>
            </w:pPr>
            <w:r w:rsidRPr="00435781">
              <w:rPr>
                <w:color w:val="000000"/>
                <w:sz w:val="22"/>
                <w:szCs w:val="22"/>
              </w:rPr>
              <w:t> </w:t>
            </w:r>
          </w:p>
        </w:tc>
        <w:tc>
          <w:tcPr>
            <w:tcW w:w="1773" w:type="dxa"/>
            <w:tcBorders>
              <w:top w:val="nil"/>
              <w:left w:val="nil"/>
              <w:bottom w:val="double" w:color="auto" w:sz="6" w:space="0"/>
              <w:right w:val="double" w:color="auto" w:sz="6" w:space="0"/>
            </w:tcBorders>
            <w:shd w:val="clear" w:color="auto" w:fill="auto"/>
            <w:vAlign w:val="center"/>
            <w:hideMark/>
          </w:tcPr>
          <w:p w:rsidRPr="00435781" w:rsidR="00435781" w:rsidP="00435781" w:rsidRDefault="00435781" w14:paraId="3F7825AE" w14:textId="77777777">
            <w:pPr>
              <w:widowControl/>
              <w:autoSpaceDE/>
              <w:autoSpaceDN/>
              <w:adjustRightInd/>
              <w:jc w:val="center"/>
              <w:rPr>
                <w:color w:val="000000"/>
                <w:sz w:val="22"/>
                <w:szCs w:val="22"/>
              </w:rPr>
            </w:pPr>
            <w:r w:rsidRPr="00435781">
              <w:rPr>
                <w:color w:val="000000"/>
                <w:sz w:val="22"/>
                <w:szCs w:val="22"/>
              </w:rPr>
              <w:t>Wage cost at $70.64/ hour</w:t>
            </w:r>
          </w:p>
        </w:tc>
        <w:tc>
          <w:tcPr>
            <w:tcW w:w="36" w:type="dxa"/>
            <w:vAlign w:val="center"/>
            <w:hideMark/>
          </w:tcPr>
          <w:p w:rsidRPr="00435781" w:rsidR="00435781" w:rsidP="00435781" w:rsidRDefault="00435781" w14:paraId="7F4A5F2C" w14:textId="77777777">
            <w:pPr>
              <w:widowControl/>
              <w:autoSpaceDE/>
              <w:autoSpaceDN/>
              <w:adjustRightInd/>
            </w:pPr>
          </w:p>
        </w:tc>
      </w:tr>
      <w:tr w:rsidRPr="00435781" w:rsidR="00435781" w:rsidTr="00435781" w14:paraId="3081520F" w14:textId="77777777">
        <w:trPr>
          <w:trHeight w:val="33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117B3285" w14:textId="77777777">
            <w:pPr>
              <w:widowControl/>
              <w:autoSpaceDE/>
              <w:autoSpaceDN/>
              <w:adjustRightInd/>
              <w:jc w:val="right"/>
              <w:rPr>
                <w:color w:val="000000"/>
              </w:rPr>
            </w:pPr>
            <w:r w:rsidRPr="00435781">
              <w:rPr>
                <w:color w:val="000000"/>
              </w:rPr>
              <w:t>785.13</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3E4DCCC4" w14:textId="77777777">
            <w:pPr>
              <w:widowControl/>
              <w:autoSpaceDE/>
              <w:autoSpaceDN/>
              <w:adjustRightInd/>
              <w:jc w:val="center"/>
              <w:rPr>
                <w:color w:val="000000"/>
                <w:sz w:val="22"/>
                <w:szCs w:val="22"/>
              </w:rPr>
            </w:pPr>
            <w:r w:rsidRPr="00435781">
              <w:rPr>
                <w:color w:val="000000"/>
                <w:sz w:val="22"/>
                <w:szCs w:val="22"/>
              </w:rPr>
              <w:t>80</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49B55ABD" w14:textId="77777777">
            <w:pPr>
              <w:widowControl/>
              <w:autoSpaceDE/>
              <w:autoSpaceDN/>
              <w:adjustRightInd/>
              <w:jc w:val="center"/>
              <w:rPr>
                <w:color w:val="000000"/>
                <w:sz w:val="22"/>
                <w:szCs w:val="22"/>
              </w:rPr>
            </w:pPr>
            <w:r w:rsidRPr="00435781">
              <w:rPr>
                <w:color w:val="000000"/>
                <w:sz w:val="22"/>
                <w:szCs w:val="22"/>
              </w:rPr>
              <w:t>1</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4D66CED7" w14:textId="77777777">
            <w:pPr>
              <w:widowControl/>
              <w:autoSpaceDE/>
              <w:autoSpaceDN/>
              <w:adjustRightInd/>
              <w:jc w:val="center"/>
              <w:rPr>
                <w:color w:val="000000"/>
                <w:sz w:val="22"/>
                <w:szCs w:val="22"/>
              </w:rPr>
            </w:pPr>
            <w:r w:rsidRPr="00435781">
              <w:rPr>
                <w:color w:val="000000"/>
                <w:sz w:val="22"/>
                <w:szCs w:val="22"/>
              </w:rPr>
              <w:t>52</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7C19E133" w14:textId="77777777">
            <w:pPr>
              <w:widowControl/>
              <w:autoSpaceDE/>
              <w:autoSpaceDN/>
              <w:adjustRightInd/>
              <w:jc w:val="center"/>
              <w:rPr>
                <w:color w:val="000000"/>
                <w:sz w:val="22"/>
                <w:szCs w:val="22"/>
              </w:rPr>
            </w:pPr>
            <w:r w:rsidRPr="00435781">
              <w:rPr>
                <w:color w:val="000000"/>
                <w:sz w:val="22"/>
                <w:szCs w:val="22"/>
              </w:rPr>
              <w:t>52</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07E14C3B" w14:textId="77777777">
            <w:pPr>
              <w:widowControl/>
              <w:autoSpaceDE/>
              <w:autoSpaceDN/>
              <w:adjustRightInd/>
              <w:jc w:val="center"/>
              <w:rPr>
                <w:color w:val="000000"/>
                <w:sz w:val="22"/>
                <w:szCs w:val="22"/>
              </w:rPr>
            </w:pPr>
            <w:r w:rsidRPr="00435781">
              <w:rPr>
                <w:color w:val="000000"/>
                <w:sz w:val="22"/>
                <w:szCs w:val="22"/>
              </w:rPr>
              <w:t>132</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693619B8" w14:textId="77777777">
            <w:pPr>
              <w:widowControl/>
              <w:autoSpaceDE/>
              <w:autoSpaceDN/>
              <w:adjustRightInd/>
              <w:jc w:val="center"/>
              <w:rPr>
                <w:color w:val="000000"/>
                <w:sz w:val="22"/>
                <w:szCs w:val="22"/>
              </w:rPr>
            </w:pPr>
            <w:r w:rsidRPr="00435781">
              <w:rPr>
                <w:color w:val="000000"/>
                <w:sz w:val="22"/>
                <w:szCs w:val="22"/>
              </w:rPr>
              <w:t>9,324</w:t>
            </w:r>
          </w:p>
        </w:tc>
        <w:tc>
          <w:tcPr>
            <w:tcW w:w="36" w:type="dxa"/>
            <w:vAlign w:val="center"/>
            <w:hideMark/>
          </w:tcPr>
          <w:p w:rsidRPr="00435781" w:rsidR="00435781" w:rsidP="00435781" w:rsidRDefault="00435781" w14:paraId="5B85A114" w14:textId="77777777">
            <w:pPr>
              <w:widowControl/>
              <w:autoSpaceDE/>
              <w:autoSpaceDN/>
              <w:adjustRightInd/>
            </w:pPr>
          </w:p>
        </w:tc>
      </w:tr>
      <w:tr w:rsidRPr="00435781" w:rsidR="00435781" w:rsidTr="00435781" w14:paraId="5D860657" w14:textId="77777777">
        <w:trPr>
          <w:trHeight w:val="32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6C35E276" w14:textId="77777777">
            <w:pPr>
              <w:widowControl/>
              <w:autoSpaceDE/>
              <w:autoSpaceDN/>
              <w:adjustRightInd/>
              <w:jc w:val="right"/>
              <w:rPr>
                <w:color w:val="000000"/>
              </w:rPr>
            </w:pPr>
            <w:r w:rsidRPr="00435781">
              <w:rPr>
                <w:color w:val="000000"/>
              </w:rPr>
              <w:t>785.14</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6A3DC0FA" w14:textId="77777777">
            <w:pPr>
              <w:widowControl/>
              <w:autoSpaceDE/>
              <w:autoSpaceDN/>
              <w:adjustRightInd/>
              <w:jc w:val="center"/>
              <w:rPr>
                <w:color w:val="000000"/>
                <w:sz w:val="22"/>
                <w:szCs w:val="22"/>
              </w:rPr>
            </w:pPr>
            <w:r w:rsidRPr="00435781">
              <w:rPr>
                <w:color w:val="000000"/>
                <w:sz w:val="22"/>
                <w:szCs w:val="22"/>
              </w:rPr>
              <w:t>75</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5E211740"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3685E9B0"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4A62CCF1" w14:textId="77777777">
            <w:pPr>
              <w:widowControl/>
              <w:autoSpaceDE/>
              <w:autoSpaceDN/>
              <w:adjustRightInd/>
              <w:jc w:val="center"/>
              <w:rPr>
                <w:color w:val="000000"/>
                <w:sz w:val="22"/>
                <w:szCs w:val="22"/>
              </w:rPr>
            </w:pPr>
            <w:r w:rsidRPr="00435781">
              <w:rPr>
                <w:color w:val="000000"/>
                <w:sz w:val="22"/>
                <w:szCs w:val="22"/>
              </w:rPr>
              <w:t>0</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4B5D28BE" w14:textId="77777777">
            <w:pPr>
              <w:widowControl/>
              <w:autoSpaceDE/>
              <w:autoSpaceDN/>
              <w:adjustRightInd/>
              <w:jc w:val="center"/>
              <w:rPr>
                <w:color w:val="000000"/>
                <w:sz w:val="22"/>
                <w:szCs w:val="22"/>
              </w:rPr>
            </w:pPr>
            <w:r w:rsidRPr="00435781">
              <w:rPr>
                <w:color w:val="000000"/>
                <w:sz w:val="22"/>
                <w:szCs w:val="22"/>
              </w:rPr>
              <w:t>75</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4FF0F024" w14:textId="77777777">
            <w:pPr>
              <w:widowControl/>
              <w:autoSpaceDE/>
              <w:autoSpaceDN/>
              <w:adjustRightInd/>
              <w:jc w:val="center"/>
              <w:rPr>
                <w:color w:val="000000"/>
                <w:sz w:val="22"/>
                <w:szCs w:val="22"/>
              </w:rPr>
            </w:pPr>
            <w:r w:rsidRPr="00435781">
              <w:rPr>
                <w:color w:val="000000"/>
                <w:sz w:val="22"/>
                <w:szCs w:val="22"/>
              </w:rPr>
              <w:t>5,298</w:t>
            </w:r>
          </w:p>
        </w:tc>
        <w:tc>
          <w:tcPr>
            <w:tcW w:w="36" w:type="dxa"/>
            <w:vAlign w:val="center"/>
            <w:hideMark/>
          </w:tcPr>
          <w:p w:rsidRPr="00435781" w:rsidR="00435781" w:rsidP="00435781" w:rsidRDefault="00435781" w14:paraId="69397D3A" w14:textId="77777777">
            <w:pPr>
              <w:widowControl/>
              <w:autoSpaceDE/>
              <w:autoSpaceDN/>
              <w:adjustRightInd/>
            </w:pPr>
          </w:p>
        </w:tc>
      </w:tr>
      <w:tr w:rsidRPr="00435781" w:rsidR="00435781" w:rsidTr="00435781" w14:paraId="29A8B14A" w14:textId="77777777">
        <w:trPr>
          <w:trHeight w:val="32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79AE2380" w14:textId="77777777">
            <w:pPr>
              <w:widowControl/>
              <w:autoSpaceDE/>
              <w:autoSpaceDN/>
              <w:adjustRightInd/>
              <w:jc w:val="right"/>
              <w:rPr>
                <w:color w:val="000000"/>
              </w:rPr>
            </w:pPr>
            <w:r w:rsidRPr="00435781">
              <w:rPr>
                <w:color w:val="000000"/>
              </w:rPr>
              <w:t>785.15</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2894D4EC" w14:textId="77777777">
            <w:pPr>
              <w:widowControl/>
              <w:autoSpaceDE/>
              <w:autoSpaceDN/>
              <w:adjustRightInd/>
              <w:jc w:val="center"/>
              <w:rPr>
                <w:color w:val="000000"/>
                <w:sz w:val="22"/>
                <w:szCs w:val="22"/>
              </w:rPr>
            </w:pPr>
            <w:r w:rsidRPr="00435781">
              <w:rPr>
                <w:color w:val="000000"/>
                <w:sz w:val="22"/>
                <w:szCs w:val="22"/>
              </w:rPr>
              <w:t>45</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70B9191B"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08050391"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436694BD" w14:textId="77777777">
            <w:pPr>
              <w:widowControl/>
              <w:autoSpaceDE/>
              <w:autoSpaceDN/>
              <w:adjustRightInd/>
              <w:jc w:val="center"/>
              <w:rPr>
                <w:color w:val="000000"/>
                <w:sz w:val="22"/>
                <w:szCs w:val="22"/>
              </w:rPr>
            </w:pPr>
            <w:r w:rsidRPr="00435781">
              <w:rPr>
                <w:color w:val="000000"/>
                <w:sz w:val="22"/>
                <w:szCs w:val="22"/>
              </w:rPr>
              <w:t>0</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5164DFF0" w14:textId="77777777">
            <w:pPr>
              <w:widowControl/>
              <w:autoSpaceDE/>
              <w:autoSpaceDN/>
              <w:adjustRightInd/>
              <w:jc w:val="center"/>
              <w:rPr>
                <w:color w:val="000000"/>
                <w:sz w:val="22"/>
                <w:szCs w:val="22"/>
              </w:rPr>
            </w:pPr>
            <w:r w:rsidRPr="00435781">
              <w:rPr>
                <w:color w:val="000000"/>
                <w:sz w:val="22"/>
                <w:szCs w:val="22"/>
              </w:rPr>
              <w:t>45</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25EFECC1" w14:textId="77777777">
            <w:pPr>
              <w:widowControl/>
              <w:autoSpaceDE/>
              <w:autoSpaceDN/>
              <w:adjustRightInd/>
              <w:jc w:val="center"/>
              <w:rPr>
                <w:color w:val="000000"/>
                <w:sz w:val="22"/>
                <w:szCs w:val="22"/>
              </w:rPr>
            </w:pPr>
            <w:r w:rsidRPr="00435781">
              <w:rPr>
                <w:color w:val="000000"/>
                <w:sz w:val="22"/>
                <w:szCs w:val="22"/>
              </w:rPr>
              <w:t>3,179</w:t>
            </w:r>
          </w:p>
        </w:tc>
        <w:tc>
          <w:tcPr>
            <w:tcW w:w="36" w:type="dxa"/>
            <w:vAlign w:val="center"/>
            <w:hideMark/>
          </w:tcPr>
          <w:p w:rsidRPr="00435781" w:rsidR="00435781" w:rsidP="00435781" w:rsidRDefault="00435781" w14:paraId="005A778B" w14:textId="77777777">
            <w:pPr>
              <w:widowControl/>
              <w:autoSpaceDE/>
              <w:autoSpaceDN/>
              <w:adjustRightInd/>
            </w:pPr>
          </w:p>
        </w:tc>
      </w:tr>
      <w:tr w:rsidRPr="00435781" w:rsidR="00435781" w:rsidTr="00435781" w14:paraId="02DD914D" w14:textId="77777777">
        <w:trPr>
          <w:trHeight w:val="30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47A63AA7" w14:textId="77777777">
            <w:pPr>
              <w:widowControl/>
              <w:autoSpaceDE/>
              <w:autoSpaceDN/>
              <w:adjustRightInd/>
              <w:jc w:val="right"/>
              <w:rPr>
                <w:color w:val="000000"/>
              </w:rPr>
            </w:pPr>
            <w:r w:rsidRPr="00435781">
              <w:rPr>
                <w:color w:val="000000"/>
              </w:rPr>
              <w:t>785.16</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4F24E791" w14:textId="77777777">
            <w:pPr>
              <w:widowControl/>
              <w:autoSpaceDE/>
              <w:autoSpaceDN/>
              <w:adjustRightInd/>
              <w:jc w:val="center"/>
              <w:rPr>
                <w:color w:val="000000"/>
                <w:sz w:val="22"/>
                <w:szCs w:val="22"/>
              </w:rPr>
            </w:pPr>
            <w:r w:rsidRPr="00435781">
              <w:rPr>
                <w:color w:val="000000"/>
                <w:sz w:val="22"/>
                <w:szCs w:val="22"/>
              </w:rPr>
              <w:t>40</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55D489C7"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55B68AE8"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56FBCA89" w14:textId="77777777">
            <w:pPr>
              <w:widowControl/>
              <w:autoSpaceDE/>
              <w:autoSpaceDN/>
              <w:adjustRightInd/>
              <w:jc w:val="center"/>
              <w:rPr>
                <w:color w:val="000000"/>
                <w:sz w:val="22"/>
                <w:szCs w:val="22"/>
              </w:rPr>
            </w:pPr>
            <w:r w:rsidRPr="00435781">
              <w:rPr>
                <w:color w:val="000000"/>
                <w:sz w:val="22"/>
                <w:szCs w:val="22"/>
              </w:rPr>
              <w:t>0</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1495C4F6" w14:textId="77777777">
            <w:pPr>
              <w:widowControl/>
              <w:autoSpaceDE/>
              <w:autoSpaceDN/>
              <w:adjustRightInd/>
              <w:jc w:val="center"/>
              <w:rPr>
                <w:color w:val="000000"/>
                <w:sz w:val="22"/>
                <w:szCs w:val="22"/>
              </w:rPr>
            </w:pPr>
            <w:r w:rsidRPr="00435781">
              <w:rPr>
                <w:color w:val="000000"/>
                <w:sz w:val="22"/>
                <w:szCs w:val="22"/>
              </w:rPr>
              <w:t>40</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50B1C704" w14:textId="77777777">
            <w:pPr>
              <w:widowControl/>
              <w:autoSpaceDE/>
              <w:autoSpaceDN/>
              <w:adjustRightInd/>
              <w:jc w:val="center"/>
              <w:rPr>
                <w:color w:val="000000"/>
                <w:sz w:val="22"/>
                <w:szCs w:val="22"/>
              </w:rPr>
            </w:pPr>
            <w:r w:rsidRPr="00435781">
              <w:rPr>
                <w:color w:val="000000"/>
                <w:sz w:val="22"/>
                <w:szCs w:val="22"/>
              </w:rPr>
              <w:t>2,826</w:t>
            </w:r>
          </w:p>
        </w:tc>
        <w:tc>
          <w:tcPr>
            <w:tcW w:w="36" w:type="dxa"/>
            <w:vAlign w:val="center"/>
            <w:hideMark/>
          </w:tcPr>
          <w:p w:rsidRPr="00435781" w:rsidR="00435781" w:rsidP="00435781" w:rsidRDefault="00435781" w14:paraId="4F2CC064" w14:textId="77777777">
            <w:pPr>
              <w:widowControl/>
              <w:autoSpaceDE/>
              <w:autoSpaceDN/>
              <w:adjustRightInd/>
            </w:pPr>
          </w:p>
        </w:tc>
      </w:tr>
      <w:tr w:rsidRPr="00435781" w:rsidR="00435781" w:rsidTr="00435781" w14:paraId="28A15038" w14:textId="77777777">
        <w:trPr>
          <w:trHeight w:val="30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091BE9B4" w14:textId="77777777">
            <w:pPr>
              <w:widowControl/>
              <w:autoSpaceDE/>
              <w:autoSpaceDN/>
              <w:adjustRightInd/>
              <w:jc w:val="right"/>
              <w:rPr>
                <w:color w:val="000000"/>
              </w:rPr>
            </w:pPr>
            <w:r w:rsidRPr="00435781">
              <w:rPr>
                <w:color w:val="000000"/>
              </w:rPr>
              <w:t>785.17</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0EE150C0" w14:textId="77777777">
            <w:pPr>
              <w:widowControl/>
              <w:autoSpaceDE/>
              <w:autoSpaceDN/>
              <w:adjustRightInd/>
              <w:jc w:val="center"/>
              <w:rPr>
                <w:color w:val="000000"/>
                <w:sz w:val="22"/>
                <w:szCs w:val="22"/>
              </w:rPr>
            </w:pPr>
            <w:r w:rsidRPr="00435781">
              <w:rPr>
                <w:color w:val="000000"/>
                <w:sz w:val="22"/>
                <w:szCs w:val="22"/>
              </w:rPr>
              <w:t>40</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74E37C40"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5622A224"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09B31D1E" w14:textId="77777777">
            <w:pPr>
              <w:widowControl/>
              <w:autoSpaceDE/>
              <w:autoSpaceDN/>
              <w:adjustRightInd/>
              <w:jc w:val="center"/>
              <w:rPr>
                <w:color w:val="000000"/>
                <w:sz w:val="22"/>
                <w:szCs w:val="22"/>
              </w:rPr>
            </w:pPr>
            <w:r w:rsidRPr="00435781">
              <w:rPr>
                <w:color w:val="000000"/>
                <w:sz w:val="22"/>
                <w:szCs w:val="22"/>
              </w:rPr>
              <w:t>0</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3770B9CD" w14:textId="77777777">
            <w:pPr>
              <w:widowControl/>
              <w:autoSpaceDE/>
              <w:autoSpaceDN/>
              <w:adjustRightInd/>
              <w:jc w:val="center"/>
              <w:rPr>
                <w:color w:val="000000"/>
                <w:sz w:val="22"/>
                <w:szCs w:val="22"/>
              </w:rPr>
            </w:pPr>
            <w:r w:rsidRPr="00435781">
              <w:rPr>
                <w:color w:val="000000"/>
                <w:sz w:val="22"/>
                <w:szCs w:val="22"/>
              </w:rPr>
              <w:t>40</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7A94C642" w14:textId="77777777">
            <w:pPr>
              <w:widowControl/>
              <w:autoSpaceDE/>
              <w:autoSpaceDN/>
              <w:adjustRightInd/>
              <w:jc w:val="center"/>
              <w:rPr>
                <w:color w:val="000000"/>
                <w:sz w:val="22"/>
                <w:szCs w:val="22"/>
              </w:rPr>
            </w:pPr>
            <w:r w:rsidRPr="00435781">
              <w:rPr>
                <w:color w:val="000000"/>
                <w:sz w:val="22"/>
                <w:szCs w:val="22"/>
              </w:rPr>
              <w:t>2,826</w:t>
            </w:r>
          </w:p>
        </w:tc>
        <w:tc>
          <w:tcPr>
            <w:tcW w:w="36" w:type="dxa"/>
            <w:vAlign w:val="center"/>
            <w:hideMark/>
          </w:tcPr>
          <w:p w:rsidRPr="00435781" w:rsidR="00435781" w:rsidP="00435781" w:rsidRDefault="00435781" w14:paraId="3886DB8C" w14:textId="77777777">
            <w:pPr>
              <w:widowControl/>
              <w:autoSpaceDE/>
              <w:autoSpaceDN/>
              <w:adjustRightInd/>
            </w:pPr>
          </w:p>
        </w:tc>
      </w:tr>
      <w:tr w:rsidRPr="00435781" w:rsidR="00435781" w:rsidTr="00435781" w14:paraId="5D7476D7" w14:textId="77777777">
        <w:trPr>
          <w:trHeight w:val="31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4F8F3D53" w14:textId="77777777">
            <w:pPr>
              <w:widowControl/>
              <w:autoSpaceDE/>
              <w:autoSpaceDN/>
              <w:adjustRightInd/>
              <w:jc w:val="right"/>
              <w:rPr>
                <w:color w:val="000000"/>
              </w:rPr>
            </w:pPr>
            <w:r w:rsidRPr="00435781">
              <w:rPr>
                <w:color w:val="000000"/>
              </w:rPr>
              <w:t>785.18</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45306FD8" w14:textId="77777777">
            <w:pPr>
              <w:widowControl/>
              <w:autoSpaceDE/>
              <w:autoSpaceDN/>
              <w:adjustRightInd/>
              <w:jc w:val="center"/>
              <w:rPr>
                <w:color w:val="000000"/>
                <w:sz w:val="22"/>
                <w:szCs w:val="22"/>
              </w:rPr>
            </w:pPr>
            <w:r w:rsidRPr="00435781">
              <w:rPr>
                <w:color w:val="000000"/>
                <w:sz w:val="22"/>
                <w:szCs w:val="22"/>
              </w:rPr>
              <w:t>8</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6E3F9160"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17B8FCE6"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2ECAC21F" w14:textId="77777777">
            <w:pPr>
              <w:widowControl/>
              <w:autoSpaceDE/>
              <w:autoSpaceDN/>
              <w:adjustRightInd/>
              <w:jc w:val="center"/>
              <w:rPr>
                <w:color w:val="000000"/>
                <w:sz w:val="22"/>
                <w:szCs w:val="22"/>
              </w:rPr>
            </w:pPr>
            <w:r w:rsidRPr="00435781">
              <w:rPr>
                <w:color w:val="000000"/>
                <w:sz w:val="22"/>
                <w:szCs w:val="22"/>
              </w:rPr>
              <w:t>0</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3385EC70" w14:textId="77777777">
            <w:pPr>
              <w:widowControl/>
              <w:autoSpaceDE/>
              <w:autoSpaceDN/>
              <w:adjustRightInd/>
              <w:jc w:val="center"/>
              <w:rPr>
                <w:color w:val="000000"/>
                <w:sz w:val="22"/>
                <w:szCs w:val="22"/>
              </w:rPr>
            </w:pPr>
            <w:r w:rsidRPr="00435781">
              <w:rPr>
                <w:color w:val="000000"/>
                <w:sz w:val="22"/>
                <w:szCs w:val="22"/>
              </w:rPr>
              <w:t>8</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33CC61F9" w14:textId="77777777">
            <w:pPr>
              <w:widowControl/>
              <w:autoSpaceDE/>
              <w:autoSpaceDN/>
              <w:adjustRightInd/>
              <w:jc w:val="center"/>
              <w:rPr>
                <w:color w:val="000000"/>
                <w:sz w:val="22"/>
                <w:szCs w:val="22"/>
              </w:rPr>
            </w:pPr>
            <w:r w:rsidRPr="00435781">
              <w:rPr>
                <w:color w:val="000000"/>
                <w:sz w:val="22"/>
                <w:szCs w:val="22"/>
              </w:rPr>
              <w:t>565</w:t>
            </w:r>
          </w:p>
        </w:tc>
        <w:tc>
          <w:tcPr>
            <w:tcW w:w="36" w:type="dxa"/>
            <w:vAlign w:val="center"/>
            <w:hideMark/>
          </w:tcPr>
          <w:p w:rsidRPr="00435781" w:rsidR="00435781" w:rsidP="00435781" w:rsidRDefault="00435781" w14:paraId="42D76CC4" w14:textId="77777777">
            <w:pPr>
              <w:widowControl/>
              <w:autoSpaceDE/>
              <w:autoSpaceDN/>
              <w:adjustRightInd/>
            </w:pPr>
          </w:p>
        </w:tc>
      </w:tr>
      <w:tr w:rsidRPr="00435781" w:rsidR="00435781" w:rsidTr="00435781" w14:paraId="1B6F05D4" w14:textId="77777777">
        <w:trPr>
          <w:trHeight w:val="30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57FFF590" w14:textId="77777777">
            <w:pPr>
              <w:widowControl/>
              <w:autoSpaceDE/>
              <w:autoSpaceDN/>
              <w:adjustRightInd/>
              <w:jc w:val="right"/>
              <w:rPr>
                <w:color w:val="000000"/>
              </w:rPr>
            </w:pPr>
            <w:r w:rsidRPr="00435781">
              <w:rPr>
                <w:color w:val="000000"/>
              </w:rPr>
              <w:t>785.19</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117C7EE4" w14:textId="77777777">
            <w:pPr>
              <w:widowControl/>
              <w:autoSpaceDE/>
              <w:autoSpaceDN/>
              <w:adjustRightInd/>
              <w:jc w:val="center"/>
              <w:rPr>
                <w:color w:val="000000"/>
                <w:sz w:val="22"/>
                <w:szCs w:val="22"/>
              </w:rPr>
            </w:pPr>
            <w:r w:rsidRPr="00435781">
              <w:rPr>
                <w:color w:val="000000"/>
                <w:sz w:val="22"/>
                <w:szCs w:val="22"/>
              </w:rPr>
              <w:t>40</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701CA1AE"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15737A8A"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0A30AA05" w14:textId="77777777">
            <w:pPr>
              <w:widowControl/>
              <w:autoSpaceDE/>
              <w:autoSpaceDN/>
              <w:adjustRightInd/>
              <w:jc w:val="center"/>
              <w:rPr>
                <w:color w:val="000000"/>
                <w:sz w:val="22"/>
                <w:szCs w:val="22"/>
              </w:rPr>
            </w:pPr>
            <w:r w:rsidRPr="00435781">
              <w:rPr>
                <w:color w:val="000000"/>
                <w:sz w:val="22"/>
                <w:szCs w:val="22"/>
              </w:rPr>
              <w:t>0</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07F749E7" w14:textId="77777777">
            <w:pPr>
              <w:widowControl/>
              <w:autoSpaceDE/>
              <w:autoSpaceDN/>
              <w:adjustRightInd/>
              <w:jc w:val="center"/>
              <w:rPr>
                <w:color w:val="000000"/>
                <w:sz w:val="22"/>
                <w:szCs w:val="22"/>
              </w:rPr>
            </w:pPr>
            <w:r w:rsidRPr="00435781">
              <w:rPr>
                <w:color w:val="000000"/>
                <w:sz w:val="22"/>
                <w:szCs w:val="22"/>
              </w:rPr>
              <w:t>40</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34DACC5B" w14:textId="77777777">
            <w:pPr>
              <w:widowControl/>
              <w:autoSpaceDE/>
              <w:autoSpaceDN/>
              <w:adjustRightInd/>
              <w:jc w:val="center"/>
              <w:rPr>
                <w:color w:val="000000"/>
                <w:sz w:val="22"/>
                <w:szCs w:val="22"/>
              </w:rPr>
            </w:pPr>
            <w:r w:rsidRPr="00435781">
              <w:rPr>
                <w:color w:val="000000"/>
                <w:sz w:val="22"/>
                <w:szCs w:val="22"/>
              </w:rPr>
              <w:t>2,826</w:t>
            </w:r>
          </w:p>
        </w:tc>
        <w:tc>
          <w:tcPr>
            <w:tcW w:w="36" w:type="dxa"/>
            <w:vAlign w:val="center"/>
            <w:hideMark/>
          </w:tcPr>
          <w:p w:rsidRPr="00435781" w:rsidR="00435781" w:rsidP="00435781" w:rsidRDefault="00435781" w14:paraId="48DE83B1" w14:textId="77777777">
            <w:pPr>
              <w:widowControl/>
              <w:autoSpaceDE/>
              <w:autoSpaceDN/>
              <w:adjustRightInd/>
            </w:pPr>
          </w:p>
        </w:tc>
      </w:tr>
      <w:tr w:rsidRPr="00435781" w:rsidR="00435781" w:rsidTr="00435781" w14:paraId="6E7FC5CD" w14:textId="77777777">
        <w:trPr>
          <w:trHeight w:val="32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0D3F5868" w14:textId="77777777">
            <w:pPr>
              <w:widowControl/>
              <w:autoSpaceDE/>
              <w:autoSpaceDN/>
              <w:adjustRightInd/>
              <w:jc w:val="right"/>
              <w:rPr>
                <w:color w:val="000000"/>
              </w:rPr>
            </w:pPr>
            <w:r w:rsidRPr="00435781">
              <w:rPr>
                <w:color w:val="000000"/>
              </w:rPr>
              <w:t>785.20</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522F3EB5" w14:textId="77777777">
            <w:pPr>
              <w:widowControl/>
              <w:autoSpaceDE/>
              <w:autoSpaceDN/>
              <w:adjustRightInd/>
              <w:jc w:val="center"/>
              <w:rPr>
                <w:color w:val="000000"/>
                <w:sz w:val="24"/>
                <w:szCs w:val="24"/>
              </w:rPr>
            </w:pPr>
            <w:r w:rsidRPr="00435781">
              <w:rPr>
                <w:color w:val="000000"/>
                <w:sz w:val="24"/>
                <w:szCs w:val="24"/>
              </w:rPr>
              <w:t>23</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7985970B"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1500736A"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4D586B12" w14:textId="77777777">
            <w:pPr>
              <w:widowControl/>
              <w:autoSpaceDE/>
              <w:autoSpaceDN/>
              <w:adjustRightInd/>
              <w:jc w:val="center"/>
              <w:rPr>
                <w:color w:val="000000"/>
                <w:sz w:val="22"/>
                <w:szCs w:val="22"/>
              </w:rPr>
            </w:pPr>
            <w:r w:rsidRPr="00435781">
              <w:rPr>
                <w:color w:val="000000"/>
                <w:sz w:val="22"/>
                <w:szCs w:val="22"/>
              </w:rPr>
              <w:t>0</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541068E8" w14:textId="77777777">
            <w:pPr>
              <w:widowControl/>
              <w:autoSpaceDE/>
              <w:autoSpaceDN/>
              <w:adjustRightInd/>
              <w:jc w:val="center"/>
              <w:rPr>
                <w:color w:val="000000"/>
                <w:sz w:val="22"/>
                <w:szCs w:val="22"/>
              </w:rPr>
            </w:pPr>
            <w:r w:rsidRPr="00435781">
              <w:rPr>
                <w:color w:val="000000"/>
                <w:sz w:val="22"/>
                <w:szCs w:val="22"/>
              </w:rPr>
              <w:t>23</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14955E2E" w14:textId="77777777">
            <w:pPr>
              <w:widowControl/>
              <w:autoSpaceDE/>
              <w:autoSpaceDN/>
              <w:adjustRightInd/>
              <w:jc w:val="center"/>
              <w:rPr>
                <w:color w:val="000000"/>
                <w:sz w:val="22"/>
                <w:szCs w:val="22"/>
              </w:rPr>
            </w:pPr>
            <w:r w:rsidRPr="00435781">
              <w:rPr>
                <w:color w:val="000000"/>
                <w:sz w:val="22"/>
                <w:szCs w:val="22"/>
              </w:rPr>
              <w:t>1,625</w:t>
            </w:r>
          </w:p>
        </w:tc>
        <w:tc>
          <w:tcPr>
            <w:tcW w:w="36" w:type="dxa"/>
            <w:vAlign w:val="center"/>
            <w:hideMark/>
          </w:tcPr>
          <w:p w:rsidRPr="00435781" w:rsidR="00435781" w:rsidP="00435781" w:rsidRDefault="00435781" w14:paraId="414AD2A4" w14:textId="77777777">
            <w:pPr>
              <w:widowControl/>
              <w:autoSpaceDE/>
              <w:autoSpaceDN/>
              <w:adjustRightInd/>
            </w:pPr>
          </w:p>
        </w:tc>
      </w:tr>
      <w:tr w:rsidRPr="00435781" w:rsidR="00435781" w:rsidTr="00435781" w14:paraId="3DD4F891" w14:textId="77777777">
        <w:trPr>
          <w:trHeight w:val="32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36D43CB7" w14:textId="77777777">
            <w:pPr>
              <w:widowControl/>
              <w:autoSpaceDE/>
              <w:autoSpaceDN/>
              <w:adjustRightInd/>
              <w:jc w:val="right"/>
              <w:rPr>
                <w:color w:val="000000"/>
              </w:rPr>
            </w:pPr>
            <w:r w:rsidRPr="00435781">
              <w:rPr>
                <w:color w:val="000000"/>
              </w:rPr>
              <w:t>785.22</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0729FA0C" w14:textId="77777777">
            <w:pPr>
              <w:widowControl/>
              <w:autoSpaceDE/>
              <w:autoSpaceDN/>
              <w:adjustRightInd/>
              <w:jc w:val="center"/>
              <w:rPr>
                <w:color w:val="000000"/>
                <w:sz w:val="24"/>
                <w:szCs w:val="24"/>
              </w:rPr>
            </w:pPr>
            <w:r w:rsidRPr="00435781">
              <w:rPr>
                <w:color w:val="000000"/>
                <w:sz w:val="24"/>
                <w:szCs w:val="24"/>
              </w:rPr>
              <w:t>16</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706A4F5C"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397374AF"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1D502595" w14:textId="77777777">
            <w:pPr>
              <w:widowControl/>
              <w:autoSpaceDE/>
              <w:autoSpaceDN/>
              <w:adjustRightInd/>
              <w:jc w:val="center"/>
              <w:rPr>
                <w:color w:val="000000"/>
                <w:sz w:val="22"/>
                <w:szCs w:val="22"/>
              </w:rPr>
            </w:pPr>
            <w:r w:rsidRPr="00435781">
              <w:rPr>
                <w:color w:val="000000"/>
                <w:sz w:val="22"/>
                <w:szCs w:val="22"/>
              </w:rPr>
              <w:t>0</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26BE8DF6" w14:textId="77777777">
            <w:pPr>
              <w:widowControl/>
              <w:autoSpaceDE/>
              <w:autoSpaceDN/>
              <w:adjustRightInd/>
              <w:jc w:val="center"/>
              <w:rPr>
                <w:color w:val="000000"/>
                <w:sz w:val="22"/>
                <w:szCs w:val="22"/>
              </w:rPr>
            </w:pPr>
            <w:r w:rsidRPr="00435781">
              <w:rPr>
                <w:color w:val="000000"/>
                <w:sz w:val="22"/>
                <w:szCs w:val="22"/>
              </w:rPr>
              <w:t>16</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7758DF1F" w14:textId="77777777">
            <w:pPr>
              <w:widowControl/>
              <w:autoSpaceDE/>
              <w:autoSpaceDN/>
              <w:adjustRightInd/>
              <w:jc w:val="center"/>
              <w:rPr>
                <w:color w:val="000000"/>
                <w:sz w:val="22"/>
                <w:szCs w:val="22"/>
              </w:rPr>
            </w:pPr>
            <w:r w:rsidRPr="00435781">
              <w:rPr>
                <w:color w:val="000000"/>
                <w:sz w:val="22"/>
                <w:szCs w:val="22"/>
              </w:rPr>
              <w:t>1,130</w:t>
            </w:r>
          </w:p>
        </w:tc>
        <w:tc>
          <w:tcPr>
            <w:tcW w:w="36" w:type="dxa"/>
            <w:vAlign w:val="center"/>
            <w:hideMark/>
          </w:tcPr>
          <w:p w:rsidRPr="00435781" w:rsidR="00435781" w:rsidP="00435781" w:rsidRDefault="00435781" w14:paraId="2774906A" w14:textId="77777777">
            <w:pPr>
              <w:widowControl/>
              <w:autoSpaceDE/>
              <w:autoSpaceDN/>
              <w:adjustRightInd/>
            </w:pPr>
          </w:p>
        </w:tc>
      </w:tr>
      <w:tr w:rsidRPr="00435781" w:rsidR="00435781" w:rsidTr="00435781" w14:paraId="06032DFF" w14:textId="77777777">
        <w:trPr>
          <w:trHeight w:val="320"/>
        </w:trPr>
        <w:tc>
          <w:tcPr>
            <w:tcW w:w="2228" w:type="dxa"/>
            <w:tcBorders>
              <w:top w:val="nil"/>
              <w:left w:val="double" w:color="auto" w:sz="6" w:space="0"/>
              <w:bottom w:val="single" w:color="auto" w:sz="8" w:space="0"/>
              <w:right w:val="single" w:color="auto" w:sz="8" w:space="0"/>
            </w:tcBorders>
            <w:shd w:val="clear" w:color="auto" w:fill="auto"/>
            <w:vAlign w:val="center"/>
            <w:hideMark/>
          </w:tcPr>
          <w:p w:rsidRPr="00435781" w:rsidR="00435781" w:rsidP="00435781" w:rsidRDefault="00435781" w14:paraId="2E50A626" w14:textId="77777777">
            <w:pPr>
              <w:widowControl/>
              <w:autoSpaceDE/>
              <w:autoSpaceDN/>
              <w:adjustRightInd/>
              <w:jc w:val="right"/>
              <w:rPr>
                <w:color w:val="000000"/>
              </w:rPr>
            </w:pPr>
            <w:r w:rsidRPr="00435781">
              <w:rPr>
                <w:color w:val="000000"/>
              </w:rPr>
              <w:t>785.25</w:t>
            </w:r>
          </w:p>
        </w:tc>
        <w:tc>
          <w:tcPr>
            <w:tcW w:w="16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6702C09E" w14:textId="77777777">
            <w:pPr>
              <w:widowControl/>
              <w:autoSpaceDE/>
              <w:autoSpaceDN/>
              <w:adjustRightInd/>
              <w:jc w:val="center"/>
              <w:rPr>
                <w:color w:val="000000"/>
                <w:sz w:val="24"/>
                <w:szCs w:val="24"/>
              </w:rPr>
            </w:pPr>
            <w:r w:rsidRPr="00435781">
              <w:rPr>
                <w:color w:val="000000"/>
                <w:sz w:val="24"/>
                <w:szCs w:val="24"/>
              </w:rPr>
              <w:t>44</w:t>
            </w:r>
          </w:p>
        </w:tc>
        <w:tc>
          <w:tcPr>
            <w:tcW w:w="133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6FA44BCE"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0CFD18F2" w14:textId="77777777">
            <w:pPr>
              <w:widowControl/>
              <w:autoSpaceDE/>
              <w:autoSpaceDN/>
              <w:adjustRightInd/>
              <w:jc w:val="center"/>
              <w:rPr>
                <w:color w:val="000000"/>
                <w:sz w:val="22"/>
                <w:szCs w:val="22"/>
              </w:rPr>
            </w:pPr>
            <w:r w:rsidRPr="00435781">
              <w:rPr>
                <w:color w:val="000000"/>
                <w:sz w:val="22"/>
                <w:szCs w:val="22"/>
              </w:rPr>
              <w:t>0</w:t>
            </w:r>
          </w:p>
        </w:tc>
        <w:tc>
          <w:tcPr>
            <w:tcW w:w="957"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64B2C02C" w14:textId="77777777">
            <w:pPr>
              <w:widowControl/>
              <w:autoSpaceDE/>
              <w:autoSpaceDN/>
              <w:adjustRightInd/>
              <w:jc w:val="center"/>
              <w:rPr>
                <w:color w:val="000000"/>
                <w:sz w:val="22"/>
                <w:szCs w:val="22"/>
              </w:rPr>
            </w:pPr>
            <w:r w:rsidRPr="00435781">
              <w:rPr>
                <w:color w:val="000000"/>
                <w:sz w:val="22"/>
                <w:szCs w:val="22"/>
              </w:rPr>
              <w:t>0</w:t>
            </w:r>
          </w:p>
        </w:tc>
        <w:tc>
          <w:tcPr>
            <w:tcW w:w="1256" w:type="dxa"/>
            <w:tcBorders>
              <w:top w:val="nil"/>
              <w:left w:val="nil"/>
              <w:bottom w:val="single" w:color="auto" w:sz="8" w:space="0"/>
              <w:right w:val="single" w:color="auto" w:sz="8" w:space="0"/>
            </w:tcBorders>
            <w:shd w:val="clear" w:color="auto" w:fill="auto"/>
            <w:vAlign w:val="center"/>
            <w:hideMark/>
          </w:tcPr>
          <w:p w:rsidRPr="00435781" w:rsidR="00435781" w:rsidP="00435781" w:rsidRDefault="00435781" w14:paraId="38834408" w14:textId="77777777">
            <w:pPr>
              <w:widowControl/>
              <w:autoSpaceDE/>
              <w:autoSpaceDN/>
              <w:adjustRightInd/>
              <w:jc w:val="center"/>
              <w:rPr>
                <w:color w:val="000000"/>
                <w:sz w:val="22"/>
                <w:szCs w:val="22"/>
              </w:rPr>
            </w:pPr>
            <w:r w:rsidRPr="00435781">
              <w:rPr>
                <w:color w:val="000000"/>
                <w:sz w:val="22"/>
                <w:szCs w:val="22"/>
              </w:rPr>
              <w:t>44</w:t>
            </w:r>
          </w:p>
        </w:tc>
        <w:tc>
          <w:tcPr>
            <w:tcW w:w="1773" w:type="dxa"/>
            <w:tcBorders>
              <w:top w:val="nil"/>
              <w:left w:val="nil"/>
              <w:bottom w:val="single" w:color="auto" w:sz="8" w:space="0"/>
              <w:right w:val="double" w:color="auto" w:sz="6" w:space="0"/>
            </w:tcBorders>
            <w:shd w:val="clear" w:color="auto" w:fill="auto"/>
            <w:vAlign w:val="center"/>
            <w:hideMark/>
          </w:tcPr>
          <w:p w:rsidRPr="00435781" w:rsidR="00435781" w:rsidP="00435781" w:rsidRDefault="00435781" w14:paraId="1ED5BDE6" w14:textId="77777777">
            <w:pPr>
              <w:widowControl/>
              <w:autoSpaceDE/>
              <w:autoSpaceDN/>
              <w:adjustRightInd/>
              <w:jc w:val="center"/>
              <w:rPr>
                <w:color w:val="000000"/>
                <w:sz w:val="22"/>
                <w:szCs w:val="22"/>
              </w:rPr>
            </w:pPr>
            <w:r w:rsidRPr="00435781">
              <w:rPr>
                <w:color w:val="000000"/>
                <w:sz w:val="22"/>
                <w:szCs w:val="22"/>
              </w:rPr>
              <w:t>3,108</w:t>
            </w:r>
          </w:p>
        </w:tc>
        <w:tc>
          <w:tcPr>
            <w:tcW w:w="36" w:type="dxa"/>
            <w:vAlign w:val="center"/>
            <w:hideMark/>
          </w:tcPr>
          <w:p w:rsidRPr="00435781" w:rsidR="00435781" w:rsidP="00435781" w:rsidRDefault="00435781" w14:paraId="08E2F5FA" w14:textId="77777777">
            <w:pPr>
              <w:widowControl/>
              <w:autoSpaceDE/>
              <w:autoSpaceDN/>
              <w:adjustRightInd/>
            </w:pPr>
          </w:p>
        </w:tc>
      </w:tr>
      <w:tr w:rsidRPr="00435781" w:rsidR="00435781" w:rsidTr="00435781" w14:paraId="5224FA4E" w14:textId="77777777">
        <w:trPr>
          <w:trHeight w:val="300"/>
        </w:trPr>
        <w:tc>
          <w:tcPr>
            <w:tcW w:w="2228" w:type="dxa"/>
            <w:tcBorders>
              <w:top w:val="nil"/>
              <w:left w:val="double" w:color="auto" w:sz="6" w:space="0"/>
              <w:bottom w:val="double" w:color="auto" w:sz="6" w:space="0"/>
              <w:right w:val="single" w:color="auto" w:sz="8" w:space="0"/>
            </w:tcBorders>
            <w:shd w:val="clear" w:color="auto" w:fill="auto"/>
            <w:vAlign w:val="center"/>
            <w:hideMark/>
          </w:tcPr>
          <w:p w:rsidRPr="00435781" w:rsidR="00435781" w:rsidP="00435781" w:rsidRDefault="00435781" w14:paraId="43084FA0" w14:textId="77777777">
            <w:pPr>
              <w:widowControl/>
              <w:autoSpaceDE/>
              <w:autoSpaceDN/>
              <w:adjustRightInd/>
              <w:jc w:val="center"/>
              <w:rPr>
                <w:color w:val="000000"/>
                <w:sz w:val="22"/>
                <w:szCs w:val="22"/>
              </w:rPr>
            </w:pPr>
            <w:r w:rsidRPr="00435781">
              <w:rPr>
                <w:color w:val="000000"/>
                <w:sz w:val="22"/>
                <w:szCs w:val="22"/>
              </w:rPr>
              <w:t>TOTAL</w:t>
            </w:r>
          </w:p>
        </w:tc>
        <w:tc>
          <w:tcPr>
            <w:tcW w:w="1656" w:type="dxa"/>
            <w:tcBorders>
              <w:top w:val="nil"/>
              <w:left w:val="nil"/>
              <w:bottom w:val="double" w:color="auto" w:sz="6" w:space="0"/>
              <w:right w:val="single" w:color="auto" w:sz="8" w:space="0"/>
            </w:tcBorders>
            <w:shd w:val="clear" w:color="auto" w:fill="auto"/>
            <w:vAlign w:val="center"/>
            <w:hideMark/>
          </w:tcPr>
          <w:p w:rsidRPr="00435781" w:rsidR="00435781" w:rsidP="00435781" w:rsidRDefault="00435781" w14:paraId="30E38B9C" w14:textId="77777777">
            <w:pPr>
              <w:widowControl/>
              <w:autoSpaceDE/>
              <w:autoSpaceDN/>
              <w:adjustRightInd/>
              <w:jc w:val="center"/>
              <w:rPr>
                <w:color w:val="000000"/>
                <w:sz w:val="22"/>
                <w:szCs w:val="22"/>
              </w:rPr>
            </w:pPr>
            <w:r w:rsidRPr="00435781">
              <w:rPr>
                <w:noProof/>
                <w:color w:val="000000"/>
                <w:sz w:val="22"/>
                <w:szCs w:val="22"/>
              </w:rPr>
              <w:t>411</w:t>
            </w:r>
          </w:p>
        </w:tc>
        <w:tc>
          <w:tcPr>
            <w:tcW w:w="1337" w:type="dxa"/>
            <w:tcBorders>
              <w:top w:val="nil"/>
              <w:left w:val="nil"/>
              <w:bottom w:val="double" w:color="auto" w:sz="6" w:space="0"/>
              <w:right w:val="single" w:color="auto" w:sz="8" w:space="0"/>
            </w:tcBorders>
            <w:shd w:val="clear" w:color="auto" w:fill="auto"/>
            <w:vAlign w:val="center"/>
            <w:hideMark/>
          </w:tcPr>
          <w:p w:rsidRPr="00435781" w:rsidR="00435781" w:rsidP="00435781" w:rsidRDefault="00435781" w14:paraId="246FBB63" w14:textId="77777777">
            <w:pPr>
              <w:widowControl/>
              <w:autoSpaceDE/>
              <w:autoSpaceDN/>
              <w:adjustRightInd/>
              <w:jc w:val="center"/>
              <w:rPr>
                <w:color w:val="000000"/>
                <w:sz w:val="22"/>
                <w:szCs w:val="22"/>
              </w:rPr>
            </w:pPr>
            <w:r w:rsidRPr="00435781">
              <w:rPr>
                <w:color w:val="000000"/>
                <w:sz w:val="22"/>
                <w:szCs w:val="22"/>
              </w:rPr>
              <w:t> </w:t>
            </w:r>
          </w:p>
        </w:tc>
        <w:tc>
          <w:tcPr>
            <w:tcW w:w="957" w:type="dxa"/>
            <w:tcBorders>
              <w:top w:val="nil"/>
              <w:left w:val="nil"/>
              <w:bottom w:val="double" w:color="auto" w:sz="6" w:space="0"/>
              <w:right w:val="single" w:color="auto" w:sz="8" w:space="0"/>
            </w:tcBorders>
            <w:shd w:val="clear" w:color="auto" w:fill="auto"/>
            <w:vAlign w:val="center"/>
            <w:hideMark/>
          </w:tcPr>
          <w:p w:rsidRPr="00435781" w:rsidR="00435781" w:rsidP="00435781" w:rsidRDefault="00435781" w14:paraId="6D748507" w14:textId="77777777">
            <w:pPr>
              <w:widowControl/>
              <w:autoSpaceDE/>
              <w:autoSpaceDN/>
              <w:adjustRightInd/>
              <w:jc w:val="center"/>
              <w:rPr>
                <w:color w:val="000000"/>
                <w:sz w:val="22"/>
                <w:szCs w:val="22"/>
              </w:rPr>
            </w:pPr>
            <w:r w:rsidRPr="00435781">
              <w:rPr>
                <w:color w:val="000000"/>
                <w:sz w:val="22"/>
                <w:szCs w:val="22"/>
              </w:rPr>
              <w:t> </w:t>
            </w:r>
          </w:p>
        </w:tc>
        <w:tc>
          <w:tcPr>
            <w:tcW w:w="957" w:type="dxa"/>
            <w:tcBorders>
              <w:top w:val="nil"/>
              <w:left w:val="nil"/>
              <w:bottom w:val="double" w:color="auto" w:sz="6" w:space="0"/>
              <w:right w:val="single" w:color="auto" w:sz="8" w:space="0"/>
            </w:tcBorders>
            <w:shd w:val="clear" w:color="auto" w:fill="auto"/>
            <w:vAlign w:val="center"/>
            <w:hideMark/>
          </w:tcPr>
          <w:p w:rsidRPr="00435781" w:rsidR="00435781" w:rsidP="00435781" w:rsidRDefault="00435781" w14:paraId="2A2042FF" w14:textId="77777777">
            <w:pPr>
              <w:widowControl/>
              <w:autoSpaceDE/>
              <w:autoSpaceDN/>
              <w:adjustRightInd/>
              <w:jc w:val="center"/>
              <w:rPr>
                <w:color w:val="000000"/>
                <w:sz w:val="22"/>
                <w:szCs w:val="22"/>
              </w:rPr>
            </w:pPr>
            <w:r w:rsidRPr="00435781">
              <w:rPr>
                <w:noProof/>
                <w:color w:val="000000"/>
                <w:sz w:val="22"/>
                <w:szCs w:val="22"/>
              </w:rPr>
              <w:t>52</w:t>
            </w:r>
          </w:p>
        </w:tc>
        <w:tc>
          <w:tcPr>
            <w:tcW w:w="1256" w:type="dxa"/>
            <w:tcBorders>
              <w:top w:val="nil"/>
              <w:left w:val="nil"/>
              <w:bottom w:val="double" w:color="auto" w:sz="6" w:space="0"/>
              <w:right w:val="single" w:color="auto" w:sz="8" w:space="0"/>
            </w:tcBorders>
            <w:shd w:val="clear" w:color="auto" w:fill="auto"/>
            <w:vAlign w:val="center"/>
            <w:hideMark/>
          </w:tcPr>
          <w:p w:rsidRPr="00435781" w:rsidR="00435781" w:rsidP="00435781" w:rsidRDefault="00435781" w14:paraId="32B70861" w14:textId="77777777">
            <w:pPr>
              <w:widowControl/>
              <w:autoSpaceDE/>
              <w:autoSpaceDN/>
              <w:adjustRightInd/>
              <w:jc w:val="center"/>
              <w:rPr>
                <w:color w:val="000000"/>
                <w:sz w:val="22"/>
                <w:szCs w:val="22"/>
              </w:rPr>
            </w:pPr>
            <w:r w:rsidRPr="00435781">
              <w:rPr>
                <w:noProof/>
                <w:color w:val="000000"/>
                <w:sz w:val="22"/>
                <w:szCs w:val="22"/>
              </w:rPr>
              <w:t>463</w:t>
            </w:r>
          </w:p>
        </w:tc>
        <w:tc>
          <w:tcPr>
            <w:tcW w:w="1773" w:type="dxa"/>
            <w:tcBorders>
              <w:top w:val="nil"/>
              <w:left w:val="nil"/>
              <w:bottom w:val="double" w:color="auto" w:sz="6" w:space="0"/>
              <w:right w:val="double" w:color="auto" w:sz="6" w:space="0"/>
            </w:tcBorders>
            <w:shd w:val="clear" w:color="auto" w:fill="auto"/>
            <w:vAlign w:val="center"/>
            <w:hideMark/>
          </w:tcPr>
          <w:p w:rsidRPr="00435781" w:rsidR="00435781" w:rsidP="00435781" w:rsidRDefault="00435781" w14:paraId="32C93F9D" w14:textId="77777777">
            <w:pPr>
              <w:widowControl/>
              <w:autoSpaceDE/>
              <w:autoSpaceDN/>
              <w:adjustRightInd/>
              <w:jc w:val="center"/>
              <w:rPr>
                <w:color w:val="000000"/>
                <w:sz w:val="22"/>
                <w:szCs w:val="22"/>
              </w:rPr>
            </w:pPr>
            <w:r w:rsidRPr="00435781">
              <w:rPr>
                <w:color w:val="000000"/>
                <w:sz w:val="22"/>
                <w:szCs w:val="22"/>
              </w:rPr>
              <w:t>32,706</w:t>
            </w:r>
          </w:p>
        </w:tc>
        <w:tc>
          <w:tcPr>
            <w:tcW w:w="36" w:type="dxa"/>
            <w:vAlign w:val="center"/>
            <w:hideMark/>
          </w:tcPr>
          <w:p w:rsidRPr="00435781" w:rsidR="00435781" w:rsidP="00435781" w:rsidRDefault="00435781" w14:paraId="6D9A43B9" w14:textId="77777777">
            <w:pPr>
              <w:widowControl/>
              <w:autoSpaceDE/>
              <w:autoSpaceDN/>
              <w:adjustRightInd/>
            </w:pPr>
          </w:p>
        </w:tc>
      </w:tr>
    </w:tbl>
    <w:p w:rsidR="00524299" w:rsidP="00D52F1E" w:rsidRDefault="00524299" w14:paraId="428C2B44" w14:textId="1664ABA5">
      <w:pPr>
        <w:widowControl/>
        <w:ind w:left="720"/>
        <w:jc w:val="center"/>
        <w:rPr>
          <w:sz w:val="24"/>
          <w:szCs w:val="24"/>
        </w:rPr>
      </w:pPr>
    </w:p>
    <w:p w:rsidRPr="00D52F1E" w:rsidR="00524299" w:rsidP="00D52F1E" w:rsidRDefault="00524299" w14:paraId="2F19878C" w14:textId="77777777">
      <w:pPr>
        <w:widowControl/>
        <w:ind w:left="720"/>
        <w:jc w:val="center"/>
        <w:rPr>
          <w:sz w:val="24"/>
          <w:szCs w:val="24"/>
        </w:rPr>
      </w:pPr>
    </w:p>
    <w:p w:rsidRPr="00D52F1E" w:rsidR="00D52F1E" w:rsidP="00D52F1E" w:rsidRDefault="00D52F1E" w14:paraId="6ED339A8" w14:textId="77777777">
      <w:pPr>
        <w:widowControl/>
        <w:ind w:left="720"/>
        <w:jc w:val="center"/>
        <w:rPr>
          <w:sz w:val="24"/>
          <w:szCs w:val="24"/>
        </w:rPr>
      </w:pPr>
    </w:p>
    <w:p w:rsidRPr="00D52F1E" w:rsidR="00D52F1E" w:rsidP="00D52F1E" w:rsidRDefault="00D52F1E" w14:paraId="7B920808"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3D60A0" w:rsidP="00880EA1" w:rsidRDefault="003D60A0" w14:paraId="2C4B17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rsidRDefault="00880EA1" w14:paraId="57D798D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15.</w:t>
      </w:r>
      <w:r w:rsidRPr="00104D90">
        <w:rPr>
          <w:b/>
          <w:i/>
          <w:sz w:val="24"/>
          <w:szCs w:val="24"/>
        </w:rPr>
        <w:tab/>
        <w:t>Explain the reasons for any program changes or adjustments in hour or cost burden.</w:t>
      </w:r>
    </w:p>
    <w:p w:rsidR="003D60A0" w:rsidP="00880EA1" w:rsidRDefault="003D60A0" w14:paraId="05105AC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3D60A0" w:rsidR="003D60A0" w:rsidP="003D60A0" w:rsidRDefault="003D60A0" w14:paraId="5F76A3B5" w14:textId="40DC92F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D60A0">
        <w:rPr>
          <w:sz w:val="24"/>
          <w:szCs w:val="24"/>
        </w:rPr>
        <w:t xml:space="preserve">There are currently </w:t>
      </w:r>
      <w:r w:rsidR="00435781">
        <w:rPr>
          <w:sz w:val="24"/>
          <w:szCs w:val="24"/>
        </w:rPr>
        <w:t>6,044</w:t>
      </w:r>
      <w:r w:rsidRPr="003D60A0">
        <w:rPr>
          <w:sz w:val="24"/>
          <w:szCs w:val="24"/>
        </w:rPr>
        <w:t xml:space="preserve"> hours approved for this </w:t>
      </w:r>
      <w:r>
        <w:rPr>
          <w:sz w:val="24"/>
          <w:szCs w:val="24"/>
        </w:rPr>
        <w:t>information collection</w:t>
      </w:r>
      <w:r w:rsidRPr="003D60A0">
        <w:rPr>
          <w:sz w:val="24"/>
          <w:szCs w:val="24"/>
        </w:rPr>
        <w:t xml:space="preserve">.  We anticipate an adjustment that will decrease the burden by </w:t>
      </w:r>
      <w:r w:rsidR="00435781">
        <w:rPr>
          <w:sz w:val="24"/>
          <w:szCs w:val="24"/>
        </w:rPr>
        <w:t>769</w:t>
      </w:r>
      <w:r w:rsidRPr="003D60A0">
        <w:rPr>
          <w:sz w:val="24"/>
          <w:szCs w:val="24"/>
        </w:rPr>
        <w:t xml:space="preserve"> hours </w:t>
      </w:r>
      <w:r>
        <w:rPr>
          <w:sz w:val="24"/>
          <w:szCs w:val="24"/>
        </w:rPr>
        <w:t xml:space="preserve">due, primarily, to a decrease in </w:t>
      </w:r>
      <w:r w:rsidRPr="003D60A0">
        <w:rPr>
          <w:sz w:val="24"/>
          <w:szCs w:val="24"/>
        </w:rPr>
        <w:t xml:space="preserve">the number of </w:t>
      </w:r>
      <w:r w:rsidR="00435781">
        <w:rPr>
          <w:sz w:val="24"/>
          <w:szCs w:val="24"/>
        </w:rPr>
        <w:t>responses from applications</w:t>
      </w:r>
      <w:r w:rsidR="009D09B1">
        <w:rPr>
          <w:sz w:val="24"/>
          <w:szCs w:val="24"/>
        </w:rPr>
        <w:t xml:space="preserve"> </w:t>
      </w:r>
      <w:r w:rsidR="00153ABD">
        <w:rPr>
          <w:sz w:val="24"/>
          <w:szCs w:val="24"/>
        </w:rPr>
        <w:t>(</w:t>
      </w:r>
      <w:r w:rsidR="009D09B1">
        <w:rPr>
          <w:sz w:val="24"/>
          <w:szCs w:val="24"/>
        </w:rPr>
        <w:t>from 51 t</w:t>
      </w:r>
      <w:r w:rsidR="00153ABD">
        <w:rPr>
          <w:sz w:val="24"/>
          <w:szCs w:val="24"/>
        </w:rPr>
        <w:t>o 44 per year)</w:t>
      </w:r>
      <w:r w:rsidRPr="003D60A0">
        <w:rPr>
          <w:sz w:val="24"/>
          <w:szCs w:val="24"/>
        </w:rPr>
        <w:t>.  The burden will change as follows:</w:t>
      </w:r>
    </w:p>
    <w:p w:rsidRPr="003D60A0" w:rsidR="003D60A0" w:rsidP="003D60A0" w:rsidRDefault="003D60A0" w14:paraId="14156F9A" w14:textId="5BF6AA0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D60A0">
        <w:rPr>
          <w:sz w:val="24"/>
          <w:szCs w:val="24"/>
        </w:rPr>
        <w:tab/>
      </w:r>
      <w:r w:rsidR="00435781">
        <w:rPr>
          <w:sz w:val="24"/>
          <w:szCs w:val="24"/>
        </w:rPr>
        <w:t>6,044</w:t>
      </w:r>
      <w:r w:rsidRPr="003D60A0">
        <w:rPr>
          <w:sz w:val="24"/>
          <w:szCs w:val="24"/>
        </w:rPr>
        <w:t xml:space="preserve"> hours currently approved</w:t>
      </w:r>
    </w:p>
    <w:p w:rsidRPr="003D60A0" w:rsidR="003D60A0" w:rsidP="003D60A0" w:rsidRDefault="003D60A0" w14:paraId="156729C9" w14:textId="4B909D4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D60A0">
        <w:rPr>
          <w:sz w:val="24"/>
          <w:szCs w:val="24"/>
          <w:u w:val="single"/>
        </w:rPr>
        <w:t>-</w:t>
      </w:r>
      <w:proofErr w:type="gramStart"/>
      <w:r w:rsidRPr="003D60A0">
        <w:rPr>
          <w:sz w:val="24"/>
          <w:szCs w:val="24"/>
          <w:u w:val="single"/>
        </w:rPr>
        <w:tab/>
      </w:r>
      <w:r w:rsidR="00435781">
        <w:rPr>
          <w:sz w:val="24"/>
          <w:szCs w:val="24"/>
          <w:u w:val="single"/>
        </w:rPr>
        <w:t xml:space="preserve">  769</w:t>
      </w:r>
      <w:proofErr w:type="gramEnd"/>
      <w:r w:rsidRPr="003D60A0">
        <w:rPr>
          <w:sz w:val="24"/>
          <w:szCs w:val="24"/>
        </w:rPr>
        <w:t xml:space="preserve"> hours due to an adjustment</w:t>
      </w:r>
    </w:p>
    <w:p w:rsidRPr="003D60A0" w:rsidR="003D60A0" w:rsidP="003D60A0" w:rsidRDefault="003D60A0" w14:paraId="31BAB865" w14:textId="367F453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D60A0">
        <w:rPr>
          <w:sz w:val="24"/>
          <w:szCs w:val="24"/>
        </w:rPr>
        <w:tab/>
      </w:r>
      <w:r>
        <w:rPr>
          <w:sz w:val="24"/>
          <w:szCs w:val="24"/>
        </w:rPr>
        <w:t xml:space="preserve">  </w:t>
      </w:r>
      <w:r w:rsidR="00435781">
        <w:rPr>
          <w:sz w:val="24"/>
          <w:szCs w:val="24"/>
        </w:rPr>
        <w:t>5,275</w:t>
      </w:r>
      <w:r w:rsidRPr="003D60A0">
        <w:rPr>
          <w:sz w:val="24"/>
          <w:szCs w:val="24"/>
        </w:rPr>
        <w:t xml:space="preserve"> hours requested</w:t>
      </w:r>
    </w:p>
    <w:p w:rsidR="003D60A0" w:rsidP="003D60A0" w:rsidRDefault="003D60A0" w14:paraId="6340D34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80EA1" w:rsidP="003D60A0" w:rsidRDefault="00880EA1" w14:paraId="48F559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16.</w:t>
      </w:r>
      <w:r w:rsidRPr="00104D90">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60A0" w:rsidP="003D60A0" w:rsidRDefault="003D60A0" w14:paraId="076ECB8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3D60A0" w:rsidR="003D60A0" w:rsidP="003D60A0" w:rsidRDefault="003D60A0" w14:paraId="40824EC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D60A0">
        <w:rPr>
          <w:sz w:val="24"/>
          <w:szCs w:val="24"/>
        </w:rPr>
        <w:lastRenderedPageBreak/>
        <w:t>OSMRE has no plans to publish the information collected.</w:t>
      </w:r>
    </w:p>
    <w:p w:rsidRPr="00104D90" w:rsidR="00880EA1" w:rsidP="00880EA1" w:rsidRDefault="00880EA1" w14:paraId="62163C7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rsidRDefault="00880EA1" w14:paraId="0A1A25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17.</w:t>
      </w:r>
      <w:r w:rsidRPr="00104D90">
        <w:rPr>
          <w:b/>
          <w:i/>
          <w:sz w:val="24"/>
          <w:szCs w:val="24"/>
        </w:rPr>
        <w:tab/>
        <w:t>If seeking approval to not display the expiration date for OMB approval of the information collection, explain the reasons that display would be inappropriate.</w:t>
      </w:r>
    </w:p>
    <w:p w:rsidR="003D60A0" w:rsidP="00880EA1" w:rsidRDefault="003D60A0" w14:paraId="281D86E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3D60A0" w:rsidR="003D60A0" w:rsidP="003D60A0" w:rsidRDefault="003D60A0" w14:paraId="0FCD18D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D60A0">
        <w:rPr>
          <w:sz w:val="24"/>
          <w:szCs w:val="24"/>
        </w:rPr>
        <w:t>OSMRE is not seeking a waiver from the requirement to display the expiration date of the OMB approval of the information collection.</w:t>
      </w:r>
    </w:p>
    <w:p w:rsidRPr="00104D90" w:rsidR="00880EA1" w:rsidP="00880EA1" w:rsidRDefault="00880EA1" w14:paraId="4A3FEB6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Pr="00104D90" w:rsidR="00880EA1" w:rsidP="00880EA1" w:rsidRDefault="00880EA1" w14:paraId="113647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18.</w:t>
      </w:r>
      <w:r w:rsidRPr="00104D90">
        <w:rPr>
          <w:b/>
          <w:i/>
          <w:sz w:val="24"/>
          <w:szCs w:val="24"/>
        </w:rPr>
        <w:tab/>
        <w:t>Explain each exception to the topics of the certification statement identified in "Certification for Paperwork Reduction Act Submissions."</w:t>
      </w:r>
    </w:p>
    <w:p w:rsidRPr="00104D90" w:rsidR="00880EA1" w:rsidP="00880EA1" w:rsidRDefault="00880EA1" w14:paraId="6A4EA58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3D60A0" w:rsidP="003D60A0" w:rsidRDefault="003D60A0" w14:paraId="66307C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D60A0">
        <w:rPr>
          <w:sz w:val="24"/>
          <w:szCs w:val="24"/>
        </w:rPr>
        <w:t>There are no exceptions to the certification statement identified in “Certification for Paperwork Reduction Act Submissions.”</w:t>
      </w:r>
    </w:p>
    <w:p w:rsidR="00C80DA2" w:rsidP="003D60A0" w:rsidRDefault="00C80DA2" w14:paraId="6D296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3D60A0" w:rsidR="00C80DA2" w:rsidP="003D60A0" w:rsidRDefault="00C80DA2" w14:paraId="69623D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Pr="003D60A0" w:rsidR="00C80DA2" w:rsidSect="00A12B9F">
      <w:footerReference w:type="default" r:id="rId16"/>
      <w:footerReference w:type="first" r:id="rId17"/>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9C330" w14:textId="77777777" w:rsidR="00307061" w:rsidRDefault="00307061">
      <w:r>
        <w:separator/>
      </w:r>
    </w:p>
  </w:endnote>
  <w:endnote w:type="continuationSeparator" w:id="0">
    <w:p w14:paraId="09E7DD3C" w14:textId="77777777" w:rsidR="00307061" w:rsidRDefault="0030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4B95" w14:textId="77777777" w:rsidR="00307061" w:rsidRDefault="00307061" w:rsidP="003070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DF3AB1" w14:textId="77777777" w:rsidR="00307061" w:rsidRDefault="00307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CB26B" w14:textId="77777777" w:rsidR="00307061" w:rsidRPr="0000415A" w:rsidRDefault="00307061">
    <w:pPr>
      <w:pStyle w:val="Footer"/>
      <w:jc w:val="center"/>
      <w:rPr>
        <w:rFonts w:ascii="Arial" w:hAnsi="Arial" w:cs="Arial"/>
      </w:rPr>
    </w:pPr>
    <w:r w:rsidRPr="0000415A">
      <w:rPr>
        <w:rFonts w:ascii="Arial" w:hAnsi="Arial" w:cs="Arial"/>
      </w:rPr>
      <w:fldChar w:fldCharType="begin"/>
    </w:r>
    <w:r w:rsidRPr="0000415A">
      <w:rPr>
        <w:rFonts w:ascii="Arial" w:hAnsi="Arial" w:cs="Arial"/>
      </w:rPr>
      <w:instrText xml:space="preserve"> PAGE   \* MERGEFORMAT </w:instrText>
    </w:r>
    <w:r w:rsidRPr="0000415A">
      <w:rPr>
        <w:rFonts w:ascii="Arial" w:hAnsi="Arial" w:cs="Arial"/>
      </w:rPr>
      <w:fldChar w:fldCharType="separate"/>
    </w:r>
    <w:r>
      <w:rPr>
        <w:rFonts w:ascii="Arial" w:hAnsi="Arial" w:cs="Arial"/>
        <w:noProof/>
      </w:rPr>
      <w:t>10</w:t>
    </w:r>
    <w:r w:rsidRPr="0000415A">
      <w:rPr>
        <w:rFonts w:ascii="Arial" w:hAnsi="Arial" w:cs="Arial"/>
      </w:rPr>
      <w:fldChar w:fldCharType="end"/>
    </w:r>
  </w:p>
  <w:p w14:paraId="67C5B099" w14:textId="77777777" w:rsidR="00307061" w:rsidRDefault="003070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795149"/>
      <w:docPartObj>
        <w:docPartGallery w:val="Page Numbers (Bottom of Page)"/>
        <w:docPartUnique/>
      </w:docPartObj>
    </w:sdtPr>
    <w:sdtEndPr>
      <w:rPr>
        <w:noProof/>
      </w:rPr>
    </w:sdtEndPr>
    <w:sdtContent>
      <w:p w14:paraId="085C8767" w14:textId="77777777" w:rsidR="00307061" w:rsidRDefault="003070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0C33C47" w14:textId="77777777" w:rsidR="00307061" w:rsidRDefault="003070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011AE" w14:textId="77777777" w:rsidR="00307061" w:rsidRDefault="00307061" w:rsidP="00DD1CC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ED33001" w14:textId="77777777" w:rsidR="00307061" w:rsidRDefault="003070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075820"/>
      <w:docPartObj>
        <w:docPartGallery w:val="Page Numbers (Bottom of Page)"/>
        <w:docPartUnique/>
      </w:docPartObj>
    </w:sdtPr>
    <w:sdtEndPr>
      <w:rPr>
        <w:noProof/>
      </w:rPr>
    </w:sdtEndPr>
    <w:sdtContent>
      <w:p w14:paraId="6B19CC0B" w14:textId="77777777" w:rsidR="00307061" w:rsidRDefault="003070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7B5B143" w14:textId="77777777" w:rsidR="00307061" w:rsidRDefault="0030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2F59E" w14:textId="77777777" w:rsidR="00307061" w:rsidRDefault="00307061">
      <w:r>
        <w:separator/>
      </w:r>
    </w:p>
  </w:footnote>
  <w:footnote w:type="continuationSeparator" w:id="0">
    <w:p w14:paraId="2D23FC86" w14:textId="77777777" w:rsidR="00307061" w:rsidRDefault="0030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5"/>
      <w:numFmt w:val="decimal"/>
      <w:pStyle w:val="Quick1"/>
      <w:lvlText w:val="%1."/>
      <w:lvlJc w:val="left"/>
      <w:rPr>
        <w:sz w:val="22"/>
      </w:rPr>
    </w:lvl>
  </w:abstractNum>
  <w:abstractNum w:abstractNumId="1" w15:restartNumberingAfterBreak="0">
    <w:nsid w:val="058435E9"/>
    <w:multiLevelType w:val="hybridMultilevel"/>
    <w:tmpl w:val="AF68DF94"/>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2D32BC4"/>
    <w:multiLevelType w:val="hybridMultilevel"/>
    <w:tmpl w:val="85FA26EC"/>
    <w:lvl w:ilvl="0" w:tplc="E8F24D80">
      <w:start w:val="859"/>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54B3382"/>
    <w:multiLevelType w:val="hybridMultilevel"/>
    <w:tmpl w:val="70340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B21B2C"/>
    <w:multiLevelType w:val="hybridMultilevel"/>
    <w:tmpl w:val="132A8AC6"/>
    <w:lvl w:ilvl="0" w:tplc="6F42A4CE">
      <w:start w:val="859"/>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num w:numId="1">
    <w:abstractNumId w:val="1"/>
  </w:num>
  <w:num w:numId="2">
    <w:abstractNumId w:val="4"/>
  </w:num>
  <w:num w:numId="3">
    <w:abstractNumId w:val="2"/>
  </w:num>
  <w:num w:numId="4">
    <w:abstractNumId w:val="0"/>
    <w:lvlOverride w:ilvl="0">
      <w:startOverride w:val="15"/>
      <w:lvl w:ilvl="0">
        <w:start w:val="15"/>
        <w:numFmt w:val="decimal"/>
        <w:pStyle w:val="Quick1"/>
        <w:lvlText w:val="%1."/>
        <w:lvlJc w:val="left"/>
      </w:lvl>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D7A"/>
    <w:rsid w:val="00002973"/>
    <w:rsid w:val="0000479B"/>
    <w:rsid w:val="00011F69"/>
    <w:rsid w:val="00012B7B"/>
    <w:rsid w:val="00013601"/>
    <w:rsid w:val="000136AE"/>
    <w:rsid w:val="0001451B"/>
    <w:rsid w:val="00024537"/>
    <w:rsid w:val="000337E8"/>
    <w:rsid w:val="00037272"/>
    <w:rsid w:val="00041A5D"/>
    <w:rsid w:val="00051289"/>
    <w:rsid w:val="00056C12"/>
    <w:rsid w:val="00062F02"/>
    <w:rsid w:val="0007167F"/>
    <w:rsid w:val="00073084"/>
    <w:rsid w:val="000753ED"/>
    <w:rsid w:val="00081A34"/>
    <w:rsid w:val="00083B74"/>
    <w:rsid w:val="000840C8"/>
    <w:rsid w:val="00090C4D"/>
    <w:rsid w:val="00092745"/>
    <w:rsid w:val="000A19A7"/>
    <w:rsid w:val="000A6064"/>
    <w:rsid w:val="000A7026"/>
    <w:rsid w:val="000B31EE"/>
    <w:rsid w:val="000B5765"/>
    <w:rsid w:val="000C00B0"/>
    <w:rsid w:val="000C64D6"/>
    <w:rsid w:val="000D24C9"/>
    <w:rsid w:val="000E1ECA"/>
    <w:rsid w:val="000E2E10"/>
    <w:rsid w:val="000E3706"/>
    <w:rsid w:val="000E4C81"/>
    <w:rsid w:val="000F571E"/>
    <w:rsid w:val="000F6ACA"/>
    <w:rsid w:val="0010680E"/>
    <w:rsid w:val="0011244D"/>
    <w:rsid w:val="00112AF1"/>
    <w:rsid w:val="00112AF6"/>
    <w:rsid w:val="001171E3"/>
    <w:rsid w:val="0011720D"/>
    <w:rsid w:val="00123FF8"/>
    <w:rsid w:val="00125525"/>
    <w:rsid w:val="001268DE"/>
    <w:rsid w:val="00130B71"/>
    <w:rsid w:val="001328E8"/>
    <w:rsid w:val="00135D34"/>
    <w:rsid w:val="00135EDE"/>
    <w:rsid w:val="00137881"/>
    <w:rsid w:val="001433F4"/>
    <w:rsid w:val="001448D6"/>
    <w:rsid w:val="00153024"/>
    <w:rsid w:val="00153420"/>
    <w:rsid w:val="00153ABD"/>
    <w:rsid w:val="00156B16"/>
    <w:rsid w:val="00163016"/>
    <w:rsid w:val="001724B4"/>
    <w:rsid w:val="00174C82"/>
    <w:rsid w:val="0018662F"/>
    <w:rsid w:val="00193FD1"/>
    <w:rsid w:val="00195B39"/>
    <w:rsid w:val="001B0562"/>
    <w:rsid w:val="001B2A4D"/>
    <w:rsid w:val="001C1FB9"/>
    <w:rsid w:val="001C3997"/>
    <w:rsid w:val="001C502D"/>
    <w:rsid w:val="001C5A11"/>
    <w:rsid w:val="001D01CF"/>
    <w:rsid w:val="001D7D0A"/>
    <w:rsid w:val="001F2CDF"/>
    <w:rsid w:val="002015C8"/>
    <w:rsid w:val="00201C52"/>
    <w:rsid w:val="002048B1"/>
    <w:rsid w:val="00204BB7"/>
    <w:rsid w:val="00212F0C"/>
    <w:rsid w:val="00216A8E"/>
    <w:rsid w:val="00216E60"/>
    <w:rsid w:val="00221C7E"/>
    <w:rsid w:val="00222B95"/>
    <w:rsid w:val="00223C98"/>
    <w:rsid w:val="0023255F"/>
    <w:rsid w:val="00233174"/>
    <w:rsid w:val="00233713"/>
    <w:rsid w:val="002345E3"/>
    <w:rsid w:val="00236B0B"/>
    <w:rsid w:val="002460F6"/>
    <w:rsid w:val="00247A31"/>
    <w:rsid w:val="0025500C"/>
    <w:rsid w:val="00255E6B"/>
    <w:rsid w:val="00256610"/>
    <w:rsid w:val="00256856"/>
    <w:rsid w:val="00257F56"/>
    <w:rsid w:val="0026182C"/>
    <w:rsid w:val="0027437E"/>
    <w:rsid w:val="00274AEE"/>
    <w:rsid w:val="0027517B"/>
    <w:rsid w:val="00275FBB"/>
    <w:rsid w:val="00277C39"/>
    <w:rsid w:val="00281CAD"/>
    <w:rsid w:val="002957B4"/>
    <w:rsid w:val="002B4775"/>
    <w:rsid w:val="002B78BF"/>
    <w:rsid w:val="002B7D62"/>
    <w:rsid w:val="002C43AD"/>
    <w:rsid w:val="002C549A"/>
    <w:rsid w:val="002C79A5"/>
    <w:rsid w:val="002D4A05"/>
    <w:rsid w:val="002D772F"/>
    <w:rsid w:val="002D7F51"/>
    <w:rsid w:val="002E0E95"/>
    <w:rsid w:val="002E348B"/>
    <w:rsid w:val="002E5972"/>
    <w:rsid w:val="002F0B56"/>
    <w:rsid w:val="002F1C2D"/>
    <w:rsid w:val="002F4BC3"/>
    <w:rsid w:val="002F77DE"/>
    <w:rsid w:val="0030057C"/>
    <w:rsid w:val="00300B82"/>
    <w:rsid w:val="00302D59"/>
    <w:rsid w:val="00307061"/>
    <w:rsid w:val="003110CA"/>
    <w:rsid w:val="0031312C"/>
    <w:rsid w:val="00313407"/>
    <w:rsid w:val="00313C86"/>
    <w:rsid w:val="0031483C"/>
    <w:rsid w:val="0031512B"/>
    <w:rsid w:val="00315ABB"/>
    <w:rsid w:val="0031704D"/>
    <w:rsid w:val="0032251B"/>
    <w:rsid w:val="00332C3A"/>
    <w:rsid w:val="003353C1"/>
    <w:rsid w:val="003440C5"/>
    <w:rsid w:val="00347986"/>
    <w:rsid w:val="00351E52"/>
    <w:rsid w:val="0035285A"/>
    <w:rsid w:val="00357C21"/>
    <w:rsid w:val="00361948"/>
    <w:rsid w:val="00361E24"/>
    <w:rsid w:val="00362031"/>
    <w:rsid w:val="003674D4"/>
    <w:rsid w:val="003738BB"/>
    <w:rsid w:val="00380347"/>
    <w:rsid w:val="00385221"/>
    <w:rsid w:val="00391109"/>
    <w:rsid w:val="003927F9"/>
    <w:rsid w:val="00395305"/>
    <w:rsid w:val="003975D1"/>
    <w:rsid w:val="003A000B"/>
    <w:rsid w:val="003A5731"/>
    <w:rsid w:val="003B3E1F"/>
    <w:rsid w:val="003C06C7"/>
    <w:rsid w:val="003C20DC"/>
    <w:rsid w:val="003C4C04"/>
    <w:rsid w:val="003D0617"/>
    <w:rsid w:val="003D3569"/>
    <w:rsid w:val="003D60A0"/>
    <w:rsid w:val="003F6F71"/>
    <w:rsid w:val="004064B4"/>
    <w:rsid w:val="0040659B"/>
    <w:rsid w:val="00415261"/>
    <w:rsid w:val="00415D7A"/>
    <w:rsid w:val="004176E6"/>
    <w:rsid w:val="00421135"/>
    <w:rsid w:val="004211EF"/>
    <w:rsid w:val="0042168D"/>
    <w:rsid w:val="00423177"/>
    <w:rsid w:val="004306C2"/>
    <w:rsid w:val="004315BD"/>
    <w:rsid w:val="00435781"/>
    <w:rsid w:val="00435939"/>
    <w:rsid w:val="00437FFB"/>
    <w:rsid w:val="00443C95"/>
    <w:rsid w:val="0044522F"/>
    <w:rsid w:val="00445F59"/>
    <w:rsid w:val="00446647"/>
    <w:rsid w:val="00447DE2"/>
    <w:rsid w:val="00451A8E"/>
    <w:rsid w:val="00455235"/>
    <w:rsid w:val="00455B92"/>
    <w:rsid w:val="004606C2"/>
    <w:rsid w:val="00466957"/>
    <w:rsid w:val="00472671"/>
    <w:rsid w:val="00474235"/>
    <w:rsid w:val="004765A6"/>
    <w:rsid w:val="004770D7"/>
    <w:rsid w:val="004904FC"/>
    <w:rsid w:val="00496B90"/>
    <w:rsid w:val="004A0E12"/>
    <w:rsid w:val="004A5675"/>
    <w:rsid w:val="004A6DF2"/>
    <w:rsid w:val="004B2B3E"/>
    <w:rsid w:val="004B3905"/>
    <w:rsid w:val="004B5F7C"/>
    <w:rsid w:val="004C22A6"/>
    <w:rsid w:val="004C4943"/>
    <w:rsid w:val="004D4F60"/>
    <w:rsid w:val="004E17D4"/>
    <w:rsid w:val="004F2DF7"/>
    <w:rsid w:val="004F5CEA"/>
    <w:rsid w:val="004F6333"/>
    <w:rsid w:val="005010C6"/>
    <w:rsid w:val="0050120A"/>
    <w:rsid w:val="00504C6F"/>
    <w:rsid w:val="00506D22"/>
    <w:rsid w:val="00517D8E"/>
    <w:rsid w:val="00520A38"/>
    <w:rsid w:val="00521AED"/>
    <w:rsid w:val="00522419"/>
    <w:rsid w:val="00523BE6"/>
    <w:rsid w:val="00524299"/>
    <w:rsid w:val="0052526F"/>
    <w:rsid w:val="00531CF6"/>
    <w:rsid w:val="00545B28"/>
    <w:rsid w:val="0055152F"/>
    <w:rsid w:val="005543D2"/>
    <w:rsid w:val="005546B6"/>
    <w:rsid w:val="005602CF"/>
    <w:rsid w:val="00563F25"/>
    <w:rsid w:val="00566C7F"/>
    <w:rsid w:val="00567BC6"/>
    <w:rsid w:val="005775D2"/>
    <w:rsid w:val="00582709"/>
    <w:rsid w:val="00582EE0"/>
    <w:rsid w:val="005840FB"/>
    <w:rsid w:val="005925F1"/>
    <w:rsid w:val="00593BBF"/>
    <w:rsid w:val="00595D8B"/>
    <w:rsid w:val="005A36A2"/>
    <w:rsid w:val="005A4BBB"/>
    <w:rsid w:val="005A4E5B"/>
    <w:rsid w:val="005A523F"/>
    <w:rsid w:val="005A58C8"/>
    <w:rsid w:val="005A6BB4"/>
    <w:rsid w:val="005B17D8"/>
    <w:rsid w:val="005B306B"/>
    <w:rsid w:val="005C1F0E"/>
    <w:rsid w:val="005C3450"/>
    <w:rsid w:val="005C53C1"/>
    <w:rsid w:val="005C6384"/>
    <w:rsid w:val="005C6444"/>
    <w:rsid w:val="005D6B55"/>
    <w:rsid w:val="005E3D14"/>
    <w:rsid w:val="005F23D9"/>
    <w:rsid w:val="005F7D95"/>
    <w:rsid w:val="00607D77"/>
    <w:rsid w:val="00610626"/>
    <w:rsid w:val="00630A78"/>
    <w:rsid w:val="00633C6A"/>
    <w:rsid w:val="0063423D"/>
    <w:rsid w:val="006411A8"/>
    <w:rsid w:val="0064202F"/>
    <w:rsid w:val="0064374C"/>
    <w:rsid w:val="00643BA5"/>
    <w:rsid w:val="00647718"/>
    <w:rsid w:val="006517B8"/>
    <w:rsid w:val="00653154"/>
    <w:rsid w:val="006539BD"/>
    <w:rsid w:val="00662193"/>
    <w:rsid w:val="00663241"/>
    <w:rsid w:val="00681352"/>
    <w:rsid w:val="00691A42"/>
    <w:rsid w:val="00691B4E"/>
    <w:rsid w:val="006937BC"/>
    <w:rsid w:val="00694594"/>
    <w:rsid w:val="00695567"/>
    <w:rsid w:val="006A1478"/>
    <w:rsid w:val="006A4743"/>
    <w:rsid w:val="006A5AFE"/>
    <w:rsid w:val="006A6135"/>
    <w:rsid w:val="006B5C85"/>
    <w:rsid w:val="006B79D4"/>
    <w:rsid w:val="006D11E0"/>
    <w:rsid w:val="006E3802"/>
    <w:rsid w:val="006E39A1"/>
    <w:rsid w:val="006F2AD7"/>
    <w:rsid w:val="006F79E2"/>
    <w:rsid w:val="00703BE3"/>
    <w:rsid w:val="00711C73"/>
    <w:rsid w:val="00712242"/>
    <w:rsid w:val="00717465"/>
    <w:rsid w:val="00722CFD"/>
    <w:rsid w:val="00724F5C"/>
    <w:rsid w:val="00730271"/>
    <w:rsid w:val="00730ECE"/>
    <w:rsid w:val="00742769"/>
    <w:rsid w:val="00742BA1"/>
    <w:rsid w:val="00744CDE"/>
    <w:rsid w:val="0075760B"/>
    <w:rsid w:val="00757A35"/>
    <w:rsid w:val="007601B3"/>
    <w:rsid w:val="00761F24"/>
    <w:rsid w:val="00766D68"/>
    <w:rsid w:val="007728B9"/>
    <w:rsid w:val="0077302F"/>
    <w:rsid w:val="00773160"/>
    <w:rsid w:val="00773791"/>
    <w:rsid w:val="00784D72"/>
    <w:rsid w:val="00787CA2"/>
    <w:rsid w:val="0079172E"/>
    <w:rsid w:val="00791F86"/>
    <w:rsid w:val="00794BAF"/>
    <w:rsid w:val="007A0B2C"/>
    <w:rsid w:val="007B78F2"/>
    <w:rsid w:val="007C12D3"/>
    <w:rsid w:val="007C4319"/>
    <w:rsid w:val="007C4B3E"/>
    <w:rsid w:val="007C682B"/>
    <w:rsid w:val="007E1386"/>
    <w:rsid w:val="007E1DDF"/>
    <w:rsid w:val="007F0198"/>
    <w:rsid w:val="007F10F4"/>
    <w:rsid w:val="007F42CD"/>
    <w:rsid w:val="008015A6"/>
    <w:rsid w:val="00806D9F"/>
    <w:rsid w:val="00807EDE"/>
    <w:rsid w:val="00814746"/>
    <w:rsid w:val="00821307"/>
    <w:rsid w:val="00824E22"/>
    <w:rsid w:val="0084250F"/>
    <w:rsid w:val="00842C7A"/>
    <w:rsid w:val="008476D2"/>
    <w:rsid w:val="00850E22"/>
    <w:rsid w:val="00851BFB"/>
    <w:rsid w:val="008524B2"/>
    <w:rsid w:val="0085295D"/>
    <w:rsid w:val="00853D57"/>
    <w:rsid w:val="008602BD"/>
    <w:rsid w:val="008607DF"/>
    <w:rsid w:val="00864E10"/>
    <w:rsid w:val="00867FF2"/>
    <w:rsid w:val="00870060"/>
    <w:rsid w:val="0087379E"/>
    <w:rsid w:val="00874CDF"/>
    <w:rsid w:val="0087519C"/>
    <w:rsid w:val="00876594"/>
    <w:rsid w:val="008777DB"/>
    <w:rsid w:val="00880EA1"/>
    <w:rsid w:val="008821C1"/>
    <w:rsid w:val="00884349"/>
    <w:rsid w:val="00884616"/>
    <w:rsid w:val="00892BC5"/>
    <w:rsid w:val="00895F6B"/>
    <w:rsid w:val="008965FC"/>
    <w:rsid w:val="00897D4D"/>
    <w:rsid w:val="008A7CE2"/>
    <w:rsid w:val="008B0CC3"/>
    <w:rsid w:val="008B5D58"/>
    <w:rsid w:val="008B5DD3"/>
    <w:rsid w:val="008C03B4"/>
    <w:rsid w:val="008C7638"/>
    <w:rsid w:val="008D15EA"/>
    <w:rsid w:val="008D4847"/>
    <w:rsid w:val="008D4BDF"/>
    <w:rsid w:val="008E1818"/>
    <w:rsid w:val="008E3830"/>
    <w:rsid w:val="008E6E2D"/>
    <w:rsid w:val="0090034E"/>
    <w:rsid w:val="009023B3"/>
    <w:rsid w:val="00910015"/>
    <w:rsid w:val="0091379B"/>
    <w:rsid w:val="0091403D"/>
    <w:rsid w:val="00915500"/>
    <w:rsid w:val="00916BC0"/>
    <w:rsid w:val="009176F7"/>
    <w:rsid w:val="00923EF7"/>
    <w:rsid w:val="00926350"/>
    <w:rsid w:val="009337B4"/>
    <w:rsid w:val="00933EE4"/>
    <w:rsid w:val="00935A20"/>
    <w:rsid w:val="00944FB2"/>
    <w:rsid w:val="00946BEF"/>
    <w:rsid w:val="0095260E"/>
    <w:rsid w:val="009548AD"/>
    <w:rsid w:val="009602C2"/>
    <w:rsid w:val="0096144B"/>
    <w:rsid w:val="00961847"/>
    <w:rsid w:val="0096368B"/>
    <w:rsid w:val="00964764"/>
    <w:rsid w:val="00967481"/>
    <w:rsid w:val="00967581"/>
    <w:rsid w:val="009677EA"/>
    <w:rsid w:val="00970FB2"/>
    <w:rsid w:val="0097122D"/>
    <w:rsid w:val="0097419B"/>
    <w:rsid w:val="00976960"/>
    <w:rsid w:val="0097780C"/>
    <w:rsid w:val="00977915"/>
    <w:rsid w:val="00986EAC"/>
    <w:rsid w:val="0098764B"/>
    <w:rsid w:val="009A0AEF"/>
    <w:rsid w:val="009A1FD8"/>
    <w:rsid w:val="009A33B5"/>
    <w:rsid w:val="009A7169"/>
    <w:rsid w:val="009C2AA0"/>
    <w:rsid w:val="009C33ED"/>
    <w:rsid w:val="009D02FF"/>
    <w:rsid w:val="009D09B1"/>
    <w:rsid w:val="009E1A94"/>
    <w:rsid w:val="009E32F2"/>
    <w:rsid w:val="009E3A9F"/>
    <w:rsid w:val="009F128A"/>
    <w:rsid w:val="00A011F1"/>
    <w:rsid w:val="00A06D2C"/>
    <w:rsid w:val="00A07D32"/>
    <w:rsid w:val="00A10B0D"/>
    <w:rsid w:val="00A12B9F"/>
    <w:rsid w:val="00A177DB"/>
    <w:rsid w:val="00A2655D"/>
    <w:rsid w:val="00A301CC"/>
    <w:rsid w:val="00A3225E"/>
    <w:rsid w:val="00A325A7"/>
    <w:rsid w:val="00A3629B"/>
    <w:rsid w:val="00A429B4"/>
    <w:rsid w:val="00A50673"/>
    <w:rsid w:val="00A50E3A"/>
    <w:rsid w:val="00A53AAF"/>
    <w:rsid w:val="00A55D8D"/>
    <w:rsid w:val="00A60EDA"/>
    <w:rsid w:val="00A63BBC"/>
    <w:rsid w:val="00A7043A"/>
    <w:rsid w:val="00A70D3A"/>
    <w:rsid w:val="00A70E6C"/>
    <w:rsid w:val="00A71632"/>
    <w:rsid w:val="00A83682"/>
    <w:rsid w:val="00A910DB"/>
    <w:rsid w:val="00A92D8A"/>
    <w:rsid w:val="00A95767"/>
    <w:rsid w:val="00A958AC"/>
    <w:rsid w:val="00AA37C9"/>
    <w:rsid w:val="00AA7FBF"/>
    <w:rsid w:val="00AB0959"/>
    <w:rsid w:val="00AB4E01"/>
    <w:rsid w:val="00AC1A35"/>
    <w:rsid w:val="00AC224E"/>
    <w:rsid w:val="00AE13F9"/>
    <w:rsid w:val="00AE61FA"/>
    <w:rsid w:val="00AF0B29"/>
    <w:rsid w:val="00AF2679"/>
    <w:rsid w:val="00AF3F1E"/>
    <w:rsid w:val="00B07008"/>
    <w:rsid w:val="00B13F61"/>
    <w:rsid w:val="00B15D09"/>
    <w:rsid w:val="00B20513"/>
    <w:rsid w:val="00B2183E"/>
    <w:rsid w:val="00B21A1A"/>
    <w:rsid w:val="00B25945"/>
    <w:rsid w:val="00B272B4"/>
    <w:rsid w:val="00B305E1"/>
    <w:rsid w:val="00B31DD5"/>
    <w:rsid w:val="00B369BF"/>
    <w:rsid w:val="00B4020C"/>
    <w:rsid w:val="00B42149"/>
    <w:rsid w:val="00B42A32"/>
    <w:rsid w:val="00B43950"/>
    <w:rsid w:val="00B511DA"/>
    <w:rsid w:val="00B61DEC"/>
    <w:rsid w:val="00B66780"/>
    <w:rsid w:val="00B67115"/>
    <w:rsid w:val="00B725E5"/>
    <w:rsid w:val="00B75CEA"/>
    <w:rsid w:val="00B76F8A"/>
    <w:rsid w:val="00B8209B"/>
    <w:rsid w:val="00B82DB2"/>
    <w:rsid w:val="00B87FDE"/>
    <w:rsid w:val="00B910A0"/>
    <w:rsid w:val="00B9626B"/>
    <w:rsid w:val="00BA0A78"/>
    <w:rsid w:val="00BA1A86"/>
    <w:rsid w:val="00BA1F45"/>
    <w:rsid w:val="00BA2565"/>
    <w:rsid w:val="00BA391C"/>
    <w:rsid w:val="00BA4642"/>
    <w:rsid w:val="00BA5856"/>
    <w:rsid w:val="00BB1679"/>
    <w:rsid w:val="00BB1C74"/>
    <w:rsid w:val="00BC198F"/>
    <w:rsid w:val="00BC2BF3"/>
    <w:rsid w:val="00BC5D6E"/>
    <w:rsid w:val="00BC6ED3"/>
    <w:rsid w:val="00BD5A73"/>
    <w:rsid w:val="00BE12C8"/>
    <w:rsid w:val="00BE3156"/>
    <w:rsid w:val="00BE7A52"/>
    <w:rsid w:val="00BF0B14"/>
    <w:rsid w:val="00BF17A8"/>
    <w:rsid w:val="00BF53BA"/>
    <w:rsid w:val="00BF7441"/>
    <w:rsid w:val="00C025BA"/>
    <w:rsid w:val="00C034A1"/>
    <w:rsid w:val="00C04603"/>
    <w:rsid w:val="00C046FE"/>
    <w:rsid w:val="00C10B66"/>
    <w:rsid w:val="00C13491"/>
    <w:rsid w:val="00C15976"/>
    <w:rsid w:val="00C171F5"/>
    <w:rsid w:val="00C17AFD"/>
    <w:rsid w:val="00C30500"/>
    <w:rsid w:val="00C3262C"/>
    <w:rsid w:val="00C420D1"/>
    <w:rsid w:val="00C46844"/>
    <w:rsid w:val="00C505D7"/>
    <w:rsid w:val="00C50E12"/>
    <w:rsid w:val="00C50FD5"/>
    <w:rsid w:val="00C527A8"/>
    <w:rsid w:val="00C52C26"/>
    <w:rsid w:val="00C53CC5"/>
    <w:rsid w:val="00C54BBA"/>
    <w:rsid w:val="00C55623"/>
    <w:rsid w:val="00C55960"/>
    <w:rsid w:val="00C62600"/>
    <w:rsid w:val="00C6520C"/>
    <w:rsid w:val="00C6604D"/>
    <w:rsid w:val="00C66B72"/>
    <w:rsid w:val="00C708D6"/>
    <w:rsid w:val="00C71BE6"/>
    <w:rsid w:val="00C7631C"/>
    <w:rsid w:val="00C77D76"/>
    <w:rsid w:val="00C80DA2"/>
    <w:rsid w:val="00C8311D"/>
    <w:rsid w:val="00C837B7"/>
    <w:rsid w:val="00C859BE"/>
    <w:rsid w:val="00C85D6F"/>
    <w:rsid w:val="00C932D3"/>
    <w:rsid w:val="00C93D77"/>
    <w:rsid w:val="00C96D7C"/>
    <w:rsid w:val="00CA041D"/>
    <w:rsid w:val="00CA14A2"/>
    <w:rsid w:val="00CA2CB3"/>
    <w:rsid w:val="00CA4513"/>
    <w:rsid w:val="00CB43F6"/>
    <w:rsid w:val="00CB6AFB"/>
    <w:rsid w:val="00CC2E38"/>
    <w:rsid w:val="00CD1752"/>
    <w:rsid w:val="00CD21A2"/>
    <w:rsid w:val="00CD2D47"/>
    <w:rsid w:val="00CD2E82"/>
    <w:rsid w:val="00CD4A75"/>
    <w:rsid w:val="00CE37A2"/>
    <w:rsid w:val="00CE3C79"/>
    <w:rsid w:val="00CE4611"/>
    <w:rsid w:val="00CE4F5B"/>
    <w:rsid w:val="00CE733F"/>
    <w:rsid w:val="00CF3213"/>
    <w:rsid w:val="00CF5DAD"/>
    <w:rsid w:val="00D038E6"/>
    <w:rsid w:val="00D07727"/>
    <w:rsid w:val="00D10BCD"/>
    <w:rsid w:val="00D15DD3"/>
    <w:rsid w:val="00D22877"/>
    <w:rsid w:val="00D22A04"/>
    <w:rsid w:val="00D23987"/>
    <w:rsid w:val="00D244C1"/>
    <w:rsid w:val="00D24E6A"/>
    <w:rsid w:val="00D27ADF"/>
    <w:rsid w:val="00D31675"/>
    <w:rsid w:val="00D34B1C"/>
    <w:rsid w:val="00D37140"/>
    <w:rsid w:val="00D3785F"/>
    <w:rsid w:val="00D40572"/>
    <w:rsid w:val="00D52F1E"/>
    <w:rsid w:val="00D546FE"/>
    <w:rsid w:val="00D55C43"/>
    <w:rsid w:val="00D57CED"/>
    <w:rsid w:val="00D62120"/>
    <w:rsid w:val="00D62729"/>
    <w:rsid w:val="00D656B1"/>
    <w:rsid w:val="00D77F64"/>
    <w:rsid w:val="00D81EDA"/>
    <w:rsid w:val="00D866AF"/>
    <w:rsid w:val="00D873FB"/>
    <w:rsid w:val="00D93E9B"/>
    <w:rsid w:val="00D95445"/>
    <w:rsid w:val="00D95EA7"/>
    <w:rsid w:val="00D96313"/>
    <w:rsid w:val="00DC0092"/>
    <w:rsid w:val="00DC31BD"/>
    <w:rsid w:val="00DD1CCC"/>
    <w:rsid w:val="00DD3820"/>
    <w:rsid w:val="00DD4296"/>
    <w:rsid w:val="00DF16AB"/>
    <w:rsid w:val="00DF27D8"/>
    <w:rsid w:val="00DF3F51"/>
    <w:rsid w:val="00DF5274"/>
    <w:rsid w:val="00E0178C"/>
    <w:rsid w:val="00E047EB"/>
    <w:rsid w:val="00E206AE"/>
    <w:rsid w:val="00E22175"/>
    <w:rsid w:val="00E249C6"/>
    <w:rsid w:val="00E24F16"/>
    <w:rsid w:val="00E257AA"/>
    <w:rsid w:val="00E25855"/>
    <w:rsid w:val="00E25AEC"/>
    <w:rsid w:val="00E25E9E"/>
    <w:rsid w:val="00E33623"/>
    <w:rsid w:val="00E3679D"/>
    <w:rsid w:val="00E374E0"/>
    <w:rsid w:val="00E403CD"/>
    <w:rsid w:val="00E41F6E"/>
    <w:rsid w:val="00E42119"/>
    <w:rsid w:val="00E42517"/>
    <w:rsid w:val="00E53D2B"/>
    <w:rsid w:val="00E54828"/>
    <w:rsid w:val="00E56427"/>
    <w:rsid w:val="00E56738"/>
    <w:rsid w:val="00E715D8"/>
    <w:rsid w:val="00E72F97"/>
    <w:rsid w:val="00E77437"/>
    <w:rsid w:val="00E9007D"/>
    <w:rsid w:val="00E922A7"/>
    <w:rsid w:val="00E944A9"/>
    <w:rsid w:val="00E9513A"/>
    <w:rsid w:val="00E97358"/>
    <w:rsid w:val="00EA0F4C"/>
    <w:rsid w:val="00EA22A8"/>
    <w:rsid w:val="00EA579B"/>
    <w:rsid w:val="00EB2DD4"/>
    <w:rsid w:val="00EB383C"/>
    <w:rsid w:val="00EB471E"/>
    <w:rsid w:val="00EB4814"/>
    <w:rsid w:val="00EB747A"/>
    <w:rsid w:val="00ED3F46"/>
    <w:rsid w:val="00EE0853"/>
    <w:rsid w:val="00EE3C4D"/>
    <w:rsid w:val="00EE48A5"/>
    <w:rsid w:val="00EE5580"/>
    <w:rsid w:val="00EE6DA3"/>
    <w:rsid w:val="00EE7CF1"/>
    <w:rsid w:val="00F0023A"/>
    <w:rsid w:val="00F030E0"/>
    <w:rsid w:val="00F07C8B"/>
    <w:rsid w:val="00F13572"/>
    <w:rsid w:val="00F160EA"/>
    <w:rsid w:val="00F17323"/>
    <w:rsid w:val="00F21BEF"/>
    <w:rsid w:val="00F26B61"/>
    <w:rsid w:val="00F30AFE"/>
    <w:rsid w:val="00F30FC2"/>
    <w:rsid w:val="00F43482"/>
    <w:rsid w:val="00F53603"/>
    <w:rsid w:val="00F5415E"/>
    <w:rsid w:val="00F56DA1"/>
    <w:rsid w:val="00F576F8"/>
    <w:rsid w:val="00F57CED"/>
    <w:rsid w:val="00F63DE1"/>
    <w:rsid w:val="00F63FE1"/>
    <w:rsid w:val="00F74D58"/>
    <w:rsid w:val="00F77CFD"/>
    <w:rsid w:val="00F77D6A"/>
    <w:rsid w:val="00F83285"/>
    <w:rsid w:val="00F83E30"/>
    <w:rsid w:val="00F87432"/>
    <w:rsid w:val="00F913A1"/>
    <w:rsid w:val="00F91DE4"/>
    <w:rsid w:val="00F94C60"/>
    <w:rsid w:val="00FA0706"/>
    <w:rsid w:val="00FA187F"/>
    <w:rsid w:val="00FA23BF"/>
    <w:rsid w:val="00FB05E6"/>
    <w:rsid w:val="00FB16CA"/>
    <w:rsid w:val="00FC37CD"/>
    <w:rsid w:val="00FC550A"/>
    <w:rsid w:val="00FC62E2"/>
    <w:rsid w:val="00FC6F85"/>
    <w:rsid w:val="00FC6FBC"/>
    <w:rsid w:val="00FD2724"/>
    <w:rsid w:val="00FD39A6"/>
    <w:rsid w:val="00FD696A"/>
    <w:rsid w:val="00FD6CA9"/>
    <w:rsid w:val="00FD7D37"/>
    <w:rsid w:val="00FE1EAF"/>
    <w:rsid w:val="00FE720E"/>
    <w:rsid w:val="00FE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088E38"/>
  <w15:docId w15:val="{AECC9E78-7280-4CD2-B017-7D2951D6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75D1"/>
    <w:pPr>
      <w:tabs>
        <w:tab w:val="center" w:pos="4320"/>
        <w:tab w:val="right" w:pos="8640"/>
      </w:tabs>
    </w:pPr>
  </w:style>
  <w:style w:type="character" w:styleId="PageNumber">
    <w:name w:val="page number"/>
    <w:basedOn w:val="DefaultParagraphFont"/>
    <w:rsid w:val="003975D1"/>
  </w:style>
  <w:style w:type="character" w:styleId="Hyperlink">
    <w:name w:val="Hyperlink"/>
    <w:rsid w:val="00F5415E"/>
    <w:rPr>
      <w:color w:val="0000FF"/>
      <w:u w:val="single"/>
    </w:rPr>
  </w:style>
  <w:style w:type="paragraph" w:styleId="BalloonText">
    <w:name w:val="Balloon Text"/>
    <w:basedOn w:val="Normal"/>
    <w:semiHidden/>
    <w:rsid w:val="00522419"/>
    <w:rPr>
      <w:rFonts w:ascii="Tahoma" w:hAnsi="Tahoma" w:cs="Tahoma"/>
      <w:sz w:val="16"/>
      <w:szCs w:val="16"/>
    </w:rPr>
  </w:style>
  <w:style w:type="paragraph" w:styleId="BodyTextIndent">
    <w:name w:val="Body Text Indent"/>
    <w:basedOn w:val="Normal"/>
    <w:link w:val="BodyTextIndentChar"/>
    <w:rsid w:val="00CE37A2"/>
    <w:pPr>
      <w:widowControl/>
      <w:autoSpaceDE/>
      <w:autoSpaceDN/>
      <w:adjustRightInd/>
      <w:ind w:left="360"/>
    </w:pPr>
    <w:rPr>
      <w:sz w:val="24"/>
      <w:szCs w:val="24"/>
    </w:rPr>
  </w:style>
  <w:style w:type="table" w:styleId="TableGrid">
    <w:name w:val="Table Grid"/>
    <w:basedOn w:val="TableNormal"/>
    <w:rsid w:val="00CE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8AC"/>
    <w:rPr>
      <w:color w:val="800080"/>
      <w:u w:val="single"/>
    </w:rPr>
  </w:style>
  <w:style w:type="paragraph" w:customStyle="1" w:styleId="Quick1">
    <w:name w:val="Quick 1."/>
    <w:basedOn w:val="Normal"/>
    <w:rsid w:val="006E3802"/>
    <w:pPr>
      <w:widowControl/>
      <w:numPr>
        <w:numId w:val="4"/>
      </w:numPr>
      <w:autoSpaceDE/>
      <w:autoSpaceDN/>
      <w:adjustRightInd/>
    </w:pPr>
    <w:rPr>
      <w:sz w:val="24"/>
      <w:szCs w:val="24"/>
    </w:rPr>
  </w:style>
  <w:style w:type="character" w:styleId="CommentReference">
    <w:name w:val="annotation reference"/>
    <w:rsid w:val="008D4847"/>
    <w:rPr>
      <w:sz w:val="16"/>
      <w:szCs w:val="16"/>
    </w:rPr>
  </w:style>
  <w:style w:type="paragraph" w:styleId="CommentText">
    <w:name w:val="annotation text"/>
    <w:basedOn w:val="Normal"/>
    <w:link w:val="CommentTextChar"/>
    <w:rsid w:val="008D4847"/>
    <w:pPr>
      <w:widowControl/>
    </w:pPr>
  </w:style>
  <w:style w:type="character" w:customStyle="1" w:styleId="CommentTextChar">
    <w:name w:val="Comment Text Char"/>
    <w:basedOn w:val="DefaultParagraphFont"/>
    <w:link w:val="CommentText"/>
    <w:rsid w:val="008D4847"/>
  </w:style>
  <w:style w:type="paragraph" w:styleId="CommentSubject">
    <w:name w:val="annotation subject"/>
    <w:basedOn w:val="CommentText"/>
    <w:next w:val="CommentText"/>
    <w:link w:val="CommentSubjectChar"/>
    <w:rsid w:val="00A429B4"/>
    <w:pPr>
      <w:widowControl w:val="0"/>
    </w:pPr>
    <w:rPr>
      <w:b/>
      <w:bCs/>
    </w:rPr>
  </w:style>
  <w:style w:type="character" w:customStyle="1" w:styleId="CommentSubjectChar">
    <w:name w:val="Comment Subject Char"/>
    <w:link w:val="CommentSubject"/>
    <w:rsid w:val="00A429B4"/>
    <w:rPr>
      <w:b/>
      <w:bCs/>
    </w:rPr>
  </w:style>
  <w:style w:type="character" w:customStyle="1" w:styleId="BodyTextIndentChar">
    <w:name w:val="Body Text Indent Char"/>
    <w:basedOn w:val="DefaultParagraphFont"/>
    <w:link w:val="BodyTextIndent"/>
    <w:rsid w:val="00AA7FBF"/>
    <w:rPr>
      <w:sz w:val="24"/>
      <w:szCs w:val="24"/>
    </w:rPr>
  </w:style>
  <w:style w:type="paragraph" w:styleId="Header">
    <w:name w:val="header"/>
    <w:basedOn w:val="Normal"/>
    <w:link w:val="HeaderChar"/>
    <w:rsid w:val="00437FFB"/>
    <w:pPr>
      <w:tabs>
        <w:tab w:val="center" w:pos="4680"/>
        <w:tab w:val="right" w:pos="9360"/>
      </w:tabs>
    </w:pPr>
  </w:style>
  <w:style w:type="character" w:customStyle="1" w:styleId="HeaderChar">
    <w:name w:val="Header Char"/>
    <w:basedOn w:val="DefaultParagraphFont"/>
    <w:link w:val="Header"/>
    <w:rsid w:val="00437FFB"/>
  </w:style>
  <w:style w:type="character" w:customStyle="1" w:styleId="FooterChar">
    <w:name w:val="Footer Char"/>
    <w:basedOn w:val="DefaultParagraphFont"/>
    <w:link w:val="Footer"/>
    <w:uiPriority w:val="99"/>
    <w:rsid w:val="00437FFB"/>
  </w:style>
  <w:style w:type="paragraph" w:styleId="ListParagraph">
    <w:name w:val="List Paragraph"/>
    <w:basedOn w:val="Normal"/>
    <w:uiPriority w:val="34"/>
    <w:qFormat/>
    <w:rsid w:val="0027517B"/>
    <w:pPr>
      <w:ind w:left="720"/>
      <w:contextualSpacing/>
    </w:pPr>
  </w:style>
  <w:style w:type="character" w:styleId="UnresolvedMention">
    <w:name w:val="Unresolved Mention"/>
    <w:basedOn w:val="DefaultParagraphFont"/>
    <w:uiPriority w:val="99"/>
    <w:semiHidden/>
    <w:unhideWhenUsed/>
    <w:rsid w:val="00F03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9">
              <w:marLeft w:val="72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8">
              <w:marLeft w:val="72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1649406">
      <w:bodyDiv w:val="1"/>
      <w:marLeft w:val="0"/>
      <w:marRight w:val="0"/>
      <w:marTop w:val="0"/>
      <w:marBottom w:val="0"/>
      <w:divBdr>
        <w:top w:val="none" w:sz="0" w:space="0" w:color="auto"/>
        <w:left w:val="none" w:sz="0" w:space="0" w:color="auto"/>
        <w:bottom w:val="none" w:sz="0" w:space="0" w:color="auto"/>
        <w:right w:val="none" w:sz="0" w:space="0" w:color="auto"/>
      </w:divBdr>
    </w:div>
    <w:div w:id="1461336089">
      <w:bodyDiv w:val="1"/>
      <w:marLeft w:val="0"/>
      <w:marRight w:val="0"/>
      <w:marTop w:val="0"/>
      <w:marBottom w:val="0"/>
      <w:divBdr>
        <w:top w:val="none" w:sz="0" w:space="0" w:color="auto"/>
        <w:left w:val="none" w:sz="0" w:space="0" w:color="auto"/>
        <w:bottom w:val="none" w:sz="0" w:space="0" w:color="auto"/>
        <w:right w:val="none" w:sz="0" w:space="0" w:color="auto"/>
      </w:divBdr>
    </w:div>
    <w:div w:id="1484658537">
      <w:bodyDiv w:val="1"/>
      <w:marLeft w:val="0"/>
      <w:marRight w:val="0"/>
      <w:marTop w:val="0"/>
      <w:marBottom w:val="0"/>
      <w:divBdr>
        <w:top w:val="none" w:sz="0" w:space="0" w:color="auto"/>
        <w:left w:val="none" w:sz="0" w:space="0" w:color="auto"/>
        <w:bottom w:val="none" w:sz="0" w:space="0" w:color="auto"/>
        <w:right w:val="none" w:sz="0" w:space="0" w:color="auto"/>
      </w:divBdr>
    </w:div>
    <w:div w:id="1634942482">
      <w:bodyDiv w:val="1"/>
      <w:marLeft w:val="0"/>
      <w:marRight w:val="0"/>
      <w:marTop w:val="0"/>
      <w:marBottom w:val="0"/>
      <w:divBdr>
        <w:top w:val="none" w:sz="0" w:space="0" w:color="auto"/>
        <w:left w:val="none" w:sz="0" w:space="0" w:color="auto"/>
        <w:bottom w:val="none" w:sz="0" w:space="0" w:color="auto"/>
        <w:right w:val="none" w:sz="0" w:space="0" w:color="auto"/>
      </w:divBdr>
    </w:div>
    <w:div w:id="1667905395">
      <w:bodyDiv w:val="1"/>
      <w:marLeft w:val="0"/>
      <w:marRight w:val="0"/>
      <w:marTop w:val="0"/>
      <w:marBottom w:val="0"/>
      <w:divBdr>
        <w:top w:val="none" w:sz="0" w:space="0" w:color="auto"/>
        <w:left w:val="none" w:sz="0" w:space="0" w:color="auto"/>
        <w:bottom w:val="none" w:sz="0" w:space="0" w:color="auto"/>
        <w:right w:val="none" w:sz="0" w:space="0" w:color="auto"/>
      </w:divBdr>
    </w:div>
    <w:div w:id="1752847785">
      <w:bodyDiv w:val="1"/>
      <w:marLeft w:val="0"/>
      <w:marRight w:val="0"/>
      <w:marTop w:val="0"/>
      <w:marBottom w:val="0"/>
      <w:divBdr>
        <w:top w:val="none" w:sz="0" w:space="0" w:color="auto"/>
        <w:left w:val="none" w:sz="0" w:space="0" w:color="auto"/>
        <w:bottom w:val="none" w:sz="0" w:space="0" w:color="auto"/>
        <w:right w:val="none" w:sz="0" w:space="0" w:color="auto"/>
      </w:divBdr>
    </w:div>
    <w:div w:id="1801068281">
      <w:bodyDiv w:val="1"/>
      <w:marLeft w:val="0"/>
      <w:marRight w:val="0"/>
      <w:marTop w:val="0"/>
      <w:marBottom w:val="0"/>
      <w:divBdr>
        <w:top w:val="none" w:sz="0" w:space="0" w:color="auto"/>
        <w:left w:val="none" w:sz="0" w:space="0" w:color="auto"/>
        <w:bottom w:val="none" w:sz="0" w:space="0" w:color="auto"/>
        <w:right w:val="none" w:sz="0" w:space="0" w:color="auto"/>
      </w:divBdr>
    </w:div>
    <w:div w:id="21086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news.release/pdf/ecec.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naics4_999200.ht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naics4_212100.htm" TargetMode="External"/><Relationship Id="rId5" Type="http://schemas.openxmlformats.org/officeDocument/2006/relationships/webSettings" Target="webSettings.xml"/><Relationship Id="rId15" Type="http://schemas.openxmlformats.org/officeDocument/2006/relationships/hyperlink" Target="http://www.bls.gov/news.release/pdf/ecec.pdf"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opm.gov/policy-data-oversight/pay-leave/salaries-wages/salary-tables/21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335B-058C-422F-90AC-659DEDF4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5383</Words>
  <Characters>30689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Supporting Statements for Reporting and Recordkeeping Requirements for 30 CFR Part 785</vt:lpstr>
    </vt:vector>
  </TitlesOfParts>
  <Company>OSM</Company>
  <LinksUpToDate>false</LinksUpToDate>
  <CharactersWithSpaces>36001</CharactersWithSpaces>
  <SharedDoc>false</SharedDoc>
  <HLinks>
    <vt:vector size="30" baseType="variant">
      <vt:variant>
        <vt:i4>1900546</vt:i4>
      </vt:variant>
      <vt:variant>
        <vt:i4>27</vt:i4>
      </vt:variant>
      <vt:variant>
        <vt:i4>0</vt:i4>
      </vt:variant>
      <vt:variant>
        <vt:i4>5</vt:i4>
      </vt:variant>
      <vt:variant>
        <vt:lpwstr>http://www.bls.gov/news.release/pdf/ecec.pdf</vt:lpwstr>
      </vt:variant>
      <vt:variant>
        <vt:lpwstr/>
      </vt:variant>
      <vt:variant>
        <vt:i4>2490397</vt:i4>
      </vt:variant>
      <vt:variant>
        <vt:i4>24</vt:i4>
      </vt:variant>
      <vt:variant>
        <vt:i4>0</vt:i4>
      </vt:variant>
      <vt:variant>
        <vt:i4>5</vt:i4>
      </vt:variant>
      <vt:variant>
        <vt:lpwstr>http://www.opm.gov/oca/11tables/html/gs_h.asp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2686978</vt:i4>
      </vt:variant>
      <vt:variant>
        <vt:i4>15</vt:i4>
      </vt:variant>
      <vt:variant>
        <vt:i4>0</vt:i4>
      </vt:variant>
      <vt:variant>
        <vt:i4>5</vt:i4>
      </vt:variant>
      <vt:variant>
        <vt:lpwstr>http://www.bls.gov/oes/current/naics4_212100.htm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 Requirements for 30 CFR Part 785</dc:title>
  <dc:creator>fblock</dc:creator>
  <cp:lastModifiedBy>Gehlhar, Mark J</cp:lastModifiedBy>
  <cp:revision>3</cp:revision>
  <cp:lastPrinted>2017-11-30T12:09:00Z</cp:lastPrinted>
  <dcterms:created xsi:type="dcterms:W3CDTF">2021-03-29T16:12:00Z</dcterms:created>
  <dcterms:modified xsi:type="dcterms:W3CDTF">2021-03-29T16:14:00Z</dcterms:modified>
</cp:coreProperties>
</file>