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DCA" w:rsidR="00C140EF" w:rsidP="00827DCA" w:rsidRDefault="00D55BC5" w14:paraId="56F0A911" w14:textId="7B769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827DCA">
        <w:rPr>
          <w:rFonts w:ascii="Arial" w:hAnsi="Arial" w:cs="Arial"/>
          <w:b/>
          <w:bCs/>
        </w:rPr>
        <w:t xml:space="preserve">Supporting </w:t>
      </w:r>
      <w:proofErr w:type="gramStart"/>
      <w:r w:rsidRPr="00827DCA">
        <w:rPr>
          <w:rFonts w:ascii="Arial" w:hAnsi="Arial" w:cs="Arial"/>
          <w:b/>
          <w:bCs/>
        </w:rPr>
        <w:t>Statement</w:t>
      </w:r>
      <w:proofErr w:type="gramEnd"/>
      <w:r w:rsidRPr="00827DCA">
        <w:rPr>
          <w:rFonts w:ascii="Arial" w:hAnsi="Arial" w:cs="Arial"/>
          <w:b/>
          <w:bCs/>
        </w:rPr>
        <w:t xml:space="preserve"> A</w:t>
      </w:r>
      <w:r w:rsidRPr="00827DCA" w:rsidR="003D1A94">
        <w:rPr>
          <w:rFonts w:ascii="Arial" w:hAnsi="Arial" w:cs="Arial"/>
          <w:lang w:val="en-CA"/>
        </w:rPr>
        <w:t xml:space="preserve">                           </w:t>
      </w:r>
    </w:p>
    <w:p w:rsidRPr="00827DCA" w:rsidR="00D55BC5" w:rsidP="00827DCA" w:rsidRDefault="00D55BC5" w14:paraId="6992E59D" w14:textId="77777777">
      <w:pPr>
        <w:tabs>
          <w:tab w:val="center" w:pos="4680"/>
        </w:tabs>
        <w:jc w:val="center"/>
        <w:rPr>
          <w:rFonts w:ascii="Arial" w:hAnsi="Arial" w:cs="Arial"/>
          <w:b/>
        </w:rPr>
      </w:pPr>
    </w:p>
    <w:p w:rsidRPr="00827DCA" w:rsidR="00C140EF" w:rsidP="00827DCA" w:rsidRDefault="00C140EF" w14:paraId="437F9C37" w14:textId="77777777">
      <w:pPr>
        <w:tabs>
          <w:tab w:val="center" w:pos="4680"/>
        </w:tabs>
        <w:jc w:val="center"/>
        <w:rPr>
          <w:rFonts w:ascii="Arial" w:hAnsi="Arial" w:cs="Arial"/>
          <w:b/>
        </w:rPr>
      </w:pPr>
      <w:r w:rsidRPr="00827DCA">
        <w:rPr>
          <w:rFonts w:ascii="Arial" w:hAnsi="Arial" w:cs="Arial"/>
          <w:b/>
        </w:rPr>
        <w:t>30 CFR 772</w:t>
      </w:r>
      <w:r w:rsidRPr="00827DCA" w:rsidR="00CB4DF5">
        <w:rPr>
          <w:rFonts w:ascii="Arial" w:hAnsi="Arial" w:cs="Arial"/>
          <w:b/>
        </w:rPr>
        <w:t xml:space="preserve"> - Requirements for Coal Exploration</w:t>
      </w:r>
    </w:p>
    <w:p w:rsidRPr="00827DCA" w:rsidR="00C140EF" w:rsidP="00827DCA" w:rsidRDefault="00C140EF" w14:paraId="1198B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Pr="00827DCA" w:rsidR="00C140EF" w:rsidP="00827DCA" w:rsidRDefault="00C140EF" w14:paraId="2BC58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27DCA">
        <w:rPr>
          <w:rFonts w:ascii="Arial" w:hAnsi="Arial" w:cs="Arial"/>
          <w:b/>
          <w:bCs/>
        </w:rPr>
        <w:t>OMB Control Number 1029-0112</w:t>
      </w:r>
    </w:p>
    <w:p w:rsidRPr="00827DCA" w:rsidR="00C140EF" w:rsidP="00827DCA" w:rsidRDefault="00C140EF" w14:paraId="546550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500895" w:rsidR="00C140EF" w:rsidP="007D28AF" w:rsidRDefault="00C140EF" w14:paraId="4DDF9F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b/>
        </w:rPr>
        <w:t>Terms of Clearance</w:t>
      </w:r>
      <w:r w:rsidRPr="00500895">
        <w:rPr>
          <w:rFonts w:ascii="Arial" w:hAnsi="Arial" w:cs="Arial"/>
        </w:rPr>
        <w:t>:  None</w:t>
      </w:r>
    </w:p>
    <w:p w:rsidRPr="00500895" w:rsidR="00C140EF" w:rsidP="007D28AF" w:rsidRDefault="00C140EF" w14:paraId="16F692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500895" w:rsidR="005F3E07" w:rsidP="005F3E07" w:rsidRDefault="005F3E07" w14:paraId="0E930596" w14:textId="77777777">
      <w:pPr>
        <w:rPr>
          <w:rFonts w:ascii="Arial" w:hAnsi="Arial" w:cs="Arial"/>
        </w:rPr>
      </w:pPr>
      <w:r w:rsidRPr="00500895">
        <w:rPr>
          <w:rFonts w:ascii="Arial" w:hAnsi="Arial" w:cs="Arial"/>
          <w:b/>
          <w:bCs/>
        </w:rPr>
        <w:t>Introduction</w:t>
      </w:r>
    </w:p>
    <w:p w:rsidRPr="00500895" w:rsidR="005F3E07" w:rsidP="005F3E07" w:rsidRDefault="005F3E07" w14:paraId="394A0749" w14:textId="77777777">
      <w:pPr>
        <w:rPr>
          <w:rFonts w:ascii="Arial" w:hAnsi="Arial" w:cs="Arial"/>
        </w:rPr>
      </w:pPr>
    </w:p>
    <w:p w:rsidRPr="00500895" w:rsidR="005F3E07" w:rsidP="00827DCA" w:rsidRDefault="005F3E07" w14:paraId="784FBCF3" w14:textId="16C08E88">
      <w:pPr>
        <w:rPr>
          <w:rFonts w:ascii="Arial" w:hAnsi="Arial" w:cs="Arial"/>
        </w:rPr>
      </w:pPr>
      <w:r w:rsidRPr="00500895">
        <w:rPr>
          <w:rFonts w:ascii="Arial" w:hAnsi="Arial" w:cs="Arial"/>
        </w:rPr>
        <w:t>We, the Office of Surface Mining Reclamation and Enforcement (OSMRE), are submitting this information collection clearance package to request renewed authority to collect information and require retention of records for 30 CFR 772 - Requirements for Coal Exploration.  The Office of Management and Budget (OMB) previously reviewed and approved collections of information and recordkeeping requirements for this part and assigned it control number 1029-0112.</w:t>
      </w:r>
    </w:p>
    <w:p w:rsidRPr="00500895" w:rsidR="005F3E07" w:rsidP="005F3E07" w:rsidRDefault="005F3E07" w14:paraId="58137F59" w14:textId="77777777">
      <w:pPr>
        <w:rPr>
          <w:rFonts w:ascii="Arial" w:hAnsi="Arial" w:cs="Arial"/>
        </w:rPr>
      </w:pPr>
    </w:p>
    <w:p w:rsidRPr="00500895" w:rsidR="00847CEB" w:rsidP="00D55BC5" w:rsidRDefault="00847CEB" w14:paraId="55B23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Pr="00500895" w:rsidR="00D55BC5" w:rsidP="00D55BC5" w:rsidRDefault="00D55BC5" w14:paraId="0C5DDC70" w14:textId="0A46B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b/>
          <w:bCs/>
        </w:rPr>
        <w:t>General Instructions</w:t>
      </w:r>
      <w:r w:rsidRPr="00500895">
        <w:rPr>
          <w:rFonts w:ascii="Arial" w:hAnsi="Arial" w:cs="Arial"/>
        </w:rPr>
        <w:t xml:space="preserve"> </w:t>
      </w:r>
    </w:p>
    <w:p w:rsidRPr="00500895" w:rsidR="00D55BC5" w:rsidP="00D55BC5" w:rsidRDefault="00D55BC5" w14:paraId="07DE7C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500895" w:rsidR="00D55BC5" w:rsidP="00D55BC5" w:rsidRDefault="00D55BC5" w14:paraId="7D4E6265" w14:textId="0F53ED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500895" w:rsidR="00D55BC5" w:rsidP="00D55BC5" w:rsidRDefault="00D55BC5" w14:paraId="4321C8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500895" w:rsidR="00A67410" w:rsidP="0094126B" w:rsidRDefault="00A67410" w14:paraId="5B4F7029" w14:textId="77777777">
      <w:pPr>
        <w:rPr>
          <w:rFonts w:ascii="Arial" w:hAnsi="Arial" w:cs="Arial"/>
          <w:b/>
          <w:bCs/>
        </w:rPr>
      </w:pPr>
    </w:p>
    <w:p w:rsidRPr="00500895" w:rsidR="00A67410" w:rsidP="00A67410" w:rsidRDefault="00A67410" w14:paraId="6B30E2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b/>
          <w:bCs/>
        </w:rPr>
        <w:t>Specific Instructions</w:t>
      </w:r>
    </w:p>
    <w:p w:rsidRPr="00500895" w:rsidR="00A67410" w:rsidP="00A67410" w:rsidRDefault="00A67410" w14:paraId="4D5D3F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500895" w:rsidR="00A67410" w:rsidP="00A67410" w:rsidRDefault="00A67410" w14:paraId="0D5CD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500895">
        <w:rPr>
          <w:rFonts w:ascii="Arial" w:hAnsi="Arial" w:cs="Arial"/>
          <w:b/>
          <w:bCs/>
        </w:rPr>
        <w:t>Justification</w:t>
      </w:r>
    </w:p>
    <w:p w:rsidRPr="00500895" w:rsidR="00A67410" w:rsidP="00A67410" w:rsidRDefault="00A67410" w14:paraId="3E342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500895" w:rsidR="003A13ED" w:rsidP="003A13ED" w:rsidRDefault="00A67410" w14:paraId="5F477969" w14:textId="4B224ECD">
      <w:pPr>
        <w:tabs>
          <w:tab w:val="left" w:pos="-1440"/>
        </w:tabs>
        <w:ind w:left="720" w:hanging="720"/>
        <w:rPr>
          <w:rFonts w:ascii="Arial" w:hAnsi="Arial" w:cs="Arial"/>
        </w:rPr>
      </w:pPr>
      <w:r w:rsidRPr="00500895">
        <w:rPr>
          <w:rFonts w:ascii="Arial" w:hAnsi="Arial" w:cs="Arial"/>
          <w:b/>
          <w:i/>
        </w:rPr>
        <w:t>1.</w:t>
      </w:r>
      <w:r w:rsidRPr="00500895">
        <w:rPr>
          <w:rFonts w:ascii="Arial" w:hAnsi="Arial" w:cs="Arial"/>
          <w:b/>
          <w:i/>
        </w:rPr>
        <w:tab/>
        <w:t>Explain the circumstances that make the collection of information necessary.  Identify any legal or administrative requirements that necessitate the collection.</w:t>
      </w:r>
      <w:r w:rsidRPr="00500895">
        <w:rPr>
          <w:rFonts w:ascii="Arial" w:hAnsi="Arial" w:cs="Arial"/>
          <w:b/>
          <w:i/>
        </w:rPr>
        <w:br/>
      </w:r>
      <w:r w:rsidRPr="00500895">
        <w:rPr>
          <w:rFonts w:ascii="Arial" w:hAnsi="Arial" w:cs="Arial"/>
          <w:b/>
          <w:i/>
        </w:rPr>
        <w:br/>
      </w:r>
      <w:r w:rsidRPr="00500895">
        <w:rPr>
          <w:rFonts w:ascii="Arial" w:hAnsi="Arial" w:cs="Arial"/>
          <w:b/>
          <w:i/>
        </w:rPr>
        <w:br/>
      </w:r>
      <w:r w:rsidRPr="00500895" w:rsidR="003A13ED">
        <w:rPr>
          <w:rFonts w:ascii="Arial" w:hAnsi="Arial" w:cs="Arial"/>
        </w:rPr>
        <w:t xml:space="preserve">The regulations at 30 CFR 772 implement section 512 of the Surface Mining Control and Reclamation Act of 1977 (SMCRA or the Act), 30 U.S.C. 1262, by establishing notice and permitting requirements and procedures for coal exploration operations that do not involve Federally-owned coal.  Sections 772.11, </w:t>
      </w:r>
      <w:bookmarkStart w:name="_Hlk67398196" w:id="0"/>
      <w:r w:rsidRPr="00500895" w:rsidR="003A13ED">
        <w:rPr>
          <w:rFonts w:ascii="Arial" w:hAnsi="Arial" w:cs="Arial"/>
        </w:rPr>
        <w:t>772.12</w:t>
      </w:r>
      <w:bookmarkEnd w:id="0"/>
      <w:r w:rsidRPr="00500895" w:rsidR="003A13ED">
        <w:rPr>
          <w:rFonts w:ascii="Arial" w:hAnsi="Arial" w:cs="Arial"/>
        </w:rPr>
        <w:t>, 772.14</w:t>
      </w:r>
      <w:r w:rsidR="00DF189F">
        <w:rPr>
          <w:rFonts w:ascii="Arial" w:hAnsi="Arial" w:cs="Arial"/>
        </w:rPr>
        <w:t>,</w:t>
      </w:r>
      <w:r w:rsidRPr="00500895" w:rsidR="003A13ED">
        <w:rPr>
          <w:rFonts w:ascii="Arial" w:hAnsi="Arial" w:cs="Arial"/>
        </w:rPr>
        <w:t xml:space="preserve"> and 772.15 contain information collection or recordkeeping requirements.</w:t>
      </w:r>
    </w:p>
    <w:p w:rsidRPr="00500895" w:rsidR="00A67410" w:rsidP="00A67410" w:rsidRDefault="003A13ED" w14:paraId="0416B306" w14:textId="54099F83">
      <w:pPr>
        <w:tabs>
          <w:tab w:val="left" w:pos="-1440"/>
        </w:tabs>
        <w:ind w:left="720" w:hanging="720"/>
        <w:rPr>
          <w:rFonts w:ascii="Arial" w:hAnsi="Arial" w:cs="Arial"/>
        </w:rPr>
      </w:pPr>
      <w:r w:rsidRPr="00500895">
        <w:rPr>
          <w:rFonts w:ascii="Arial" w:hAnsi="Arial" w:cs="Arial"/>
        </w:rPr>
        <w:br/>
      </w:r>
      <w:r w:rsidRPr="00500895" w:rsidR="00A67410">
        <w:rPr>
          <w:rFonts w:ascii="Arial" w:hAnsi="Arial" w:cs="Arial"/>
        </w:rPr>
        <w:t xml:space="preserve">Section 512(a) of SMCRA provides that each state or Federal regulatory program </w:t>
      </w:r>
      <w:r w:rsidRPr="00500895" w:rsidR="00A67410">
        <w:rPr>
          <w:rFonts w:ascii="Arial" w:hAnsi="Arial" w:cs="Arial"/>
        </w:rPr>
        <w:lastRenderedPageBreak/>
        <w:t>must include a requirement that a person intending to conduct coal exploration first file a notice of intent to explore with the regulatory authority.  At a minimum, that notice must include a description of the exploration area and the period of planned exploration.  The regulations at §772.11 include those provisions, as well as requirements for information identifying the person filing the notice, the person conducting the exploration, the method of exploration and the environmental protection and reclamation practices to be used.</w:t>
      </w:r>
    </w:p>
    <w:p w:rsidRPr="00500895" w:rsidR="00A67410" w:rsidP="00A67410" w:rsidRDefault="00A67410" w14:paraId="75DE9424" w14:textId="77777777">
      <w:pPr>
        <w:rPr>
          <w:rFonts w:ascii="Arial" w:hAnsi="Arial" w:cs="Arial"/>
        </w:rPr>
      </w:pPr>
    </w:p>
    <w:p w:rsidRPr="00500895" w:rsidR="00AB29F3" w:rsidP="001669BF" w:rsidRDefault="00A67410" w14:paraId="517E9156" w14:textId="047CB0FB">
      <w:pPr>
        <w:ind w:left="720" w:hanging="720"/>
        <w:rPr>
          <w:rFonts w:ascii="Arial" w:hAnsi="Arial" w:cs="Arial"/>
          <w:b/>
          <w:bCs/>
        </w:rPr>
      </w:pPr>
      <w:r w:rsidRPr="00500895">
        <w:rPr>
          <w:rFonts w:ascii="Arial" w:hAnsi="Arial" w:cs="Arial"/>
        </w:rPr>
        <w:tab/>
        <w:t>Section 201(c)(2) of SMCRA, which provides that the Secretary shall promulgate such regulations as are necessary to carry out the purposes and provisions of the Act, authorizes collection of the information required by §772.11 that is not expressly required under section 512(a) of the Act.  Collection of this information is necessary to ensure adherence to and enforce the reclamation requirements of section 512(a) of the Act, as well as to determine whether an exploration permit is required under section 512(d) of the Act.</w:t>
      </w:r>
    </w:p>
    <w:p w:rsidRPr="00500895" w:rsidR="00AB29F3" w:rsidP="00A67410" w:rsidRDefault="00AB29F3" w14:paraId="64E6EDA4" w14:textId="0A37AB6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p>
    <w:p w:rsidRPr="00500895" w:rsidR="000F419D" w:rsidP="000F419D" w:rsidRDefault="00AB29F3" w14:paraId="0B573EF5" w14:textId="0999F9F0">
      <w:pPr>
        <w:tabs>
          <w:tab w:val="left" w:pos="-1440"/>
        </w:tabs>
        <w:ind w:left="720" w:hanging="720"/>
        <w:rPr>
          <w:rFonts w:ascii="Arial" w:hAnsi="Arial" w:cs="Arial"/>
        </w:rPr>
      </w:pPr>
      <w:bookmarkStart w:name="_Hlk67662111" w:id="1"/>
      <w:r w:rsidRPr="00500895">
        <w:rPr>
          <w:rFonts w:ascii="Arial" w:hAnsi="Arial" w:cs="Arial"/>
          <w:b/>
          <w:i/>
        </w:rPr>
        <w:t>2.</w:t>
      </w:r>
      <w:r w:rsidRPr="00500895">
        <w:rPr>
          <w:rFonts w:ascii="Arial" w:hAnsi="Arial" w:cs="Arial"/>
          <w:b/>
          <w:i/>
        </w:rPr>
        <w:tab/>
        <w:t xml:space="preserve">Indicate </w:t>
      </w:r>
      <w:bookmarkEnd w:id="1"/>
      <w:r w:rsidRPr="00500895">
        <w:rPr>
          <w:rFonts w:ascii="Arial" w:hAnsi="Arial" w:cs="Arial"/>
          <w:b/>
          <w:i/>
        </w:rPr>
        <w:t>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00895" w:rsidR="00A8421F">
        <w:rPr>
          <w:rFonts w:ascii="Arial" w:hAnsi="Arial" w:cs="Arial"/>
          <w:b/>
          <w:i/>
        </w:rPr>
        <w:br/>
      </w:r>
      <w:r w:rsidRPr="00500895" w:rsidR="00A8421F">
        <w:rPr>
          <w:rFonts w:ascii="Arial" w:hAnsi="Arial" w:cs="Arial"/>
          <w:b/>
          <w:i/>
        </w:rPr>
        <w:br/>
      </w:r>
      <w:r w:rsidR="005C7AFC">
        <w:rPr>
          <w:rFonts w:ascii="Arial" w:hAnsi="Arial" w:cs="Arial"/>
        </w:rPr>
        <w:t xml:space="preserve">Section </w:t>
      </w:r>
      <w:r w:rsidRPr="00827DCA" w:rsidR="00A8421F">
        <w:rPr>
          <w:rFonts w:ascii="Arial" w:hAnsi="Arial" w:cs="Arial"/>
        </w:rPr>
        <w:t>772.11</w:t>
      </w:r>
      <w:r w:rsidRPr="00827DCA" w:rsidR="003721A6">
        <w:rPr>
          <w:rFonts w:ascii="Arial" w:hAnsi="Arial" w:cs="Arial"/>
        </w:rPr>
        <w:t>:</w:t>
      </w:r>
      <w:r w:rsidR="00827DCA">
        <w:rPr>
          <w:rFonts w:ascii="Arial" w:hAnsi="Arial" w:cs="Arial"/>
          <w:b/>
          <w:bCs/>
        </w:rPr>
        <w:t xml:space="preserve"> </w:t>
      </w:r>
      <w:r w:rsidRPr="00500895" w:rsidR="000F419D">
        <w:rPr>
          <w:rFonts w:ascii="Arial" w:hAnsi="Arial" w:cs="Arial"/>
        </w:rPr>
        <w:t>Section 512(a) of SMCRA provides that each state or Federal regulatory program must include a requirement that a person intending to conduct coal exploration first file a notice of intent to explore with the regulatory authority.  At a minimum, that notice must include a description of the exploration area and the period of planned exploration.  The regulations at §772.11 include those provisions, as well as requirements for information identifying the person filing the notice, the person conducting the exploration, the method of exploration and the environmental protection and reclamation practices to be used.</w:t>
      </w:r>
    </w:p>
    <w:p w:rsidRPr="00500895" w:rsidR="000F419D" w:rsidP="000F419D" w:rsidRDefault="000F419D" w14:paraId="2D16ED56" w14:textId="77777777">
      <w:pPr>
        <w:rPr>
          <w:rFonts w:ascii="Arial" w:hAnsi="Arial" w:cs="Arial"/>
        </w:rPr>
      </w:pPr>
    </w:p>
    <w:p w:rsidRPr="00500895" w:rsidR="000F419D" w:rsidP="000F419D" w:rsidRDefault="000F419D" w14:paraId="639BB5C9" w14:textId="77777777">
      <w:pPr>
        <w:ind w:left="720" w:hanging="720"/>
        <w:rPr>
          <w:rFonts w:ascii="Arial" w:hAnsi="Arial" w:cs="Arial"/>
        </w:rPr>
      </w:pPr>
      <w:r w:rsidRPr="00500895">
        <w:rPr>
          <w:rFonts w:ascii="Arial" w:hAnsi="Arial" w:cs="Arial"/>
        </w:rPr>
        <w:tab/>
        <w:t>Section 201(c)(2) of SMCRA, which provides that the Secretary shall promulgate such regulations as are necessary to carry out the purposes and provisions of the Act, authorizes collection of the information required by §772.11 that is not expressly required under section 512(a) of the Act.  Collection of this information is necessary to ensure adherence to and enforce the reclamation requirements of section 512(a) of the Act, as well as to determine whether an exploration permit is required under section 512(d) of the Act.</w:t>
      </w:r>
    </w:p>
    <w:p w:rsidRPr="00500895" w:rsidR="00827D7C" w:rsidP="00827D7C" w:rsidRDefault="00A8421F" w14:paraId="613A0011" w14:textId="164AA608">
      <w:pPr>
        <w:tabs>
          <w:tab w:val="left" w:pos="-1440"/>
        </w:tabs>
        <w:ind w:left="720" w:hanging="720"/>
        <w:rPr>
          <w:rFonts w:ascii="Arial" w:hAnsi="Arial" w:cs="Arial"/>
        </w:rPr>
      </w:pPr>
      <w:r w:rsidRPr="00500895">
        <w:rPr>
          <w:rFonts w:ascii="Arial" w:hAnsi="Arial" w:cs="Arial"/>
          <w:b/>
          <w:bCs/>
        </w:rPr>
        <w:br/>
      </w:r>
      <w:r w:rsidRPr="00500895">
        <w:rPr>
          <w:rFonts w:ascii="Arial" w:hAnsi="Arial" w:cs="Arial"/>
          <w:b/>
          <w:bCs/>
        </w:rPr>
        <w:br/>
      </w:r>
      <w:r w:rsidR="005C7AFC">
        <w:rPr>
          <w:rFonts w:ascii="Arial" w:hAnsi="Arial" w:cs="Arial"/>
        </w:rPr>
        <w:t xml:space="preserve">Section </w:t>
      </w:r>
      <w:r w:rsidRPr="00827DCA">
        <w:rPr>
          <w:rFonts w:ascii="Arial" w:hAnsi="Arial" w:cs="Arial"/>
        </w:rPr>
        <w:t>772.12</w:t>
      </w:r>
      <w:r w:rsidRPr="00827DCA" w:rsidR="003721A6">
        <w:rPr>
          <w:rFonts w:ascii="Arial" w:hAnsi="Arial" w:cs="Arial"/>
        </w:rPr>
        <w:t>:</w:t>
      </w:r>
      <w:r w:rsidR="00827DCA">
        <w:rPr>
          <w:rFonts w:ascii="Arial" w:hAnsi="Arial" w:cs="Arial"/>
          <w:b/>
          <w:bCs/>
        </w:rPr>
        <w:t xml:space="preserve"> </w:t>
      </w:r>
      <w:r w:rsidRPr="00500895" w:rsidR="00827D7C">
        <w:rPr>
          <w:rFonts w:ascii="Arial" w:hAnsi="Arial" w:cs="Arial"/>
        </w:rPr>
        <w:t>Section 512(d) of SMCRA further provides that no person may remove more than 250 tons of coal pursuant to an exploration permit without the specific written approval of the regulatory authority.  To implement these statutory provisions, the regulations at §772.12 require that any person planning to remove 250 or more tons of coal first obtain regulatory authority approval in the form of an exploration permit.</w:t>
      </w:r>
    </w:p>
    <w:p w:rsidRPr="00500895" w:rsidR="00827D7C" w:rsidP="00827D7C" w:rsidRDefault="00827D7C" w14:paraId="09216BA3" w14:textId="77777777">
      <w:pPr>
        <w:rPr>
          <w:rFonts w:ascii="Arial" w:hAnsi="Arial" w:cs="Arial"/>
        </w:rPr>
      </w:pPr>
    </w:p>
    <w:p w:rsidRPr="00500895" w:rsidR="00827D7C" w:rsidP="00827D7C" w:rsidRDefault="00827D7C" w14:paraId="622B0F6C" w14:textId="77777777">
      <w:pPr>
        <w:ind w:left="720"/>
        <w:rPr>
          <w:rFonts w:ascii="Arial" w:hAnsi="Arial" w:cs="Arial"/>
        </w:rPr>
      </w:pPr>
      <w:r w:rsidRPr="00500895">
        <w:rPr>
          <w:rFonts w:ascii="Arial" w:hAnsi="Arial" w:cs="Arial"/>
        </w:rPr>
        <w:t>This type of exploration is much more likely to cause adverse environmental impacts than operations that remove fewer than 250 tons.  Therefore, the regulations establish (1) more detailed information requirements for applications for coal exploration than those set forth in section 512(a) of the Act for notices of intent to explore, (2) newspaper notice requirements to encourage public involvement in the application review process, and (3) criteria and procedures for application approval and permit issuance, including a requirement that the regulatory authority prepare written findings and notify all interested parties of its decision.</w:t>
      </w:r>
    </w:p>
    <w:p w:rsidRPr="00500895" w:rsidR="00827D7C" w:rsidP="00827D7C" w:rsidRDefault="00827D7C" w14:paraId="28FB9FD1" w14:textId="77777777">
      <w:pPr>
        <w:rPr>
          <w:rFonts w:ascii="Arial" w:hAnsi="Arial" w:cs="Arial"/>
        </w:rPr>
      </w:pPr>
    </w:p>
    <w:p w:rsidRPr="00500895" w:rsidR="00827D7C" w:rsidP="00827D7C" w:rsidRDefault="00827D7C" w14:paraId="582ED8E2" w14:textId="77777777">
      <w:pPr>
        <w:ind w:left="720"/>
        <w:rPr>
          <w:rFonts w:ascii="Arial" w:hAnsi="Arial" w:cs="Arial"/>
        </w:rPr>
      </w:pPr>
      <w:r w:rsidRPr="00500895">
        <w:rPr>
          <w:rFonts w:ascii="Arial" w:hAnsi="Arial" w:cs="Arial"/>
        </w:rPr>
        <w:t xml:space="preserve">Because of environmental concerns, the regulations also require an exploration permit (rather than a simple notice of intent) as a prerequisite for </w:t>
      </w:r>
      <w:r w:rsidRPr="00604D0E">
        <w:rPr>
          <w:rFonts w:ascii="Arial" w:hAnsi="Arial" w:cs="Arial"/>
        </w:rPr>
        <w:t>any</w:t>
      </w:r>
      <w:r w:rsidRPr="00500895">
        <w:rPr>
          <w:rFonts w:ascii="Arial" w:hAnsi="Arial" w:cs="Arial"/>
        </w:rPr>
        <w:t xml:space="preserve"> type of coal exploration on lands designated as unsuitable for surface coal mining operations pursuant to section 522 of SMCRA.  Applications for exploration on the lands listed in section 522(e) of SMCRA must include an explanation of how the proposed exploration activities have been designed to minimize interference with the values for which those lands were designated as unsuitable for surface coal mining operations.  In addition, the application must include documentation of consultation with the owner of and, when applicable, the agency with primary jurisdiction over, the feature that caused the land to come under the protection of section 522(e) of the Act.  Finally, the rules require that the regulatory authority make a finding as to whether the coal exploration activities have been designed to minimize interference with the values for which the land was designated unsuitable for surface coal mining operations.</w:t>
      </w:r>
    </w:p>
    <w:p w:rsidRPr="00500895" w:rsidR="00827D7C" w:rsidP="00827D7C" w:rsidRDefault="00827D7C" w14:paraId="18434CA4" w14:textId="77777777">
      <w:pPr>
        <w:rPr>
          <w:rFonts w:ascii="Arial" w:hAnsi="Arial" w:cs="Arial"/>
        </w:rPr>
      </w:pPr>
    </w:p>
    <w:p w:rsidRPr="00500895" w:rsidR="00827D7C" w:rsidP="00827D7C" w:rsidRDefault="00827D7C" w14:paraId="68DFF0B0" w14:textId="77777777">
      <w:pPr>
        <w:ind w:left="720"/>
        <w:rPr>
          <w:rFonts w:ascii="Arial" w:hAnsi="Arial" w:cs="Arial"/>
        </w:rPr>
      </w:pPr>
      <w:r w:rsidRPr="00500895">
        <w:rPr>
          <w:rFonts w:ascii="Arial" w:hAnsi="Arial" w:cs="Arial"/>
        </w:rPr>
        <w:t xml:space="preserve">Section 201(c)(2) of SMCRA, which provides that the Secretary shall promulgate such regulations as are necessary to carry out the purposes and provisions of the Act, authorizes collection of this information.  We have determined that collection of the information required for §772.12, most of which is not specifically required by section 512 of SMCRA, is appropriate and necessary to fulfill the environmental protection and public participation purposes of the Act, as set forth in section 102 of SMCRA. </w:t>
      </w:r>
    </w:p>
    <w:p w:rsidRPr="00500895" w:rsidR="00AE2DA5" w:rsidP="00AE2DA5" w:rsidRDefault="00507B87" w14:paraId="7E2AAC78" w14:textId="2C289D96">
      <w:pPr>
        <w:tabs>
          <w:tab w:val="left" w:pos="-1440"/>
        </w:tabs>
        <w:ind w:left="720" w:hanging="720"/>
        <w:rPr>
          <w:rFonts w:ascii="Arial" w:hAnsi="Arial" w:cs="Arial"/>
        </w:rPr>
      </w:pPr>
      <w:r w:rsidRPr="00500895">
        <w:rPr>
          <w:rFonts w:ascii="Arial" w:hAnsi="Arial" w:cs="Arial"/>
          <w:b/>
          <w:bCs/>
        </w:rPr>
        <w:br/>
      </w:r>
      <w:bookmarkStart w:name="_Hlk67398361" w:id="2"/>
      <w:r w:rsidR="005C7AFC">
        <w:rPr>
          <w:rFonts w:ascii="Arial" w:hAnsi="Arial" w:cs="Arial"/>
        </w:rPr>
        <w:t xml:space="preserve">Section </w:t>
      </w:r>
      <w:r w:rsidRPr="00604D0E" w:rsidR="00A8421F">
        <w:rPr>
          <w:rFonts w:ascii="Arial" w:hAnsi="Arial" w:cs="Arial"/>
        </w:rPr>
        <w:t>772.14</w:t>
      </w:r>
      <w:r w:rsidRPr="00604D0E" w:rsidR="003721A6">
        <w:rPr>
          <w:rFonts w:ascii="Arial" w:hAnsi="Arial" w:cs="Arial"/>
        </w:rPr>
        <w:t>:</w:t>
      </w:r>
      <w:r w:rsidR="00604D0E">
        <w:rPr>
          <w:rFonts w:ascii="Arial" w:hAnsi="Arial" w:cs="Arial"/>
          <w:b/>
          <w:bCs/>
        </w:rPr>
        <w:t xml:space="preserve"> </w:t>
      </w:r>
      <w:bookmarkEnd w:id="2"/>
      <w:r w:rsidRPr="00500895" w:rsidR="00AE2DA5">
        <w:rPr>
          <w:rFonts w:ascii="Arial" w:hAnsi="Arial" w:cs="Arial"/>
        </w:rPr>
        <w:t>OSMRE and State regulatory authorities under SMCRA use the information collected for §772.14 to prevent abuse of the coal exploration regulations and to ensure that disturbance of land and natural resources caused by activities conducted under exploration permits is limited to the amount necessary for legitimate exploration and testing purposes.</w:t>
      </w:r>
    </w:p>
    <w:p w:rsidRPr="00500895" w:rsidR="003D0829" w:rsidP="003D0829" w:rsidRDefault="00AE2DA5" w14:paraId="101B2E73" w14:textId="755F0581">
      <w:pPr>
        <w:tabs>
          <w:tab w:val="left" w:pos="-1440"/>
        </w:tabs>
        <w:ind w:left="720" w:hanging="720"/>
        <w:rPr>
          <w:rFonts w:ascii="Arial" w:hAnsi="Arial" w:cs="Arial"/>
        </w:rPr>
      </w:pPr>
      <w:r w:rsidRPr="00500895">
        <w:rPr>
          <w:rFonts w:ascii="Arial" w:hAnsi="Arial" w:cs="Arial"/>
        </w:rPr>
        <w:br/>
      </w:r>
      <w:r w:rsidRPr="00500895" w:rsidR="003D0829">
        <w:rPr>
          <w:rFonts w:ascii="Arial" w:hAnsi="Arial" w:cs="Arial"/>
        </w:rPr>
        <w:t xml:space="preserve">With certain exceptions, paragraph (a) of §772.14 prohibits the sale or commercial use of coal removed from a coal exploration permit unless the person first obtains a permit to conduct surface coal mining operations.  Paragraph (b) of this section of the regulations provides an exception to this prohibition if, as part of the coal exploration permit application, the applicant </w:t>
      </w:r>
      <w:r w:rsidRPr="00500895" w:rsidR="003D0829">
        <w:rPr>
          <w:rFonts w:ascii="Arial" w:hAnsi="Arial" w:cs="Arial"/>
        </w:rPr>
        <w:lastRenderedPageBreak/>
        <w:t>submits adequate documentation that the coal is needed for testing purposes and the regulatory authority grants written authorization.  We adopted these additional restrictions and coal exploration permit application requirements to eliminate situations in which persons were conducting surface coal mining operations under the guise of coal exploration.  Coal exploration permits are easier and cheaper to obtain than surface mining permits, and performance bonds are not required.  In addition, coal exploration operations are subject to less restrictive performance standards than surface coal mining operations.  Hence, the potential to cause environmental harm is significantly greater under a coal exploration permit than it is under a permit for surface coal mining operations.</w:t>
      </w:r>
    </w:p>
    <w:p w:rsidRPr="00500895" w:rsidR="003D0829" w:rsidP="003D0829" w:rsidRDefault="003D0829" w14:paraId="7DD1B97B" w14:textId="77777777">
      <w:pPr>
        <w:rPr>
          <w:rFonts w:ascii="Arial" w:hAnsi="Arial" w:cs="Arial"/>
        </w:rPr>
      </w:pPr>
    </w:p>
    <w:p w:rsidRPr="00500895" w:rsidR="003D0829" w:rsidP="003D0829" w:rsidRDefault="003D0829" w14:paraId="71C59D5D" w14:textId="77777777">
      <w:pPr>
        <w:ind w:left="720" w:hanging="720"/>
        <w:rPr>
          <w:rFonts w:ascii="Arial" w:hAnsi="Arial" w:cs="Arial"/>
        </w:rPr>
      </w:pPr>
      <w:r w:rsidRPr="00500895">
        <w:rPr>
          <w:rFonts w:ascii="Arial" w:hAnsi="Arial" w:cs="Arial"/>
        </w:rPr>
        <w:tab/>
        <w:t>Section 201(c)(2) of SMCRA, which provides that the Secretary shall promulgate such regulations as are necessary to carry out the purposes and provisions of the Act, authorizes collection of this information.  We have determined that collection of the information required for §772.14 is appropriate and necessary to fulfill the environmental protection purposes of the Act, as set forth in section 102 of SMCRA.  Without these requirements, OSMRE and State regulatory authorities would find it much more difficult to restrict disturbance under exploration permits to the minimum needed for legitimate exploration purposes.</w:t>
      </w:r>
    </w:p>
    <w:p w:rsidRPr="00500895" w:rsidR="00234F40" w:rsidP="00234F40" w:rsidRDefault="003D0829" w14:paraId="0821AAFF" w14:textId="1870CA09">
      <w:pPr>
        <w:tabs>
          <w:tab w:val="left" w:pos="-1440"/>
        </w:tabs>
        <w:ind w:left="720" w:hanging="720"/>
        <w:rPr>
          <w:rFonts w:ascii="Arial" w:hAnsi="Arial" w:cs="Arial"/>
        </w:rPr>
      </w:pPr>
      <w:r w:rsidRPr="00500895">
        <w:rPr>
          <w:rFonts w:ascii="Arial" w:hAnsi="Arial" w:cs="Arial"/>
          <w:b/>
          <w:bCs/>
        </w:rPr>
        <w:br/>
      </w:r>
      <w:r w:rsidR="005C7AFC">
        <w:rPr>
          <w:rFonts w:ascii="Arial" w:hAnsi="Arial" w:cs="Arial"/>
        </w:rPr>
        <w:t xml:space="preserve">Section </w:t>
      </w:r>
      <w:r w:rsidRPr="00604D0E" w:rsidR="00A8421F">
        <w:rPr>
          <w:rFonts w:ascii="Arial" w:hAnsi="Arial" w:cs="Arial"/>
        </w:rPr>
        <w:t>772.15</w:t>
      </w:r>
      <w:r w:rsidRPr="00604D0E" w:rsidR="003721A6">
        <w:rPr>
          <w:rFonts w:ascii="Arial" w:hAnsi="Arial" w:cs="Arial"/>
        </w:rPr>
        <w:t>:</w:t>
      </w:r>
      <w:r w:rsidR="00604D0E">
        <w:rPr>
          <w:rFonts w:ascii="Arial" w:hAnsi="Arial" w:cs="Arial"/>
          <w:b/>
          <w:bCs/>
        </w:rPr>
        <w:t xml:space="preserve"> </w:t>
      </w:r>
      <w:r w:rsidRPr="00500895" w:rsidR="00234F40">
        <w:rPr>
          <w:rFonts w:ascii="Arial" w:hAnsi="Arial" w:cs="Arial"/>
        </w:rPr>
        <w:t>Section 512(b) of SMCRA provides that information submitted to the regulatory authority as confidential shall not be available for public examination when it concerns trade secrets or privileged commercial or financial information relating to the competitive rights of the person or entity intending to conduct exploration.  Consistent with section 102(</w:t>
      </w:r>
      <w:proofErr w:type="spellStart"/>
      <w:r w:rsidRPr="00500895" w:rsidR="00234F40">
        <w:rPr>
          <w:rFonts w:ascii="Arial" w:hAnsi="Arial" w:cs="Arial"/>
        </w:rPr>
        <w:t>i</w:t>
      </w:r>
      <w:proofErr w:type="spellEnd"/>
      <w:r w:rsidRPr="00500895" w:rsidR="00234F40">
        <w:rPr>
          <w:rFonts w:ascii="Arial" w:hAnsi="Arial" w:cs="Arial"/>
        </w:rPr>
        <w:t>) of the Act, which states that one of the purposes of the Act is to ensure that appropriate procedures are provided for public participation, we have interpreted this provision as requiring that all other coal exploration information be made available to the public.  Accordingly, paragraph (a) of the implementing regulations at §772.15 requires that all non-confidential information submitted to the regulatory authority under 30 CFR part 772 be made available for public inspection and copying at the regulatory authority office closest to the proposed exploration site.  Paragraph (b) of §772.15 specifies that the regulatory authority must keep certain information confidential if the person so requests in writing at the time of submission.</w:t>
      </w:r>
    </w:p>
    <w:p w:rsidRPr="00500895" w:rsidR="00234F40" w:rsidP="00234F40" w:rsidRDefault="00234F40" w14:paraId="0EA99CAF" w14:textId="77777777">
      <w:pPr>
        <w:rPr>
          <w:rFonts w:ascii="Arial" w:hAnsi="Arial" w:cs="Arial"/>
        </w:rPr>
      </w:pPr>
    </w:p>
    <w:p w:rsidR="001669BF" w:rsidP="00604D0E" w:rsidRDefault="00234F40" w14:paraId="0B321459" w14:textId="77777777">
      <w:pPr>
        <w:ind w:left="720"/>
        <w:rPr>
          <w:rFonts w:ascii="Arial" w:hAnsi="Arial" w:cs="Arial"/>
        </w:rPr>
      </w:pPr>
      <w:r w:rsidRPr="00500895">
        <w:rPr>
          <w:rFonts w:ascii="Arial" w:hAnsi="Arial" w:cs="Arial"/>
        </w:rPr>
        <w:t>Section 201(c)(2) of SMCRA, which provides that the Secretary shall promulgate such regulations as are necessary to carry out the purposes and provisions of the Act, authorizes the recordkeeping requirements of §772.15(a) and collection of the information (written requests for confidentiality) required by §772.15(b).  Although section 512(b) of the Act does not expressly include these requirements, it does strongly imply them and, as noted above, section 102(</w:t>
      </w:r>
      <w:proofErr w:type="spellStart"/>
      <w:r w:rsidRPr="00500895">
        <w:rPr>
          <w:rFonts w:ascii="Arial" w:hAnsi="Arial" w:cs="Arial"/>
        </w:rPr>
        <w:t>i</w:t>
      </w:r>
      <w:proofErr w:type="spellEnd"/>
      <w:r w:rsidRPr="00500895">
        <w:rPr>
          <w:rFonts w:ascii="Arial" w:hAnsi="Arial" w:cs="Arial"/>
        </w:rPr>
        <w:t xml:space="preserve">) of the Act provides additional justification for the recordkeeping requirements of §772.15(a).  Furthermore, the regulatory authority would have difficulty implementing the confidentiality provisions of section 512(b) of the Act in the </w:t>
      </w:r>
      <w:r w:rsidRPr="00500895">
        <w:rPr>
          <w:rFonts w:ascii="Arial" w:hAnsi="Arial" w:cs="Arial"/>
        </w:rPr>
        <w:lastRenderedPageBreak/>
        <w:t>absence of the requirement in §772.15(b) that the person submitting the information request confidentiality and identify the information included in the request.</w:t>
      </w:r>
      <w:r w:rsidRPr="00500895" w:rsidR="0025290F">
        <w:rPr>
          <w:rFonts w:ascii="Arial" w:hAnsi="Arial" w:cs="Arial"/>
        </w:rPr>
        <w:br/>
      </w:r>
      <w:r w:rsidRPr="00500895" w:rsidR="0025290F">
        <w:rPr>
          <w:rFonts w:ascii="Arial" w:hAnsi="Arial" w:cs="Arial"/>
        </w:rPr>
        <w:br/>
        <w:t>OSMRE and State regulatory authorities under SMCRA use the information collected under §772.15(b) to identify those portions of notices of intent to explore and exploration permit applications that must be kept confidential.  The public uses the recordkeeping requirements of §772.15(a) to monitor and, in some cases, intervene in the coal exploration notice and permit application processes to ensure protection of the environment and private property.</w:t>
      </w:r>
    </w:p>
    <w:p w:rsidR="001669BF" w:rsidP="00604D0E" w:rsidRDefault="001669BF" w14:paraId="7E8E8111" w14:textId="77777777">
      <w:pPr>
        <w:ind w:left="720"/>
        <w:rPr>
          <w:rFonts w:ascii="Arial" w:hAnsi="Arial" w:cs="Arial"/>
        </w:rPr>
      </w:pPr>
    </w:p>
    <w:p w:rsidR="001669BF" w:rsidP="00604D0E" w:rsidRDefault="001669BF" w14:paraId="123ECDAE" w14:textId="77777777">
      <w:pPr>
        <w:ind w:left="720"/>
        <w:rPr>
          <w:rFonts w:ascii="Arial" w:hAnsi="Arial" w:cs="Arial"/>
        </w:rPr>
      </w:pPr>
    </w:p>
    <w:p w:rsidR="001669BF" w:rsidP="001669BF" w:rsidRDefault="001669BF" w14:paraId="516869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3.</w:t>
      </w:r>
      <w:r w:rsidRPr="0000415A">
        <w:rPr>
          <w:rFonts w:ascii="Arial" w:hAnsi="Arial" w:cs="Arial"/>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00895" w:rsidR="00A51E90" w:rsidP="001669BF" w:rsidRDefault="00A8421F" w14:paraId="2C5BFC9B" w14:textId="7D3E12E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500895">
        <w:rPr>
          <w:rFonts w:ascii="Arial" w:hAnsi="Arial" w:cs="Arial"/>
          <w:b/>
          <w:bCs/>
        </w:rPr>
        <w:br/>
      </w:r>
      <w:r w:rsidRPr="00500895" w:rsidR="00A51E90">
        <w:rPr>
          <w:rFonts w:ascii="Arial" w:hAnsi="Arial" w:cs="Arial"/>
        </w:rPr>
        <w:t xml:space="preserve">Use of automated methods to collect the information required for 30 CFR 772 continues to increase in recent years.  Although some of the regulatory authorities are moving toward electronic receipt of information from constituents, their degree of sophistication </w:t>
      </w:r>
      <w:proofErr w:type="gramStart"/>
      <w:r w:rsidRPr="00500895" w:rsidR="00A51E90">
        <w:rPr>
          <w:rFonts w:ascii="Arial" w:hAnsi="Arial" w:cs="Arial"/>
        </w:rPr>
        <w:t>in the area of</w:t>
      </w:r>
      <w:proofErr w:type="gramEnd"/>
      <w:r w:rsidRPr="00500895" w:rsidR="00A51E90">
        <w:rPr>
          <w:rFonts w:ascii="Arial" w:hAnsi="Arial" w:cs="Arial"/>
        </w:rPr>
        <w:t xml:space="preserve"> e-data receipt/processing varies.  However, the state regulatory authorities are generally more focused on developing their respective e-data receipt/processing capabilities with respect to the full permit application for surface coal mining and reclamation operations (rather than notices of intent).  Notices of intent still cannot be filed electronically in most states.  During the evaluation year, no more than 33% of the notices for intent to conduct coal exploration activities were filed electronically.  This number will increase as the state regulatory authorities upgrade their e-data capabilities.</w:t>
      </w:r>
    </w:p>
    <w:p w:rsidRPr="00500895" w:rsidR="00A8421F" w:rsidP="00A8421F" w:rsidRDefault="00A8421F" w14:paraId="6DFCEDFA" w14:textId="7B6EC1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sidRPr="00500895">
        <w:rPr>
          <w:rFonts w:ascii="Arial" w:hAnsi="Arial" w:cs="Arial"/>
          <w:b/>
          <w:bCs/>
        </w:rPr>
        <w:br/>
      </w:r>
    </w:p>
    <w:p w:rsidRPr="00500895" w:rsidR="00871648" w:rsidP="00871648" w:rsidRDefault="00BD3742" w14:paraId="34CF060B" w14:textId="2DA56E09">
      <w:pPr>
        <w:tabs>
          <w:tab w:val="left" w:pos="-1440"/>
        </w:tabs>
        <w:ind w:left="720" w:hanging="720"/>
        <w:rPr>
          <w:rFonts w:ascii="Arial" w:hAnsi="Arial" w:cs="Arial"/>
        </w:rPr>
      </w:pPr>
      <w:r w:rsidRPr="00500895">
        <w:rPr>
          <w:rFonts w:ascii="Arial" w:hAnsi="Arial" w:cs="Arial"/>
          <w:b/>
          <w:i/>
        </w:rPr>
        <w:t>4.</w:t>
      </w:r>
      <w:r w:rsidRPr="00500895">
        <w:rPr>
          <w:rFonts w:ascii="Arial" w:hAnsi="Arial" w:cs="Arial"/>
          <w:b/>
          <w:i/>
        </w:rPr>
        <w:tab/>
        <w:t>Describe efforts to identify duplication.  Show specifically why any similar information already available cannot be used or modified for use for the purposes described in Item 2 above.</w:t>
      </w:r>
      <w:r w:rsidRPr="00500895" w:rsidR="00871648">
        <w:rPr>
          <w:rFonts w:ascii="Arial" w:hAnsi="Arial" w:cs="Arial"/>
          <w:b/>
          <w:i/>
        </w:rPr>
        <w:br/>
      </w:r>
      <w:r w:rsidRPr="00500895" w:rsidR="00871648">
        <w:rPr>
          <w:rFonts w:ascii="Arial" w:hAnsi="Arial" w:cs="Arial"/>
          <w:b/>
          <w:i/>
        </w:rPr>
        <w:br/>
      </w:r>
      <w:r w:rsidRPr="00500895" w:rsidR="00871648">
        <w:rPr>
          <w:rFonts w:ascii="Arial" w:hAnsi="Arial" w:cs="Arial"/>
        </w:rPr>
        <w:t>The information requested in 30 CFR 772 is time-sensitive and unique to each site.  Because it is collected infrequently (generally only once, at the time that a person submits a notice of intent to explore or an application for a coal exploration permit), duplication is minimal to nonexistent.  Persons may cross-reference relevant materials that they previously submitted in a notice or application for a different site.</w:t>
      </w:r>
    </w:p>
    <w:p w:rsidRPr="00500895" w:rsidR="00871648" w:rsidP="00871648" w:rsidRDefault="00871648" w14:paraId="0527A213" w14:textId="77777777">
      <w:pPr>
        <w:rPr>
          <w:rFonts w:ascii="Arial" w:hAnsi="Arial" w:cs="Arial"/>
        </w:rPr>
      </w:pPr>
    </w:p>
    <w:p w:rsidRPr="00500895" w:rsidR="000C4360" w:rsidP="00871648" w:rsidRDefault="00871648" w14:paraId="3178C909" w14:textId="3E7B0AC3">
      <w:pPr>
        <w:ind w:left="720"/>
        <w:rPr>
          <w:rFonts w:ascii="Arial" w:hAnsi="Arial" w:cs="Arial"/>
        </w:rPr>
      </w:pPr>
      <w:r w:rsidRPr="00500895">
        <w:rPr>
          <w:rFonts w:ascii="Arial" w:hAnsi="Arial" w:cs="Arial"/>
        </w:rPr>
        <w:lastRenderedPageBreak/>
        <w:t xml:space="preserve">We are not aware of any other Federal agency that collects this information.  OSMRE is the only Federal agency charged with implementation of section 512 of SMCRA for coal exploration involving non-Federal coal.  To avoid any duplication for lands with </w:t>
      </w:r>
      <w:proofErr w:type="gramStart"/>
      <w:r w:rsidRPr="00500895">
        <w:rPr>
          <w:rFonts w:ascii="Arial" w:hAnsi="Arial" w:cs="Arial"/>
        </w:rPr>
        <w:t>federally-owned</w:t>
      </w:r>
      <w:proofErr w:type="gramEnd"/>
      <w:r w:rsidRPr="00500895">
        <w:rPr>
          <w:rFonts w:ascii="Arial" w:hAnsi="Arial" w:cs="Arial"/>
        </w:rPr>
        <w:t xml:space="preserve"> coal, 30 CFR 772.1 specifies that the requirements of 30 CFR 772 do not apply to exploration on those lands, which is instead regulated by the Bureau of Land Management (BLM).  We also have entered into an agreement with BLM delineating each agency’s coal exploration duties to avoid overlap and conflict.</w:t>
      </w:r>
      <w:r w:rsidRPr="00500895" w:rsidR="000C4360">
        <w:rPr>
          <w:rFonts w:ascii="Arial" w:hAnsi="Arial" w:cs="Arial"/>
        </w:rPr>
        <w:br/>
      </w:r>
      <w:r w:rsidRPr="00500895" w:rsidR="000C4360">
        <w:rPr>
          <w:rFonts w:ascii="Arial" w:hAnsi="Arial" w:cs="Arial"/>
        </w:rPr>
        <w:br/>
      </w:r>
    </w:p>
    <w:p w:rsidRPr="00500895" w:rsidR="000C4360" w:rsidP="00871648" w:rsidRDefault="000C4360" w14:paraId="06933583" w14:textId="58788B80">
      <w:pPr>
        <w:ind w:left="720"/>
        <w:rPr>
          <w:rFonts w:ascii="Arial" w:hAnsi="Arial" w:cs="Arial"/>
        </w:rPr>
      </w:pPr>
    </w:p>
    <w:p w:rsidRPr="00500895" w:rsidR="000C4360" w:rsidP="001669BF" w:rsidRDefault="000C4360" w14:paraId="574F64DC" w14:textId="47F3B2EA">
      <w:pPr>
        <w:tabs>
          <w:tab w:val="left" w:pos="-1440"/>
        </w:tabs>
        <w:ind w:left="720" w:hanging="720"/>
        <w:rPr>
          <w:rFonts w:ascii="Arial" w:hAnsi="Arial" w:cs="Arial"/>
          <w:b/>
          <w:iCs/>
        </w:rPr>
      </w:pPr>
      <w:r w:rsidRPr="00500895">
        <w:rPr>
          <w:rFonts w:ascii="Arial" w:hAnsi="Arial" w:cs="Arial"/>
          <w:b/>
          <w:i/>
        </w:rPr>
        <w:t>5.</w:t>
      </w:r>
      <w:r w:rsidRPr="00500895">
        <w:rPr>
          <w:rFonts w:ascii="Arial" w:hAnsi="Arial" w:cs="Arial"/>
          <w:b/>
          <w:i/>
        </w:rPr>
        <w:tab/>
        <w:t>If the collection of information impacts small businesses or other small entities, describe any methods used to minimize burden.</w:t>
      </w:r>
      <w:r w:rsidR="001669BF">
        <w:rPr>
          <w:rFonts w:ascii="Arial" w:hAnsi="Arial" w:cs="Arial"/>
          <w:b/>
          <w:i/>
        </w:rPr>
        <w:br/>
      </w:r>
      <w:r w:rsidR="001669BF">
        <w:rPr>
          <w:rFonts w:ascii="Arial" w:hAnsi="Arial" w:cs="Arial"/>
          <w:b/>
          <w:i/>
        </w:rPr>
        <w:br/>
      </w:r>
      <w:r w:rsidRPr="00500895">
        <w:rPr>
          <w:rFonts w:ascii="Arial" w:hAnsi="Arial" w:cs="Arial"/>
        </w:rPr>
        <w:t xml:space="preserve">There are no special provisions for small businesses or other small entities.  Special provisions are not appropriate because the requested information is the minimum needed to document (1) the location, extent and timing of any proposed disturbance or activity, and (2) the person’s ability to comply with applicable performance standards.  </w:t>
      </w:r>
      <w:proofErr w:type="gramStart"/>
      <w:r w:rsidRPr="00500895">
        <w:rPr>
          <w:rFonts w:ascii="Arial" w:hAnsi="Arial" w:cs="Arial"/>
        </w:rPr>
        <w:t>Both of these</w:t>
      </w:r>
      <w:proofErr w:type="gramEnd"/>
      <w:r w:rsidRPr="00500895">
        <w:rPr>
          <w:rFonts w:ascii="Arial" w:hAnsi="Arial" w:cs="Arial"/>
        </w:rPr>
        <w:t xml:space="preserve"> items are required of all operations by section 512(a) of SMCRA.</w:t>
      </w:r>
    </w:p>
    <w:p w:rsidRPr="00500895" w:rsidR="000C4360" w:rsidP="000C4360" w:rsidRDefault="000C4360" w14:paraId="0629CF58" w14:textId="0D04090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500895" w:rsidR="00B61752" w:rsidP="00B61752" w:rsidRDefault="000838CD" w14:paraId="62741984" w14:textId="77777777">
      <w:pPr>
        <w:tabs>
          <w:tab w:val="left" w:pos="-1440"/>
        </w:tabs>
        <w:ind w:left="720" w:hanging="720"/>
        <w:rPr>
          <w:rFonts w:ascii="Arial" w:hAnsi="Arial" w:cs="Arial"/>
        </w:rPr>
      </w:pPr>
      <w:r w:rsidRPr="00500895">
        <w:rPr>
          <w:rFonts w:ascii="Arial" w:hAnsi="Arial" w:cs="Arial"/>
          <w:b/>
          <w:i/>
        </w:rPr>
        <w:t>6.</w:t>
      </w:r>
      <w:r w:rsidRPr="00500895">
        <w:rPr>
          <w:rFonts w:ascii="Arial" w:hAnsi="Arial" w:cs="Arial"/>
          <w:b/>
          <w:i/>
        </w:rPr>
        <w:tab/>
        <w:t>Describe the consequence to Federal program or policy activities if the collection is not conducted or is conducted less frequently, as well as any technical or legal obstacles to reducing burden.</w:t>
      </w:r>
      <w:r w:rsidRPr="00500895" w:rsidR="00B61752">
        <w:rPr>
          <w:rFonts w:ascii="Arial" w:hAnsi="Arial" w:cs="Arial"/>
          <w:b/>
          <w:i/>
        </w:rPr>
        <w:br/>
      </w:r>
      <w:r w:rsidRPr="00500895" w:rsidR="00B61752">
        <w:rPr>
          <w:rFonts w:ascii="Arial" w:hAnsi="Arial" w:cs="Arial"/>
          <w:b/>
          <w:i/>
        </w:rPr>
        <w:br/>
      </w:r>
      <w:r w:rsidRPr="00500895" w:rsidR="00B61752">
        <w:rPr>
          <w:rFonts w:ascii="Arial" w:hAnsi="Arial" w:cs="Arial"/>
        </w:rPr>
        <w:t>Because the information requested in 30 CFR 772 is collected only once for each site, a reduction in the frequency of collection is not possible.</w:t>
      </w:r>
    </w:p>
    <w:p w:rsidRPr="00500895" w:rsidR="00B61752" w:rsidP="00B61752" w:rsidRDefault="00B61752" w14:paraId="1B03BD63" w14:textId="77777777">
      <w:pPr>
        <w:rPr>
          <w:rFonts w:ascii="Arial" w:hAnsi="Arial" w:cs="Arial"/>
        </w:rPr>
      </w:pPr>
    </w:p>
    <w:p w:rsidRPr="00500895" w:rsidR="00B61752" w:rsidP="00B61752" w:rsidRDefault="00B61752" w14:paraId="79855009" w14:textId="77777777">
      <w:pPr>
        <w:ind w:left="720"/>
        <w:rPr>
          <w:rFonts w:ascii="Arial" w:hAnsi="Arial" w:cs="Arial"/>
        </w:rPr>
      </w:pPr>
      <w:r w:rsidRPr="00500895">
        <w:rPr>
          <w:rFonts w:ascii="Arial" w:hAnsi="Arial" w:cs="Arial"/>
        </w:rPr>
        <w:t xml:space="preserve">Furthermore, the Act specifically requires exploration notices and permits.  Failure to collect the information required by §§772.11, 772.12, and 772.14 would severely impair the ability of OSMRE and the state regulatory authorities to ensure that coal exploration is conducted in accordance with the reclamation requirements of section 512(a) of the Act.  In the absence of any notice, OSMRE and the state regulatory authorities would likely be unaware of many coal exploration operations. </w:t>
      </w:r>
    </w:p>
    <w:p w:rsidRPr="00500895" w:rsidR="000838CD" w:rsidP="000C4360" w:rsidRDefault="000838CD" w14:paraId="6A983029" w14:textId="6B7C95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Pr="00500895" w:rsidR="000838CD" w:rsidP="000C4360" w:rsidRDefault="000838CD" w14:paraId="257391A0" w14:textId="5DA67C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Pr="00500895" w:rsidR="000838CD" w:rsidP="000838CD" w:rsidRDefault="000838CD" w14:paraId="47D47F3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7.</w:t>
      </w:r>
      <w:r w:rsidRPr="00500895">
        <w:rPr>
          <w:rFonts w:ascii="Arial" w:hAnsi="Arial" w:cs="Arial"/>
          <w:b/>
          <w:i/>
        </w:rPr>
        <w:tab/>
        <w:t>Explain any special circumstances that would cause an information collection to be conducted in a manner:</w:t>
      </w:r>
    </w:p>
    <w:p w:rsidRPr="00500895" w:rsidR="000838CD" w:rsidP="000838CD" w:rsidRDefault="000838CD" w14:paraId="3E210F4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500895" w:rsidR="000838CD" w:rsidP="000838CD" w:rsidRDefault="000838CD" w14:paraId="1554471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 xml:space="preserve">requiring respondents to report information to the agency more often than </w:t>
      </w:r>
      <w:proofErr w:type="gramStart"/>
      <w:r w:rsidRPr="00500895">
        <w:rPr>
          <w:rFonts w:ascii="Arial" w:hAnsi="Arial" w:cs="Arial"/>
          <w:b/>
          <w:i/>
        </w:rPr>
        <w:t>quarterly;</w:t>
      </w:r>
      <w:proofErr w:type="gramEnd"/>
    </w:p>
    <w:p w:rsidRPr="00500895" w:rsidR="000838CD" w:rsidP="000838CD" w:rsidRDefault="000838CD" w14:paraId="5D38734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 xml:space="preserve">requiring respondents to prepare a written response to a collection of information in fewer than 30 days after receipt of </w:t>
      </w:r>
      <w:proofErr w:type="gramStart"/>
      <w:r w:rsidRPr="00500895">
        <w:rPr>
          <w:rFonts w:ascii="Arial" w:hAnsi="Arial" w:cs="Arial"/>
          <w:b/>
          <w:i/>
        </w:rPr>
        <w:t>it;</w:t>
      </w:r>
      <w:proofErr w:type="gramEnd"/>
    </w:p>
    <w:p w:rsidRPr="00500895" w:rsidR="000838CD" w:rsidP="000838CD" w:rsidRDefault="000838CD" w14:paraId="59AB6B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lastRenderedPageBreak/>
        <w:tab/>
        <w:t>*</w:t>
      </w:r>
      <w:r w:rsidRPr="00500895">
        <w:rPr>
          <w:rFonts w:ascii="Arial" w:hAnsi="Arial" w:cs="Arial"/>
          <w:b/>
          <w:i/>
        </w:rPr>
        <w:tab/>
        <w:t xml:space="preserve">requiring respondents to submit more than an original and two copies of any </w:t>
      </w:r>
      <w:proofErr w:type="gramStart"/>
      <w:r w:rsidRPr="00500895">
        <w:rPr>
          <w:rFonts w:ascii="Arial" w:hAnsi="Arial" w:cs="Arial"/>
          <w:b/>
          <w:i/>
        </w:rPr>
        <w:t>document;</w:t>
      </w:r>
      <w:proofErr w:type="gramEnd"/>
    </w:p>
    <w:p w:rsidRPr="00500895" w:rsidR="000838CD" w:rsidP="000838CD" w:rsidRDefault="000838CD" w14:paraId="205708C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 xml:space="preserve">requiring respondents to retain records, other than health, medical, government contract, grant-in-aid, or tax records, for more than three </w:t>
      </w:r>
      <w:proofErr w:type="gramStart"/>
      <w:r w:rsidRPr="00500895">
        <w:rPr>
          <w:rFonts w:ascii="Arial" w:hAnsi="Arial" w:cs="Arial"/>
          <w:b/>
          <w:i/>
        </w:rPr>
        <w:t>years;</w:t>
      </w:r>
      <w:proofErr w:type="gramEnd"/>
    </w:p>
    <w:p w:rsidRPr="00500895" w:rsidR="000838CD" w:rsidP="000838CD" w:rsidRDefault="000838CD" w14:paraId="45F7C8C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 xml:space="preserve">in connection with a statistical survey that is not designed to produce valid and reliable results that can be generalized to the universe of </w:t>
      </w:r>
      <w:proofErr w:type="gramStart"/>
      <w:r w:rsidRPr="00500895">
        <w:rPr>
          <w:rFonts w:ascii="Arial" w:hAnsi="Arial" w:cs="Arial"/>
          <w:b/>
          <w:i/>
        </w:rPr>
        <w:t>study;</w:t>
      </w:r>
      <w:proofErr w:type="gramEnd"/>
    </w:p>
    <w:p w:rsidRPr="00500895" w:rsidR="000838CD" w:rsidP="000838CD" w:rsidRDefault="000838CD" w14:paraId="4DDE4D0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 xml:space="preserve">requiring the use of a statistical data classification that has not been reviewed and approved by </w:t>
      </w:r>
      <w:proofErr w:type="gramStart"/>
      <w:r w:rsidRPr="00500895">
        <w:rPr>
          <w:rFonts w:ascii="Arial" w:hAnsi="Arial" w:cs="Arial"/>
          <w:b/>
          <w:i/>
        </w:rPr>
        <w:t>OMB;</w:t>
      </w:r>
      <w:proofErr w:type="gramEnd"/>
    </w:p>
    <w:p w:rsidRPr="00500895" w:rsidR="000838CD" w:rsidP="000838CD" w:rsidRDefault="000838CD" w14:paraId="643D5A4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00895" w:rsidR="004E056E" w:rsidP="00500895" w:rsidRDefault="000838CD" w14:paraId="63F20570" w14:textId="4BB432E7">
      <w:pPr>
        <w:tabs>
          <w:tab w:val="left" w:pos="-1440"/>
        </w:tabs>
        <w:ind w:left="720" w:hanging="720"/>
        <w:rPr>
          <w:rFonts w:ascii="Arial" w:hAnsi="Arial" w:cs="Arial"/>
        </w:rPr>
      </w:pPr>
      <w:r w:rsidRPr="00500895">
        <w:rPr>
          <w:rFonts w:ascii="Arial" w:hAnsi="Arial" w:cs="Arial"/>
          <w:b/>
          <w:i/>
        </w:rPr>
        <w:tab/>
        <w:t>*</w:t>
      </w:r>
      <w:r w:rsidRPr="00500895">
        <w:rPr>
          <w:rFonts w:ascii="Arial" w:hAnsi="Arial" w:cs="Arial"/>
          <w:b/>
          <w:i/>
        </w:rPr>
        <w:tab/>
        <w:t>requiring respondents to submit proprietary trade secrets, or other confidential information, unless the agency can demonstrate that it has instituted procedures to protect the information's confidentiality to the extent permitted by law.</w:t>
      </w:r>
      <w:r w:rsidRPr="00500895" w:rsidR="004E056E">
        <w:rPr>
          <w:rFonts w:ascii="Arial" w:hAnsi="Arial" w:cs="Arial"/>
          <w:b/>
          <w:i/>
        </w:rPr>
        <w:br/>
      </w:r>
      <w:r w:rsidRPr="00500895" w:rsidR="004E056E">
        <w:rPr>
          <w:rFonts w:ascii="Arial" w:hAnsi="Arial" w:cs="Arial"/>
          <w:b/>
          <w:i/>
        </w:rPr>
        <w:br/>
      </w:r>
      <w:r w:rsidRPr="00500895" w:rsidR="00500895">
        <w:rPr>
          <w:rFonts w:ascii="Arial" w:hAnsi="Arial" w:cs="Arial"/>
        </w:rPr>
        <w:t>The collection of information under 30 CFR 772 is consistent with the guidelines at 5 CFR 1320.5(d)(2) as summarized in the instructions for this item of the supporting statement.</w:t>
      </w:r>
      <w:r w:rsidRPr="00500895" w:rsidR="004E056E">
        <w:rPr>
          <w:rFonts w:ascii="Arial" w:hAnsi="Arial" w:cs="Arial"/>
          <w:b/>
          <w:i/>
        </w:rPr>
        <w:br/>
      </w:r>
    </w:p>
    <w:p w:rsidRPr="00500895" w:rsidR="004E056E" w:rsidP="004E056E" w:rsidRDefault="004E056E" w14:paraId="56C77AA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500895" w:rsidR="004E056E" w:rsidP="004E056E" w:rsidRDefault="004E056E" w14:paraId="3DB8E76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8.</w:t>
      </w:r>
      <w:r w:rsidRPr="00500895">
        <w:rPr>
          <w:rFonts w:ascii="Arial" w:hAnsi="Arial" w:cs="Arial"/>
          <w:b/>
          <w:i/>
        </w:rPr>
        <w:tab/>
        <w:t xml:space="preserve">If applicable, provide a copy and identify the date and page number of </w:t>
      </w:r>
      <w:proofErr w:type="gramStart"/>
      <w:r w:rsidRPr="00500895">
        <w:rPr>
          <w:rFonts w:ascii="Arial" w:hAnsi="Arial" w:cs="Arial"/>
          <w:b/>
          <w:i/>
        </w:rPr>
        <w:t>publication</w:t>
      </w:r>
      <w:proofErr w:type="gramEnd"/>
      <w:r w:rsidRPr="00500895">
        <w:rPr>
          <w:rFonts w:ascii="Arial" w:hAnsi="Arial" w:cs="Arial"/>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00895" w:rsidR="004E056E" w:rsidP="004E056E" w:rsidRDefault="004E056E" w14:paraId="799338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500895" w:rsidR="004E056E" w:rsidP="004E056E" w:rsidRDefault="004E056E" w14:paraId="1FEAB8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00895" w:rsidR="004E056E" w:rsidP="004E056E" w:rsidRDefault="004E056E" w14:paraId="0AB4DD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761EA2" w:rsidR="00761EA2" w:rsidP="00761EA2" w:rsidRDefault="004E056E" w14:paraId="00151D6E" w14:textId="2FBF1ED6">
      <w:pPr>
        <w:tabs>
          <w:tab w:val="left" w:pos="-1440"/>
        </w:tabs>
        <w:ind w:left="720" w:hanging="720"/>
        <w:rPr>
          <w:rFonts w:ascii="Arial" w:hAnsi="Arial" w:cs="Arial"/>
          <w:szCs w:val="25"/>
        </w:rPr>
      </w:pPr>
      <w:r w:rsidRPr="00500895">
        <w:rPr>
          <w:rFonts w:ascii="Arial" w:hAnsi="Arial" w:cs="Arial"/>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761EA2">
        <w:rPr>
          <w:rFonts w:ascii="Arial" w:hAnsi="Arial" w:cs="Arial"/>
          <w:b/>
          <w:i/>
        </w:rPr>
        <w:br/>
      </w:r>
      <w:r w:rsidR="00761EA2">
        <w:rPr>
          <w:rFonts w:ascii="Arial" w:hAnsi="Arial" w:cs="Arial"/>
          <w:b/>
          <w:i/>
        </w:rPr>
        <w:br/>
      </w:r>
      <w:r w:rsidR="00761EA2">
        <w:rPr>
          <w:rFonts w:ascii="Arial" w:hAnsi="Arial" w:cs="Arial"/>
          <w:b/>
          <w:i/>
        </w:rPr>
        <w:lastRenderedPageBreak/>
        <w:br/>
      </w:r>
      <w:r w:rsidR="00895F06">
        <w:rPr>
          <w:rFonts w:ascii="Arial" w:hAnsi="Arial" w:cs="Arial"/>
          <w:szCs w:val="25"/>
        </w:rPr>
        <w:t xml:space="preserve">Contacts were made </w:t>
      </w:r>
      <w:r w:rsidR="00981ABD">
        <w:rPr>
          <w:rFonts w:ascii="Arial" w:hAnsi="Arial" w:cs="Arial"/>
          <w:szCs w:val="25"/>
        </w:rPr>
        <w:t xml:space="preserve">with the following </w:t>
      </w:r>
      <w:r w:rsidRPr="00761EA2" w:rsidR="00761EA2">
        <w:rPr>
          <w:rFonts w:ascii="Arial" w:hAnsi="Arial" w:cs="Arial"/>
          <w:szCs w:val="25"/>
        </w:rPr>
        <w:t>to obtain views on the information collection burden imposed by part 772 and the clarity of the regulations:</w:t>
      </w:r>
    </w:p>
    <w:p w:rsidRPr="00761EA2" w:rsidR="00761EA2" w:rsidP="00761EA2" w:rsidRDefault="00761EA2" w14:paraId="37665791" w14:textId="6D82288C">
      <w:pPr>
        <w:tabs>
          <w:tab w:val="left" w:pos="-1440"/>
        </w:tabs>
        <w:ind w:left="720" w:hanging="720"/>
        <w:rPr>
          <w:rFonts w:ascii="Arial" w:hAnsi="Arial" w:cs="Arial"/>
          <w:szCs w:val="25"/>
        </w:rPr>
      </w:pPr>
      <w:r w:rsidRPr="00761EA2">
        <w:rPr>
          <w:rFonts w:ascii="Arial" w:hAnsi="Arial" w:cs="Arial"/>
          <w:szCs w:val="25"/>
        </w:rPr>
        <w:tab/>
      </w:r>
    </w:p>
    <w:p w:rsidRPr="00414A33" w:rsidR="00414A33" w:rsidP="00414A33" w:rsidRDefault="00761EA2" w14:paraId="3FC6AB4E" w14:textId="77777777">
      <w:pPr>
        <w:tabs>
          <w:tab w:val="left" w:pos="-1440"/>
        </w:tabs>
        <w:ind w:left="720" w:hanging="720"/>
        <w:rPr>
          <w:rFonts w:ascii="Arial" w:hAnsi="Arial" w:cs="Arial"/>
          <w:szCs w:val="25"/>
        </w:rPr>
      </w:pPr>
      <w:r w:rsidRPr="00761EA2">
        <w:rPr>
          <w:rFonts w:ascii="Arial" w:hAnsi="Arial" w:cs="Arial"/>
          <w:szCs w:val="25"/>
        </w:rPr>
        <w:tab/>
      </w:r>
      <w:r w:rsidRPr="00414A33" w:rsidR="00414A33">
        <w:rPr>
          <w:rFonts w:ascii="Arial" w:hAnsi="Arial" w:cs="Arial"/>
          <w:szCs w:val="25"/>
        </w:rPr>
        <w:t>Supervisor, Technical Group</w:t>
      </w:r>
    </w:p>
    <w:p w:rsidRPr="00414A33" w:rsidR="00414A33" w:rsidP="00414A33" w:rsidRDefault="00414A33" w14:paraId="43A6A85A" w14:textId="77777777">
      <w:pPr>
        <w:tabs>
          <w:tab w:val="left" w:pos="-1440"/>
        </w:tabs>
        <w:ind w:left="720" w:hanging="720"/>
        <w:rPr>
          <w:rFonts w:ascii="Arial" w:hAnsi="Arial" w:cs="Arial"/>
          <w:szCs w:val="25"/>
        </w:rPr>
      </w:pPr>
      <w:r w:rsidRPr="00414A33">
        <w:rPr>
          <w:rFonts w:ascii="Arial" w:hAnsi="Arial" w:cs="Arial"/>
          <w:szCs w:val="25"/>
        </w:rPr>
        <w:tab/>
        <w:t>Office of Surface Mining Reclamation &amp; Enforcement</w:t>
      </w:r>
    </w:p>
    <w:p w:rsidRPr="00414A33" w:rsidR="00414A33" w:rsidP="00414A33" w:rsidRDefault="00414A33" w14:paraId="6B955671" w14:textId="77777777">
      <w:pPr>
        <w:tabs>
          <w:tab w:val="left" w:pos="-1440"/>
        </w:tabs>
        <w:ind w:left="720" w:hanging="720"/>
        <w:rPr>
          <w:rFonts w:ascii="Arial" w:hAnsi="Arial" w:cs="Arial"/>
          <w:szCs w:val="25"/>
        </w:rPr>
      </w:pPr>
      <w:r w:rsidRPr="00414A33">
        <w:rPr>
          <w:rFonts w:ascii="Arial" w:hAnsi="Arial" w:cs="Arial"/>
          <w:szCs w:val="25"/>
        </w:rPr>
        <w:tab/>
        <w:t>Knoxville Field Office</w:t>
      </w:r>
    </w:p>
    <w:p w:rsidRPr="00414A33" w:rsidR="00414A33" w:rsidP="00414A33" w:rsidRDefault="00414A33" w14:paraId="5B220D68" w14:textId="77777777">
      <w:pPr>
        <w:tabs>
          <w:tab w:val="left" w:pos="-1440"/>
        </w:tabs>
        <w:ind w:left="720" w:hanging="720"/>
        <w:rPr>
          <w:rFonts w:ascii="Arial" w:hAnsi="Arial" w:cs="Arial"/>
          <w:szCs w:val="25"/>
        </w:rPr>
      </w:pPr>
      <w:r w:rsidRPr="00414A33">
        <w:rPr>
          <w:rFonts w:ascii="Arial" w:hAnsi="Arial" w:cs="Arial"/>
          <w:szCs w:val="25"/>
        </w:rPr>
        <w:tab/>
        <w:t>710 Locust Street, 2</w:t>
      </w:r>
      <w:r w:rsidRPr="00414A33">
        <w:rPr>
          <w:rFonts w:ascii="Arial" w:hAnsi="Arial" w:cs="Arial"/>
          <w:szCs w:val="25"/>
          <w:vertAlign w:val="superscript"/>
        </w:rPr>
        <w:t>nd</w:t>
      </w:r>
      <w:r w:rsidRPr="00414A33">
        <w:rPr>
          <w:rFonts w:ascii="Arial" w:hAnsi="Arial" w:cs="Arial"/>
          <w:szCs w:val="25"/>
        </w:rPr>
        <w:t xml:space="preserve"> Floor</w:t>
      </w:r>
      <w:r w:rsidRPr="00414A33">
        <w:rPr>
          <w:rFonts w:ascii="Arial" w:hAnsi="Arial" w:cs="Arial"/>
          <w:szCs w:val="25"/>
        </w:rPr>
        <w:tab/>
      </w:r>
    </w:p>
    <w:p w:rsidRPr="00414A33" w:rsidR="00414A33" w:rsidP="00414A33" w:rsidRDefault="00414A33" w14:paraId="44693F66" w14:textId="77777777">
      <w:pPr>
        <w:tabs>
          <w:tab w:val="left" w:pos="-1440"/>
        </w:tabs>
        <w:ind w:left="720" w:hanging="720"/>
        <w:rPr>
          <w:rFonts w:ascii="Arial" w:hAnsi="Arial" w:cs="Arial"/>
          <w:szCs w:val="25"/>
        </w:rPr>
      </w:pPr>
      <w:r w:rsidRPr="00414A33">
        <w:rPr>
          <w:rFonts w:ascii="Arial" w:hAnsi="Arial" w:cs="Arial"/>
          <w:szCs w:val="25"/>
        </w:rPr>
        <w:tab/>
        <w:t>Knoxville, Tennessee 37902</w:t>
      </w:r>
    </w:p>
    <w:p w:rsidRPr="00574A72" w:rsidR="00574A72" w:rsidP="00574A72" w:rsidRDefault="00414A33" w14:paraId="04407C19" w14:textId="22B3F9C8">
      <w:pPr>
        <w:tabs>
          <w:tab w:val="left" w:pos="-1440"/>
        </w:tabs>
        <w:ind w:left="720" w:hanging="720"/>
        <w:rPr>
          <w:rFonts w:ascii="Arial" w:hAnsi="Arial" w:cs="Arial"/>
          <w:szCs w:val="25"/>
        </w:rPr>
      </w:pPr>
      <w:r w:rsidRPr="00414A33">
        <w:rPr>
          <w:rFonts w:ascii="Arial" w:hAnsi="Arial" w:cs="Arial"/>
          <w:szCs w:val="25"/>
        </w:rPr>
        <w:tab/>
      </w:r>
      <w:r>
        <w:rPr>
          <w:rFonts w:ascii="Arial" w:hAnsi="Arial" w:cs="Arial"/>
          <w:szCs w:val="25"/>
        </w:rPr>
        <w:br/>
      </w:r>
      <w:r w:rsidRPr="00574A72" w:rsidR="00574A72">
        <w:rPr>
          <w:rFonts w:ascii="Arial" w:hAnsi="Arial" w:cs="Arial"/>
          <w:szCs w:val="25"/>
        </w:rPr>
        <w:t>Permitting Coordinator, Enforcement Division</w:t>
      </w:r>
    </w:p>
    <w:p w:rsidRPr="00574A72" w:rsidR="00574A72" w:rsidP="00574A72" w:rsidRDefault="00574A72" w14:paraId="38E5775E" w14:textId="77777777">
      <w:pPr>
        <w:tabs>
          <w:tab w:val="left" w:pos="-1440"/>
        </w:tabs>
        <w:ind w:left="720" w:hanging="720"/>
        <w:rPr>
          <w:rFonts w:ascii="Arial" w:hAnsi="Arial" w:cs="Arial"/>
          <w:szCs w:val="25"/>
        </w:rPr>
      </w:pPr>
      <w:r w:rsidRPr="00574A72">
        <w:rPr>
          <w:rFonts w:ascii="Arial" w:hAnsi="Arial" w:cs="Arial"/>
          <w:szCs w:val="25"/>
        </w:rPr>
        <w:tab/>
        <w:t>Department of Environmental Quality</w:t>
      </w:r>
    </w:p>
    <w:p w:rsidRPr="00574A72" w:rsidR="00574A72" w:rsidP="00574A72" w:rsidRDefault="00574A72" w14:paraId="56211209" w14:textId="77777777">
      <w:pPr>
        <w:tabs>
          <w:tab w:val="left" w:pos="-1440"/>
        </w:tabs>
        <w:ind w:left="720" w:hanging="720"/>
        <w:rPr>
          <w:rFonts w:ascii="Arial" w:hAnsi="Arial" w:cs="Arial"/>
          <w:szCs w:val="25"/>
        </w:rPr>
      </w:pPr>
      <w:r w:rsidRPr="00574A72">
        <w:rPr>
          <w:rFonts w:ascii="Arial" w:hAnsi="Arial" w:cs="Arial"/>
          <w:szCs w:val="25"/>
        </w:rPr>
        <w:tab/>
        <w:t>1520 East Sixth Avenue</w:t>
      </w:r>
    </w:p>
    <w:p w:rsidRPr="00574A72" w:rsidR="00574A72" w:rsidP="00574A72" w:rsidRDefault="00574A72" w14:paraId="4DBDC8A6" w14:textId="77777777">
      <w:pPr>
        <w:tabs>
          <w:tab w:val="left" w:pos="-1440"/>
        </w:tabs>
        <w:ind w:left="720" w:hanging="720"/>
        <w:rPr>
          <w:rFonts w:ascii="Arial" w:hAnsi="Arial" w:cs="Arial"/>
          <w:szCs w:val="25"/>
        </w:rPr>
      </w:pPr>
      <w:r w:rsidRPr="00574A72">
        <w:rPr>
          <w:rFonts w:ascii="Arial" w:hAnsi="Arial" w:cs="Arial"/>
          <w:szCs w:val="25"/>
        </w:rPr>
        <w:tab/>
        <w:t>Helena, MT  59620</w:t>
      </w:r>
    </w:p>
    <w:p w:rsidRPr="00761EA2" w:rsidR="00761EA2" w:rsidP="00761EA2" w:rsidRDefault="00F81840" w14:paraId="3054EF8F" w14:textId="04C758EE">
      <w:pPr>
        <w:tabs>
          <w:tab w:val="left" w:pos="-1440"/>
        </w:tabs>
        <w:ind w:left="720" w:hanging="720"/>
        <w:rPr>
          <w:rFonts w:ascii="Arial" w:hAnsi="Arial" w:cs="Arial"/>
          <w:szCs w:val="25"/>
        </w:rPr>
      </w:pPr>
      <w:r w:rsidRPr="00F81840">
        <w:rPr>
          <w:rFonts w:ascii="Arial" w:hAnsi="Arial" w:cs="Arial"/>
          <w:szCs w:val="25"/>
        </w:rPr>
        <w:t xml:space="preserve"> </w:t>
      </w:r>
      <w:r w:rsidRPr="00F81840">
        <w:rPr>
          <w:rFonts w:ascii="Arial" w:hAnsi="Arial" w:cs="Arial"/>
          <w:szCs w:val="25"/>
        </w:rPr>
        <w:tab/>
      </w:r>
    </w:p>
    <w:p w:rsidRPr="00761EA2" w:rsidR="00761EA2" w:rsidP="00761EA2" w:rsidRDefault="00761EA2" w14:paraId="45770150" w14:textId="77777777">
      <w:pPr>
        <w:tabs>
          <w:tab w:val="left" w:pos="-1440"/>
        </w:tabs>
        <w:ind w:left="720" w:hanging="720"/>
        <w:rPr>
          <w:rFonts w:ascii="Arial" w:hAnsi="Arial" w:cs="Arial"/>
          <w:szCs w:val="25"/>
        </w:rPr>
      </w:pPr>
      <w:r w:rsidRPr="00761EA2">
        <w:rPr>
          <w:rFonts w:ascii="Arial" w:hAnsi="Arial" w:cs="Arial"/>
          <w:szCs w:val="25"/>
        </w:rPr>
        <w:tab/>
        <w:t>West Virginia Department of Environmental Protection</w:t>
      </w:r>
    </w:p>
    <w:p w:rsidRPr="00761EA2" w:rsidR="00761EA2" w:rsidP="00761EA2" w:rsidRDefault="00761EA2" w14:paraId="017A3508" w14:textId="77777777">
      <w:pPr>
        <w:tabs>
          <w:tab w:val="left" w:pos="-1440"/>
        </w:tabs>
        <w:ind w:left="720" w:hanging="720"/>
        <w:rPr>
          <w:rFonts w:ascii="Arial" w:hAnsi="Arial" w:cs="Arial"/>
          <w:szCs w:val="25"/>
        </w:rPr>
      </w:pPr>
      <w:r w:rsidRPr="00761EA2">
        <w:rPr>
          <w:rFonts w:ascii="Arial" w:hAnsi="Arial" w:cs="Arial"/>
          <w:szCs w:val="25"/>
        </w:rPr>
        <w:tab/>
        <w:t>Division of Mining and Reclamation</w:t>
      </w:r>
    </w:p>
    <w:p w:rsidRPr="00761EA2" w:rsidR="00761EA2" w:rsidP="00761EA2" w:rsidRDefault="00761EA2" w14:paraId="485114A6" w14:textId="77777777">
      <w:pPr>
        <w:tabs>
          <w:tab w:val="left" w:pos="-1440"/>
        </w:tabs>
        <w:ind w:left="720" w:hanging="720"/>
        <w:rPr>
          <w:rFonts w:ascii="Arial" w:hAnsi="Arial" w:cs="Arial"/>
          <w:szCs w:val="25"/>
        </w:rPr>
      </w:pPr>
      <w:r w:rsidRPr="00761EA2">
        <w:rPr>
          <w:rFonts w:ascii="Arial" w:hAnsi="Arial" w:cs="Arial"/>
          <w:szCs w:val="25"/>
        </w:rPr>
        <w:tab/>
        <w:t>601 57</w:t>
      </w:r>
      <w:r w:rsidRPr="00761EA2">
        <w:rPr>
          <w:rFonts w:ascii="Arial" w:hAnsi="Arial" w:cs="Arial"/>
          <w:szCs w:val="25"/>
          <w:vertAlign w:val="superscript"/>
        </w:rPr>
        <w:t>th</w:t>
      </w:r>
      <w:r w:rsidRPr="00761EA2">
        <w:rPr>
          <w:rFonts w:ascii="Arial" w:hAnsi="Arial" w:cs="Arial"/>
          <w:szCs w:val="25"/>
        </w:rPr>
        <w:t xml:space="preserve"> St.</w:t>
      </w:r>
    </w:p>
    <w:p w:rsidRPr="005C03CF" w:rsidR="005C03CF" w:rsidP="005C03CF" w:rsidRDefault="00761EA2" w14:paraId="00E9CF78" w14:textId="7FAF29A3">
      <w:pPr>
        <w:tabs>
          <w:tab w:val="left" w:pos="-1440"/>
        </w:tabs>
        <w:ind w:left="720" w:hanging="720"/>
        <w:rPr>
          <w:rFonts w:ascii="Arial" w:hAnsi="Arial" w:cs="Arial"/>
          <w:szCs w:val="25"/>
        </w:rPr>
      </w:pPr>
      <w:r w:rsidRPr="00761EA2">
        <w:rPr>
          <w:rFonts w:ascii="Arial" w:hAnsi="Arial" w:cs="Arial"/>
          <w:szCs w:val="25"/>
        </w:rPr>
        <w:tab/>
        <w:t>Charleston, WV 25304</w:t>
      </w:r>
      <w:r w:rsidR="005C03CF">
        <w:rPr>
          <w:rFonts w:ascii="Arial" w:hAnsi="Arial" w:cs="Arial"/>
          <w:szCs w:val="25"/>
        </w:rPr>
        <w:br/>
      </w:r>
      <w:r w:rsidR="005C03CF">
        <w:rPr>
          <w:rFonts w:ascii="Arial" w:hAnsi="Arial" w:cs="Arial"/>
          <w:szCs w:val="25"/>
        </w:rPr>
        <w:br/>
        <w:t xml:space="preserve">Chief, </w:t>
      </w:r>
      <w:r w:rsidRPr="005C03CF" w:rsidR="005C03CF">
        <w:rPr>
          <w:rFonts w:ascii="Arial" w:hAnsi="Arial" w:cs="Arial"/>
          <w:szCs w:val="25"/>
        </w:rPr>
        <w:t>Branch of Field Support</w:t>
      </w:r>
      <w:r w:rsidR="005C03CF">
        <w:rPr>
          <w:rFonts w:ascii="Arial" w:hAnsi="Arial" w:cs="Arial"/>
          <w:szCs w:val="25"/>
        </w:rPr>
        <w:br/>
      </w:r>
      <w:r w:rsidRPr="005C03CF" w:rsidR="005C03CF">
        <w:rPr>
          <w:rFonts w:ascii="Arial" w:hAnsi="Arial" w:cs="Arial"/>
          <w:szCs w:val="25"/>
        </w:rPr>
        <w:t>USDI/OSMRE/Charleston Field Office</w:t>
      </w:r>
      <w:r w:rsidR="005C03CF">
        <w:rPr>
          <w:rFonts w:ascii="Arial" w:hAnsi="Arial" w:cs="Arial"/>
          <w:szCs w:val="25"/>
        </w:rPr>
        <w:br/>
      </w:r>
      <w:r w:rsidRPr="005C03CF" w:rsidR="005C03CF">
        <w:rPr>
          <w:rFonts w:ascii="Arial" w:hAnsi="Arial" w:cs="Arial"/>
          <w:szCs w:val="25"/>
        </w:rPr>
        <w:t>1027 Virginia Street East</w:t>
      </w:r>
      <w:r w:rsidR="005C03CF">
        <w:rPr>
          <w:rFonts w:ascii="Arial" w:hAnsi="Arial" w:cs="Arial"/>
          <w:szCs w:val="25"/>
        </w:rPr>
        <w:br/>
      </w:r>
      <w:r w:rsidRPr="005C03CF" w:rsidR="005C03CF">
        <w:rPr>
          <w:rFonts w:ascii="Arial" w:hAnsi="Arial" w:cs="Arial"/>
          <w:szCs w:val="25"/>
        </w:rPr>
        <w:t>Charleston, WV 25301</w:t>
      </w:r>
    </w:p>
    <w:p w:rsidRPr="005C03CF" w:rsidR="005C03CF" w:rsidP="005C03CF" w:rsidRDefault="005C03CF" w14:paraId="314D0E1C" w14:textId="24C8D5A2">
      <w:pPr>
        <w:tabs>
          <w:tab w:val="left" w:pos="-1440"/>
        </w:tabs>
        <w:ind w:left="720" w:hanging="720"/>
        <w:rPr>
          <w:rFonts w:ascii="Arial" w:hAnsi="Arial" w:cs="Arial"/>
          <w:szCs w:val="25"/>
        </w:rPr>
      </w:pPr>
      <w:r>
        <w:rPr>
          <w:rFonts w:ascii="Arial" w:hAnsi="Arial" w:cs="Arial"/>
          <w:szCs w:val="25"/>
        </w:rPr>
        <w:br/>
      </w:r>
    </w:p>
    <w:p w:rsidR="00761EA2" w:rsidP="00761EA2" w:rsidRDefault="00761EA2" w14:paraId="69920C9B" w14:textId="54513EB2">
      <w:pPr>
        <w:tabs>
          <w:tab w:val="left" w:pos="-1440"/>
        </w:tabs>
        <w:ind w:left="720" w:hanging="720"/>
        <w:rPr>
          <w:rFonts w:ascii="Arial" w:hAnsi="Arial" w:cs="Arial"/>
          <w:szCs w:val="25"/>
        </w:rPr>
      </w:pPr>
    </w:p>
    <w:p w:rsidRPr="00761EA2" w:rsidR="00761EA2" w:rsidP="00981ABD" w:rsidRDefault="00761EA2" w14:paraId="3CA847B6" w14:textId="497B160C">
      <w:pPr>
        <w:tabs>
          <w:tab w:val="left" w:pos="-1440"/>
        </w:tabs>
        <w:ind w:left="720" w:hanging="720"/>
        <w:rPr>
          <w:rFonts w:ascii="Arial" w:hAnsi="Arial" w:cs="Arial"/>
        </w:rPr>
      </w:pPr>
      <w:r w:rsidRPr="00761EA2">
        <w:rPr>
          <w:rFonts w:ascii="Arial" w:hAnsi="Arial" w:cs="Arial"/>
          <w:szCs w:val="25"/>
        </w:rPr>
        <w:tab/>
      </w:r>
      <w:r w:rsidR="00574A72">
        <w:rPr>
          <w:rFonts w:ascii="Arial" w:hAnsi="Arial" w:cs="Arial"/>
          <w:szCs w:val="25"/>
        </w:rPr>
        <w:t xml:space="preserve">Comments received indicated there were no special concerns regarding </w:t>
      </w:r>
      <w:r w:rsidRPr="00761EA2">
        <w:rPr>
          <w:rFonts w:ascii="Arial" w:hAnsi="Arial" w:cs="Arial"/>
          <w:szCs w:val="25"/>
        </w:rPr>
        <w:t>regulations governing coal exploration notices and permits, nor did they find them unduly burdensome</w:t>
      </w:r>
      <w:r w:rsidR="00574A72">
        <w:rPr>
          <w:rFonts w:ascii="Arial" w:hAnsi="Arial" w:cs="Arial"/>
          <w:szCs w:val="25"/>
        </w:rPr>
        <w:t xml:space="preserve"> to comply with</w:t>
      </w:r>
      <w:r w:rsidRPr="00761EA2">
        <w:rPr>
          <w:rFonts w:ascii="Arial" w:hAnsi="Arial" w:cs="Arial"/>
          <w:szCs w:val="25"/>
        </w:rPr>
        <w:t>.</w:t>
      </w:r>
      <w:r w:rsidR="00574A72">
        <w:rPr>
          <w:rFonts w:ascii="Arial" w:hAnsi="Arial" w:cs="Arial"/>
          <w:szCs w:val="25"/>
        </w:rPr>
        <w:t xml:space="preserve"> </w:t>
      </w:r>
      <w:r w:rsidRPr="00761EA2">
        <w:rPr>
          <w:rFonts w:ascii="Arial" w:hAnsi="Arial" w:cs="Arial"/>
        </w:rPr>
        <w:t xml:space="preserve">State regulatory authorities </w:t>
      </w:r>
      <w:r w:rsidR="00574A72">
        <w:rPr>
          <w:rFonts w:ascii="Arial" w:hAnsi="Arial" w:cs="Arial"/>
        </w:rPr>
        <w:t xml:space="preserve">reviewed current </w:t>
      </w:r>
      <w:r w:rsidRPr="00761EA2">
        <w:rPr>
          <w:rFonts w:ascii="Arial" w:hAnsi="Arial" w:cs="Arial"/>
        </w:rPr>
        <w:t xml:space="preserve">estimates </w:t>
      </w:r>
      <w:r w:rsidR="00574A72">
        <w:rPr>
          <w:rFonts w:ascii="Arial" w:hAnsi="Arial" w:cs="Arial"/>
        </w:rPr>
        <w:t xml:space="preserve">of hourly burden and had no </w:t>
      </w:r>
      <w:r w:rsidR="00981ABD">
        <w:rPr>
          <w:rFonts w:ascii="Arial" w:hAnsi="Arial" w:cs="Arial"/>
        </w:rPr>
        <w:t xml:space="preserve">suggested </w:t>
      </w:r>
      <w:r w:rsidR="00574A72">
        <w:rPr>
          <w:rFonts w:ascii="Arial" w:hAnsi="Arial" w:cs="Arial"/>
        </w:rPr>
        <w:t>changes from previous estimates</w:t>
      </w:r>
      <w:r w:rsidR="00981ABD">
        <w:rPr>
          <w:rFonts w:ascii="Arial" w:hAnsi="Arial" w:cs="Arial"/>
        </w:rPr>
        <w:t>.</w:t>
      </w:r>
      <w:r w:rsidR="00574A72">
        <w:rPr>
          <w:rFonts w:ascii="Arial" w:hAnsi="Arial" w:cs="Arial"/>
        </w:rPr>
        <w:t xml:space="preserve"> </w:t>
      </w:r>
      <w:r w:rsidRPr="00761EA2">
        <w:rPr>
          <w:rFonts w:ascii="Arial" w:hAnsi="Arial" w:cs="Arial"/>
        </w:rPr>
        <w:t>In developing estimates of hourly wage rates and unit costs for requirements such as legal ads and notification of interested parties, we relied upon both our experience and information supplied by these and previous respondents.</w:t>
      </w:r>
    </w:p>
    <w:p w:rsidRPr="00761EA2" w:rsidR="00761EA2" w:rsidP="00761EA2" w:rsidRDefault="00761EA2" w14:paraId="1ED3F885" w14:textId="77777777">
      <w:pPr>
        <w:pStyle w:val="BodyTextIndent"/>
        <w:ind w:left="720"/>
        <w:rPr>
          <w:rFonts w:ascii="Arial" w:hAnsi="Arial" w:cs="Arial"/>
        </w:rPr>
      </w:pPr>
    </w:p>
    <w:p w:rsidRPr="00500895" w:rsidR="004E056E" w:rsidP="00981ABD" w:rsidRDefault="00761EA2" w14:paraId="5790C0F7" w14:textId="1209A061">
      <w:pPr>
        <w:ind w:left="720"/>
        <w:rPr>
          <w:rFonts w:ascii="Arial" w:hAnsi="Arial" w:cs="Arial"/>
        </w:rPr>
      </w:pPr>
      <w:r w:rsidRPr="00761EA2">
        <w:rPr>
          <w:rFonts w:ascii="Arial" w:hAnsi="Arial" w:cs="Arial"/>
        </w:rPr>
        <w:t xml:space="preserve">On </w:t>
      </w:r>
      <w:r>
        <w:rPr>
          <w:rFonts w:ascii="Arial" w:hAnsi="Arial" w:cs="Arial"/>
        </w:rPr>
        <w:t>January</w:t>
      </w:r>
      <w:r w:rsidRPr="00761EA2">
        <w:rPr>
          <w:rFonts w:ascii="Arial" w:hAnsi="Arial" w:cs="Arial"/>
        </w:rPr>
        <w:t xml:space="preserve"> </w:t>
      </w:r>
      <w:r>
        <w:rPr>
          <w:rFonts w:ascii="Arial" w:hAnsi="Arial" w:cs="Arial"/>
        </w:rPr>
        <w:t>15</w:t>
      </w:r>
      <w:r w:rsidRPr="00761EA2">
        <w:rPr>
          <w:rFonts w:ascii="Arial" w:hAnsi="Arial" w:cs="Arial"/>
        </w:rPr>
        <w:t>, 20</w:t>
      </w:r>
      <w:r>
        <w:rPr>
          <w:rFonts w:ascii="Arial" w:hAnsi="Arial" w:cs="Arial"/>
        </w:rPr>
        <w:t>21</w:t>
      </w:r>
      <w:r w:rsidRPr="00761EA2">
        <w:rPr>
          <w:rFonts w:ascii="Arial" w:hAnsi="Arial" w:cs="Arial"/>
        </w:rPr>
        <w:t xml:space="preserve">, OSMRE published in the </w:t>
      </w:r>
      <w:r w:rsidRPr="00761EA2">
        <w:rPr>
          <w:rFonts w:ascii="Arial" w:hAnsi="Arial" w:cs="Arial"/>
          <w:u w:val="single"/>
        </w:rPr>
        <w:t>Federal</w:t>
      </w:r>
      <w:r w:rsidRPr="00761EA2">
        <w:rPr>
          <w:rFonts w:ascii="Arial" w:hAnsi="Arial" w:cs="Arial"/>
        </w:rPr>
        <w:t xml:space="preserve"> </w:t>
      </w:r>
      <w:r w:rsidRPr="00761EA2">
        <w:rPr>
          <w:rFonts w:ascii="Arial" w:hAnsi="Arial" w:cs="Arial"/>
          <w:u w:val="single"/>
        </w:rPr>
        <w:t>Register</w:t>
      </w:r>
      <w:r w:rsidRPr="00761EA2">
        <w:rPr>
          <w:rFonts w:ascii="Arial" w:hAnsi="Arial" w:cs="Arial"/>
        </w:rPr>
        <w:t xml:space="preserve"> (8</w:t>
      </w:r>
      <w:r>
        <w:rPr>
          <w:rFonts w:ascii="Arial" w:hAnsi="Arial" w:cs="Arial"/>
        </w:rPr>
        <w:t>6</w:t>
      </w:r>
      <w:r w:rsidRPr="00761EA2">
        <w:rPr>
          <w:rFonts w:ascii="Arial" w:hAnsi="Arial" w:cs="Arial"/>
        </w:rPr>
        <w:t xml:space="preserve"> FR </w:t>
      </w:r>
      <w:r>
        <w:rPr>
          <w:rFonts w:ascii="Arial" w:hAnsi="Arial" w:cs="Arial"/>
        </w:rPr>
        <w:t>4124</w:t>
      </w:r>
      <w:r w:rsidRPr="00761EA2">
        <w:rPr>
          <w:rFonts w:ascii="Arial" w:hAnsi="Arial"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r>
        <w:rPr>
          <w:rFonts w:ascii="Arial" w:hAnsi="Arial" w:cs="Arial"/>
          <w:b/>
          <w:i/>
        </w:rPr>
        <w:br/>
      </w:r>
      <w:r>
        <w:rPr>
          <w:rFonts w:ascii="Arial" w:hAnsi="Arial" w:cs="Arial"/>
          <w:b/>
          <w:i/>
        </w:rPr>
        <w:br/>
      </w:r>
      <w:r>
        <w:rPr>
          <w:rFonts w:ascii="Arial" w:hAnsi="Arial" w:cs="Arial"/>
          <w:b/>
          <w:i/>
        </w:rPr>
        <w:br/>
      </w:r>
    </w:p>
    <w:p w:rsidRPr="00500895" w:rsidR="004E056E" w:rsidP="004E056E" w:rsidRDefault="004E056E" w14:paraId="6747B8F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500895" w:rsidR="00B61752" w:rsidP="00B61752" w:rsidRDefault="00B61752" w14:paraId="01DC79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500895">
        <w:rPr>
          <w:rFonts w:ascii="Arial" w:hAnsi="Arial" w:cs="Arial"/>
          <w:b/>
          <w:i/>
        </w:rPr>
        <w:t>9.</w:t>
      </w:r>
      <w:r w:rsidRPr="00500895">
        <w:rPr>
          <w:rFonts w:ascii="Arial" w:hAnsi="Arial" w:cs="Arial"/>
          <w:b/>
          <w:i/>
        </w:rPr>
        <w:tab/>
        <w:t>Explain any decision to provide any payment or gift to respondents, other than remuneration of contractors or grantees.</w:t>
      </w:r>
    </w:p>
    <w:p w:rsidRPr="00500895" w:rsidR="00B61752" w:rsidP="00B61752" w:rsidRDefault="00B61752" w14:paraId="023155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500895" w:rsidR="00B61752" w:rsidP="00B61752" w:rsidRDefault="00330AB3" w14:paraId="399D3F1F" w14:textId="27AA25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500895" w:rsidR="00B61752">
        <w:rPr>
          <w:rFonts w:ascii="Arial" w:hAnsi="Arial" w:cs="Arial"/>
        </w:rPr>
        <w:t>OSMRE provides no payments or gifts to respondents.</w:t>
      </w:r>
    </w:p>
    <w:p w:rsidRPr="00500895" w:rsidR="00B61752" w:rsidP="00B61752" w:rsidRDefault="00B61752" w14:paraId="608B53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981ABD" w:rsidR="00B61752" w:rsidP="00B61752" w:rsidRDefault="00B61752" w14:paraId="5C08DC96" w14:textId="2299BDF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iCs/>
        </w:rPr>
      </w:pPr>
      <w:r w:rsidRPr="00500895">
        <w:rPr>
          <w:rFonts w:ascii="Arial" w:hAnsi="Arial" w:cs="Arial"/>
          <w:b/>
          <w:i/>
        </w:rPr>
        <w:t>10.</w:t>
      </w:r>
      <w:r w:rsidRPr="00500895">
        <w:rPr>
          <w:rFonts w:ascii="Arial" w:hAnsi="Arial" w:cs="Arial"/>
          <w:b/>
          <w:i/>
        </w:rPr>
        <w:tab/>
        <w:t>Describe any assurance of confidentiality provided to respondents and the basis for the assurance in statute, regulation, or agency policy.</w:t>
      </w:r>
      <w:r w:rsidR="00981ABD">
        <w:rPr>
          <w:rFonts w:ascii="Arial" w:hAnsi="Arial" w:cs="Arial"/>
          <w:b/>
          <w:i/>
        </w:rPr>
        <w:br/>
      </w:r>
      <w:r w:rsidR="00981ABD">
        <w:rPr>
          <w:rFonts w:ascii="Arial" w:hAnsi="Arial" w:cs="Arial"/>
          <w:b/>
          <w:i/>
        </w:rPr>
        <w:br/>
      </w:r>
      <w:r w:rsidR="00981ABD">
        <w:rPr>
          <w:rFonts w:ascii="Arial" w:hAnsi="Arial" w:cs="Arial"/>
          <w:b/>
          <w:i/>
        </w:rPr>
        <w:br/>
      </w:r>
      <w:r w:rsidRPr="00981ABD" w:rsidR="00981ABD">
        <w:rPr>
          <w:rFonts w:ascii="Arial" w:hAnsi="Arial" w:cs="Arial"/>
          <w:bCs/>
          <w:iCs/>
        </w:rPr>
        <w:t>Section 512(b) of SMCRA and its implementing regulations at §772.15(b) require that OSMRE and state regulatory authorities keep certain types of information confidential.  Specifically, persons submitting a notice of intent to explore or an application for coal exploration may request confidentiality for trade secrets or privileged commercial or financial information that relates to the competitive rights of the person who intends to conduct the exploration.</w:t>
      </w:r>
    </w:p>
    <w:p w:rsidRPr="00500895" w:rsidR="00B61752" w:rsidP="00B61752" w:rsidRDefault="00B61752" w14:paraId="5B03583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500895" w:rsidR="00B61752" w:rsidP="00B61752" w:rsidRDefault="00B61752" w14:paraId="4409C3B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rsidRPr="00500895" w:rsidR="00B61752" w:rsidP="00B61752" w:rsidRDefault="00B61752" w14:paraId="45A6D5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500895">
        <w:rPr>
          <w:rFonts w:ascii="Arial" w:hAnsi="Arial" w:cs="Arial"/>
          <w:b/>
          <w:i/>
        </w:rPr>
        <w:t>11.</w:t>
      </w:r>
      <w:r w:rsidRPr="00500895">
        <w:rPr>
          <w:rFonts w:ascii="Arial" w:hAnsi="Arial" w:cs="Arial"/>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00895" w:rsidR="00B61752" w:rsidP="00B61752" w:rsidRDefault="00B61752" w14:paraId="2C6A65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500895" w:rsidR="00B61752" w:rsidP="00B61752" w:rsidRDefault="00330AB3" w14:paraId="08D04EDB" w14:textId="4564DA8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500895" w:rsidR="00B61752">
        <w:rPr>
          <w:rFonts w:ascii="Arial" w:hAnsi="Arial" w:cs="Arial"/>
        </w:rPr>
        <w:t xml:space="preserve">There are no questions of a sensitive nature asked. </w:t>
      </w:r>
    </w:p>
    <w:p w:rsidRPr="00500895" w:rsidR="00B61752" w:rsidP="00B61752" w:rsidRDefault="00B61752" w14:paraId="3A6DD1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500895" w:rsidR="00B61752" w:rsidP="00B61752" w:rsidRDefault="00B61752" w14:paraId="221729D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12.</w:t>
      </w:r>
      <w:r w:rsidRPr="00500895">
        <w:rPr>
          <w:rFonts w:ascii="Arial" w:hAnsi="Arial" w:cs="Arial"/>
          <w:b/>
          <w:i/>
        </w:rPr>
        <w:tab/>
        <w:t>Provide estimates of the hour burden of the collection of information.  The statement should:</w:t>
      </w:r>
    </w:p>
    <w:p w:rsidRPr="00500895" w:rsidR="00B61752" w:rsidP="00B61752" w:rsidRDefault="00B61752" w14:paraId="6DAD4B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00895" w:rsidR="00B61752" w:rsidP="00B61752" w:rsidRDefault="00B61752" w14:paraId="2C3201D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 xml:space="preserve">If this request for approval covers more than one form, provide separate hour burden estimates for each </w:t>
      </w:r>
      <w:proofErr w:type="gramStart"/>
      <w:r w:rsidRPr="00500895">
        <w:rPr>
          <w:rFonts w:ascii="Arial" w:hAnsi="Arial" w:cs="Arial"/>
          <w:b/>
          <w:i/>
        </w:rPr>
        <w:t>form</w:t>
      </w:r>
      <w:proofErr w:type="gramEnd"/>
      <w:r w:rsidRPr="00500895">
        <w:rPr>
          <w:rFonts w:ascii="Arial" w:hAnsi="Arial" w:cs="Arial"/>
          <w:b/>
          <w:i/>
        </w:rPr>
        <w:t xml:space="preserve"> and aggregate the hour burdens.</w:t>
      </w:r>
    </w:p>
    <w:p w:rsidRPr="00BF5F42" w:rsidR="00BF5F42" w:rsidP="00BF5F42" w:rsidRDefault="00B61752" w14:paraId="7CCAEC20" w14:textId="77777777">
      <w:pPr>
        <w:ind w:left="720" w:hanging="720"/>
        <w:rPr>
          <w:rFonts w:ascii="Arial" w:hAnsi="Arial" w:cs="Arial"/>
        </w:rPr>
      </w:pPr>
      <w:r w:rsidRPr="00500895">
        <w:rPr>
          <w:rFonts w:ascii="Arial" w:hAnsi="Arial" w:cs="Arial"/>
          <w:b/>
          <w:i/>
        </w:rPr>
        <w:tab/>
        <w:t>*</w:t>
      </w:r>
      <w:r w:rsidRPr="00500895">
        <w:rPr>
          <w:rFonts w:ascii="Arial" w:hAnsi="Arial" w:cs="Arial"/>
          <w:b/>
          <w:i/>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500895">
        <w:rPr>
          <w:rFonts w:ascii="Arial" w:hAnsi="Arial" w:cs="Arial"/>
          <w:b/>
          <w:i/>
        </w:rPr>
        <w:lastRenderedPageBreak/>
        <w:t>this cost should be included under “Annual Cost to Federal Government.”</w:t>
      </w:r>
      <w:r w:rsidR="00C93889">
        <w:rPr>
          <w:rFonts w:ascii="Arial" w:hAnsi="Arial" w:cs="Arial"/>
          <w:b/>
          <w:i/>
        </w:rPr>
        <w:br/>
      </w:r>
      <w:r w:rsidR="00C93889">
        <w:rPr>
          <w:rFonts w:ascii="Arial" w:hAnsi="Arial" w:cs="Arial"/>
          <w:b/>
          <w:i/>
        </w:rPr>
        <w:br/>
      </w:r>
      <w:r w:rsidR="00C93889">
        <w:rPr>
          <w:rFonts w:ascii="Arial" w:hAnsi="Arial" w:cs="Arial"/>
          <w:b/>
          <w:i/>
        </w:rPr>
        <w:br/>
      </w:r>
      <w:r w:rsidRPr="00BF5F42" w:rsidR="00BF5F42">
        <w:rPr>
          <w:rFonts w:ascii="Arial" w:hAnsi="Arial" w:cs="Arial"/>
        </w:rPr>
        <w:t>a.</w:t>
      </w:r>
      <w:r w:rsidRPr="00BF5F42" w:rsidR="00BF5F42">
        <w:rPr>
          <w:rFonts w:ascii="Arial" w:hAnsi="Arial" w:cs="Arial"/>
        </w:rPr>
        <w:tab/>
      </w:r>
      <w:r w:rsidRPr="00BF5F42" w:rsidR="00BF5F42">
        <w:rPr>
          <w:rFonts w:ascii="Arial" w:hAnsi="Arial" w:cs="Arial"/>
          <w:u w:val="single"/>
        </w:rPr>
        <w:t>Burden Hour Estimates for Respondents</w:t>
      </w:r>
    </w:p>
    <w:p w:rsidR="00BF5F42" w:rsidP="00B25038" w:rsidRDefault="00BF5F42" w14:paraId="4C1258C5" w14:textId="0FD17D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7909E7" w:rsidR="007909E7" w:rsidP="007909E7" w:rsidRDefault="00BF5F42" w14:paraId="6FF9EB27" w14:textId="070399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7909E7" w:rsidR="007909E7">
        <w:rPr>
          <w:rFonts w:ascii="Arial" w:hAnsi="Arial" w:cs="Arial"/>
        </w:rPr>
        <w:t xml:space="preserve">Our </w:t>
      </w:r>
      <w:r w:rsidR="00D5054D">
        <w:rPr>
          <w:rFonts w:ascii="Arial" w:hAnsi="Arial" w:cs="Arial"/>
        </w:rPr>
        <w:t xml:space="preserve">estimate </w:t>
      </w:r>
      <w:r w:rsidR="003A25B9">
        <w:rPr>
          <w:rFonts w:ascii="Arial" w:hAnsi="Arial" w:cs="Arial"/>
        </w:rPr>
        <w:t xml:space="preserve">(FY 2020) from </w:t>
      </w:r>
      <w:r w:rsidRPr="007909E7" w:rsidR="007909E7">
        <w:rPr>
          <w:rFonts w:ascii="Arial" w:hAnsi="Arial" w:cs="Arial"/>
        </w:rPr>
        <w:t xml:space="preserve">24 state regulatory authorities </w:t>
      </w:r>
      <w:r w:rsidR="003A25B9">
        <w:rPr>
          <w:rFonts w:ascii="Arial" w:hAnsi="Arial" w:cs="Arial"/>
        </w:rPr>
        <w:t xml:space="preserve">is </w:t>
      </w:r>
      <w:r w:rsidRPr="007909E7" w:rsidR="007909E7">
        <w:rPr>
          <w:rFonts w:ascii="Arial" w:hAnsi="Arial" w:cs="Arial"/>
        </w:rPr>
        <w:t>2</w:t>
      </w:r>
      <w:r w:rsidR="007909E7">
        <w:rPr>
          <w:rFonts w:ascii="Arial" w:hAnsi="Arial" w:cs="Arial"/>
        </w:rPr>
        <w:t>5</w:t>
      </w:r>
      <w:r w:rsidR="00D5054D">
        <w:rPr>
          <w:rFonts w:ascii="Arial" w:hAnsi="Arial" w:cs="Arial"/>
        </w:rPr>
        <w:t>8</w:t>
      </w:r>
      <w:r w:rsidRPr="007909E7" w:rsidR="007909E7">
        <w:rPr>
          <w:rFonts w:ascii="Arial" w:hAnsi="Arial" w:cs="Arial"/>
        </w:rPr>
        <w:t xml:space="preserve"> notices of intent to explore.  </w:t>
      </w:r>
      <w:r w:rsidR="00D5054D">
        <w:rPr>
          <w:rFonts w:ascii="Arial" w:hAnsi="Arial" w:cs="Arial"/>
        </w:rPr>
        <w:t>W</w:t>
      </w:r>
      <w:r w:rsidRPr="007909E7" w:rsidR="007909E7">
        <w:rPr>
          <w:rFonts w:ascii="Arial" w:hAnsi="Arial" w:cs="Arial"/>
        </w:rPr>
        <w:t xml:space="preserve">e did not receive any notices </w:t>
      </w:r>
      <w:r w:rsidR="00D5054D">
        <w:rPr>
          <w:rFonts w:ascii="Arial" w:hAnsi="Arial" w:cs="Arial"/>
        </w:rPr>
        <w:t>w</w:t>
      </w:r>
      <w:r w:rsidR="00EB3290">
        <w:rPr>
          <w:rFonts w:ascii="Arial" w:hAnsi="Arial" w:cs="Arial"/>
        </w:rPr>
        <w:t>h</w:t>
      </w:r>
      <w:r w:rsidR="00D5054D">
        <w:rPr>
          <w:rFonts w:ascii="Arial" w:hAnsi="Arial" w:cs="Arial"/>
        </w:rPr>
        <w:t xml:space="preserve">ere OSMRE is the regulatory authority </w:t>
      </w:r>
      <w:r w:rsidRPr="007909E7" w:rsidR="007909E7">
        <w:rPr>
          <w:rFonts w:ascii="Arial" w:hAnsi="Arial" w:cs="Arial"/>
        </w:rPr>
        <w:t>and we do not anticipate receiving any notices in the next few years.  Th</w:t>
      </w:r>
      <w:r w:rsidR="00D5054D">
        <w:rPr>
          <w:rFonts w:ascii="Arial" w:hAnsi="Arial" w:cs="Arial"/>
        </w:rPr>
        <w:t xml:space="preserve">e reduction </w:t>
      </w:r>
      <w:r w:rsidR="00CB75B7">
        <w:rPr>
          <w:rFonts w:ascii="Arial" w:hAnsi="Arial" w:cs="Arial"/>
        </w:rPr>
        <w:t xml:space="preserve">of </w:t>
      </w:r>
      <w:r w:rsidR="003A25B9">
        <w:rPr>
          <w:rFonts w:ascii="Arial" w:hAnsi="Arial" w:cs="Arial"/>
        </w:rPr>
        <w:t xml:space="preserve">notices to explore </w:t>
      </w:r>
      <w:r w:rsidR="00D5054D">
        <w:rPr>
          <w:rFonts w:ascii="Arial" w:hAnsi="Arial" w:cs="Arial"/>
        </w:rPr>
        <w:t xml:space="preserve">from 288 </w:t>
      </w:r>
      <w:r w:rsidR="003A25B9">
        <w:rPr>
          <w:rFonts w:ascii="Arial" w:hAnsi="Arial" w:cs="Arial"/>
        </w:rPr>
        <w:t xml:space="preserve">in 2017 to 258 </w:t>
      </w:r>
      <w:r w:rsidR="00D5054D">
        <w:rPr>
          <w:rFonts w:ascii="Arial" w:hAnsi="Arial" w:cs="Arial"/>
        </w:rPr>
        <w:t xml:space="preserve">mirrors other permitting activity for </w:t>
      </w:r>
      <w:r w:rsidR="003A25B9">
        <w:rPr>
          <w:rFonts w:ascii="Arial" w:hAnsi="Arial" w:cs="Arial"/>
        </w:rPr>
        <w:t xml:space="preserve">the </w:t>
      </w:r>
      <w:r w:rsidR="00EB3290">
        <w:rPr>
          <w:rFonts w:ascii="Arial" w:hAnsi="Arial" w:cs="Arial"/>
        </w:rPr>
        <w:t xml:space="preserve">mining </w:t>
      </w:r>
      <w:r w:rsidR="003A25B9">
        <w:rPr>
          <w:rFonts w:ascii="Arial" w:hAnsi="Arial" w:cs="Arial"/>
        </w:rPr>
        <w:t>industry nationwide</w:t>
      </w:r>
      <w:r w:rsidRPr="007909E7" w:rsidR="007909E7">
        <w:rPr>
          <w:rFonts w:ascii="Arial" w:hAnsi="Arial" w:cs="Arial"/>
        </w:rPr>
        <w:t xml:space="preserve">.  </w:t>
      </w:r>
    </w:p>
    <w:p w:rsidRPr="007909E7" w:rsidR="007909E7" w:rsidP="007909E7" w:rsidRDefault="007909E7" w14:paraId="61BF307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3A25B9" w:rsidP="00F65012" w:rsidRDefault="007909E7" w14:paraId="37FA41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7909E7">
        <w:rPr>
          <w:rFonts w:ascii="Arial" w:hAnsi="Arial" w:cs="Arial"/>
        </w:rPr>
        <w:tab/>
        <w:t xml:space="preserve">According to the entities listed in item 8, preparation of a notice of intent to explore requires an average of 5 hours.  Accordingly, the total annual information collection burden for persons filing notices of intent for §772.11 is an estimated </w:t>
      </w:r>
      <w:r w:rsidRPr="0057703E">
        <w:rPr>
          <w:rFonts w:ascii="Arial" w:hAnsi="Arial" w:cs="Arial"/>
          <w:bCs/>
        </w:rPr>
        <w:t>1,</w:t>
      </w:r>
      <w:r w:rsidRPr="0057703E" w:rsidR="0057703E">
        <w:rPr>
          <w:rFonts w:ascii="Arial" w:hAnsi="Arial" w:cs="Arial"/>
          <w:bCs/>
        </w:rPr>
        <w:t>29</w:t>
      </w:r>
      <w:r w:rsidR="003A25B9">
        <w:rPr>
          <w:rFonts w:ascii="Arial" w:hAnsi="Arial" w:cs="Arial"/>
          <w:bCs/>
        </w:rPr>
        <w:t>0</w:t>
      </w:r>
      <w:r w:rsidRPr="0057703E">
        <w:rPr>
          <w:rFonts w:ascii="Arial" w:hAnsi="Arial" w:cs="Arial"/>
          <w:bCs/>
        </w:rPr>
        <w:t xml:space="preserve"> hours</w:t>
      </w:r>
      <w:r w:rsidRPr="007909E7">
        <w:rPr>
          <w:rFonts w:ascii="Arial" w:hAnsi="Arial" w:cs="Arial"/>
        </w:rPr>
        <w:t xml:space="preserve"> (2</w:t>
      </w:r>
      <w:r w:rsidR="0057703E">
        <w:rPr>
          <w:rFonts w:ascii="Arial" w:hAnsi="Arial" w:cs="Arial"/>
        </w:rPr>
        <w:t>5</w:t>
      </w:r>
      <w:r w:rsidR="003A25B9">
        <w:rPr>
          <w:rFonts w:ascii="Arial" w:hAnsi="Arial" w:cs="Arial"/>
        </w:rPr>
        <w:t>8</w:t>
      </w:r>
      <w:r w:rsidRPr="007909E7">
        <w:rPr>
          <w:rFonts w:ascii="Arial" w:hAnsi="Arial" w:cs="Arial"/>
        </w:rPr>
        <w:t xml:space="preserve"> notices x 5 hours per notice).</w:t>
      </w:r>
      <w:r w:rsidR="0057703E">
        <w:rPr>
          <w:rFonts w:ascii="Arial" w:hAnsi="Arial" w:cs="Arial"/>
        </w:rPr>
        <w:t xml:space="preserve">  </w:t>
      </w:r>
      <w:r w:rsidR="003A25B9">
        <w:rPr>
          <w:rFonts w:ascii="Arial" w:hAnsi="Arial" w:cs="Arial"/>
        </w:rPr>
        <w:t xml:space="preserve">From </w:t>
      </w:r>
      <w:r w:rsidRPr="0057703E" w:rsidR="0057703E">
        <w:rPr>
          <w:rFonts w:ascii="Arial" w:hAnsi="Arial" w:cs="Arial"/>
        </w:rPr>
        <w:t>state-specific annual evaluation</w:t>
      </w:r>
      <w:r w:rsidR="003A25B9">
        <w:rPr>
          <w:rFonts w:ascii="Arial" w:hAnsi="Arial" w:cs="Arial"/>
        </w:rPr>
        <w:t>s</w:t>
      </w:r>
      <w:r w:rsidRPr="0057703E" w:rsidR="0057703E">
        <w:rPr>
          <w:rFonts w:ascii="Arial" w:hAnsi="Arial" w:cs="Arial"/>
        </w:rPr>
        <w:t xml:space="preserve"> </w:t>
      </w:r>
      <w:r w:rsidR="003A25B9">
        <w:rPr>
          <w:rFonts w:ascii="Arial" w:hAnsi="Arial" w:cs="Arial"/>
        </w:rPr>
        <w:t xml:space="preserve">we still anticipate </w:t>
      </w:r>
      <w:r w:rsidRPr="0057703E" w:rsidR="0057703E">
        <w:rPr>
          <w:rFonts w:ascii="Arial" w:hAnsi="Arial" w:cs="Arial"/>
        </w:rPr>
        <w:t>2 applications for exploration permits</w:t>
      </w:r>
      <w:r w:rsidR="003A25B9">
        <w:rPr>
          <w:rFonts w:ascii="Arial" w:hAnsi="Arial" w:cs="Arial"/>
        </w:rPr>
        <w:t xml:space="preserve"> which allow operators to remove more than 250 tons of coal per year</w:t>
      </w:r>
      <w:r w:rsidRPr="0057703E" w:rsidR="0057703E">
        <w:rPr>
          <w:rFonts w:ascii="Arial" w:hAnsi="Arial" w:cs="Arial"/>
        </w:rPr>
        <w:t xml:space="preserve">.  </w:t>
      </w:r>
    </w:p>
    <w:p w:rsidR="00156C1F" w:rsidP="00BF5F42" w:rsidRDefault="0057703E" w14:paraId="1DB3D426" w14:textId="0C8E5BF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r w:rsidRPr="0057703E">
        <w:rPr>
          <w:rFonts w:ascii="Arial" w:hAnsi="Arial" w:cs="Arial"/>
        </w:rPr>
        <w:t xml:space="preserve">According to the </w:t>
      </w:r>
      <w:r w:rsidR="003A25B9">
        <w:rPr>
          <w:rFonts w:ascii="Arial" w:hAnsi="Arial" w:cs="Arial"/>
        </w:rPr>
        <w:t xml:space="preserve">contacts </w:t>
      </w:r>
      <w:r w:rsidRPr="0057703E">
        <w:rPr>
          <w:rFonts w:ascii="Arial" w:hAnsi="Arial" w:cs="Arial"/>
        </w:rPr>
        <w:t xml:space="preserve">listed in Item 8, development of an application for a coal exploration permit, including preparation of the newspaper notice required by §772.12(c), still requires an average of 70 hours.  Accordingly, the total annual information collection burden for persons filing applications for coal exploration for §772.12 is an estimated </w:t>
      </w:r>
      <w:r w:rsidRPr="0057703E">
        <w:rPr>
          <w:rFonts w:ascii="Arial" w:hAnsi="Arial" w:cs="Arial"/>
          <w:b/>
        </w:rPr>
        <w:t>140</w:t>
      </w:r>
      <w:r w:rsidRPr="0057703E">
        <w:rPr>
          <w:rFonts w:ascii="Arial" w:hAnsi="Arial" w:cs="Arial"/>
        </w:rPr>
        <w:t xml:space="preserve"> </w:t>
      </w:r>
      <w:r w:rsidR="00EB51A4">
        <w:rPr>
          <w:rFonts w:ascii="Arial" w:hAnsi="Arial" w:cs="Arial"/>
        </w:rPr>
        <w:t xml:space="preserve">hours </w:t>
      </w:r>
      <w:r w:rsidRPr="0057703E">
        <w:rPr>
          <w:rFonts w:ascii="Arial" w:hAnsi="Arial" w:cs="Arial"/>
        </w:rPr>
        <w:t>(2 applications x 70 hours per application).</w:t>
      </w:r>
      <w:r w:rsidR="00076738">
        <w:rPr>
          <w:rFonts w:ascii="Arial" w:hAnsi="Arial" w:cs="Arial"/>
        </w:rPr>
        <w:t xml:space="preserve"> </w:t>
      </w:r>
      <w:r w:rsidRPr="00076738" w:rsidR="00076738">
        <w:rPr>
          <w:rFonts w:ascii="Arial" w:hAnsi="Arial" w:cs="Arial"/>
        </w:rPr>
        <w:t xml:space="preserve">According to the state regulatory authorities listed in item 8, the previous burden estimates are still accurate for §772.12.  </w:t>
      </w:r>
      <w:r w:rsidR="003A25B9">
        <w:rPr>
          <w:rFonts w:ascii="Arial" w:hAnsi="Arial" w:cs="Arial"/>
        </w:rPr>
        <w:br/>
      </w:r>
      <w:r w:rsidR="003A25B9">
        <w:rPr>
          <w:rFonts w:ascii="Arial" w:hAnsi="Arial" w:cs="Arial"/>
        </w:rPr>
        <w:br/>
      </w:r>
      <w:r w:rsidRPr="00076738" w:rsidR="00076738">
        <w:rPr>
          <w:rFonts w:ascii="Arial" w:hAnsi="Arial" w:cs="Arial"/>
        </w:rPr>
        <w:t xml:space="preserve">We estimate that preparation and mailing a decision notification letter requires an average of 30 minutes, with each application requiring an average of 10 decision notification letters (to the applicant, county/state/federal agencies, and commenters), or 5 hours per application.  We also expect that the regulatory authority will typically e-mail 30 notifications to various entities, which will take 1 additional hour of time.  Preparation and posting of a decision notice in a public office in the vicinity of the proposed operation requires an average of 2 additional hours per application.  For §772.12, the total estimated time for the state regulatory authority to implement this section would be 53 hours (45 hours per review + 5 hours for decision notification letters + 1 hour for e-mail notifications  + 2 hours to post the decision notice) per application.  Therefore, we estimate that the annual burden to the state regulatory authorities for compliance with the information collection requirements of §772.12 will be </w:t>
      </w:r>
      <w:r w:rsidRPr="00076738" w:rsidR="00076738">
        <w:rPr>
          <w:rFonts w:ascii="Arial" w:hAnsi="Arial" w:cs="Arial"/>
          <w:b/>
        </w:rPr>
        <w:t>106</w:t>
      </w:r>
      <w:r w:rsidRPr="00076738" w:rsidR="00076738">
        <w:rPr>
          <w:rFonts w:ascii="Arial" w:hAnsi="Arial" w:cs="Arial"/>
          <w:b/>
          <w:bCs/>
        </w:rPr>
        <w:t xml:space="preserve"> hours </w:t>
      </w:r>
      <w:r w:rsidRPr="00076738" w:rsidR="00076738">
        <w:rPr>
          <w:rFonts w:ascii="Arial" w:hAnsi="Arial" w:cs="Arial"/>
          <w:bCs/>
        </w:rPr>
        <w:t>(53 hours per permit applicant x 2 applications)</w:t>
      </w:r>
      <w:r w:rsidRPr="00076738" w:rsidR="00076738">
        <w:rPr>
          <w:rFonts w:ascii="Arial" w:hAnsi="Arial" w:cs="Arial"/>
        </w:rPr>
        <w:t>.</w:t>
      </w:r>
      <w:r w:rsidR="00076738">
        <w:rPr>
          <w:rFonts w:ascii="Arial" w:hAnsi="Arial" w:cs="Arial"/>
        </w:rPr>
        <w:t xml:space="preserve"> </w:t>
      </w:r>
      <w:r w:rsidR="00076738">
        <w:rPr>
          <w:rFonts w:ascii="Arial" w:hAnsi="Arial" w:cs="Arial"/>
        </w:rPr>
        <w:br/>
      </w:r>
      <w:r w:rsidR="00076738">
        <w:rPr>
          <w:rFonts w:ascii="Arial" w:hAnsi="Arial" w:cs="Arial"/>
        </w:rPr>
        <w:br/>
      </w:r>
      <w:r w:rsidRPr="00076738" w:rsidR="00076738">
        <w:rPr>
          <w:rFonts w:ascii="Arial" w:hAnsi="Arial" w:cs="Arial"/>
        </w:rPr>
        <w:t xml:space="preserve">For all respondents, we estimate that the total annual information collection burden for §772.12 will be </w:t>
      </w:r>
      <w:r w:rsidRPr="00076738" w:rsidR="00076738">
        <w:rPr>
          <w:rFonts w:ascii="Arial" w:hAnsi="Arial" w:cs="Arial"/>
          <w:b/>
        </w:rPr>
        <w:t>246</w:t>
      </w:r>
      <w:r w:rsidRPr="00076738" w:rsidR="00076738">
        <w:rPr>
          <w:rFonts w:ascii="Arial" w:hAnsi="Arial" w:cs="Arial"/>
          <w:b/>
          <w:bCs/>
        </w:rPr>
        <w:t xml:space="preserve"> hours</w:t>
      </w:r>
      <w:r w:rsidRPr="00076738" w:rsidR="00076738">
        <w:rPr>
          <w:rFonts w:ascii="Arial" w:hAnsi="Arial" w:cs="Arial"/>
        </w:rPr>
        <w:t xml:space="preserve"> (140 hours for permit applicants + 106 hours for State regulatory authorities), which equates to an approximate burden of 123 hours for each application for a coal exploration permit (70 hours for </w:t>
      </w:r>
      <w:r w:rsidRPr="00076738" w:rsidR="00076738">
        <w:rPr>
          <w:rFonts w:ascii="Arial" w:hAnsi="Arial" w:cs="Arial"/>
        </w:rPr>
        <w:lastRenderedPageBreak/>
        <w:t>permit applicants + 53 hours for regulatory authorities).</w:t>
      </w:r>
      <w:r w:rsidR="00F65012">
        <w:rPr>
          <w:rFonts w:ascii="Arial" w:hAnsi="Arial" w:cs="Arial"/>
        </w:rPr>
        <w:t xml:space="preserve"> </w:t>
      </w:r>
      <w:r w:rsidR="00F65012">
        <w:rPr>
          <w:rFonts w:ascii="Arial" w:hAnsi="Arial" w:cs="Arial"/>
        </w:rPr>
        <w:br/>
      </w:r>
      <w:r w:rsidR="00F65012">
        <w:rPr>
          <w:rFonts w:ascii="Arial" w:hAnsi="Arial" w:cs="Arial"/>
        </w:rPr>
        <w:br/>
      </w:r>
      <w:r w:rsidR="00EB51A4">
        <w:rPr>
          <w:rFonts w:ascii="Arial" w:hAnsi="Arial" w:cs="Arial"/>
        </w:rPr>
        <w:t xml:space="preserve">Although </w:t>
      </w:r>
      <w:r w:rsidR="008B66AB">
        <w:rPr>
          <w:rFonts w:ascii="Arial" w:hAnsi="Arial" w:cs="Arial"/>
        </w:rPr>
        <w:t xml:space="preserve">not </w:t>
      </w:r>
      <w:r w:rsidR="008116F0">
        <w:rPr>
          <w:rFonts w:ascii="Arial" w:hAnsi="Arial" w:cs="Arial"/>
        </w:rPr>
        <w:t xml:space="preserve">recurring </w:t>
      </w:r>
      <w:r w:rsidR="008B66AB">
        <w:rPr>
          <w:rFonts w:ascii="Arial" w:hAnsi="Arial" w:cs="Arial"/>
        </w:rPr>
        <w:t xml:space="preserve">annually </w:t>
      </w:r>
      <w:r w:rsidR="00EB51A4">
        <w:rPr>
          <w:rFonts w:ascii="Arial" w:hAnsi="Arial" w:cs="Arial"/>
        </w:rPr>
        <w:t>w</w:t>
      </w:r>
      <w:r w:rsidRPr="00F65012" w:rsidR="00F65012">
        <w:rPr>
          <w:rFonts w:ascii="Arial" w:hAnsi="Arial" w:cs="Arial"/>
        </w:rPr>
        <w:t xml:space="preserve">e </w:t>
      </w:r>
      <w:r w:rsidR="008116F0">
        <w:rPr>
          <w:rFonts w:ascii="Arial" w:hAnsi="Arial" w:cs="Arial"/>
        </w:rPr>
        <w:t xml:space="preserve">have </w:t>
      </w:r>
      <w:r w:rsidRPr="00F65012" w:rsidR="00F65012">
        <w:rPr>
          <w:rFonts w:ascii="Arial" w:hAnsi="Arial" w:cs="Arial"/>
        </w:rPr>
        <w:t>assume</w:t>
      </w:r>
      <w:r w:rsidR="008116F0">
        <w:rPr>
          <w:rFonts w:ascii="Arial" w:hAnsi="Arial" w:cs="Arial"/>
        </w:rPr>
        <w:t>d</w:t>
      </w:r>
      <w:r w:rsidRPr="00F65012" w:rsidR="00F65012">
        <w:rPr>
          <w:rFonts w:ascii="Arial" w:hAnsi="Arial" w:cs="Arial"/>
        </w:rPr>
        <w:t xml:space="preserve"> that there will be one application </w:t>
      </w:r>
      <w:r w:rsidR="008116F0">
        <w:rPr>
          <w:rFonts w:ascii="Arial" w:hAnsi="Arial" w:cs="Arial"/>
        </w:rPr>
        <w:t xml:space="preserve">per year </w:t>
      </w:r>
      <w:r w:rsidR="00EB51A4">
        <w:rPr>
          <w:rFonts w:ascii="Arial" w:hAnsi="Arial" w:cs="Arial"/>
        </w:rPr>
        <w:t>for e</w:t>
      </w:r>
      <w:r w:rsidRPr="00F65012" w:rsidR="00EB51A4">
        <w:rPr>
          <w:rFonts w:ascii="Arial" w:hAnsi="Arial" w:cs="Arial"/>
        </w:rPr>
        <w:t>xploration permits proposing the sale or commercial use of coal removed during the exploration process</w:t>
      </w:r>
      <w:r w:rsidRPr="00EB51A4" w:rsidR="00EB51A4">
        <w:rPr>
          <w:rFonts w:ascii="Arial" w:hAnsi="Arial" w:cs="Arial"/>
        </w:rPr>
        <w:t xml:space="preserve"> </w:t>
      </w:r>
      <w:r w:rsidR="00EB51A4">
        <w:rPr>
          <w:rFonts w:ascii="Arial" w:hAnsi="Arial" w:cs="Arial"/>
        </w:rPr>
        <w:t xml:space="preserve">in accordance to </w:t>
      </w:r>
      <w:r w:rsidRPr="00F65012" w:rsidR="00EB51A4">
        <w:rPr>
          <w:rFonts w:ascii="Arial" w:hAnsi="Arial" w:cs="Arial"/>
        </w:rPr>
        <w:t>§772.14</w:t>
      </w:r>
      <w:r w:rsidRPr="00F65012" w:rsidR="00F65012">
        <w:rPr>
          <w:rFonts w:ascii="Arial" w:hAnsi="Arial" w:cs="Arial"/>
        </w:rPr>
        <w:t>.</w:t>
      </w:r>
      <w:r w:rsidR="008B66AB">
        <w:rPr>
          <w:rFonts w:ascii="Arial" w:hAnsi="Arial" w:cs="Arial"/>
        </w:rPr>
        <w:t xml:space="preserve"> </w:t>
      </w:r>
      <w:r w:rsidRPr="00F65012" w:rsidR="00F65012">
        <w:rPr>
          <w:rFonts w:ascii="Arial" w:hAnsi="Arial" w:cs="Arial"/>
        </w:rPr>
        <w:t xml:space="preserve">We estimate that the applicant will need an average of 16 hours to collect and compile the requested information.  We also estimate that the regulatory authority will need an average of 2 hours to review the information and make the requisite written finding.  Therefore, we estimate that the annual information collection burden for respondents for §772.14 will total </w:t>
      </w:r>
      <w:r w:rsidRPr="00F65012" w:rsidR="00F65012">
        <w:rPr>
          <w:rFonts w:ascii="Arial" w:hAnsi="Arial" w:cs="Arial"/>
          <w:b/>
          <w:bCs/>
        </w:rPr>
        <w:t>18 hours</w:t>
      </w:r>
      <w:r w:rsidRPr="00F65012" w:rsidR="00F65012">
        <w:rPr>
          <w:rFonts w:ascii="Arial" w:hAnsi="Arial" w:cs="Arial"/>
        </w:rPr>
        <w:t xml:space="preserve"> (16 hours for the permit applicant + 2 hours for the regulatory authority).</w:t>
      </w:r>
      <w:r w:rsidR="0007135E">
        <w:rPr>
          <w:rFonts w:ascii="Arial" w:hAnsi="Arial" w:cs="Arial"/>
        </w:rPr>
        <w:br/>
      </w:r>
      <w:r w:rsidR="0007135E">
        <w:rPr>
          <w:rFonts w:ascii="Arial" w:hAnsi="Arial" w:cs="Arial"/>
        </w:rPr>
        <w:br/>
      </w:r>
      <w:r w:rsidRPr="0007135E" w:rsidR="0007135E">
        <w:rPr>
          <w:rFonts w:ascii="Arial" w:hAnsi="Arial" w:cs="Arial"/>
        </w:rPr>
        <w:t>As discussed we anticipate that state regulatory authorities will receive an average of 2</w:t>
      </w:r>
      <w:r w:rsidR="00EB51A4">
        <w:rPr>
          <w:rFonts w:ascii="Arial" w:hAnsi="Arial" w:cs="Arial"/>
        </w:rPr>
        <w:t>58</w:t>
      </w:r>
      <w:r w:rsidRPr="0007135E" w:rsidR="0007135E">
        <w:rPr>
          <w:rFonts w:ascii="Arial" w:hAnsi="Arial" w:cs="Arial"/>
        </w:rPr>
        <w:t xml:space="preserve"> notices of intent to explore </w:t>
      </w:r>
      <w:r w:rsidR="002F0C63">
        <w:rPr>
          <w:rFonts w:ascii="Arial" w:hAnsi="Arial" w:cs="Arial"/>
        </w:rPr>
        <w:t xml:space="preserve">and </w:t>
      </w:r>
      <w:r w:rsidRPr="0007135E" w:rsidR="0007135E">
        <w:rPr>
          <w:rFonts w:ascii="Arial" w:hAnsi="Arial" w:cs="Arial"/>
        </w:rPr>
        <w:t>2 applications for coal exploration permits each year</w:t>
      </w:r>
      <w:r w:rsidR="002F0C63">
        <w:rPr>
          <w:rFonts w:ascii="Arial" w:hAnsi="Arial" w:cs="Arial"/>
        </w:rPr>
        <w:t xml:space="preserve"> for a total of </w:t>
      </w:r>
      <w:r w:rsidRPr="0007135E" w:rsidR="0007135E">
        <w:rPr>
          <w:rFonts w:ascii="Arial" w:hAnsi="Arial" w:cs="Arial"/>
        </w:rPr>
        <w:t>2</w:t>
      </w:r>
      <w:r w:rsidR="002F0C63">
        <w:rPr>
          <w:rFonts w:ascii="Arial" w:hAnsi="Arial" w:cs="Arial"/>
        </w:rPr>
        <w:t>6</w:t>
      </w:r>
      <w:r w:rsidRPr="0007135E" w:rsidR="0007135E">
        <w:rPr>
          <w:rFonts w:ascii="Arial" w:hAnsi="Arial" w:cs="Arial"/>
        </w:rPr>
        <w:t>0</w:t>
      </w:r>
      <w:r w:rsidR="002F0C63">
        <w:rPr>
          <w:rFonts w:ascii="Arial" w:hAnsi="Arial" w:cs="Arial"/>
        </w:rPr>
        <w:t xml:space="preserve">. </w:t>
      </w:r>
      <w:r w:rsidRPr="0007135E" w:rsidR="0007135E">
        <w:rPr>
          <w:rFonts w:ascii="Arial" w:hAnsi="Arial" w:cs="Arial"/>
        </w:rPr>
        <w:t xml:space="preserve">Therefore, we estimate that the annual recordkeeping burden on state regulatory authorities under §772.15(a) is </w:t>
      </w:r>
      <w:r w:rsidRPr="0007135E" w:rsidR="0007135E">
        <w:rPr>
          <w:rFonts w:ascii="Arial" w:hAnsi="Arial" w:cs="Arial"/>
          <w:b/>
        </w:rPr>
        <w:t>1</w:t>
      </w:r>
      <w:r w:rsidR="002F0C63">
        <w:rPr>
          <w:rFonts w:ascii="Arial" w:hAnsi="Arial" w:cs="Arial"/>
          <w:b/>
        </w:rPr>
        <w:t>30</w:t>
      </w:r>
      <w:r w:rsidRPr="0007135E" w:rsidR="0007135E">
        <w:rPr>
          <w:rFonts w:ascii="Arial" w:hAnsi="Arial" w:cs="Arial"/>
          <w:b/>
          <w:bCs/>
        </w:rPr>
        <w:t xml:space="preserve"> hours </w:t>
      </w:r>
      <w:r w:rsidRPr="0007135E" w:rsidR="0007135E">
        <w:rPr>
          <w:rFonts w:ascii="Arial" w:hAnsi="Arial" w:cs="Arial"/>
        </w:rPr>
        <w:t>(2</w:t>
      </w:r>
      <w:r w:rsidR="002F0C63">
        <w:rPr>
          <w:rFonts w:ascii="Arial" w:hAnsi="Arial" w:cs="Arial"/>
        </w:rPr>
        <w:t>60</w:t>
      </w:r>
      <w:r w:rsidRPr="0007135E" w:rsidR="0007135E">
        <w:rPr>
          <w:rFonts w:ascii="Arial" w:hAnsi="Arial" w:cs="Arial"/>
        </w:rPr>
        <w:t xml:space="preserve"> notices and permits received by state regulatory authorities x 0.5 hour per notice or permit). The estimated annual information collection burden for persons to prepare and submit requests for confidentiality under §772.15(b) is </w:t>
      </w:r>
      <w:r w:rsidRPr="0007135E" w:rsidR="0007135E">
        <w:rPr>
          <w:rFonts w:ascii="Arial" w:hAnsi="Arial" w:cs="Arial"/>
          <w:b/>
        </w:rPr>
        <w:t>1</w:t>
      </w:r>
      <w:r w:rsidR="002F0C63">
        <w:rPr>
          <w:rFonts w:ascii="Arial" w:hAnsi="Arial" w:cs="Arial"/>
          <w:b/>
        </w:rPr>
        <w:t>3</w:t>
      </w:r>
      <w:r w:rsidRPr="0007135E" w:rsidR="0007135E">
        <w:rPr>
          <w:rFonts w:ascii="Arial" w:hAnsi="Arial" w:cs="Arial"/>
          <w:b/>
          <w:bCs/>
        </w:rPr>
        <w:t xml:space="preserve"> hours</w:t>
      </w:r>
      <w:r w:rsidRPr="0007135E" w:rsidR="0007135E">
        <w:rPr>
          <w:rFonts w:ascii="Arial" w:hAnsi="Arial" w:cs="Arial"/>
        </w:rPr>
        <w:t xml:space="preserve"> (2</w:t>
      </w:r>
      <w:r w:rsidR="002F0C63">
        <w:rPr>
          <w:rFonts w:ascii="Arial" w:hAnsi="Arial" w:cs="Arial"/>
        </w:rPr>
        <w:t>6</w:t>
      </w:r>
      <w:r w:rsidRPr="0007135E" w:rsidR="0007135E">
        <w:rPr>
          <w:rFonts w:ascii="Arial" w:hAnsi="Arial" w:cs="Arial"/>
        </w:rPr>
        <w:t>0 notices and permits x 0.1 request per notice or permit x 0.5 hour per request).</w:t>
      </w:r>
      <w:r w:rsidR="002F0C63">
        <w:rPr>
          <w:rFonts w:ascii="Arial" w:hAnsi="Arial" w:cs="Arial"/>
        </w:rPr>
        <w:t xml:space="preserve"> </w:t>
      </w:r>
      <w:r w:rsidRPr="0007135E" w:rsidR="0007135E">
        <w:rPr>
          <w:rFonts w:ascii="Arial" w:hAnsi="Arial" w:cs="Arial"/>
        </w:rPr>
        <w:t xml:space="preserve">Therefore, the combined information collection and recordkeeping burden for both paragraphs (a) and (b) of §772.15 is approximately </w:t>
      </w:r>
      <w:r w:rsidRPr="0007135E" w:rsidR="0007135E">
        <w:rPr>
          <w:rFonts w:ascii="Arial" w:hAnsi="Arial" w:cs="Arial"/>
          <w:b/>
        </w:rPr>
        <w:t>1</w:t>
      </w:r>
      <w:r w:rsidR="002F0C63">
        <w:rPr>
          <w:rFonts w:ascii="Arial" w:hAnsi="Arial" w:cs="Arial"/>
          <w:b/>
        </w:rPr>
        <w:t>43</w:t>
      </w:r>
      <w:r w:rsidRPr="0007135E" w:rsidR="0007135E">
        <w:rPr>
          <w:rFonts w:ascii="Arial" w:hAnsi="Arial" w:cs="Arial"/>
          <w:b/>
          <w:bCs/>
        </w:rPr>
        <w:t xml:space="preserve"> hours</w:t>
      </w:r>
      <w:r w:rsidRPr="0007135E" w:rsidR="0007135E">
        <w:rPr>
          <w:rFonts w:ascii="Arial" w:hAnsi="Arial" w:cs="Arial"/>
        </w:rPr>
        <w:t xml:space="preserve"> (1</w:t>
      </w:r>
      <w:r w:rsidR="002F0C63">
        <w:rPr>
          <w:rFonts w:ascii="Arial" w:hAnsi="Arial" w:cs="Arial"/>
        </w:rPr>
        <w:t>30</w:t>
      </w:r>
      <w:r w:rsidRPr="0007135E" w:rsidR="0007135E">
        <w:rPr>
          <w:rFonts w:ascii="Arial" w:hAnsi="Arial" w:cs="Arial"/>
        </w:rPr>
        <w:t xml:space="preserve"> hours for state regulatory authority recordkeeping + 1</w:t>
      </w:r>
      <w:r w:rsidR="002F0C63">
        <w:rPr>
          <w:rFonts w:ascii="Arial" w:hAnsi="Arial" w:cs="Arial"/>
        </w:rPr>
        <w:t>3</w:t>
      </w:r>
      <w:r w:rsidRPr="0007135E" w:rsidR="0007135E">
        <w:rPr>
          <w:rFonts w:ascii="Arial" w:hAnsi="Arial" w:cs="Arial"/>
        </w:rPr>
        <w:t xml:space="preserve"> hours for applicants to prepare confidentiality requests).</w:t>
      </w:r>
      <w:r w:rsidR="00156C1F">
        <w:rPr>
          <w:rFonts w:ascii="Arial" w:hAnsi="Arial" w:cs="Arial"/>
        </w:rPr>
        <w:br/>
      </w:r>
      <w:r w:rsidR="00156C1F">
        <w:rPr>
          <w:rFonts w:ascii="Arial" w:hAnsi="Arial" w:cs="Arial"/>
        </w:rPr>
        <w:br/>
      </w:r>
    </w:p>
    <w:tbl>
      <w:tblPr>
        <w:tblW w:w="11567" w:type="dxa"/>
        <w:tblInd w:w="-1062" w:type="dxa"/>
        <w:tblLook w:val="04A0" w:firstRow="1" w:lastRow="0" w:firstColumn="1" w:lastColumn="0" w:noHBand="0" w:noVBand="1"/>
      </w:tblPr>
      <w:tblGrid>
        <w:gridCol w:w="1158"/>
        <w:gridCol w:w="1353"/>
        <w:gridCol w:w="1207"/>
        <w:gridCol w:w="1175"/>
        <w:gridCol w:w="1317"/>
        <w:gridCol w:w="812"/>
        <w:gridCol w:w="859"/>
        <w:gridCol w:w="1256"/>
        <w:gridCol w:w="1073"/>
        <w:gridCol w:w="1135"/>
        <w:gridCol w:w="222"/>
      </w:tblGrid>
      <w:tr w:rsidRPr="007C32C3" w:rsidR="007C32C3" w:rsidTr="007C32C3" w14:paraId="624EBC58" w14:textId="77777777">
        <w:trPr>
          <w:gridAfter w:val="1"/>
          <w:wAfter w:w="222" w:type="dxa"/>
          <w:trHeight w:val="225"/>
        </w:trPr>
        <w:tc>
          <w:tcPr>
            <w:tcW w:w="11345" w:type="dxa"/>
            <w:gridSpan w:val="10"/>
            <w:tcBorders>
              <w:top w:val="double" w:color="auto" w:sz="6" w:space="0"/>
              <w:left w:val="double" w:color="auto" w:sz="6" w:space="0"/>
              <w:bottom w:val="single" w:color="auto" w:sz="8" w:space="0"/>
              <w:right w:val="double" w:color="000000" w:sz="6" w:space="0"/>
            </w:tcBorders>
            <w:shd w:val="clear" w:color="000000" w:fill="FFFFFF"/>
            <w:vAlign w:val="center"/>
            <w:hideMark/>
          </w:tcPr>
          <w:p w:rsidRPr="007C32C3" w:rsidR="007C32C3" w:rsidP="007C32C3" w:rsidRDefault="007C32C3" w14:paraId="338A78F2" w14:textId="77777777">
            <w:pPr>
              <w:autoSpaceDE/>
              <w:autoSpaceDN/>
              <w:adjustRightInd/>
              <w:jc w:val="center"/>
              <w:rPr>
                <w:b/>
                <w:bCs/>
                <w:color w:val="000000"/>
              </w:rPr>
            </w:pPr>
            <w:r w:rsidRPr="007C32C3">
              <w:rPr>
                <w:b/>
                <w:bCs/>
                <w:color w:val="000000"/>
              </w:rPr>
              <w:t>INFORMATION COLLECTION SUMMARY FOR 30 CFR PART 772 (2021)</w:t>
            </w:r>
          </w:p>
        </w:tc>
      </w:tr>
      <w:tr w:rsidRPr="007C32C3" w:rsidR="007C32C3" w:rsidTr="007C32C3" w14:paraId="2FB6A867" w14:textId="77777777">
        <w:trPr>
          <w:gridAfter w:val="1"/>
          <w:wAfter w:w="222" w:type="dxa"/>
          <w:trHeight w:val="240"/>
        </w:trPr>
        <w:tc>
          <w:tcPr>
            <w:tcW w:w="1078" w:type="dxa"/>
            <w:vMerge w:val="restart"/>
            <w:tcBorders>
              <w:top w:val="nil"/>
              <w:left w:val="double" w:color="auto" w:sz="6" w:space="0"/>
              <w:bottom w:val="single" w:color="000000" w:sz="8" w:space="0"/>
              <w:right w:val="single" w:color="auto" w:sz="8" w:space="0"/>
            </w:tcBorders>
            <w:shd w:val="clear" w:color="000000" w:fill="FFFFFF"/>
            <w:vAlign w:val="center"/>
            <w:hideMark/>
          </w:tcPr>
          <w:p w:rsidRPr="007C32C3" w:rsidR="007C32C3" w:rsidP="007C32C3" w:rsidRDefault="007C32C3" w14:paraId="019C7369"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Section</w:t>
            </w:r>
          </w:p>
        </w:tc>
        <w:tc>
          <w:tcPr>
            <w:tcW w:w="1359"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6A0424C9"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Operator Responses</w:t>
            </w:r>
          </w:p>
        </w:tc>
        <w:tc>
          <w:tcPr>
            <w:tcW w:w="12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3C042237"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 xml:space="preserve">Operator Hours per Response </w:t>
            </w:r>
          </w:p>
        </w:tc>
        <w:tc>
          <w:tcPr>
            <w:tcW w:w="1189"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05A16C34"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Total Operator Hours</w:t>
            </w:r>
          </w:p>
        </w:tc>
        <w:tc>
          <w:tcPr>
            <w:tcW w:w="131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1CC0C0AA"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State Responses</w:t>
            </w:r>
          </w:p>
        </w:tc>
        <w:tc>
          <w:tcPr>
            <w:tcW w:w="813"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29ABEEF5"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State Hours per State</w:t>
            </w:r>
          </w:p>
        </w:tc>
        <w:tc>
          <w:tcPr>
            <w:tcW w:w="86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43FB057F"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Total State Hours</w:t>
            </w:r>
          </w:p>
        </w:tc>
        <w:tc>
          <w:tcPr>
            <w:tcW w:w="1265"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100EA079"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Total hours requested</w:t>
            </w:r>
          </w:p>
        </w:tc>
        <w:tc>
          <w:tcPr>
            <w:tcW w:w="1092"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7C32C3" w:rsidR="007C32C3" w:rsidP="007C32C3" w:rsidRDefault="007C32C3" w14:paraId="1C2EF270"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Current burden hours</w:t>
            </w:r>
          </w:p>
        </w:tc>
        <w:tc>
          <w:tcPr>
            <w:tcW w:w="1158" w:type="dxa"/>
            <w:vMerge w:val="restart"/>
            <w:tcBorders>
              <w:top w:val="nil"/>
              <w:left w:val="single" w:color="auto" w:sz="8" w:space="0"/>
              <w:bottom w:val="single" w:color="000000" w:sz="8" w:space="0"/>
              <w:right w:val="double" w:color="auto" w:sz="6" w:space="0"/>
            </w:tcBorders>
            <w:shd w:val="clear" w:color="000000" w:fill="FFFFFF"/>
            <w:vAlign w:val="center"/>
            <w:hideMark/>
          </w:tcPr>
          <w:p w:rsidRPr="007C32C3" w:rsidR="007C32C3" w:rsidP="007C32C3" w:rsidRDefault="007C32C3" w14:paraId="50177A2B"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Change in burden hours</w:t>
            </w:r>
          </w:p>
        </w:tc>
      </w:tr>
      <w:tr w:rsidRPr="007C32C3" w:rsidR="007C32C3" w:rsidTr="007C32C3" w14:paraId="60B06100" w14:textId="77777777">
        <w:trPr>
          <w:trHeight w:val="1100"/>
        </w:trPr>
        <w:tc>
          <w:tcPr>
            <w:tcW w:w="1078" w:type="dxa"/>
            <w:vMerge/>
            <w:tcBorders>
              <w:top w:val="nil"/>
              <w:left w:val="double" w:color="auto" w:sz="6" w:space="0"/>
              <w:bottom w:val="single" w:color="000000" w:sz="8" w:space="0"/>
              <w:right w:val="single" w:color="auto" w:sz="8" w:space="0"/>
            </w:tcBorders>
            <w:vAlign w:val="center"/>
            <w:hideMark/>
          </w:tcPr>
          <w:p w:rsidRPr="007C32C3" w:rsidR="007C32C3" w:rsidP="007C32C3" w:rsidRDefault="007C32C3" w14:paraId="0D6736A9" w14:textId="77777777">
            <w:pPr>
              <w:autoSpaceDE/>
              <w:autoSpaceDN/>
              <w:adjustRightInd/>
              <w:rPr>
                <w:rFonts w:ascii="Arial" w:hAnsi="Arial" w:cs="Arial"/>
                <w:color w:val="000000"/>
                <w:sz w:val="22"/>
                <w:szCs w:val="22"/>
              </w:rPr>
            </w:pPr>
          </w:p>
        </w:tc>
        <w:tc>
          <w:tcPr>
            <w:tcW w:w="1359"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4BA8B08F" w14:textId="77777777">
            <w:pPr>
              <w:autoSpaceDE/>
              <w:autoSpaceDN/>
              <w:adjustRightInd/>
              <w:rPr>
                <w:rFonts w:ascii="Arial" w:hAnsi="Arial" w:cs="Arial"/>
                <w:color w:val="000000"/>
                <w:sz w:val="22"/>
                <w:szCs w:val="22"/>
              </w:rPr>
            </w:pPr>
          </w:p>
        </w:tc>
        <w:tc>
          <w:tcPr>
            <w:tcW w:w="1207"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218A3C83" w14:textId="77777777">
            <w:pPr>
              <w:autoSpaceDE/>
              <w:autoSpaceDN/>
              <w:adjustRightInd/>
              <w:rPr>
                <w:rFonts w:ascii="Arial" w:hAnsi="Arial" w:cs="Arial"/>
                <w:color w:val="000000"/>
                <w:sz w:val="22"/>
                <w:szCs w:val="22"/>
              </w:rPr>
            </w:pPr>
          </w:p>
        </w:tc>
        <w:tc>
          <w:tcPr>
            <w:tcW w:w="1189"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4F4029E8" w14:textId="77777777">
            <w:pPr>
              <w:autoSpaceDE/>
              <w:autoSpaceDN/>
              <w:adjustRightInd/>
              <w:rPr>
                <w:rFonts w:ascii="Arial" w:hAnsi="Arial" w:cs="Arial"/>
                <w:color w:val="000000"/>
                <w:sz w:val="22"/>
                <w:szCs w:val="22"/>
              </w:rPr>
            </w:pPr>
          </w:p>
        </w:tc>
        <w:tc>
          <w:tcPr>
            <w:tcW w:w="1317"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6B948B96" w14:textId="77777777">
            <w:pPr>
              <w:autoSpaceDE/>
              <w:autoSpaceDN/>
              <w:adjustRightInd/>
              <w:rPr>
                <w:rFonts w:ascii="Arial" w:hAnsi="Arial" w:cs="Arial"/>
                <w:color w:val="000000"/>
                <w:sz w:val="22"/>
                <w:szCs w:val="22"/>
              </w:rPr>
            </w:pPr>
          </w:p>
        </w:tc>
        <w:tc>
          <w:tcPr>
            <w:tcW w:w="813"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3CBBDF52" w14:textId="77777777">
            <w:pPr>
              <w:autoSpaceDE/>
              <w:autoSpaceDN/>
              <w:adjustRightInd/>
              <w:rPr>
                <w:rFonts w:ascii="Arial" w:hAnsi="Arial" w:cs="Arial"/>
                <w:color w:val="000000"/>
                <w:sz w:val="22"/>
                <w:szCs w:val="22"/>
              </w:rPr>
            </w:pPr>
          </w:p>
        </w:tc>
        <w:tc>
          <w:tcPr>
            <w:tcW w:w="867"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0E7320F0" w14:textId="77777777">
            <w:pPr>
              <w:autoSpaceDE/>
              <w:autoSpaceDN/>
              <w:adjustRightInd/>
              <w:rPr>
                <w:rFonts w:ascii="Arial" w:hAnsi="Arial" w:cs="Arial"/>
                <w:color w:val="000000"/>
                <w:sz w:val="22"/>
                <w:szCs w:val="22"/>
              </w:rPr>
            </w:pPr>
          </w:p>
        </w:tc>
        <w:tc>
          <w:tcPr>
            <w:tcW w:w="1265"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71C349FC" w14:textId="77777777">
            <w:pPr>
              <w:autoSpaceDE/>
              <w:autoSpaceDN/>
              <w:adjustRightInd/>
              <w:rPr>
                <w:rFonts w:ascii="Arial" w:hAnsi="Arial" w:cs="Arial"/>
                <w:color w:val="000000"/>
                <w:sz w:val="22"/>
                <w:szCs w:val="22"/>
              </w:rPr>
            </w:pPr>
          </w:p>
        </w:tc>
        <w:tc>
          <w:tcPr>
            <w:tcW w:w="1092" w:type="dxa"/>
            <w:vMerge/>
            <w:tcBorders>
              <w:top w:val="nil"/>
              <w:left w:val="single" w:color="auto" w:sz="8" w:space="0"/>
              <w:bottom w:val="single" w:color="000000" w:sz="8" w:space="0"/>
              <w:right w:val="single" w:color="auto" w:sz="8" w:space="0"/>
            </w:tcBorders>
            <w:vAlign w:val="center"/>
            <w:hideMark/>
          </w:tcPr>
          <w:p w:rsidRPr="007C32C3" w:rsidR="007C32C3" w:rsidP="007C32C3" w:rsidRDefault="007C32C3" w14:paraId="6BFA4E97" w14:textId="77777777">
            <w:pPr>
              <w:autoSpaceDE/>
              <w:autoSpaceDN/>
              <w:adjustRightInd/>
              <w:rPr>
                <w:rFonts w:ascii="Arial" w:hAnsi="Arial" w:cs="Arial"/>
                <w:color w:val="000000"/>
                <w:sz w:val="22"/>
                <w:szCs w:val="22"/>
              </w:rPr>
            </w:pPr>
          </w:p>
        </w:tc>
        <w:tc>
          <w:tcPr>
            <w:tcW w:w="1158" w:type="dxa"/>
            <w:vMerge/>
            <w:tcBorders>
              <w:top w:val="nil"/>
              <w:left w:val="single" w:color="auto" w:sz="8" w:space="0"/>
              <w:bottom w:val="single" w:color="000000" w:sz="8" w:space="0"/>
              <w:right w:val="double" w:color="auto" w:sz="6" w:space="0"/>
            </w:tcBorders>
            <w:vAlign w:val="center"/>
            <w:hideMark/>
          </w:tcPr>
          <w:p w:rsidRPr="007C32C3" w:rsidR="007C32C3" w:rsidP="007C32C3" w:rsidRDefault="007C32C3" w14:paraId="7CA5F568" w14:textId="77777777">
            <w:pPr>
              <w:autoSpaceDE/>
              <w:autoSpaceDN/>
              <w:adjustRightInd/>
              <w:rPr>
                <w:rFonts w:ascii="Arial" w:hAnsi="Arial" w:cs="Arial"/>
                <w:color w:val="000000"/>
                <w:sz w:val="22"/>
                <w:szCs w:val="22"/>
              </w:rPr>
            </w:pPr>
          </w:p>
        </w:tc>
        <w:tc>
          <w:tcPr>
            <w:tcW w:w="222" w:type="dxa"/>
            <w:tcBorders>
              <w:top w:val="nil"/>
              <w:left w:val="nil"/>
              <w:bottom w:val="nil"/>
              <w:right w:val="nil"/>
            </w:tcBorders>
            <w:shd w:val="clear" w:color="auto" w:fill="auto"/>
            <w:noWrap/>
            <w:vAlign w:val="bottom"/>
            <w:hideMark/>
          </w:tcPr>
          <w:p w:rsidRPr="007C32C3" w:rsidR="007C32C3" w:rsidP="007C32C3" w:rsidRDefault="007C32C3" w14:paraId="05C48F0C" w14:textId="77777777">
            <w:pPr>
              <w:autoSpaceDE/>
              <w:autoSpaceDN/>
              <w:adjustRightInd/>
              <w:jc w:val="center"/>
              <w:rPr>
                <w:rFonts w:ascii="Arial" w:hAnsi="Arial" w:cs="Arial"/>
                <w:color w:val="000000"/>
                <w:sz w:val="22"/>
                <w:szCs w:val="22"/>
              </w:rPr>
            </w:pPr>
          </w:p>
        </w:tc>
      </w:tr>
      <w:tr w:rsidRPr="007C32C3" w:rsidR="007C32C3" w:rsidTr="007C32C3" w14:paraId="40496CD9" w14:textId="77777777">
        <w:trPr>
          <w:trHeight w:val="300"/>
        </w:trPr>
        <w:tc>
          <w:tcPr>
            <w:tcW w:w="1078" w:type="dxa"/>
            <w:tcBorders>
              <w:top w:val="nil"/>
              <w:left w:val="double" w:color="auto" w:sz="6" w:space="0"/>
              <w:bottom w:val="single" w:color="auto" w:sz="8" w:space="0"/>
              <w:right w:val="single" w:color="auto" w:sz="8" w:space="0"/>
            </w:tcBorders>
            <w:shd w:val="clear" w:color="000000" w:fill="FFFFFF"/>
            <w:vAlign w:val="center"/>
            <w:hideMark/>
          </w:tcPr>
          <w:p w:rsidRPr="007C32C3" w:rsidR="007C32C3" w:rsidP="007C32C3" w:rsidRDefault="007C32C3" w14:paraId="69862C31"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772.11</w:t>
            </w:r>
          </w:p>
        </w:tc>
        <w:tc>
          <w:tcPr>
            <w:tcW w:w="135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5B5A42EB"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258</w:t>
            </w:r>
          </w:p>
        </w:tc>
        <w:tc>
          <w:tcPr>
            <w:tcW w:w="120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30C61986"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5</w:t>
            </w:r>
          </w:p>
        </w:tc>
        <w:tc>
          <w:tcPr>
            <w:tcW w:w="118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3ACDEF97"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1,290</w:t>
            </w:r>
          </w:p>
        </w:tc>
        <w:tc>
          <w:tcPr>
            <w:tcW w:w="131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96D3965"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813"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3E3F7A62"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86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2446DF44"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1265"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4DEFE920"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1,290</w:t>
            </w:r>
          </w:p>
        </w:tc>
        <w:tc>
          <w:tcPr>
            <w:tcW w:w="1092"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7CF5E06"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1,440</w:t>
            </w:r>
          </w:p>
        </w:tc>
        <w:tc>
          <w:tcPr>
            <w:tcW w:w="1158" w:type="dxa"/>
            <w:tcBorders>
              <w:top w:val="nil"/>
              <w:left w:val="nil"/>
              <w:bottom w:val="single" w:color="auto" w:sz="8" w:space="0"/>
              <w:right w:val="double" w:color="auto" w:sz="6" w:space="0"/>
            </w:tcBorders>
            <w:shd w:val="clear" w:color="000000" w:fill="FFFFFF"/>
            <w:vAlign w:val="center"/>
            <w:hideMark/>
          </w:tcPr>
          <w:p w:rsidRPr="007C32C3" w:rsidR="007C32C3" w:rsidP="007C32C3" w:rsidRDefault="007C32C3" w14:paraId="3956C726"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-150</w:t>
            </w:r>
          </w:p>
        </w:tc>
        <w:tc>
          <w:tcPr>
            <w:tcW w:w="222" w:type="dxa"/>
            <w:vAlign w:val="center"/>
            <w:hideMark/>
          </w:tcPr>
          <w:p w:rsidRPr="007C32C3" w:rsidR="007C32C3" w:rsidP="007C32C3" w:rsidRDefault="007C32C3" w14:paraId="5122D4C5" w14:textId="77777777">
            <w:pPr>
              <w:autoSpaceDE/>
              <w:autoSpaceDN/>
              <w:adjustRightInd/>
              <w:rPr>
                <w:sz w:val="20"/>
                <w:szCs w:val="20"/>
              </w:rPr>
            </w:pPr>
          </w:p>
        </w:tc>
      </w:tr>
      <w:tr w:rsidRPr="007C32C3" w:rsidR="007C32C3" w:rsidTr="007C32C3" w14:paraId="783B059A" w14:textId="77777777">
        <w:trPr>
          <w:trHeight w:val="300"/>
        </w:trPr>
        <w:tc>
          <w:tcPr>
            <w:tcW w:w="1078" w:type="dxa"/>
            <w:tcBorders>
              <w:top w:val="nil"/>
              <w:left w:val="double" w:color="auto" w:sz="6" w:space="0"/>
              <w:bottom w:val="single" w:color="auto" w:sz="8" w:space="0"/>
              <w:right w:val="single" w:color="auto" w:sz="8" w:space="0"/>
            </w:tcBorders>
            <w:shd w:val="clear" w:color="000000" w:fill="FFFFFF"/>
            <w:vAlign w:val="center"/>
            <w:hideMark/>
          </w:tcPr>
          <w:p w:rsidRPr="007C32C3" w:rsidR="007C32C3" w:rsidP="007C32C3" w:rsidRDefault="007C32C3" w14:paraId="5BE18E28"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772.12</w:t>
            </w:r>
          </w:p>
        </w:tc>
        <w:tc>
          <w:tcPr>
            <w:tcW w:w="135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77177FC0"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w:t>
            </w:r>
          </w:p>
        </w:tc>
        <w:tc>
          <w:tcPr>
            <w:tcW w:w="120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5B8CE62E"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70</w:t>
            </w:r>
          </w:p>
        </w:tc>
        <w:tc>
          <w:tcPr>
            <w:tcW w:w="118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47674F3F"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140</w:t>
            </w:r>
          </w:p>
        </w:tc>
        <w:tc>
          <w:tcPr>
            <w:tcW w:w="131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61580A3D"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w:t>
            </w:r>
          </w:p>
        </w:tc>
        <w:tc>
          <w:tcPr>
            <w:tcW w:w="813"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98DA4A6"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53</w:t>
            </w:r>
          </w:p>
        </w:tc>
        <w:tc>
          <w:tcPr>
            <w:tcW w:w="86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19F229A8"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106</w:t>
            </w:r>
          </w:p>
        </w:tc>
        <w:tc>
          <w:tcPr>
            <w:tcW w:w="1265"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7A34D217"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246</w:t>
            </w:r>
          </w:p>
        </w:tc>
        <w:tc>
          <w:tcPr>
            <w:tcW w:w="1092"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576CC82C"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246</w:t>
            </w:r>
          </w:p>
        </w:tc>
        <w:tc>
          <w:tcPr>
            <w:tcW w:w="1158" w:type="dxa"/>
            <w:tcBorders>
              <w:top w:val="nil"/>
              <w:left w:val="nil"/>
              <w:bottom w:val="single" w:color="auto" w:sz="8" w:space="0"/>
              <w:right w:val="double" w:color="auto" w:sz="6" w:space="0"/>
            </w:tcBorders>
            <w:shd w:val="clear" w:color="000000" w:fill="FFFFFF"/>
            <w:vAlign w:val="center"/>
            <w:hideMark/>
          </w:tcPr>
          <w:p w:rsidRPr="007C32C3" w:rsidR="007C32C3" w:rsidP="007C32C3" w:rsidRDefault="007C32C3" w14:paraId="034817BB"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222" w:type="dxa"/>
            <w:vAlign w:val="center"/>
            <w:hideMark/>
          </w:tcPr>
          <w:p w:rsidRPr="007C32C3" w:rsidR="007C32C3" w:rsidP="007C32C3" w:rsidRDefault="007C32C3" w14:paraId="7FC308F1" w14:textId="77777777">
            <w:pPr>
              <w:autoSpaceDE/>
              <w:autoSpaceDN/>
              <w:adjustRightInd/>
              <w:rPr>
                <w:sz w:val="20"/>
                <w:szCs w:val="20"/>
              </w:rPr>
            </w:pPr>
          </w:p>
        </w:tc>
      </w:tr>
      <w:tr w:rsidRPr="007C32C3" w:rsidR="007C32C3" w:rsidTr="007C32C3" w14:paraId="45D017CD" w14:textId="77777777">
        <w:trPr>
          <w:trHeight w:val="300"/>
        </w:trPr>
        <w:tc>
          <w:tcPr>
            <w:tcW w:w="1078" w:type="dxa"/>
            <w:tcBorders>
              <w:top w:val="nil"/>
              <w:left w:val="double" w:color="auto" w:sz="6" w:space="0"/>
              <w:bottom w:val="single" w:color="auto" w:sz="8" w:space="0"/>
              <w:right w:val="single" w:color="auto" w:sz="8" w:space="0"/>
            </w:tcBorders>
            <w:shd w:val="clear" w:color="000000" w:fill="FFFFFF"/>
            <w:vAlign w:val="center"/>
            <w:hideMark/>
          </w:tcPr>
          <w:p w:rsidRPr="007C32C3" w:rsidR="007C32C3" w:rsidP="007C32C3" w:rsidRDefault="007C32C3" w14:paraId="0B52E60D"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772.14</w:t>
            </w:r>
          </w:p>
        </w:tc>
        <w:tc>
          <w:tcPr>
            <w:tcW w:w="135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6503301"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w:t>
            </w:r>
          </w:p>
        </w:tc>
        <w:tc>
          <w:tcPr>
            <w:tcW w:w="120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4DC15C45"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16</w:t>
            </w:r>
          </w:p>
        </w:tc>
        <w:tc>
          <w:tcPr>
            <w:tcW w:w="118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DFD91AB"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16</w:t>
            </w:r>
          </w:p>
        </w:tc>
        <w:tc>
          <w:tcPr>
            <w:tcW w:w="131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53CA155A"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w:t>
            </w:r>
          </w:p>
        </w:tc>
        <w:tc>
          <w:tcPr>
            <w:tcW w:w="813"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AA1FB6F"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w:t>
            </w:r>
          </w:p>
        </w:tc>
        <w:tc>
          <w:tcPr>
            <w:tcW w:w="86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3378DB8"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w:t>
            </w:r>
          </w:p>
        </w:tc>
        <w:tc>
          <w:tcPr>
            <w:tcW w:w="1265"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5448EC2"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18</w:t>
            </w:r>
          </w:p>
        </w:tc>
        <w:tc>
          <w:tcPr>
            <w:tcW w:w="1092"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322563D3"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18</w:t>
            </w:r>
          </w:p>
        </w:tc>
        <w:tc>
          <w:tcPr>
            <w:tcW w:w="1158" w:type="dxa"/>
            <w:tcBorders>
              <w:top w:val="nil"/>
              <w:left w:val="nil"/>
              <w:bottom w:val="single" w:color="auto" w:sz="8" w:space="0"/>
              <w:right w:val="double" w:color="auto" w:sz="6" w:space="0"/>
            </w:tcBorders>
            <w:shd w:val="clear" w:color="000000" w:fill="FFFFFF"/>
            <w:vAlign w:val="center"/>
            <w:hideMark/>
          </w:tcPr>
          <w:p w:rsidRPr="007C32C3" w:rsidR="007C32C3" w:rsidP="007C32C3" w:rsidRDefault="007C32C3" w14:paraId="5F735ABA"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222" w:type="dxa"/>
            <w:vAlign w:val="center"/>
            <w:hideMark/>
          </w:tcPr>
          <w:p w:rsidRPr="007C32C3" w:rsidR="007C32C3" w:rsidP="007C32C3" w:rsidRDefault="007C32C3" w14:paraId="676C6E4B" w14:textId="77777777">
            <w:pPr>
              <w:autoSpaceDE/>
              <w:autoSpaceDN/>
              <w:adjustRightInd/>
              <w:rPr>
                <w:sz w:val="20"/>
                <w:szCs w:val="20"/>
              </w:rPr>
            </w:pPr>
          </w:p>
        </w:tc>
      </w:tr>
      <w:tr w:rsidRPr="007C32C3" w:rsidR="007C32C3" w:rsidTr="007C32C3" w14:paraId="56EECF35" w14:textId="77777777">
        <w:trPr>
          <w:trHeight w:val="300"/>
        </w:trPr>
        <w:tc>
          <w:tcPr>
            <w:tcW w:w="1078" w:type="dxa"/>
            <w:tcBorders>
              <w:top w:val="nil"/>
              <w:left w:val="double" w:color="auto" w:sz="6" w:space="0"/>
              <w:bottom w:val="single" w:color="auto" w:sz="8" w:space="0"/>
              <w:right w:val="single" w:color="auto" w:sz="8" w:space="0"/>
            </w:tcBorders>
            <w:shd w:val="clear" w:color="000000" w:fill="FFFFFF"/>
            <w:vAlign w:val="center"/>
            <w:hideMark/>
          </w:tcPr>
          <w:p w:rsidRPr="007C32C3" w:rsidR="007C32C3" w:rsidP="007C32C3" w:rsidRDefault="007C32C3" w14:paraId="5B2DE42B"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772.15(a)</w:t>
            </w:r>
          </w:p>
        </w:tc>
        <w:tc>
          <w:tcPr>
            <w:tcW w:w="135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A973784"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120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66397A06"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118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460B256D"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131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34A799FE"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260</w:t>
            </w:r>
          </w:p>
        </w:tc>
        <w:tc>
          <w:tcPr>
            <w:tcW w:w="813"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011FE2" w14:paraId="1CCB857C" w14:textId="5AFE2F32">
            <w:pPr>
              <w:autoSpaceDE/>
              <w:autoSpaceDN/>
              <w:adjustRightInd/>
              <w:jc w:val="center"/>
              <w:rPr>
                <w:rFonts w:ascii="Arial" w:hAnsi="Arial" w:cs="Arial"/>
                <w:color w:val="000000"/>
                <w:sz w:val="22"/>
                <w:szCs w:val="22"/>
              </w:rPr>
            </w:pPr>
            <w:r>
              <w:rPr>
                <w:rFonts w:ascii="Arial" w:hAnsi="Arial" w:cs="Arial"/>
                <w:color w:val="000000"/>
                <w:sz w:val="22"/>
                <w:szCs w:val="22"/>
              </w:rPr>
              <w:t>0.5</w:t>
            </w:r>
          </w:p>
        </w:tc>
        <w:tc>
          <w:tcPr>
            <w:tcW w:w="86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46CCA237"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130</w:t>
            </w:r>
          </w:p>
        </w:tc>
        <w:tc>
          <w:tcPr>
            <w:tcW w:w="1265"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3377EC5A"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130</w:t>
            </w:r>
          </w:p>
        </w:tc>
        <w:tc>
          <w:tcPr>
            <w:tcW w:w="1092"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1AB30067"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145</w:t>
            </w:r>
          </w:p>
        </w:tc>
        <w:tc>
          <w:tcPr>
            <w:tcW w:w="1158" w:type="dxa"/>
            <w:tcBorders>
              <w:top w:val="nil"/>
              <w:left w:val="nil"/>
              <w:bottom w:val="single" w:color="auto" w:sz="8" w:space="0"/>
              <w:right w:val="double" w:color="auto" w:sz="6" w:space="0"/>
            </w:tcBorders>
            <w:shd w:val="clear" w:color="000000" w:fill="FFFFFF"/>
            <w:vAlign w:val="center"/>
            <w:hideMark/>
          </w:tcPr>
          <w:p w:rsidRPr="007C32C3" w:rsidR="007C32C3" w:rsidP="007C32C3" w:rsidRDefault="007C32C3" w14:paraId="602342BD"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-15</w:t>
            </w:r>
          </w:p>
        </w:tc>
        <w:tc>
          <w:tcPr>
            <w:tcW w:w="222" w:type="dxa"/>
            <w:vAlign w:val="center"/>
            <w:hideMark/>
          </w:tcPr>
          <w:p w:rsidRPr="007C32C3" w:rsidR="007C32C3" w:rsidP="007C32C3" w:rsidRDefault="007C32C3" w14:paraId="43C425E6" w14:textId="77777777">
            <w:pPr>
              <w:autoSpaceDE/>
              <w:autoSpaceDN/>
              <w:adjustRightInd/>
              <w:rPr>
                <w:sz w:val="20"/>
                <w:szCs w:val="20"/>
              </w:rPr>
            </w:pPr>
          </w:p>
        </w:tc>
      </w:tr>
      <w:tr w:rsidRPr="007C32C3" w:rsidR="007C32C3" w:rsidTr="007C32C3" w14:paraId="1F728E26" w14:textId="77777777">
        <w:trPr>
          <w:trHeight w:val="300"/>
        </w:trPr>
        <w:tc>
          <w:tcPr>
            <w:tcW w:w="1078" w:type="dxa"/>
            <w:tcBorders>
              <w:top w:val="nil"/>
              <w:left w:val="double" w:color="auto" w:sz="6" w:space="0"/>
              <w:bottom w:val="single" w:color="auto" w:sz="8" w:space="0"/>
              <w:right w:val="single" w:color="auto" w:sz="8" w:space="0"/>
            </w:tcBorders>
            <w:shd w:val="clear" w:color="000000" w:fill="FFFFFF"/>
            <w:vAlign w:val="center"/>
            <w:hideMark/>
          </w:tcPr>
          <w:p w:rsidRPr="007C32C3" w:rsidR="007C32C3" w:rsidP="007C32C3" w:rsidRDefault="007C32C3" w14:paraId="228FF840"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772.15(b)</w:t>
            </w:r>
          </w:p>
        </w:tc>
        <w:tc>
          <w:tcPr>
            <w:tcW w:w="135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8337A7B"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26</w:t>
            </w:r>
          </w:p>
        </w:tc>
        <w:tc>
          <w:tcPr>
            <w:tcW w:w="120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39EE823F"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w:t>
            </w:r>
          </w:p>
        </w:tc>
        <w:tc>
          <w:tcPr>
            <w:tcW w:w="1189"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0E078242"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13</w:t>
            </w:r>
          </w:p>
        </w:tc>
        <w:tc>
          <w:tcPr>
            <w:tcW w:w="131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511CC982"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813"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586B6E85"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867"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2C7BCC8B"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0</w:t>
            </w:r>
          </w:p>
        </w:tc>
        <w:tc>
          <w:tcPr>
            <w:tcW w:w="1265"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2462BD60"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13</w:t>
            </w:r>
          </w:p>
        </w:tc>
        <w:tc>
          <w:tcPr>
            <w:tcW w:w="1092" w:type="dxa"/>
            <w:tcBorders>
              <w:top w:val="nil"/>
              <w:left w:val="nil"/>
              <w:bottom w:val="single" w:color="auto" w:sz="8" w:space="0"/>
              <w:right w:val="single" w:color="auto" w:sz="8" w:space="0"/>
            </w:tcBorders>
            <w:shd w:val="clear" w:color="000000" w:fill="FFFFFF"/>
            <w:vAlign w:val="center"/>
            <w:hideMark/>
          </w:tcPr>
          <w:p w:rsidRPr="007C32C3" w:rsidR="007C32C3" w:rsidP="007C32C3" w:rsidRDefault="007C32C3" w14:paraId="7B07CD49"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15</w:t>
            </w:r>
          </w:p>
        </w:tc>
        <w:tc>
          <w:tcPr>
            <w:tcW w:w="1158" w:type="dxa"/>
            <w:tcBorders>
              <w:top w:val="nil"/>
              <w:left w:val="nil"/>
              <w:bottom w:val="single" w:color="auto" w:sz="8" w:space="0"/>
              <w:right w:val="double" w:color="auto" w:sz="6" w:space="0"/>
            </w:tcBorders>
            <w:shd w:val="clear" w:color="000000" w:fill="FFFFFF"/>
            <w:vAlign w:val="center"/>
            <w:hideMark/>
          </w:tcPr>
          <w:p w:rsidRPr="007C32C3" w:rsidR="007C32C3" w:rsidP="007C32C3" w:rsidRDefault="007C32C3" w14:paraId="755B594F"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w:t>
            </w:r>
          </w:p>
        </w:tc>
        <w:tc>
          <w:tcPr>
            <w:tcW w:w="222" w:type="dxa"/>
            <w:vAlign w:val="center"/>
            <w:hideMark/>
          </w:tcPr>
          <w:p w:rsidRPr="007C32C3" w:rsidR="007C32C3" w:rsidP="007C32C3" w:rsidRDefault="007C32C3" w14:paraId="4C7E2C33" w14:textId="77777777">
            <w:pPr>
              <w:autoSpaceDE/>
              <w:autoSpaceDN/>
              <w:adjustRightInd/>
              <w:rPr>
                <w:sz w:val="20"/>
                <w:szCs w:val="20"/>
              </w:rPr>
            </w:pPr>
          </w:p>
        </w:tc>
      </w:tr>
      <w:tr w:rsidRPr="007C32C3" w:rsidR="007C32C3" w:rsidTr="007C32C3" w14:paraId="6A02802E" w14:textId="77777777">
        <w:trPr>
          <w:trHeight w:val="300"/>
        </w:trPr>
        <w:tc>
          <w:tcPr>
            <w:tcW w:w="1078" w:type="dxa"/>
            <w:tcBorders>
              <w:top w:val="nil"/>
              <w:left w:val="double" w:color="auto" w:sz="6" w:space="0"/>
              <w:bottom w:val="double" w:color="auto" w:sz="6" w:space="0"/>
              <w:right w:val="single" w:color="auto" w:sz="8" w:space="0"/>
            </w:tcBorders>
            <w:shd w:val="clear" w:color="000000" w:fill="FFFFFF"/>
            <w:vAlign w:val="center"/>
            <w:hideMark/>
          </w:tcPr>
          <w:p w:rsidRPr="007C32C3" w:rsidR="007C32C3" w:rsidP="007C32C3" w:rsidRDefault="007C32C3" w14:paraId="08C417AF"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 xml:space="preserve">Totals </w:t>
            </w:r>
          </w:p>
        </w:tc>
        <w:tc>
          <w:tcPr>
            <w:tcW w:w="1359"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65CD39D0"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287</w:t>
            </w:r>
          </w:p>
        </w:tc>
        <w:tc>
          <w:tcPr>
            <w:tcW w:w="1207"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0D2FC4F8"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 </w:t>
            </w:r>
          </w:p>
        </w:tc>
        <w:tc>
          <w:tcPr>
            <w:tcW w:w="1189"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7CA420DA"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1,459</w:t>
            </w:r>
          </w:p>
        </w:tc>
        <w:tc>
          <w:tcPr>
            <w:tcW w:w="1317"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3F8D4554"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263</w:t>
            </w:r>
          </w:p>
        </w:tc>
        <w:tc>
          <w:tcPr>
            <w:tcW w:w="813"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29A9845A"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56</w:t>
            </w:r>
          </w:p>
        </w:tc>
        <w:tc>
          <w:tcPr>
            <w:tcW w:w="867"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67474C8E"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238</w:t>
            </w:r>
          </w:p>
        </w:tc>
        <w:tc>
          <w:tcPr>
            <w:tcW w:w="1265"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3550D7F3"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1,697</w:t>
            </w:r>
          </w:p>
        </w:tc>
        <w:tc>
          <w:tcPr>
            <w:tcW w:w="1092" w:type="dxa"/>
            <w:tcBorders>
              <w:top w:val="nil"/>
              <w:left w:val="nil"/>
              <w:bottom w:val="double" w:color="auto" w:sz="6" w:space="0"/>
              <w:right w:val="single" w:color="auto" w:sz="8" w:space="0"/>
            </w:tcBorders>
            <w:shd w:val="clear" w:color="000000" w:fill="FFFFFF"/>
            <w:vAlign w:val="center"/>
            <w:hideMark/>
          </w:tcPr>
          <w:p w:rsidRPr="007C32C3" w:rsidR="007C32C3" w:rsidP="007C32C3" w:rsidRDefault="007C32C3" w14:paraId="7979627C"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1,864</w:t>
            </w:r>
          </w:p>
        </w:tc>
        <w:tc>
          <w:tcPr>
            <w:tcW w:w="1158" w:type="dxa"/>
            <w:tcBorders>
              <w:top w:val="nil"/>
              <w:left w:val="nil"/>
              <w:bottom w:val="double" w:color="auto" w:sz="6" w:space="0"/>
              <w:right w:val="double" w:color="auto" w:sz="6" w:space="0"/>
            </w:tcBorders>
            <w:shd w:val="clear" w:color="000000" w:fill="FFFFFF"/>
            <w:vAlign w:val="center"/>
            <w:hideMark/>
          </w:tcPr>
          <w:p w:rsidRPr="007C32C3" w:rsidR="007C32C3" w:rsidP="007C32C3" w:rsidRDefault="007C32C3" w14:paraId="40C42DC0" w14:textId="77777777">
            <w:pPr>
              <w:autoSpaceDE/>
              <w:autoSpaceDN/>
              <w:adjustRightInd/>
              <w:jc w:val="center"/>
              <w:rPr>
                <w:rFonts w:ascii="Arial" w:hAnsi="Arial" w:cs="Arial"/>
                <w:color w:val="000000"/>
                <w:sz w:val="22"/>
                <w:szCs w:val="22"/>
              </w:rPr>
            </w:pPr>
            <w:r w:rsidRPr="007C32C3">
              <w:rPr>
                <w:rFonts w:ascii="Arial" w:hAnsi="Arial" w:cs="Arial"/>
                <w:color w:val="000000"/>
                <w:sz w:val="22"/>
                <w:szCs w:val="22"/>
              </w:rPr>
              <w:t>-167</w:t>
            </w:r>
          </w:p>
        </w:tc>
        <w:tc>
          <w:tcPr>
            <w:tcW w:w="222" w:type="dxa"/>
            <w:vAlign w:val="center"/>
            <w:hideMark/>
          </w:tcPr>
          <w:p w:rsidRPr="007C32C3" w:rsidR="007C32C3" w:rsidP="007C32C3" w:rsidRDefault="007C32C3" w14:paraId="411BFE95" w14:textId="77777777">
            <w:pPr>
              <w:autoSpaceDE/>
              <w:autoSpaceDN/>
              <w:adjustRightInd/>
              <w:rPr>
                <w:sz w:val="20"/>
                <w:szCs w:val="20"/>
              </w:rPr>
            </w:pPr>
          </w:p>
        </w:tc>
      </w:tr>
    </w:tbl>
    <w:p w:rsidRPr="00BF5F42" w:rsidR="00BF5F42" w:rsidP="00BF5F42" w:rsidRDefault="00156C1F" w14:paraId="45FCD0BC" w14:textId="3C9A52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lastRenderedPageBreak/>
        <w:br/>
      </w:r>
      <w:r w:rsidR="00BF5F42">
        <w:rPr>
          <w:rFonts w:ascii="Arial" w:hAnsi="Arial" w:cs="Arial"/>
        </w:rPr>
        <w:br/>
      </w:r>
      <w:r w:rsidR="00BF5F42">
        <w:rPr>
          <w:rFonts w:ascii="Arial" w:hAnsi="Arial" w:cs="Arial"/>
        </w:rPr>
        <w:br/>
      </w:r>
      <w:r w:rsidRPr="00BF5F42" w:rsidR="00BF5F42">
        <w:rPr>
          <w:rFonts w:ascii="Arial" w:hAnsi="Arial" w:cs="Arial"/>
        </w:rPr>
        <w:t>b.</w:t>
      </w:r>
      <w:r w:rsidRPr="00BF5F42" w:rsidR="00BF5F42">
        <w:rPr>
          <w:rFonts w:ascii="Arial" w:hAnsi="Arial" w:cs="Arial"/>
        </w:rPr>
        <w:tab/>
      </w:r>
      <w:r w:rsidRPr="00BF5F42" w:rsidR="00BF5F42">
        <w:rPr>
          <w:rFonts w:ascii="Arial" w:hAnsi="Arial" w:cs="Arial"/>
          <w:u w:val="single"/>
        </w:rPr>
        <w:t>Estimated Annual Wage Cost to Respondents</w:t>
      </w:r>
    </w:p>
    <w:p w:rsidR="00425E0E" w:rsidP="00B25038" w:rsidRDefault="00BF5F42" w14:paraId="722FBA69" w14:textId="6F79A4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r w:rsidRPr="005D012F" w:rsidR="00C93889">
        <w:rPr>
          <w:rFonts w:ascii="Arial" w:hAnsi="Arial" w:cs="Arial"/>
        </w:rPr>
        <w:t>OSMRE has estimated wage costs for respondents for industry and state regulatory employees.  These wages are derived from the Bureau of Labor Statistics (BLS) at:  (</w:t>
      </w:r>
      <w:hyperlink w:history="1" r:id="rId8">
        <w:r w:rsidRPr="005D012F" w:rsidR="00C93889">
          <w:rPr>
            <w:rStyle w:val="Hyperlink"/>
            <w:rFonts w:ascii="Arial" w:hAnsi="Arial" w:cs="Arial"/>
          </w:rPr>
          <w:t>http://www.bls.gov/oes/current/naics4_212100.htm</w:t>
        </w:r>
      </w:hyperlink>
      <w:r w:rsidRPr="005D012F" w:rsidR="00C93889">
        <w:rPr>
          <w:rFonts w:ascii="Arial" w:hAnsi="Arial" w:cs="Arial"/>
        </w:rPr>
        <w:t xml:space="preserve"> for industry wages; and </w:t>
      </w:r>
      <w:hyperlink w:history="1" r:id="rId9">
        <w:r w:rsidRPr="005D012F" w:rsidR="00C93889">
          <w:rPr>
            <w:rStyle w:val="Hyperlink"/>
            <w:rFonts w:ascii="Arial" w:hAnsi="Arial" w:cs="Arial"/>
          </w:rPr>
          <w:t>http://www.bls.gov/oes/current/naics4_999200.htm</w:t>
        </w:r>
      </w:hyperlink>
      <w:r w:rsidRPr="005D012F" w:rsidR="00C93889">
        <w:rPr>
          <w:rFonts w:ascii="Arial" w:hAnsi="Arial" w:cs="Arial"/>
        </w:rPr>
        <w:t xml:space="preserve"> for state employee wages.  Benefits are included in these wage calculations using a rate of 1.4 of the salary for industry personnel, and 1.6 for state employees per the BLS news release USDL-20-2266, EMPLOYER COSTS FOR EMPLOYEE COMPENSATION—SEPTEMBER 2020, dated December 17, 2020 (</w:t>
      </w:r>
      <w:hyperlink w:history="1" r:id="rId10">
        <w:r w:rsidRPr="005D012F" w:rsidR="00C93889">
          <w:rPr>
            <w:rStyle w:val="Hyperlink"/>
            <w:rFonts w:ascii="Arial" w:hAnsi="Arial" w:cs="Arial"/>
          </w:rPr>
          <w:t>http://www.bls.gov/news.release/pdf/ecec.pdf</w:t>
        </w:r>
      </w:hyperlink>
      <w:r w:rsidRPr="005D012F" w:rsidR="00C93889">
        <w:rPr>
          <w:rFonts w:ascii="Arial" w:hAnsi="Arial" w:cs="Arial"/>
        </w:rPr>
        <w:t>).</w:t>
      </w:r>
      <w:r w:rsidR="00425E0E">
        <w:rPr>
          <w:rFonts w:ascii="Arial" w:hAnsi="Arial" w:cs="Arial"/>
        </w:rPr>
        <w:br/>
      </w:r>
      <w:r w:rsidR="00425E0E">
        <w:rPr>
          <w:rFonts w:ascii="Arial" w:hAnsi="Arial" w:cs="Arial"/>
        </w:rPr>
        <w:br/>
      </w:r>
      <w:r w:rsidR="00E22E7A">
        <w:rPr>
          <w:rFonts w:ascii="Arial" w:hAnsi="Arial" w:cs="Arial"/>
        </w:rPr>
        <w:br/>
      </w:r>
      <w:bookmarkStart w:name="_Hlk67919916" w:id="3"/>
      <w:r w:rsidR="00425E0E">
        <w:rPr>
          <w:rFonts w:ascii="Arial" w:hAnsi="Arial" w:cs="Arial"/>
        </w:rPr>
        <w:t xml:space="preserve">Based on industry hours </w:t>
      </w:r>
      <w:r w:rsidR="008116F0">
        <w:rPr>
          <w:rFonts w:ascii="Arial" w:hAnsi="Arial" w:cs="Arial"/>
        </w:rPr>
        <w:t xml:space="preserve">needed </w:t>
      </w:r>
      <w:r w:rsidR="00425E0E">
        <w:rPr>
          <w:rFonts w:ascii="Arial" w:hAnsi="Arial" w:cs="Arial"/>
        </w:rPr>
        <w:t xml:space="preserve">by various staff </w:t>
      </w:r>
      <w:r w:rsidR="008116F0">
        <w:rPr>
          <w:rFonts w:ascii="Arial" w:hAnsi="Arial" w:cs="Arial"/>
        </w:rPr>
        <w:t xml:space="preserve">(Administrative support, Engineering technician, Mining Engineer, and Operations Manager) </w:t>
      </w:r>
      <w:r w:rsidR="00425E0E">
        <w:rPr>
          <w:rFonts w:ascii="Arial" w:hAnsi="Arial" w:cs="Arial"/>
        </w:rPr>
        <w:t xml:space="preserve">with varying wage rates </w:t>
      </w:r>
      <w:r w:rsidR="008116F0">
        <w:rPr>
          <w:rFonts w:ascii="Arial" w:hAnsi="Arial" w:cs="Arial"/>
        </w:rPr>
        <w:t xml:space="preserve">the </w:t>
      </w:r>
      <w:r w:rsidR="00425E0E">
        <w:rPr>
          <w:rFonts w:ascii="Arial" w:hAnsi="Arial" w:cs="Arial"/>
        </w:rPr>
        <w:t xml:space="preserve">total wage cost is estimated at $72,551 </w:t>
      </w:r>
      <w:r w:rsidR="008116F0">
        <w:rPr>
          <w:rFonts w:ascii="Arial" w:hAnsi="Arial" w:cs="Arial"/>
        </w:rPr>
        <w:t>(1</w:t>
      </w:r>
      <w:r w:rsidR="00425E0E">
        <w:rPr>
          <w:rFonts w:ascii="Arial" w:hAnsi="Arial" w:cs="Arial"/>
        </w:rPr>
        <w:t xml:space="preserve">,459 hours </w:t>
      </w:r>
      <w:r w:rsidR="008116F0">
        <w:rPr>
          <w:rFonts w:ascii="Arial" w:hAnsi="Arial" w:cs="Arial"/>
        </w:rPr>
        <w:t>x</w:t>
      </w:r>
      <w:r w:rsidR="00425E0E">
        <w:rPr>
          <w:rFonts w:ascii="Arial" w:hAnsi="Arial" w:cs="Arial"/>
        </w:rPr>
        <w:t xml:space="preserve"> $49.73</w:t>
      </w:r>
      <w:r w:rsidR="008116F0">
        <w:rPr>
          <w:rFonts w:ascii="Arial" w:hAnsi="Arial" w:cs="Arial"/>
        </w:rPr>
        <w:t xml:space="preserve"> per hour average)</w:t>
      </w:r>
      <w:r w:rsidR="00425E0E">
        <w:rPr>
          <w:rFonts w:ascii="Arial" w:hAnsi="Arial" w:cs="Arial"/>
        </w:rPr>
        <w:t xml:space="preserve">. </w:t>
      </w:r>
      <w:r w:rsidR="00627EA1">
        <w:rPr>
          <w:rFonts w:ascii="Arial" w:hAnsi="Arial" w:cs="Arial"/>
        </w:rPr>
        <w:t xml:space="preserve"> </w:t>
      </w:r>
      <w:bookmarkEnd w:id="3"/>
      <w:r w:rsidR="00425E0E">
        <w:rPr>
          <w:rFonts w:ascii="Arial" w:hAnsi="Arial" w:cs="Arial"/>
        </w:rPr>
        <w:br/>
      </w:r>
    </w:p>
    <w:p w:rsidR="00E22E7A" w:rsidP="00B25038" w:rsidRDefault="00425E0E" w14:paraId="0DE9AA98" w14:textId="466302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p>
    <w:p w:rsidR="00E22E7A" w:rsidP="00B25038" w:rsidRDefault="00E22E7A" w14:paraId="166BD6DC" w14:textId="421E7A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tbl>
      <w:tblPr>
        <w:tblW w:w="10160" w:type="dxa"/>
        <w:tblInd w:w="108" w:type="dxa"/>
        <w:tblLook w:val="04A0" w:firstRow="1" w:lastRow="0" w:firstColumn="1" w:lastColumn="0" w:noHBand="0" w:noVBand="1"/>
      </w:tblPr>
      <w:tblGrid>
        <w:gridCol w:w="1246"/>
        <w:gridCol w:w="654"/>
        <w:gridCol w:w="1006"/>
        <w:gridCol w:w="1014"/>
        <w:gridCol w:w="406"/>
        <w:gridCol w:w="1097"/>
        <w:gridCol w:w="337"/>
        <w:gridCol w:w="1023"/>
        <w:gridCol w:w="617"/>
        <w:gridCol w:w="623"/>
        <w:gridCol w:w="1057"/>
        <w:gridCol w:w="270"/>
        <w:gridCol w:w="726"/>
        <w:gridCol w:w="120"/>
      </w:tblGrid>
      <w:tr w:rsidRPr="00077C57" w:rsidR="00077C57" w:rsidTr="00077C57" w14:paraId="10303FC1" w14:textId="77777777">
        <w:trPr>
          <w:trHeight w:val="660"/>
        </w:trPr>
        <w:tc>
          <w:tcPr>
            <w:tcW w:w="9340" w:type="dxa"/>
            <w:gridSpan w:val="12"/>
            <w:tcBorders>
              <w:top w:val="nil"/>
              <w:left w:val="nil"/>
              <w:bottom w:val="nil"/>
              <w:right w:val="nil"/>
            </w:tcBorders>
            <w:shd w:val="clear" w:color="000000" w:fill="FFFFFF"/>
            <w:noWrap/>
            <w:vAlign w:val="bottom"/>
            <w:hideMark/>
          </w:tcPr>
          <w:p w:rsidRPr="00077C57" w:rsidR="00077C57" w:rsidP="00077C57" w:rsidRDefault="00077C57" w14:paraId="57D2F5FF" w14:textId="2DEEB5AB">
            <w:pPr>
              <w:autoSpaceDE/>
              <w:autoSpaceDN/>
              <w:adjustRightInd/>
              <w:rPr>
                <w:rFonts w:ascii="Arial" w:hAnsi="Arial" w:cs="Arial"/>
                <w:color w:val="000000"/>
                <w:sz w:val="22"/>
                <w:szCs w:val="22"/>
              </w:rPr>
            </w:pPr>
            <w:r w:rsidRPr="00077C57">
              <w:rPr>
                <w:rFonts w:ascii="Arial" w:hAnsi="Arial" w:cs="Arial"/>
                <w:color w:val="000000"/>
                <w:sz w:val="22"/>
                <w:szCs w:val="22"/>
              </w:rPr>
              <w:t xml:space="preserve">Industry staff hours </w:t>
            </w:r>
            <w:r w:rsidR="008116F0">
              <w:rPr>
                <w:rFonts w:ascii="Arial" w:hAnsi="Arial" w:cs="Arial"/>
                <w:color w:val="000000"/>
                <w:sz w:val="22"/>
                <w:szCs w:val="22"/>
              </w:rPr>
              <w:t xml:space="preserve">required </w:t>
            </w:r>
            <w:r w:rsidRPr="00077C57">
              <w:rPr>
                <w:rFonts w:ascii="Arial" w:hAnsi="Arial" w:cs="Arial"/>
                <w:color w:val="000000"/>
                <w:sz w:val="22"/>
                <w:szCs w:val="22"/>
              </w:rPr>
              <w:t xml:space="preserve">by section and total hour contribution for processing </w:t>
            </w:r>
            <w:r w:rsidR="008116F0">
              <w:rPr>
                <w:rFonts w:ascii="Arial" w:hAnsi="Arial" w:cs="Arial"/>
                <w:color w:val="000000"/>
                <w:sz w:val="22"/>
                <w:szCs w:val="22"/>
              </w:rPr>
              <w:t>applications</w:t>
            </w:r>
          </w:p>
        </w:tc>
        <w:tc>
          <w:tcPr>
            <w:tcW w:w="820" w:type="dxa"/>
            <w:gridSpan w:val="2"/>
            <w:tcBorders>
              <w:top w:val="nil"/>
              <w:left w:val="nil"/>
              <w:bottom w:val="nil"/>
              <w:right w:val="nil"/>
            </w:tcBorders>
            <w:shd w:val="clear" w:color="000000" w:fill="FFFFFF"/>
            <w:noWrap/>
            <w:vAlign w:val="bottom"/>
            <w:hideMark/>
          </w:tcPr>
          <w:p w:rsidRPr="00077C57" w:rsidR="00077C57" w:rsidP="00077C57" w:rsidRDefault="00077C57" w14:paraId="533415AC"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r>
      <w:tr w:rsidRPr="00077C57" w:rsidR="00077C57" w:rsidTr="00077C57" w14:paraId="5BA6FF20" w14:textId="77777777">
        <w:trPr>
          <w:trHeight w:val="660"/>
        </w:trPr>
        <w:tc>
          <w:tcPr>
            <w:tcW w:w="1246" w:type="dxa"/>
            <w:tcBorders>
              <w:top w:val="double" w:color="auto" w:sz="6" w:space="0"/>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260A818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Section</w:t>
            </w:r>
          </w:p>
        </w:tc>
        <w:tc>
          <w:tcPr>
            <w:tcW w:w="1660" w:type="dxa"/>
            <w:gridSpan w:val="2"/>
            <w:tcBorders>
              <w:top w:val="double" w:color="auto" w:sz="6" w:space="0"/>
              <w:left w:val="nil"/>
              <w:bottom w:val="single" w:color="auto" w:sz="8" w:space="0"/>
              <w:right w:val="single" w:color="auto" w:sz="8" w:space="0"/>
            </w:tcBorders>
            <w:shd w:val="clear" w:color="000000" w:fill="FFFFFF"/>
            <w:vAlign w:val="bottom"/>
            <w:hideMark/>
          </w:tcPr>
          <w:p w:rsidRPr="00077C57" w:rsidR="00077C57" w:rsidP="00077C57" w:rsidRDefault="00077C57" w14:paraId="7C186E56"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 xml:space="preserve">Administrative Support </w:t>
            </w:r>
          </w:p>
        </w:tc>
        <w:tc>
          <w:tcPr>
            <w:tcW w:w="1420" w:type="dxa"/>
            <w:gridSpan w:val="2"/>
            <w:tcBorders>
              <w:top w:val="double" w:color="auto" w:sz="6" w:space="0"/>
              <w:left w:val="nil"/>
              <w:bottom w:val="single" w:color="auto" w:sz="8" w:space="0"/>
              <w:right w:val="single" w:color="auto" w:sz="8" w:space="0"/>
            </w:tcBorders>
            <w:shd w:val="clear" w:color="000000" w:fill="FFFFFF"/>
            <w:vAlign w:val="bottom"/>
            <w:hideMark/>
          </w:tcPr>
          <w:p w:rsidRPr="00077C57" w:rsidR="00077C57" w:rsidP="00077C57" w:rsidRDefault="00077C57" w14:paraId="504DC5F6"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 xml:space="preserve">Engineering Technician </w:t>
            </w:r>
          </w:p>
        </w:tc>
        <w:tc>
          <w:tcPr>
            <w:tcW w:w="1097" w:type="dxa"/>
            <w:tcBorders>
              <w:top w:val="double" w:color="auto" w:sz="6" w:space="0"/>
              <w:left w:val="nil"/>
              <w:bottom w:val="single" w:color="auto" w:sz="8" w:space="0"/>
              <w:right w:val="single" w:color="auto" w:sz="8" w:space="0"/>
            </w:tcBorders>
            <w:shd w:val="clear" w:color="000000" w:fill="FFFFFF"/>
            <w:vAlign w:val="bottom"/>
            <w:hideMark/>
          </w:tcPr>
          <w:p w:rsidRPr="00077C57" w:rsidR="00077C57" w:rsidP="00077C57" w:rsidRDefault="00077C57" w14:paraId="52B05DC9"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Mining Engineer</w:t>
            </w:r>
          </w:p>
        </w:tc>
        <w:tc>
          <w:tcPr>
            <w:tcW w:w="1360" w:type="dxa"/>
            <w:gridSpan w:val="2"/>
            <w:tcBorders>
              <w:top w:val="double" w:color="auto" w:sz="6" w:space="0"/>
              <w:left w:val="nil"/>
              <w:bottom w:val="single" w:color="auto" w:sz="8" w:space="0"/>
              <w:right w:val="single" w:color="auto" w:sz="8" w:space="0"/>
            </w:tcBorders>
            <w:shd w:val="clear" w:color="000000" w:fill="FFFFFF"/>
            <w:vAlign w:val="bottom"/>
            <w:hideMark/>
          </w:tcPr>
          <w:p w:rsidRPr="00077C57" w:rsidR="00077C57" w:rsidP="00077C57" w:rsidRDefault="00077C57" w14:paraId="530AC5AE"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Operations Manager</w:t>
            </w:r>
          </w:p>
        </w:tc>
        <w:tc>
          <w:tcPr>
            <w:tcW w:w="1240" w:type="dxa"/>
            <w:gridSpan w:val="2"/>
            <w:tcBorders>
              <w:top w:val="double" w:color="auto" w:sz="6" w:space="0"/>
              <w:left w:val="nil"/>
              <w:bottom w:val="single" w:color="auto" w:sz="8" w:space="0"/>
              <w:right w:val="single" w:color="auto" w:sz="8" w:space="0"/>
            </w:tcBorders>
            <w:shd w:val="clear" w:color="000000" w:fill="FFFFFF"/>
            <w:vAlign w:val="bottom"/>
            <w:hideMark/>
          </w:tcPr>
          <w:p w:rsidRPr="00077C57" w:rsidR="00077C57" w:rsidP="00077C57" w:rsidRDefault="00077C57" w14:paraId="5F4E7FFF"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Hours per response</w:t>
            </w:r>
          </w:p>
        </w:tc>
        <w:tc>
          <w:tcPr>
            <w:tcW w:w="1317" w:type="dxa"/>
            <w:gridSpan w:val="2"/>
            <w:tcBorders>
              <w:top w:val="double" w:color="auto" w:sz="6" w:space="0"/>
              <w:left w:val="nil"/>
              <w:bottom w:val="single" w:color="auto" w:sz="8" w:space="0"/>
              <w:right w:val="single" w:color="auto" w:sz="8" w:space="0"/>
            </w:tcBorders>
            <w:shd w:val="clear" w:color="000000" w:fill="FFFFFF"/>
            <w:vAlign w:val="bottom"/>
            <w:hideMark/>
          </w:tcPr>
          <w:p w:rsidRPr="00077C57" w:rsidR="00077C57" w:rsidP="00077C57" w:rsidRDefault="00077C57" w14:paraId="61914708"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Responses</w:t>
            </w:r>
          </w:p>
        </w:tc>
        <w:tc>
          <w:tcPr>
            <w:tcW w:w="820" w:type="dxa"/>
            <w:gridSpan w:val="2"/>
            <w:tcBorders>
              <w:top w:val="double" w:color="auto" w:sz="6" w:space="0"/>
              <w:left w:val="nil"/>
              <w:bottom w:val="single" w:color="auto" w:sz="8" w:space="0"/>
              <w:right w:val="double" w:color="auto" w:sz="6" w:space="0"/>
            </w:tcBorders>
            <w:shd w:val="clear" w:color="000000" w:fill="FFFFFF"/>
            <w:vAlign w:val="bottom"/>
            <w:hideMark/>
          </w:tcPr>
          <w:p w:rsidRPr="00077C57" w:rsidR="00077C57" w:rsidP="00077C57" w:rsidRDefault="00077C57" w14:paraId="1D5EDF3E"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Total Hours</w:t>
            </w:r>
          </w:p>
        </w:tc>
      </w:tr>
      <w:tr w:rsidRPr="00077C57" w:rsidR="00077C57" w:rsidTr="00077C57" w14:paraId="61CAD9CA" w14:textId="77777777">
        <w:trPr>
          <w:trHeight w:val="330"/>
        </w:trPr>
        <w:tc>
          <w:tcPr>
            <w:tcW w:w="1246" w:type="dxa"/>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309651E8"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772.11</w:t>
            </w:r>
          </w:p>
        </w:tc>
        <w:tc>
          <w:tcPr>
            <w:tcW w:w="16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11D0FE9C"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w:t>
            </w:r>
          </w:p>
        </w:tc>
        <w:tc>
          <w:tcPr>
            <w:tcW w:w="14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19C46B89"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097" w:type="dxa"/>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1F5E177A"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3.5</w:t>
            </w:r>
          </w:p>
        </w:tc>
        <w:tc>
          <w:tcPr>
            <w:tcW w:w="13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77B75957"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0.5</w:t>
            </w:r>
          </w:p>
        </w:tc>
        <w:tc>
          <w:tcPr>
            <w:tcW w:w="12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4FEB5D62"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5</w:t>
            </w:r>
          </w:p>
        </w:tc>
        <w:tc>
          <w:tcPr>
            <w:tcW w:w="1317"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136A5F55"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258</w:t>
            </w:r>
          </w:p>
        </w:tc>
        <w:tc>
          <w:tcPr>
            <w:tcW w:w="820" w:type="dxa"/>
            <w:gridSpan w:val="2"/>
            <w:tcBorders>
              <w:top w:val="nil"/>
              <w:left w:val="nil"/>
              <w:bottom w:val="single" w:color="auto" w:sz="8" w:space="0"/>
              <w:right w:val="double" w:color="auto" w:sz="6" w:space="0"/>
            </w:tcBorders>
            <w:shd w:val="clear" w:color="000000" w:fill="FFFFFF"/>
            <w:noWrap/>
            <w:vAlign w:val="bottom"/>
            <w:hideMark/>
          </w:tcPr>
          <w:p w:rsidRPr="00077C57" w:rsidR="00077C57" w:rsidP="00077C57" w:rsidRDefault="00077C57" w14:paraId="72D7F47A"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1,290</w:t>
            </w:r>
          </w:p>
        </w:tc>
      </w:tr>
      <w:tr w:rsidRPr="00077C57" w:rsidR="00077C57" w:rsidTr="00077C57" w14:paraId="629C990D" w14:textId="77777777">
        <w:trPr>
          <w:trHeight w:val="330"/>
        </w:trPr>
        <w:tc>
          <w:tcPr>
            <w:tcW w:w="1246" w:type="dxa"/>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3E1202C2"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772.12</w:t>
            </w:r>
          </w:p>
        </w:tc>
        <w:tc>
          <w:tcPr>
            <w:tcW w:w="16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5400A74A"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4</w:t>
            </w:r>
          </w:p>
        </w:tc>
        <w:tc>
          <w:tcPr>
            <w:tcW w:w="14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381EA16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40</w:t>
            </w:r>
          </w:p>
        </w:tc>
        <w:tc>
          <w:tcPr>
            <w:tcW w:w="1097" w:type="dxa"/>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0A23500E"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25</w:t>
            </w:r>
          </w:p>
        </w:tc>
        <w:tc>
          <w:tcPr>
            <w:tcW w:w="13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07C2D5D2"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w:t>
            </w:r>
          </w:p>
        </w:tc>
        <w:tc>
          <w:tcPr>
            <w:tcW w:w="12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58919D9F"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70</w:t>
            </w:r>
          </w:p>
        </w:tc>
        <w:tc>
          <w:tcPr>
            <w:tcW w:w="1317"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6558CFC6"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2</w:t>
            </w:r>
          </w:p>
        </w:tc>
        <w:tc>
          <w:tcPr>
            <w:tcW w:w="820" w:type="dxa"/>
            <w:gridSpan w:val="2"/>
            <w:tcBorders>
              <w:top w:val="nil"/>
              <w:left w:val="nil"/>
              <w:bottom w:val="single" w:color="auto" w:sz="8" w:space="0"/>
              <w:right w:val="double" w:color="auto" w:sz="6" w:space="0"/>
            </w:tcBorders>
            <w:shd w:val="clear" w:color="000000" w:fill="FFFFFF"/>
            <w:noWrap/>
            <w:vAlign w:val="bottom"/>
            <w:hideMark/>
          </w:tcPr>
          <w:p w:rsidRPr="00077C57" w:rsidR="00077C57" w:rsidP="00077C57" w:rsidRDefault="00077C57" w14:paraId="1B27D82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140</w:t>
            </w:r>
          </w:p>
        </w:tc>
      </w:tr>
      <w:tr w:rsidRPr="00077C57" w:rsidR="00077C57" w:rsidTr="00077C57" w14:paraId="6553C049" w14:textId="77777777">
        <w:trPr>
          <w:trHeight w:val="330"/>
        </w:trPr>
        <w:tc>
          <w:tcPr>
            <w:tcW w:w="1246" w:type="dxa"/>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2CA860BD"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772.14</w:t>
            </w:r>
          </w:p>
        </w:tc>
        <w:tc>
          <w:tcPr>
            <w:tcW w:w="16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52940468"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w:t>
            </w:r>
          </w:p>
        </w:tc>
        <w:tc>
          <w:tcPr>
            <w:tcW w:w="14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1379EA24"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097" w:type="dxa"/>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4718312F"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14</w:t>
            </w:r>
          </w:p>
        </w:tc>
        <w:tc>
          <w:tcPr>
            <w:tcW w:w="13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0623A435"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w:t>
            </w:r>
          </w:p>
        </w:tc>
        <w:tc>
          <w:tcPr>
            <w:tcW w:w="12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205F2759"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16</w:t>
            </w:r>
          </w:p>
        </w:tc>
        <w:tc>
          <w:tcPr>
            <w:tcW w:w="1317"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7D754D9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w:t>
            </w:r>
          </w:p>
        </w:tc>
        <w:tc>
          <w:tcPr>
            <w:tcW w:w="820" w:type="dxa"/>
            <w:gridSpan w:val="2"/>
            <w:tcBorders>
              <w:top w:val="nil"/>
              <w:left w:val="nil"/>
              <w:bottom w:val="single" w:color="auto" w:sz="8" w:space="0"/>
              <w:right w:val="double" w:color="auto" w:sz="6" w:space="0"/>
            </w:tcBorders>
            <w:shd w:val="clear" w:color="000000" w:fill="FFFFFF"/>
            <w:noWrap/>
            <w:vAlign w:val="bottom"/>
            <w:hideMark/>
          </w:tcPr>
          <w:p w:rsidRPr="00077C57" w:rsidR="00077C57" w:rsidP="00077C57" w:rsidRDefault="00077C57" w14:paraId="182F3011"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16</w:t>
            </w:r>
          </w:p>
        </w:tc>
      </w:tr>
      <w:tr w:rsidRPr="00077C57" w:rsidR="00077C57" w:rsidTr="00077C57" w14:paraId="694E92C2" w14:textId="77777777">
        <w:trPr>
          <w:trHeight w:val="330"/>
        </w:trPr>
        <w:tc>
          <w:tcPr>
            <w:tcW w:w="1246" w:type="dxa"/>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59048EA1"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772.15(a)</w:t>
            </w:r>
          </w:p>
        </w:tc>
        <w:tc>
          <w:tcPr>
            <w:tcW w:w="16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1EE095B9"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4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28DCAEE1"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097" w:type="dxa"/>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352DAAF5"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3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34043BD7"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2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217881D9"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317"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271A1409"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820" w:type="dxa"/>
            <w:gridSpan w:val="2"/>
            <w:tcBorders>
              <w:top w:val="nil"/>
              <w:left w:val="nil"/>
              <w:bottom w:val="single" w:color="auto" w:sz="8" w:space="0"/>
              <w:right w:val="double" w:color="auto" w:sz="6" w:space="0"/>
            </w:tcBorders>
            <w:shd w:val="clear" w:color="000000" w:fill="FFFFFF"/>
            <w:noWrap/>
            <w:vAlign w:val="bottom"/>
            <w:hideMark/>
          </w:tcPr>
          <w:p w:rsidRPr="00077C57" w:rsidR="00077C57" w:rsidP="00077C57" w:rsidRDefault="00077C57" w14:paraId="2E7F6B92"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r>
      <w:tr w:rsidRPr="00077C57" w:rsidR="00077C57" w:rsidTr="00077C57" w14:paraId="71440227" w14:textId="77777777">
        <w:trPr>
          <w:trHeight w:val="330"/>
        </w:trPr>
        <w:tc>
          <w:tcPr>
            <w:tcW w:w="1246" w:type="dxa"/>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06610AB3"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772.15(b)</w:t>
            </w:r>
          </w:p>
        </w:tc>
        <w:tc>
          <w:tcPr>
            <w:tcW w:w="16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53E42FEC"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0.5</w:t>
            </w:r>
          </w:p>
        </w:tc>
        <w:tc>
          <w:tcPr>
            <w:tcW w:w="14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740F41B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097" w:type="dxa"/>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08598A57"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3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6E1CD231"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w:t>
            </w:r>
          </w:p>
        </w:tc>
        <w:tc>
          <w:tcPr>
            <w:tcW w:w="12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62B8908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0.5</w:t>
            </w:r>
          </w:p>
        </w:tc>
        <w:tc>
          <w:tcPr>
            <w:tcW w:w="1317"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5D8E1051"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26</w:t>
            </w:r>
          </w:p>
        </w:tc>
        <w:tc>
          <w:tcPr>
            <w:tcW w:w="820" w:type="dxa"/>
            <w:gridSpan w:val="2"/>
            <w:tcBorders>
              <w:top w:val="nil"/>
              <w:left w:val="nil"/>
              <w:bottom w:val="single" w:color="auto" w:sz="8" w:space="0"/>
              <w:right w:val="double" w:color="auto" w:sz="6" w:space="0"/>
            </w:tcBorders>
            <w:shd w:val="clear" w:color="000000" w:fill="FFFFFF"/>
            <w:noWrap/>
            <w:vAlign w:val="bottom"/>
            <w:hideMark/>
          </w:tcPr>
          <w:p w:rsidRPr="00077C57" w:rsidR="00077C57" w:rsidP="00077C57" w:rsidRDefault="00077C57" w14:paraId="2E14DBE1"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13</w:t>
            </w:r>
          </w:p>
        </w:tc>
      </w:tr>
      <w:tr w:rsidRPr="00077C57" w:rsidR="00077C57" w:rsidTr="00077C57" w14:paraId="5A7FD3EC" w14:textId="77777777">
        <w:trPr>
          <w:trHeight w:val="585"/>
        </w:trPr>
        <w:tc>
          <w:tcPr>
            <w:tcW w:w="1246" w:type="dxa"/>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591393F1"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 xml:space="preserve">Hours per response </w:t>
            </w:r>
          </w:p>
        </w:tc>
        <w:tc>
          <w:tcPr>
            <w:tcW w:w="16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5F1F7577"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6.5</w:t>
            </w:r>
          </w:p>
        </w:tc>
        <w:tc>
          <w:tcPr>
            <w:tcW w:w="14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54EA4C2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40</w:t>
            </w:r>
          </w:p>
        </w:tc>
        <w:tc>
          <w:tcPr>
            <w:tcW w:w="1097" w:type="dxa"/>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3B78E3B7"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42.5</w:t>
            </w:r>
          </w:p>
        </w:tc>
        <w:tc>
          <w:tcPr>
            <w:tcW w:w="136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27C4B202"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2.5</w:t>
            </w:r>
          </w:p>
        </w:tc>
        <w:tc>
          <w:tcPr>
            <w:tcW w:w="12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3FEDB7FD"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91.5</w:t>
            </w:r>
          </w:p>
        </w:tc>
        <w:tc>
          <w:tcPr>
            <w:tcW w:w="1317" w:type="dxa"/>
            <w:gridSpan w:val="2"/>
            <w:tcBorders>
              <w:top w:val="nil"/>
              <w:left w:val="nil"/>
              <w:bottom w:val="single" w:color="auto" w:sz="8" w:space="0"/>
              <w:right w:val="single" w:color="auto" w:sz="8" w:space="0"/>
            </w:tcBorders>
            <w:shd w:val="clear" w:color="000000" w:fill="FFFFFF"/>
            <w:noWrap/>
            <w:vAlign w:val="bottom"/>
            <w:hideMark/>
          </w:tcPr>
          <w:p w:rsidRPr="00077C57" w:rsidR="00077C57" w:rsidP="00077C57" w:rsidRDefault="00077C57" w14:paraId="1DB846C5"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287</w:t>
            </w:r>
          </w:p>
        </w:tc>
        <w:tc>
          <w:tcPr>
            <w:tcW w:w="820" w:type="dxa"/>
            <w:gridSpan w:val="2"/>
            <w:tcBorders>
              <w:top w:val="nil"/>
              <w:left w:val="nil"/>
              <w:bottom w:val="single" w:color="auto" w:sz="8" w:space="0"/>
              <w:right w:val="double" w:color="auto" w:sz="6" w:space="0"/>
            </w:tcBorders>
            <w:shd w:val="clear" w:color="000000" w:fill="FFFFFF"/>
            <w:noWrap/>
            <w:vAlign w:val="bottom"/>
            <w:hideMark/>
          </w:tcPr>
          <w:p w:rsidRPr="00077C57" w:rsidR="00077C57" w:rsidP="00077C57" w:rsidRDefault="00077C57" w14:paraId="417FAF96"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 </w:t>
            </w:r>
          </w:p>
        </w:tc>
      </w:tr>
      <w:tr w:rsidRPr="00077C57" w:rsidR="00077C57" w:rsidTr="00077C57" w14:paraId="50B774DA" w14:textId="77777777">
        <w:trPr>
          <w:trHeight w:val="330"/>
        </w:trPr>
        <w:tc>
          <w:tcPr>
            <w:tcW w:w="1246" w:type="dxa"/>
            <w:tcBorders>
              <w:top w:val="nil"/>
              <w:left w:val="double" w:color="auto" w:sz="6" w:space="0"/>
              <w:bottom w:val="double" w:color="auto" w:sz="6" w:space="0"/>
              <w:right w:val="single" w:color="auto" w:sz="8" w:space="0"/>
            </w:tcBorders>
            <w:shd w:val="clear" w:color="000000" w:fill="FFFFFF"/>
            <w:vAlign w:val="center"/>
            <w:hideMark/>
          </w:tcPr>
          <w:p w:rsidRPr="00077C57" w:rsidR="00077C57" w:rsidP="00077C57" w:rsidRDefault="00077C57" w14:paraId="74F1FB0B"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 xml:space="preserve">Total hours </w:t>
            </w:r>
          </w:p>
        </w:tc>
        <w:tc>
          <w:tcPr>
            <w:tcW w:w="1660" w:type="dxa"/>
            <w:gridSpan w:val="2"/>
            <w:tcBorders>
              <w:top w:val="nil"/>
              <w:left w:val="nil"/>
              <w:bottom w:val="double" w:color="auto" w:sz="6" w:space="0"/>
              <w:right w:val="single" w:color="auto" w:sz="8" w:space="0"/>
            </w:tcBorders>
            <w:shd w:val="clear" w:color="000000" w:fill="FFFFFF"/>
            <w:noWrap/>
            <w:vAlign w:val="bottom"/>
            <w:hideMark/>
          </w:tcPr>
          <w:p w:rsidRPr="00077C57" w:rsidR="00077C57" w:rsidP="00077C57" w:rsidRDefault="00077C57" w14:paraId="0238CDEF"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103.64</w:t>
            </w:r>
          </w:p>
        </w:tc>
        <w:tc>
          <w:tcPr>
            <w:tcW w:w="1420" w:type="dxa"/>
            <w:gridSpan w:val="2"/>
            <w:tcBorders>
              <w:top w:val="nil"/>
              <w:left w:val="nil"/>
              <w:bottom w:val="double" w:color="auto" w:sz="6" w:space="0"/>
              <w:right w:val="single" w:color="auto" w:sz="8" w:space="0"/>
            </w:tcBorders>
            <w:shd w:val="clear" w:color="000000" w:fill="FFFFFF"/>
            <w:noWrap/>
            <w:vAlign w:val="bottom"/>
            <w:hideMark/>
          </w:tcPr>
          <w:p w:rsidRPr="00077C57" w:rsidR="00077C57" w:rsidP="00077C57" w:rsidRDefault="00077C57" w14:paraId="584103E4"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637.81</w:t>
            </w:r>
          </w:p>
        </w:tc>
        <w:tc>
          <w:tcPr>
            <w:tcW w:w="1097" w:type="dxa"/>
            <w:tcBorders>
              <w:top w:val="nil"/>
              <w:left w:val="nil"/>
              <w:bottom w:val="double" w:color="auto" w:sz="6" w:space="0"/>
              <w:right w:val="single" w:color="auto" w:sz="8" w:space="0"/>
            </w:tcBorders>
            <w:shd w:val="clear" w:color="000000" w:fill="FFFFFF"/>
            <w:noWrap/>
            <w:vAlign w:val="bottom"/>
            <w:hideMark/>
          </w:tcPr>
          <w:p w:rsidRPr="00077C57" w:rsidR="00077C57" w:rsidP="00077C57" w:rsidRDefault="00077C57" w14:paraId="513F3944"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677.68</w:t>
            </w:r>
          </w:p>
        </w:tc>
        <w:tc>
          <w:tcPr>
            <w:tcW w:w="1360" w:type="dxa"/>
            <w:gridSpan w:val="2"/>
            <w:tcBorders>
              <w:top w:val="nil"/>
              <w:left w:val="nil"/>
              <w:bottom w:val="double" w:color="auto" w:sz="6" w:space="0"/>
              <w:right w:val="single" w:color="auto" w:sz="8" w:space="0"/>
            </w:tcBorders>
            <w:shd w:val="clear" w:color="000000" w:fill="FFFFFF"/>
            <w:noWrap/>
            <w:vAlign w:val="bottom"/>
            <w:hideMark/>
          </w:tcPr>
          <w:p w:rsidRPr="00077C57" w:rsidR="00077C57" w:rsidP="00077C57" w:rsidRDefault="00077C57" w14:paraId="0184C4B7"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39.86</w:t>
            </w:r>
          </w:p>
        </w:tc>
        <w:tc>
          <w:tcPr>
            <w:tcW w:w="1240" w:type="dxa"/>
            <w:gridSpan w:val="2"/>
            <w:tcBorders>
              <w:top w:val="nil"/>
              <w:left w:val="nil"/>
              <w:bottom w:val="double" w:color="auto" w:sz="6" w:space="0"/>
              <w:right w:val="single" w:color="auto" w:sz="8" w:space="0"/>
            </w:tcBorders>
            <w:shd w:val="clear" w:color="000000" w:fill="FFFFFF"/>
            <w:vAlign w:val="bottom"/>
            <w:hideMark/>
          </w:tcPr>
          <w:p w:rsidRPr="00077C57" w:rsidR="00077C57" w:rsidP="00077C57" w:rsidRDefault="00077C57" w14:paraId="5D7B603E"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 </w:t>
            </w:r>
          </w:p>
        </w:tc>
        <w:tc>
          <w:tcPr>
            <w:tcW w:w="1317" w:type="dxa"/>
            <w:gridSpan w:val="2"/>
            <w:tcBorders>
              <w:top w:val="nil"/>
              <w:left w:val="nil"/>
              <w:bottom w:val="double" w:color="auto" w:sz="6" w:space="0"/>
              <w:right w:val="nil"/>
            </w:tcBorders>
            <w:shd w:val="clear" w:color="auto" w:fill="auto"/>
            <w:noWrap/>
            <w:vAlign w:val="bottom"/>
            <w:hideMark/>
          </w:tcPr>
          <w:p w:rsidRPr="00077C57" w:rsidR="00077C57" w:rsidP="00077C57" w:rsidRDefault="00077C57" w14:paraId="61281A77"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820" w:type="dxa"/>
            <w:gridSpan w:val="2"/>
            <w:tcBorders>
              <w:top w:val="nil"/>
              <w:left w:val="single" w:color="auto" w:sz="8" w:space="0"/>
              <w:bottom w:val="double" w:color="auto" w:sz="6" w:space="0"/>
              <w:right w:val="double" w:color="auto" w:sz="6" w:space="0"/>
            </w:tcBorders>
            <w:shd w:val="clear" w:color="000000" w:fill="FFFFFF"/>
            <w:noWrap/>
            <w:vAlign w:val="bottom"/>
            <w:hideMark/>
          </w:tcPr>
          <w:p w:rsidRPr="00077C57" w:rsidR="00077C57" w:rsidP="00077C57" w:rsidRDefault="00077C57" w14:paraId="5A8C3AC5" w14:textId="77777777">
            <w:pPr>
              <w:autoSpaceDE/>
              <w:autoSpaceDN/>
              <w:adjustRightInd/>
              <w:jc w:val="center"/>
              <w:rPr>
                <w:rFonts w:ascii="Arial" w:hAnsi="Arial" w:cs="Arial"/>
                <w:color w:val="000000"/>
                <w:sz w:val="22"/>
                <w:szCs w:val="22"/>
              </w:rPr>
            </w:pPr>
            <w:r w:rsidRPr="00077C57">
              <w:rPr>
                <w:rFonts w:ascii="Arial" w:hAnsi="Arial" w:cs="Arial"/>
                <w:color w:val="000000"/>
                <w:sz w:val="22"/>
                <w:szCs w:val="22"/>
              </w:rPr>
              <w:t>1,459</w:t>
            </w:r>
          </w:p>
        </w:tc>
      </w:tr>
      <w:tr w:rsidRPr="00077C57" w:rsidR="00077C57" w:rsidTr="00077C57" w14:paraId="09FD4955" w14:textId="77777777">
        <w:trPr>
          <w:trHeight w:val="330"/>
        </w:trPr>
        <w:tc>
          <w:tcPr>
            <w:tcW w:w="1246" w:type="dxa"/>
            <w:tcBorders>
              <w:top w:val="nil"/>
              <w:left w:val="nil"/>
              <w:bottom w:val="nil"/>
              <w:right w:val="nil"/>
            </w:tcBorders>
            <w:shd w:val="clear" w:color="000000" w:fill="FFFFFF"/>
            <w:vAlign w:val="center"/>
            <w:hideMark/>
          </w:tcPr>
          <w:p w:rsidRPr="00077C57" w:rsidR="00077C57" w:rsidP="00077C57" w:rsidRDefault="00077C57" w14:paraId="290AAE81" w14:textId="77777777">
            <w:pPr>
              <w:autoSpaceDE/>
              <w:autoSpaceDN/>
              <w:adjustRightInd/>
              <w:rPr>
                <w:color w:val="000000"/>
              </w:rPr>
            </w:pPr>
            <w:r w:rsidRPr="00077C57">
              <w:rPr>
                <w:color w:val="000000"/>
              </w:rPr>
              <w:t> </w:t>
            </w:r>
          </w:p>
        </w:tc>
        <w:tc>
          <w:tcPr>
            <w:tcW w:w="1660" w:type="dxa"/>
            <w:gridSpan w:val="2"/>
            <w:tcBorders>
              <w:top w:val="nil"/>
              <w:left w:val="nil"/>
              <w:bottom w:val="nil"/>
              <w:right w:val="nil"/>
            </w:tcBorders>
            <w:shd w:val="clear" w:color="000000" w:fill="FFFFFF"/>
            <w:noWrap/>
            <w:vAlign w:val="bottom"/>
            <w:hideMark/>
          </w:tcPr>
          <w:p w:rsidRPr="00077C57" w:rsidR="00077C57" w:rsidP="00077C57" w:rsidRDefault="00077C57" w14:paraId="19D56681"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1420" w:type="dxa"/>
            <w:gridSpan w:val="2"/>
            <w:tcBorders>
              <w:top w:val="nil"/>
              <w:left w:val="nil"/>
              <w:bottom w:val="nil"/>
              <w:right w:val="nil"/>
            </w:tcBorders>
            <w:shd w:val="clear" w:color="000000" w:fill="FFFFFF"/>
            <w:noWrap/>
            <w:vAlign w:val="bottom"/>
            <w:hideMark/>
          </w:tcPr>
          <w:p w:rsidRPr="00077C57" w:rsidR="00077C57" w:rsidP="00077C57" w:rsidRDefault="00077C57" w14:paraId="2ACA1BF6"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1097" w:type="dxa"/>
            <w:tcBorders>
              <w:top w:val="nil"/>
              <w:left w:val="nil"/>
              <w:bottom w:val="nil"/>
              <w:right w:val="nil"/>
            </w:tcBorders>
            <w:shd w:val="clear" w:color="000000" w:fill="FFFFFF"/>
            <w:noWrap/>
            <w:vAlign w:val="bottom"/>
            <w:hideMark/>
          </w:tcPr>
          <w:p w:rsidRPr="00077C57" w:rsidR="00077C57" w:rsidP="00077C57" w:rsidRDefault="00077C57" w14:paraId="269F6F94"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1360" w:type="dxa"/>
            <w:gridSpan w:val="2"/>
            <w:tcBorders>
              <w:top w:val="nil"/>
              <w:left w:val="nil"/>
              <w:bottom w:val="nil"/>
              <w:right w:val="nil"/>
            </w:tcBorders>
            <w:shd w:val="clear" w:color="000000" w:fill="FFFFFF"/>
            <w:noWrap/>
            <w:vAlign w:val="bottom"/>
            <w:hideMark/>
          </w:tcPr>
          <w:p w:rsidRPr="00077C57" w:rsidR="00077C57" w:rsidP="00077C57" w:rsidRDefault="00077C57" w14:paraId="4D8857FB"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1240" w:type="dxa"/>
            <w:gridSpan w:val="2"/>
            <w:tcBorders>
              <w:top w:val="nil"/>
              <w:left w:val="nil"/>
              <w:bottom w:val="nil"/>
              <w:right w:val="nil"/>
            </w:tcBorders>
            <w:shd w:val="clear" w:color="000000" w:fill="FFFFFF"/>
            <w:noWrap/>
            <w:vAlign w:val="bottom"/>
            <w:hideMark/>
          </w:tcPr>
          <w:p w:rsidRPr="00077C57" w:rsidR="00077C57" w:rsidP="00077C57" w:rsidRDefault="00077C57" w14:paraId="02A42283"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1317" w:type="dxa"/>
            <w:gridSpan w:val="2"/>
            <w:tcBorders>
              <w:top w:val="nil"/>
              <w:left w:val="nil"/>
              <w:bottom w:val="nil"/>
              <w:right w:val="nil"/>
            </w:tcBorders>
            <w:shd w:val="clear" w:color="000000" w:fill="FFFFFF"/>
            <w:noWrap/>
            <w:vAlign w:val="bottom"/>
            <w:hideMark/>
          </w:tcPr>
          <w:p w:rsidRPr="00077C57" w:rsidR="00077C57" w:rsidP="00077C57" w:rsidRDefault="00077C57" w14:paraId="6DCCA566"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820" w:type="dxa"/>
            <w:gridSpan w:val="2"/>
            <w:tcBorders>
              <w:top w:val="nil"/>
              <w:left w:val="nil"/>
              <w:bottom w:val="nil"/>
              <w:right w:val="nil"/>
            </w:tcBorders>
            <w:shd w:val="clear" w:color="000000" w:fill="FFFFFF"/>
            <w:noWrap/>
            <w:vAlign w:val="bottom"/>
            <w:hideMark/>
          </w:tcPr>
          <w:p w:rsidRPr="00077C57" w:rsidR="00077C57" w:rsidP="00077C57" w:rsidRDefault="00077C57" w14:paraId="5EF22188"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r>
      <w:tr w:rsidRPr="00077C57" w:rsidR="00077C57" w:rsidTr="00077C57" w14:paraId="45C412FC" w14:textId="77777777">
        <w:trPr>
          <w:gridAfter w:val="1"/>
          <w:wAfter w:w="120" w:type="dxa"/>
          <w:trHeight w:val="315"/>
        </w:trPr>
        <w:tc>
          <w:tcPr>
            <w:tcW w:w="3920" w:type="dxa"/>
            <w:gridSpan w:val="4"/>
            <w:tcBorders>
              <w:top w:val="nil"/>
              <w:left w:val="nil"/>
              <w:bottom w:val="nil"/>
              <w:right w:val="nil"/>
            </w:tcBorders>
            <w:shd w:val="clear" w:color="000000" w:fill="FFFFFF"/>
            <w:noWrap/>
            <w:vAlign w:val="bottom"/>
            <w:hideMark/>
          </w:tcPr>
          <w:p w:rsidR="00425E0E" w:rsidP="00077C57" w:rsidRDefault="00425E0E" w14:paraId="6012C280" w14:textId="77777777">
            <w:pPr>
              <w:autoSpaceDE/>
              <w:autoSpaceDN/>
              <w:adjustRightInd/>
              <w:rPr>
                <w:rFonts w:ascii="Arial" w:hAnsi="Arial" w:cs="Arial"/>
                <w:color w:val="000000"/>
                <w:sz w:val="22"/>
                <w:szCs w:val="22"/>
              </w:rPr>
            </w:pPr>
          </w:p>
          <w:p w:rsidR="00425E0E" w:rsidP="00077C57" w:rsidRDefault="00425E0E" w14:paraId="6463AFA3" w14:textId="77777777">
            <w:pPr>
              <w:autoSpaceDE/>
              <w:autoSpaceDN/>
              <w:adjustRightInd/>
              <w:rPr>
                <w:rFonts w:ascii="Arial" w:hAnsi="Arial" w:cs="Arial"/>
                <w:color w:val="000000"/>
                <w:sz w:val="22"/>
                <w:szCs w:val="22"/>
              </w:rPr>
            </w:pPr>
          </w:p>
          <w:p w:rsidR="00425E0E" w:rsidP="00077C57" w:rsidRDefault="00425E0E" w14:paraId="00720506" w14:textId="77777777">
            <w:pPr>
              <w:autoSpaceDE/>
              <w:autoSpaceDN/>
              <w:adjustRightInd/>
              <w:rPr>
                <w:rFonts w:ascii="Arial" w:hAnsi="Arial" w:cs="Arial"/>
                <w:color w:val="000000"/>
                <w:sz w:val="22"/>
                <w:szCs w:val="22"/>
              </w:rPr>
            </w:pPr>
          </w:p>
          <w:p w:rsidR="00425E0E" w:rsidP="00077C57" w:rsidRDefault="00425E0E" w14:paraId="343A7545" w14:textId="77777777">
            <w:pPr>
              <w:autoSpaceDE/>
              <w:autoSpaceDN/>
              <w:adjustRightInd/>
              <w:rPr>
                <w:rFonts w:ascii="Arial" w:hAnsi="Arial" w:cs="Arial"/>
                <w:color w:val="000000"/>
                <w:sz w:val="22"/>
                <w:szCs w:val="22"/>
              </w:rPr>
            </w:pPr>
          </w:p>
          <w:p w:rsidR="00425E0E" w:rsidP="00077C57" w:rsidRDefault="00425E0E" w14:paraId="5560FCCA" w14:textId="77777777">
            <w:pPr>
              <w:autoSpaceDE/>
              <w:autoSpaceDN/>
              <w:adjustRightInd/>
              <w:rPr>
                <w:rFonts w:ascii="Arial" w:hAnsi="Arial" w:cs="Arial"/>
                <w:color w:val="000000"/>
                <w:sz w:val="22"/>
                <w:szCs w:val="22"/>
              </w:rPr>
            </w:pPr>
          </w:p>
          <w:p w:rsidRPr="00077C57" w:rsidR="00077C57" w:rsidP="00077C57" w:rsidRDefault="00077C57" w14:paraId="404C13C7" w14:textId="41B199AB">
            <w:pPr>
              <w:autoSpaceDE/>
              <w:autoSpaceDN/>
              <w:adjustRightInd/>
              <w:rPr>
                <w:rFonts w:ascii="Arial" w:hAnsi="Arial" w:cs="Arial"/>
                <w:color w:val="000000"/>
                <w:sz w:val="22"/>
                <w:szCs w:val="22"/>
              </w:rPr>
            </w:pPr>
            <w:r w:rsidRPr="00077C57">
              <w:rPr>
                <w:rFonts w:ascii="Arial" w:hAnsi="Arial" w:cs="Arial"/>
                <w:color w:val="000000"/>
                <w:sz w:val="22"/>
                <w:szCs w:val="22"/>
              </w:rPr>
              <w:t>Total industry wage cost</w:t>
            </w:r>
          </w:p>
        </w:tc>
        <w:tc>
          <w:tcPr>
            <w:tcW w:w="1840" w:type="dxa"/>
            <w:gridSpan w:val="3"/>
            <w:tcBorders>
              <w:top w:val="nil"/>
              <w:left w:val="nil"/>
              <w:bottom w:val="nil"/>
              <w:right w:val="nil"/>
            </w:tcBorders>
            <w:shd w:val="clear" w:color="000000" w:fill="FFFFFF"/>
            <w:noWrap/>
            <w:vAlign w:val="bottom"/>
            <w:hideMark/>
          </w:tcPr>
          <w:p w:rsidRPr="00077C57" w:rsidR="00077C57" w:rsidP="00077C57" w:rsidRDefault="00077C57" w14:paraId="419F8C8A"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lastRenderedPageBreak/>
              <w:t> </w:t>
            </w:r>
          </w:p>
        </w:tc>
        <w:tc>
          <w:tcPr>
            <w:tcW w:w="1640" w:type="dxa"/>
            <w:gridSpan w:val="2"/>
            <w:tcBorders>
              <w:top w:val="nil"/>
              <w:left w:val="nil"/>
              <w:bottom w:val="nil"/>
              <w:right w:val="nil"/>
            </w:tcBorders>
            <w:shd w:val="clear" w:color="000000" w:fill="FFFFFF"/>
            <w:noWrap/>
            <w:vAlign w:val="bottom"/>
            <w:hideMark/>
          </w:tcPr>
          <w:p w:rsidRPr="00077C57" w:rsidR="00077C57" w:rsidP="00077C57" w:rsidRDefault="00077C57" w14:paraId="20DF5C68"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1680" w:type="dxa"/>
            <w:gridSpan w:val="2"/>
            <w:tcBorders>
              <w:top w:val="nil"/>
              <w:left w:val="nil"/>
              <w:bottom w:val="nil"/>
              <w:right w:val="nil"/>
            </w:tcBorders>
            <w:shd w:val="clear" w:color="000000" w:fill="FFFFFF"/>
            <w:noWrap/>
            <w:vAlign w:val="bottom"/>
            <w:hideMark/>
          </w:tcPr>
          <w:p w:rsidRPr="00077C57" w:rsidR="00077C57" w:rsidP="00077C57" w:rsidRDefault="00077C57" w14:paraId="33E8C631"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c>
          <w:tcPr>
            <w:tcW w:w="960" w:type="dxa"/>
            <w:gridSpan w:val="2"/>
            <w:tcBorders>
              <w:top w:val="nil"/>
              <w:left w:val="nil"/>
              <w:bottom w:val="nil"/>
              <w:right w:val="nil"/>
            </w:tcBorders>
            <w:shd w:val="clear" w:color="000000" w:fill="FFFFFF"/>
            <w:noWrap/>
            <w:vAlign w:val="bottom"/>
            <w:hideMark/>
          </w:tcPr>
          <w:p w:rsidRPr="00077C57" w:rsidR="00077C57" w:rsidP="00077C57" w:rsidRDefault="00077C57" w14:paraId="0408196D" w14:textId="77777777">
            <w:pPr>
              <w:autoSpaceDE/>
              <w:autoSpaceDN/>
              <w:adjustRightInd/>
              <w:rPr>
                <w:rFonts w:ascii="Calibri" w:hAnsi="Calibri" w:cs="Calibri"/>
                <w:color w:val="000000"/>
                <w:sz w:val="22"/>
                <w:szCs w:val="22"/>
              </w:rPr>
            </w:pPr>
            <w:r w:rsidRPr="00077C57">
              <w:rPr>
                <w:rFonts w:ascii="Calibri" w:hAnsi="Calibri" w:cs="Calibri"/>
                <w:color w:val="000000"/>
                <w:sz w:val="22"/>
                <w:szCs w:val="22"/>
              </w:rPr>
              <w:t> </w:t>
            </w:r>
          </w:p>
        </w:tc>
      </w:tr>
      <w:tr w:rsidRPr="00077C57" w:rsidR="00077C57" w:rsidTr="00077C57" w14:paraId="47BE8958" w14:textId="77777777">
        <w:trPr>
          <w:gridAfter w:val="1"/>
          <w:wAfter w:w="120" w:type="dxa"/>
          <w:trHeight w:val="660"/>
        </w:trPr>
        <w:tc>
          <w:tcPr>
            <w:tcW w:w="1900" w:type="dxa"/>
            <w:gridSpan w:val="2"/>
            <w:tcBorders>
              <w:top w:val="double" w:color="auto" w:sz="6" w:space="0"/>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0E1923B8" w14:textId="77777777">
            <w:pPr>
              <w:autoSpaceDE/>
              <w:autoSpaceDN/>
              <w:adjustRightInd/>
              <w:jc w:val="center"/>
              <w:rPr>
                <w:color w:val="000000"/>
              </w:rPr>
            </w:pPr>
            <w:r w:rsidRPr="00077C57">
              <w:rPr>
                <w:color w:val="000000"/>
              </w:rPr>
              <w:t> </w:t>
            </w:r>
          </w:p>
        </w:tc>
        <w:tc>
          <w:tcPr>
            <w:tcW w:w="2020" w:type="dxa"/>
            <w:gridSpan w:val="2"/>
            <w:tcBorders>
              <w:top w:val="double" w:color="auto" w:sz="6" w:space="0"/>
              <w:left w:val="nil"/>
              <w:bottom w:val="single" w:color="auto" w:sz="8" w:space="0"/>
              <w:right w:val="single" w:color="auto" w:sz="8" w:space="0"/>
            </w:tcBorders>
            <w:shd w:val="clear" w:color="000000" w:fill="FFFFFF"/>
            <w:vAlign w:val="center"/>
            <w:hideMark/>
          </w:tcPr>
          <w:p w:rsidRPr="00077C57" w:rsidR="00077C57" w:rsidP="00077C57" w:rsidRDefault="00077C57" w14:paraId="757BF8F9" w14:textId="77777777">
            <w:pPr>
              <w:autoSpaceDE/>
              <w:autoSpaceDN/>
              <w:adjustRightInd/>
              <w:jc w:val="center"/>
              <w:rPr>
                <w:color w:val="000000"/>
              </w:rPr>
            </w:pPr>
            <w:r w:rsidRPr="00077C57">
              <w:rPr>
                <w:color w:val="000000"/>
              </w:rPr>
              <w:t>Administrative Support</w:t>
            </w:r>
          </w:p>
        </w:tc>
        <w:tc>
          <w:tcPr>
            <w:tcW w:w="1840" w:type="dxa"/>
            <w:gridSpan w:val="3"/>
            <w:tcBorders>
              <w:top w:val="double" w:color="auto" w:sz="6" w:space="0"/>
              <w:left w:val="nil"/>
              <w:bottom w:val="single" w:color="auto" w:sz="8" w:space="0"/>
              <w:right w:val="single" w:color="auto" w:sz="8" w:space="0"/>
            </w:tcBorders>
            <w:shd w:val="clear" w:color="000000" w:fill="FFFFFF"/>
            <w:vAlign w:val="center"/>
            <w:hideMark/>
          </w:tcPr>
          <w:p w:rsidRPr="00077C57" w:rsidR="00077C57" w:rsidP="00077C57" w:rsidRDefault="00077C57" w14:paraId="300B4BF7" w14:textId="77777777">
            <w:pPr>
              <w:autoSpaceDE/>
              <w:autoSpaceDN/>
              <w:adjustRightInd/>
              <w:jc w:val="center"/>
              <w:rPr>
                <w:color w:val="000000"/>
              </w:rPr>
            </w:pPr>
            <w:r w:rsidRPr="00077C57">
              <w:rPr>
                <w:color w:val="000000"/>
              </w:rPr>
              <w:t>Engineering Technician</w:t>
            </w:r>
          </w:p>
        </w:tc>
        <w:tc>
          <w:tcPr>
            <w:tcW w:w="1640" w:type="dxa"/>
            <w:gridSpan w:val="2"/>
            <w:tcBorders>
              <w:top w:val="double" w:color="auto" w:sz="6" w:space="0"/>
              <w:left w:val="nil"/>
              <w:bottom w:val="single" w:color="auto" w:sz="8" w:space="0"/>
              <w:right w:val="single" w:color="auto" w:sz="8" w:space="0"/>
            </w:tcBorders>
            <w:shd w:val="clear" w:color="000000" w:fill="FFFFFF"/>
            <w:vAlign w:val="center"/>
            <w:hideMark/>
          </w:tcPr>
          <w:p w:rsidRPr="00077C57" w:rsidR="00077C57" w:rsidP="00077C57" w:rsidRDefault="00077C57" w14:paraId="3C6DFE99" w14:textId="77777777">
            <w:pPr>
              <w:autoSpaceDE/>
              <w:autoSpaceDN/>
              <w:adjustRightInd/>
              <w:jc w:val="center"/>
              <w:rPr>
                <w:color w:val="000000"/>
              </w:rPr>
            </w:pPr>
            <w:r w:rsidRPr="00077C57">
              <w:rPr>
                <w:color w:val="000000"/>
              </w:rPr>
              <w:t>Mining Engineer</w:t>
            </w:r>
          </w:p>
        </w:tc>
        <w:tc>
          <w:tcPr>
            <w:tcW w:w="1680" w:type="dxa"/>
            <w:gridSpan w:val="2"/>
            <w:tcBorders>
              <w:top w:val="double" w:color="auto" w:sz="6" w:space="0"/>
              <w:left w:val="nil"/>
              <w:bottom w:val="single" w:color="auto" w:sz="8" w:space="0"/>
              <w:right w:val="nil"/>
            </w:tcBorders>
            <w:shd w:val="clear" w:color="000000" w:fill="FFFFFF"/>
            <w:vAlign w:val="center"/>
            <w:hideMark/>
          </w:tcPr>
          <w:p w:rsidRPr="00077C57" w:rsidR="00077C57" w:rsidP="00077C57" w:rsidRDefault="00077C57" w14:paraId="62CD1270" w14:textId="77777777">
            <w:pPr>
              <w:autoSpaceDE/>
              <w:autoSpaceDN/>
              <w:adjustRightInd/>
              <w:jc w:val="center"/>
              <w:rPr>
                <w:color w:val="000000"/>
              </w:rPr>
            </w:pPr>
            <w:r w:rsidRPr="00077C57">
              <w:rPr>
                <w:color w:val="000000"/>
              </w:rPr>
              <w:t>Operations Manager</w:t>
            </w:r>
          </w:p>
        </w:tc>
        <w:tc>
          <w:tcPr>
            <w:tcW w:w="960" w:type="dxa"/>
            <w:gridSpan w:val="2"/>
            <w:tcBorders>
              <w:top w:val="double" w:color="auto" w:sz="6" w:space="0"/>
              <w:left w:val="single" w:color="auto" w:sz="8" w:space="0"/>
              <w:bottom w:val="single" w:color="auto" w:sz="8" w:space="0"/>
              <w:right w:val="double" w:color="auto" w:sz="6" w:space="0"/>
            </w:tcBorders>
            <w:shd w:val="clear" w:color="000000" w:fill="FFFFFF"/>
            <w:vAlign w:val="center"/>
            <w:hideMark/>
          </w:tcPr>
          <w:p w:rsidRPr="00077C57" w:rsidR="00077C57" w:rsidP="00077C57" w:rsidRDefault="00077C57" w14:paraId="7049513D" w14:textId="77777777">
            <w:pPr>
              <w:autoSpaceDE/>
              <w:autoSpaceDN/>
              <w:adjustRightInd/>
              <w:jc w:val="center"/>
              <w:rPr>
                <w:color w:val="000000"/>
              </w:rPr>
            </w:pPr>
            <w:r w:rsidRPr="00077C57">
              <w:rPr>
                <w:color w:val="000000"/>
              </w:rPr>
              <w:t xml:space="preserve">Total </w:t>
            </w:r>
          </w:p>
        </w:tc>
      </w:tr>
      <w:tr w:rsidRPr="00077C57" w:rsidR="00077C57" w:rsidTr="00077C57" w14:paraId="4CA23500" w14:textId="77777777">
        <w:trPr>
          <w:gridAfter w:val="1"/>
          <w:wAfter w:w="120" w:type="dxa"/>
          <w:trHeight w:val="660"/>
        </w:trPr>
        <w:tc>
          <w:tcPr>
            <w:tcW w:w="1900" w:type="dxa"/>
            <w:gridSpan w:val="2"/>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73A7DC4B" w14:textId="13F4AC14">
            <w:pPr>
              <w:autoSpaceDE/>
              <w:autoSpaceDN/>
              <w:adjustRightInd/>
              <w:jc w:val="center"/>
              <w:rPr>
                <w:color w:val="000000"/>
              </w:rPr>
            </w:pPr>
            <w:r w:rsidRPr="00077C57">
              <w:rPr>
                <w:color w:val="000000"/>
              </w:rPr>
              <w:t xml:space="preserve"> Hourly rate (BLS)</w:t>
            </w:r>
          </w:p>
        </w:tc>
        <w:tc>
          <w:tcPr>
            <w:tcW w:w="20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6B21DA" w14:paraId="09BB1599" w14:textId="66310157">
            <w:pPr>
              <w:autoSpaceDE/>
              <w:autoSpaceDN/>
              <w:adjustRightInd/>
              <w:jc w:val="center"/>
              <w:rPr>
                <w:color w:val="000000"/>
              </w:rPr>
            </w:pPr>
            <w:r>
              <w:rPr>
                <w:color w:val="000000"/>
              </w:rPr>
              <w:t>$</w:t>
            </w:r>
            <w:r w:rsidRPr="00077C57" w:rsidR="00077C57">
              <w:rPr>
                <w:color w:val="000000"/>
              </w:rPr>
              <w:t>19.61</w:t>
            </w:r>
          </w:p>
        </w:tc>
        <w:tc>
          <w:tcPr>
            <w:tcW w:w="1840" w:type="dxa"/>
            <w:gridSpan w:val="3"/>
            <w:tcBorders>
              <w:top w:val="nil"/>
              <w:left w:val="nil"/>
              <w:bottom w:val="single" w:color="auto" w:sz="8" w:space="0"/>
              <w:right w:val="single" w:color="auto" w:sz="8" w:space="0"/>
            </w:tcBorders>
            <w:shd w:val="clear" w:color="000000" w:fill="FFFFFF"/>
            <w:vAlign w:val="bottom"/>
            <w:hideMark/>
          </w:tcPr>
          <w:p w:rsidRPr="00077C57" w:rsidR="00077C57" w:rsidP="00077C57" w:rsidRDefault="003C60A5" w14:paraId="693834DE" w14:textId="78061B8D">
            <w:pPr>
              <w:autoSpaceDE/>
              <w:autoSpaceDN/>
              <w:adjustRightInd/>
              <w:jc w:val="center"/>
              <w:rPr>
                <w:color w:val="000000"/>
              </w:rPr>
            </w:pPr>
            <w:r>
              <w:rPr>
                <w:color w:val="000000"/>
              </w:rPr>
              <w:t>$</w:t>
            </w:r>
            <w:r w:rsidRPr="00077C57" w:rsidR="00077C57">
              <w:rPr>
                <w:color w:val="000000"/>
              </w:rPr>
              <w:t>29.60</w:t>
            </w:r>
          </w:p>
        </w:tc>
        <w:tc>
          <w:tcPr>
            <w:tcW w:w="16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3C60A5" w14:paraId="2C5121E2" w14:textId="6135D2DC">
            <w:pPr>
              <w:autoSpaceDE/>
              <w:autoSpaceDN/>
              <w:adjustRightInd/>
              <w:jc w:val="center"/>
              <w:rPr>
                <w:color w:val="000000"/>
              </w:rPr>
            </w:pPr>
            <w:r>
              <w:rPr>
                <w:color w:val="000000"/>
              </w:rPr>
              <w:t>$</w:t>
            </w:r>
            <w:r w:rsidRPr="00077C57" w:rsidR="00077C57">
              <w:rPr>
                <w:color w:val="000000"/>
              </w:rPr>
              <w:t>42.54</w:t>
            </w:r>
          </w:p>
        </w:tc>
        <w:tc>
          <w:tcPr>
            <w:tcW w:w="1680" w:type="dxa"/>
            <w:gridSpan w:val="2"/>
            <w:tcBorders>
              <w:top w:val="nil"/>
              <w:left w:val="nil"/>
              <w:bottom w:val="single" w:color="auto" w:sz="8" w:space="0"/>
              <w:right w:val="nil"/>
            </w:tcBorders>
            <w:shd w:val="clear" w:color="000000" w:fill="FFFFFF"/>
            <w:vAlign w:val="bottom"/>
            <w:hideMark/>
          </w:tcPr>
          <w:p w:rsidRPr="00077C57" w:rsidR="00077C57" w:rsidP="00077C57" w:rsidRDefault="003C60A5" w14:paraId="3F8DB0E5" w14:textId="6B4A389E">
            <w:pPr>
              <w:autoSpaceDE/>
              <w:autoSpaceDN/>
              <w:adjustRightInd/>
              <w:jc w:val="center"/>
              <w:rPr>
                <w:color w:val="000000"/>
              </w:rPr>
            </w:pPr>
            <w:r>
              <w:rPr>
                <w:color w:val="000000"/>
              </w:rPr>
              <w:t>$</w:t>
            </w:r>
            <w:r w:rsidRPr="00077C57" w:rsidR="00077C57">
              <w:rPr>
                <w:color w:val="000000"/>
              </w:rPr>
              <w:t>52.23</w:t>
            </w:r>
          </w:p>
        </w:tc>
        <w:tc>
          <w:tcPr>
            <w:tcW w:w="960" w:type="dxa"/>
            <w:gridSpan w:val="2"/>
            <w:tcBorders>
              <w:top w:val="nil"/>
              <w:left w:val="single" w:color="auto" w:sz="8" w:space="0"/>
              <w:bottom w:val="nil"/>
              <w:right w:val="double" w:color="auto" w:sz="6" w:space="0"/>
            </w:tcBorders>
            <w:shd w:val="clear" w:color="000000" w:fill="FFFFFF"/>
            <w:vAlign w:val="bottom"/>
            <w:hideMark/>
          </w:tcPr>
          <w:p w:rsidRPr="00077C57" w:rsidR="00077C57" w:rsidP="00077C57" w:rsidRDefault="00077C57" w14:paraId="39C81A35" w14:textId="77777777">
            <w:pPr>
              <w:autoSpaceDE/>
              <w:autoSpaceDN/>
              <w:adjustRightInd/>
              <w:jc w:val="center"/>
              <w:rPr>
                <w:color w:val="000000"/>
              </w:rPr>
            </w:pPr>
            <w:r w:rsidRPr="00077C57">
              <w:rPr>
                <w:color w:val="000000"/>
              </w:rPr>
              <w:t> </w:t>
            </w:r>
          </w:p>
        </w:tc>
      </w:tr>
      <w:tr w:rsidRPr="00077C57" w:rsidR="00077C57" w:rsidTr="00077C57" w14:paraId="6D7CA4AD" w14:textId="77777777">
        <w:trPr>
          <w:gridAfter w:val="1"/>
          <w:wAfter w:w="120" w:type="dxa"/>
          <w:trHeight w:val="330"/>
        </w:trPr>
        <w:tc>
          <w:tcPr>
            <w:tcW w:w="1900" w:type="dxa"/>
            <w:gridSpan w:val="2"/>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05D8215D" w14:textId="2C7A3FAD">
            <w:pPr>
              <w:autoSpaceDE/>
              <w:autoSpaceDN/>
              <w:adjustRightInd/>
              <w:jc w:val="center"/>
              <w:rPr>
                <w:color w:val="000000"/>
              </w:rPr>
            </w:pPr>
            <w:r w:rsidRPr="00077C57">
              <w:rPr>
                <w:color w:val="000000"/>
              </w:rPr>
              <w:t xml:space="preserve"> Wage w/benefit </w:t>
            </w:r>
          </w:p>
        </w:tc>
        <w:tc>
          <w:tcPr>
            <w:tcW w:w="20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6B21DA" w14:paraId="4F849086" w14:textId="010D6324">
            <w:pPr>
              <w:autoSpaceDE/>
              <w:autoSpaceDN/>
              <w:adjustRightInd/>
              <w:jc w:val="center"/>
              <w:rPr>
                <w:color w:val="000000"/>
              </w:rPr>
            </w:pPr>
            <w:r>
              <w:rPr>
                <w:color w:val="000000"/>
              </w:rPr>
              <w:t>$</w:t>
            </w:r>
            <w:r w:rsidRPr="00077C57" w:rsidR="00077C57">
              <w:rPr>
                <w:color w:val="000000"/>
              </w:rPr>
              <w:t>27.45</w:t>
            </w:r>
          </w:p>
        </w:tc>
        <w:tc>
          <w:tcPr>
            <w:tcW w:w="1840" w:type="dxa"/>
            <w:gridSpan w:val="3"/>
            <w:tcBorders>
              <w:top w:val="nil"/>
              <w:left w:val="nil"/>
              <w:bottom w:val="single" w:color="auto" w:sz="8" w:space="0"/>
              <w:right w:val="single" w:color="auto" w:sz="8" w:space="0"/>
            </w:tcBorders>
            <w:shd w:val="clear" w:color="000000" w:fill="FFFFFF"/>
            <w:vAlign w:val="bottom"/>
            <w:hideMark/>
          </w:tcPr>
          <w:p w:rsidRPr="00077C57" w:rsidR="00077C57" w:rsidP="00077C57" w:rsidRDefault="003C60A5" w14:paraId="2BA9572C" w14:textId="1D5BF8F8">
            <w:pPr>
              <w:autoSpaceDE/>
              <w:autoSpaceDN/>
              <w:adjustRightInd/>
              <w:jc w:val="center"/>
              <w:rPr>
                <w:color w:val="000000"/>
              </w:rPr>
            </w:pPr>
            <w:r>
              <w:rPr>
                <w:color w:val="000000"/>
              </w:rPr>
              <w:t>$</w:t>
            </w:r>
            <w:r w:rsidRPr="00077C57" w:rsidR="00077C57">
              <w:rPr>
                <w:color w:val="000000"/>
              </w:rPr>
              <w:t>41.44</w:t>
            </w:r>
          </w:p>
        </w:tc>
        <w:tc>
          <w:tcPr>
            <w:tcW w:w="16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3C60A5" w14:paraId="1A81FB71" w14:textId="68E736BC">
            <w:pPr>
              <w:autoSpaceDE/>
              <w:autoSpaceDN/>
              <w:adjustRightInd/>
              <w:jc w:val="center"/>
              <w:rPr>
                <w:color w:val="000000"/>
              </w:rPr>
            </w:pPr>
            <w:r>
              <w:rPr>
                <w:color w:val="000000"/>
              </w:rPr>
              <w:t>$</w:t>
            </w:r>
            <w:r w:rsidRPr="00077C57" w:rsidR="00077C57">
              <w:rPr>
                <w:color w:val="000000"/>
              </w:rPr>
              <w:t>59.56</w:t>
            </w:r>
          </w:p>
        </w:tc>
        <w:tc>
          <w:tcPr>
            <w:tcW w:w="1680" w:type="dxa"/>
            <w:gridSpan w:val="2"/>
            <w:tcBorders>
              <w:top w:val="nil"/>
              <w:left w:val="nil"/>
              <w:bottom w:val="single" w:color="auto" w:sz="8" w:space="0"/>
              <w:right w:val="nil"/>
            </w:tcBorders>
            <w:shd w:val="clear" w:color="000000" w:fill="FFFFFF"/>
            <w:vAlign w:val="bottom"/>
            <w:hideMark/>
          </w:tcPr>
          <w:p w:rsidRPr="00077C57" w:rsidR="00077C57" w:rsidP="00077C57" w:rsidRDefault="003C60A5" w14:paraId="0797EA55" w14:textId="196AE768">
            <w:pPr>
              <w:autoSpaceDE/>
              <w:autoSpaceDN/>
              <w:adjustRightInd/>
              <w:jc w:val="center"/>
              <w:rPr>
                <w:color w:val="000000"/>
              </w:rPr>
            </w:pPr>
            <w:r>
              <w:rPr>
                <w:color w:val="000000"/>
              </w:rPr>
              <w:t>$</w:t>
            </w:r>
            <w:r w:rsidRPr="00077C57" w:rsidR="00077C57">
              <w:rPr>
                <w:color w:val="000000"/>
              </w:rPr>
              <w:t>73.12</w:t>
            </w:r>
          </w:p>
        </w:tc>
        <w:tc>
          <w:tcPr>
            <w:tcW w:w="960" w:type="dxa"/>
            <w:gridSpan w:val="2"/>
            <w:tcBorders>
              <w:top w:val="nil"/>
              <w:left w:val="single" w:color="auto" w:sz="8" w:space="0"/>
              <w:bottom w:val="single" w:color="auto" w:sz="8" w:space="0"/>
              <w:right w:val="double" w:color="auto" w:sz="6" w:space="0"/>
            </w:tcBorders>
            <w:shd w:val="clear" w:color="000000" w:fill="FFFFFF"/>
            <w:vAlign w:val="bottom"/>
            <w:hideMark/>
          </w:tcPr>
          <w:p w:rsidRPr="00077C57" w:rsidR="00077C57" w:rsidP="00077C57" w:rsidRDefault="00077C57" w14:paraId="6A056EE8" w14:textId="77777777">
            <w:pPr>
              <w:autoSpaceDE/>
              <w:autoSpaceDN/>
              <w:adjustRightInd/>
              <w:jc w:val="center"/>
              <w:rPr>
                <w:color w:val="000000"/>
              </w:rPr>
            </w:pPr>
            <w:r w:rsidRPr="00077C57">
              <w:rPr>
                <w:color w:val="000000"/>
              </w:rPr>
              <w:t> </w:t>
            </w:r>
          </w:p>
        </w:tc>
      </w:tr>
      <w:tr w:rsidRPr="00077C57" w:rsidR="00077C57" w:rsidTr="00077C57" w14:paraId="624C6FDC" w14:textId="77777777">
        <w:trPr>
          <w:gridAfter w:val="1"/>
          <w:wAfter w:w="120" w:type="dxa"/>
          <w:trHeight w:val="330"/>
        </w:trPr>
        <w:tc>
          <w:tcPr>
            <w:tcW w:w="1900" w:type="dxa"/>
            <w:gridSpan w:val="2"/>
            <w:tcBorders>
              <w:top w:val="nil"/>
              <w:left w:val="double" w:color="auto" w:sz="6" w:space="0"/>
              <w:bottom w:val="single" w:color="auto" w:sz="8" w:space="0"/>
              <w:right w:val="single" w:color="auto" w:sz="8" w:space="0"/>
            </w:tcBorders>
            <w:shd w:val="clear" w:color="000000" w:fill="FFFFFF"/>
            <w:vAlign w:val="center"/>
            <w:hideMark/>
          </w:tcPr>
          <w:p w:rsidRPr="00077C57" w:rsidR="00077C57" w:rsidP="00077C57" w:rsidRDefault="00077C57" w14:paraId="61C67E5A" w14:textId="77777777">
            <w:pPr>
              <w:autoSpaceDE/>
              <w:autoSpaceDN/>
              <w:adjustRightInd/>
              <w:jc w:val="center"/>
              <w:rPr>
                <w:color w:val="000000"/>
              </w:rPr>
            </w:pPr>
            <w:r w:rsidRPr="00077C57">
              <w:rPr>
                <w:color w:val="000000"/>
              </w:rPr>
              <w:t>Hours</w:t>
            </w:r>
          </w:p>
        </w:tc>
        <w:tc>
          <w:tcPr>
            <w:tcW w:w="202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16EA2621" w14:textId="77777777">
            <w:pPr>
              <w:autoSpaceDE/>
              <w:autoSpaceDN/>
              <w:adjustRightInd/>
              <w:jc w:val="center"/>
              <w:rPr>
                <w:color w:val="000000"/>
              </w:rPr>
            </w:pPr>
            <w:r w:rsidRPr="00077C57">
              <w:rPr>
                <w:color w:val="000000"/>
              </w:rPr>
              <w:t>103.64</w:t>
            </w:r>
          </w:p>
        </w:tc>
        <w:tc>
          <w:tcPr>
            <w:tcW w:w="1840" w:type="dxa"/>
            <w:gridSpan w:val="3"/>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2FC574E4" w14:textId="77777777">
            <w:pPr>
              <w:autoSpaceDE/>
              <w:autoSpaceDN/>
              <w:adjustRightInd/>
              <w:jc w:val="center"/>
              <w:rPr>
                <w:color w:val="000000"/>
              </w:rPr>
            </w:pPr>
            <w:r w:rsidRPr="00077C57">
              <w:rPr>
                <w:color w:val="000000"/>
              </w:rPr>
              <w:t>637.81</w:t>
            </w:r>
          </w:p>
        </w:tc>
        <w:tc>
          <w:tcPr>
            <w:tcW w:w="1640" w:type="dxa"/>
            <w:gridSpan w:val="2"/>
            <w:tcBorders>
              <w:top w:val="nil"/>
              <w:left w:val="nil"/>
              <w:bottom w:val="single" w:color="auto" w:sz="8" w:space="0"/>
              <w:right w:val="single" w:color="auto" w:sz="8" w:space="0"/>
            </w:tcBorders>
            <w:shd w:val="clear" w:color="000000" w:fill="FFFFFF"/>
            <w:vAlign w:val="bottom"/>
            <w:hideMark/>
          </w:tcPr>
          <w:p w:rsidRPr="00077C57" w:rsidR="00077C57" w:rsidP="00077C57" w:rsidRDefault="00077C57" w14:paraId="45220B72" w14:textId="77777777">
            <w:pPr>
              <w:autoSpaceDE/>
              <w:autoSpaceDN/>
              <w:adjustRightInd/>
              <w:jc w:val="center"/>
              <w:rPr>
                <w:color w:val="000000"/>
              </w:rPr>
            </w:pPr>
            <w:r w:rsidRPr="00077C57">
              <w:rPr>
                <w:color w:val="000000"/>
              </w:rPr>
              <w:t>677.68</w:t>
            </w:r>
          </w:p>
        </w:tc>
        <w:tc>
          <w:tcPr>
            <w:tcW w:w="1680" w:type="dxa"/>
            <w:gridSpan w:val="2"/>
            <w:tcBorders>
              <w:top w:val="nil"/>
              <w:left w:val="nil"/>
              <w:bottom w:val="single" w:color="auto" w:sz="8" w:space="0"/>
              <w:right w:val="nil"/>
            </w:tcBorders>
            <w:shd w:val="clear" w:color="000000" w:fill="FFFFFF"/>
            <w:vAlign w:val="bottom"/>
            <w:hideMark/>
          </w:tcPr>
          <w:p w:rsidRPr="00077C57" w:rsidR="00077C57" w:rsidP="00077C57" w:rsidRDefault="00077C57" w14:paraId="461DEC3B" w14:textId="77777777">
            <w:pPr>
              <w:autoSpaceDE/>
              <w:autoSpaceDN/>
              <w:adjustRightInd/>
              <w:jc w:val="center"/>
              <w:rPr>
                <w:color w:val="000000"/>
              </w:rPr>
            </w:pPr>
            <w:r w:rsidRPr="00077C57">
              <w:rPr>
                <w:color w:val="000000"/>
              </w:rPr>
              <w:t>39.86</w:t>
            </w:r>
          </w:p>
        </w:tc>
        <w:tc>
          <w:tcPr>
            <w:tcW w:w="960" w:type="dxa"/>
            <w:gridSpan w:val="2"/>
            <w:tcBorders>
              <w:top w:val="nil"/>
              <w:left w:val="single" w:color="auto" w:sz="8" w:space="0"/>
              <w:bottom w:val="single" w:color="auto" w:sz="8" w:space="0"/>
              <w:right w:val="double" w:color="auto" w:sz="6" w:space="0"/>
            </w:tcBorders>
            <w:shd w:val="clear" w:color="000000" w:fill="FFFFFF"/>
            <w:vAlign w:val="bottom"/>
            <w:hideMark/>
          </w:tcPr>
          <w:p w:rsidRPr="00077C57" w:rsidR="00077C57" w:rsidP="00077C57" w:rsidRDefault="00077C57" w14:paraId="04FC68C8" w14:textId="77777777">
            <w:pPr>
              <w:autoSpaceDE/>
              <w:autoSpaceDN/>
              <w:adjustRightInd/>
              <w:jc w:val="center"/>
              <w:rPr>
                <w:color w:val="000000"/>
              </w:rPr>
            </w:pPr>
            <w:r w:rsidRPr="00077C57">
              <w:rPr>
                <w:color w:val="000000"/>
              </w:rPr>
              <w:t>1,459</w:t>
            </w:r>
          </w:p>
        </w:tc>
      </w:tr>
      <w:tr w:rsidRPr="00077C57" w:rsidR="00077C57" w:rsidTr="00077C57" w14:paraId="4E919186" w14:textId="77777777">
        <w:trPr>
          <w:gridAfter w:val="1"/>
          <w:wAfter w:w="120" w:type="dxa"/>
          <w:trHeight w:val="330"/>
        </w:trPr>
        <w:tc>
          <w:tcPr>
            <w:tcW w:w="1900" w:type="dxa"/>
            <w:gridSpan w:val="2"/>
            <w:tcBorders>
              <w:top w:val="nil"/>
              <w:left w:val="double" w:color="auto" w:sz="6" w:space="0"/>
              <w:bottom w:val="double" w:color="auto" w:sz="6" w:space="0"/>
              <w:right w:val="single" w:color="auto" w:sz="8" w:space="0"/>
            </w:tcBorders>
            <w:shd w:val="clear" w:color="000000" w:fill="FFFFFF"/>
            <w:vAlign w:val="center"/>
            <w:hideMark/>
          </w:tcPr>
          <w:p w:rsidRPr="00077C57" w:rsidR="00077C57" w:rsidP="00077C57" w:rsidRDefault="00077C57" w14:paraId="296C3566" w14:textId="6D3DE947">
            <w:pPr>
              <w:autoSpaceDE/>
              <w:autoSpaceDN/>
              <w:adjustRightInd/>
              <w:jc w:val="center"/>
              <w:rPr>
                <w:color w:val="000000"/>
              </w:rPr>
            </w:pPr>
            <w:r w:rsidRPr="00077C57">
              <w:rPr>
                <w:color w:val="000000"/>
              </w:rPr>
              <w:t xml:space="preserve">Total wage </w:t>
            </w:r>
            <w:r w:rsidR="003C60A5">
              <w:rPr>
                <w:color w:val="000000"/>
              </w:rPr>
              <w:t>c</w:t>
            </w:r>
            <w:r w:rsidRPr="00077C57">
              <w:rPr>
                <w:color w:val="000000"/>
              </w:rPr>
              <w:t>ost</w:t>
            </w:r>
          </w:p>
        </w:tc>
        <w:tc>
          <w:tcPr>
            <w:tcW w:w="2020" w:type="dxa"/>
            <w:gridSpan w:val="2"/>
            <w:tcBorders>
              <w:top w:val="nil"/>
              <w:left w:val="nil"/>
              <w:bottom w:val="double" w:color="auto" w:sz="6" w:space="0"/>
              <w:right w:val="single" w:color="auto" w:sz="8" w:space="0"/>
            </w:tcBorders>
            <w:shd w:val="clear" w:color="000000" w:fill="FFFFFF"/>
            <w:vAlign w:val="bottom"/>
            <w:hideMark/>
          </w:tcPr>
          <w:p w:rsidRPr="00077C57" w:rsidR="00077C57" w:rsidP="00077C57" w:rsidRDefault="006B21DA" w14:paraId="374941CD" w14:textId="79A10B34">
            <w:pPr>
              <w:autoSpaceDE/>
              <w:autoSpaceDN/>
              <w:adjustRightInd/>
              <w:jc w:val="center"/>
              <w:rPr>
                <w:color w:val="000000"/>
              </w:rPr>
            </w:pPr>
            <w:r>
              <w:rPr>
                <w:color w:val="000000"/>
              </w:rPr>
              <w:t>$</w:t>
            </w:r>
            <w:r w:rsidRPr="00077C57" w:rsidR="00077C57">
              <w:rPr>
                <w:color w:val="000000"/>
              </w:rPr>
              <w:t>2,845.46</w:t>
            </w:r>
          </w:p>
        </w:tc>
        <w:tc>
          <w:tcPr>
            <w:tcW w:w="1840" w:type="dxa"/>
            <w:gridSpan w:val="3"/>
            <w:tcBorders>
              <w:top w:val="nil"/>
              <w:left w:val="nil"/>
              <w:bottom w:val="double" w:color="auto" w:sz="6" w:space="0"/>
              <w:right w:val="single" w:color="auto" w:sz="8" w:space="0"/>
            </w:tcBorders>
            <w:shd w:val="clear" w:color="000000" w:fill="FFFFFF"/>
            <w:vAlign w:val="bottom"/>
            <w:hideMark/>
          </w:tcPr>
          <w:p w:rsidRPr="00077C57" w:rsidR="00077C57" w:rsidP="00077C57" w:rsidRDefault="003C60A5" w14:paraId="106E34B6" w14:textId="6C6B0899">
            <w:pPr>
              <w:autoSpaceDE/>
              <w:autoSpaceDN/>
              <w:adjustRightInd/>
              <w:jc w:val="center"/>
              <w:rPr>
                <w:color w:val="000000"/>
              </w:rPr>
            </w:pPr>
            <w:r>
              <w:rPr>
                <w:color w:val="000000"/>
              </w:rPr>
              <w:t>$</w:t>
            </w:r>
            <w:r w:rsidRPr="00077C57" w:rsidR="00077C57">
              <w:rPr>
                <w:color w:val="000000"/>
              </w:rPr>
              <w:t>26,431.02</w:t>
            </w:r>
          </w:p>
        </w:tc>
        <w:tc>
          <w:tcPr>
            <w:tcW w:w="1640" w:type="dxa"/>
            <w:gridSpan w:val="2"/>
            <w:tcBorders>
              <w:top w:val="nil"/>
              <w:left w:val="nil"/>
              <w:bottom w:val="double" w:color="auto" w:sz="6" w:space="0"/>
              <w:right w:val="single" w:color="auto" w:sz="8" w:space="0"/>
            </w:tcBorders>
            <w:shd w:val="clear" w:color="000000" w:fill="FFFFFF"/>
            <w:vAlign w:val="bottom"/>
            <w:hideMark/>
          </w:tcPr>
          <w:p w:rsidRPr="00077C57" w:rsidR="00077C57" w:rsidP="00077C57" w:rsidRDefault="003C60A5" w14:paraId="6EE8D86C" w14:textId="092BAAF5">
            <w:pPr>
              <w:autoSpaceDE/>
              <w:autoSpaceDN/>
              <w:adjustRightInd/>
              <w:jc w:val="center"/>
              <w:rPr>
                <w:color w:val="000000"/>
              </w:rPr>
            </w:pPr>
            <w:r>
              <w:rPr>
                <w:color w:val="000000"/>
              </w:rPr>
              <w:t>$</w:t>
            </w:r>
            <w:r w:rsidRPr="00077C57" w:rsidR="00077C57">
              <w:rPr>
                <w:color w:val="000000"/>
              </w:rPr>
              <w:t>40,359.77</w:t>
            </w:r>
          </w:p>
        </w:tc>
        <w:tc>
          <w:tcPr>
            <w:tcW w:w="1680" w:type="dxa"/>
            <w:gridSpan w:val="2"/>
            <w:tcBorders>
              <w:top w:val="nil"/>
              <w:left w:val="nil"/>
              <w:bottom w:val="double" w:color="auto" w:sz="6" w:space="0"/>
              <w:right w:val="nil"/>
            </w:tcBorders>
            <w:shd w:val="clear" w:color="000000" w:fill="FFFFFF"/>
            <w:vAlign w:val="bottom"/>
            <w:hideMark/>
          </w:tcPr>
          <w:p w:rsidRPr="00077C57" w:rsidR="00077C57" w:rsidP="00077C57" w:rsidRDefault="003C60A5" w14:paraId="75C38AD0" w14:textId="353C4ABD">
            <w:pPr>
              <w:autoSpaceDE/>
              <w:autoSpaceDN/>
              <w:adjustRightInd/>
              <w:jc w:val="center"/>
              <w:rPr>
                <w:color w:val="000000"/>
              </w:rPr>
            </w:pPr>
            <w:r>
              <w:rPr>
                <w:color w:val="000000"/>
              </w:rPr>
              <w:t>$</w:t>
            </w:r>
            <w:r w:rsidRPr="00077C57" w:rsidR="00077C57">
              <w:rPr>
                <w:color w:val="000000"/>
              </w:rPr>
              <w:t>2,914.89</w:t>
            </w:r>
          </w:p>
        </w:tc>
        <w:tc>
          <w:tcPr>
            <w:tcW w:w="960" w:type="dxa"/>
            <w:gridSpan w:val="2"/>
            <w:tcBorders>
              <w:top w:val="nil"/>
              <w:left w:val="single" w:color="auto" w:sz="8" w:space="0"/>
              <w:bottom w:val="double" w:color="auto" w:sz="6" w:space="0"/>
              <w:right w:val="double" w:color="auto" w:sz="6" w:space="0"/>
            </w:tcBorders>
            <w:shd w:val="clear" w:color="000000" w:fill="FFFFFF"/>
            <w:vAlign w:val="bottom"/>
            <w:hideMark/>
          </w:tcPr>
          <w:p w:rsidRPr="00077C57" w:rsidR="00077C57" w:rsidP="00077C57" w:rsidRDefault="003C60A5" w14:paraId="69B136D6" w14:textId="650BF2D9">
            <w:pPr>
              <w:autoSpaceDE/>
              <w:autoSpaceDN/>
              <w:adjustRightInd/>
              <w:jc w:val="center"/>
              <w:rPr>
                <w:color w:val="000000"/>
              </w:rPr>
            </w:pPr>
            <w:r>
              <w:rPr>
                <w:color w:val="000000"/>
              </w:rPr>
              <w:t>$</w:t>
            </w:r>
            <w:r w:rsidRPr="00077C57" w:rsidR="00077C57">
              <w:rPr>
                <w:color w:val="000000"/>
              </w:rPr>
              <w:t>72,551</w:t>
            </w:r>
          </w:p>
        </w:tc>
      </w:tr>
    </w:tbl>
    <w:p w:rsidR="00E22E7A" w:rsidP="00B25038" w:rsidRDefault="00E22E7A" w14:paraId="4E9FA9C6" w14:textId="17CD67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354662" w:rsidP="00B25038" w:rsidRDefault="00354662" w14:paraId="3DFC5CD7" w14:textId="42F1339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627EA1" w:rsidP="00B25038" w:rsidRDefault="00627EA1" w14:paraId="3A54F69B" w14:textId="0208063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t xml:space="preserve">Total state wage cost is based on the wage rate for an engineering technician for sections 772.12 and 772.15 and on </w:t>
      </w:r>
      <w:r w:rsidR="00070CF0">
        <w:rPr>
          <w:rFonts w:ascii="Arial" w:hAnsi="Arial" w:cs="Arial"/>
        </w:rPr>
        <w:t xml:space="preserve">the </w:t>
      </w:r>
      <w:r>
        <w:rPr>
          <w:rFonts w:ascii="Arial" w:hAnsi="Arial" w:cs="Arial"/>
        </w:rPr>
        <w:t xml:space="preserve">wage rate for a filing clerk for </w:t>
      </w:r>
      <w:r w:rsidR="00070CF0">
        <w:rPr>
          <w:rFonts w:ascii="Arial" w:hAnsi="Arial" w:cs="Arial"/>
        </w:rPr>
        <w:t xml:space="preserve">section </w:t>
      </w:r>
      <w:r>
        <w:rPr>
          <w:rFonts w:ascii="Arial" w:hAnsi="Arial" w:cs="Arial"/>
        </w:rPr>
        <w:t xml:space="preserve">772.15. </w:t>
      </w:r>
      <w:r w:rsidR="00737D3B">
        <w:rPr>
          <w:rFonts w:ascii="Arial" w:hAnsi="Arial" w:cs="Arial"/>
        </w:rPr>
        <w:t>The average hour rate with benefit</w:t>
      </w:r>
      <w:r w:rsidR="00070CF0">
        <w:rPr>
          <w:rFonts w:ascii="Arial" w:hAnsi="Arial" w:cs="Arial"/>
        </w:rPr>
        <w:t xml:space="preserve"> (1.6 ratio) </w:t>
      </w:r>
      <w:r w:rsidR="00737D3B">
        <w:rPr>
          <w:rFonts w:ascii="Arial" w:hAnsi="Arial" w:cs="Arial"/>
        </w:rPr>
        <w:t>is $35.25/hour.  Therefore, t</w:t>
      </w:r>
      <w:r>
        <w:rPr>
          <w:rFonts w:ascii="Arial" w:hAnsi="Arial" w:cs="Arial"/>
        </w:rPr>
        <w:t xml:space="preserve">he total wage cost is $8,390 (238 hours x $35.25/hour).  </w:t>
      </w:r>
    </w:p>
    <w:p w:rsidR="00354662" w:rsidP="00B25038" w:rsidRDefault="00354662" w14:paraId="47F767C7" w14:textId="7955161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tbl>
      <w:tblPr>
        <w:tblW w:w="10314" w:type="dxa"/>
        <w:tblInd w:w="108" w:type="dxa"/>
        <w:tblLook w:val="04A0" w:firstRow="1" w:lastRow="0" w:firstColumn="1" w:lastColumn="0" w:noHBand="0" w:noVBand="1"/>
      </w:tblPr>
      <w:tblGrid>
        <w:gridCol w:w="1374"/>
        <w:gridCol w:w="1470"/>
        <w:gridCol w:w="1568"/>
        <w:gridCol w:w="1200"/>
        <w:gridCol w:w="1819"/>
        <w:gridCol w:w="1567"/>
        <w:gridCol w:w="1316"/>
      </w:tblGrid>
      <w:tr w:rsidRPr="00354662" w:rsidR="00354662" w:rsidTr="00070CF0" w14:paraId="5B3E6B73" w14:textId="77777777">
        <w:trPr>
          <w:trHeight w:val="315"/>
        </w:trPr>
        <w:tc>
          <w:tcPr>
            <w:tcW w:w="4412" w:type="dxa"/>
            <w:gridSpan w:val="3"/>
            <w:tcBorders>
              <w:top w:val="nil"/>
              <w:left w:val="nil"/>
              <w:bottom w:val="nil"/>
              <w:right w:val="nil"/>
            </w:tcBorders>
            <w:shd w:val="clear" w:color="000000" w:fill="FFFFFF"/>
            <w:noWrap/>
            <w:vAlign w:val="bottom"/>
            <w:hideMark/>
          </w:tcPr>
          <w:p w:rsidRPr="00354662" w:rsidR="00354662" w:rsidP="00354662" w:rsidRDefault="00354662" w14:paraId="0AC9F580" w14:textId="77777777">
            <w:pPr>
              <w:autoSpaceDE/>
              <w:autoSpaceDN/>
              <w:adjustRightInd/>
              <w:rPr>
                <w:rFonts w:ascii="Arial" w:hAnsi="Arial" w:cs="Arial"/>
                <w:color w:val="000000"/>
                <w:sz w:val="22"/>
                <w:szCs w:val="22"/>
              </w:rPr>
            </w:pPr>
            <w:r w:rsidRPr="00354662">
              <w:rPr>
                <w:rFonts w:ascii="Arial" w:hAnsi="Arial" w:cs="Arial"/>
                <w:color w:val="000000"/>
                <w:sz w:val="22"/>
                <w:szCs w:val="22"/>
              </w:rPr>
              <w:t xml:space="preserve">State regulators total wage costs </w:t>
            </w:r>
          </w:p>
        </w:tc>
        <w:tc>
          <w:tcPr>
            <w:tcW w:w="1200" w:type="dxa"/>
            <w:tcBorders>
              <w:top w:val="nil"/>
              <w:left w:val="nil"/>
              <w:bottom w:val="nil"/>
              <w:right w:val="nil"/>
            </w:tcBorders>
            <w:shd w:val="clear" w:color="000000" w:fill="FFFFFF"/>
            <w:noWrap/>
            <w:vAlign w:val="bottom"/>
            <w:hideMark/>
          </w:tcPr>
          <w:p w:rsidRPr="00354662" w:rsidR="00354662" w:rsidP="00354662" w:rsidRDefault="00354662" w14:paraId="00DBEDD8" w14:textId="77777777">
            <w:pPr>
              <w:autoSpaceDE/>
              <w:autoSpaceDN/>
              <w:adjustRightInd/>
              <w:rPr>
                <w:rFonts w:ascii="Calibri" w:hAnsi="Calibri" w:cs="Calibri"/>
                <w:color w:val="000000"/>
                <w:sz w:val="22"/>
                <w:szCs w:val="22"/>
              </w:rPr>
            </w:pPr>
            <w:r w:rsidRPr="00354662">
              <w:rPr>
                <w:rFonts w:ascii="Calibri" w:hAnsi="Calibri" w:cs="Calibri"/>
                <w:color w:val="000000"/>
                <w:sz w:val="22"/>
                <w:szCs w:val="22"/>
              </w:rPr>
              <w:t> </w:t>
            </w:r>
          </w:p>
        </w:tc>
        <w:tc>
          <w:tcPr>
            <w:tcW w:w="1819" w:type="dxa"/>
            <w:tcBorders>
              <w:top w:val="nil"/>
              <w:left w:val="nil"/>
              <w:bottom w:val="nil"/>
              <w:right w:val="nil"/>
            </w:tcBorders>
            <w:shd w:val="clear" w:color="000000" w:fill="FFFFFF"/>
            <w:noWrap/>
            <w:vAlign w:val="bottom"/>
            <w:hideMark/>
          </w:tcPr>
          <w:p w:rsidRPr="00354662" w:rsidR="00354662" w:rsidP="00354662" w:rsidRDefault="00354662" w14:paraId="10402FBE" w14:textId="77777777">
            <w:pPr>
              <w:autoSpaceDE/>
              <w:autoSpaceDN/>
              <w:adjustRightInd/>
              <w:rPr>
                <w:rFonts w:ascii="Calibri" w:hAnsi="Calibri" w:cs="Calibri"/>
                <w:color w:val="000000"/>
                <w:sz w:val="22"/>
                <w:szCs w:val="22"/>
              </w:rPr>
            </w:pPr>
            <w:r w:rsidRPr="00354662">
              <w:rPr>
                <w:rFonts w:ascii="Calibri" w:hAnsi="Calibri" w:cs="Calibri"/>
                <w:color w:val="000000"/>
                <w:sz w:val="22"/>
                <w:szCs w:val="22"/>
              </w:rPr>
              <w:t> </w:t>
            </w:r>
          </w:p>
        </w:tc>
        <w:tc>
          <w:tcPr>
            <w:tcW w:w="1567" w:type="dxa"/>
            <w:tcBorders>
              <w:top w:val="nil"/>
              <w:left w:val="nil"/>
              <w:bottom w:val="nil"/>
              <w:right w:val="nil"/>
            </w:tcBorders>
            <w:shd w:val="clear" w:color="000000" w:fill="FFFFFF"/>
            <w:noWrap/>
            <w:vAlign w:val="bottom"/>
            <w:hideMark/>
          </w:tcPr>
          <w:p w:rsidRPr="00354662" w:rsidR="00354662" w:rsidP="00354662" w:rsidRDefault="00354662" w14:paraId="09744F50" w14:textId="77777777">
            <w:pPr>
              <w:autoSpaceDE/>
              <w:autoSpaceDN/>
              <w:adjustRightInd/>
              <w:rPr>
                <w:rFonts w:ascii="Calibri" w:hAnsi="Calibri" w:cs="Calibri"/>
                <w:color w:val="000000"/>
                <w:sz w:val="22"/>
                <w:szCs w:val="22"/>
              </w:rPr>
            </w:pPr>
            <w:r w:rsidRPr="00354662">
              <w:rPr>
                <w:rFonts w:ascii="Calibri" w:hAnsi="Calibri" w:cs="Calibri"/>
                <w:color w:val="000000"/>
                <w:sz w:val="22"/>
                <w:szCs w:val="22"/>
              </w:rPr>
              <w:t> </w:t>
            </w:r>
          </w:p>
        </w:tc>
        <w:tc>
          <w:tcPr>
            <w:tcW w:w="1316" w:type="dxa"/>
            <w:tcBorders>
              <w:top w:val="nil"/>
              <w:left w:val="nil"/>
              <w:bottom w:val="nil"/>
              <w:right w:val="nil"/>
            </w:tcBorders>
            <w:shd w:val="clear" w:color="000000" w:fill="FFFFFF"/>
            <w:noWrap/>
            <w:vAlign w:val="bottom"/>
            <w:hideMark/>
          </w:tcPr>
          <w:p w:rsidRPr="00354662" w:rsidR="00354662" w:rsidP="00354662" w:rsidRDefault="00354662" w14:paraId="4E137363" w14:textId="77777777">
            <w:pPr>
              <w:autoSpaceDE/>
              <w:autoSpaceDN/>
              <w:adjustRightInd/>
              <w:rPr>
                <w:rFonts w:ascii="Calibri" w:hAnsi="Calibri" w:cs="Calibri"/>
                <w:color w:val="000000"/>
                <w:sz w:val="22"/>
                <w:szCs w:val="22"/>
              </w:rPr>
            </w:pPr>
            <w:r w:rsidRPr="00354662">
              <w:rPr>
                <w:rFonts w:ascii="Calibri" w:hAnsi="Calibri" w:cs="Calibri"/>
                <w:color w:val="000000"/>
                <w:sz w:val="22"/>
                <w:szCs w:val="22"/>
              </w:rPr>
              <w:t> </w:t>
            </w:r>
          </w:p>
        </w:tc>
      </w:tr>
      <w:tr w:rsidRPr="00354662" w:rsidR="00354662" w:rsidTr="00070CF0" w14:paraId="00EF25E3" w14:textId="77777777">
        <w:trPr>
          <w:trHeight w:val="1605"/>
        </w:trPr>
        <w:tc>
          <w:tcPr>
            <w:tcW w:w="1374" w:type="dxa"/>
            <w:tcBorders>
              <w:top w:val="double" w:color="auto" w:sz="6" w:space="0"/>
              <w:left w:val="double" w:color="auto" w:sz="6" w:space="0"/>
              <w:bottom w:val="single" w:color="auto" w:sz="8" w:space="0"/>
              <w:right w:val="single" w:color="auto" w:sz="8" w:space="0"/>
            </w:tcBorders>
            <w:shd w:val="clear" w:color="000000" w:fill="FFFFFF"/>
            <w:vAlign w:val="center"/>
            <w:hideMark/>
          </w:tcPr>
          <w:p w:rsidRPr="00354662" w:rsidR="00354662" w:rsidP="00354662" w:rsidRDefault="00354662" w14:paraId="04AD1211"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Section</w:t>
            </w:r>
          </w:p>
        </w:tc>
        <w:tc>
          <w:tcPr>
            <w:tcW w:w="1470" w:type="dxa"/>
            <w:tcBorders>
              <w:top w:val="double" w:color="auto" w:sz="6" w:space="0"/>
              <w:left w:val="nil"/>
              <w:bottom w:val="single" w:color="auto" w:sz="8" w:space="0"/>
              <w:right w:val="single" w:color="auto" w:sz="8" w:space="0"/>
            </w:tcBorders>
            <w:shd w:val="clear" w:color="000000" w:fill="FFFFFF"/>
            <w:vAlign w:val="bottom"/>
            <w:hideMark/>
          </w:tcPr>
          <w:p w:rsidRPr="00354662" w:rsidR="00354662" w:rsidP="00354662" w:rsidRDefault="00354662" w14:paraId="7E9AD03E"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State Regulatory Authority hours per response</w:t>
            </w:r>
          </w:p>
        </w:tc>
        <w:tc>
          <w:tcPr>
            <w:tcW w:w="1567" w:type="dxa"/>
            <w:tcBorders>
              <w:top w:val="double" w:color="auto" w:sz="6" w:space="0"/>
              <w:left w:val="nil"/>
              <w:bottom w:val="single" w:color="auto" w:sz="8" w:space="0"/>
              <w:right w:val="single" w:color="auto" w:sz="8" w:space="0"/>
            </w:tcBorders>
            <w:shd w:val="clear" w:color="000000" w:fill="FFFFFF"/>
            <w:vAlign w:val="bottom"/>
            <w:hideMark/>
          </w:tcPr>
          <w:p w:rsidRPr="00354662" w:rsidR="00354662" w:rsidP="00354662" w:rsidRDefault="00354662" w14:paraId="1433D1F6"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Responses (applications)</w:t>
            </w:r>
          </w:p>
        </w:tc>
        <w:tc>
          <w:tcPr>
            <w:tcW w:w="1200" w:type="dxa"/>
            <w:tcBorders>
              <w:top w:val="double" w:color="auto" w:sz="6" w:space="0"/>
              <w:left w:val="nil"/>
              <w:bottom w:val="single" w:color="auto" w:sz="8" w:space="0"/>
              <w:right w:val="single" w:color="auto" w:sz="8" w:space="0"/>
            </w:tcBorders>
            <w:shd w:val="clear" w:color="000000" w:fill="FFFFFF"/>
            <w:vAlign w:val="bottom"/>
            <w:hideMark/>
          </w:tcPr>
          <w:p w:rsidRPr="00354662" w:rsidR="00354662" w:rsidP="00354662" w:rsidRDefault="00354662" w14:paraId="230A9286"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Total hours</w:t>
            </w:r>
          </w:p>
        </w:tc>
        <w:tc>
          <w:tcPr>
            <w:tcW w:w="1819" w:type="dxa"/>
            <w:tcBorders>
              <w:top w:val="double" w:color="auto" w:sz="6" w:space="0"/>
              <w:left w:val="nil"/>
              <w:bottom w:val="single" w:color="auto" w:sz="8" w:space="0"/>
              <w:right w:val="single" w:color="auto" w:sz="8" w:space="0"/>
            </w:tcBorders>
            <w:shd w:val="clear" w:color="000000" w:fill="FFFFFF"/>
            <w:vAlign w:val="bottom"/>
            <w:hideMark/>
          </w:tcPr>
          <w:p w:rsidRPr="00354662" w:rsidR="00354662" w:rsidP="00354662" w:rsidRDefault="00354662" w14:paraId="67A3F572" w14:textId="1C2D6F70">
            <w:pPr>
              <w:autoSpaceDE/>
              <w:autoSpaceDN/>
              <w:adjustRightInd/>
              <w:jc w:val="center"/>
              <w:rPr>
                <w:rFonts w:ascii="Arial" w:hAnsi="Arial" w:cs="Arial"/>
                <w:color w:val="000000"/>
                <w:sz w:val="22"/>
                <w:szCs w:val="22"/>
              </w:rPr>
            </w:pPr>
            <w:r w:rsidRPr="00354662">
              <w:rPr>
                <w:rFonts w:ascii="Arial" w:hAnsi="Arial" w:cs="Arial"/>
                <w:color w:val="000000"/>
                <w:sz w:val="22"/>
                <w:szCs w:val="22"/>
              </w:rPr>
              <w:t>Hourly wage (BLS)</w:t>
            </w:r>
          </w:p>
        </w:tc>
        <w:tc>
          <w:tcPr>
            <w:tcW w:w="1567" w:type="dxa"/>
            <w:tcBorders>
              <w:top w:val="double" w:color="auto" w:sz="6" w:space="0"/>
              <w:left w:val="nil"/>
              <w:bottom w:val="single" w:color="auto" w:sz="8" w:space="0"/>
              <w:right w:val="single" w:color="auto" w:sz="8" w:space="0"/>
            </w:tcBorders>
            <w:shd w:val="clear" w:color="000000" w:fill="FFFFFF"/>
            <w:vAlign w:val="bottom"/>
            <w:hideMark/>
          </w:tcPr>
          <w:p w:rsidRPr="00354662" w:rsidR="00354662" w:rsidP="00354662" w:rsidRDefault="00354662" w14:paraId="180BFD4B" w14:textId="1618DAB5">
            <w:pPr>
              <w:autoSpaceDE/>
              <w:autoSpaceDN/>
              <w:adjustRightInd/>
              <w:jc w:val="center"/>
              <w:rPr>
                <w:rFonts w:ascii="Arial" w:hAnsi="Arial" w:cs="Arial"/>
                <w:color w:val="000000"/>
                <w:sz w:val="22"/>
                <w:szCs w:val="22"/>
              </w:rPr>
            </w:pPr>
            <w:r w:rsidRPr="00354662">
              <w:rPr>
                <w:rFonts w:ascii="Arial" w:hAnsi="Arial" w:cs="Arial"/>
                <w:color w:val="000000"/>
                <w:sz w:val="22"/>
                <w:szCs w:val="22"/>
              </w:rPr>
              <w:t xml:space="preserve">Hourly wage w/benefit </w:t>
            </w:r>
          </w:p>
        </w:tc>
        <w:tc>
          <w:tcPr>
            <w:tcW w:w="1316" w:type="dxa"/>
            <w:tcBorders>
              <w:top w:val="double" w:color="auto" w:sz="6" w:space="0"/>
              <w:left w:val="nil"/>
              <w:bottom w:val="single" w:color="auto" w:sz="8" w:space="0"/>
              <w:right w:val="double" w:color="auto" w:sz="6" w:space="0"/>
            </w:tcBorders>
            <w:shd w:val="clear" w:color="000000" w:fill="FFFFFF"/>
            <w:vAlign w:val="bottom"/>
            <w:hideMark/>
          </w:tcPr>
          <w:p w:rsidRPr="00354662" w:rsidR="00354662" w:rsidP="00354662" w:rsidRDefault="00354662" w14:paraId="1F00E8C9" w14:textId="35FA57B4">
            <w:pPr>
              <w:autoSpaceDE/>
              <w:autoSpaceDN/>
              <w:adjustRightInd/>
              <w:jc w:val="center"/>
              <w:rPr>
                <w:rFonts w:ascii="Arial" w:hAnsi="Arial" w:cs="Arial"/>
                <w:color w:val="000000"/>
                <w:sz w:val="22"/>
                <w:szCs w:val="22"/>
              </w:rPr>
            </w:pPr>
            <w:r w:rsidRPr="00354662">
              <w:rPr>
                <w:rFonts w:ascii="Arial" w:hAnsi="Arial" w:cs="Arial"/>
                <w:color w:val="000000"/>
                <w:sz w:val="22"/>
                <w:szCs w:val="22"/>
              </w:rPr>
              <w:t xml:space="preserve">Total wage cost </w:t>
            </w:r>
          </w:p>
        </w:tc>
      </w:tr>
      <w:tr w:rsidRPr="00354662" w:rsidR="00354662" w:rsidTr="00070CF0" w14:paraId="1545F3F5" w14:textId="77777777">
        <w:trPr>
          <w:trHeight w:val="315"/>
        </w:trPr>
        <w:tc>
          <w:tcPr>
            <w:tcW w:w="1374" w:type="dxa"/>
            <w:tcBorders>
              <w:top w:val="nil"/>
              <w:left w:val="double" w:color="auto" w:sz="6" w:space="0"/>
              <w:bottom w:val="single" w:color="auto" w:sz="8" w:space="0"/>
              <w:right w:val="single" w:color="auto" w:sz="8" w:space="0"/>
            </w:tcBorders>
            <w:shd w:val="clear" w:color="000000" w:fill="FFFFFF"/>
            <w:vAlign w:val="center"/>
            <w:hideMark/>
          </w:tcPr>
          <w:p w:rsidRPr="00354662" w:rsidR="00354662" w:rsidP="00354662" w:rsidRDefault="00354662" w14:paraId="718D3826" w14:textId="77777777">
            <w:pPr>
              <w:autoSpaceDE/>
              <w:autoSpaceDN/>
              <w:adjustRightInd/>
              <w:jc w:val="right"/>
              <w:rPr>
                <w:rFonts w:ascii="Arial" w:hAnsi="Arial" w:cs="Arial"/>
                <w:color w:val="000000"/>
                <w:sz w:val="22"/>
                <w:szCs w:val="22"/>
              </w:rPr>
            </w:pPr>
            <w:r w:rsidRPr="00354662">
              <w:rPr>
                <w:rFonts w:ascii="Arial" w:hAnsi="Arial" w:cs="Arial"/>
                <w:color w:val="000000"/>
                <w:sz w:val="22"/>
                <w:szCs w:val="22"/>
              </w:rPr>
              <w:t>772.12</w:t>
            </w:r>
          </w:p>
        </w:tc>
        <w:tc>
          <w:tcPr>
            <w:tcW w:w="1470"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51AFFCF8"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53.0</w:t>
            </w:r>
          </w:p>
        </w:tc>
        <w:tc>
          <w:tcPr>
            <w:tcW w:w="1567"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6788A283"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2</w:t>
            </w:r>
          </w:p>
        </w:tc>
        <w:tc>
          <w:tcPr>
            <w:tcW w:w="1200"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7FCF756B" w14:textId="21D8911E">
            <w:pPr>
              <w:autoSpaceDE/>
              <w:autoSpaceDN/>
              <w:adjustRightInd/>
              <w:jc w:val="center"/>
              <w:rPr>
                <w:rFonts w:ascii="Arial" w:hAnsi="Arial" w:cs="Arial"/>
                <w:color w:val="000000"/>
                <w:sz w:val="22"/>
                <w:szCs w:val="22"/>
              </w:rPr>
            </w:pPr>
            <w:r w:rsidRPr="00354662">
              <w:rPr>
                <w:rFonts w:ascii="Arial" w:hAnsi="Arial" w:cs="Arial"/>
                <w:color w:val="000000"/>
                <w:sz w:val="22"/>
                <w:szCs w:val="22"/>
              </w:rPr>
              <w:t>106</w:t>
            </w:r>
          </w:p>
        </w:tc>
        <w:tc>
          <w:tcPr>
            <w:tcW w:w="1819"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737D3B" w14:paraId="54D89769" w14:textId="1B04CC95">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23.37</w:t>
            </w:r>
          </w:p>
        </w:tc>
        <w:tc>
          <w:tcPr>
            <w:tcW w:w="1567"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737D3B" w14:paraId="143575A2" w14:textId="7EDD19A4">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37.39</w:t>
            </w:r>
          </w:p>
        </w:tc>
        <w:tc>
          <w:tcPr>
            <w:tcW w:w="1316" w:type="dxa"/>
            <w:tcBorders>
              <w:top w:val="nil"/>
              <w:left w:val="nil"/>
              <w:bottom w:val="single" w:color="auto" w:sz="8" w:space="0"/>
              <w:right w:val="double" w:color="auto" w:sz="6" w:space="0"/>
            </w:tcBorders>
            <w:shd w:val="clear" w:color="000000" w:fill="FFFFFF"/>
            <w:noWrap/>
            <w:vAlign w:val="bottom"/>
            <w:hideMark/>
          </w:tcPr>
          <w:p w:rsidRPr="00354662" w:rsidR="00354662" w:rsidP="00354662" w:rsidRDefault="00737D3B" w14:paraId="61EE7D33" w14:textId="60036097">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3,963.55</w:t>
            </w:r>
          </w:p>
        </w:tc>
      </w:tr>
      <w:tr w:rsidRPr="00354662" w:rsidR="00354662" w:rsidTr="00070CF0" w14:paraId="18DD6494" w14:textId="77777777">
        <w:trPr>
          <w:trHeight w:val="315"/>
        </w:trPr>
        <w:tc>
          <w:tcPr>
            <w:tcW w:w="1374" w:type="dxa"/>
            <w:tcBorders>
              <w:top w:val="nil"/>
              <w:left w:val="double" w:color="auto" w:sz="6" w:space="0"/>
              <w:bottom w:val="single" w:color="auto" w:sz="8" w:space="0"/>
              <w:right w:val="single" w:color="auto" w:sz="8" w:space="0"/>
            </w:tcBorders>
            <w:shd w:val="clear" w:color="000000" w:fill="FFFFFF"/>
            <w:vAlign w:val="center"/>
            <w:hideMark/>
          </w:tcPr>
          <w:p w:rsidRPr="00354662" w:rsidR="00354662" w:rsidP="00354662" w:rsidRDefault="00354662" w14:paraId="37ACBD18" w14:textId="77777777">
            <w:pPr>
              <w:autoSpaceDE/>
              <w:autoSpaceDN/>
              <w:adjustRightInd/>
              <w:jc w:val="right"/>
              <w:rPr>
                <w:rFonts w:ascii="Arial" w:hAnsi="Arial" w:cs="Arial"/>
                <w:color w:val="000000"/>
                <w:sz w:val="22"/>
                <w:szCs w:val="22"/>
              </w:rPr>
            </w:pPr>
            <w:r w:rsidRPr="00354662">
              <w:rPr>
                <w:rFonts w:ascii="Arial" w:hAnsi="Arial" w:cs="Arial"/>
                <w:color w:val="000000"/>
                <w:sz w:val="22"/>
                <w:szCs w:val="22"/>
              </w:rPr>
              <w:t>772.14</w:t>
            </w:r>
          </w:p>
        </w:tc>
        <w:tc>
          <w:tcPr>
            <w:tcW w:w="1470"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78DF194F"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2.0</w:t>
            </w:r>
          </w:p>
        </w:tc>
        <w:tc>
          <w:tcPr>
            <w:tcW w:w="1567"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21DAD281"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1</w:t>
            </w:r>
          </w:p>
        </w:tc>
        <w:tc>
          <w:tcPr>
            <w:tcW w:w="1200"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62CA5A6E" w14:textId="2794813B">
            <w:pPr>
              <w:autoSpaceDE/>
              <w:autoSpaceDN/>
              <w:adjustRightInd/>
              <w:jc w:val="center"/>
              <w:rPr>
                <w:rFonts w:ascii="Arial" w:hAnsi="Arial" w:cs="Arial"/>
                <w:color w:val="000000"/>
                <w:sz w:val="22"/>
                <w:szCs w:val="22"/>
              </w:rPr>
            </w:pPr>
            <w:r w:rsidRPr="00354662">
              <w:rPr>
                <w:rFonts w:ascii="Arial" w:hAnsi="Arial" w:cs="Arial"/>
                <w:color w:val="000000"/>
                <w:sz w:val="22"/>
                <w:szCs w:val="22"/>
              </w:rPr>
              <w:t>2</w:t>
            </w:r>
          </w:p>
        </w:tc>
        <w:tc>
          <w:tcPr>
            <w:tcW w:w="1819"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737D3B" w14:paraId="07FC1750" w14:textId="22292E8C">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23.37</w:t>
            </w:r>
          </w:p>
        </w:tc>
        <w:tc>
          <w:tcPr>
            <w:tcW w:w="1567"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737D3B" w14:paraId="6D171A5F" w14:textId="032D93BB">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37.39</w:t>
            </w:r>
          </w:p>
        </w:tc>
        <w:tc>
          <w:tcPr>
            <w:tcW w:w="1316" w:type="dxa"/>
            <w:tcBorders>
              <w:top w:val="nil"/>
              <w:left w:val="nil"/>
              <w:bottom w:val="single" w:color="auto" w:sz="8" w:space="0"/>
              <w:right w:val="double" w:color="auto" w:sz="6" w:space="0"/>
            </w:tcBorders>
            <w:shd w:val="clear" w:color="000000" w:fill="FFFFFF"/>
            <w:noWrap/>
            <w:vAlign w:val="bottom"/>
            <w:hideMark/>
          </w:tcPr>
          <w:p w:rsidRPr="00354662" w:rsidR="00354662" w:rsidP="00354662" w:rsidRDefault="00737D3B" w14:paraId="2A5BA533" w14:textId="7C9D76A4">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74.78</w:t>
            </w:r>
          </w:p>
        </w:tc>
      </w:tr>
      <w:tr w:rsidRPr="00354662" w:rsidR="00354662" w:rsidTr="00070CF0" w14:paraId="45536280" w14:textId="77777777">
        <w:trPr>
          <w:trHeight w:val="315"/>
        </w:trPr>
        <w:tc>
          <w:tcPr>
            <w:tcW w:w="1374" w:type="dxa"/>
            <w:tcBorders>
              <w:top w:val="nil"/>
              <w:left w:val="double" w:color="auto" w:sz="6" w:space="0"/>
              <w:bottom w:val="single" w:color="auto" w:sz="8" w:space="0"/>
              <w:right w:val="single" w:color="auto" w:sz="8" w:space="0"/>
            </w:tcBorders>
            <w:shd w:val="clear" w:color="000000" w:fill="FFFFFF"/>
            <w:vAlign w:val="center"/>
            <w:hideMark/>
          </w:tcPr>
          <w:p w:rsidRPr="00354662" w:rsidR="00354662" w:rsidP="00354662" w:rsidRDefault="00354662" w14:paraId="00684D73" w14:textId="77777777">
            <w:pPr>
              <w:autoSpaceDE/>
              <w:autoSpaceDN/>
              <w:adjustRightInd/>
              <w:jc w:val="right"/>
              <w:rPr>
                <w:rFonts w:ascii="Arial" w:hAnsi="Arial" w:cs="Arial"/>
                <w:color w:val="000000"/>
                <w:sz w:val="22"/>
                <w:szCs w:val="22"/>
              </w:rPr>
            </w:pPr>
            <w:r w:rsidRPr="00354662">
              <w:rPr>
                <w:rFonts w:ascii="Arial" w:hAnsi="Arial" w:cs="Arial"/>
                <w:color w:val="000000"/>
                <w:sz w:val="22"/>
                <w:szCs w:val="22"/>
              </w:rPr>
              <w:t>772.15</w:t>
            </w:r>
          </w:p>
        </w:tc>
        <w:tc>
          <w:tcPr>
            <w:tcW w:w="1470"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3C6FD36C"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0.5</w:t>
            </w:r>
          </w:p>
        </w:tc>
        <w:tc>
          <w:tcPr>
            <w:tcW w:w="1567"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290EBB3E"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260</w:t>
            </w:r>
          </w:p>
        </w:tc>
        <w:tc>
          <w:tcPr>
            <w:tcW w:w="1200"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354662" w14:paraId="3531F5B1" w14:textId="1F572DA4">
            <w:pPr>
              <w:autoSpaceDE/>
              <w:autoSpaceDN/>
              <w:adjustRightInd/>
              <w:jc w:val="center"/>
              <w:rPr>
                <w:rFonts w:ascii="Arial" w:hAnsi="Arial" w:cs="Arial"/>
                <w:color w:val="000000"/>
                <w:sz w:val="22"/>
                <w:szCs w:val="22"/>
              </w:rPr>
            </w:pPr>
            <w:r w:rsidRPr="00354662">
              <w:rPr>
                <w:rFonts w:ascii="Arial" w:hAnsi="Arial" w:cs="Arial"/>
                <w:color w:val="000000"/>
                <w:sz w:val="22"/>
                <w:szCs w:val="22"/>
              </w:rPr>
              <w:t>130</w:t>
            </w:r>
          </w:p>
        </w:tc>
        <w:tc>
          <w:tcPr>
            <w:tcW w:w="1819"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737D3B" w14:paraId="58AB5BAB" w14:textId="20EB701A">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20.92</w:t>
            </w:r>
          </w:p>
        </w:tc>
        <w:tc>
          <w:tcPr>
            <w:tcW w:w="1567" w:type="dxa"/>
            <w:tcBorders>
              <w:top w:val="nil"/>
              <w:left w:val="nil"/>
              <w:bottom w:val="single" w:color="auto" w:sz="8" w:space="0"/>
              <w:right w:val="single" w:color="auto" w:sz="8" w:space="0"/>
            </w:tcBorders>
            <w:shd w:val="clear" w:color="000000" w:fill="FFFFFF"/>
            <w:vAlign w:val="bottom"/>
            <w:hideMark/>
          </w:tcPr>
          <w:p w:rsidRPr="00354662" w:rsidR="00354662" w:rsidP="00354662" w:rsidRDefault="00737D3B" w14:paraId="40E89D31" w14:textId="068916D3">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33.47</w:t>
            </w:r>
          </w:p>
        </w:tc>
        <w:tc>
          <w:tcPr>
            <w:tcW w:w="1316" w:type="dxa"/>
            <w:tcBorders>
              <w:top w:val="nil"/>
              <w:left w:val="nil"/>
              <w:bottom w:val="single" w:color="auto" w:sz="8" w:space="0"/>
              <w:right w:val="double" w:color="auto" w:sz="6" w:space="0"/>
            </w:tcBorders>
            <w:shd w:val="clear" w:color="000000" w:fill="FFFFFF"/>
            <w:noWrap/>
            <w:vAlign w:val="bottom"/>
            <w:hideMark/>
          </w:tcPr>
          <w:p w:rsidRPr="00354662" w:rsidR="00354662" w:rsidP="00354662" w:rsidRDefault="00737D3B" w14:paraId="36E3341F" w14:textId="3FDD6019">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4,351.36</w:t>
            </w:r>
          </w:p>
        </w:tc>
      </w:tr>
      <w:tr w:rsidRPr="00354662" w:rsidR="00354662" w:rsidTr="00070CF0" w14:paraId="16CC8D0C" w14:textId="77777777">
        <w:trPr>
          <w:trHeight w:val="315"/>
        </w:trPr>
        <w:tc>
          <w:tcPr>
            <w:tcW w:w="1374" w:type="dxa"/>
            <w:tcBorders>
              <w:top w:val="nil"/>
              <w:left w:val="double" w:color="auto" w:sz="6" w:space="0"/>
              <w:bottom w:val="double" w:color="auto" w:sz="6" w:space="0"/>
              <w:right w:val="nil"/>
            </w:tcBorders>
            <w:shd w:val="clear" w:color="000000" w:fill="FFFFFF"/>
            <w:vAlign w:val="center"/>
            <w:hideMark/>
          </w:tcPr>
          <w:p w:rsidRPr="00354662" w:rsidR="00354662" w:rsidP="00354662" w:rsidRDefault="00354662" w14:paraId="2AF6AF27" w14:textId="77777777">
            <w:pPr>
              <w:autoSpaceDE/>
              <w:autoSpaceDN/>
              <w:adjustRightInd/>
              <w:jc w:val="right"/>
              <w:rPr>
                <w:rFonts w:ascii="Arial" w:hAnsi="Arial" w:cs="Arial"/>
                <w:color w:val="000000"/>
                <w:sz w:val="22"/>
                <w:szCs w:val="22"/>
              </w:rPr>
            </w:pPr>
            <w:r w:rsidRPr="00354662">
              <w:rPr>
                <w:rFonts w:ascii="Arial" w:hAnsi="Arial" w:cs="Arial"/>
                <w:color w:val="000000"/>
                <w:sz w:val="22"/>
                <w:szCs w:val="22"/>
              </w:rPr>
              <w:t>Total</w:t>
            </w:r>
          </w:p>
        </w:tc>
        <w:tc>
          <w:tcPr>
            <w:tcW w:w="1470" w:type="dxa"/>
            <w:tcBorders>
              <w:top w:val="nil"/>
              <w:left w:val="nil"/>
              <w:bottom w:val="double" w:color="auto" w:sz="6" w:space="0"/>
              <w:right w:val="nil"/>
            </w:tcBorders>
            <w:shd w:val="clear" w:color="000000" w:fill="FFFFFF"/>
            <w:vAlign w:val="bottom"/>
            <w:hideMark/>
          </w:tcPr>
          <w:p w:rsidRPr="00354662" w:rsidR="00354662" w:rsidP="00354662" w:rsidRDefault="00354662" w14:paraId="54AA3F29"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 </w:t>
            </w:r>
          </w:p>
        </w:tc>
        <w:tc>
          <w:tcPr>
            <w:tcW w:w="1567" w:type="dxa"/>
            <w:tcBorders>
              <w:top w:val="nil"/>
              <w:left w:val="nil"/>
              <w:bottom w:val="double" w:color="auto" w:sz="6" w:space="0"/>
              <w:right w:val="nil"/>
            </w:tcBorders>
            <w:shd w:val="clear" w:color="000000" w:fill="FFFFFF"/>
            <w:vAlign w:val="bottom"/>
            <w:hideMark/>
          </w:tcPr>
          <w:p w:rsidRPr="00354662" w:rsidR="00354662" w:rsidP="00354662" w:rsidRDefault="00354662" w14:paraId="2245F97D" w14:textId="77777777">
            <w:pPr>
              <w:autoSpaceDE/>
              <w:autoSpaceDN/>
              <w:adjustRightInd/>
              <w:jc w:val="center"/>
              <w:rPr>
                <w:rFonts w:ascii="Arial" w:hAnsi="Arial" w:cs="Arial"/>
                <w:color w:val="000000"/>
                <w:sz w:val="22"/>
                <w:szCs w:val="22"/>
              </w:rPr>
            </w:pPr>
            <w:r w:rsidRPr="00354662">
              <w:rPr>
                <w:rFonts w:ascii="Arial" w:hAnsi="Arial" w:cs="Arial"/>
                <w:color w:val="000000"/>
                <w:sz w:val="22"/>
                <w:szCs w:val="22"/>
              </w:rPr>
              <w:t> </w:t>
            </w:r>
          </w:p>
        </w:tc>
        <w:tc>
          <w:tcPr>
            <w:tcW w:w="1200" w:type="dxa"/>
            <w:tcBorders>
              <w:top w:val="nil"/>
              <w:left w:val="nil"/>
              <w:bottom w:val="double" w:color="auto" w:sz="6" w:space="0"/>
              <w:right w:val="single" w:color="auto" w:sz="8" w:space="0"/>
            </w:tcBorders>
            <w:shd w:val="clear" w:color="000000" w:fill="FFFFFF"/>
            <w:vAlign w:val="bottom"/>
            <w:hideMark/>
          </w:tcPr>
          <w:p w:rsidRPr="00354662" w:rsidR="00354662" w:rsidP="00354662" w:rsidRDefault="00354662" w14:paraId="7180F1F8" w14:textId="0B420597">
            <w:pPr>
              <w:autoSpaceDE/>
              <w:autoSpaceDN/>
              <w:adjustRightInd/>
              <w:jc w:val="center"/>
              <w:rPr>
                <w:rFonts w:ascii="Arial" w:hAnsi="Arial" w:cs="Arial"/>
                <w:color w:val="000000"/>
                <w:sz w:val="22"/>
                <w:szCs w:val="22"/>
              </w:rPr>
            </w:pPr>
            <w:r w:rsidRPr="00354662">
              <w:rPr>
                <w:rFonts w:ascii="Arial" w:hAnsi="Arial" w:cs="Arial"/>
                <w:color w:val="000000"/>
                <w:sz w:val="22"/>
                <w:szCs w:val="22"/>
              </w:rPr>
              <w:t>238</w:t>
            </w:r>
          </w:p>
        </w:tc>
        <w:tc>
          <w:tcPr>
            <w:tcW w:w="1819" w:type="dxa"/>
            <w:tcBorders>
              <w:top w:val="nil"/>
              <w:left w:val="nil"/>
              <w:bottom w:val="double" w:color="auto" w:sz="6" w:space="0"/>
              <w:right w:val="single" w:color="auto" w:sz="8" w:space="0"/>
            </w:tcBorders>
            <w:shd w:val="clear" w:color="000000" w:fill="FFFFFF"/>
            <w:vAlign w:val="bottom"/>
            <w:hideMark/>
          </w:tcPr>
          <w:p w:rsidRPr="00354662" w:rsidR="00354662" w:rsidP="00354662" w:rsidRDefault="00737D3B" w14:paraId="7ACFB4D2" w14:textId="0338549D">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22.03</w:t>
            </w:r>
          </w:p>
        </w:tc>
        <w:tc>
          <w:tcPr>
            <w:tcW w:w="1567" w:type="dxa"/>
            <w:tcBorders>
              <w:top w:val="nil"/>
              <w:left w:val="nil"/>
              <w:bottom w:val="double" w:color="auto" w:sz="6" w:space="0"/>
              <w:right w:val="single" w:color="auto" w:sz="8" w:space="0"/>
            </w:tcBorders>
            <w:shd w:val="clear" w:color="000000" w:fill="FFFFFF"/>
            <w:vAlign w:val="bottom"/>
            <w:hideMark/>
          </w:tcPr>
          <w:p w:rsidRPr="00354662" w:rsidR="00354662" w:rsidP="00354662" w:rsidRDefault="00737D3B" w14:paraId="0D58D4B4" w14:textId="543D3E5F">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35.25</w:t>
            </w:r>
          </w:p>
        </w:tc>
        <w:tc>
          <w:tcPr>
            <w:tcW w:w="1316" w:type="dxa"/>
            <w:tcBorders>
              <w:top w:val="nil"/>
              <w:left w:val="nil"/>
              <w:bottom w:val="double" w:color="auto" w:sz="6" w:space="0"/>
              <w:right w:val="double" w:color="auto" w:sz="6" w:space="0"/>
            </w:tcBorders>
            <w:shd w:val="clear" w:color="000000" w:fill="FFFFFF"/>
            <w:noWrap/>
            <w:vAlign w:val="bottom"/>
            <w:hideMark/>
          </w:tcPr>
          <w:p w:rsidRPr="00354662" w:rsidR="00354662" w:rsidP="00354662" w:rsidRDefault="00737D3B" w14:paraId="23E4ACF9" w14:textId="2ABC75ED">
            <w:pPr>
              <w:autoSpaceDE/>
              <w:autoSpaceDN/>
              <w:adjustRightInd/>
              <w:jc w:val="center"/>
              <w:rPr>
                <w:rFonts w:ascii="Arial" w:hAnsi="Arial" w:cs="Arial"/>
                <w:color w:val="000000"/>
                <w:sz w:val="22"/>
                <w:szCs w:val="22"/>
              </w:rPr>
            </w:pPr>
            <w:r>
              <w:rPr>
                <w:rFonts w:ascii="Arial" w:hAnsi="Arial" w:cs="Arial"/>
                <w:color w:val="000000"/>
                <w:sz w:val="22"/>
                <w:szCs w:val="22"/>
              </w:rPr>
              <w:t>$</w:t>
            </w:r>
            <w:r w:rsidRPr="00354662" w:rsidR="00354662">
              <w:rPr>
                <w:rFonts w:ascii="Arial" w:hAnsi="Arial" w:cs="Arial"/>
                <w:color w:val="000000"/>
                <w:sz w:val="22"/>
                <w:szCs w:val="22"/>
              </w:rPr>
              <w:t>8,39</w:t>
            </w:r>
            <w:r w:rsidR="00627EA1">
              <w:rPr>
                <w:rFonts w:ascii="Arial" w:hAnsi="Arial" w:cs="Arial"/>
                <w:color w:val="000000"/>
                <w:sz w:val="22"/>
                <w:szCs w:val="22"/>
              </w:rPr>
              <w:t>0</w:t>
            </w:r>
          </w:p>
        </w:tc>
      </w:tr>
    </w:tbl>
    <w:p w:rsidR="00354662" w:rsidP="00B25038" w:rsidRDefault="00354662" w14:paraId="503D06D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7ED3F2B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B25038" w14:paraId="1814458C" w14:textId="7236F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r>
        <w:rPr>
          <w:rFonts w:ascii="Arial" w:hAnsi="Arial" w:cs="Arial"/>
        </w:rPr>
        <w:br/>
      </w:r>
    </w:p>
    <w:p w:rsidR="00E22E7A" w:rsidP="00B25038" w:rsidRDefault="00E22E7A" w14:paraId="50A330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0C9F636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6554FE" w:rsidR="006554FE" w:rsidP="006554FE" w:rsidRDefault="006554FE" w14:paraId="7EDB4DCB" w14:textId="3E517D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6554FE">
        <w:rPr>
          <w:rFonts w:ascii="Arial" w:hAnsi="Arial" w:cs="Arial"/>
        </w:rPr>
        <w:t xml:space="preserve"> </w:t>
      </w:r>
    </w:p>
    <w:p w:rsidR="00E22E7A" w:rsidP="00B25038" w:rsidRDefault="00E22E7A" w14:paraId="4CCE36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205225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24354D1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77F6DA8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6FE9379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4467238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56278CD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6D2A7A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416E98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63F59A9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rsidRDefault="00E22E7A" w14:paraId="568ABB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25038" w:rsidP="00B25038" w:rsidRDefault="00B25038" w14:paraId="70AC92C9" w14:textId="7FE24CD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00415A" w:rsidR="00B25038" w:rsidP="00B25038" w:rsidRDefault="00B25038" w14:paraId="1F01CCF0" w14:textId="730DBA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13.</w:t>
      </w:r>
      <w:r w:rsidRPr="0000415A">
        <w:rPr>
          <w:rFonts w:ascii="Arial" w:hAnsi="Arial" w:cs="Arial"/>
          <w:b/>
          <w:i/>
        </w:rPr>
        <w:tab/>
        <w:t>Provide an estimate of the total annual non-hour cost burden to respondents or record</w:t>
      </w:r>
      <w:r>
        <w:rPr>
          <w:rFonts w:ascii="Arial" w:hAnsi="Arial" w:cs="Arial"/>
          <w:b/>
          <w:i/>
        </w:rPr>
        <w:t xml:space="preserve"> </w:t>
      </w:r>
      <w:r w:rsidRPr="0000415A">
        <w:rPr>
          <w:rFonts w:ascii="Arial" w:hAnsi="Arial" w:cs="Arial"/>
          <w:b/>
          <w:i/>
        </w:rPr>
        <w:t>keepers resulting from the collection of information.  (Do not include the cost of any hour burden already reflected in item 12.)</w:t>
      </w:r>
    </w:p>
    <w:p w:rsidRPr="0000415A" w:rsidR="00B25038" w:rsidP="00B25038" w:rsidRDefault="00B25038" w14:paraId="231FE50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0415A">
        <w:rPr>
          <w:rFonts w:ascii="Arial" w:hAnsi="Arial" w:cs="Arial"/>
          <w:b/>
          <w:i/>
        </w:rPr>
        <w:t>take into account</w:t>
      </w:r>
      <w:proofErr w:type="gramEnd"/>
      <w:r w:rsidRPr="0000415A">
        <w:rPr>
          <w:rFonts w:ascii="Arial" w:hAnsi="Arial" w:cs="Arial"/>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00415A">
        <w:rPr>
          <w:rFonts w:ascii="Arial" w:hAnsi="Arial" w:cs="Arial"/>
          <w:b/>
          <w:i/>
        </w:rPr>
        <w:t>time period</w:t>
      </w:r>
      <w:proofErr w:type="gramEnd"/>
      <w:r w:rsidRPr="0000415A">
        <w:rPr>
          <w:rFonts w:ascii="Arial" w:hAnsi="Arial" w:cs="Arial"/>
          <w:b/>
          <w:i/>
        </w:rPr>
        <w:t xml:space="preserve"> over which costs will be incurred.  Capital and start-up costs include, among other items, preparations for collecting information such as purchasing computers and software; monitoring, sampling, </w:t>
      </w:r>
      <w:proofErr w:type="gramStart"/>
      <w:r w:rsidRPr="0000415A">
        <w:rPr>
          <w:rFonts w:ascii="Arial" w:hAnsi="Arial" w:cs="Arial"/>
          <w:b/>
          <w:i/>
        </w:rPr>
        <w:t>drilling</w:t>
      </w:r>
      <w:proofErr w:type="gramEnd"/>
      <w:r w:rsidRPr="0000415A">
        <w:rPr>
          <w:rFonts w:ascii="Arial" w:hAnsi="Arial" w:cs="Arial"/>
          <w:b/>
          <w:i/>
        </w:rPr>
        <w:t xml:space="preserve"> and testing equipment; and record storage facilities.</w:t>
      </w:r>
    </w:p>
    <w:p w:rsidRPr="0000415A" w:rsidR="00B25038" w:rsidP="00B25038" w:rsidRDefault="00B25038" w14:paraId="19A165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F189F" w:rsidR="004E203B" w:rsidP="004E203B" w:rsidRDefault="00B25038" w14:paraId="43EC4C78" w14:textId="40E6C8AC">
      <w:pPr>
        <w:tabs>
          <w:tab w:val="left" w:pos="-1440"/>
        </w:tabs>
        <w:ind w:left="720" w:hanging="720"/>
        <w:rPr>
          <w:rFonts w:ascii="Arial" w:hAnsi="Arial" w:cs="Arial"/>
          <w:b/>
          <w:bCs/>
        </w:rPr>
      </w:pPr>
      <w:r w:rsidRPr="0000415A">
        <w:rPr>
          <w:rFonts w:ascii="Arial" w:hAnsi="Arial" w:cs="Arial"/>
          <w:b/>
          <w:i/>
        </w:rPr>
        <w:tab/>
        <w:t>*</w:t>
      </w:r>
      <w:r w:rsidRPr="0000415A">
        <w:rPr>
          <w:rFonts w:ascii="Arial" w:hAnsi="Arial" w:cs="Arial"/>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4E203B">
        <w:rPr>
          <w:rFonts w:ascii="Arial" w:hAnsi="Arial" w:cs="Arial"/>
          <w:b/>
          <w:i/>
        </w:rPr>
        <w:br/>
      </w:r>
      <w:r w:rsidR="004E203B">
        <w:rPr>
          <w:rFonts w:ascii="Arial" w:hAnsi="Arial" w:cs="Arial"/>
          <w:b/>
          <w:i/>
        </w:rPr>
        <w:br/>
      </w:r>
      <w:r w:rsidR="004E203B">
        <w:rPr>
          <w:rFonts w:ascii="Arial" w:hAnsi="Arial" w:cs="Arial"/>
          <w:b/>
          <w:i/>
        </w:rPr>
        <w:br/>
      </w:r>
      <w:r w:rsidRPr="00DF189F" w:rsidR="004E203B">
        <w:rPr>
          <w:rFonts w:ascii="Arial" w:hAnsi="Arial" w:cs="Arial"/>
          <w:b/>
          <w:bCs/>
          <w:u w:val="single"/>
        </w:rPr>
        <w:t>Total Annual Non-Wage Cost Burden to Respondents</w:t>
      </w:r>
    </w:p>
    <w:p w:rsidRPr="00B22256" w:rsidR="004E203B" w:rsidP="004E203B" w:rsidRDefault="004E203B" w14:paraId="5B3E630C" w14:textId="77777777">
      <w:pPr>
        <w:ind w:left="720" w:hanging="720"/>
        <w:rPr>
          <w:rFonts w:ascii="Arial" w:hAnsi="Arial" w:cs="Arial"/>
        </w:rPr>
      </w:pPr>
    </w:p>
    <w:p w:rsidRPr="00B22256" w:rsidR="004E203B" w:rsidP="004E203B" w:rsidRDefault="004E203B" w14:paraId="036A99D5" w14:textId="77777777">
      <w:pPr>
        <w:tabs>
          <w:tab w:val="left" w:pos="-1440"/>
        </w:tabs>
        <w:ind w:left="720" w:hanging="720"/>
        <w:rPr>
          <w:rFonts w:ascii="Arial" w:hAnsi="Arial" w:cs="Arial"/>
        </w:rPr>
      </w:pPr>
      <w:r w:rsidRPr="00B22256">
        <w:rPr>
          <w:rFonts w:ascii="Arial" w:hAnsi="Arial" w:cs="Arial"/>
        </w:rPr>
        <w:tab/>
        <w:t>a.</w:t>
      </w:r>
      <w:r w:rsidRPr="00B22256">
        <w:rPr>
          <w:rFonts w:ascii="Arial" w:hAnsi="Arial" w:cs="Arial"/>
        </w:rPr>
        <w:tab/>
      </w:r>
      <w:r w:rsidRPr="00B22256">
        <w:rPr>
          <w:rFonts w:ascii="Arial" w:hAnsi="Arial" w:cs="Arial"/>
          <w:u w:val="single"/>
        </w:rPr>
        <w:t>Annualized Capital and Start-Up Costs</w:t>
      </w:r>
    </w:p>
    <w:p w:rsidRPr="00B22256" w:rsidR="004E203B" w:rsidP="004E203B" w:rsidRDefault="004E203B" w14:paraId="2B9C2505" w14:textId="77777777">
      <w:pPr>
        <w:ind w:left="720" w:hanging="720"/>
        <w:rPr>
          <w:rFonts w:ascii="Arial" w:hAnsi="Arial" w:cs="Arial"/>
        </w:rPr>
      </w:pPr>
    </w:p>
    <w:p w:rsidRPr="00B22256" w:rsidR="004E203B" w:rsidP="004E203B" w:rsidRDefault="004E203B" w14:paraId="204503D7" w14:textId="78AF632E">
      <w:pPr>
        <w:ind w:left="720" w:hanging="720"/>
        <w:rPr>
          <w:rFonts w:ascii="Arial" w:hAnsi="Arial" w:cs="Arial"/>
        </w:rPr>
      </w:pPr>
      <w:r w:rsidRPr="00B22256">
        <w:rPr>
          <w:rFonts w:ascii="Arial" w:hAnsi="Arial" w:cs="Arial"/>
        </w:rPr>
        <w:tab/>
        <w:t xml:space="preserve">The information collection requirements of </w:t>
      </w:r>
      <w:bookmarkStart w:name="_Hlk67643751" w:id="4"/>
      <w:r w:rsidRPr="00B22256">
        <w:rPr>
          <w:rFonts w:ascii="Arial" w:hAnsi="Arial" w:cs="Arial"/>
        </w:rPr>
        <w:t>§772.11</w:t>
      </w:r>
      <w:r w:rsidR="00B22256">
        <w:rPr>
          <w:rFonts w:ascii="Arial" w:hAnsi="Arial" w:cs="Arial"/>
        </w:rPr>
        <w:t>,</w:t>
      </w:r>
      <w:r w:rsidRPr="00962C1F" w:rsidR="00962C1F">
        <w:t xml:space="preserve"> </w:t>
      </w:r>
      <w:r w:rsidRPr="00962C1F" w:rsidR="00962C1F">
        <w:rPr>
          <w:rFonts w:ascii="Arial" w:hAnsi="Arial" w:cs="Arial"/>
        </w:rPr>
        <w:t>§772.12</w:t>
      </w:r>
      <w:r w:rsidR="00962C1F">
        <w:rPr>
          <w:rFonts w:ascii="Arial" w:hAnsi="Arial" w:cs="Arial"/>
        </w:rPr>
        <w:t>,</w:t>
      </w:r>
      <w:r w:rsidRPr="00B22256">
        <w:rPr>
          <w:rFonts w:ascii="Arial" w:hAnsi="Arial" w:cs="Arial"/>
        </w:rPr>
        <w:t xml:space="preserve"> </w:t>
      </w:r>
      <w:r w:rsidRPr="00B22256" w:rsidR="00B22256">
        <w:rPr>
          <w:rFonts w:ascii="Arial" w:hAnsi="Arial" w:cs="Arial"/>
        </w:rPr>
        <w:t>§772.1</w:t>
      </w:r>
      <w:r w:rsidR="00B22256">
        <w:rPr>
          <w:rFonts w:ascii="Arial" w:hAnsi="Arial" w:cs="Arial"/>
        </w:rPr>
        <w:t xml:space="preserve">4, and </w:t>
      </w:r>
      <w:r w:rsidRPr="00B22256" w:rsidR="00B22256">
        <w:rPr>
          <w:rFonts w:ascii="Arial" w:hAnsi="Arial" w:cs="Arial"/>
        </w:rPr>
        <w:t>§772.1</w:t>
      </w:r>
      <w:r w:rsidR="00B22256">
        <w:rPr>
          <w:rFonts w:ascii="Arial" w:hAnsi="Arial" w:cs="Arial"/>
        </w:rPr>
        <w:t xml:space="preserve">5 </w:t>
      </w:r>
      <w:bookmarkEnd w:id="4"/>
      <w:r w:rsidRPr="00B22256">
        <w:rPr>
          <w:rFonts w:ascii="Arial" w:hAnsi="Arial" w:cs="Arial"/>
        </w:rPr>
        <w:t>do not involve any capital or start-up costs apart from expenditures associated with customary business practices in the mining industry.  None are directly attributable to the information collection requirements this section.</w:t>
      </w:r>
      <w:r w:rsidR="00B22256">
        <w:rPr>
          <w:rFonts w:ascii="Arial" w:hAnsi="Arial" w:cs="Arial"/>
        </w:rPr>
        <w:br/>
      </w:r>
      <w:r w:rsidR="00B22256">
        <w:rPr>
          <w:rFonts w:ascii="Arial" w:hAnsi="Arial" w:cs="Arial"/>
        </w:rPr>
        <w:lastRenderedPageBreak/>
        <w:br/>
      </w:r>
      <w:r w:rsidR="00B22256">
        <w:rPr>
          <w:rFonts w:ascii="Arial" w:hAnsi="Arial" w:cs="Arial"/>
        </w:rPr>
        <w:br/>
      </w:r>
      <w:r w:rsidR="00B22256">
        <w:rPr>
          <w:rFonts w:ascii="Arial" w:hAnsi="Arial" w:cs="Arial"/>
        </w:rPr>
        <w:br/>
      </w:r>
      <w:r w:rsidR="00B22256">
        <w:rPr>
          <w:rFonts w:ascii="Arial" w:hAnsi="Arial" w:cs="Arial"/>
        </w:rPr>
        <w:br/>
      </w:r>
      <w:r w:rsidR="00B22256">
        <w:rPr>
          <w:rFonts w:ascii="Arial" w:hAnsi="Arial" w:cs="Arial"/>
        </w:rPr>
        <w:br/>
      </w:r>
      <w:r w:rsidR="00B22256">
        <w:rPr>
          <w:rFonts w:ascii="Arial" w:hAnsi="Arial" w:cs="Arial"/>
        </w:rPr>
        <w:br/>
      </w:r>
      <w:r w:rsidR="00B22256">
        <w:rPr>
          <w:rFonts w:ascii="Arial" w:hAnsi="Arial" w:cs="Arial"/>
        </w:rPr>
        <w:br/>
      </w:r>
    </w:p>
    <w:p w:rsidRPr="00B22256" w:rsidR="004E203B" w:rsidP="004E203B" w:rsidRDefault="004E203B" w14:paraId="12B10C7A" w14:textId="77777777">
      <w:pPr>
        <w:ind w:left="720" w:hanging="720"/>
        <w:rPr>
          <w:rFonts w:ascii="Arial" w:hAnsi="Arial" w:cs="Arial"/>
        </w:rPr>
      </w:pPr>
    </w:p>
    <w:p w:rsidRPr="00B22256" w:rsidR="004E203B" w:rsidP="004E203B" w:rsidRDefault="004E203B" w14:paraId="2D384EBB" w14:textId="77777777">
      <w:pPr>
        <w:tabs>
          <w:tab w:val="left" w:pos="-1440"/>
        </w:tabs>
        <w:ind w:left="720" w:hanging="720"/>
        <w:rPr>
          <w:rFonts w:ascii="Arial" w:hAnsi="Arial" w:cs="Arial"/>
        </w:rPr>
      </w:pPr>
      <w:r w:rsidRPr="00B22256">
        <w:rPr>
          <w:rFonts w:ascii="Arial" w:hAnsi="Arial" w:cs="Arial"/>
        </w:rPr>
        <w:tab/>
        <w:t>b.</w:t>
      </w:r>
      <w:r w:rsidRPr="00B22256">
        <w:rPr>
          <w:rFonts w:ascii="Arial" w:hAnsi="Arial" w:cs="Arial"/>
        </w:rPr>
        <w:tab/>
      </w:r>
      <w:r w:rsidRPr="00B22256">
        <w:rPr>
          <w:rFonts w:ascii="Arial" w:hAnsi="Arial" w:cs="Arial"/>
          <w:u w:val="single"/>
        </w:rPr>
        <w:t>Operation and Maintenance Costs</w:t>
      </w:r>
    </w:p>
    <w:p w:rsidRPr="00B22256" w:rsidR="004E203B" w:rsidP="004E203B" w:rsidRDefault="004E203B" w14:paraId="64312E6E" w14:textId="77777777">
      <w:pPr>
        <w:ind w:left="720" w:hanging="720"/>
        <w:rPr>
          <w:rFonts w:ascii="Arial" w:hAnsi="Arial" w:cs="Arial"/>
        </w:rPr>
      </w:pPr>
    </w:p>
    <w:p w:rsidR="000643A8" w:rsidP="000643A8" w:rsidRDefault="004E203B" w14:paraId="5D4268F7" w14:textId="56817DB0">
      <w:pPr>
        <w:ind w:left="720" w:hanging="720"/>
        <w:rPr>
          <w:rFonts w:ascii="Arial" w:hAnsi="Arial" w:cs="Arial"/>
        </w:rPr>
      </w:pPr>
      <w:r w:rsidRPr="00B22256">
        <w:rPr>
          <w:rFonts w:ascii="Arial" w:hAnsi="Arial" w:cs="Arial"/>
        </w:rPr>
        <w:tab/>
        <w:t>There are no significant or distinct non-wage operation or maintenance costs associated with compliance with the information collection requirements of §772.11</w:t>
      </w:r>
      <w:r w:rsidR="000643A8">
        <w:rPr>
          <w:rFonts w:ascii="Arial" w:hAnsi="Arial" w:cs="Arial"/>
        </w:rPr>
        <w:t>,</w:t>
      </w:r>
      <w:r w:rsidR="00B22256">
        <w:rPr>
          <w:rFonts w:ascii="Arial" w:hAnsi="Arial" w:cs="Arial"/>
        </w:rPr>
        <w:t xml:space="preserve"> </w:t>
      </w:r>
      <w:r w:rsidRPr="00B22256" w:rsidR="00B22256">
        <w:rPr>
          <w:rFonts w:ascii="Arial" w:hAnsi="Arial" w:cs="Arial"/>
        </w:rPr>
        <w:t>§772.14, and §772.15</w:t>
      </w:r>
      <w:r w:rsidRPr="00B22256">
        <w:rPr>
          <w:rFonts w:ascii="Arial" w:hAnsi="Arial" w:cs="Arial"/>
        </w:rPr>
        <w:t xml:space="preserve">. </w:t>
      </w:r>
    </w:p>
    <w:p w:rsidRPr="000643A8" w:rsidR="000643A8" w:rsidP="000643A8" w:rsidRDefault="000643A8" w14:paraId="60C0A354" w14:textId="5DD39F75">
      <w:pPr>
        <w:ind w:left="720"/>
        <w:rPr>
          <w:rFonts w:ascii="Arial" w:hAnsi="Arial" w:cs="Arial"/>
        </w:rPr>
      </w:pPr>
      <w:r>
        <w:rPr>
          <w:rFonts w:ascii="Arial" w:hAnsi="Arial" w:cs="Arial"/>
        </w:rPr>
        <w:br/>
      </w:r>
      <w:r w:rsidRPr="000643A8">
        <w:rPr>
          <w:rFonts w:ascii="Arial" w:hAnsi="Arial" w:cs="Arial"/>
        </w:rPr>
        <w:t xml:space="preserve">The only distinct non-wage operation or maintenance cost associated with compliance with the information collection requirements of §772.12 is the newspaper notice that permit applicants must publish and the four decision notification letters that the regulatory authority must send for the average coal exploration application.  Based on </w:t>
      </w:r>
      <w:r>
        <w:rPr>
          <w:rFonts w:ascii="Arial" w:hAnsi="Arial" w:cs="Arial"/>
        </w:rPr>
        <w:t xml:space="preserve">feedback from </w:t>
      </w:r>
      <w:r w:rsidRPr="000643A8">
        <w:rPr>
          <w:rFonts w:ascii="Arial" w:hAnsi="Arial" w:cs="Arial"/>
        </w:rPr>
        <w:t xml:space="preserve">Field Office Directors, we </w:t>
      </w:r>
      <w:r>
        <w:rPr>
          <w:rFonts w:ascii="Arial" w:hAnsi="Arial" w:cs="Arial"/>
        </w:rPr>
        <w:t xml:space="preserve">maintain these costs as before. </w:t>
      </w:r>
      <w:r w:rsidRPr="000643A8">
        <w:rPr>
          <w:rFonts w:ascii="Arial" w:hAnsi="Arial" w:cs="Arial"/>
        </w:rPr>
        <w:t xml:space="preserve">A one-time publication </w:t>
      </w:r>
      <w:r>
        <w:rPr>
          <w:rFonts w:ascii="Arial" w:hAnsi="Arial" w:cs="Arial"/>
        </w:rPr>
        <w:t xml:space="preserve">of </w:t>
      </w:r>
      <w:r w:rsidRPr="000643A8">
        <w:rPr>
          <w:rFonts w:ascii="Arial" w:hAnsi="Arial" w:cs="Arial"/>
        </w:rPr>
        <w:t xml:space="preserve">newspaper notice ranged in cost from $66 to $139, with an average cost of $100 per notice.  We estimate that the regulatory authority will incur an average of $4 in copying and office supply costs and delivery charges for each decision notification letter.  Therefore, we estimate that permit applicants will incur annual publication expenses of </w:t>
      </w:r>
      <w:r w:rsidRPr="000643A8">
        <w:rPr>
          <w:rFonts w:ascii="Arial" w:hAnsi="Arial" w:cs="Arial"/>
          <w:bCs/>
        </w:rPr>
        <w:t>$</w:t>
      </w:r>
      <w:r w:rsidR="00850B68">
        <w:rPr>
          <w:rFonts w:ascii="Arial" w:hAnsi="Arial" w:cs="Arial"/>
          <w:bCs/>
        </w:rPr>
        <w:t>2</w:t>
      </w:r>
      <w:r>
        <w:rPr>
          <w:rFonts w:ascii="Arial" w:hAnsi="Arial" w:cs="Arial"/>
          <w:bCs/>
        </w:rPr>
        <w:t>0</w:t>
      </w:r>
      <w:r w:rsidR="00850B68">
        <w:rPr>
          <w:rFonts w:ascii="Arial" w:hAnsi="Arial" w:cs="Arial"/>
          <w:bCs/>
        </w:rPr>
        <w:t>8</w:t>
      </w:r>
      <w:r w:rsidRPr="000643A8">
        <w:rPr>
          <w:rFonts w:ascii="Arial" w:hAnsi="Arial" w:cs="Arial"/>
        </w:rPr>
        <w:t xml:space="preserve"> (one notice per application x </w:t>
      </w:r>
      <w:r w:rsidR="00850B68">
        <w:rPr>
          <w:rFonts w:ascii="Arial" w:hAnsi="Arial" w:cs="Arial"/>
        </w:rPr>
        <w:t>2</w:t>
      </w:r>
      <w:r w:rsidRPr="000643A8">
        <w:rPr>
          <w:rFonts w:ascii="Arial" w:hAnsi="Arial" w:cs="Arial"/>
        </w:rPr>
        <w:t xml:space="preserve"> applications per year x $104 for publication of each notice).</w:t>
      </w:r>
    </w:p>
    <w:p w:rsidRPr="000643A8" w:rsidR="000643A8" w:rsidP="000643A8" w:rsidRDefault="000643A8" w14:paraId="5946BD75" w14:textId="77777777">
      <w:pPr>
        <w:ind w:left="720" w:hanging="720"/>
        <w:rPr>
          <w:rFonts w:ascii="Arial" w:hAnsi="Arial" w:cs="Arial"/>
        </w:rPr>
      </w:pPr>
    </w:p>
    <w:p w:rsidRPr="000643A8" w:rsidR="000643A8" w:rsidP="000643A8" w:rsidRDefault="000643A8" w14:paraId="09DF1995" w14:textId="4E1D6C9B">
      <w:pPr>
        <w:ind w:left="720" w:hanging="720"/>
        <w:rPr>
          <w:rFonts w:ascii="Arial" w:hAnsi="Arial" w:cs="Arial"/>
        </w:rPr>
      </w:pPr>
      <w:r w:rsidRPr="000643A8">
        <w:rPr>
          <w:rFonts w:ascii="Arial" w:hAnsi="Arial" w:cs="Arial"/>
        </w:rPr>
        <w:tab/>
        <w:t xml:space="preserve">Similarly, we estimate that the state regulatory authorities will incur non-wage expenses of </w:t>
      </w:r>
      <w:r w:rsidRPr="000643A8">
        <w:rPr>
          <w:rFonts w:ascii="Arial" w:hAnsi="Arial" w:cs="Arial"/>
          <w:bCs/>
        </w:rPr>
        <w:t>$</w:t>
      </w:r>
      <w:r w:rsidR="00850B68">
        <w:rPr>
          <w:rFonts w:ascii="Arial" w:hAnsi="Arial" w:cs="Arial"/>
          <w:bCs/>
        </w:rPr>
        <w:t>8</w:t>
      </w:r>
      <w:r>
        <w:rPr>
          <w:rFonts w:ascii="Arial" w:hAnsi="Arial" w:cs="Arial"/>
          <w:bCs/>
        </w:rPr>
        <w:t>0</w:t>
      </w:r>
      <w:r w:rsidRPr="000643A8">
        <w:rPr>
          <w:rFonts w:ascii="Arial" w:hAnsi="Arial" w:cs="Arial"/>
        </w:rPr>
        <w:t xml:space="preserve"> for decision notification letters (10 letters per decision x </w:t>
      </w:r>
      <w:r w:rsidR="00850B68">
        <w:rPr>
          <w:rFonts w:ascii="Arial" w:hAnsi="Arial" w:cs="Arial"/>
        </w:rPr>
        <w:t>2</w:t>
      </w:r>
      <w:r w:rsidRPr="000643A8">
        <w:rPr>
          <w:rFonts w:ascii="Arial" w:hAnsi="Arial" w:cs="Arial"/>
        </w:rPr>
        <w:t xml:space="preserve"> applications received by state regulatory authorities per year x $4 per letter).  </w:t>
      </w:r>
    </w:p>
    <w:p w:rsidRPr="000643A8" w:rsidR="000643A8" w:rsidP="000643A8" w:rsidRDefault="000643A8" w14:paraId="4EE52811" w14:textId="77777777">
      <w:pPr>
        <w:ind w:left="720" w:hanging="720"/>
        <w:rPr>
          <w:rFonts w:ascii="Arial" w:hAnsi="Arial" w:cs="Arial"/>
        </w:rPr>
      </w:pPr>
    </w:p>
    <w:p w:rsidRPr="000643A8" w:rsidR="000643A8" w:rsidP="000643A8" w:rsidRDefault="000643A8" w14:paraId="483F0432" w14:textId="58DBF9F5">
      <w:pPr>
        <w:ind w:left="720"/>
        <w:rPr>
          <w:rFonts w:ascii="Arial" w:hAnsi="Arial" w:cs="Arial"/>
        </w:rPr>
      </w:pPr>
      <w:r w:rsidRPr="000643A8">
        <w:rPr>
          <w:rFonts w:ascii="Arial" w:hAnsi="Arial" w:cs="Arial"/>
        </w:rPr>
        <w:t xml:space="preserve">For all respondents, we estimate that annual non-wage operation and maintenance costs will total </w:t>
      </w:r>
      <w:r w:rsidRPr="000643A8">
        <w:rPr>
          <w:rFonts w:ascii="Arial" w:hAnsi="Arial" w:cs="Arial"/>
          <w:b/>
          <w:bCs/>
        </w:rPr>
        <w:t>$</w:t>
      </w:r>
      <w:r w:rsidR="00850B68">
        <w:rPr>
          <w:rFonts w:ascii="Arial" w:hAnsi="Arial" w:cs="Arial"/>
          <w:b/>
          <w:bCs/>
        </w:rPr>
        <w:t>288</w:t>
      </w:r>
      <w:r w:rsidRPr="000643A8">
        <w:rPr>
          <w:rFonts w:ascii="Arial" w:hAnsi="Arial" w:cs="Arial"/>
        </w:rPr>
        <w:t xml:space="preserve"> ($</w:t>
      </w:r>
      <w:r>
        <w:rPr>
          <w:rFonts w:ascii="Arial" w:hAnsi="Arial" w:cs="Arial"/>
        </w:rPr>
        <w:t>1</w:t>
      </w:r>
      <w:r w:rsidRPr="000643A8">
        <w:rPr>
          <w:rFonts w:ascii="Arial" w:hAnsi="Arial" w:cs="Arial"/>
        </w:rPr>
        <w:t>0</w:t>
      </w:r>
      <w:r>
        <w:rPr>
          <w:rFonts w:ascii="Arial" w:hAnsi="Arial" w:cs="Arial"/>
        </w:rPr>
        <w:t>4</w:t>
      </w:r>
      <w:r w:rsidRPr="000643A8">
        <w:rPr>
          <w:rFonts w:ascii="Arial" w:hAnsi="Arial" w:cs="Arial"/>
        </w:rPr>
        <w:t xml:space="preserve"> for permit applicants + $</w:t>
      </w:r>
      <w:r>
        <w:rPr>
          <w:rFonts w:ascii="Arial" w:hAnsi="Arial" w:cs="Arial"/>
        </w:rPr>
        <w:t>40</w:t>
      </w:r>
      <w:r w:rsidRPr="000643A8">
        <w:rPr>
          <w:rFonts w:ascii="Arial" w:hAnsi="Arial" w:cs="Arial"/>
        </w:rPr>
        <w:t xml:space="preserve"> for state regulatory authorities).</w:t>
      </w:r>
    </w:p>
    <w:p w:rsidRPr="00B22256" w:rsidR="004E203B" w:rsidP="004E203B" w:rsidRDefault="004E203B" w14:paraId="4DCF0B46" w14:textId="3490BAD8">
      <w:pPr>
        <w:ind w:left="720" w:hanging="720"/>
        <w:rPr>
          <w:rFonts w:ascii="Arial" w:hAnsi="Arial" w:cs="Arial"/>
        </w:rPr>
      </w:pPr>
    </w:p>
    <w:p w:rsidRPr="00B22256" w:rsidR="00B25038" w:rsidP="00B25038" w:rsidRDefault="00B25038" w14:paraId="5FAE9011" w14:textId="1AF06A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B22256" w:rsidR="00B25038" w:rsidP="00B25038" w:rsidRDefault="00B25038" w14:paraId="46D9CF0A" w14:textId="77777777">
      <w:pPr>
        <w:autoSpaceDE/>
        <w:autoSpaceDN/>
        <w:adjustRightInd/>
        <w:rPr>
          <w:rFonts w:ascii="Arial" w:hAnsi="Arial" w:cs="Arial"/>
        </w:rPr>
      </w:pPr>
      <w:r w:rsidRPr="00B22256">
        <w:rPr>
          <w:rFonts w:ascii="Arial" w:hAnsi="Arial" w:cs="Arial"/>
        </w:rPr>
        <w:br w:type="page"/>
      </w:r>
    </w:p>
    <w:p w:rsidRPr="00962869" w:rsidR="00962869" w:rsidP="00962869" w:rsidRDefault="007B1B72" w14:paraId="0B45371F" w14:textId="1EADEA32">
      <w:pPr>
        <w:ind w:hanging="720"/>
        <w:rPr>
          <w:rFonts w:ascii="Arial" w:hAnsi="Arial" w:cs="Arial"/>
          <w:bCs/>
          <w:iCs/>
        </w:rPr>
      </w:pPr>
      <w:r w:rsidRPr="007B1B72">
        <w:rPr>
          <w:rFonts w:ascii="Arial" w:hAnsi="Arial" w:cs="Arial"/>
          <w:b/>
          <w:i/>
        </w:rPr>
        <w:lastRenderedPageBreak/>
        <w:t>14.</w:t>
      </w:r>
      <w:r w:rsidRPr="007B1B72">
        <w:rPr>
          <w:rFonts w:ascii="Arial" w:hAnsi="Arial" w:cs="Arial"/>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62869">
        <w:rPr>
          <w:rFonts w:ascii="Arial" w:hAnsi="Arial" w:cs="Arial"/>
          <w:bCs/>
          <w:iCs/>
        </w:rPr>
        <w:br/>
      </w:r>
      <w:r w:rsidR="00962869">
        <w:rPr>
          <w:rFonts w:ascii="Arial" w:hAnsi="Arial" w:cs="Arial"/>
          <w:bCs/>
          <w:iCs/>
        </w:rPr>
        <w:br/>
      </w:r>
    </w:p>
    <w:p w:rsidR="00635280" w:rsidP="00962869" w:rsidRDefault="00962869" w14:paraId="104BB09F" w14:textId="123621ED">
      <w:pPr>
        <w:ind w:left="720" w:hanging="720"/>
        <w:rPr>
          <w:rFonts w:ascii="Arial" w:hAnsi="Arial" w:cs="Arial"/>
          <w:bCs/>
          <w:iCs/>
        </w:rPr>
      </w:pPr>
      <w:r>
        <w:rPr>
          <w:rFonts w:ascii="Arial" w:hAnsi="Arial" w:cs="Arial"/>
          <w:bCs/>
          <w:iCs/>
        </w:rPr>
        <w:br/>
      </w:r>
      <w:r w:rsidRPr="00962869">
        <w:rPr>
          <w:rFonts w:ascii="Arial" w:hAnsi="Arial" w:cs="Arial"/>
          <w:bCs/>
          <w:iCs/>
        </w:rPr>
        <w:t xml:space="preserve">OSMRE anticipate conducting oversight review of State compliance with the requirements </w:t>
      </w:r>
      <w:bookmarkStart w:name="_Hlk67646637" w:id="5"/>
      <w:r w:rsidRPr="00962869">
        <w:rPr>
          <w:rFonts w:ascii="Arial" w:hAnsi="Arial" w:cs="Arial"/>
          <w:bCs/>
          <w:iCs/>
        </w:rPr>
        <w:t>of §772.11</w:t>
      </w:r>
      <w:r w:rsidR="00463192">
        <w:rPr>
          <w:rFonts w:ascii="Arial" w:hAnsi="Arial" w:cs="Arial"/>
          <w:bCs/>
          <w:iCs/>
        </w:rPr>
        <w:t>,</w:t>
      </w:r>
      <w:bookmarkEnd w:id="5"/>
      <w:r w:rsidRPr="00463192" w:rsidR="00463192">
        <w:rPr>
          <w:rFonts w:ascii="Arial" w:hAnsi="Arial" w:cs="Arial"/>
          <w:bCs/>
          <w:iCs/>
        </w:rPr>
        <w:t xml:space="preserve"> §772.1</w:t>
      </w:r>
      <w:r w:rsidR="00463192">
        <w:rPr>
          <w:rFonts w:ascii="Arial" w:hAnsi="Arial" w:cs="Arial"/>
          <w:bCs/>
          <w:iCs/>
        </w:rPr>
        <w:t>2,</w:t>
      </w:r>
      <w:r w:rsidRPr="00463192" w:rsidR="00463192">
        <w:rPr>
          <w:rFonts w:ascii="Arial" w:hAnsi="Arial" w:cs="Arial"/>
          <w:bCs/>
          <w:iCs/>
        </w:rPr>
        <w:t xml:space="preserve"> §772.1</w:t>
      </w:r>
      <w:r w:rsidR="00463192">
        <w:rPr>
          <w:rFonts w:ascii="Arial" w:hAnsi="Arial" w:cs="Arial"/>
          <w:bCs/>
          <w:iCs/>
        </w:rPr>
        <w:t>4, and</w:t>
      </w:r>
      <w:r w:rsidRPr="00463192" w:rsidR="00463192">
        <w:rPr>
          <w:rFonts w:ascii="Arial" w:hAnsi="Arial" w:cs="Arial"/>
          <w:bCs/>
          <w:iCs/>
        </w:rPr>
        <w:t xml:space="preserve"> §772.1</w:t>
      </w:r>
      <w:r w:rsidR="00463192">
        <w:rPr>
          <w:rFonts w:ascii="Arial" w:hAnsi="Arial" w:cs="Arial"/>
          <w:bCs/>
          <w:iCs/>
        </w:rPr>
        <w:t xml:space="preserve">5(b), requiring estimated </w:t>
      </w:r>
      <w:r w:rsidR="006C454B">
        <w:rPr>
          <w:rFonts w:ascii="Arial" w:hAnsi="Arial" w:cs="Arial"/>
          <w:bCs/>
          <w:iCs/>
        </w:rPr>
        <w:t xml:space="preserve">time in </w:t>
      </w:r>
      <w:r w:rsidR="00463192">
        <w:rPr>
          <w:rFonts w:ascii="Arial" w:hAnsi="Arial" w:cs="Arial"/>
          <w:bCs/>
          <w:iCs/>
        </w:rPr>
        <w:t xml:space="preserve">hours of 20, 40, 4, and 8, respectively. </w:t>
      </w:r>
      <w:r w:rsidRPr="00463192" w:rsidR="00463192">
        <w:rPr>
          <w:rFonts w:ascii="Arial" w:hAnsi="Arial" w:cs="Arial"/>
          <w:bCs/>
          <w:iCs/>
        </w:rPr>
        <w:t xml:space="preserve"> </w:t>
      </w:r>
      <w:r w:rsidRPr="00962869">
        <w:rPr>
          <w:rFonts w:ascii="Arial" w:hAnsi="Arial" w:cs="Arial"/>
          <w:bCs/>
          <w:iCs/>
        </w:rPr>
        <w:t xml:space="preserve">If we conduct an oversight review of this topic in one state program per year, that review would require an average </w:t>
      </w:r>
      <w:r w:rsidR="00635280">
        <w:rPr>
          <w:rFonts w:ascii="Arial" w:hAnsi="Arial" w:cs="Arial"/>
          <w:bCs/>
          <w:iCs/>
        </w:rPr>
        <w:t xml:space="preserve">hourly wage cost </w:t>
      </w:r>
      <w:r w:rsidRPr="00962869">
        <w:rPr>
          <w:rFonts w:ascii="Arial" w:hAnsi="Arial" w:cs="Arial"/>
          <w:bCs/>
          <w:iCs/>
        </w:rPr>
        <w:t xml:space="preserve"> $</w:t>
      </w:r>
      <w:r w:rsidR="00635280">
        <w:rPr>
          <w:rFonts w:ascii="Arial" w:hAnsi="Arial" w:cs="Arial"/>
          <w:bCs/>
          <w:iCs/>
        </w:rPr>
        <w:t>42.08</w:t>
      </w:r>
      <w:r w:rsidRPr="00962869">
        <w:rPr>
          <w:rFonts w:ascii="Arial" w:hAnsi="Arial" w:cs="Arial"/>
          <w:bCs/>
          <w:iCs/>
        </w:rPr>
        <w:t xml:space="preserve"> per hour (GS-12/5 regulatory program specialist/mining engineer</w:t>
      </w:r>
      <w:r w:rsidR="00635280">
        <w:rPr>
          <w:rFonts w:ascii="Arial" w:hAnsi="Arial" w:cs="Arial"/>
          <w:bCs/>
          <w:iCs/>
        </w:rPr>
        <w:t>)</w:t>
      </w:r>
      <w:r w:rsidRPr="00962869">
        <w:rPr>
          <w:rFonts w:ascii="Arial" w:hAnsi="Arial" w:cs="Arial"/>
          <w:bCs/>
          <w:iCs/>
        </w:rPr>
        <w:t xml:space="preserve"> reviewing the application, </w:t>
      </w:r>
      <w:r w:rsidR="00635280">
        <w:rPr>
          <w:rFonts w:ascii="Arial" w:hAnsi="Arial" w:cs="Arial"/>
          <w:bCs/>
          <w:iCs/>
        </w:rPr>
        <w:t xml:space="preserve">or $67.33 per hour, </w:t>
      </w:r>
      <w:r w:rsidRPr="00962869">
        <w:rPr>
          <w:rFonts w:ascii="Arial" w:hAnsi="Arial" w:cs="Arial"/>
          <w:bCs/>
          <w:iCs/>
        </w:rPr>
        <w:t>including 1.6 multiplier for benefits.  The annual cost to OSMRE for this oversight activity is estimated to be $</w:t>
      </w:r>
      <w:r w:rsidRPr="00635280" w:rsidR="00635280">
        <w:rPr>
          <w:rFonts w:ascii="Arial" w:hAnsi="Arial" w:cs="Arial"/>
          <w:b/>
          <w:iCs/>
        </w:rPr>
        <w:t>4</w:t>
      </w:r>
      <w:r w:rsidRPr="00635280">
        <w:rPr>
          <w:rFonts w:ascii="Arial" w:hAnsi="Arial" w:cs="Arial"/>
          <w:b/>
          <w:iCs/>
        </w:rPr>
        <w:t>,</w:t>
      </w:r>
      <w:r w:rsidRPr="00635280" w:rsidR="00635280">
        <w:rPr>
          <w:rFonts w:ascii="Arial" w:hAnsi="Arial" w:cs="Arial"/>
          <w:b/>
          <w:iCs/>
        </w:rPr>
        <w:t>848</w:t>
      </w:r>
      <w:r w:rsidRPr="00962869">
        <w:rPr>
          <w:rFonts w:ascii="Arial" w:hAnsi="Arial" w:cs="Arial"/>
          <w:bCs/>
          <w:iCs/>
        </w:rPr>
        <w:t>.</w:t>
      </w:r>
      <w:r w:rsidR="00635280">
        <w:rPr>
          <w:rFonts w:ascii="Arial" w:hAnsi="Arial" w:cs="Arial"/>
          <w:bCs/>
          <w:iCs/>
        </w:rPr>
        <w:br/>
      </w:r>
      <w:r w:rsidR="00635280">
        <w:rPr>
          <w:rFonts w:ascii="Arial" w:hAnsi="Arial" w:cs="Arial"/>
          <w:bCs/>
          <w:iCs/>
        </w:rPr>
        <w:br/>
      </w:r>
    </w:p>
    <w:tbl>
      <w:tblPr>
        <w:tblW w:w="8520" w:type="dxa"/>
        <w:tblInd w:w="131" w:type="dxa"/>
        <w:tblLook w:val="04A0" w:firstRow="1" w:lastRow="0" w:firstColumn="1" w:lastColumn="0" w:noHBand="0" w:noVBand="1"/>
      </w:tblPr>
      <w:tblGrid>
        <w:gridCol w:w="2040"/>
        <w:gridCol w:w="960"/>
        <w:gridCol w:w="1580"/>
        <w:gridCol w:w="1780"/>
        <w:gridCol w:w="2160"/>
      </w:tblGrid>
      <w:tr w:rsidRPr="00635280" w:rsidR="00635280" w:rsidTr="00635280" w14:paraId="6D156A12" w14:textId="77777777">
        <w:trPr>
          <w:trHeight w:val="330"/>
        </w:trPr>
        <w:tc>
          <w:tcPr>
            <w:tcW w:w="2040" w:type="dxa"/>
            <w:tcBorders>
              <w:top w:val="double" w:color="auto" w:sz="6" w:space="0"/>
              <w:left w:val="double" w:color="auto" w:sz="6" w:space="0"/>
              <w:bottom w:val="single" w:color="auto" w:sz="8" w:space="0"/>
              <w:right w:val="single" w:color="auto" w:sz="8" w:space="0"/>
            </w:tcBorders>
            <w:shd w:val="clear" w:color="auto" w:fill="auto"/>
            <w:vAlign w:val="center"/>
            <w:hideMark/>
          </w:tcPr>
          <w:p w:rsidRPr="00635280" w:rsidR="00635280" w:rsidP="00635280" w:rsidRDefault="00635280" w14:paraId="42C37FA1" w14:textId="77777777">
            <w:pPr>
              <w:autoSpaceDE/>
              <w:autoSpaceDN/>
              <w:adjustRightInd/>
              <w:jc w:val="center"/>
              <w:rPr>
                <w:rFonts w:ascii="Arial" w:hAnsi="Arial" w:cs="Arial"/>
                <w:color w:val="000000"/>
                <w:sz w:val="22"/>
                <w:szCs w:val="22"/>
              </w:rPr>
            </w:pPr>
            <w:r w:rsidRPr="00635280">
              <w:rPr>
                <w:rFonts w:ascii="Arial" w:hAnsi="Arial" w:cs="Arial"/>
                <w:color w:val="000000"/>
                <w:sz w:val="22"/>
                <w:szCs w:val="22"/>
              </w:rPr>
              <w:t>Section</w:t>
            </w:r>
          </w:p>
        </w:tc>
        <w:tc>
          <w:tcPr>
            <w:tcW w:w="960" w:type="dxa"/>
            <w:tcBorders>
              <w:top w:val="double" w:color="auto" w:sz="6" w:space="0"/>
              <w:left w:val="nil"/>
              <w:bottom w:val="single" w:color="auto" w:sz="8" w:space="0"/>
              <w:right w:val="single" w:color="auto" w:sz="8" w:space="0"/>
            </w:tcBorders>
            <w:shd w:val="clear" w:color="auto" w:fill="auto"/>
            <w:noWrap/>
            <w:vAlign w:val="bottom"/>
            <w:hideMark/>
          </w:tcPr>
          <w:p w:rsidRPr="00635280" w:rsidR="00635280" w:rsidP="00635280" w:rsidRDefault="00635280" w14:paraId="61042259" w14:textId="77777777">
            <w:pPr>
              <w:autoSpaceDE/>
              <w:autoSpaceDN/>
              <w:adjustRightInd/>
              <w:jc w:val="center"/>
              <w:rPr>
                <w:rFonts w:ascii="Arial" w:hAnsi="Arial" w:cs="Arial"/>
                <w:color w:val="000000"/>
                <w:sz w:val="22"/>
                <w:szCs w:val="22"/>
              </w:rPr>
            </w:pPr>
            <w:r w:rsidRPr="00635280">
              <w:rPr>
                <w:rFonts w:ascii="Arial" w:hAnsi="Arial" w:cs="Arial"/>
                <w:color w:val="000000"/>
                <w:sz w:val="22"/>
                <w:szCs w:val="22"/>
              </w:rPr>
              <w:t>Hours</w:t>
            </w:r>
          </w:p>
        </w:tc>
        <w:tc>
          <w:tcPr>
            <w:tcW w:w="1580" w:type="dxa"/>
            <w:tcBorders>
              <w:top w:val="double" w:color="auto" w:sz="6" w:space="0"/>
              <w:left w:val="nil"/>
              <w:bottom w:val="single" w:color="auto" w:sz="8" w:space="0"/>
              <w:right w:val="single" w:color="auto" w:sz="8" w:space="0"/>
            </w:tcBorders>
            <w:shd w:val="clear" w:color="auto" w:fill="auto"/>
            <w:noWrap/>
            <w:vAlign w:val="bottom"/>
            <w:hideMark/>
          </w:tcPr>
          <w:p w:rsidRPr="00635280" w:rsidR="00635280" w:rsidP="00635280" w:rsidRDefault="00635280" w14:paraId="76A68885" w14:textId="77777777">
            <w:pPr>
              <w:autoSpaceDE/>
              <w:autoSpaceDN/>
              <w:adjustRightInd/>
              <w:jc w:val="center"/>
              <w:rPr>
                <w:rFonts w:ascii="Arial" w:hAnsi="Arial" w:cs="Arial"/>
                <w:color w:val="000000"/>
                <w:sz w:val="22"/>
                <w:szCs w:val="22"/>
              </w:rPr>
            </w:pPr>
            <w:r w:rsidRPr="00635280">
              <w:rPr>
                <w:rFonts w:ascii="Arial" w:hAnsi="Arial" w:cs="Arial"/>
                <w:color w:val="000000"/>
                <w:sz w:val="22"/>
                <w:szCs w:val="22"/>
              </w:rPr>
              <w:t>Wage (OPM)</w:t>
            </w:r>
          </w:p>
        </w:tc>
        <w:tc>
          <w:tcPr>
            <w:tcW w:w="1780" w:type="dxa"/>
            <w:tcBorders>
              <w:top w:val="double" w:color="auto" w:sz="6" w:space="0"/>
              <w:left w:val="nil"/>
              <w:bottom w:val="single" w:color="auto" w:sz="8" w:space="0"/>
              <w:right w:val="single" w:color="auto" w:sz="8" w:space="0"/>
            </w:tcBorders>
            <w:shd w:val="clear" w:color="auto" w:fill="auto"/>
            <w:noWrap/>
            <w:vAlign w:val="bottom"/>
            <w:hideMark/>
          </w:tcPr>
          <w:p w:rsidRPr="00635280" w:rsidR="00635280" w:rsidP="00635280" w:rsidRDefault="00635280" w14:paraId="6DD04E80" w14:textId="77777777">
            <w:pPr>
              <w:autoSpaceDE/>
              <w:autoSpaceDN/>
              <w:adjustRightInd/>
              <w:jc w:val="center"/>
              <w:rPr>
                <w:rFonts w:ascii="Arial" w:hAnsi="Arial" w:cs="Arial"/>
                <w:color w:val="000000"/>
                <w:sz w:val="22"/>
                <w:szCs w:val="22"/>
              </w:rPr>
            </w:pPr>
            <w:r w:rsidRPr="00635280">
              <w:rPr>
                <w:rFonts w:ascii="Arial" w:hAnsi="Arial" w:cs="Arial"/>
                <w:color w:val="000000"/>
                <w:sz w:val="22"/>
                <w:szCs w:val="22"/>
              </w:rPr>
              <w:t>Wage w/benefit</w:t>
            </w:r>
          </w:p>
        </w:tc>
        <w:tc>
          <w:tcPr>
            <w:tcW w:w="2160" w:type="dxa"/>
            <w:tcBorders>
              <w:top w:val="double" w:color="auto" w:sz="6" w:space="0"/>
              <w:left w:val="nil"/>
              <w:bottom w:val="single" w:color="auto" w:sz="8" w:space="0"/>
              <w:right w:val="double" w:color="auto" w:sz="6" w:space="0"/>
            </w:tcBorders>
            <w:shd w:val="clear" w:color="auto" w:fill="auto"/>
            <w:noWrap/>
            <w:vAlign w:val="bottom"/>
            <w:hideMark/>
          </w:tcPr>
          <w:p w:rsidRPr="00635280" w:rsidR="00635280" w:rsidP="00635280" w:rsidRDefault="00635280" w14:paraId="6B606BD3" w14:textId="77777777">
            <w:pPr>
              <w:autoSpaceDE/>
              <w:autoSpaceDN/>
              <w:adjustRightInd/>
              <w:jc w:val="center"/>
              <w:rPr>
                <w:rFonts w:ascii="Arial" w:hAnsi="Arial" w:cs="Arial"/>
                <w:color w:val="000000"/>
                <w:sz w:val="22"/>
                <w:szCs w:val="22"/>
              </w:rPr>
            </w:pPr>
            <w:r w:rsidRPr="00635280">
              <w:rPr>
                <w:rFonts w:ascii="Arial" w:hAnsi="Arial" w:cs="Arial"/>
                <w:color w:val="000000"/>
                <w:sz w:val="22"/>
                <w:szCs w:val="22"/>
              </w:rPr>
              <w:t>Federal Cost</w:t>
            </w:r>
          </w:p>
        </w:tc>
      </w:tr>
      <w:tr w:rsidRPr="00635280" w:rsidR="00635280" w:rsidTr="00635280" w14:paraId="11963422" w14:textId="77777777">
        <w:trPr>
          <w:trHeight w:val="315"/>
        </w:trPr>
        <w:tc>
          <w:tcPr>
            <w:tcW w:w="2040" w:type="dxa"/>
            <w:tcBorders>
              <w:top w:val="nil"/>
              <w:left w:val="double" w:color="auto" w:sz="6" w:space="0"/>
              <w:bottom w:val="single" w:color="auto" w:sz="8" w:space="0"/>
              <w:right w:val="single" w:color="auto" w:sz="8" w:space="0"/>
            </w:tcBorders>
            <w:shd w:val="clear" w:color="auto" w:fill="auto"/>
            <w:vAlign w:val="center"/>
            <w:hideMark/>
          </w:tcPr>
          <w:p w:rsidRPr="00635280" w:rsidR="00635280" w:rsidP="00635280" w:rsidRDefault="00635280" w14:paraId="69932E72" w14:textId="77777777">
            <w:pPr>
              <w:autoSpaceDE/>
              <w:autoSpaceDN/>
              <w:adjustRightInd/>
              <w:jc w:val="right"/>
              <w:rPr>
                <w:rFonts w:ascii="Arial" w:hAnsi="Arial" w:cs="Arial"/>
                <w:sz w:val="22"/>
                <w:szCs w:val="22"/>
              </w:rPr>
            </w:pPr>
            <w:r w:rsidRPr="00635280">
              <w:rPr>
                <w:rFonts w:ascii="Arial" w:hAnsi="Arial" w:cs="Arial"/>
                <w:sz w:val="22"/>
                <w:szCs w:val="22"/>
              </w:rPr>
              <w:t>772.11</w:t>
            </w:r>
          </w:p>
        </w:tc>
        <w:tc>
          <w:tcPr>
            <w:tcW w:w="96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4E69B9A2" w14:textId="77777777">
            <w:pPr>
              <w:autoSpaceDE/>
              <w:autoSpaceDN/>
              <w:adjustRightInd/>
              <w:jc w:val="center"/>
              <w:rPr>
                <w:rFonts w:ascii="Arial" w:hAnsi="Arial" w:cs="Arial"/>
                <w:sz w:val="22"/>
                <w:szCs w:val="22"/>
              </w:rPr>
            </w:pPr>
            <w:r w:rsidRPr="00635280">
              <w:rPr>
                <w:rFonts w:ascii="Arial" w:hAnsi="Arial" w:cs="Arial"/>
                <w:sz w:val="22"/>
                <w:szCs w:val="22"/>
              </w:rPr>
              <w:t>20</w:t>
            </w:r>
          </w:p>
        </w:tc>
        <w:tc>
          <w:tcPr>
            <w:tcW w:w="15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49035D1C" w14:textId="77777777">
            <w:pPr>
              <w:autoSpaceDE/>
              <w:autoSpaceDN/>
              <w:adjustRightInd/>
              <w:jc w:val="center"/>
              <w:rPr>
                <w:rFonts w:ascii="Arial" w:hAnsi="Arial" w:cs="Arial"/>
                <w:sz w:val="22"/>
                <w:szCs w:val="22"/>
              </w:rPr>
            </w:pPr>
            <w:r w:rsidRPr="00635280">
              <w:rPr>
                <w:rFonts w:ascii="Arial" w:hAnsi="Arial" w:cs="Arial"/>
                <w:sz w:val="22"/>
                <w:szCs w:val="22"/>
              </w:rPr>
              <w:t>42.08</w:t>
            </w:r>
          </w:p>
        </w:tc>
        <w:tc>
          <w:tcPr>
            <w:tcW w:w="17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2117CC2C" w14:textId="77777777">
            <w:pPr>
              <w:autoSpaceDE/>
              <w:autoSpaceDN/>
              <w:adjustRightInd/>
              <w:jc w:val="center"/>
              <w:rPr>
                <w:rFonts w:ascii="Arial" w:hAnsi="Arial" w:cs="Arial"/>
                <w:sz w:val="22"/>
                <w:szCs w:val="22"/>
              </w:rPr>
            </w:pPr>
            <w:r w:rsidRPr="00635280">
              <w:rPr>
                <w:rFonts w:ascii="Arial" w:hAnsi="Arial" w:cs="Arial"/>
                <w:sz w:val="22"/>
                <w:szCs w:val="22"/>
              </w:rPr>
              <w:t>67.33</w:t>
            </w:r>
          </w:p>
        </w:tc>
        <w:tc>
          <w:tcPr>
            <w:tcW w:w="2160" w:type="dxa"/>
            <w:tcBorders>
              <w:top w:val="nil"/>
              <w:left w:val="nil"/>
              <w:bottom w:val="single" w:color="auto" w:sz="8" w:space="0"/>
              <w:right w:val="double" w:color="auto" w:sz="6" w:space="0"/>
            </w:tcBorders>
            <w:shd w:val="clear" w:color="auto" w:fill="auto"/>
            <w:noWrap/>
            <w:vAlign w:val="bottom"/>
            <w:hideMark/>
          </w:tcPr>
          <w:p w:rsidRPr="00635280" w:rsidR="00635280" w:rsidP="00635280" w:rsidRDefault="00635280" w14:paraId="29007506" w14:textId="77777777">
            <w:pPr>
              <w:autoSpaceDE/>
              <w:autoSpaceDN/>
              <w:adjustRightInd/>
              <w:jc w:val="center"/>
              <w:rPr>
                <w:rFonts w:ascii="Arial" w:hAnsi="Arial" w:cs="Arial"/>
                <w:sz w:val="22"/>
                <w:szCs w:val="22"/>
              </w:rPr>
            </w:pPr>
            <w:r w:rsidRPr="00635280">
              <w:rPr>
                <w:rFonts w:ascii="Arial" w:hAnsi="Arial" w:cs="Arial"/>
                <w:sz w:val="22"/>
                <w:szCs w:val="22"/>
              </w:rPr>
              <w:t>1,346.56</w:t>
            </w:r>
          </w:p>
        </w:tc>
      </w:tr>
      <w:tr w:rsidRPr="00635280" w:rsidR="00635280" w:rsidTr="00635280" w14:paraId="09FB572C" w14:textId="77777777">
        <w:trPr>
          <w:trHeight w:val="315"/>
        </w:trPr>
        <w:tc>
          <w:tcPr>
            <w:tcW w:w="2040" w:type="dxa"/>
            <w:tcBorders>
              <w:top w:val="nil"/>
              <w:left w:val="double" w:color="auto" w:sz="6" w:space="0"/>
              <w:bottom w:val="single" w:color="auto" w:sz="8" w:space="0"/>
              <w:right w:val="single" w:color="auto" w:sz="8" w:space="0"/>
            </w:tcBorders>
            <w:shd w:val="clear" w:color="auto" w:fill="auto"/>
            <w:vAlign w:val="center"/>
            <w:hideMark/>
          </w:tcPr>
          <w:p w:rsidRPr="00635280" w:rsidR="00635280" w:rsidP="00635280" w:rsidRDefault="00635280" w14:paraId="4A5AC4BB" w14:textId="77777777">
            <w:pPr>
              <w:autoSpaceDE/>
              <w:autoSpaceDN/>
              <w:adjustRightInd/>
              <w:jc w:val="right"/>
              <w:rPr>
                <w:rFonts w:ascii="Arial" w:hAnsi="Arial" w:cs="Arial"/>
                <w:sz w:val="22"/>
                <w:szCs w:val="22"/>
              </w:rPr>
            </w:pPr>
            <w:r w:rsidRPr="00635280">
              <w:rPr>
                <w:rFonts w:ascii="Arial" w:hAnsi="Arial" w:cs="Arial"/>
                <w:sz w:val="22"/>
                <w:szCs w:val="22"/>
              </w:rPr>
              <w:t>772.12</w:t>
            </w:r>
          </w:p>
        </w:tc>
        <w:tc>
          <w:tcPr>
            <w:tcW w:w="96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173A259C" w14:textId="77777777">
            <w:pPr>
              <w:autoSpaceDE/>
              <w:autoSpaceDN/>
              <w:adjustRightInd/>
              <w:jc w:val="center"/>
              <w:rPr>
                <w:rFonts w:ascii="Arial" w:hAnsi="Arial" w:cs="Arial"/>
                <w:sz w:val="22"/>
                <w:szCs w:val="22"/>
              </w:rPr>
            </w:pPr>
            <w:r w:rsidRPr="00635280">
              <w:rPr>
                <w:rFonts w:ascii="Arial" w:hAnsi="Arial" w:cs="Arial"/>
                <w:sz w:val="22"/>
                <w:szCs w:val="22"/>
              </w:rPr>
              <w:t>40</w:t>
            </w:r>
          </w:p>
        </w:tc>
        <w:tc>
          <w:tcPr>
            <w:tcW w:w="15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2CC185D3" w14:textId="77777777">
            <w:pPr>
              <w:autoSpaceDE/>
              <w:autoSpaceDN/>
              <w:adjustRightInd/>
              <w:jc w:val="center"/>
              <w:rPr>
                <w:rFonts w:ascii="Arial" w:hAnsi="Arial" w:cs="Arial"/>
                <w:sz w:val="22"/>
                <w:szCs w:val="22"/>
              </w:rPr>
            </w:pPr>
            <w:r w:rsidRPr="00635280">
              <w:rPr>
                <w:rFonts w:ascii="Arial" w:hAnsi="Arial" w:cs="Arial"/>
                <w:sz w:val="22"/>
                <w:szCs w:val="22"/>
              </w:rPr>
              <w:t>42.08</w:t>
            </w:r>
          </w:p>
        </w:tc>
        <w:tc>
          <w:tcPr>
            <w:tcW w:w="17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1737B351" w14:textId="77777777">
            <w:pPr>
              <w:autoSpaceDE/>
              <w:autoSpaceDN/>
              <w:adjustRightInd/>
              <w:jc w:val="center"/>
              <w:rPr>
                <w:rFonts w:ascii="Arial" w:hAnsi="Arial" w:cs="Arial"/>
                <w:sz w:val="22"/>
                <w:szCs w:val="22"/>
              </w:rPr>
            </w:pPr>
            <w:r w:rsidRPr="00635280">
              <w:rPr>
                <w:rFonts w:ascii="Arial" w:hAnsi="Arial" w:cs="Arial"/>
                <w:sz w:val="22"/>
                <w:szCs w:val="22"/>
              </w:rPr>
              <w:t>67.33</w:t>
            </w:r>
          </w:p>
        </w:tc>
        <w:tc>
          <w:tcPr>
            <w:tcW w:w="2160" w:type="dxa"/>
            <w:tcBorders>
              <w:top w:val="nil"/>
              <w:left w:val="nil"/>
              <w:bottom w:val="single" w:color="auto" w:sz="8" w:space="0"/>
              <w:right w:val="double" w:color="auto" w:sz="6" w:space="0"/>
            </w:tcBorders>
            <w:shd w:val="clear" w:color="auto" w:fill="auto"/>
            <w:noWrap/>
            <w:vAlign w:val="bottom"/>
            <w:hideMark/>
          </w:tcPr>
          <w:p w:rsidRPr="00635280" w:rsidR="00635280" w:rsidP="00635280" w:rsidRDefault="00635280" w14:paraId="4EE6DEBA" w14:textId="77777777">
            <w:pPr>
              <w:autoSpaceDE/>
              <w:autoSpaceDN/>
              <w:adjustRightInd/>
              <w:jc w:val="center"/>
              <w:rPr>
                <w:rFonts w:ascii="Arial" w:hAnsi="Arial" w:cs="Arial"/>
                <w:sz w:val="22"/>
                <w:szCs w:val="22"/>
              </w:rPr>
            </w:pPr>
            <w:r w:rsidRPr="00635280">
              <w:rPr>
                <w:rFonts w:ascii="Arial" w:hAnsi="Arial" w:cs="Arial"/>
                <w:sz w:val="22"/>
                <w:szCs w:val="22"/>
              </w:rPr>
              <w:t>2,693.12</w:t>
            </w:r>
          </w:p>
        </w:tc>
      </w:tr>
      <w:tr w:rsidRPr="00635280" w:rsidR="00635280" w:rsidTr="00635280" w14:paraId="3D871882" w14:textId="77777777">
        <w:trPr>
          <w:trHeight w:val="315"/>
        </w:trPr>
        <w:tc>
          <w:tcPr>
            <w:tcW w:w="2040" w:type="dxa"/>
            <w:tcBorders>
              <w:top w:val="nil"/>
              <w:left w:val="double" w:color="auto" w:sz="6" w:space="0"/>
              <w:bottom w:val="single" w:color="auto" w:sz="8" w:space="0"/>
              <w:right w:val="single" w:color="auto" w:sz="8" w:space="0"/>
            </w:tcBorders>
            <w:shd w:val="clear" w:color="auto" w:fill="auto"/>
            <w:vAlign w:val="center"/>
            <w:hideMark/>
          </w:tcPr>
          <w:p w:rsidRPr="00635280" w:rsidR="00635280" w:rsidP="00635280" w:rsidRDefault="00635280" w14:paraId="0A4BDF0C" w14:textId="77777777">
            <w:pPr>
              <w:autoSpaceDE/>
              <w:autoSpaceDN/>
              <w:adjustRightInd/>
              <w:jc w:val="right"/>
              <w:rPr>
                <w:rFonts w:ascii="Arial" w:hAnsi="Arial" w:cs="Arial"/>
                <w:sz w:val="22"/>
                <w:szCs w:val="22"/>
              </w:rPr>
            </w:pPr>
            <w:r w:rsidRPr="00635280">
              <w:rPr>
                <w:rFonts w:ascii="Arial" w:hAnsi="Arial" w:cs="Arial"/>
                <w:sz w:val="22"/>
                <w:szCs w:val="22"/>
              </w:rPr>
              <w:t>772.14</w:t>
            </w:r>
          </w:p>
        </w:tc>
        <w:tc>
          <w:tcPr>
            <w:tcW w:w="96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1BB87B58" w14:textId="77777777">
            <w:pPr>
              <w:autoSpaceDE/>
              <w:autoSpaceDN/>
              <w:adjustRightInd/>
              <w:jc w:val="center"/>
              <w:rPr>
                <w:rFonts w:ascii="Arial" w:hAnsi="Arial" w:cs="Arial"/>
                <w:sz w:val="22"/>
                <w:szCs w:val="22"/>
              </w:rPr>
            </w:pPr>
            <w:r w:rsidRPr="00635280">
              <w:rPr>
                <w:rFonts w:ascii="Arial" w:hAnsi="Arial" w:cs="Arial"/>
                <w:sz w:val="22"/>
                <w:szCs w:val="22"/>
              </w:rPr>
              <w:t>4</w:t>
            </w:r>
          </w:p>
        </w:tc>
        <w:tc>
          <w:tcPr>
            <w:tcW w:w="15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0F60AA5A" w14:textId="77777777">
            <w:pPr>
              <w:autoSpaceDE/>
              <w:autoSpaceDN/>
              <w:adjustRightInd/>
              <w:jc w:val="center"/>
              <w:rPr>
                <w:rFonts w:ascii="Arial" w:hAnsi="Arial" w:cs="Arial"/>
                <w:sz w:val="22"/>
                <w:szCs w:val="22"/>
              </w:rPr>
            </w:pPr>
            <w:r w:rsidRPr="00635280">
              <w:rPr>
                <w:rFonts w:ascii="Arial" w:hAnsi="Arial" w:cs="Arial"/>
                <w:sz w:val="22"/>
                <w:szCs w:val="22"/>
              </w:rPr>
              <w:t>42.08</w:t>
            </w:r>
          </w:p>
        </w:tc>
        <w:tc>
          <w:tcPr>
            <w:tcW w:w="17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0A73E7D6" w14:textId="77777777">
            <w:pPr>
              <w:autoSpaceDE/>
              <w:autoSpaceDN/>
              <w:adjustRightInd/>
              <w:jc w:val="center"/>
              <w:rPr>
                <w:rFonts w:ascii="Arial" w:hAnsi="Arial" w:cs="Arial"/>
                <w:sz w:val="22"/>
                <w:szCs w:val="22"/>
              </w:rPr>
            </w:pPr>
            <w:r w:rsidRPr="00635280">
              <w:rPr>
                <w:rFonts w:ascii="Arial" w:hAnsi="Arial" w:cs="Arial"/>
                <w:sz w:val="22"/>
                <w:szCs w:val="22"/>
              </w:rPr>
              <w:t>67.33</w:t>
            </w:r>
          </w:p>
        </w:tc>
        <w:tc>
          <w:tcPr>
            <w:tcW w:w="2160" w:type="dxa"/>
            <w:tcBorders>
              <w:top w:val="nil"/>
              <w:left w:val="nil"/>
              <w:bottom w:val="single" w:color="auto" w:sz="8" w:space="0"/>
              <w:right w:val="double" w:color="auto" w:sz="6" w:space="0"/>
            </w:tcBorders>
            <w:shd w:val="clear" w:color="auto" w:fill="auto"/>
            <w:noWrap/>
            <w:vAlign w:val="bottom"/>
            <w:hideMark/>
          </w:tcPr>
          <w:p w:rsidRPr="00635280" w:rsidR="00635280" w:rsidP="00635280" w:rsidRDefault="00635280" w14:paraId="1B91A581" w14:textId="77777777">
            <w:pPr>
              <w:autoSpaceDE/>
              <w:autoSpaceDN/>
              <w:adjustRightInd/>
              <w:jc w:val="center"/>
              <w:rPr>
                <w:rFonts w:ascii="Arial" w:hAnsi="Arial" w:cs="Arial"/>
                <w:sz w:val="22"/>
                <w:szCs w:val="22"/>
              </w:rPr>
            </w:pPr>
            <w:r w:rsidRPr="00635280">
              <w:rPr>
                <w:rFonts w:ascii="Arial" w:hAnsi="Arial" w:cs="Arial"/>
                <w:sz w:val="22"/>
                <w:szCs w:val="22"/>
              </w:rPr>
              <w:t>269.31</w:t>
            </w:r>
          </w:p>
        </w:tc>
      </w:tr>
      <w:tr w:rsidRPr="00635280" w:rsidR="00635280" w:rsidTr="00635280" w14:paraId="76FA0E3E" w14:textId="77777777">
        <w:trPr>
          <w:trHeight w:val="315"/>
        </w:trPr>
        <w:tc>
          <w:tcPr>
            <w:tcW w:w="2040" w:type="dxa"/>
            <w:tcBorders>
              <w:top w:val="nil"/>
              <w:left w:val="double" w:color="auto" w:sz="6" w:space="0"/>
              <w:bottom w:val="single" w:color="auto" w:sz="8" w:space="0"/>
              <w:right w:val="single" w:color="auto" w:sz="8" w:space="0"/>
            </w:tcBorders>
            <w:shd w:val="clear" w:color="auto" w:fill="auto"/>
            <w:vAlign w:val="center"/>
            <w:hideMark/>
          </w:tcPr>
          <w:p w:rsidRPr="00635280" w:rsidR="00635280" w:rsidP="00635280" w:rsidRDefault="00635280" w14:paraId="02C41A7B" w14:textId="77777777">
            <w:pPr>
              <w:autoSpaceDE/>
              <w:autoSpaceDN/>
              <w:adjustRightInd/>
              <w:jc w:val="right"/>
              <w:rPr>
                <w:rFonts w:ascii="Arial" w:hAnsi="Arial" w:cs="Arial"/>
                <w:sz w:val="22"/>
                <w:szCs w:val="22"/>
              </w:rPr>
            </w:pPr>
            <w:r w:rsidRPr="00635280">
              <w:rPr>
                <w:rFonts w:ascii="Arial" w:hAnsi="Arial" w:cs="Arial"/>
                <w:sz w:val="22"/>
                <w:szCs w:val="22"/>
              </w:rPr>
              <w:t>772.15(a)</w:t>
            </w:r>
          </w:p>
        </w:tc>
        <w:tc>
          <w:tcPr>
            <w:tcW w:w="96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38389FB3" w14:textId="77777777">
            <w:pPr>
              <w:autoSpaceDE/>
              <w:autoSpaceDN/>
              <w:adjustRightInd/>
              <w:jc w:val="center"/>
              <w:rPr>
                <w:rFonts w:ascii="Arial" w:hAnsi="Arial" w:cs="Arial"/>
                <w:sz w:val="22"/>
                <w:szCs w:val="22"/>
              </w:rPr>
            </w:pPr>
            <w:r w:rsidRPr="00635280">
              <w:rPr>
                <w:rFonts w:ascii="Arial" w:hAnsi="Arial" w:cs="Arial"/>
                <w:sz w:val="22"/>
                <w:szCs w:val="22"/>
              </w:rPr>
              <w:t>0</w:t>
            </w:r>
          </w:p>
        </w:tc>
        <w:tc>
          <w:tcPr>
            <w:tcW w:w="15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6F5366A6" w14:textId="77777777">
            <w:pPr>
              <w:autoSpaceDE/>
              <w:autoSpaceDN/>
              <w:adjustRightInd/>
              <w:jc w:val="center"/>
              <w:rPr>
                <w:rFonts w:ascii="Arial" w:hAnsi="Arial" w:cs="Arial"/>
                <w:sz w:val="22"/>
                <w:szCs w:val="22"/>
              </w:rPr>
            </w:pPr>
            <w:r w:rsidRPr="00635280">
              <w:rPr>
                <w:rFonts w:ascii="Arial" w:hAnsi="Arial" w:cs="Arial"/>
                <w:sz w:val="22"/>
                <w:szCs w:val="22"/>
              </w:rPr>
              <w:t>42.08</w:t>
            </w:r>
          </w:p>
        </w:tc>
        <w:tc>
          <w:tcPr>
            <w:tcW w:w="17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6D95F03A" w14:textId="77777777">
            <w:pPr>
              <w:autoSpaceDE/>
              <w:autoSpaceDN/>
              <w:adjustRightInd/>
              <w:jc w:val="center"/>
              <w:rPr>
                <w:rFonts w:ascii="Arial" w:hAnsi="Arial" w:cs="Arial"/>
                <w:sz w:val="22"/>
                <w:szCs w:val="22"/>
              </w:rPr>
            </w:pPr>
            <w:r w:rsidRPr="00635280">
              <w:rPr>
                <w:rFonts w:ascii="Arial" w:hAnsi="Arial" w:cs="Arial"/>
                <w:sz w:val="22"/>
                <w:szCs w:val="22"/>
              </w:rPr>
              <w:t>67.33</w:t>
            </w:r>
          </w:p>
        </w:tc>
        <w:tc>
          <w:tcPr>
            <w:tcW w:w="2160" w:type="dxa"/>
            <w:tcBorders>
              <w:top w:val="nil"/>
              <w:left w:val="nil"/>
              <w:bottom w:val="single" w:color="auto" w:sz="8" w:space="0"/>
              <w:right w:val="double" w:color="auto" w:sz="6" w:space="0"/>
            </w:tcBorders>
            <w:shd w:val="clear" w:color="auto" w:fill="auto"/>
            <w:noWrap/>
            <w:vAlign w:val="bottom"/>
            <w:hideMark/>
          </w:tcPr>
          <w:p w:rsidRPr="00635280" w:rsidR="00635280" w:rsidP="00635280" w:rsidRDefault="00635280" w14:paraId="2C2DE013" w14:textId="77777777">
            <w:pPr>
              <w:autoSpaceDE/>
              <w:autoSpaceDN/>
              <w:adjustRightInd/>
              <w:jc w:val="center"/>
              <w:rPr>
                <w:rFonts w:ascii="Arial" w:hAnsi="Arial" w:cs="Arial"/>
                <w:sz w:val="22"/>
                <w:szCs w:val="22"/>
              </w:rPr>
            </w:pPr>
            <w:r w:rsidRPr="00635280">
              <w:rPr>
                <w:rFonts w:ascii="Arial" w:hAnsi="Arial" w:cs="Arial"/>
                <w:sz w:val="22"/>
                <w:szCs w:val="22"/>
              </w:rPr>
              <w:t>0.00</w:t>
            </w:r>
          </w:p>
        </w:tc>
      </w:tr>
      <w:tr w:rsidRPr="00635280" w:rsidR="00635280" w:rsidTr="00635280" w14:paraId="55E03279" w14:textId="77777777">
        <w:trPr>
          <w:trHeight w:val="315"/>
        </w:trPr>
        <w:tc>
          <w:tcPr>
            <w:tcW w:w="2040" w:type="dxa"/>
            <w:tcBorders>
              <w:top w:val="nil"/>
              <w:left w:val="double" w:color="auto" w:sz="6" w:space="0"/>
              <w:bottom w:val="single" w:color="auto" w:sz="8" w:space="0"/>
              <w:right w:val="single" w:color="auto" w:sz="8" w:space="0"/>
            </w:tcBorders>
            <w:shd w:val="clear" w:color="auto" w:fill="auto"/>
            <w:vAlign w:val="center"/>
            <w:hideMark/>
          </w:tcPr>
          <w:p w:rsidRPr="00635280" w:rsidR="00635280" w:rsidP="00635280" w:rsidRDefault="00635280" w14:paraId="72015C74" w14:textId="77777777">
            <w:pPr>
              <w:autoSpaceDE/>
              <w:autoSpaceDN/>
              <w:adjustRightInd/>
              <w:jc w:val="right"/>
              <w:rPr>
                <w:rFonts w:ascii="Arial" w:hAnsi="Arial" w:cs="Arial"/>
                <w:sz w:val="22"/>
                <w:szCs w:val="22"/>
              </w:rPr>
            </w:pPr>
            <w:r w:rsidRPr="00635280">
              <w:rPr>
                <w:rFonts w:ascii="Arial" w:hAnsi="Arial" w:cs="Arial"/>
                <w:sz w:val="22"/>
                <w:szCs w:val="22"/>
              </w:rPr>
              <w:t>772.15(b)</w:t>
            </w:r>
          </w:p>
        </w:tc>
        <w:tc>
          <w:tcPr>
            <w:tcW w:w="96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3944B8C4" w14:textId="77777777">
            <w:pPr>
              <w:autoSpaceDE/>
              <w:autoSpaceDN/>
              <w:adjustRightInd/>
              <w:jc w:val="center"/>
              <w:rPr>
                <w:rFonts w:ascii="Arial" w:hAnsi="Arial" w:cs="Arial"/>
                <w:sz w:val="22"/>
                <w:szCs w:val="22"/>
              </w:rPr>
            </w:pPr>
            <w:r w:rsidRPr="00635280">
              <w:rPr>
                <w:rFonts w:ascii="Arial" w:hAnsi="Arial" w:cs="Arial"/>
                <w:sz w:val="22"/>
                <w:szCs w:val="22"/>
              </w:rPr>
              <w:t>8</w:t>
            </w:r>
          </w:p>
        </w:tc>
        <w:tc>
          <w:tcPr>
            <w:tcW w:w="15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1C70FCF7" w14:textId="77777777">
            <w:pPr>
              <w:autoSpaceDE/>
              <w:autoSpaceDN/>
              <w:adjustRightInd/>
              <w:jc w:val="center"/>
              <w:rPr>
                <w:rFonts w:ascii="Arial" w:hAnsi="Arial" w:cs="Arial"/>
                <w:sz w:val="22"/>
                <w:szCs w:val="22"/>
              </w:rPr>
            </w:pPr>
            <w:r w:rsidRPr="00635280">
              <w:rPr>
                <w:rFonts w:ascii="Arial" w:hAnsi="Arial" w:cs="Arial"/>
                <w:sz w:val="22"/>
                <w:szCs w:val="22"/>
              </w:rPr>
              <w:t>42.08</w:t>
            </w:r>
          </w:p>
        </w:tc>
        <w:tc>
          <w:tcPr>
            <w:tcW w:w="1780" w:type="dxa"/>
            <w:tcBorders>
              <w:top w:val="nil"/>
              <w:left w:val="nil"/>
              <w:bottom w:val="single" w:color="auto" w:sz="8" w:space="0"/>
              <w:right w:val="single" w:color="auto" w:sz="8" w:space="0"/>
            </w:tcBorders>
            <w:shd w:val="clear" w:color="auto" w:fill="auto"/>
            <w:noWrap/>
            <w:vAlign w:val="bottom"/>
            <w:hideMark/>
          </w:tcPr>
          <w:p w:rsidRPr="00635280" w:rsidR="00635280" w:rsidP="00635280" w:rsidRDefault="00635280" w14:paraId="35A54754" w14:textId="77777777">
            <w:pPr>
              <w:autoSpaceDE/>
              <w:autoSpaceDN/>
              <w:adjustRightInd/>
              <w:jc w:val="center"/>
              <w:rPr>
                <w:rFonts w:ascii="Arial" w:hAnsi="Arial" w:cs="Arial"/>
                <w:sz w:val="22"/>
                <w:szCs w:val="22"/>
              </w:rPr>
            </w:pPr>
            <w:r w:rsidRPr="00635280">
              <w:rPr>
                <w:rFonts w:ascii="Arial" w:hAnsi="Arial" w:cs="Arial"/>
                <w:sz w:val="22"/>
                <w:szCs w:val="22"/>
              </w:rPr>
              <w:t>67.33</w:t>
            </w:r>
          </w:p>
        </w:tc>
        <w:tc>
          <w:tcPr>
            <w:tcW w:w="2160" w:type="dxa"/>
            <w:tcBorders>
              <w:top w:val="nil"/>
              <w:left w:val="nil"/>
              <w:bottom w:val="single" w:color="auto" w:sz="8" w:space="0"/>
              <w:right w:val="double" w:color="auto" w:sz="6" w:space="0"/>
            </w:tcBorders>
            <w:shd w:val="clear" w:color="auto" w:fill="auto"/>
            <w:noWrap/>
            <w:vAlign w:val="bottom"/>
            <w:hideMark/>
          </w:tcPr>
          <w:p w:rsidRPr="00635280" w:rsidR="00635280" w:rsidP="00635280" w:rsidRDefault="00635280" w14:paraId="20AE32D1" w14:textId="77777777">
            <w:pPr>
              <w:autoSpaceDE/>
              <w:autoSpaceDN/>
              <w:adjustRightInd/>
              <w:jc w:val="center"/>
              <w:rPr>
                <w:rFonts w:ascii="Arial" w:hAnsi="Arial" w:cs="Arial"/>
                <w:sz w:val="22"/>
                <w:szCs w:val="22"/>
              </w:rPr>
            </w:pPr>
            <w:r w:rsidRPr="00635280">
              <w:rPr>
                <w:rFonts w:ascii="Arial" w:hAnsi="Arial" w:cs="Arial"/>
                <w:sz w:val="22"/>
                <w:szCs w:val="22"/>
              </w:rPr>
              <w:t>538.62</w:t>
            </w:r>
          </w:p>
        </w:tc>
      </w:tr>
      <w:tr w:rsidRPr="00635280" w:rsidR="00635280" w:rsidTr="00635280" w14:paraId="20111FA4" w14:textId="77777777">
        <w:trPr>
          <w:trHeight w:val="315"/>
        </w:trPr>
        <w:tc>
          <w:tcPr>
            <w:tcW w:w="2040" w:type="dxa"/>
            <w:tcBorders>
              <w:top w:val="nil"/>
              <w:left w:val="double" w:color="auto" w:sz="6" w:space="0"/>
              <w:bottom w:val="double" w:color="auto" w:sz="6" w:space="0"/>
              <w:right w:val="single" w:color="auto" w:sz="8" w:space="0"/>
            </w:tcBorders>
            <w:shd w:val="clear" w:color="auto" w:fill="auto"/>
            <w:vAlign w:val="center"/>
            <w:hideMark/>
          </w:tcPr>
          <w:p w:rsidRPr="00635280" w:rsidR="00635280" w:rsidP="00635280" w:rsidRDefault="00635280" w14:paraId="14FD2ECA" w14:textId="77777777">
            <w:pPr>
              <w:autoSpaceDE/>
              <w:autoSpaceDN/>
              <w:adjustRightInd/>
              <w:jc w:val="right"/>
              <w:rPr>
                <w:rFonts w:ascii="Arial" w:hAnsi="Arial" w:cs="Arial"/>
                <w:sz w:val="22"/>
                <w:szCs w:val="22"/>
              </w:rPr>
            </w:pPr>
            <w:r w:rsidRPr="00635280">
              <w:rPr>
                <w:rFonts w:ascii="Arial" w:hAnsi="Arial" w:cs="Arial"/>
                <w:sz w:val="22"/>
                <w:szCs w:val="22"/>
              </w:rPr>
              <w:t>Total</w:t>
            </w:r>
          </w:p>
        </w:tc>
        <w:tc>
          <w:tcPr>
            <w:tcW w:w="960" w:type="dxa"/>
            <w:tcBorders>
              <w:top w:val="nil"/>
              <w:left w:val="nil"/>
              <w:bottom w:val="double" w:color="auto" w:sz="6" w:space="0"/>
              <w:right w:val="single" w:color="auto" w:sz="8" w:space="0"/>
            </w:tcBorders>
            <w:shd w:val="clear" w:color="auto" w:fill="auto"/>
            <w:noWrap/>
            <w:vAlign w:val="bottom"/>
            <w:hideMark/>
          </w:tcPr>
          <w:p w:rsidRPr="00635280" w:rsidR="00635280" w:rsidP="00635280" w:rsidRDefault="00635280" w14:paraId="4FF8C543" w14:textId="77777777">
            <w:pPr>
              <w:autoSpaceDE/>
              <w:autoSpaceDN/>
              <w:adjustRightInd/>
              <w:jc w:val="center"/>
              <w:rPr>
                <w:rFonts w:ascii="Arial" w:hAnsi="Arial" w:cs="Arial"/>
                <w:sz w:val="22"/>
                <w:szCs w:val="22"/>
              </w:rPr>
            </w:pPr>
            <w:r w:rsidRPr="00635280">
              <w:rPr>
                <w:rFonts w:ascii="Arial" w:hAnsi="Arial" w:cs="Arial"/>
                <w:sz w:val="22"/>
                <w:szCs w:val="22"/>
              </w:rPr>
              <w:t>72</w:t>
            </w:r>
          </w:p>
        </w:tc>
        <w:tc>
          <w:tcPr>
            <w:tcW w:w="1580" w:type="dxa"/>
            <w:tcBorders>
              <w:top w:val="nil"/>
              <w:left w:val="nil"/>
              <w:bottom w:val="double" w:color="auto" w:sz="6" w:space="0"/>
              <w:right w:val="single" w:color="auto" w:sz="8" w:space="0"/>
            </w:tcBorders>
            <w:shd w:val="clear" w:color="auto" w:fill="auto"/>
            <w:noWrap/>
            <w:vAlign w:val="bottom"/>
            <w:hideMark/>
          </w:tcPr>
          <w:p w:rsidRPr="00635280" w:rsidR="00635280" w:rsidP="00635280" w:rsidRDefault="00635280" w14:paraId="15B478EE" w14:textId="77777777">
            <w:pPr>
              <w:autoSpaceDE/>
              <w:autoSpaceDN/>
              <w:adjustRightInd/>
              <w:jc w:val="center"/>
              <w:rPr>
                <w:rFonts w:ascii="Arial" w:hAnsi="Arial" w:cs="Arial"/>
                <w:sz w:val="22"/>
                <w:szCs w:val="22"/>
              </w:rPr>
            </w:pPr>
            <w:r w:rsidRPr="00635280">
              <w:rPr>
                <w:rFonts w:ascii="Arial" w:hAnsi="Arial" w:cs="Arial"/>
                <w:sz w:val="22"/>
                <w:szCs w:val="22"/>
              </w:rPr>
              <w:t> </w:t>
            </w:r>
          </w:p>
        </w:tc>
        <w:tc>
          <w:tcPr>
            <w:tcW w:w="1780" w:type="dxa"/>
            <w:tcBorders>
              <w:top w:val="nil"/>
              <w:left w:val="nil"/>
              <w:bottom w:val="double" w:color="auto" w:sz="6" w:space="0"/>
              <w:right w:val="single" w:color="auto" w:sz="8" w:space="0"/>
            </w:tcBorders>
            <w:shd w:val="clear" w:color="auto" w:fill="auto"/>
            <w:noWrap/>
            <w:vAlign w:val="bottom"/>
            <w:hideMark/>
          </w:tcPr>
          <w:p w:rsidRPr="00635280" w:rsidR="00635280" w:rsidP="00635280" w:rsidRDefault="00635280" w14:paraId="478FF0EB" w14:textId="77777777">
            <w:pPr>
              <w:autoSpaceDE/>
              <w:autoSpaceDN/>
              <w:adjustRightInd/>
              <w:jc w:val="center"/>
              <w:rPr>
                <w:rFonts w:ascii="Arial" w:hAnsi="Arial" w:cs="Arial"/>
                <w:sz w:val="22"/>
                <w:szCs w:val="22"/>
              </w:rPr>
            </w:pPr>
            <w:r w:rsidRPr="00635280">
              <w:rPr>
                <w:rFonts w:ascii="Arial" w:hAnsi="Arial" w:cs="Arial"/>
                <w:sz w:val="22"/>
                <w:szCs w:val="22"/>
              </w:rPr>
              <w:t> </w:t>
            </w:r>
          </w:p>
        </w:tc>
        <w:tc>
          <w:tcPr>
            <w:tcW w:w="2160" w:type="dxa"/>
            <w:tcBorders>
              <w:top w:val="nil"/>
              <w:left w:val="nil"/>
              <w:bottom w:val="double" w:color="auto" w:sz="6" w:space="0"/>
              <w:right w:val="double" w:color="auto" w:sz="6" w:space="0"/>
            </w:tcBorders>
            <w:shd w:val="clear" w:color="auto" w:fill="auto"/>
            <w:noWrap/>
            <w:vAlign w:val="bottom"/>
            <w:hideMark/>
          </w:tcPr>
          <w:p w:rsidRPr="00635280" w:rsidR="00635280" w:rsidP="00635280" w:rsidRDefault="00635280" w14:paraId="781A3285" w14:textId="520F4877">
            <w:pPr>
              <w:autoSpaceDE/>
              <w:autoSpaceDN/>
              <w:adjustRightInd/>
              <w:jc w:val="center"/>
              <w:rPr>
                <w:rFonts w:ascii="Arial" w:hAnsi="Arial" w:cs="Arial"/>
                <w:sz w:val="22"/>
                <w:szCs w:val="22"/>
              </w:rPr>
            </w:pPr>
            <w:r w:rsidRPr="00635280">
              <w:rPr>
                <w:rFonts w:ascii="Arial" w:hAnsi="Arial" w:cs="Arial"/>
                <w:sz w:val="22"/>
                <w:szCs w:val="22"/>
              </w:rPr>
              <w:t>4,84</w:t>
            </w:r>
            <w:r w:rsidR="008B66AB">
              <w:rPr>
                <w:rFonts w:ascii="Arial" w:hAnsi="Arial" w:cs="Arial"/>
                <w:sz w:val="22"/>
                <w:szCs w:val="22"/>
              </w:rPr>
              <w:t>8</w:t>
            </w:r>
          </w:p>
        </w:tc>
      </w:tr>
    </w:tbl>
    <w:p w:rsidRPr="00962869" w:rsidR="00635280" w:rsidP="00962869" w:rsidRDefault="00635280" w14:paraId="033EFF28" w14:textId="668CC292">
      <w:pPr>
        <w:ind w:left="720" w:hanging="720"/>
        <w:rPr>
          <w:rFonts w:ascii="Arial" w:hAnsi="Arial" w:cs="Arial"/>
          <w:bCs/>
          <w:iCs/>
        </w:rPr>
      </w:pPr>
      <w:r>
        <w:rPr>
          <w:rFonts w:ascii="Arial" w:hAnsi="Arial" w:cs="Arial"/>
          <w:bCs/>
          <w:iCs/>
        </w:rPr>
        <w:br/>
      </w:r>
      <w:r>
        <w:rPr>
          <w:rFonts w:ascii="Arial" w:hAnsi="Arial" w:cs="Arial"/>
          <w:bCs/>
          <w:iCs/>
        </w:rPr>
        <w:br/>
      </w:r>
      <w:r w:rsidR="00962869">
        <w:rPr>
          <w:rFonts w:ascii="Arial" w:hAnsi="Arial" w:cs="Arial"/>
          <w:bCs/>
          <w:iCs/>
        </w:rPr>
        <w:br/>
      </w:r>
      <w:r w:rsidRPr="004712E4" w:rsidR="004712E4">
        <w:rPr>
          <w:rFonts w:ascii="Arial" w:hAnsi="Arial" w:cs="Arial"/>
          <w:bCs/>
          <w:iCs/>
        </w:rPr>
        <w:t xml:space="preserve">Wage costs for OSMRE employees are calculated based on the Office of Personnel Management update wage and salaries: </w:t>
      </w:r>
      <w:hyperlink w:history="1" r:id="rId11">
        <w:r w:rsidRPr="004712E4" w:rsidR="004712E4">
          <w:rPr>
            <w:rStyle w:val="Hyperlink"/>
            <w:rFonts w:ascii="Arial" w:hAnsi="Arial" w:cs="Arial"/>
            <w:bCs/>
            <w:iCs/>
          </w:rPr>
          <w:t>https://www.opm.gov/policy-data-oversight/pay-leave/salaries-wages/salary-tables/21Tables/html/RUS_h.aspx</w:t>
        </w:r>
      </w:hyperlink>
      <w:hyperlink w:history="1"/>
      <w:r w:rsidRPr="004712E4" w:rsidR="004712E4">
        <w:rPr>
          <w:rFonts w:ascii="Arial" w:hAnsi="Arial" w:cs="Arial"/>
          <w:bCs/>
          <w:iCs/>
        </w:rPr>
        <w:t xml:space="preserve">.  </w:t>
      </w:r>
      <w:r w:rsidR="004712E4">
        <w:rPr>
          <w:rFonts w:ascii="Arial" w:hAnsi="Arial" w:cs="Arial"/>
          <w:bCs/>
          <w:iCs/>
        </w:rPr>
        <w:br/>
      </w:r>
      <w:r w:rsidR="004712E4">
        <w:rPr>
          <w:rFonts w:ascii="Arial" w:hAnsi="Arial" w:cs="Arial"/>
          <w:bCs/>
          <w:iCs/>
        </w:rPr>
        <w:br/>
      </w:r>
      <w:r w:rsidRPr="004712E4" w:rsidR="004712E4">
        <w:rPr>
          <w:rFonts w:ascii="Arial" w:hAnsi="Arial" w:cs="Arial"/>
          <w:bCs/>
          <w:iCs/>
        </w:rPr>
        <w:t>We  included a benefit factor of 1.6 for Federal employees in accordance with release USDL-20-2266, EMPLOYER COSTS FOR EMPLOYEE COMPENSATION—SEPTEMBER 2020, dated December 17, 2020 (</w:t>
      </w:r>
      <w:hyperlink w:history="1" r:id="rId12">
        <w:r w:rsidRPr="004712E4" w:rsidR="004712E4">
          <w:rPr>
            <w:rStyle w:val="Hyperlink"/>
            <w:rFonts w:ascii="Arial" w:hAnsi="Arial" w:cs="Arial"/>
            <w:bCs/>
            <w:iCs/>
          </w:rPr>
          <w:t>http://www.bls.gov/news.release/pdf/ecec.pdf</w:t>
        </w:r>
      </w:hyperlink>
      <w:r w:rsidRPr="004712E4" w:rsidR="004712E4">
        <w:rPr>
          <w:rFonts w:ascii="Arial" w:hAnsi="Arial" w:cs="Arial"/>
          <w:bCs/>
          <w:iCs/>
        </w:rPr>
        <w:t>).</w:t>
      </w:r>
      <w:r w:rsidR="00962869">
        <w:rPr>
          <w:rFonts w:ascii="Arial" w:hAnsi="Arial" w:cs="Arial"/>
          <w:bCs/>
          <w:iCs/>
        </w:rPr>
        <w:br/>
      </w:r>
      <w:r w:rsidR="00962869">
        <w:rPr>
          <w:rFonts w:ascii="Arial" w:hAnsi="Arial" w:cs="Arial"/>
          <w:bCs/>
          <w:iCs/>
        </w:rPr>
        <w:br/>
      </w:r>
      <w:r w:rsidR="00962869">
        <w:rPr>
          <w:rFonts w:ascii="Arial" w:hAnsi="Arial" w:cs="Arial"/>
          <w:bCs/>
          <w:iCs/>
        </w:rPr>
        <w:br/>
      </w:r>
    </w:p>
    <w:p w:rsidRPr="00962869" w:rsidR="00962869" w:rsidP="00962869" w:rsidRDefault="00962869" w14:paraId="5E41C960" w14:textId="3D550F76">
      <w:pPr>
        <w:ind w:left="720" w:hanging="720"/>
        <w:rPr>
          <w:rFonts w:ascii="Arial" w:hAnsi="Arial" w:cs="Arial"/>
          <w:bCs/>
          <w:iCs/>
        </w:rPr>
      </w:pPr>
    </w:p>
    <w:p w:rsidRPr="004712E4" w:rsidR="004712E4" w:rsidP="004712E4" w:rsidRDefault="004712E4" w14:paraId="314D6AF6" w14:textId="1CD756FF">
      <w:pPr>
        <w:ind w:left="720" w:hanging="720"/>
        <w:rPr>
          <w:rFonts w:ascii="Arial" w:hAnsi="Arial" w:cs="Arial"/>
          <w:bCs/>
          <w:iCs/>
        </w:rPr>
      </w:pPr>
    </w:p>
    <w:p w:rsidRPr="004712E4" w:rsidR="007B1B72" w:rsidP="007B1B72" w:rsidRDefault="007B1B72" w14:paraId="74BAF300" w14:textId="020D3B29">
      <w:pPr>
        <w:ind w:left="720" w:hanging="720"/>
        <w:rPr>
          <w:rFonts w:ascii="Arial" w:hAnsi="Arial" w:cs="Arial"/>
          <w:bCs/>
          <w:iCs/>
        </w:rPr>
      </w:pPr>
    </w:p>
    <w:p w:rsidRPr="00B25038" w:rsidR="000838CD" w:rsidP="005D012F" w:rsidRDefault="00B25038" w14:paraId="20BE69F5" w14:textId="2CE89DEE">
      <w:pPr>
        <w:ind w:left="720" w:hanging="720"/>
        <w:rPr>
          <w:rFonts w:ascii="Arial" w:hAnsi="Arial" w:cs="Arial"/>
          <w:b/>
          <w:iCs/>
        </w:rPr>
      </w:pPr>
      <w:r>
        <w:rPr>
          <w:rFonts w:ascii="Arial" w:hAnsi="Arial" w:cs="Arial"/>
        </w:rPr>
        <w:lastRenderedPageBreak/>
        <w:br/>
      </w:r>
    </w:p>
    <w:p w:rsidRPr="00500895" w:rsidR="004E056E" w:rsidP="000838CD" w:rsidRDefault="004E056E" w14:paraId="01392A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500895" w:rsidR="000838CD" w:rsidP="000C4360" w:rsidRDefault="000838CD" w14:paraId="5701DD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Pr="00500895" w:rsidR="000C4360" w:rsidP="00871648" w:rsidRDefault="000C4360" w14:paraId="238CA514" w14:textId="77777777">
      <w:pPr>
        <w:ind w:left="720"/>
        <w:rPr>
          <w:rFonts w:ascii="Arial" w:hAnsi="Arial" w:cs="Arial"/>
        </w:rPr>
      </w:pPr>
    </w:p>
    <w:p w:rsidR="00913CF9" w:rsidP="00913CF9" w:rsidRDefault="00913CF9" w14:paraId="5F1874A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15.</w:t>
      </w:r>
      <w:r w:rsidRPr="0000415A">
        <w:rPr>
          <w:rFonts w:ascii="Arial" w:hAnsi="Arial" w:cs="Arial"/>
          <w:b/>
          <w:i/>
        </w:rPr>
        <w:tab/>
        <w:t>Explain the reasons for any program changes or adjustments in hour or cost burden.</w:t>
      </w:r>
    </w:p>
    <w:p w:rsidR="00913CF9" w:rsidP="00913CF9" w:rsidRDefault="00913CF9" w14:paraId="483F64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871648" w:rsidP="00871648" w:rsidRDefault="00871648" w14:paraId="6CCE1710" w14:textId="7DF2E78A">
      <w:pPr>
        <w:rPr>
          <w:rFonts w:ascii="Arial" w:hAnsi="Arial" w:cs="Arial"/>
        </w:rPr>
      </w:pPr>
    </w:p>
    <w:p w:rsidRPr="00047668" w:rsidR="00BF7440" w:rsidP="00BF7440" w:rsidRDefault="00BF7440" w14:paraId="6F84408C" w14:textId="5B6B291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bookmarkStart w:name="_Hlk63750546" w:id="6"/>
      <w:r w:rsidRPr="00047668">
        <w:rPr>
          <w:rFonts w:ascii="Arial" w:hAnsi="Arial" w:cs="Arial"/>
        </w:rPr>
        <w:t xml:space="preserve">The current OMB-approved information collection burden for 30 CFR </w:t>
      </w:r>
      <w:r>
        <w:rPr>
          <w:rFonts w:ascii="Arial" w:hAnsi="Arial" w:cs="Arial"/>
        </w:rPr>
        <w:t xml:space="preserve">772 </w:t>
      </w:r>
      <w:r w:rsidRPr="00047668">
        <w:rPr>
          <w:rFonts w:ascii="Arial" w:hAnsi="Arial" w:cs="Arial"/>
        </w:rPr>
        <w:t xml:space="preserve">is </w:t>
      </w:r>
      <w:r>
        <w:rPr>
          <w:rFonts w:ascii="Arial" w:hAnsi="Arial" w:cs="Arial"/>
        </w:rPr>
        <w:t>1,</w:t>
      </w:r>
      <w:r w:rsidR="003427B4">
        <w:rPr>
          <w:rFonts w:ascii="Arial" w:hAnsi="Arial" w:cs="Arial"/>
        </w:rPr>
        <w:t>864</w:t>
      </w:r>
      <w:r w:rsidRPr="00047668">
        <w:rPr>
          <w:rFonts w:ascii="Arial" w:hAnsi="Arial" w:cs="Arial"/>
        </w:rPr>
        <w:t xml:space="preserve"> hours.  We are now requesting </w:t>
      </w:r>
      <w:r>
        <w:rPr>
          <w:rFonts w:ascii="Arial" w:hAnsi="Arial" w:cs="Arial"/>
        </w:rPr>
        <w:t>1,</w:t>
      </w:r>
      <w:r w:rsidR="00850B68">
        <w:rPr>
          <w:rFonts w:ascii="Arial" w:hAnsi="Arial" w:cs="Arial"/>
        </w:rPr>
        <w:t>6</w:t>
      </w:r>
      <w:r w:rsidR="003427B4">
        <w:rPr>
          <w:rFonts w:ascii="Arial" w:hAnsi="Arial" w:cs="Arial"/>
        </w:rPr>
        <w:t>9</w:t>
      </w:r>
      <w:r w:rsidR="00850B68">
        <w:rPr>
          <w:rFonts w:ascii="Arial" w:hAnsi="Arial" w:cs="Arial"/>
        </w:rPr>
        <w:t>7</w:t>
      </w:r>
      <w:r w:rsidRPr="00047668">
        <w:rPr>
          <w:rFonts w:ascii="Arial" w:hAnsi="Arial" w:cs="Arial"/>
        </w:rPr>
        <w:t xml:space="preserve"> burden hours for these sections, a decrease of </w:t>
      </w:r>
      <w:r w:rsidR="00850B68">
        <w:rPr>
          <w:rFonts w:ascii="Arial" w:hAnsi="Arial" w:cs="Arial"/>
        </w:rPr>
        <w:t>167</w:t>
      </w:r>
      <w:r w:rsidRPr="00047668">
        <w:rPr>
          <w:rFonts w:ascii="Arial" w:hAnsi="Arial" w:cs="Arial"/>
        </w:rPr>
        <w:t xml:space="preserve"> hours</w:t>
      </w:r>
      <w:r>
        <w:rPr>
          <w:rFonts w:ascii="Arial" w:hAnsi="Arial" w:cs="Arial"/>
        </w:rPr>
        <w:t xml:space="preserve">.  This is generally a result of an overall reduction in the number </w:t>
      </w:r>
      <w:r w:rsidR="003427B4">
        <w:rPr>
          <w:rFonts w:ascii="Arial" w:hAnsi="Arial" w:cs="Arial"/>
        </w:rPr>
        <w:t>explora</w:t>
      </w:r>
      <w:r w:rsidR="00850B68">
        <w:rPr>
          <w:rFonts w:ascii="Arial" w:hAnsi="Arial" w:cs="Arial"/>
        </w:rPr>
        <w:t>tion notices</w:t>
      </w:r>
      <w:r>
        <w:rPr>
          <w:rFonts w:ascii="Arial" w:hAnsi="Arial" w:cs="Arial"/>
        </w:rPr>
        <w:t xml:space="preserve"> annually and declining level of existing permits.</w:t>
      </w:r>
    </w:p>
    <w:bookmarkEnd w:id="6"/>
    <w:p w:rsidRPr="00047668" w:rsidR="00BF7440" w:rsidP="00BF7440" w:rsidRDefault="00BF7440" w14:paraId="3FAD1E7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047668" w:rsidR="00BF7440" w:rsidP="00BF7440" w:rsidRDefault="00BF7440" w14:paraId="6F7597F6" w14:textId="526E1063">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Pr>
          <w:rFonts w:ascii="Arial" w:hAnsi="Arial" w:cs="Arial"/>
        </w:rPr>
        <w:t>1,</w:t>
      </w:r>
      <w:r w:rsidR="00850B68">
        <w:rPr>
          <w:rFonts w:ascii="Arial" w:hAnsi="Arial" w:cs="Arial"/>
        </w:rPr>
        <w:t>864</w:t>
      </w:r>
      <w:r w:rsidRPr="00047668">
        <w:rPr>
          <w:rFonts w:ascii="Arial" w:hAnsi="Arial" w:cs="Arial"/>
        </w:rPr>
        <w:t xml:space="preserve">  hours</w:t>
      </w:r>
      <w:proofErr w:type="gramEnd"/>
      <w:r w:rsidRPr="00047668">
        <w:rPr>
          <w:rFonts w:ascii="Arial" w:hAnsi="Arial" w:cs="Arial"/>
        </w:rPr>
        <w:t xml:space="preserve"> currently approved by OMB</w:t>
      </w:r>
    </w:p>
    <w:p w:rsidRPr="00047668" w:rsidR="00BF7440" w:rsidP="00BF7440" w:rsidRDefault="00BF7440" w14:paraId="0D539A14" w14:textId="0710A0E9">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A0791">
        <w:rPr>
          <w:rFonts w:ascii="Arial" w:hAnsi="Arial" w:cs="Arial"/>
          <w:u w:val="single"/>
        </w:rPr>
        <w:t>-</w:t>
      </w:r>
      <w:r w:rsidRPr="006A0791">
        <w:rPr>
          <w:rFonts w:ascii="Arial" w:hAnsi="Arial" w:cs="Arial"/>
          <w:u w:val="single"/>
        </w:rPr>
        <w:tab/>
        <w:t xml:space="preserve">   </w:t>
      </w:r>
      <w:proofErr w:type="gramStart"/>
      <w:r w:rsidR="00850B68">
        <w:rPr>
          <w:rFonts w:ascii="Arial" w:hAnsi="Arial" w:cs="Arial"/>
          <w:u w:val="single"/>
        </w:rPr>
        <w:t>167</w:t>
      </w:r>
      <w:r w:rsidRPr="00047668">
        <w:rPr>
          <w:rFonts w:ascii="Arial" w:hAnsi="Arial" w:cs="Arial"/>
        </w:rPr>
        <w:t xml:space="preserve">  hours</w:t>
      </w:r>
      <w:proofErr w:type="gramEnd"/>
      <w:r w:rsidRPr="00047668">
        <w:rPr>
          <w:rFonts w:ascii="Arial" w:hAnsi="Arial" w:cs="Arial"/>
        </w:rPr>
        <w:t xml:space="preserve"> due to an adjustment (decrease</w:t>
      </w:r>
      <w:r w:rsidR="00850B68">
        <w:rPr>
          <w:rFonts w:ascii="Arial" w:hAnsi="Arial" w:cs="Arial"/>
        </w:rPr>
        <w:t xml:space="preserve"> in applications</w:t>
      </w:r>
      <w:r w:rsidRPr="00047668">
        <w:rPr>
          <w:rFonts w:ascii="Arial" w:hAnsi="Arial" w:cs="Arial"/>
        </w:rPr>
        <w:t xml:space="preserve">) </w:t>
      </w:r>
    </w:p>
    <w:p w:rsidRPr="00047668" w:rsidR="00BF7440" w:rsidP="00BF7440" w:rsidRDefault="00BF7440" w14:paraId="5B4A9F58" w14:textId="23B2292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Pr>
          <w:rFonts w:ascii="Arial" w:hAnsi="Arial" w:cs="Arial"/>
        </w:rPr>
        <w:t>1,6</w:t>
      </w:r>
      <w:r w:rsidR="00850B68">
        <w:rPr>
          <w:rFonts w:ascii="Arial" w:hAnsi="Arial" w:cs="Arial"/>
        </w:rPr>
        <w:t>9</w:t>
      </w:r>
      <w:r>
        <w:rPr>
          <w:rFonts w:ascii="Arial" w:hAnsi="Arial" w:cs="Arial"/>
        </w:rPr>
        <w:t>7</w:t>
      </w:r>
      <w:r w:rsidRPr="00047668">
        <w:rPr>
          <w:rFonts w:ascii="Arial" w:hAnsi="Arial" w:cs="Arial"/>
        </w:rPr>
        <w:t xml:space="preserve">  hours</w:t>
      </w:r>
      <w:proofErr w:type="gramEnd"/>
      <w:r w:rsidRPr="00047668">
        <w:rPr>
          <w:rFonts w:ascii="Arial" w:hAnsi="Arial" w:cs="Arial"/>
        </w:rPr>
        <w:t xml:space="preserve"> requested</w:t>
      </w:r>
    </w:p>
    <w:p w:rsidRPr="00047668" w:rsidR="00BF7440" w:rsidP="00BF7440" w:rsidRDefault="00BF7440" w14:paraId="58CFE80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7778F" w:rsidP="00BF7440" w:rsidRDefault="00BF7440" w14:paraId="6AA98327" w14:textId="18AD0D00">
      <w:pPr>
        <w:rPr>
          <w:rFonts w:ascii="Arial" w:hAnsi="Arial" w:cs="Arial"/>
        </w:rPr>
      </w:pPr>
      <w:r w:rsidRPr="00047668">
        <w:rPr>
          <w:rFonts w:ascii="Arial" w:hAnsi="Arial" w:cs="Arial"/>
        </w:rPr>
        <w:t xml:space="preserve">The currently approved non-wage cost burden for 30 CFR </w:t>
      </w:r>
      <w:r w:rsidR="0046313C">
        <w:rPr>
          <w:rFonts w:ascii="Arial" w:hAnsi="Arial" w:cs="Arial"/>
        </w:rPr>
        <w:t>772</w:t>
      </w:r>
      <w:r w:rsidRPr="00047668">
        <w:rPr>
          <w:rFonts w:ascii="Arial" w:hAnsi="Arial" w:cs="Arial"/>
        </w:rPr>
        <w:t xml:space="preserve"> is </w:t>
      </w:r>
      <w:r>
        <w:rPr>
          <w:rFonts w:ascii="Arial" w:hAnsi="Arial" w:cs="Arial"/>
        </w:rPr>
        <w:t>$</w:t>
      </w:r>
      <w:r w:rsidR="0046313C">
        <w:rPr>
          <w:rFonts w:ascii="Arial" w:hAnsi="Arial" w:cs="Arial"/>
        </w:rPr>
        <w:t>288</w:t>
      </w:r>
      <w:r>
        <w:rPr>
          <w:rFonts w:ascii="Arial" w:hAnsi="Arial" w:cs="Arial"/>
        </w:rPr>
        <w:t xml:space="preserve">.  Our </w:t>
      </w:r>
      <w:r w:rsidRPr="00047668">
        <w:rPr>
          <w:rFonts w:ascii="Arial" w:hAnsi="Arial" w:cs="Arial"/>
        </w:rPr>
        <w:t>request</w:t>
      </w:r>
      <w:r>
        <w:rPr>
          <w:rFonts w:ascii="Arial" w:hAnsi="Arial" w:cs="Arial"/>
        </w:rPr>
        <w:t xml:space="preserve"> is </w:t>
      </w:r>
      <w:proofErr w:type="gramStart"/>
      <w:r w:rsidR="0046313C">
        <w:rPr>
          <w:rFonts w:ascii="Arial" w:hAnsi="Arial" w:cs="Arial"/>
        </w:rPr>
        <w:t>remains</w:t>
      </w:r>
      <w:proofErr w:type="gramEnd"/>
      <w:r w:rsidR="0046313C">
        <w:rPr>
          <w:rFonts w:ascii="Arial" w:hAnsi="Arial" w:cs="Arial"/>
        </w:rPr>
        <w:t xml:space="preserve"> the same</w:t>
      </w:r>
      <w:r>
        <w:rPr>
          <w:rFonts w:ascii="Arial" w:hAnsi="Arial" w:cs="Arial"/>
        </w:rPr>
        <w:t xml:space="preserve">.  </w:t>
      </w:r>
      <w:r w:rsidRPr="00047668">
        <w:rPr>
          <w:rFonts w:ascii="Arial" w:hAnsi="Arial" w:cs="Arial"/>
        </w:rPr>
        <w:t xml:space="preserve"> </w:t>
      </w:r>
      <w:r>
        <w:rPr>
          <w:rFonts w:ascii="Arial" w:hAnsi="Arial" w:cs="Arial"/>
        </w:rPr>
        <w:t xml:space="preserve"> </w:t>
      </w:r>
    </w:p>
    <w:p w:rsidR="0077778F" w:rsidP="00871648" w:rsidRDefault="0077778F" w14:paraId="5EF4DFA1" w14:textId="73341826">
      <w:pPr>
        <w:rPr>
          <w:rFonts w:ascii="Arial" w:hAnsi="Arial" w:cs="Arial"/>
        </w:rPr>
      </w:pPr>
    </w:p>
    <w:p w:rsidR="0077778F" w:rsidP="00871648" w:rsidRDefault="0077778F" w14:paraId="308F62E4" w14:textId="07D18CB0">
      <w:pPr>
        <w:rPr>
          <w:rFonts w:ascii="Arial" w:hAnsi="Arial" w:cs="Arial"/>
        </w:rPr>
      </w:pPr>
    </w:p>
    <w:p w:rsidR="0077778F" w:rsidP="00871648" w:rsidRDefault="0077778F" w14:paraId="0D0EF6D6" w14:textId="12201A61">
      <w:pPr>
        <w:rPr>
          <w:rFonts w:ascii="Arial" w:hAnsi="Arial" w:cs="Arial"/>
        </w:rPr>
      </w:pPr>
    </w:p>
    <w:p w:rsidR="0077778F" w:rsidP="0077778F" w:rsidRDefault="0077778F" w14:paraId="5563BC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16.</w:t>
      </w:r>
      <w:r w:rsidRPr="0000415A">
        <w:rPr>
          <w:rFonts w:ascii="Arial" w:hAnsi="Arial" w:cs="Arial"/>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00895" w:rsidR="0077778F" w:rsidP="00871648" w:rsidRDefault="0077778F" w14:paraId="74A0BC46" w14:textId="77777777">
      <w:pPr>
        <w:rPr>
          <w:rFonts w:ascii="Arial" w:hAnsi="Arial" w:cs="Arial"/>
        </w:rPr>
      </w:pPr>
    </w:p>
    <w:p w:rsidRPr="00B2272B" w:rsidR="00B2272B" w:rsidP="00B2272B" w:rsidRDefault="00B2272B" w14:paraId="06FE2661" w14:textId="799FF3D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r>
        <w:rPr>
          <w:rFonts w:ascii="Arial" w:hAnsi="Arial" w:cs="Arial"/>
          <w:iCs/>
        </w:rPr>
        <w:tab/>
      </w:r>
      <w:r w:rsidRPr="00B2272B">
        <w:rPr>
          <w:rFonts w:ascii="Arial" w:hAnsi="Arial" w:cs="Arial"/>
          <w:iCs/>
        </w:rPr>
        <w:t>We have no plans to publish the information collected.</w:t>
      </w:r>
    </w:p>
    <w:p w:rsidRPr="00500895" w:rsidR="00BD3742" w:rsidP="00BD3742" w:rsidRDefault="00BD3742" w14:paraId="23019154" w14:textId="3957A0F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Pr="00500895" w:rsidR="00A8421F" w:rsidP="00AB29F3" w:rsidRDefault="00A8421F" w14:paraId="061AC0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Cs/>
        </w:rPr>
      </w:pPr>
    </w:p>
    <w:p w:rsidRPr="00500895" w:rsidR="00A8421F" w:rsidP="00AB29F3" w:rsidRDefault="00A8421F" w14:paraId="6ABC8B2D" w14:textId="5E3431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B2272B" w:rsidR="00B35959" w:rsidP="00B35959" w:rsidRDefault="0043443E" w14:paraId="516CCF36" w14:textId="77777777">
      <w:pPr>
        <w:tabs>
          <w:tab w:val="left" w:pos="-1440"/>
        </w:tabs>
        <w:ind w:left="720" w:hanging="720"/>
        <w:rPr>
          <w:rFonts w:ascii="Arial" w:hAnsi="Arial" w:cs="Arial"/>
          <w:szCs w:val="25"/>
        </w:rPr>
      </w:pPr>
      <w:r w:rsidRPr="0000415A">
        <w:rPr>
          <w:rFonts w:ascii="Arial" w:hAnsi="Arial" w:cs="Arial"/>
          <w:b/>
          <w:i/>
        </w:rPr>
        <w:t>17.</w:t>
      </w:r>
      <w:r w:rsidRPr="0000415A">
        <w:rPr>
          <w:rFonts w:ascii="Arial" w:hAnsi="Arial" w:cs="Arial"/>
          <w:b/>
          <w:i/>
        </w:rPr>
        <w:tab/>
        <w:t>If seeking approval to not display the expiration date for OMB approval of the information collection, explain the reasons that display would be inappropriate.</w:t>
      </w:r>
      <w:r w:rsidR="00B35959">
        <w:rPr>
          <w:rFonts w:ascii="Arial" w:hAnsi="Arial" w:cs="Arial"/>
          <w:b/>
          <w:i/>
        </w:rPr>
        <w:br/>
      </w:r>
      <w:r w:rsidR="00B35959">
        <w:rPr>
          <w:rFonts w:ascii="Arial" w:hAnsi="Arial" w:cs="Arial"/>
          <w:b/>
          <w:i/>
        </w:rPr>
        <w:br/>
      </w:r>
      <w:r w:rsidR="00B35959">
        <w:rPr>
          <w:rFonts w:ascii="Arial" w:hAnsi="Arial" w:cs="Arial"/>
          <w:b/>
          <w:i/>
        </w:rPr>
        <w:br/>
      </w:r>
      <w:r w:rsidRPr="00B2272B" w:rsidR="00B35959">
        <w:rPr>
          <w:rFonts w:ascii="Arial" w:hAnsi="Arial" w:cs="Arial"/>
          <w:szCs w:val="25"/>
        </w:rPr>
        <w:t>We are not seeking a waiver from the requirement to display the expiration date of the OMB approval of the information collection.</w:t>
      </w:r>
    </w:p>
    <w:p w:rsidR="0043443E" w:rsidP="0043443E" w:rsidRDefault="0043443E" w14:paraId="1D6DBDDB" w14:textId="5656235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rsidRDefault="0043443E" w14:paraId="331E8355" w14:textId="34A12C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rsidRDefault="0043443E" w14:paraId="26389F75" w14:textId="654A15F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rsidRDefault="0043443E" w14:paraId="663A2D26" w14:textId="60E30B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2D5BD7" w:rsidR="00275057" w:rsidP="00275057" w:rsidRDefault="0043443E" w14:paraId="3427D833" w14:textId="5208CD46">
      <w:pPr>
        <w:tabs>
          <w:tab w:val="left" w:pos="-1440"/>
        </w:tabs>
        <w:ind w:left="720" w:hanging="720"/>
        <w:rPr>
          <w:rFonts w:ascii="Arial" w:hAnsi="Arial" w:cs="Arial"/>
          <w:szCs w:val="25"/>
        </w:rPr>
      </w:pPr>
      <w:r w:rsidRPr="0000415A">
        <w:rPr>
          <w:rFonts w:ascii="Arial" w:hAnsi="Arial" w:cs="Arial"/>
          <w:b/>
          <w:i/>
        </w:rPr>
        <w:lastRenderedPageBreak/>
        <w:t>18.</w:t>
      </w:r>
      <w:r w:rsidRPr="0000415A">
        <w:rPr>
          <w:rFonts w:ascii="Arial" w:hAnsi="Arial" w:cs="Arial"/>
          <w:b/>
          <w:i/>
        </w:rPr>
        <w:tab/>
        <w:t>Explain each exception to the topics of the certification statement identified in "Certification for Paperwork Reduction Act Submissions."</w:t>
      </w:r>
      <w:r w:rsidR="00F81823">
        <w:rPr>
          <w:rFonts w:ascii="Arial" w:hAnsi="Arial" w:cs="Arial"/>
          <w:b/>
          <w:i/>
        </w:rPr>
        <w:br/>
      </w:r>
      <w:r w:rsidR="00F81823">
        <w:rPr>
          <w:rFonts w:ascii="Arial" w:hAnsi="Arial" w:cs="Arial"/>
          <w:b/>
          <w:i/>
        </w:rPr>
        <w:br/>
      </w:r>
      <w:r w:rsidR="00F81823">
        <w:rPr>
          <w:rFonts w:ascii="Arial" w:hAnsi="Arial" w:cs="Arial"/>
          <w:b/>
          <w:i/>
        </w:rPr>
        <w:br/>
      </w:r>
      <w:r w:rsidRPr="002D5BD7" w:rsidR="00F81823">
        <w:rPr>
          <w:rFonts w:ascii="Arial" w:hAnsi="Arial" w:cs="Arial"/>
          <w:b/>
          <w:i/>
        </w:rPr>
        <w:br/>
      </w:r>
      <w:r w:rsidRPr="002D5BD7" w:rsidR="00F81823">
        <w:rPr>
          <w:rFonts w:ascii="Arial" w:hAnsi="Arial" w:cs="Arial"/>
          <w:szCs w:val="25"/>
        </w:rPr>
        <w:t>There are no exceptions to the certification statement identified in the “Certification for Paperwork Reduction Act Submissions.”</w:t>
      </w:r>
      <w:r w:rsidRPr="002D5BD7" w:rsidR="00275057">
        <w:rPr>
          <w:rFonts w:ascii="Arial" w:hAnsi="Arial" w:cs="Arial"/>
          <w:szCs w:val="25"/>
        </w:rPr>
        <w:t xml:space="preserve">  The information collection requirements of §772.12 do not involve any capital or start-up costs apart from expenditures associated with (1) customary business practices concerning establishment and operation of a mining entity, or (2) general administration of a regulatory agency.  None are directly attributable to the information collection requirements of §772.12.</w:t>
      </w:r>
    </w:p>
    <w:p w:rsidRPr="002D5BD7" w:rsidR="00F81823" w:rsidP="00F81823" w:rsidRDefault="00F81823" w14:paraId="28428937" w14:textId="779DE44E">
      <w:pPr>
        <w:tabs>
          <w:tab w:val="left" w:pos="-1440"/>
        </w:tabs>
        <w:ind w:left="720" w:hanging="720"/>
        <w:rPr>
          <w:rFonts w:ascii="Arial" w:hAnsi="Arial" w:cs="Arial"/>
          <w:szCs w:val="25"/>
        </w:rPr>
      </w:pPr>
    </w:p>
    <w:p w:rsidR="00275057" w:rsidP="00F81823" w:rsidRDefault="00275057" w14:paraId="5CF90A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5"/>
        </w:rPr>
      </w:pPr>
    </w:p>
    <w:p w:rsidR="00275057" w:rsidP="00F81823" w:rsidRDefault="00275057" w14:paraId="2550FC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5"/>
        </w:rPr>
      </w:pPr>
    </w:p>
    <w:p w:rsidRPr="0000415A" w:rsidR="0043443E" w:rsidP="00F81823" w:rsidRDefault="0043443E" w14:paraId="458259CA" w14:textId="674C26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rsidRDefault="0043443E" w14:paraId="01387CC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sectPr w:rsidR="0043443E" w:rsidSect="001C7372">
      <w:footerReference w:type="even" r:id="rId13"/>
      <w:footerReference w:type="default" r:id="rId14"/>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07997" w14:textId="77777777" w:rsidR="00B02CE8" w:rsidRDefault="00B02CE8">
      <w:r>
        <w:separator/>
      </w:r>
    </w:p>
  </w:endnote>
  <w:endnote w:type="continuationSeparator" w:id="0">
    <w:p w14:paraId="7B5DC7E8" w14:textId="77777777" w:rsidR="00B02CE8" w:rsidRDefault="00B0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54496" w14:textId="77777777" w:rsidR="00B02CE8" w:rsidRDefault="00B02CE8" w:rsidP="001C7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4F72C" w14:textId="77777777" w:rsidR="00B02CE8" w:rsidRDefault="00B02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D1FA7" w14:textId="77777777" w:rsidR="00B02CE8" w:rsidRDefault="00B02CE8">
    <w:pPr>
      <w:spacing w:line="240" w:lineRule="exact"/>
    </w:pPr>
  </w:p>
  <w:p w14:paraId="2E240ED4" w14:textId="77777777" w:rsidR="00B02CE8" w:rsidRDefault="00B02CE8" w:rsidP="001C7372">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14:paraId="3859A798" w14:textId="77777777" w:rsidR="00B02CE8" w:rsidRDefault="00B02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FDDF6" w14:textId="77777777" w:rsidR="00B02CE8" w:rsidRDefault="00B02CE8">
      <w:r>
        <w:separator/>
      </w:r>
    </w:p>
  </w:footnote>
  <w:footnote w:type="continuationSeparator" w:id="0">
    <w:p w14:paraId="60997EB7" w14:textId="77777777" w:rsidR="00B02CE8" w:rsidRDefault="00B02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248CE7E"/>
    <w:lvl w:ilvl="0">
      <w:numFmt w:val="decimal"/>
      <w:lvlText w:val="*"/>
      <w:lvlJc w:val="left"/>
      <w:rPr>
        <w:rFonts w:cs="Times New Roman"/>
      </w:rPr>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5"/>
        <w:szCs w:val="25"/>
      </w:rPr>
    </w:lvl>
  </w:abstractNum>
  <w:abstractNum w:abstractNumId="2" w15:restartNumberingAfterBreak="0">
    <w:nsid w:val="00000002"/>
    <w:multiLevelType w:val="singleLevel"/>
    <w:tmpl w:val="00000000"/>
    <w:lvl w:ilvl="0">
      <w:start w:val="1"/>
      <w:numFmt w:val="lowerLetter"/>
      <w:pStyle w:val="Quicka"/>
      <w:lvlText w:val="%1."/>
      <w:lvlJc w:val="left"/>
      <w:pPr>
        <w:tabs>
          <w:tab w:val="num" w:pos="2160"/>
        </w:tabs>
      </w:pPr>
      <w:rPr>
        <w:rFonts w:cs="Times New Roman"/>
      </w:rPr>
    </w:lvl>
  </w:abstractNum>
  <w:abstractNum w:abstractNumId="3" w15:restartNumberingAfterBreak="0">
    <w:nsid w:val="03406CD7"/>
    <w:multiLevelType w:val="hybridMultilevel"/>
    <w:tmpl w:val="BC7461E0"/>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FB1D4A"/>
    <w:multiLevelType w:val="hybridMultilevel"/>
    <w:tmpl w:val="9496B9F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3F2300"/>
    <w:multiLevelType w:val="hybridMultilevel"/>
    <w:tmpl w:val="C8C496A0"/>
    <w:lvl w:ilvl="0" w:tplc="4C28FB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21424A"/>
    <w:multiLevelType w:val="hybridMultilevel"/>
    <w:tmpl w:val="B1CA49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8B14611"/>
    <w:multiLevelType w:val="hybridMultilevel"/>
    <w:tmpl w:val="9FFE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C65CB"/>
    <w:multiLevelType w:val="hybridMultilevel"/>
    <w:tmpl w:val="BF12C498"/>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D76758"/>
    <w:multiLevelType w:val="hybridMultilevel"/>
    <w:tmpl w:val="E8049A8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CA33A0"/>
    <w:multiLevelType w:val="hybridMultilevel"/>
    <w:tmpl w:val="F470F6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4226FD4"/>
    <w:multiLevelType w:val="hybridMultilevel"/>
    <w:tmpl w:val="B7EE96A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BA4C2F"/>
    <w:multiLevelType w:val="hybridMultilevel"/>
    <w:tmpl w:val="D8F27F90"/>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5EC74A55"/>
    <w:multiLevelType w:val="hybridMultilevel"/>
    <w:tmpl w:val="6C0A49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68E34FE"/>
    <w:multiLevelType w:val="hybridMultilevel"/>
    <w:tmpl w:val="4A7CD81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76044B"/>
    <w:multiLevelType w:val="hybridMultilevel"/>
    <w:tmpl w:val="A648C2B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3"/>
      <w:lvl w:ilvl="0">
        <w:start w:val="3"/>
        <w:numFmt w:val="decimal"/>
        <w:pStyle w:val="Quick1"/>
        <w:lvlText w:val="%1."/>
        <w:lvlJc w:val="left"/>
        <w:rPr>
          <w:rFonts w:cs="Times New Roman"/>
        </w:rPr>
      </w:lvl>
    </w:lvlOverride>
  </w:num>
  <w:num w:numId="2">
    <w:abstractNumId w:val="1"/>
    <w:lvlOverride w:ilvl="0">
      <w:startOverride w:val="6"/>
      <w:lvl w:ilvl="0">
        <w:start w:val="6"/>
        <w:numFmt w:val="decimal"/>
        <w:pStyle w:val="Quick1"/>
        <w:lvlText w:val="%1."/>
        <w:lvlJc w:val="left"/>
        <w:rPr>
          <w:rFonts w:cs="Times New Roman"/>
        </w:rPr>
      </w:lvl>
    </w:lvlOverride>
  </w:num>
  <w:num w:numId="3">
    <w:abstractNumId w:val="2"/>
    <w:lvlOverride w:ilvl="0">
      <w:startOverride w:val="2"/>
      <w:lvl w:ilvl="0">
        <w:start w:val="2"/>
        <w:numFmt w:val="decimal"/>
        <w:pStyle w:val="Quicka"/>
        <w:lvlText w:val="%1."/>
        <w:lvlJc w:val="left"/>
        <w:rPr>
          <w:rFonts w:cs="Times New Roman"/>
        </w:rPr>
      </w:lvl>
    </w:lvlOverride>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12"/>
  </w:num>
  <w:num w:numId="6">
    <w:abstractNumId w:val="14"/>
  </w:num>
  <w:num w:numId="7">
    <w:abstractNumId w:val="4"/>
  </w:num>
  <w:num w:numId="8">
    <w:abstractNumId w:val="8"/>
  </w:num>
  <w:num w:numId="9">
    <w:abstractNumId w:val="16"/>
  </w:num>
  <w:num w:numId="10">
    <w:abstractNumId w:val="3"/>
  </w:num>
  <w:num w:numId="11">
    <w:abstractNumId w:val="11"/>
  </w:num>
  <w:num w:numId="12">
    <w:abstractNumId w:val="6"/>
  </w:num>
  <w:num w:numId="13">
    <w:abstractNumId w:val="9"/>
  </w:num>
  <w:num w:numId="14">
    <w:abstractNumId w:val="10"/>
  </w:num>
  <w:num w:numId="15">
    <w:abstractNumId w:val="5"/>
  </w:num>
  <w:num w:numId="16">
    <w:abstractNumId w:val="1"/>
  </w:num>
  <w:num w:numId="17">
    <w:abstractNumId w:val="15"/>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372"/>
    <w:rsid w:val="00003D02"/>
    <w:rsid w:val="00010AB2"/>
    <w:rsid w:val="00011FE2"/>
    <w:rsid w:val="000129F7"/>
    <w:rsid w:val="0001378F"/>
    <w:rsid w:val="0001405E"/>
    <w:rsid w:val="0002236F"/>
    <w:rsid w:val="00023C48"/>
    <w:rsid w:val="00024380"/>
    <w:rsid w:val="00024D96"/>
    <w:rsid w:val="00027401"/>
    <w:rsid w:val="00034619"/>
    <w:rsid w:val="00042BC5"/>
    <w:rsid w:val="00052485"/>
    <w:rsid w:val="000550D7"/>
    <w:rsid w:val="0005545A"/>
    <w:rsid w:val="00056107"/>
    <w:rsid w:val="00056970"/>
    <w:rsid w:val="000643A8"/>
    <w:rsid w:val="00064F71"/>
    <w:rsid w:val="00065D53"/>
    <w:rsid w:val="000702D3"/>
    <w:rsid w:val="00070CF0"/>
    <w:rsid w:val="0007135E"/>
    <w:rsid w:val="00076738"/>
    <w:rsid w:val="0007792F"/>
    <w:rsid w:val="00077C57"/>
    <w:rsid w:val="000838CD"/>
    <w:rsid w:val="00084A05"/>
    <w:rsid w:val="000853B4"/>
    <w:rsid w:val="000858CA"/>
    <w:rsid w:val="00091056"/>
    <w:rsid w:val="00097566"/>
    <w:rsid w:val="00097A52"/>
    <w:rsid w:val="00097B25"/>
    <w:rsid w:val="000A2E94"/>
    <w:rsid w:val="000B0978"/>
    <w:rsid w:val="000B0F5E"/>
    <w:rsid w:val="000B293F"/>
    <w:rsid w:val="000C4360"/>
    <w:rsid w:val="000C60B2"/>
    <w:rsid w:val="000D159D"/>
    <w:rsid w:val="000E1BBE"/>
    <w:rsid w:val="000E1CC9"/>
    <w:rsid w:val="000E29FE"/>
    <w:rsid w:val="000E453B"/>
    <w:rsid w:val="000E466B"/>
    <w:rsid w:val="000F419D"/>
    <w:rsid w:val="0010148C"/>
    <w:rsid w:val="00103553"/>
    <w:rsid w:val="00104342"/>
    <w:rsid w:val="0010628B"/>
    <w:rsid w:val="001104EF"/>
    <w:rsid w:val="001124E0"/>
    <w:rsid w:val="00113CA9"/>
    <w:rsid w:val="001154F2"/>
    <w:rsid w:val="001164AC"/>
    <w:rsid w:val="001248A3"/>
    <w:rsid w:val="001254EE"/>
    <w:rsid w:val="00146FF2"/>
    <w:rsid w:val="00153748"/>
    <w:rsid w:val="00156B6C"/>
    <w:rsid w:val="00156C1F"/>
    <w:rsid w:val="001669BF"/>
    <w:rsid w:val="001757EA"/>
    <w:rsid w:val="001818FD"/>
    <w:rsid w:val="0019341A"/>
    <w:rsid w:val="00194D61"/>
    <w:rsid w:val="001A0290"/>
    <w:rsid w:val="001A09EE"/>
    <w:rsid w:val="001A10EC"/>
    <w:rsid w:val="001A4EA2"/>
    <w:rsid w:val="001A7A96"/>
    <w:rsid w:val="001B158F"/>
    <w:rsid w:val="001C41EF"/>
    <w:rsid w:val="001C7372"/>
    <w:rsid w:val="001D3B65"/>
    <w:rsid w:val="001D6F63"/>
    <w:rsid w:val="001E19D5"/>
    <w:rsid w:val="001E7689"/>
    <w:rsid w:val="001E7B42"/>
    <w:rsid w:val="001F0E30"/>
    <w:rsid w:val="001F56F0"/>
    <w:rsid w:val="002048E6"/>
    <w:rsid w:val="0020654E"/>
    <w:rsid w:val="0021495E"/>
    <w:rsid w:val="002165C4"/>
    <w:rsid w:val="00226C51"/>
    <w:rsid w:val="00234F40"/>
    <w:rsid w:val="00236DD8"/>
    <w:rsid w:val="00236F0F"/>
    <w:rsid w:val="0024079B"/>
    <w:rsid w:val="0025290F"/>
    <w:rsid w:val="00255BB0"/>
    <w:rsid w:val="00256E94"/>
    <w:rsid w:val="00260EDA"/>
    <w:rsid w:val="00261FCA"/>
    <w:rsid w:val="00263208"/>
    <w:rsid w:val="00270DCB"/>
    <w:rsid w:val="00274F46"/>
    <w:rsid w:val="00275057"/>
    <w:rsid w:val="002809EC"/>
    <w:rsid w:val="002878A1"/>
    <w:rsid w:val="00293953"/>
    <w:rsid w:val="00294D3A"/>
    <w:rsid w:val="00294E86"/>
    <w:rsid w:val="002958EE"/>
    <w:rsid w:val="002A1A37"/>
    <w:rsid w:val="002B1007"/>
    <w:rsid w:val="002B4199"/>
    <w:rsid w:val="002C21F9"/>
    <w:rsid w:val="002C43E9"/>
    <w:rsid w:val="002C7E3F"/>
    <w:rsid w:val="002D47D0"/>
    <w:rsid w:val="002D5BD7"/>
    <w:rsid w:val="002E6D97"/>
    <w:rsid w:val="002F0663"/>
    <w:rsid w:val="002F0C63"/>
    <w:rsid w:val="00306F25"/>
    <w:rsid w:val="003132A3"/>
    <w:rsid w:val="0031430D"/>
    <w:rsid w:val="00314675"/>
    <w:rsid w:val="00321A2E"/>
    <w:rsid w:val="00322910"/>
    <w:rsid w:val="00322A7C"/>
    <w:rsid w:val="003235DD"/>
    <w:rsid w:val="003239DB"/>
    <w:rsid w:val="003275D9"/>
    <w:rsid w:val="00330AB3"/>
    <w:rsid w:val="00331011"/>
    <w:rsid w:val="00333DA0"/>
    <w:rsid w:val="00334F7C"/>
    <w:rsid w:val="003427B4"/>
    <w:rsid w:val="00345471"/>
    <w:rsid w:val="003501A2"/>
    <w:rsid w:val="00351A06"/>
    <w:rsid w:val="00354662"/>
    <w:rsid w:val="00356152"/>
    <w:rsid w:val="003600ED"/>
    <w:rsid w:val="00361A90"/>
    <w:rsid w:val="003625F1"/>
    <w:rsid w:val="00366FFD"/>
    <w:rsid w:val="0036747C"/>
    <w:rsid w:val="00371E32"/>
    <w:rsid w:val="003721A6"/>
    <w:rsid w:val="00373423"/>
    <w:rsid w:val="003765B0"/>
    <w:rsid w:val="003858EC"/>
    <w:rsid w:val="00387E1B"/>
    <w:rsid w:val="003919EF"/>
    <w:rsid w:val="00393CEE"/>
    <w:rsid w:val="00394252"/>
    <w:rsid w:val="00394C96"/>
    <w:rsid w:val="00397080"/>
    <w:rsid w:val="003A13ED"/>
    <w:rsid w:val="003A25B9"/>
    <w:rsid w:val="003A7818"/>
    <w:rsid w:val="003B3F91"/>
    <w:rsid w:val="003B4424"/>
    <w:rsid w:val="003B7320"/>
    <w:rsid w:val="003C361E"/>
    <w:rsid w:val="003C3F0C"/>
    <w:rsid w:val="003C60A5"/>
    <w:rsid w:val="003D0829"/>
    <w:rsid w:val="003D0892"/>
    <w:rsid w:val="003D0B43"/>
    <w:rsid w:val="003D1A94"/>
    <w:rsid w:val="003D33F3"/>
    <w:rsid w:val="003D41BC"/>
    <w:rsid w:val="003D7336"/>
    <w:rsid w:val="003E30EB"/>
    <w:rsid w:val="003F2B89"/>
    <w:rsid w:val="003F5FCB"/>
    <w:rsid w:val="00411658"/>
    <w:rsid w:val="00412A95"/>
    <w:rsid w:val="00414A33"/>
    <w:rsid w:val="004150CB"/>
    <w:rsid w:val="00416D53"/>
    <w:rsid w:val="00423917"/>
    <w:rsid w:val="00425493"/>
    <w:rsid w:val="00425E0E"/>
    <w:rsid w:val="00430DC5"/>
    <w:rsid w:val="00432285"/>
    <w:rsid w:val="0043443E"/>
    <w:rsid w:val="00435B4D"/>
    <w:rsid w:val="00442519"/>
    <w:rsid w:val="00452207"/>
    <w:rsid w:val="00452303"/>
    <w:rsid w:val="00461A3F"/>
    <w:rsid w:val="00462845"/>
    <w:rsid w:val="0046313C"/>
    <w:rsid w:val="00463192"/>
    <w:rsid w:val="00471269"/>
    <w:rsid w:val="004712E4"/>
    <w:rsid w:val="00471517"/>
    <w:rsid w:val="00472B8E"/>
    <w:rsid w:val="00472E59"/>
    <w:rsid w:val="004741EE"/>
    <w:rsid w:val="00476A89"/>
    <w:rsid w:val="00483E9C"/>
    <w:rsid w:val="004842CB"/>
    <w:rsid w:val="00487DB9"/>
    <w:rsid w:val="00495347"/>
    <w:rsid w:val="00497848"/>
    <w:rsid w:val="00497F20"/>
    <w:rsid w:val="004A12B3"/>
    <w:rsid w:val="004A214D"/>
    <w:rsid w:val="004A2D10"/>
    <w:rsid w:val="004A31CA"/>
    <w:rsid w:val="004A428C"/>
    <w:rsid w:val="004B1758"/>
    <w:rsid w:val="004B46BF"/>
    <w:rsid w:val="004C075F"/>
    <w:rsid w:val="004C493F"/>
    <w:rsid w:val="004D138E"/>
    <w:rsid w:val="004D4A35"/>
    <w:rsid w:val="004D693B"/>
    <w:rsid w:val="004E056E"/>
    <w:rsid w:val="004E203B"/>
    <w:rsid w:val="004F1DA7"/>
    <w:rsid w:val="00500895"/>
    <w:rsid w:val="00502747"/>
    <w:rsid w:val="00504E41"/>
    <w:rsid w:val="00507B87"/>
    <w:rsid w:val="005174E8"/>
    <w:rsid w:val="005247BE"/>
    <w:rsid w:val="00526E0B"/>
    <w:rsid w:val="0053010F"/>
    <w:rsid w:val="005333C9"/>
    <w:rsid w:val="00535DAC"/>
    <w:rsid w:val="00540CDA"/>
    <w:rsid w:val="00540D3E"/>
    <w:rsid w:val="005504A1"/>
    <w:rsid w:val="00551AF5"/>
    <w:rsid w:val="00553336"/>
    <w:rsid w:val="00555E43"/>
    <w:rsid w:val="005566C4"/>
    <w:rsid w:val="00566058"/>
    <w:rsid w:val="005702A2"/>
    <w:rsid w:val="00574A72"/>
    <w:rsid w:val="00575D84"/>
    <w:rsid w:val="0057703E"/>
    <w:rsid w:val="00580FB4"/>
    <w:rsid w:val="00586FDA"/>
    <w:rsid w:val="00595191"/>
    <w:rsid w:val="00597809"/>
    <w:rsid w:val="005A1F1E"/>
    <w:rsid w:val="005C03CF"/>
    <w:rsid w:val="005C0807"/>
    <w:rsid w:val="005C5548"/>
    <w:rsid w:val="005C7AFC"/>
    <w:rsid w:val="005D012F"/>
    <w:rsid w:val="005D23A7"/>
    <w:rsid w:val="005D3FA3"/>
    <w:rsid w:val="005D5B59"/>
    <w:rsid w:val="005D650E"/>
    <w:rsid w:val="005D76E0"/>
    <w:rsid w:val="005D7B7A"/>
    <w:rsid w:val="005F1F50"/>
    <w:rsid w:val="005F2E61"/>
    <w:rsid w:val="005F3E07"/>
    <w:rsid w:val="00604D0E"/>
    <w:rsid w:val="00605DE8"/>
    <w:rsid w:val="00626D85"/>
    <w:rsid w:val="00627EA1"/>
    <w:rsid w:val="00632669"/>
    <w:rsid w:val="0063424E"/>
    <w:rsid w:val="00635280"/>
    <w:rsid w:val="0064017C"/>
    <w:rsid w:val="00641CC0"/>
    <w:rsid w:val="00644DB0"/>
    <w:rsid w:val="0065349A"/>
    <w:rsid w:val="006554FE"/>
    <w:rsid w:val="00656D5C"/>
    <w:rsid w:val="0066112B"/>
    <w:rsid w:val="00686046"/>
    <w:rsid w:val="00690B86"/>
    <w:rsid w:val="0069706E"/>
    <w:rsid w:val="006A6103"/>
    <w:rsid w:val="006B05E3"/>
    <w:rsid w:val="006B21DA"/>
    <w:rsid w:val="006C072E"/>
    <w:rsid w:val="006C454B"/>
    <w:rsid w:val="006C5672"/>
    <w:rsid w:val="006C6E68"/>
    <w:rsid w:val="006D08B2"/>
    <w:rsid w:val="006D518F"/>
    <w:rsid w:val="006D6353"/>
    <w:rsid w:val="006E1324"/>
    <w:rsid w:val="006E154C"/>
    <w:rsid w:val="006E18AE"/>
    <w:rsid w:val="006E5CCA"/>
    <w:rsid w:val="006E6E35"/>
    <w:rsid w:val="006F14EA"/>
    <w:rsid w:val="006F2AF5"/>
    <w:rsid w:val="006F6C2C"/>
    <w:rsid w:val="00711D1C"/>
    <w:rsid w:val="007130DD"/>
    <w:rsid w:val="00714DBA"/>
    <w:rsid w:val="00723B7C"/>
    <w:rsid w:val="007304E8"/>
    <w:rsid w:val="00732140"/>
    <w:rsid w:val="007357EC"/>
    <w:rsid w:val="00735C7F"/>
    <w:rsid w:val="00737D3B"/>
    <w:rsid w:val="00747B19"/>
    <w:rsid w:val="007537E0"/>
    <w:rsid w:val="00760700"/>
    <w:rsid w:val="00761EA2"/>
    <w:rsid w:val="00767732"/>
    <w:rsid w:val="00772BD6"/>
    <w:rsid w:val="0077778F"/>
    <w:rsid w:val="00777CF0"/>
    <w:rsid w:val="007909E7"/>
    <w:rsid w:val="00793687"/>
    <w:rsid w:val="00793738"/>
    <w:rsid w:val="007A4054"/>
    <w:rsid w:val="007A641F"/>
    <w:rsid w:val="007B1B72"/>
    <w:rsid w:val="007B2CEF"/>
    <w:rsid w:val="007B3582"/>
    <w:rsid w:val="007B44D8"/>
    <w:rsid w:val="007B66DB"/>
    <w:rsid w:val="007B6D27"/>
    <w:rsid w:val="007C32C3"/>
    <w:rsid w:val="007C6677"/>
    <w:rsid w:val="007D033E"/>
    <w:rsid w:val="007D28AF"/>
    <w:rsid w:val="007D3796"/>
    <w:rsid w:val="007E038D"/>
    <w:rsid w:val="007E19B1"/>
    <w:rsid w:val="007E4FAD"/>
    <w:rsid w:val="007F1B34"/>
    <w:rsid w:val="00800FD3"/>
    <w:rsid w:val="00802FA4"/>
    <w:rsid w:val="00803689"/>
    <w:rsid w:val="008116F0"/>
    <w:rsid w:val="00812D07"/>
    <w:rsid w:val="008131F8"/>
    <w:rsid w:val="0081394F"/>
    <w:rsid w:val="0081451B"/>
    <w:rsid w:val="008202FA"/>
    <w:rsid w:val="00821BD4"/>
    <w:rsid w:val="008267A7"/>
    <w:rsid w:val="00827D7C"/>
    <w:rsid w:val="00827DCA"/>
    <w:rsid w:val="00827DD9"/>
    <w:rsid w:val="00831EAC"/>
    <w:rsid w:val="0084205C"/>
    <w:rsid w:val="00847CEB"/>
    <w:rsid w:val="00850749"/>
    <w:rsid w:val="00850B68"/>
    <w:rsid w:val="0085184C"/>
    <w:rsid w:val="00852941"/>
    <w:rsid w:val="008540DA"/>
    <w:rsid w:val="0086272D"/>
    <w:rsid w:val="00863971"/>
    <w:rsid w:val="00870A40"/>
    <w:rsid w:val="00870F72"/>
    <w:rsid w:val="00871648"/>
    <w:rsid w:val="00877EF3"/>
    <w:rsid w:val="00881444"/>
    <w:rsid w:val="00884FA5"/>
    <w:rsid w:val="00890E09"/>
    <w:rsid w:val="00895F06"/>
    <w:rsid w:val="008A134A"/>
    <w:rsid w:val="008A4060"/>
    <w:rsid w:val="008B16D2"/>
    <w:rsid w:val="008B1C9E"/>
    <w:rsid w:val="008B37D2"/>
    <w:rsid w:val="008B4163"/>
    <w:rsid w:val="008B66AB"/>
    <w:rsid w:val="008C72A5"/>
    <w:rsid w:val="008D0395"/>
    <w:rsid w:val="008D295A"/>
    <w:rsid w:val="008D3E47"/>
    <w:rsid w:val="008D7489"/>
    <w:rsid w:val="008E0C70"/>
    <w:rsid w:val="008E2154"/>
    <w:rsid w:val="008F48D4"/>
    <w:rsid w:val="008F4E13"/>
    <w:rsid w:val="009018E5"/>
    <w:rsid w:val="009061B5"/>
    <w:rsid w:val="009075C1"/>
    <w:rsid w:val="00907EB4"/>
    <w:rsid w:val="00910D6B"/>
    <w:rsid w:val="00913CF2"/>
    <w:rsid w:val="00913CF9"/>
    <w:rsid w:val="00916C5C"/>
    <w:rsid w:val="00924BDF"/>
    <w:rsid w:val="00934809"/>
    <w:rsid w:val="009375E0"/>
    <w:rsid w:val="0094126B"/>
    <w:rsid w:val="00945D4C"/>
    <w:rsid w:val="00960C4F"/>
    <w:rsid w:val="00962869"/>
    <w:rsid w:val="00962C1F"/>
    <w:rsid w:val="00966E2A"/>
    <w:rsid w:val="0096731D"/>
    <w:rsid w:val="00974421"/>
    <w:rsid w:val="009812D6"/>
    <w:rsid w:val="00981ABD"/>
    <w:rsid w:val="0098536C"/>
    <w:rsid w:val="00986B6E"/>
    <w:rsid w:val="00990710"/>
    <w:rsid w:val="00990738"/>
    <w:rsid w:val="009914EB"/>
    <w:rsid w:val="00995A4D"/>
    <w:rsid w:val="0099763E"/>
    <w:rsid w:val="009A4B85"/>
    <w:rsid w:val="009A5EDB"/>
    <w:rsid w:val="009B6CB0"/>
    <w:rsid w:val="009C3216"/>
    <w:rsid w:val="009C6512"/>
    <w:rsid w:val="009C7C73"/>
    <w:rsid w:val="009E643C"/>
    <w:rsid w:val="009F1732"/>
    <w:rsid w:val="009F1C22"/>
    <w:rsid w:val="009F2B4D"/>
    <w:rsid w:val="009F5301"/>
    <w:rsid w:val="00A052F1"/>
    <w:rsid w:val="00A065C1"/>
    <w:rsid w:val="00A07EB0"/>
    <w:rsid w:val="00A111CD"/>
    <w:rsid w:val="00A16E00"/>
    <w:rsid w:val="00A22407"/>
    <w:rsid w:val="00A244E4"/>
    <w:rsid w:val="00A27A81"/>
    <w:rsid w:val="00A35994"/>
    <w:rsid w:val="00A3659D"/>
    <w:rsid w:val="00A372BE"/>
    <w:rsid w:val="00A40E64"/>
    <w:rsid w:val="00A429FB"/>
    <w:rsid w:val="00A45A01"/>
    <w:rsid w:val="00A467BF"/>
    <w:rsid w:val="00A51E90"/>
    <w:rsid w:val="00A539C7"/>
    <w:rsid w:val="00A6450C"/>
    <w:rsid w:val="00A67410"/>
    <w:rsid w:val="00A721CB"/>
    <w:rsid w:val="00A74156"/>
    <w:rsid w:val="00A81CB8"/>
    <w:rsid w:val="00A8421F"/>
    <w:rsid w:val="00A84273"/>
    <w:rsid w:val="00A8509B"/>
    <w:rsid w:val="00A901D3"/>
    <w:rsid w:val="00A90AA4"/>
    <w:rsid w:val="00A93496"/>
    <w:rsid w:val="00AA377E"/>
    <w:rsid w:val="00AA37D5"/>
    <w:rsid w:val="00AA3CC7"/>
    <w:rsid w:val="00AA460D"/>
    <w:rsid w:val="00AA7D99"/>
    <w:rsid w:val="00AB29F3"/>
    <w:rsid w:val="00AC0ED6"/>
    <w:rsid w:val="00AC2659"/>
    <w:rsid w:val="00AC4ED4"/>
    <w:rsid w:val="00AC5D10"/>
    <w:rsid w:val="00AD5067"/>
    <w:rsid w:val="00AD550C"/>
    <w:rsid w:val="00AD62B9"/>
    <w:rsid w:val="00AD67CE"/>
    <w:rsid w:val="00AE2DA5"/>
    <w:rsid w:val="00AE5FA6"/>
    <w:rsid w:val="00AE6A45"/>
    <w:rsid w:val="00AF1865"/>
    <w:rsid w:val="00AF51E0"/>
    <w:rsid w:val="00AF5BB9"/>
    <w:rsid w:val="00AF7FB2"/>
    <w:rsid w:val="00B01600"/>
    <w:rsid w:val="00B02CE8"/>
    <w:rsid w:val="00B12C66"/>
    <w:rsid w:val="00B22256"/>
    <w:rsid w:val="00B2272B"/>
    <w:rsid w:val="00B238CF"/>
    <w:rsid w:val="00B23F5D"/>
    <w:rsid w:val="00B25038"/>
    <w:rsid w:val="00B25F0F"/>
    <w:rsid w:val="00B32125"/>
    <w:rsid w:val="00B35959"/>
    <w:rsid w:val="00B412C5"/>
    <w:rsid w:val="00B42802"/>
    <w:rsid w:val="00B45E88"/>
    <w:rsid w:val="00B61752"/>
    <w:rsid w:val="00B63E3D"/>
    <w:rsid w:val="00B74497"/>
    <w:rsid w:val="00B75476"/>
    <w:rsid w:val="00B876D1"/>
    <w:rsid w:val="00B930B7"/>
    <w:rsid w:val="00B959F0"/>
    <w:rsid w:val="00BA197B"/>
    <w:rsid w:val="00BA48CD"/>
    <w:rsid w:val="00BB54CB"/>
    <w:rsid w:val="00BC03A1"/>
    <w:rsid w:val="00BC1063"/>
    <w:rsid w:val="00BC1968"/>
    <w:rsid w:val="00BC2D67"/>
    <w:rsid w:val="00BC35E7"/>
    <w:rsid w:val="00BC3920"/>
    <w:rsid w:val="00BC3E33"/>
    <w:rsid w:val="00BC5EEA"/>
    <w:rsid w:val="00BC678E"/>
    <w:rsid w:val="00BD3742"/>
    <w:rsid w:val="00BE05C6"/>
    <w:rsid w:val="00BE15C5"/>
    <w:rsid w:val="00BF1EE8"/>
    <w:rsid w:val="00BF2B8A"/>
    <w:rsid w:val="00BF5F42"/>
    <w:rsid w:val="00BF7440"/>
    <w:rsid w:val="00C01235"/>
    <w:rsid w:val="00C01ED0"/>
    <w:rsid w:val="00C024DB"/>
    <w:rsid w:val="00C04296"/>
    <w:rsid w:val="00C0630F"/>
    <w:rsid w:val="00C0775D"/>
    <w:rsid w:val="00C1322E"/>
    <w:rsid w:val="00C140EF"/>
    <w:rsid w:val="00C17A4D"/>
    <w:rsid w:val="00C23156"/>
    <w:rsid w:val="00C23F4E"/>
    <w:rsid w:val="00C32518"/>
    <w:rsid w:val="00C40B24"/>
    <w:rsid w:val="00C40B3D"/>
    <w:rsid w:val="00C430D2"/>
    <w:rsid w:val="00C434C8"/>
    <w:rsid w:val="00C440F4"/>
    <w:rsid w:val="00C524C9"/>
    <w:rsid w:val="00C57B2E"/>
    <w:rsid w:val="00C663C3"/>
    <w:rsid w:val="00C70367"/>
    <w:rsid w:val="00C7039F"/>
    <w:rsid w:val="00C70E94"/>
    <w:rsid w:val="00C74FDF"/>
    <w:rsid w:val="00C75B7E"/>
    <w:rsid w:val="00C77405"/>
    <w:rsid w:val="00C82460"/>
    <w:rsid w:val="00C84C70"/>
    <w:rsid w:val="00C927E2"/>
    <w:rsid w:val="00C9294A"/>
    <w:rsid w:val="00C92EB7"/>
    <w:rsid w:val="00C93889"/>
    <w:rsid w:val="00CA68D8"/>
    <w:rsid w:val="00CB4DF5"/>
    <w:rsid w:val="00CB6489"/>
    <w:rsid w:val="00CB75B7"/>
    <w:rsid w:val="00CD304E"/>
    <w:rsid w:val="00CD7675"/>
    <w:rsid w:val="00CE092B"/>
    <w:rsid w:val="00CE15F1"/>
    <w:rsid w:val="00CE629D"/>
    <w:rsid w:val="00CF1098"/>
    <w:rsid w:val="00CF3D29"/>
    <w:rsid w:val="00CF3D78"/>
    <w:rsid w:val="00CF53DA"/>
    <w:rsid w:val="00CF5D8C"/>
    <w:rsid w:val="00CF76B7"/>
    <w:rsid w:val="00D1247A"/>
    <w:rsid w:val="00D12C0C"/>
    <w:rsid w:val="00D23861"/>
    <w:rsid w:val="00D27E08"/>
    <w:rsid w:val="00D27E2F"/>
    <w:rsid w:val="00D34ED3"/>
    <w:rsid w:val="00D35E62"/>
    <w:rsid w:val="00D45375"/>
    <w:rsid w:val="00D5054D"/>
    <w:rsid w:val="00D55BC5"/>
    <w:rsid w:val="00D602BC"/>
    <w:rsid w:val="00D61E31"/>
    <w:rsid w:val="00D6624B"/>
    <w:rsid w:val="00D667E8"/>
    <w:rsid w:val="00D72C70"/>
    <w:rsid w:val="00D73CAE"/>
    <w:rsid w:val="00D83B55"/>
    <w:rsid w:val="00D91139"/>
    <w:rsid w:val="00D9252A"/>
    <w:rsid w:val="00D9461C"/>
    <w:rsid w:val="00DA020B"/>
    <w:rsid w:val="00DB4727"/>
    <w:rsid w:val="00DD2225"/>
    <w:rsid w:val="00DD3032"/>
    <w:rsid w:val="00DD3191"/>
    <w:rsid w:val="00DD66AA"/>
    <w:rsid w:val="00DD7B4B"/>
    <w:rsid w:val="00DE187B"/>
    <w:rsid w:val="00DE1FE1"/>
    <w:rsid w:val="00DF189F"/>
    <w:rsid w:val="00DF2EAB"/>
    <w:rsid w:val="00DF7765"/>
    <w:rsid w:val="00DF78E2"/>
    <w:rsid w:val="00E02A7D"/>
    <w:rsid w:val="00E202C3"/>
    <w:rsid w:val="00E20328"/>
    <w:rsid w:val="00E20F57"/>
    <w:rsid w:val="00E214CB"/>
    <w:rsid w:val="00E22E7A"/>
    <w:rsid w:val="00E2412C"/>
    <w:rsid w:val="00E326C1"/>
    <w:rsid w:val="00E33275"/>
    <w:rsid w:val="00E432F7"/>
    <w:rsid w:val="00E62BBC"/>
    <w:rsid w:val="00E65E35"/>
    <w:rsid w:val="00E72B9C"/>
    <w:rsid w:val="00E73510"/>
    <w:rsid w:val="00E73A20"/>
    <w:rsid w:val="00E74843"/>
    <w:rsid w:val="00E8184C"/>
    <w:rsid w:val="00E82868"/>
    <w:rsid w:val="00E91AB0"/>
    <w:rsid w:val="00E93DB2"/>
    <w:rsid w:val="00E94672"/>
    <w:rsid w:val="00E95A04"/>
    <w:rsid w:val="00EA0655"/>
    <w:rsid w:val="00EA1BA6"/>
    <w:rsid w:val="00EA264D"/>
    <w:rsid w:val="00EA3E28"/>
    <w:rsid w:val="00EA4A87"/>
    <w:rsid w:val="00EB10D9"/>
    <w:rsid w:val="00EB3290"/>
    <w:rsid w:val="00EB51A4"/>
    <w:rsid w:val="00EB59E0"/>
    <w:rsid w:val="00EB6209"/>
    <w:rsid w:val="00EC1E18"/>
    <w:rsid w:val="00EC238F"/>
    <w:rsid w:val="00EC2FBE"/>
    <w:rsid w:val="00EC3B9B"/>
    <w:rsid w:val="00EC417F"/>
    <w:rsid w:val="00ED1337"/>
    <w:rsid w:val="00ED20C8"/>
    <w:rsid w:val="00ED2E91"/>
    <w:rsid w:val="00ED40A9"/>
    <w:rsid w:val="00EE3B84"/>
    <w:rsid w:val="00EF1A11"/>
    <w:rsid w:val="00F0194B"/>
    <w:rsid w:val="00F027C8"/>
    <w:rsid w:val="00F14CC3"/>
    <w:rsid w:val="00F177EF"/>
    <w:rsid w:val="00F238EC"/>
    <w:rsid w:val="00F326D1"/>
    <w:rsid w:val="00F32A56"/>
    <w:rsid w:val="00F34E52"/>
    <w:rsid w:val="00F34FE6"/>
    <w:rsid w:val="00F35754"/>
    <w:rsid w:val="00F36E9D"/>
    <w:rsid w:val="00F478DD"/>
    <w:rsid w:val="00F635D7"/>
    <w:rsid w:val="00F65012"/>
    <w:rsid w:val="00F74098"/>
    <w:rsid w:val="00F76DD0"/>
    <w:rsid w:val="00F81823"/>
    <w:rsid w:val="00F81840"/>
    <w:rsid w:val="00F86A12"/>
    <w:rsid w:val="00F9457C"/>
    <w:rsid w:val="00F9662B"/>
    <w:rsid w:val="00F97844"/>
    <w:rsid w:val="00FA552D"/>
    <w:rsid w:val="00FB35A7"/>
    <w:rsid w:val="00FC006F"/>
    <w:rsid w:val="00FC0DC0"/>
    <w:rsid w:val="00FD1908"/>
    <w:rsid w:val="00FE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02A2E"/>
  <w15:docId w15:val="{60E0E96E-E38D-431E-8011-2CD9E93B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372"/>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1C7372"/>
    <w:pPr>
      <w:ind w:left="2160" w:hanging="720"/>
    </w:pPr>
  </w:style>
  <w:style w:type="paragraph" w:customStyle="1" w:styleId="Quick1">
    <w:name w:val="Quick 1."/>
    <w:basedOn w:val="Normal"/>
    <w:rsid w:val="001C7372"/>
    <w:pPr>
      <w:numPr>
        <w:numId w:val="1"/>
      </w:numPr>
      <w:ind w:left="1440" w:hanging="720"/>
    </w:pPr>
  </w:style>
  <w:style w:type="paragraph" w:customStyle="1" w:styleId="Quicka">
    <w:name w:val="Quick a."/>
    <w:basedOn w:val="Normal"/>
    <w:rsid w:val="001C7372"/>
    <w:pPr>
      <w:numPr>
        <w:numId w:val="3"/>
      </w:numPr>
      <w:ind w:left="2160" w:hanging="720"/>
    </w:pPr>
  </w:style>
  <w:style w:type="paragraph" w:styleId="BodyText">
    <w:name w:val="Body Text"/>
    <w:basedOn w:val="Normal"/>
    <w:link w:val="BodyTextChar"/>
    <w:uiPriority w:val="99"/>
    <w:rsid w:val="001C7372"/>
    <w:rPr>
      <w:szCs w:val="25"/>
    </w:rPr>
  </w:style>
  <w:style w:type="character" w:customStyle="1" w:styleId="BodyTextChar">
    <w:name w:val="Body Text Char"/>
    <w:link w:val="BodyText"/>
    <w:uiPriority w:val="99"/>
    <w:semiHidden/>
    <w:rsid w:val="00850FD7"/>
    <w:rPr>
      <w:sz w:val="24"/>
      <w:szCs w:val="24"/>
    </w:rPr>
  </w:style>
  <w:style w:type="paragraph" w:styleId="BodyTextIndent">
    <w:name w:val="Body Text Indent"/>
    <w:basedOn w:val="Normal"/>
    <w:link w:val="BodyTextIndentChar"/>
    <w:uiPriority w:val="99"/>
    <w:rsid w:val="001C7372"/>
    <w:pPr>
      <w:tabs>
        <w:tab w:val="left" w:pos="-1440"/>
      </w:tabs>
      <w:ind w:left="1440"/>
    </w:pPr>
    <w:rPr>
      <w:szCs w:val="25"/>
    </w:rPr>
  </w:style>
  <w:style w:type="character" w:customStyle="1" w:styleId="BodyTextIndentChar">
    <w:name w:val="Body Text Indent Char"/>
    <w:link w:val="BodyTextIndent"/>
    <w:uiPriority w:val="99"/>
    <w:semiHidden/>
    <w:rsid w:val="00850FD7"/>
    <w:rPr>
      <w:sz w:val="24"/>
      <w:szCs w:val="24"/>
    </w:rPr>
  </w:style>
  <w:style w:type="paragraph" w:styleId="Footer">
    <w:name w:val="footer"/>
    <w:basedOn w:val="Normal"/>
    <w:link w:val="FooterChar"/>
    <w:uiPriority w:val="99"/>
    <w:rsid w:val="001C7372"/>
    <w:pPr>
      <w:tabs>
        <w:tab w:val="center" w:pos="4320"/>
        <w:tab w:val="right" w:pos="8640"/>
      </w:tabs>
    </w:pPr>
  </w:style>
  <w:style w:type="character" w:customStyle="1" w:styleId="FooterChar">
    <w:name w:val="Footer Char"/>
    <w:link w:val="Footer"/>
    <w:uiPriority w:val="99"/>
    <w:semiHidden/>
    <w:rsid w:val="00850FD7"/>
    <w:rPr>
      <w:sz w:val="24"/>
      <w:szCs w:val="24"/>
    </w:rPr>
  </w:style>
  <w:style w:type="character" w:styleId="PageNumber">
    <w:name w:val="page number"/>
    <w:uiPriority w:val="99"/>
    <w:rsid w:val="001C7372"/>
    <w:rPr>
      <w:rFonts w:cs="Times New Roman"/>
    </w:rPr>
  </w:style>
  <w:style w:type="paragraph" w:styleId="BalloonText">
    <w:name w:val="Balloon Text"/>
    <w:basedOn w:val="Normal"/>
    <w:link w:val="BalloonTextChar"/>
    <w:uiPriority w:val="99"/>
    <w:semiHidden/>
    <w:rsid w:val="00091056"/>
    <w:rPr>
      <w:rFonts w:ascii="Tahoma" w:hAnsi="Tahoma" w:cs="Tahoma"/>
      <w:sz w:val="16"/>
      <w:szCs w:val="16"/>
    </w:rPr>
  </w:style>
  <w:style w:type="character" w:customStyle="1" w:styleId="BalloonTextChar">
    <w:name w:val="Balloon Text Char"/>
    <w:link w:val="BalloonText"/>
    <w:uiPriority w:val="99"/>
    <w:semiHidden/>
    <w:rsid w:val="00850FD7"/>
    <w:rPr>
      <w:sz w:val="0"/>
      <w:szCs w:val="0"/>
    </w:rPr>
  </w:style>
  <w:style w:type="character" w:styleId="Hyperlink">
    <w:name w:val="Hyperlink"/>
    <w:uiPriority w:val="99"/>
    <w:rsid w:val="00236DD8"/>
    <w:rPr>
      <w:rFonts w:cs="Times New Roman"/>
      <w:color w:val="0000FF"/>
      <w:u w:val="single"/>
    </w:rPr>
  </w:style>
  <w:style w:type="table" w:styleId="TableGrid">
    <w:name w:val="Table Grid"/>
    <w:basedOn w:val="TableNormal"/>
    <w:uiPriority w:val="59"/>
    <w:rsid w:val="0023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6DD8"/>
    <w:pPr>
      <w:tabs>
        <w:tab w:val="center" w:pos="4680"/>
        <w:tab w:val="right" w:pos="9360"/>
      </w:tabs>
    </w:pPr>
  </w:style>
  <w:style w:type="character" w:customStyle="1" w:styleId="HeaderChar">
    <w:name w:val="Header Char"/>
    <w:link w:val="Header"/>
    <w:uiPriority w:val="99"/>
    <w:locked/>
    <w:rsid w:val="00236DD8"/>
    <w:rPr>
      <w:rFonts w:cs="Times New Roman"/>
      <w:sz w:val="24"/>
      <w:szCs w:val="24"/>
    </w:rPr>
  </w:style>
  <w:style w:type="paragraph" w:styleId="ListParagraph">
    <w:name w:val="List Paragraph"/>
    <w:basedOn w:val="Normal"/>
    <w:uiPriority w:val="34"/>
    <w:qFormat/>
    <w:rsid w:val="000E29FE"/>
    <w:pPr>
      <w:ind w:left="720"/>
      <w:contextualSpacing/>
    </w:pPr>
  </w:style>
  <w:style w:type="paragraph" w:styleId="BodyTextIndent2">
    <w:name w:val="Body Text Indent 2"/>
    <w:basedOn w:val="Normal"/>
    <w:link w:val="BodyTextIndent2Char"/>
    <w:rsid w:val="008A4060"/>
    <w:pPr>
      <w:spacing w:after="120" w:line="480" w:lineRule="auto"/>
      <w:ind w:left="360"/>
    </w:pPr>
  </w:style>
  <w:style w:type="character" w:customStyle="1" w:styleId="BodyTextIndent2Char">
    <w:name w:val="Body Text Indent 2 Char"/>
    <w:link w:val="BodyTextIndent2"/>
    <w:rsid w:val="008A4060"/>
    <w:rPr>
      <w:sz w:val="24"/>
      <w:szCs w:val="24"/>
    </w:rPr>
  </w:style>
  <w:style w:type="character" w:styleId="CommentReference">
    <w:name w:val="annotation reference"/>
    <w:rsid w:val="00C04296"/>
    <w:rPr>
      <w:sz w:val="16"/>
      <w:szCs w:val="16"/>
    </w:rPr>
  </w:style>
  <w:style w:type="paragraph" w:styleId="CommentText">
    <w:name w:val="annotation text"/>
    <w:basedOn w:val="Normal"/>
    <w:link w:val="CommentTextChar"/>
    <w:rsid w:val="00C04296"/>
    <w:rPr>
      <w:sz w:val="20"/>
      <w:szCs w:val="20"/>
    </w:rPr>
  </w:style>
  <w:style w:type="character" w:customStyle="1" w:styleId="CommentTextChar">
    <w:name w:val="Comment Text Char"/>
    <w:basedOn w:val="DefaultParagraphFont"/>
    <w:link w:val="CommentText"/>
    <w:rsid w:val="00C04296"/>
  </w:style>
  <w:style w:type="paragraph" w:styleId="CommentSubject">
    <w:name w:val="annotation subject"/>
    <w:basedOn w:val="CommentText"/>
    <w:next w:val="CommentText"/>
    <w:link w:val="CommentSubjectChar"/>
    <w:rsid w:val="00C04296"/>
    <w:rPr>
      <w:b/>
      <w:bCs/>
    </w:rPr>
  </w:style>
  <w:style w:type="character" w:customStyle="1" w:styleId="CommentSubjectChar">
    <w:name w:val="Comment Subject Char"/>
    <w:link w:val="CommentSubject"/>
    <w:rsid w:val="00C04296"/>
    <w:rPr>
      <w:b/>
      <w:bCs/>
    </w:rPr>
  </w:style>
  <w:style w:type="character" w:styleId="FollowedHyperlink">
    <w:name w:val="FollowedHyperlink"/>
    <w:basedOn w:val="DefaultParagraphFont"/>
    <w:rsid w:val="00831EAC"/>
    <w:rPr>
      <w:color w:val="800080" w:themeColor="followedHyperlink"/>
      <w:u w:val="single"/>
    </w:rPr>
  </w:style>
  <w:style w:type="character" w:styleId="UnresolvedMention">
    <w:name w:val="Unresolved Mention"/>
    <w:basedOn w:val="DefaultParagraphFont"/>
    <w:uiPriority w:val="99"/>
    <w:semiHidden/>
    <w:unhideWhenUsed/>
    <w:rsid w:val="002B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404264">
      <w:bodyDiv w:val="1"/>
      <w:marLeft w:val="0"/>
      <w:marRight w:val="0"/>
      <w:marTop w:val="0"/>
      <w:marBottom w:val="0"/>
      <w:divBdr>
        <w:top w:val="none" w:sz="0" w:space="0" w:color="auto"/>
        <w:left w:val="none" w:sz="0" w:space="0" w:color="auto"/>
        <w:bottom w:val="none" w:sz="0" w:space="0" w:color="auto"/>
        <w:right w:val="none" w:sz="0" w:space="0" w:color="auto"/>
      </w:divBdr>
    </w:div>
    <w:div w:id="401952728">
      <w:bodyDiv w:val="1"/>
      <w:marLeft w:val="0"/>
      <w:marRight w:val="0"/>
      <w:marTop w:val="0"/>
      <w:marBottom w:val="0"/>
      <w:divBdr>
        <w:top w:val="none" w:sz="0" w:space="0" w:color="auto"/>
        <w:left w:val="none" w:sz="0" w:space="0" w:color="auto"/>
        <w:bottom w:val="none" w:sz="0" w:space="0" w:color="auto"/>
        <w:right w:val="none" w:sz="0" w:space="0" w:color="auto"/>
      </w:divBdr>
    </w:div>
    <w:div w:id="442967006">
      <w:bodyDiv w:val="1"/>
      <w:marLeft w:val="0"/>
      <w:marRight w:val="0"/>
      <w:marTop w:val="0"/>
      <w:marBottom w:val="0"/>
      <w:divBdr>
        <w:top w:val="none" w:sz="0" w:space="0" w:color="auto"/>
        <w:left w:val="none" w:sz="0" w:space="0" w:color="auto"/>
        <w:bottom w:val="none" w:sz="0" w:space="0" w:color="auto"/>
        <w:right w:val="none" w:sz="0" w:space="0" w:color="auto"/>
      </w:divBdr>
    </w:div>
    <w:div w:id="513883650">
      <w:bodyDiv w:val="1"/>
      <w:marLeft w:val="0"/>
      <w:marRight w:val="0"/>
      <w:marTop w:val="0"/>
      <w:marBottom w:val="0"/>
      <w:divBdr>
        <w:top w:val="none" w:sz="0" w:space="0" w:color="auto"/>
        <w:left w:val="none" w:sz="0" w:space="0" w:color="auto"/>
        <w:bottom w:val="none" w:sz="0" w:space="0" w:color="auto"/>
        <w:right w:val="none" w:sz="0" w:space="0" w:color="auto"/>
      </w:divBdr>
    </w:div>
    <w:div w:id="653414336">
      <w:bodyDiv w:val="1"/>
      <w:marLeft w:val="0"/>
      <w:marRight w:val="0"/>
      <w:marTop w:val="0"/>
      <w:marBottom w:val="0"/>
      <w:divBdr>
        <w:top w:val="none" w:sz="0" w:space="0" w:color="auto"/>
        <w:left w:val="none" w:sz="0" w:space="0" w:color="auto"/>
        <w:bottom w:val="none" w:sz="0" w:space="0" w:color="auto"/>
        <w:right w:val="none" w:sz="0" w:space="0" w:color="auto"/>
      </w:divBdr>
    </w:div>
    <w:div w:id="718943478">
      <w:bodyDiv w:val="1"/>
      <w:marLeft w:val="0"/>
      <w:marRight w:val="0"/>
      <w:marTop w:val="0"/>
      <w:marBottom w:val="0"/>
      <w:divBdr>
        <w:top w:val="none" w:sz="0" w:space="0" w:color="auto"/>
        <w:left w:val="none" w:sz="0" w:space="0" w:color="auto"/>
        <w:bottom w:val="none" w:sz="0" w:space="0" w:color="auto"/>
        <w:right w:val="none" w:sz="0" w:space="0" w:color="auto"/>
      </w:divBdr>
    </w:div>
    <w:div w:id="1053775961">
      <w:bodyDiv w:val="1"/>
      <w:marLeft w:val="0"/>
      <w:marRight w:val="0"/>
      <w:marTop w:val="0"/>
      <w:marBottom w:val="0"/>
      <w:divBdr>
        <w:top w:val="none" w:sz="0" w:space="0" w:color="auto"/>
        <w:left w:val="none" w:sz="0" w:space="0" w:color="auto"/>
        <w:bottom w:val="none" w:sz="0" w:space="0" w:color="auto"/>
        <w:right w:val="none" w:sz="0" w:space="0" w:color="auto"/>
      </w:divBdr>
    </w:div>
    <w:div w:id="1230730338">
      <w:bodyDiv w:val="1"/>
      <w:marLeft w:val="0"/>
      <w:marRight w:val="0"/>
      <w:marTop w:val="0"/>
      <w:marBottom w:val="0"/>
      <w:divBdr>
        <w:top w:val="none" w:sz="0" w:space="0" w:color="auto"/>
        <w:left w:val="none" w:sz="0" w:space="0" w:color="auto"/>
        <w:bottom w:val="none" w:sz="0" w:space="0" w:color="auto"/>
        <w:right w:val="none" w:sz="0" w:space="0" w:color="auto"/>
      </w:divBdr>
      <w:divsChild>
        <w:div w:id="1976715842">
          <w:marLeft w:val="0"/>
          <w:marRight w:val="0"/>
          <w:marTop w:val="0"/>
          <w:marBottom w:val="0"/>
          <w:divBdr>
            <w:top w:val="none" w:sz="0" w:space="0" w:color="auto"/>
            <w:left w:val="none" w:sz="0" w:space="0" w:color="auto"/>
            <w:bottom w:val="none" w:sz="0" w:space="0" w:color="auto"/>
            <w:right w:val="none" w:sz="0" w:space="0" w:color="auto"/>
          </w:divBdr>
        </w:div>
        <w:div w:id="1675646495">
          <w:marLeft w:val="0"/>
          <w:marRight w:val="0"/>
          <w:marTop w:val="0"/>
          <w:marBottom w:val="0"/>
          <w:divBdr>
            <w:top w:val="none" w:sz="0" w:space="0" w:color="auto"/>
            <w:left w:val="none" w:sz="0" w:space="0" w:color="auto"/>
            <w:bottom w:val="none" w:sz="0" w:space="0" w:color="auto"/>
            <w:right w:val="none" w:sz="0" w:space="0" w:color="auto"/>
          </w:divBdr>
        </w:div>
        <w:div w:id="184951968">
          <w:marLeft w:val="0"/>
          <w:marRight w:val="0"/>
          <w:marTop w:val="0"/>
          <w:marBottom w:val="0"/>
          <w:divBdr>
            <w:top w:val="none" w:sz="0" w:space="0" w:color="auto"/>
            <w:left w:val="none" w:sz="0" w:space="0" w:color="auto"/>
            <w:bottom w:val="none" w:sz="0" w:space="0" w:color="auto"/>
            <w:right w:val="none" w:sz="0" w:space="0" w:color="auto"/>
          </w:divBdr>
        </w:div>
        <w:div w:id="424811150">
          <w:marLeft w:val="0"/>
          <w:marRight w:val="0"/>
          <w:marTop w:val="0"/>
          <w:marBottom w:val="0"/>
          <w:divBdr>
            <w:top w:val="none" w:sz="0" w:space="0" w:color="auto"/>
            <w:left w:val="none" w:sz="0" w:space="0" w:color="auto"/>
            <w:bottom w:val="none" w:sz="0" w:space="0" w:color="auto"/>
            <w:right w:val="none" w:sz="0" w:space="0" w:color="auto"/>
          </w:divBdr>
        </w:div>
      </w:divsChild>
    </w:div>
    <w:div w:id="1549797915">
      <w:bodyDiv w:val="1"/>
      <w:marLeft w:val="0"/>
      <w:marRight w:val="0"/>
      <w:marTop w:val="0"/>
      <w:marBottom w:val="0"/>
      <w:divBdr>
        <w:top w:val="none" w:sz="0" w:space="0" w:color="auto"/>
        <w:left w:val="none" w:sz="0" w:space="0" w:color="auto"/>
        <w:bottom w:val="none" w:sz="0" w:space="0" w:color="auto"/>
        <w:right w:val="none" w:sz="0" w:space="0" w:color="auto"/>
      </w:divBdr>
    </w:div>
    <w:div w:id="1555311499">
      <w:bodyDiv w:val="1"/>
      <w:marLeft w:val="0"/>
      <w:marRight w:val="0"/>
      <w:marTop w:val="0"/>
      <w:marBottom w:val="0"/>
      <w:divBdr>
        <w:top w:val="none" w:sz="0" w:space="0" w:color="auto"/>
        <w:left w:val="none" w:sz="0" w:space="0" w:color="auto"/>
        <w:bottom w:val="none" w:sz="0" w:space="0" w:color="auto"/>
        <w:right w:val="none" w:sz="0" w:space="0" w:color="auto"/>
      </w:divBdr>
    </w:div>
    <w:div w:id="1573193578">
      <w:bodyDiv w:val="1"/>
      <w:marLeft w:val="0"/>
      <w:marRight w:val="0"/>
      <w:marTop w:val="0"/>
      <w:marBottom w:val="0"/>
      <w:divBdr>
        <w:top w:val="none" w:sz="0" w:space="0" w:color="auto"/>
        <w:left w:val="none" w:sz="0" w:space="0" w:color="auto"/>
        <w:bottom w:val="none" w:sz="0" w:space="0" w:color="auto"/>
        <w:right w:val="none" w:sz="0" w:space="0" w:color="auto"/>
      </w:divBdr>
    </w:div>
    <w:div w:id="1636596376">
      <w:bodyDiv w:val="1"/>
      <w:marLeft w:val="0"/>
      <w:marRight w:val="0"/>
      <w:marTop w:val="0"/>
      <w:marBottom w:val="0"/>
      <w:divBdr>
        <w:top w:val="none" w:sz="0" w:space="0" w:color="auto"/>
        <w:left w:val="none" w:sz="0" w:space="0" w:color="auto"/>
        <w:bottom w:val="none" w:sz="0" w:space="0" w:color="auto"/>
        <w:right w:val="none" w:sz="0" w:space="0" w:color="auto"/>
      </w:divBdr>
    </w:div>
    <w:div w:id="1686588809">
      <w:bodyDiv w:val="1"/>
      <w:marLeft w:val="0"/>
      <w:marRight w:val="0"/>
      <w:marTop w:val="0"/>
      <w:marBottom w:val="0"/>
      <w:divBdr>
        <w:top w:val="none" w:sz="0" w:space="0" w:color="auto"/>
        <w:left w:val="none" w:sz="0" w:space="0" w:color="auto"/>
        <w:bottom w:val="none" w:sz="0" w:space="0" w:color="auto"/>
        <w:right w:val="none" w:sz="0" w:space="0" w:color="auto"/>
      </w:divBdr>
    </w:div>
    <w:div w:id="1712606572">
      <w:bodyDiv w:val="1"/>
      <w:marLeft w:val="0"/>
      <w:marRight w:val="0"/>
      <w:marTop w:val="0"/>
      <w:marBottom w:val="0"/>
      <w:divBdr>
        <w:top w:val="none" w:sz="0" w:space="0" w:color="auto"/>
        <w:left w:val="none" w:sz="0" w:space="0" w:color="auto"/>
        <w:bottom w:val="none" w:sz="0" w:space="0" w:color="auto"/>
        <w:right w:val="none" w:sz="0" w:space="0" w:color="auto"/>
      </w:divBdr>
    </w:div>
    <w:div w:id="1786386507">
      <w:bodyDiv w:val="1"/>
      <w:marLeft w:val="0"/>
      <w:marRight w:val="0"/>
      <w:marTop w:val="0"/>
      <w:marBottom w:val="0"/>
      <w:divBdr>
        <w:top w:val="none" w:sz="0" w:space="0" w:color="auto"/>
        <w:left w:val="none" w:sz="0" w:space="0" w:color="auto"/>
        <w:bottom w:val="none" w:sz="0" w:space="0" w:color="auto"/>
        <w:right w:val="none" w:sz="0" w:space="0" w:color="auto"/>
      </w:divBdr>
    </w:div>
    <w:div w:id="1881897571">
      <w:bodyDiv w:val="1"/>
      <w:marLeft w:val="0"/>
      <w:marRight w:val="0"/>
      <w:marTop w:val="0"/>
      <w:marBottom w:val="0"/>
      <w:divBdr>
        <w:top w:val="none" w:sz="0" w:space="0" w:color="auto"/>
        <w:left w:val="none" w:sz="0" w:space="0" w:color="auto"/>
        <w:bottom w:val="none" w:sz="0" w:space="0" w:color="auto"/>
        <w:right w:val="none" w:sz="0" w:space="0" w:color="auto"/>
      </w:divBdr>
    </w:div>
    <w:div w:id="2011784381">
      <w:bodyDiv w:val="1"/>
      <w:marLeft w:val="0"/>
      <w:marRight w:val="0"/>
      <w:marTop w:val="0"/>
      <w:marBottom w:val="0"/>
      <w:divBdr>
        <w:top w:val="none" w:sz="0" w:space="0" w:color="auto"/>
        <w:left w:val="none" w:sz="0" w:space="0" w:color="auto"/>
        <w:bottom w:val="none" w:sz="0" w:space="0" w:color="auto"/>
        <w:right w:val="none" w:sz="0" w:space="0" w:color="auto"/>
      </w:divBdr>
    </w:div>
    <w:div w:id="2020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1Tables/html/RUS_h.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4314-4072-4105-AFAA-124E078B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18</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Introduction</vt:lpstr>
    </vt:vector>
  </TitlesOfParts>
  <Company>OSM</Company>
  <LinksUpToDate>false</LinksUpToDate>
  <CharactersWithSpaces>38031</CharactersWithSpaces>
  <SharedDoc>false</SharedDoc>
  <HLinks>
    <vt:vector size="30" baseType="variant">
      <vt:variant>
        <vt:i4>1900546</vt:i4>
      </vt:variant>
      <vt:variant>
        <vt:i4>27</vt:i4>
      </vt:variant>
      <vt:variant>
        <vt:i4>0</vt:i4>
      </vt:variant>
      <vt:variant>
        <vt:i4>5</vt:i4>
      </vt:variant>
      <vt:variant>
        <vt:lpwstr>http://www.bls.gov/news.release/pdf/ecec.pdf</vt:lpwstr>
      </vt:variant>
      <vt:variant>
        <vt:lpwstr/>
      </vt:variant>
      <vt:variant>
        <vt:i4>2490397</vt:i4>
      </vt:variant>
      <vt:variant>
        <vt:i4>24</vt:i4>
      </vt:variant>
      <vt:variant>
        <vt:i4>0</vt:i4>
      </vt:variant>
      <vt:variant>
        <vt:i4>5</vt:i4>
      </vt:variant>
      <vt:variant>
        <vt:lpwstr>http://www.opm.gov/oca/11tables/html/gs_h.asp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kathryn otoole</dc:creator>
  <cp:lastModifiedBy>Gehlhar, Mark J</cp:lastModifiedBy>
  <cp:revision>16</cp:revision>
  <cp:lastPrinted>2021-03-26T12:30:00Z</cp:lastPrinted>
  <dcterms:created xsi:type="dcterms:W3CDTF">2021-03-26T18:07:00Z</dcterms:created>
  <dcterms:modified xsi:type="dcterms:W3CDTF">2021-03-29T19:26:00Z</dcterms:modified>
</cp:coreProperties>
</file>