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FA" w:rsidRDefault="00AB39FA">
      <w:pPr>
        <w:pStyle w:val="BodyText"/>
        <w:spacing w:before="3"/>
        <w:rPr>
          <w:sz w:val="10"/>
        </w:rPr>
      </w:pPr>
    </w:p>
    <w:p w:rsidR="00AB39FA" w:rsidRDefault="00BE55E4">
      <w:pPr>
        <w:pStyle w:val="BodyText"/>
        <w:spacing w:before="90"/>
        <w:ind w:left="833" w:right="836"/>
        <w:jc w:val="center"/>
      </w:pPr>
      <w:r>
        <w:t xml:space="preserve">DEPARTMENT OF JUSTICE </w:t>
      </w:r>
    </w:p>
    <w:p w:rsidR="00AB39FA" w:rsidP="002E7C0D" w:rsidRDefault="00BE55E4">
      <w:pPr>
        <w:pStyle w:val="BodyText"/>
        <w:ind w:left="835" w:right="836"/>
        <w:jc w:val="center"/>
      </w:pPr>
      <w:r>
        <w:t xml:space="preserve">BUREAU OF ALCOHOL, TOBACCO, FIREARMS AND EXPLOSIVES </w:t>
      </w:r>
    </w:p>
    <w:p w:rsidR="00AB39FA" w:rsidRDefault="00BE55E4">
      <w:pPr>
        <w:pStyle w:val="BodyText"/>
        <w:ind w:left="3182" w:right="3183"/>
        <w:jc w:val="center"/>
      </w:pPr>
      <w:r>
        <w:t xml:space="preserve">Supporting Statement OMB 1140-0096 </w:t>
      </w:r>
    </w:p>
    <w:p w:rsidR="00AB39FA" w:rsidP="00761FB8" w:rsidRDefault="00BE55E4">
      <w:pPr>
        <w:pStyle w:val="BodyText"/>
        <w:ind w:left="1620" w:right="570" w:hanging="720"/>
        <w:jc w:val="center"/>
      </w:pPr>
      <w:r>
        <w:t>Environmental Information</w:t>
      </w:r>
      <w:r w:rsidR="00A90DEB">
        <w:t xml:space="preserve"> - </w:t>
      </w:r>
      <w:r>
        <w:t>ATF F</w:t>
      </w:r>
      <w:r w:rsidR="00322347">
        <w:t>orm</w:t>
      </w:r>
      <w:r>
        <w:t xml:space="preserve"> 5000.29</w:t>
      </w:r>
    </w:p>
    <w:p w:rsidRPr="009D41C9" w:rsidR="00AB39FA" w:rsidP="00761FB8" w:rsidRDefault="00F1319F">
      <w:pPr>
        <w:pStyle w:val="BodyText"/>
        <w:numPr>
          <w:ilvl w:val="0"/>
          <w:numId w:val="2"/>
        </w:numPr>
        <w:spacing w:before="360"/>
        <w:ind w:left="259" w:hanging="446"/>
        <w:rPr>
          <w:b/>
          <w:u w:val="single"/>
        </w:rPr>
      </w:pPr>
      <w:r w:rsidRPr="009D41C9">
        <w:rPr>
          <w:b/>
        </w:rPr>
        <w:t xml:space="preserve">  </w:t>
      </w:r>
      <w:r w:rsidRPr="009D41C9" w:rsidR="00BE55E4">
        <w:rPr>
          <w:b/>
          <w:u w:val="single"/>
        </w:rPr>
        <w:t>Justification</w:t>
      </w:r>
    </w:p>
    <w:p w:rsidR="00AB39FA" w:rsidRDefault="00AB39FA">
      <w:pPr>
        <w:pStyle w:val="BodyText"/>
      </w:pPr>
    </w:p>
    <w:p w:rsidR="00AB39FA" w:rsidRDefault="00BE55E4">
      <w:pPr>
        <w:pStyle w:val="ListParagraph"/>
        <w:numPr>
          <w:ilvl w:val="0"/>
          <w:numId w:val="1"/>
        </w:numPr>
        <w:tabs>
          <w:tab w:val="left" w:pos="839"/>
          <w:tab w:val="left" w:pos="840"/>
        </w:tabs>
        <w:ind w:right="198"/>
        <w:jc w:val="left"/>
        <w:rPr>
          <w:sz w:val="24"/>
        </w:rPr>
      </w:pPr>
      <w:r>
        <w:rPr>
          <w:sz w:val="24"/>
        </w:rPr>
        <w:t>A person engaged in the business of manufacturing explosives is required to have a license under the provisions of 18 U.S.C</w:t>
      </w:r>
      <w:r w:rsidR="00A41413">
        <w:rPr>
          <w:sz w:val="24"/>
        </w:rPr>
        <w:t>. §</w:t>
      </w:r>
      <w:r>
        <w:rPr>
          <w:sz w:val="24"/>
        </w:rPr>
        <w:t xml:space="preserve"> 8</w:t>
      </w:r>
      <w:bookmarkStart w:name="_GoBack" w:id="0"/>
      <w:bookmarkEnd w:id="0"/>
      <w:r>
        <w:rPr>
          <w:sz w:val="24"/>
        </w:rPr>
        <w:t>43. The application process involves submission</w:t>
      </w:r>
      <w:r>
        <w:rPr>
          <w:spacing w:val="-5"/>
          <w:sz w:val="24"/>
        </w:rPr>
        <w:t xml:space="preserve"> </w:t>
      </w:r>
      <w:r>
        <w:rPr>
          <w:sz w:val="24"/>
        </w:rPr>
        <w:t>of</w:t>
      </w:r>
      <w:r w:rsidR="00A41413">
        <w:rPr>
          <w:sz w:val="24"/>
        </w:rPr>
        <w:t xml:space="preserve"> the Application</w:t>
      </w:r>
      <w:r w:rsidR="00A41413">
        <w:rPr>
          <w:spacing w:val="-7"/>
          <w:sz w:val="24"/>
        </w:rPr>
        <w:t xml:space="preserve"> </w:t>
      </w:r>
      <w:r w:rsidR="00A41413">
        <w:rPr>
          <w:sz w:val="24"/>
        </w:rPr>
        <w:t>f</w:t>
      </w:r>
      <w:r w:rsidR="00A41413">
        <w:rPr>
          <w:spacing w:val="-32"/>
          <w:sz w:val="24"/>
        </w:rPr>
        <w:t xml:space="preserve"> </w:t>
      </w:r>
      <w:r w:rsidR="00A41413">
        <w:rPr>
          <w:sz w:val="24"/>
        </w:rPr>
        <w:t>or</w:t>
      </w:r>
      <w:r w:rsidR="00A41413">
        <w:rPr>
          <w:spacing w:val="-6"/>
          <w:sz w:val="24"/>
        </w:rPr>
        <w:t xml:space="preserve"> </w:t>
      </w:r>
      <w:r w:rsidR="00A41413">
        <w:rPr>
          <w:sz w:val="24"/>
        </w:rPr>
        <w:t>Explosive</w:t>
      </w:r>
      <w:r w:rsidR="00A41413">
        <w:rPr>
          <w:spacing w:val="-6"/>
          <w:sz w:val="24"/>
        </w:rPr>
        <w:t xml:space="preserve"> </w:t>
      </w:r>
      <w:r w:rsidR="00A41413">
        <w:rPr>
          <w:sz w:val="24"/>
        </w:rPr>
        <w:t>License</w:t>
      </w:r>
      <w:r w:rsidR="00A41413">
        <w:rPr>
          <w:spacing w:val="-5"/>
          <w:sz w:val="24"/>
        </w:rPr>
        <w:t xml:space="preserve"> </w:t>
      </w:r>
      <w:r w:rsidR="00A41413">
        <w:rPr>
          <w:sz w:val="24"/>
        </w:rPr>
        <w:t>or</w:t>
      </w:r>
      <w:r w:rsidR="00A41413">
        <w:rPr>
          <w:spacing w:val="-6"/>
          <w:sz w:val="24"/>
        </w:rPr>
        <w:t xml:space="preserve"> </w:t>
      </w:r>
      <w:r w:rsidR="00A41413">
        <w:rPr>
          <w:sz w:val="24"/>
        </w:rPr>
        <w:t xml:space="preserve">Permit </w:t>
      </w:r>
      <w:r w:rsidR="00A41413">
        <w:rPr>
          <w:spacing w:val="-6"/>
          <w:sz w:val="24"/>
        </w:rPr>
        <w:t xml:space="preserve">- </w:t>
      </w:r>
      <w:r>
        <w:rPr>
          <w:sz w:val="24"/>
        </w:rPr>
        <w:t>ATF</w:t>
      </w:r>
      <w:r>
        <w:rPr>
          <w:spacing w:val="-7"/>
          <w:sz w:val="24"/>
        </w:rPr>
        <w:t xml:space="preserve"> </w:t>
      </w:r>
      <w:r>
        <w:rPr>
          <w:sz w:val="24"/>
        </w:rPr>
        <w:t>F</w:t>
      </w:r>
      <w:r w:rsidR="00322347">
        <w:rPr>
          <w:sz w:val="24"/>
        </w:rPr>
        <w:t>orm</w:t>
      </w:r>
      <w:r>
        <w:rPr>
          <w:spacing w:val="-6"/>
          <w:sz w:val="24"/>
        </w:rPr>
        <w:t xml:space="preserve"> </w:t>
      </w:r>
      <w:r>
        <w:rPr>
          <w:sz w:val="24"/>
        </w:rPr>
        <w:t>5400.13/16</w:t>
      </w:r>
      <w:r w:rsidR="00322347">
        <w:rPr>
          <w:sz w:val="24"/>
        </w:rPr>
        <w:t>,</w:t>
      </w:r>
      <w:r w:rsidR="00580067">
        <w:rPr>
          <w:sz w:val="24"/>
        </w:rPr>
        <w:t xml:space="preserve"> </w:t>
      </w:r>
      <w:r w:rsidR="006207BF">
        <w:rPr>
          <w:sz w:val="24"/>
        </w:rPr>
        <w:t>which is used</w:t>
      </w:r>
      <w:r>
        <w:rPr>
          <w:sz w:val="24"/>
        </w:rPr>
        <w:t xml:space="preserve"> to determine if criteria established under statutory authority</w:t>
      </w:r>
      <w:r w:rsidR="00322347">
        <w:rPr>
          <w:sz w:val="24"/>
        </w:rPr>
        <w:t>,</w:t>
      </w:r>
      <w:r>
        <w:rPr>
          <w:sz w:val="24"/>
        </w:rPr>
        <w:t xml:space="preserve"> are met </w:t>
      </w:r>
      <w:r>
        <w:rPr>
          <w:spacing w:val="-3"/>
          <w:sz w:val="24"/>
        </w:rPr>
        <w:t xml:space="preserve">by </w:t>
      </w:r>
      <w:r>
        <w:rPr>
          <w:spacing w:val="-5"/>
          <w:sz w:val="24"/>
        </w:rPr>
        <w:t xml:space="preserve">the </w:t>
      </w:r>
      <w:r>
        <w:rPr>
          <w:sz w:val="24"/>
        </w:rPr>
        <w:t>applicant. In addition, the National Environmental Policy Act, 42 U</w:t>
      </w:r>
      <w:r w:rsidR="00A41413">
        <w:rPr>
          <w:sz w:val="24"/>
        </w:rPr>
        <w:t>.</w:t>
      </w:r>
      <w:r>
        <w:rPr>
          <w:sz w:val="24"/>
        </w:rPr>
        <w:t>S</w:t>
      </w:r>
      <w:r w:rsidR="00A41413">
        <w:rPr>
          <w:sz w:val="24"/>
        </w:rPr>
        <w:t>.</w:t>
      </w:r>
      <w:r>
        <w:rPr>
          <w:sz w:val="24"/>
        </w:rPr>
        <w:t>C</w:t>
      </w:r>
      <w:r w:rsidR="00A41413">
        <w:rPr>
          <w:sz w:val="24"/>
        </w:rPr>
        <w:t>.</w:t>
      </w:r>
      <w:r>
        <w:rPr>
          <w:sz w:val="24"/>
        </w:rPr>
        <w:t xml:space="preserve"> Chapter 55, authorizes the execution of Environmental Information - ATF F</w:t>
      </w:r>
      <w:r w:rsidR="00D5392A">
        <w:rPr>
          <w:sz w:val="24"/>
        </w:rPr>
        <w:t>orm</w:t>
      </w:r>
      <w:r>
        <w:rPr>
          <w:sz w:val="24"/>
        </w:rPr>
        <w:t xml:space="preserve"> 5000.29, during the application process, in order to ensure compliance with the</w:t>
      </w:r>
      <w:r>
        <w:rPr>
          <w:spacing w:val="-18"/>
          <w:sz w:val="24"/>
        </w:rPr>
        <w:t xml:space="preserve"> </w:t>
      </w:r>
      <w:r>
        <w:rPr>
          <w:sz w:val="24"/>
        </w:rPr>
        <w:t>Act.</w:t>
      </w:r>
    </w:p>
    <w:p w:rsidR="00AB39FA" w:rsidRDefault="00AB39FA">
      <w:pPr>
        <w:pStyle w:val="BodyText"/>
      </w:pPr>
    </w:p>
    <w:p w:rsidR="00AB39FA" w:rsidRDefault="00BE55E4">
      <w:pPr>
        <w:pStyle w:val="ListParagraph"/>
        <w:numPr>
          <w:ilvl w:val="0"/>
          <w:numId w:val="1"/>
        </w:numPr>
        <w:tabs>
          <w:tab w:val="left" w:pos="839"/>
          <w:tab w:val="left" w:pos="840"/>
        </w:tabs>
        <w:ind w:left="839" w:right="138"/>
        <w:jc w:val="left"/>
        <w:rPr>
          <w:sz w:val="24"/>
        </w:rPr>
      </w:pPr>
      <w:r>
        <w:rPr>
          <w:sz w:val="24"/>
        </w:rPr>
        <w:t>The data provided by the applicant on ATF F</w:t>
      </w:r>
      <w:r w:rsidR="00D5392A">
        <w:rPr>
          <w:sz w:val="24"/>
        </w:rPr>
        <w:t>orm</w:t>
      </w:r>
      <w:r w:rsidR="00A41413">
        <w:rPr>
          <w:sz w:val="24"/>
        </w:rPr>
        <w:t xml:space="preserve"> 5000.29 </w:t>
      </w:r>
      <w:r>
        <w:rPr>
          <w:sz w:val="24"/>
        </w:rPr>
        <w:t xml:space="preserve">allows ATF to identify any waste product(s) generated </w:t>
      </w:r>
      <w:r w:rsidR="00D5392A">
        <w:rPr>
          <w:sz w:val="24"/>
        </w:rPr>
        <w:t xml:space="preserve">from </w:t>
      </w:r>
      <w:r>
        <w:rPr>
          <w:sz w:val="24"/>
        </w:rPr>
        <w:t>the operations by the applicant and the disposal of the</w:t>
      </w:r>
      <w:r w:rsidR="00D5392A">
        <w:rPr>
          <w:sz w:val="24"/>
        </w:rPr>
        <w:t>se</w:t>
      </w:r>
      <w:r>
        <w:rPr>
          <w:sz w:val="24"/>
        </w:rPr>
        <w:t xml:space="preserve"> products. The information is then reviewed in order to determine if there is any adverse impact on the environment. Information may be disclosed to other Federal, State and local law enforcement and regulatory personnel, to verify information on the form</w:t>
      </w:r>
      <w:r w:rsidR="00A41413">
        <w:rPr>
          <w:sz w:val="24"/>
        </w:rPr>
        <w:t>,</w:t>
      </w:r>
      <w:r>
        <w:rPr>
          <w:sz w:val="24"/>
        </w:rPr>
        <w:t xml:space="preserve"> and to </w:t>
      </w:r>
      <w:r>
        <w:rPr>
          <w:spacing w:val="-4"/>
          <w:sz w:val="24"/>
        </w:rPr>
        <w:t xml:space="preserve">aid </w:t>
      </w:r>
      <w:r>
        <w:rPr>
          <w:sz w:val="24"/>
        </w:rPr>
        <w:t>in the enforcement of environmental</w:t>
      </w:r>
      <w:r>
        <w:rPr>
          <w:spacing w:val="-3"/>
          <w:sz w:val="24"/>
        </w:rPr>
        <w:t xml:space="preserve"> </w:t>
      </w:r>
      <w:r>
        <w:rPr>
          <w:sz w:val="24"/>
        </w:rPr>
        <w:t>laws.</w:t>
      </w:r>
    </w:p>
    <w:p w:rsidR="00AB39FA" w:rsidRDefault="00AB39FA">
      <w:pPr>
        <w:pStyle w:val="BodyText"/>
      </w:pPr>
    </w:p>
    <w:p w:rsidR="00AB39FA" w:rsidRDefault="00BE55E4">
      <w:pPr>
        <w:pStyle w:val="ListParagraph"/>
        <w:numPr>
          <w:ilvl w:val="0"/>
          <w:numId w:val="1"/>
        </w:numPr>
        <w:tabs>
          <w:tab w:val="left" w:pos="839"/>
          <w:tab w:val="left" w:pos="840"/>
        </w:tabs>
        <w:ind w:left="839" w:right="120"/>
        <w:jc w:val="left"/>
        <w:rPr>
          <w:sz w:val="24"/>
        </w:rPr>
      </w:pPr>
      <w:r>
        <w:rPr>
          <w:sz w:val="24"/>
        </w:rPr>
        <w:t xml:space="preserve">Although </w:t>
      </w:r>
      <w:r w:rsidRPr="00D5392A" w:rsidR="00D5392A">
        <w:rPr>
          <w:sz w:val="24"/>
        </w:rPr>
        <w:t>ATF Form 5000.29</w:t>
      </w:r>
      <w:r>
        <w:rPr>
          <w:sz w:val="24"/>
        </w:rPr>
        <w:t xml:space="preserve"> is included in the explosives application packet, there is no regulation or requirement that a Federal Explosives Licensee (FEL) must </w:t>
      </w:r>
      <w:r w:rsidR="00D5392A">
        <w:rPr>
          <w:sz w:val="24"/>
        </w:rPr>
        <w:t>complete it</w:t>
      </w:r>
      <w:r>
        <w:rPr>
          <w:sz w:val="24"/>
        </w:rPr>
        <w:t xml:space="preserve">. An e-fillable version of this form is also available on the ATF public website. The form may be submitted via mail, fax (304-616-4401) or email </w:t>
      </w:r>
      <w:hyperlink r:id="rId7">
        <w:r>
          <w:rPr>
            <w:sz w:val="24"/>
          </w:rPr>
          <w:t>(FELC@atf.gov</w:t>
        </w:r>
      </w:hyperlink>
      <w:r>
        <w:rPr>
          <w:sz w:val="24"/>
        </w:rPr>
        <w:t>) to the Federal Explosives Licensing Center (FELC). The wet signature requirement remains in place primarily because the FELC accepts signed forms. However, in addition to mailing a signed form to the FELC, responsible persons also have the option of signing and scanning or electronically/ digitally signing</w:t>
      </w:r>
      <w:r w:rsidR="00D5392A">
        <w:rPr>
          <w:sz w:val="24"/>
        </w:rPr>
        <w:t xml:space="preserve"> </w:t>
      </w:r>
      <w:r>
        <w:rPr>
          <w:sz w:val="24"/>
        </w:rPr>
        <w:t xml:space="preserve">their completed </w:t>
      </w:r>
      <w:r w:rsidRPr="00D5392A" w:rsidR="00A41413">
        <w:rPr>
          <w:sz w:val="24"/>
        </w:rPr>
        <w:t>ATF Form 5000.29</w:t>
      </w:r>
      <w:r w:rsidR="00D5392A">
        <w:rPr>
          <w:sz w:val="24"/>
        </w:rPr>
        <w:t xml:space="preserve"> if they possess the capability</w:t>
      </w:r>
      <w:r>
        <w:rPr>
          <w:sz w:val="24"/>
        </w:rPr>
        <w:t>. Once signed, the form can be printed and faxed, or emailed to the FELC for processing. The use of electronic signature/digital signature and the implementation e-submission capability eliminates the need for mail-in notification.</w:t>
      </w:r>
    </w:p>
    <w:p w:rsidR="00AB39FA" w:rsidRDefault="00AB39FA">
      <w:pPr>
        <w:pStyle w:val="BodyText"/>
      </w:pPr>
    </w:p>
    <w:p w:rsidR="00AB39FA" w:rsidRDefault="00BE55E4">
      <w:pPr>
        <w:pStyle w:val="ListParagraph"/>
        <w:numPr>
          <w:ilvl w:val="0"/>
          <w:numId w:val="1"/>
        </w:numPr>
        <w:tabs>
          <w:tab w:val="left" w:pos="839"/>
          <w:tab w:val="left" w:pos="840"/>
        </w:tabs>
        <w:spacing w:before="1"/>
        <w:ind w:left="839" w:right="332"/>
        <w:jc w:val="left"/>
        <w:rPr>
          <w:sz w:val="24"/>
        </w:rPr>
      </w:pPr>
      <w:r>
        <w:rPr>
          <w:sz w:val="24"/>
        </w:rPr>
        <w:t>ATF uses a uniform subject classification system to identify duplication and to ensure</w:t>
      </w:r>
      <w:r>
        <w:rPr>
          <w:spacing w:val="-4"/>
          <w:sz w:val="24"/>
        </w:rPr>
        <w:t xml:space="preserve"> </w:t>
      </w:r>
      <w:r>
        <w:rPr>
          <w:sz w:val="24"/>
        </w:rPr>
        <w:t>that</w:t>
      </w:r>
      <w:r>
        <w:rPr>
          <w:spacing w:val="-3"/>
          <w:sz w:val="24"/>
        </w:rPr>
        <w:t xml:space="preserve"> </w:t>
      </w:r>
      <w:r>
        <w:rPr>
          <w:sz w:val="24"/>
        </w:rPr>
        <w:t>any</w:t>
      </w:r>
      <w:r>
        <w:rPr>
          <w:spacing w:val="-8"/>
          <w:sz w:val="24"/>
        </w:rPr>
        <w:t xml:space="preserve"> </w:t>
      </w:r>
      <w:r>
        <w:rPr>
          <w:sz w:val="24"/>
        </w:rPr>
        <w:t>similar</w:t>
      </w:r>
      <w:r>
        <w:rPr>
          <w:spacing w:val="-4"/>
          <w:sz w:val="24"/>
        </w:rPr>
        <w:t xml:space="preserve"> </w:t>
      </w:r>
      <w:r>
        <w:rPr>
          <w:sz w:val="24"/>
        </w:rPr>
        <w:t>information</w:t>
      </w:r>
      <w:r>
        <w:rPr>
          <w:spacing w:val="-3"/>
          <w:sz w:val="24"/>
        </w:rPr>
        <w:t xml:space="preserve"> </w:t>
      </w:r>
      <w:r>
        <w:rPr>
          <w:sz w:val="24"/>
        </w:rPr>
        <w:t>already</w:t>
      </w:r>
      <w:r>
        <w:rPr>
          <w:spacing w:val="-8"/>
          <w:sz w:val="24"/>
        </w:rPr>
        <w:t xml:space="preserve"> </w:t>
      </w:r>
      <w:r>
        <w:rPr>
          <w:sz w:val="24"/>
        </w:rPr>
        <w:t>available</w:t>
      </w:r>
      <w:r>
        <w:rPr>
          <w:spacing w:val="-4"/>
          <w:sz w:val="24"/>
        </w:rPr>
        <w:t xml:space="preserve"> </w:t>
      </w:r>
      <w:r>
        <w:rPr>
          <w:sz w:val="24"/>
        </w:rPr>
        <w:t>cannot</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or</w:t>
      </w:r>
      <w:r>
        <w:rPr>
          <w:spacing w:val="-4"/>
          <w:sz w:val="24"/>
        </w:rPr>
        <w:t xml:space="preserve"> </w:t>
      </w:r>
      <w:r>
        <w:rPr>
          <w:sz w:val="24"/>
        </w:rPr>
        <w:t>modified for use for the purpose of this information</w:t>
      </w:r>
      <w:r>
        <w:rPr>
          <w:spacing w:val="-6"/>
          <w:sz w:val="24"/>
        </w:rPr>
        <w:t xml:space="preserve"> </w:t>
      </w:r>
      <w:r>
        <w:rPr>
          <w:sz w:val="24"/>
        </w:rPr>
        <w:t>collection.</w:t>
      </w:r>
    </w:p>
    <w:p w:rsidR="00AB39FA" w:rsidRDefault="00AB39FA">
      <w:pPr>
        <w:rPr>
          <w:sz w:val="24"/>
        </w:rPr>
        <w:sectPr w:rsidR="00AB39FA" w:rsidSect="00580067">
          <w:footerReference w:type="default" r:id="rId8"/>
          <w:type w:val="continuous"/>
          <w:pgSz w:w="12240" w:h="15840"/>
          <w:pgMar w:top="1500" w:right="1620" w:bottom="280" w:left="1680" w:header="720" w:footer="720" w:gutter="0"/>
          <w:cols w:space="720"/>
          <w:titlePg/>
          <w:docGrid w:linePitch="299"/>
        </w:sectPr>
      </w:pPr>
    </w:p>
    <w:p w:rsidR="00AB39FA" w:rsidRDefault="00BE55E4">
      <w:pPr>
        <w:pStyle w:val="ListParagraph"/>
        <w:numPr>
          <w:ilvl w:val="0"/>
          <w:numId w:val="1"/>
        </w:numPr>
        <w:tabs>
          <w:tab w:val="left" w:pos="839"/>
          <w:tab w:val="left" w:pos="840"/>
        </w:tabs>
        <w:spacing w:before="72"/>
        <w:ind w:left="839" w:hanging="481"/>
        <w:jc w:val="left"/>
        <w:rPr>
          <w:sz w:val="24"/>
        </w:rPr>
      </w:pPr>
      <w:r>
        <w:rPr>
          <w:sz w:val="24"/>
        </w:rPr>
        <w:lastRenderedPageBreak/>
        <w:t>The collection of information does not impact small</w:t>
      </w:r>
      <w:r>
        <w:rPr>
          <w:spacing w:val="-6"/>
          <w:sz w:val="24"/>
        </w:rPr>
        <w:t xml:space="preserve"> </w:t>
      </w:r>
      <w:r>
        <w:rPr>
          <w:sz w:val="24"/>
        </w:rPr>
        <w:t>businesses.</w:t>
      </w:r>
    </w:p>
    <w:p w:rsidR="00AB39FA" w:rsidRDefault="00AB39FA">
      <w:pPr>
        <w:pStyle w:val="BodyText"/>
        <w:spacing w:before="11"/>
        <w:rPr>
          <w:sz w:val="23"/>
        </w:rPr>
      </w:pPr>
    </w:p>
    <w:p w:rsidR="00AB39FA" w:rsidRDefault="00BE55E4">
      <w:pPr>
        <w:pStyle w:val="ListParagraph"/>
        <w:numPr>
          <w:ilvl w:val="0"/>
          <w:numId w:val="1"/>
        </w:numPr>
        <w:tabs>
          <w:tab w:val="left" w:pos="839"/>
          <w:tab w:val="left" w:pos="840"/>
        </w:tabs>
        <w:ind w:left="839" w:right="412"/>
        <w:jc w:val="left"/>
        <w:rPr>
          <w:sz w:val="24"/>
        </w:rPr>
      </w:pPr>
      <w:r>
        <w:rPr>
          <w:sz w:val="24"/>
        </w:rPr>
        <w:t>The consequence of not conducting this information collection is waste</w:t>
      </w:r>
      <w:r>
        <w:rPr>
          <w:spacing w:val="-23"/>
          <w:sz w:val="24"/>
        </w:rPr>
        <w:t xml:space="preserve"> </w:t>
      </w:r>
      <w:r>
        <w:rPr>
          <w:sz w:val="24"/>
        </w:rPr>
        <w:t>disposal that may not be in accordance with standards established in the National Environmental</w:t>
      </w:r>
      <w:r>
        <w:rPr>
          <w:spacing w:val="2"/>
          <w:sz w:val="24"/>
        </w:rPr>
        <w:t xml:space="preserve"> </w:t>
      </w:r>
      <w:r>
        <w:rPr>
          <w:sz w:val="24"/>
        </w:rPr>
        <w:t>Act.</w:t>
      </w:r>
    </w:p>
    <w:p w:rsidR="00AB39FA" w:rsidRDefault="00AB39FA">
      <w:pPr>
        <w:pStyle w:val="BodyText"/>
      </w:pPr>
    </w:p>
    <w:p w:rsidR="00AB39FA" w:rsidRDefault="00BE55E4">
      <w:pPr>
        <w:pStyle w:val="ListParagraph"/>
        <w:numPr>
          <w:ilvl w:val="0"/>
          <w:numId w:val="1"/>
        </w:numPr>
        <w:tabs>
          <w:tab w:val="left" w:pos="839"/>
          <w:tab w:val="left" w:pos="840"/>
        </w:tabs>
        <w:ind w:left="839" w:right="215"/>
        <w:jc w:val="left"/>
        <w:rPr>
          <w:sz w:val="24"/>
        </w:rPr>
      </w:pPr>
      <w:r>
        <w:rPr>
          <w:sz w:val="24"/>
        </w:rPr>
        <w:t>There are no special circumstances as this information collection is conducted in</w:t>
      </w:r>
      <w:r>
        <w:rPr>
          <w:spacing w:val="-27"/>
          <w:sz w:val="24"/>
        </w:rPr>
        <w:t xml:space="preserve"> </w:t>
      </w:r>
      <w:r>
        <w:rPr>
          <w:spacing w:val="-11"/>
          <w:sz w:val="24"/>
        </w:rPr>
        <w:t xml:space="preserve">a </w:t>
      </w:r>
      <w:r>
        <w:rPr>
          <w:sz w:val="24"/>
        </w:rPr>
        <w:t>manner consistent with 5 CFR</w:t>
      </w:r>
      <w:r>
        <w:rPr>
          <w:spacing w:val="-1"/>
          <w:sz w:val="24"/>
        </w:rPr>
        <w:t xml:space="preserve"> </w:t>
      </w:r>
      <w:r>
        <w:rPr>
          <w:sz w:val="24"/>
        </w:rPr>
        <w:t>1320.6.</w:t>
      </w:r>
    </w:p>
    <w:p w:rsidR="00AB39FA" w:rsidRDefault="00AB39FA">
      <w:pPr>
        <w:pStyle w:val="BodyText"/>
      </w:pPr>
    </w:p>
    <w:p w:rsidR="00AB39FA" w:rsidRDefault="00CC2F36">
      <w:pPr>
        <w:pStyle w:val="ListParagraph"/>
        <w:numPr>
          <w:ilvl w:val="0"/>
          <w:numId w:val="1"/>
        </w:numPr>
        <w:tabs>
          <w:tab w:val="left" w:pos="839"/>
          <w:tab w:val="left" w:pos="840"/>
        </w:tabs>
        <w:ind w:left="839" w:right="118"/>
        <w:jc w:val="left"/>
        <w:rPr>
          <w:sz w:val="24"/>
        </w:rPr>
      </w:pPr>
      <w:r>
        <w:rPr>
          <w:sz w:val="24"/>
        </w:rPr>
        <w:t>No comments were received during the</w:t>
      </w:r>
      <w:r w:rsidR="00D5392A">
        <w:rPr>
          <w:sz w:val="24"/>
        </w:rPr>
        <w:t xml:space="preserve"> 60-day </w:t>
      </w:r>
      <w:r>
        <w:rPr>
          <w:sz w:val="24"/>
        </w:rPr>
        <w:t>Federal Register notice period. However,</w:t>
      </w:r>
      <w:r w:rsidR="00D5392A">
        <w:rPr>
          <w:sz w:val="24"/>
        </w:rPr>
        <w:t xml:space="preserve"> a 30-day notice will be published in the Federal Register to solicit public comments. </w:t>
      </w:r>
    </w:p>
    <w:p w:rsidR="00AB39FA" w:rsidRDefault="00AB39FA">
      <w:pPr>
        <w:pStyle w:val="BodyText"/>
      </w:pPr>
    </w:p>
    <w:p w:rsidR="00AB39FA" w:rsidRDefault="00BE55E4">
      <w:pPr>
        <w:pStyle w:val="ListParagraph"/>
        <w:numPr>
          <w:ilvl w:val="0"/>
          <w:numId w:val="1"/>
        </w:numPr>
        <w:tabs>
          <w:tab w:val="left" w:pos="839"/>
          <w:tab w:val="left" w:pos="840"/>
        </w:tabs>
        <w:ind w:hanging="481"/>
        <w:jc w:val="left"/>
        <w:rPr>
          <w:sz w:val="24"/>
        </w:rPr>
      </w:pPr>
      <w:r>
        <w:rPr>
          <w:sz w:val="24"/>
        </w:rPr>
        <w:t>No payment or gift is associated with this collection.</w:t>
      </w:r>
    </w:p>
    <w:p w:rsidR="00AB39FA" w:rsidRDefault="00AB39FA">
      <w:pPr>
        <w:pStyle w:val="BodyText"/>
      </w:pPr>
    </w:p>
    <w:p w:rsidR="00AB39FA" w:rsidRDefault="00BE55E4">
      <w:pPr>
        <w:pStyle w:val="ListParagraph"/>
        <w:numPr>
          <w:ilvl w:val="0"/>
          <w:numId w:val="1"/>
        </w:numPr>
        <w:tabs>
          <w:tab w:val="left" w:pos="839"/>
          <w:tab w:val="left" w:pos="840"/>
        </w:tabs>
        <w:ind w:left="839" w:right="312" w:hanging="600"/>
        <w:jc w:val="left"/>
        <w:rPr>
          <w:sz w:val="24"/>
        </w:rPr>
      </w:pPr>
      <w:r>
        <w:rPr>
          <w:sz w:val="24"/>
        </w:rPr>
        <w:t>The information is kept in a secured location at the Federal Explosives Licensing Center. Confidentiality is not</w:t>
      </w:r>
      <w:r>
        <w:rPr>
          <w:spacing w:val="-6"/>
          <w:sz w:val="24"/>
        </w:rPr>
        <w:t xml:space="preserve"> </w:t>
      </w:r>
      <w:r>
        <w:rPr>
          <w:sz w:val="24"/>
        </w:rPr>
        <w:t>assured.</w:t>
      </w:r>
    </w:p>
    <w:p w:rsidR="00AB39FA" w:rsidRDefault="00AB39FA">
      <w:pPr>
        <w:pStyle w:val="BodyText"/>
      </w:pPr>
    </w:p>
    <w:p w:rsidR="00AB39FA" w:rsidRDefault="00BE55E4">
      <w:pPr>
        <w:pStyle w:val="ListParagraph"/>
        <w:numPr>
          <w:ilvl w:val="0"/>
          <w:numId w:val="1"/>
        </w:numPr>
        <w:tabs>
          <w:tab w:val="left" w:pos="839"/>
          <w:tab w:val="left" w:pos="840"/>
        </w:tabs>
        <w:spacing w:before="1"/>
        <w:ind w:hanging="601"/>
        <w:jc w:val="left"/>
        <w:rPr>
          <w:sz w:val="24"/>
        </w:rPr>
      </w:pPr>
      <w:r>
        <w:rPr>
          <w:sz w:val="24"/>
        </w:rPr>
        <w:t>No questions of a sensitive nature are</w:t>
      </w:r>
      <w:r>
        <w:rPr>
          <w:spacing w:val="-4"/>
          <w:sz w:val="24"/>
        </w:rPr>
        <w:t xml:space="preserve"> </w:t>
      </w:r>
      <w:r>
        <w:rPr>
          <w:sz w:val="24"/>
        </w:rPr>
        <w:t>asked.</w:t>
      </w:r>
    </w:p>
    <w:p w:rsidR="00AB39FA" w:rsidRDefault="00AB39FA">
      <w:pPr>
        <w:pStyle w:val="BodyText"/>
        <w:spacing w:before="11"/>
        <w:rPr>
          <w:sz w:val="23"/>
        </w:rPr>
      </w:pPr>
    </w:p>
    <w:p w:rsidR="00AB39FA" w:rsidRDefault="00BE55E4">
      <w:pPr>
        <w:pStyle w:val="ListParagraph"/>
        <w:numPr>
          <w:ilvl w:val="0"/>
          <w:numId w:val="1"/>
        </w:numPr>
        <w:tabs>
          <w:tab w:val="left" w:pos="839"/>
          <w:tab w:val="left" w:pos="840"/>
        </w:tabs>
        <w:ind w:left="839" w:right="104" w:hanging="600"/>
        <w:jc w:val="left"/>
        <w:rPr>
          <w:sz w:val="24"/>
        </w:rPr>
      </w:pPr>
      <w:r>
        <w:rPr>
          <w:sz w:val="24"/>
        </w:rPr>
        <w:t>The number of respondents associated with this collection is 680. Each respondent completes the form one time</w:t>
      </w:r>
      <w:r w:rsidR="00D5392A">
        <w:rPr>
          <w:sz w:val="24"/>
        </w:rPr>
        <w:t xml:space="preserve"> per year</w:t>
      </w:r>
      <w:r>
        <w:rPr>
          <w:sz w:val="24"/>
        </w:rPr>
        <w:t>. The total number of responses is 680 and the time</w:t>
      </w:r>
      <w:r w:rsidR="00D5392A">
        <w:rPr>
          <w:sz w:val="24"/>
        </w:rPr>
        <w:t xml:space="preserve"> taken</w:t>
      </w:r>
      <w:r>
        <w:rPr>
          <w:sz w:val="24"/>
        </w:rPr>
        <w:t xml:space="preserve"> to complete the form is 30 minutes. The</w:t>
      </w:r>
      <w:r w:rsidR="00D5392A">
        <w:rPr>
          <w:sz w:val="24"/>
        </w:rPr>
        <w:t>refore, the</w:t>
      </w:r>
      <w:r>
        <w:rPr>
          <w:sz w:val="24"/>
        </w:rPr>
        <w:t xml:space="preserve"> total annual burden is 340 hours.</w:t>
      </w:r>
    </w:p>
    <w:p w:rsidR="00AB39FA" w:rsidRDefault="00AB39FA">
      <w:pPr>
        <w:pStyle w:val="BodyText"/>
      </w:pPr>
    </w:p>
    <w:p w:rsidR="00AB39FA" w:rsidRDefault="00BE55E4">
      <w:pPr>
        <w:pStyle w:val="ListParagraph"/>
        <w:numPr>
          <w:ilvl w:val="0"/>
          <w:numId w:val="1"/>
        </w:numPr>
        <w:tabs>
          <w:tab w:val="left" w:pos="839"/>
          <w:tab w:val="left" w:pos="840"/>
        </w:tabs>
        <w:ind w:hanging="601"/>
        <w:jc w:val="left"/>
        <w:rPr>
          <w:sz w:val="24"/>
        </w:rPr>
      </w:pPr>
      <w:r>
        <w:rPr>
          <w:sz w:val="24"/>
        </w:rPr>
        <w:t>The estimated annual cost associated with this form is $333.20 (680 respondents</w:t>
      </w:r>
      <w:r>
        <w:rPr>
          <w:spacing w:val="-4"/>
          <w:sz w:val="24"/>
        </w:rPr>
        <w:t xml:space="preserve"> </w:t>
      </w:r>
      <w:r>
        <w:rPr>
          <w:sz w:val="24"/>
        </w:rPr>
        <w:t>x</w:t>
      </w:r>
    </w:p>
    <w:p w:rsidR="00AB39FA" w:rsidRDefault="00BE55E4">
      <w:pPr>
        <w:pStyle w:val="BodyText"/>
        <w:ind w:left="839"/>
      </w:pPr>
      <w:r>
        <w:t>$0.49 postal rate) to mail the form as part of the application.</w:t>
      </w:r>
    </w:p>
    <w:p w:rsidR="00AB39FA" w:rsidRDefault="00AB39FA">
      <w:pPr>
        <w:pStyle w:val="BodyText"/>
      </w:pPr>
    </w:p>
    <w:p w:rsidR="00AB39FA" w:rsidRDefault="00BE55E4">
      <w:pPr>
        <w:pStyle w:val="ListParagraph"/>
        <w:numPr>
          <w:ilvl w:val="0"/>
          <w:numId w:val="1"/>
        </w:numPr>
        <w:tabs>
          <w:tab w:val="left" w:pos="839"/>
          <w:tab w:val="left" w:pos="840"/>
        </w:tabs>
        <w:ind w:hanging="601"/>
        <w:jc w:val="left"/>
        <w:rPr>
          <w:sz w:val="24"/>
        </w:rPr>
      </w:pPr>
      <w:r>
        <w:rPr>
          <w:sz w:val="24"/>
        </w:rPr>
        <w:t>The cost to the Federal government is</w:t>
      </w:r>
      <w:r>
        <w:rPr>
          <w:spacing w:val="-3"/>
          <w:sz w:val="24"/>
        </w:rPr>
        <w:t xml:space="preserve"> </w:t>
      </w:r>
      <w:r>
        <w:rPr>
          <w:sz w:val="24"/>
        </w:rPr>
        <w:t>$4,000.</w:t>
      </w:r>
    </w:p>
    <w:p w:rsidR="00AB39FA" w:rsidRDefault="00AB39FA">
      <w:pPr>
        <w:pStyle w:val="BodyText"/>
      </w:pPr>
    </w:p>
    <w:p w:rsidR="00AB39FA" w:rsidRDefault="00BE55E4">
      <w:pPr>
        <w:pStyle w:val="ListParagraph"/>
        <w:numPr>
          <w:ilvl w:val="0"/>
          <w:numId w:val="1"/>
        </w:numPr>
        <w:tabs>
          <w:tab w:val="left" w:pos="839"/>
          <w:tab w:val="left" w:pos="840"/>
        </w:tabs>
        <w:ind w:hanging="601"/>
        <w:jc w:val="left"/>
        <w:rPr>
          <w:sz w:val="24"/>
        </w:rPr>
      </w:pPr>
      <w:r>
        <w:rPr>
          <w:sz w:val="24"/>
        </w:rPr>
        <w:t>There</w:t>
      </w:r>
      <w:r>
        <w:rPr>
          <w:spacing w:val="-5"/>
          <w:sz w:val="24"/>
        </w:rPr>
        <w:t xml:space="preserve"> </w:t>
      </w:r>
      <w:r>
        <w:rPr>
          <w:sz w:val="24"/>
        </w:rPr>
        <w:t>are</w:t>
      </w:r>
      <w:r>
        <w:rPr>
          <w:spacing w:val="-4"/>
          <w:sz w:val="24"/>
        </w:rPr>
        <w:t xml:space="preserve"> </w:t>
      </w:r>
      <w:r>
        <w:rPr>
          <w:sz w:val="24"/>
        </w:rPr>
        <w:t>no</w:t>
      </w:r>
      <w:r>
        <w:rPr>
          <w:spacing w:val="-6"/>
          <w:sz w:val="24"/>
        </w:rPr>
        <w:t xml:space="preserve"> </w:t>
      </w:r>
      <w:r>
        <w:rPr>
          <w:sz w:val="24"/>
        </w:rPr>
        <w:t>changes</w:t>
      </w:r>
      <w:r>
        <w:rPr>
          <w:spacing w:val="-4"/>
          <w:sz w:val="24"/>
        </w:rPr>
        <w:t xml:space="preserve"> </w:t>
      </w:r>
      <w:r>
        <w:rPr>
          <w:sz w:val="24"/>
        </w:rPr>
        <w:t>or</w:t>
      </w:r>
      <w:r>
        <w:rPr>
          <w:spacing w:val="-4"/>
          <w:sz w:val="24"/>
        </w:rPr>
        <w:t xml:space="preserve"> </w:t>
      </w:r>
      <w:r>
        <w:rPr>
          <w:sz w:val="24"/>
        </w:rPr>
        <w:t>adjustments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collection.</w:t>
      </w:r>
    </w:p>
    <w:p w:rsidR="00AB39FA" w:rsidRDefault="00AB39FA">
      <w:pPr>
        <w:pStyle w:val="BodyText"/>
      </w:pPr>
    </w:p>
    <w:p w:rsidR="00AB39FA" w:rsidRDefault="00BE55E4">
      <w:pPr>
        <w:pStyle w:val="ListParagraph"/>
        <w:numPr>
          <w:ilvl w:val="0"/>
          <w:numId w:val="1"/>
        </w:numPr>
        <w:tabs>
          <w:tab w:val="left" w:pos="839"/>
          <w:tab w:val="left" w:pos="840"/>
        </w:tabs>
        <w:ind w:hanging="601"/>
        <w:jc w:val="left"/>
        <w:rPr>
          <w:sz w:val="24"/>
        </w:rPr>
      </w:pPr>
      <w:r>
        <w:rPr>
          <w:sz w:val="24"/>
        </w:rPr>
        <w:t>The results of this collection will not be</w:t>
      </w:r>
      <w:r>
        <w:rPr>
          <w:spacing w:val="-6"/>
          <w:sz w:val="24"/>
        </w:rPr>
        <w:t xml:space="preserve"> </w:t>
      </w:r>
      <w:r>
        <w:rPr>
          <w:sz w:val="24"/>
        </w:rPr>
        <w:t>published.</w:t>
      </w:r>
    </w:p>
    <w:p w:rsidR="00AB39FA" w:rsidRDefault="00AB39FA">
      <w:pPr>
        <w:pStyle w:val="BodyText"/>
      </w:pPr>
    </w:p>
    <w:p w:rsidR="00AB39FA" w:rsidRDefault="00BE55E4">
      <w:pPr>
        <w:pStyle w:val="ListParagraph"/>
        <w:numPr>
          <w:ilvl w:val="0"/>
          <w:numId w:val="1"/>
        </w:numPr>
        <w:tabs>
          <w:tab w:val="left" w:pos="839"/>
          <w:tab w:val="left" w:pos="840"/>
        </w:tabs>
        <w:ind w:left="839" w:right="151" w:hanging="600"/>
        <w:jc w:val="left"/>
        <w:rPr>
          <w:sz w:val="24"/>
        </w:rPr>
      </w:pPr>
      <w:r>
        <w:rPr>
          <w:sz w:val="24"/>
        </w:rPr>
        <w:t>ATF does not request approval to not display the expiration date of OMB</w:t>
      </w:r>
      <w:r>
        <w:rPr>
          <w:spacing w:val="-22"/>
          <w:sz w:val="24"/>
        </w:rPr>
        <w:t xml:space="preserve"> </w:t>
      </w:r>
      <w:r>
        <w:rPr>
          <w:sz w:val="24"/>
        </w:rPr>
        <w:t>approval for this</w:t>
      </w:r>
      <w:r>
        <w:rPr>
          <w:spacing w:val="-1"/>
          <w:sz w:val="24"/>
        </w:rPr>
        <w:t xml:space="preserve"> </w:t>
      </w:r>
      <w:r>
        <w:rPr>
          <w:sz w:val="24"/>
        </w:rPr>
        <w:t>collection.</w:t>
      </w:r>
    </w:p>
    <w:p w:rsidR="00AB39FA" w:rsidRDefault="00AB39FA">
      <w:pPr>
        <w:pStyle w:val="BodyText"/>
      </w:pPr>
    </w:p>
    <w:p w:rsidR="00AB39FA" w:rsidRDefault="00BE55E4">
      <w:pPr>
        <w:pStyle w:val="ListParagraph"/>
        <w:numPr>
          <w:ilvl w:val="0"/>
          <w:numId w:val="1"/>
        </w:numPr>
        <w:tabs>
          <w:tab w:val="left" w:pos="839"/>
          <w:tab w:val="left" w:pos="840"/>
        </w:tabs>
        <w:spacing w:before="1"/>
        <w:ind w:hanging="601"/>
        <w:jc w:val="left"/>
        <w:rPr>
          <w:sz w:val="24"/>
        </w:rPr>
      </w:pPr>
      <w:r>
        <w:rPr>
          <w:sz w:val="24"/>
        </w:rPr>
        <w:t>There are no exceptions to the certification</w:t>
      </w:r>
      <w:r>
        <w:rPr>
          <w:spacing w:val="-7"/>
          <w:sz w:val="24"/>
        </w:rPr>
        <w:t xml:space="preserve"> </w:t>
      </w:r>
      <w:r>
        <w:rPr>
          <w:sz w:val="24"/>
        </w:rPr>
        <w:t>statement.</w:t>
      </w:r>
    </w:p>
    <w:sectPr w:rsidR="00AB39FA">
      <w:pgSz w:w="12240" w:h="15840"/>
      <w:pgMar w:top="1360" w:right="16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037" w:rsidRDefault="00C64037" w:rsidP="00BE55E4">
      <w:r>
        <w:separator/>
      </w:r>
    </w:p>
  </w:endnote>
  <w:endnote w:type="continuationSeparator" w:id="0">
    <w:p w:rsidR="00C64037" w:rsidRDefault="00C64037" w:rsidP="00BE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982708"/>
      <w:docPartObj>
        <w:docPartGallery w:val="Page Numbers (Bottom of Page)"/>
        <w:docPartUnique/>
      </w:docPartObj>
    </w:sdtPr>
    <w:sdtEndPr>
      <w:rPr>
        <w:noProof/>
      </w:rPr>
    </w:sdtEndPr>
    <w:sdtContent>
      <w:p w:rsidR="00BE55E4" w:rsidRDefault="00BE55E4">
        <w:pPr>
          <w:pStyle w:val="Footer"/>
          <w:jc w:val="center"/>
        </w:pPr>
        <w:r>
          <w:fldChar w:fldCharType="begin"/>
        </w:r>
        <w:r>
          <w:instrText xml:space="preserve"> PAGE   \* MERGEFORMAT </w:instrText>
        </w:r>
        <w:r>
          <w:fldChar w:fldCharType="separate"/>
        </w:r>
        <w:r w:rsidR="00761FB8">
          <w:rPr>
            <w:noProof/>
          </w:rPr>
          <w:t>2</w:t>
        </w:r>
        <w:r>
          <w:rPr>
            <w:noProof/>
          </w:rPr>
          <w:fldChar w:fldCharType="end"/>
        </w:r>
      </w:p>
    </w:sdtContent>
  </w:sdt>
  <w:p w:rsidR="00BE55E4" w:rsidRDefault="00BE5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037" w:rsidRDefault="00C64037" w:rsidP="00BE55E4">
      <w:r>
        <w:separator/>
      </w:r>
    </w:p>
  </w:footnote>
  <w:footnote w:type="continuationSeparator" w:id="0">
    <w:p w:rsidR="00C64037" w:rsidRDefault="00C64037" w:rsidP="00BE5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67F6C"/>
    <w:multiLevelType w:val="hybridMultilevel"/>
    <w:tmpl w:val="6B52C220"/>
    <w:lvl w:ilvl="0" w:tplc="F98034F8">
      <w:start w:val="1"/>
      <w:numFmt w:val="decimal"/>
      <w:lvlText w:val="%1."/>
      <w:lvlJc w:val="left"/>
      <w:pPr>
        <w:ind w:left="840" w:hanging="480"/>
        <w:jc w:val="right"/>
      </w:pPr>
      <w:rPr>
        <w:rFonts w:ascii="Times New Roman" w:eastAsia="Times New Roman" w:hAnsi="Times New Roman" w:cs="Times New Roman" w:hint="default"/>
        <w:w w:val="100"/>
        <w:sz w:val="24"/>
        <w:szCs w:val="24"/>
        <w:lang w:val="en-US" w:eastAsia="en-US" w:bidi="ar-SA"/>
      </w:rPr>
    </w:lvl>
    <w:lvl w:ilvl="1" w:tplc="61A461A0">
      <w:numFmt w:val="bullet"/>
      <w:lvlText w:val="•"/>
      <w:lvlJc w:val="left"/>
      <w:pPr>
        <w:ind w:left="1650" w:hanging="480"/>
      </w:pPr>
      <w:rPr>
        <w:rFonts w:hint="default"/>
        <w:lang w:val="en-US" w:eastAsia="en-US" w:bidi="ar-SA"/>
      </w:rPr>
    </w:lvl>
    <w:lvl w:ilvl="2" w:tplc="96B2C028">
      <w:numFmt w:val="bullet"/>
      <w:lvlText w:val="•"/>
      <w:lvlJc w:val="left"/>
      <w:pPr>
        <w:ind w:left="2460" w:hanging="480"/>
      </w:pPr>
      <w:rPr>
        <w:rFonts w:hint="default"/>
        <w:lang w:val="en-US" w:eastAsia="en-US" w:bidi="ar-SA"/>
      </w:rPr>
    </w:lvl>
    <w:lvl w:ilvl="3" w:tplc="38706E8C">
      <w:numFmt w:val="bullet"/>
      <w:lvlText w:val="•"/>
      <w:lvlJc w:val="left"/>
      <w:pPr>
        <w:ind w:left="3270" w:hanging="480"/>
      </w:pPr>
      <w:rPr>
        <w:rFonts w:hint="default"/>
        <w:lang w:val="en-US" w:eastAsia="en-US" w:bidi="ar-SA"/>
      </w:rPr>
    </w:lvl>
    <w:lvl w:ilvl="4" w:tplc="6D280008">
      <w:numFmt w:val="bullet"/>
      <w:lvlText w:val="•"/>
      <w:lvlJc w:val="left"/>
      <w:pPr>
        <w:ind w:left="4080" w:hanging="480"/>
      </w:pPr>
      <w:rPr>
        <w:rFonts w:hint="default"/>
        <w:lang w:val="en-US" w:eastAsia="en-US" w:bidi="ar-SA"/>
      </w:rPr>
    </w:lvl>
    <w:lvl w:ilvl="5" w:tplc="AEE86B6C">
      <w:numFmt w:val="bullet"/>
      <w:lvlText w:val="•"/>
      <w:lvlJc w:val="left"/>
      <w:pPr>
        <w:ind w:left="4890" w:hanging="480"/>
      </w:pPr>
      <w:rPr>
        <w:rFonts w:hint="default"/>
        <w:lang w:val="en-US" w:eastAsia="en-US" w:bidi="ar-SA"/>
      </w:rPr>
    </w:lvl>
    <w:lvl w:ilvl="6" w:tplc="953CBE6A">
      <w:numFmt w:val="bullet"/>
      <w:lvlText w:val="•"/>
      <w:lvlJc w:val="left"/>
      <w:pPr>
        <w:ind w:left="5700" w:hanging="480"/>
      </w:pPr>
      <w:rPr>
        <w:rFonts w:hint="default"/>
        <w:lang w:val="en-US" w:eastAsia="en-US" w:bidi="ar-SA"/>
      </w:rPr>
    </w:lvl>
    <w:lvl w:ilvl="7" w:tplc="8C841B16">
      <w:numFmt w:val="bullet"/>
      <w:lvlText w:val="•"/>
      <w:lvlJc w:val="left"/>
      <w:pPr>
        <w:ind w:left="6510" w:hanging="480"/>
      </w:pPr>
      <w:rPr>
        <w:rFonts w:hint="default"/>
        <w:lang w:val="en-US" w:eastAsia="en-US" w:bidi="ar-SA"/>
      </w:rPr>
    </w:lvl>
    <w:lvl w:ilvl="8" w:tplc="755CE900">
      <w:numFmt w:val="bullet"/>
      <w:lvlText w:val="•"/>
      <w:lvlJc w:val="left"/>
      <w:pPr>
        <w:ind w:left="7320" w:hanging="480"/>
      </w:pPr>
      <w:rPr>
        <w:rFonts w:hint="default"/>
        <w:lang w:val="en-US" w:eastAsia="en-US" w:bidi="ar-SA"/>
      </w:rPr>
    </w:lvl>
  </w:abstractNum>
  <w:abstractNum w:abstractNumId="1" w15:restartNumberingAfterBreak="0">
    <w:nsid w:val="656A68BA"/>
    <w:multiLevelType w:val="hybridMultilevel"/>
    <w:tmpl w:val="3EE670BA"/>
    <w:lvl w:ilvl="0" w:tplc="7C24D77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FA"/>
    <w:rsid w:val="002933D9"/>
    <w:rsid w:val="002D1278"/>
    <w:rsid w:val="002E7C0D"/>
    <w:rsid w:val="00322347"/>
    <w:rsid w:val="00570DC8"/>
    <w:rsid w:val="00580067"/>
    <w:rsid w:val="006207BF"/>
    <w:rsid w:val="006A4E92"/>
    <w:rsid w:val="00761FB8"/>
    <w:rsid w:val="007D2A09"/>
    <w:rsid w:val="00920D3E"/>
    <w:rsid w:val="009D41C9"/>
    <w:rsid w:val="00A41413"/>
    <w:rsid w:val="00A90DEB"/>
    <w:rsid w:val="00AB39FA"/>
    <w:rsid w:val="00AD398E"/>
    <w:rsid w:val="00B32A62"/>
    <w:rsid w:val="00BE55E4"/>
    <w:rsid w:val="00C64037"/>
    <w:rsid w:val="00CC2F36"/>
    <w:rsid w:val="00D5392A"/>
    <w:rsid w:val="00F1319F"/>
    <w:rsid w:val="00FA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57D3"/>
  <w15:docId w15:val="{A5D68F68-215F-48AF-83C4-8B77D4A8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4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5E4"/>
    <w:pPr>
      <w:tabs>
        <w:tab w:val="center" w:pos="4680"/>
        <w:tab w:val="right" w:pos="9360"/>
      </w:tabs>
    </w:pPr>
  </w:style>
  <w:style w:type="character" w:customStyle="1" w:styleId="HeaderChar">
    <w:name w:val="Header Char"/>
    <w:basedOn w:val="DefaultParagraphFont"/>
    <w:link w:val="Header"/>
    <w:uiPriority w:val="99"/>
    <w:rsid w:val="00BE55E4"/>
    <w:rPr>
      <w:rFonts w:ascii="Times New Roman" w:eastAsia="Times New Roman" w:hAnsi="Times New Roman" w:cs="Times New Roman"/>
    </w:rPr>
  </w:style>
  <w:style w:type="paragraph" w:styleId="Footer">
    <w:name w:val="footer"/>
    <w:basedOn w:val="Normal"/>
    <w:link w:val="FooterChar"/>
    <w:uiPriority w:val="99"/>
    <w:unhideWhenUsed/>
    <w:rsid w:val="00BE55E4"/>
    <w:pPr>
      <w:tabs>
        <w:tab w:val="center" w:pos="4680"/>
        <w:tab w:val="right" w:pos="9360"/>
      </w:tabs>
    </w:pPr>
  </w:style>
  <w:style w:type="character" w:customStyle="1" w:styleId="FooterChar">
    <w:name w:val="Footer Char"/>
    <w:basedOn w:val="DefaultParagraphFont"/>
    <w:link w:val="Footer"/>
    <w:uiPriority w:val="99"/>
    <w:rsid w:val="00BE55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E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5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ELC@atf.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Environmental Information</vt:lpstr>
    </vt:vector>
  </TitlesOfParts>
  <Company>Bureau of Alcohol, Tobacco, Firearms and Explosives</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Information</dc:title>
  <dc:subject>Supporting Statement</dc:subject>
  <dc:creator>FELC</dc:creator>
  <cp:keywords>Environmental Information</cp:keywords>
  <cp:lastModifiedBy>Bolton, Tamelia A. (Contractor)</cp:lastModifiedBy>
  <cp:revision>5</cp:revision>
  <dcterms:created xsi:type="dcterms:W3CDTF">2021-01-22T20:51:00Z</dcterms:created>
  <dcterms:modified xsi:type="dcterms:W3CDTF">2021-01-28T19:45:00Z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Creator">
    <vt:lpwstr>Acrobat PDFMaker 17 for Word</vt:lpwstr>
  </property>
  <property fmtid="{D5CDD505-2E9C-101B-9397-08002B2CF9AE}" pid="4" name="LastSaved">
    <vt:filetime>2020-10-22T00:00:00Z</vt:filetime>
  </property>
</Properties>
</file>