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D5" w:rsidRDefault="008C69D5" w14:paraId="2249E7A3" w14:textId="77777777"/>
    <w:p w:rsidR="008C69D5" w:rsidRDefault="008C69D5" w14:paraId="084821CC" w14:textId="77777777"/>
    <w:p w:rsidR="008C69D5" w:rsidRDefault="008C69D5" w14:paraId="524550D2" w14:textId="77777777">
      <w:pPr>
        <w:jc w:val="center"/>
      </w:pPr>
      <w:r>
        <w:t>DEPARTMENT OF JUSTICE</w:t>
      </w:r>
    </w:p>
    <w:p w:rsidR="008C69D5" w:rsidRDefault="008C69D5" w14:paraId="483A6D98" w14:textId="77777777">
      <w:pPr>
        <w:jc w:val="center"/>
      </w:pPr>
      <w:r>
        <w:t>BUREAU OF ALCOHOL, TOBACCO, FIREARMS AND EXPLOSIVES</w:t>
      </w:r>
    </w:p>
    <w:p w:rsidR="008C69D5" w:rsidRDefault="008C69D5" w14:paraId="048B29E1" w14:textId="77777777">
      <w:pPr>
        <w:jc w:val="center"/>
      </w:pPr>
      <w:r>
        <w:t>Supporting Statement</w:t>
      </w:r>
    </w:p>
    <w:p w:rsidR="008C69D5" w:rsidRDefault="00FB37D4" w14:paraId="69D23F0E" w14:textId="77777777">
      <w:pPr>
        <w:jc w:val="center"/>
      </w:pPr>
      <w:r>
        <w:t xml:space="preserve">OMB </w:t>
      </w:r>
      <w:r w:rsidR="008C69D5">
        <w:t>1140-0007</w:t>
      </w:r>
    </w:p>
    <w:p w:rsidR="008C69D5" w:rsidRDefault="008C69D5" w14:paraId="41C9DD45" w14:textId="670750B9">
      <w:pPr>
        <w:jc w:val="center"/>
      </w:pPr>
      <w:r>
        <w:t xml:space="preserve">Release and Receipt of Imported Firearms, Ammunition and </w:t>
      </w:r>
      <w:r w:rsidR="00A82C40">
        <w:t>Defense Articles</w:t>
      </w:r>
      <w:r w:rsidR="00E80E2E">
        <w:t xml:space="preserve"> - </w:t>
      </w:r>
    </w:p>
    <w:p w:rsidR="008C69D5" w:rsidRDefault="008C69D5" w14:paraId="783A6A18" w14:textId="77777777">
      <w:pPr>
        <w:jc w:val="center"/>
      </w:pPr>
      <w:r>
        <w:t>ATF F</w:t>
      </w:r>
      <w:r w:rsidR="00FB37D4">
        <w:t>orm</w:t>
      </w:r>
      <w:r>
        <w:t xml:space="preserve"> 6A (5330.3C)</w:t>
      </w:r>
    </w:p>
    <w:p w:rsidR="008C69D5" w:rsidRDefault="008C69D5" w14:paraId="7405063D" w14:textId="77777777"/>
    <w:p w:rsidR="008C69D5" w:rsidRDefault="008C69D5" w14:paraId="7FCD452C" w14:textId="77777777"/>
    <w:p w:rsidRPr="00106E4F" w:rsidR="008C69D5" w:rsidRDefault="008C69D5" w14:paraId="00E3A24C" w14:textId="77777777">
      <w:pPr>
        <w:numPr>
          <w:ilvl w:val="0"/>
          <w:numId w:val="1"/>
        </w:numPr>
        <w:rPr>
          <w:b/>
        </w:rPr>
      </w:pPr>
      <w:r w:rsidRPr="00106E4F">
        <w:rPr>
          <w:b/>
        </w:rPr>
        <w:t>Justification</w:t>
      </w:r>
    </w:p>
    <w:p w:rsidR="008C69D5" w:rsidRDefault="008C69D5" w14:paraId="37D5F415" w14:textId="77777777">
      <w:pPr>
        <w:ind w:left="360"/>
      </w:pPr>
    </w:p>
    <w:p w:rsidR="008C69D5" w:rsidP="004E438E" w:rsidRDefault="005F272D" w14:paraId="2601A57E" w14:textId="48293E86">
      <w:pPr>
        <w:numPr>
          <w:ilvl w:val="1"/>
          <w:numId w:val="1"/>
        </w:numPr>
      </w:pPr>
      <w:r>
        <w:t>Under 18 U.S.C.</w:t>
      </w:r>
      <w:r w:rsidR="004E438E">
        <w:t xml:space="preserve"> §</w:t>
      </w:r>
      <w:r>
        <w:t xml:space="preserve"> 925(a</w:t>
      </w:r>
      <w:r w:rsidR="008C69D5">
        <w:t>), 22 U.S.C.</w:t>
      </w:r>
      <w:r w:rsidR="004E438E">
        <w:t xml:space="preserve"> §</w:t>
      </w:r>
      <w:r w:rsidR="008C69D5">
        <w:t xml:space="preserve"> 2778, and 26 U.S.C. </w:t>
      </w:r>
      <w:r w:rsidRPr="004E438E" w:rsidR="004E438E">
        <w:t>§</w:t>
      </w:r>
      <w:r w:rsidR="004E438E">
        <w:t xml:space="preserve"> </w:t>
      </w:r>
      <w:r w:rsidR="008C69D5">
        <w:t>5844, the importation of firearms, ammunition</w:t>
      </w:r>
      <w:r w:rsidR="00606528">
        <w:t>,</w:t>
      </w:r>
      <w:r w:rsidR="008C69D5">
        <w:t xml:space="preserve"> and defense articles into the United States is restricted. The importation of articles within the purview of these statutes is prohibited. The</w:t>
      </w:r>
      <w:r w:rsidR="00FB519A">
        <w:t>se</w:t>
      </w:r>
      <w:r w:rsidR="008C69D5">
        <w:t xml:space="preserve"> statutes also require that persons engaged in the business of importing such articles be licensed and/or registered. Implementing</w:t>
      </w:r>
      <w:r w:rsidR="00D15864">
        <w:t xml:space="preserve"> regulations in 27 CFR Parts 447, 478, and 4</w:t>
      </w:r>
      <w:r w:rsidR="008C69D5">
        <w:t xml:space="preserve">79 </w:t>
      </w:r>
      <w:r w:rsidR="005E2C3A">
        <w:t>detail</w:t>
      </w:r>
      <w:r w:rsidR="008C69D5">
        <w:t xml:space="preserve"> the forms and procedures necessary to fulfill the import permit requirements. </w:t>
      </w:r>
      <w:r w:rsidR="00FB37D4">
        <w:t>T</w:t>
      </w:r>
      <w:r w:rsidR="008C69D5">
        <w:t>he</w:t>
      </w:r>
      <w:r w:rsidR="00FB37D4">
        <w:t>se</w:t>
      </w:r>
      <w:r w:rsidR="008C69D5">
        <w:t xml:space="preserve"> law</w:t>
      </w:r>
      <w:r w:rsidR="00FB37D4">
        <w:t>s</w:t>
      </w:r>
      <w:r w:rsidR="008C69D5">
        <w:t xml:space="preserve"> and regulations </w:t>
      </w:r>
      <w:r w:rsidR="00FB37D4">
        <w:t xml:space="preserve">also </w:t>
      </w:r>
      <w:r w:rsidR="008C69D5">
        <w:t>establish a comprehensive system for regulating the importation of firearms, ammunition, and defense articles.</w:t>
      </w:r>
    </w:p>
    <w:p w:rsidR="00F04A2C" w:rsidP="00B26304" w:rsidRDefault="00F04A2C" w14:paraId="0979A9CA" w14:textId="3C57A08F"/>
    <w:p w:rsidR="00F04A2C" w:rsidP="00F04A2C" w:rsidRDefault="00C86966" w14:paraId="1B736DD2" w14:textId="2CC4C6C5">
      <w:pPr>
        <w:pStyle w:val="ListParagraph"/>
        <w:numPr>
          <w:ilvl w:val="1"/>
          <w:numId w:val="1"/>
        </w:numPr>
      </w:pPr>
      <w:r>
        <w:t>Personnel from the Bureau of Alcohol, Tobacco, Firearms and Explosives (ATF) use the</w:t>
      </w:r>
      <w:r w:rsidR="00F04A2C">
        <w:t xml:space="preserve"> data </w:t>
      </w:r>
      <w:r>
        <w:t xml:space="preserve">collected </w:t>
      </w:r>
      <w:r w:rsidR="00FB519A">
        <w:t xml:space="preserve">from </w:t>
      </w:r>
      <w:r w:rsidR="00F04A2C">
        <w:t>this information collection request</w:t>
      </w:r>
      <w:r w:rsidR="00E80E2E">
        <w:t xml:space="preserve"> (ICR)</w:t>
      </w:r>
      <w:r w:rsidR="00F04A2C">
        <w:t xml:space="preserve"> to determine if articles meet the statutory and regulatory criteria for importation</w:t>
      </w:r>
      <w:r>
        <w:t>. The collected information also ensures</w:t>
      </w:r>
      <w:r w:rsidR="00F04A2C">
        <w:t xml:space="preserve"> </w:t>
      </w:r>
      <w:r>
        <w:t xml:space="preserve">that the </w:t>
      </w:r>
      <w:r w:rsidR="00F04A2C">
        <w:t>articles shown on the permit application have actually been imported. The Release and Receipt of Imported Firearms, Ammunition and Defense Articles</w:t>
      </w:r>
      <w:r>
        <w:t xml:space="preserve"> -</w:t>
      </w:r>
      <w:r w:rsidR="00F04A2C">
        <w:t xml:space="preserve"> ATF F</w:t>
      </w:r>
      <w:r>
        <w:t>orm</w:t>
      </w:r>
      <w:r w:rsidR="00F04A2C">
        <w:t xml:space="preserve"> 6A (5330.3C) serves as the certification </w:t>
      </w:r>
      <w:r w:rsidR="00FB519A">
        <w:t xml:space="preserve">for the </w:t>
      </w:r>
      <w:r w:rsidR="00F04A2C">
        <w:t>release and receipt of the articles described on the permit application. The form is used by federally licensed and/or registered importers, Federal firearms licensees</w:t>
      </w:r>
      <w:r w:rsidR="00FB519A">
        <w:t xml:space="preserve"> </w:t>
      </w:r>
      <w:r w:rsidR="00F04A2C">
        <w:t>other than importers, members of the U.S. Armed Forces</w:t>
      </w:r>
      <w:r>
        <w:t>,</w:t>
      </w:r>
      <w:r w:rsidR="00F04A2C">
        <w:t xml:space="preserve"> and persons not licensed by or registered with ATF.</w:t>
      </w:r>
    </w:p>
    <w:p w:rsidR="00F04A2C" w:rsidP="00F04A2C" w:rsidRDefault="00F04A2C" w14:paraId="3648D70C" w14:textId="77777777"/>
    <w:p w:rsidR="00F04A2C" w:rsidP="00F04A2C" w:rsidRDefault="00F04A2C" w14:paraId="236EC552" w14:textId="706D11A4">
      <w:pPr>
        <w:numPr>
          <w:ilvl w:val="1"/>
          <w:numId w:val="6"/>
        </w:numPr>
      </w:pPr>
      <w:r>
        <w:t>ATF F</w:t>
      </w:r>
      <w:r w:rsidR="00C86966">
        <w:t>orm</w:t>
      </w:r>
      <w:r>
        <w:t xml:space="preserve"> 6A (5330.3C) is available on the website </w:t>
      </w:r>
      <w:r w:rsidR="00106E4F">
        <w:t>(</w:t>
      </w:r>
      <w:hyperlink w:history="1" r:id="rId11">
        <w:r>
          <w:rPr>
            <w:rStyle w:val="Hyperlink"/>
          </w:rPr>
          <w:t>www.atf.gov</w:t>
        </w:r>
      </w:hyperlink>
      <w:r w:rsidR="00106E4F">
        <w:rPr>
          <w:rStyle w:val="Hyperlink"/>
        </w:rPr>
        <w:t>)</w:t>
      </w:r>
      <w:r>
        <w:t xml:space="preserve"> and is fillable.  The form may be printed</w:t>
      </w:r>
      <w:r w:rsidR="00C86966">
        <w:t>, completed</w:t>
      </w:r>
      <w:r w:rsidR="00600019">
        <w:t>,</w:t>
      </w:r>
      <w:r>
        <w:t xml:space="preserve"> and mailed to ATF. The form may also be completed, signed, and submitted electronically to ATF via the </w:t>
      </w:r>
      <w:r w:rsidR="001334FA">
        <w:t xml:space="preserve">eForms </w:t>
      </w:r>
      <w:r w:rsidR="0020577F">
        <w:t>platform</w:t>
      </w:r>
      <w:r w:rsidR="00606528">
        <w:t xml:space="preserve"> </w:t>
      </w:r>
      <w:r w:rsidR="0020577F">
        <w:t>(</w:t>
      </w:r>
      <w:r w:rsidR="00606528">
        <w:t>www.atfonline.gov</w:t>
      </w:r>
      <w:r w:rsidR="0020577F">
        <w:t>)</w:t>
      </w:r>
      <w:r>
        <w:t xml:space="preserve">. The respondent must present </w:t>
      </w:r>
      <w:r w:rsidR="00C86966">
        <w:t xml:space="preserve">the completed ATF Form 6A (5330.3C) </w:t>
      </w:r>
      <w:r>
        <w:t xml:space="preserve">to U.S. Customs and Border Protection (CBP). If CBP </w:t>
      </w:r>
      <w:r w:rsidR="00C86966">
        <w:t xml:space="preserve">personnel </w:t>
      </w:r>
      <w:r>
        <w:t xml:space="preserve">is satisfied that the Director of ATF has authorized the importation, CBP will release the shipment. The importer’s copy </w:t>
      </w:r>
      <w:r w:rsidR="00C86966">
        <w:t xml:space="preserve">of ATF Form 6A (5330.3C) </w:t>
      </w:r>
      <w:r>
        <w:t>must be mailed to ATF. ATF</w:t>
      </w:r>
      <w:r>
        <w:rPr>
          <w:color w:val="000000"/>
        </w:rPr>
        <w:t xml:space="preserve"> regulations</w:t>
      </w:r>
      <w:r w:rsidR="00054F18">
        <w:rPr>
          <w:color w:val="000000"/>
        </w:rPr>
        <w:t xml:space="preserve"> also</w:t>
      </w:r>
      <w:r w:rsidR="0020577F">
        <w:rPr>
          <w:color w:val="000000"/>
        </w:rPr>
        <w:t xml:space="preserve"> require that</w:t>
      </w:r>
      <w:r>
        <w:rPr>
          <w:color w:val="000000"/>
        </w:rPr>
        <w:t xml:space="preserve"> </w:t>
      </w:r>
      <w:r w:rsidR="0020577F">
        <w:t xml:space="preserve">ATF Form 6A (5330.3C) </w:t>
      </w:r>
      <w:r>
        <w:rPr>
          <w:color w:val="000000"/>
        </w:rPr>
        <w:t>be filed in duplicate. This provides ATF with notification that the defense articles have entered in the U</w:t>
      </w:r>
      <w:r w:rsidR="00600019">
        <w:rPr>
          <w:color w:val="000000"/>
        </w:rPr>
        <w:t xml:space="preserve">nited </w:t>
      </w:r>
      <w:r>
        <w:rPr>
          <w:color w:val="000000"/>
        </w:rPr>
        <w:t>S</w:t>
      </w:r>
      <w:r w:rsidR="00600019">
        <w:rPr>
          <w:color w:val="000000"/>
        </w:rPr>
        <w:t>tates</w:t>
      </w:r>
      <w:r>
        <w:rPr>
          <w:color w:val="000000"/>
        </w:rPr>
        <w:t xml:space="preserve">. Within 15 days of release from CBP custody, the licensed and/or registered importer is required to examine the shipment, complete Section III </w:t>
      </w:r>
      <w:r w:rsidR="005E2C3A">
        <w:rPr>
          <w:color w:val="000000"/>
        </w:rPr>
        <w:t xml:space="preserve">of the form </w:t>
      </w:r>
      <w:r>
        <w:rPr>
          <w:color w:val="000000"/>
        </w:rPr>
        <w:t xml:space="preserve">as appropriate, attach any </w:t>
      </w:r>
      <w:r w:rsidR="00054F18">
        <w:rPr>
          <w:color w:val="000000"/>
        </w:rPr>
        <w:t xml:space="preserve">required </w:t>
      </w:r>
      <w:r>
        <w:rPr>
          <w:color w:val="000000"/>
        </w:rPr>
        <w:t>serial number</w:t>
      </w:r>
      <w:r w:rsidR="00054F18">
        <w:rPr>
          <w:color w:val="000000"/>
        </w:rPr>
        <w:t xml:space="preserve">, </w:t>
      </w:r>
      <w:r>
        <w:rPr>
          <w:color w:val="000000"/>
        </w:rPr>
        <w:t xml:space="preserve">and forward the form to ATF. CBP does not necessarily examine </w:t>
      </w:r>
      <w:r>
        <w:rPr>
          <w:color w:val="000000"/>
        </w:rPr>
        <w:lastRenderedPageBreak/>
        <w:t>the actual shipment</w:t>
      </w:r>
      <w:r w:rsidR="008D3AE0">
        <w:rPr>
          <w:color w:val="000000"/>
        </w:rPr>
        <w:t xml:space="preserve">. However, </w:t>
      </w:r>
      <w:r>
        <w:rPr>
          <w:color w:val="000000"/>
        </w:rPr>
        <w:t xml:space="preserve">their notification is </w:t>
      </w:r>
      <w:r w:rsidR="008D3AE0">
        <w:rPr>
          <w:color w:val="000000"/>
        </w:rPr>
        <w:t>a confirmation</w:t>
      </w:r>
      <w:r>
        <w:rPr>
          <w:color w:val="000000"/>
        </w:rPr>
        <w:t xml:space="preserve"> that the articles have </w:t>
      </w:r>
      <w:r w:rsidR="001334FA">
        <w:rPr>
          <w:color w:val="000000"/>
        </w:rPr>
        <w:t>entered</w:t>
      </w:r>
      <w:r>
        <w:rPr>
          <w:color w:val="000000"/>
        </w:rPr>
        <w:t xml:space="preserve"> the US. The licensed/registered importer is required to examine the shipment, notify ATF of any discrepancies (so our records </w:t>
      </w:r>
      <w:r w:rsidR="001334FA">
        <w:rPr>
          <w:color w:val="000000"/>
        </w:rPr>
        <w:t>updated</w:t>
      </w:r>
      <w:r>
        <w:rPr>
          <w:color w:val="000000"/>
        </w:rPr>
        <w:t>), and report the serial numbers as applicable.</w:t>
      </w:r>
      <w:r>
        <w:t xml:space="preserve">    </w:t>
      </w:r>
    </w:p>
    <w:p w:rsidR="00F04A2C" w:rsidP="00F04A2C" w:rsidRDefault="00F04A2C" w14:paraId="6B94AC15" w14:textId="77777777"/>
    <w:p w:rsidR="00F04A2C" w:rsidP="00F04A2C" w:rsidRDefault="00F04A2C" w14:paraId="419AA4E7" w14:textId="411E0A5D">
      <w:pPr>
        <w:numPr>
          <w:ilvl w:val="1"/>
          <w:numId w:val="6"/>
        </w:numPr>
      </w:pPr>
      <w:r>
        <w:t>ATF uses a subject classification system to identify duplication and to ensure that any similar information already available cannot be used or modified for use for the purpose of this information collection.</w:t>
      </w:r>
    </w:p>
    <w:p w:rsidR="00F04A2C" w:rsidP="00F04A2C" w:rsidRDefault="00F04A2C" w14:paraId="64B514BF" w14:textId="77777777"/>
    <w:p w:rsidR="00F04A2C" w:rsidP="00F04A2C" w:rsidRDefault="00F04A2C" w14:paraId="11E9D3A2" w14:textId="46358ADD">
      <w:pPr>
        <w:numPr>
          <w:ilvl w:val="1"/>
          <w:numId w:val="6"/>
        </w:numPr>
      </w:pPr>
      <w:r>
        <w:t xml:space="preserve">This information collection </w:t>
      </w:r>
      <w:r w:rsidR="0020577F">
        <w:t>does not affect</w:t>
      </w:r>
      <w:r>
        <w:t xml:space="preserve"> small businesses.</w:t>
      </w:r>
    </w:p>
    <w:p w:rsidR="00F04A2C" w:rsidP="00F04A2C" w:rsidRDefault="00F04A2C" w14:paraId="5268A513" w14:textId="77777777"/>
    <w:p w:rsidR="00F04A2C" w:rsidP="00F04A2C" w:rsidRDefault="00F04A2C" w14:paraId="13919EB9" w14:textId="7D7FB494">
      <w:pPr>
        <w:numPr>
          <w:ilvl w:val="1"/>
          <w:numId w:val="6"/>
        </w:numPr>
      </w:pPr>
      <w:r>
        <w:t>The consequences of discontinuing the requirement for ATF F</w:t>
      </w:r>
      <w:r w:rsidR="00054F18">
        <w:t>orm</w:t>
      </w:r>
      <w:r>
        <w:t xml:space="preserve"> 6A</w:t>
      </w:r>
      <w:r w:rsidR="005E2C3A">
        <w:t xml:space="preserve"> </w:t>
      </w:r>
      <w:r w:rsidR="001334FA">
        <w:t>(5330.3C)</w:t>
      </w:r>
      <w:r>
        <w:t xml:space="preserve"> are that licensed importers, dealers, and military personnel would be unable to import firearms, ammunition, and </w:t>
      </w:r>
      <w:r w:rsidR="001334FA">
        <w:t xml:space="preserve">defense articles </w:t>
      </w:r>
      <w:r>
        <w:t>as allowed by statute.  Shipments would be detained by CBP</w:t>
      </w:r>
      <w:r w:rsidR="00600019">
        <w:t>,</w:t>
      </w:r>
      <w:r>
        <w:t xml:space="preserve"> resulting in unnecessary expense to the industry. Less frequent collection of this information would substantially increase the possibility </w:t>
      </w:r>
      <w:r w:rsidR="00600019">
        <w:t xml:space="preserve">of </w:t>
      </w:r>
      <w:r>
        <w:t xml:space="preserve">the illegal introduction of firearms, ammunition, and </w:t>
      </w:r>
      <w:r w:rsidR="00054F18">
        <w:t>defense articles into domestic commerce</w:t>
      </w:r>
      <w:r>
        <w:t>. This</w:t>
      </w:r>
      <w:r w:rsidR="00054F18">
        <w:t xml:space="preserve"> situation</w:t>
      </w:r>
      <w:r>
        <w:t xml:space="preserve"> would threat</w:t>
      </w:r>
      <w:r w:rsidR="00054F18">
        <w:t>en</w:t>
      </w:r>
      <w:r>
        <w:t xml:space="preserve"> public safety by exacerbating crime and violence</w:t>
      </w:r>
      <w:r w:rsidR="00054F18">
        <w:t>, while</w:t>
      </w:r>
      <w:r>
        <w:t xml:space="preserve"> undermining the declared law enforcement, foreign policy, and revenue purposes of 18 U.S.C.</w:t>
      </w:r>
      <w:r w:rsidR="001334FA">
        <w:t xml:space="preserve"> §</w:t>
      </w:r>
      <w:r>
        <w:t xml:space="preserve"> 925(a), 22 U.S.C.</w:t>
      </w:r>
      <w:r w:rsidR="001334FA">
        <w:t xml:space="preserve"> §</w:t>
      </w:r>
      <w:r>
        <w:t xml:space="preserve"> 2778, and 26 U.S.C.</w:t>
      </w:r>
      <w:r w:rsidR="001334FA">
        <w:t xml:space="preserve"> §</w:t>
      </w:r>
      <w:r>
        <w:t xml:space="preserve"> 5844.</w:t>
      </w:r>
    </w:p>
    <w:p w:rsidR="00F04A2C" w:rsidP="00F04A2C" w:rsidRDefault="00F04A2C" w14:paraId="5482EA5C" w14:textId="77777777"/>
    <w:p w:rsidR="00F04A2C" w:rsidP="00F04A2C" w:rsidRDefault="00F04A2C" w14:paraId="3D65AC61" w14:textId="77777777">
      <w:pPr>
        <w:numPr>
          <w:ilvl w:val="1"/>
          <w:numId w:val="6"/>
        </w:numPr>
      </w:pPr>
      <w:r>
        <w:t>This information collection is conducted in a manner consistent with the guidelines of 5 CFR 1320.6.</w:t>
      </w:r>
    </w:p>
    <w:p w:rsidR="00F04A2C" w:rsidP="00F04A2C" w:rsidRDefault="00F04A2C" w14:paraId="0092E0BB" w14:textId="77777777"/>
    <w:p w:rsidR="00F04A2C" w:rsidP="00F04A2C" w:rsidRDefault="00C718F2" w14:paraId="1DC41118" w14:textId="4DDE987E">
      <w:pPr>
        <w:numPr>
          <w:ilvl w:val="1"/>
          <w:numId w:val="6"/>
        </w:numPr>
      </w:pPr>
      <w:r>
        <w:t xml:space="preserve">No comments </w:t>
      </w:r>
      <w:r w:rsidR="0066636E">
        <w:t>have been</w:t>
      </w:r>
      <w:bookmarkStart w:name="_GoBack" w:id="0"/>
      <w:bookmarkEnd w:id="0"/>
      <w:r>
        <w:t xml:space="preserve"> received during the </w:t>
      </w:r>
      <w:r w:rsidR="00F04A2C">
        <w:t>60-day</w:t>
      </w:r>
      <w:r>
        <w:t xml:space="preserve"> Federal Register notice period. However, </w:t>
      </w:r>
      <w:r w:rsidR="00054F18">
        <w:t>a 30-day</w:t>
      </w:r>
      <w:r w:rsidR="00F04A2C">
        <w:t xml:space="preserve"> notice</w:t>
      </w:r>
      <w:r w:rsidR="00054F18">
        <w:t xml:space="preserve"> will be published in the Federal Register to solicit public comments.</w:t>
      </w:r>
    </w:p>
    <w:p w:rsidR="00F04A2C" w:rsidP="00F04A2C" w:rsidRDefault="00F04A2C" w14:paraId="2D5E26F4" w14:textId="77777777"/>
    <w:p w:rsidR="00F04A2C" w:rsidP="00F04A2C" w:rsidRDefault="00F04A2C" w14:paraId="1009384C" w14:textId="77777777">
      <w:pPr>
        <w:numPr>
          <w:ilvl w:val="1"/>
          <w:numId w:val="6"/>
        </w:numPr>
        <w:tabs>
          <w:tab w:val="num" w:pos="1440"/>
        </w:tabs>
      </w:pPr>
      <w:r>
        <w:t>No payment or gift is associated with this information collection.</w:t>
      </w:r>
    </w:p>
    <w:p w:rsidR="00F04A2C" w:rsidP="00F04A2C" w:rsidRDefault="00F04A2C" w14:paraId="4CC168AE" w14:textId="77777777">
      <w:pPr>
        <w:tabs>
          <w:tab w:val="num" w:pos="1440"/>
        </w:tabs>
        <w:ind w:hanging="420"/>
      </w:pPr>
    </w:p>
    <w:p w:rsidR="00F04A2C" w:rsidP="00F04A2C" w:rsidRDefault="00F04A2C" w14:paraId="32D9ABB9" w14:textId="5F1974E6">
      <w:pPr>
        <w:numPr>
          <w:ilvl w:val="1"/>
          <w:numId w:val="6"/>
        </w:numPr>
        <w:tabs>
          <w:tab w:val="num" w:pos="1440"/>
        </w:tabs>
        <w:ind w:left="1440" w:hanging="450"/>
      </w:pPr>
      <w:r>
        <w:t xml:space="preserve">Disclosure of the information by the applicant is mandatory for the release and receipt of imported firearms, ammunition, and </w:t>
      </w:r>
      <w:r w:rsidR="00054F18">
        <w:t>defense articles</w:t>
      </w:r>
      <w:r>
        <w:t>. The</w:t>
      </w:r>
      <w:r w:rsidR="00054F18">
        <w:t xml:space="preserve"> collected</w:t>
      </w:r>
      <w:r>
        <w:t xml:space="preserve"> information is kept in a secured location. Confidentiality is not assured.  </w:t>
      </w:r>
    </w:p>
    <w:p w:rsidR="00F04A2C" w:rsidP="00F04A2C" w:rsidRDefault="00F04A2C" w14:paraId="639DA588" w14:textId="77777777">
      <w:pPr>
        <w:tabs>
          <w:tab w:val="num" w:pos="1440"/>
        </w:tabs>
        <w:ind w:hanging="420"/>
      </w:pPr>
    </w:p>
    <w:p w:rsidR="00F04A2C" w:rsidP="00F04A2C" w:rsidRDefault="00F04A2C" w14:paraId="31E43DA1" w14:textId="77777777">
      <w:pPr>
        <w:numPr>
          <w:ilvl w:val="1"/>
          <w:numId w:val="6"/>
        </w:numPr>
        <w:tabs>
          <w:tab w:val="num" w:pos="1440"/>
        </w:tabs>
        <w:ind w:hanging="510"/>
      </w:pPr>
      <w:r>
        <w:t>No questions of a sensitive nature are asked.</w:t>
      </w:r>
    </w:p>
    <w:p w:rsidR="00F04A2C" w:rsidP="00F04A2C" w:rsidRDefault="00F04A2C" w14:paraId="1C1D208F" w14:textId="77777777">
      <w:pPr>
        <w:tabs>
          <w:tab w:val="num" w:pos="1440"/>
        </w:tabs>
        <w:ind w:hanging="510"/>
      </w:pPr>
    </w:p>
    <w:p w:rsidR="00F04A2C" w:rsidP="00F04A2C" w:rsidRDefault="00F04A2C" w14:paraId="2476C3F9" w14:textId="6D11452C">
      <w:pPr>
        <w:numPr>
          <w:ilvl w:val="1"/>
          <w:numId w:val="6"/>
        </w:numPr>
        <w:tabs>
          <w:tab w:val="num" w:pos="1440"/>
        </w:tabs>
        <w:ind w:left="1440" w:hanging="510"/>
      </w:pPr>
      <w:r>
        <w:t xml:space="preserve">There are 28,000 respondents </w:t>
      </w:r>
      <w:r w:rsidR="0055669C">
        <w:t>to</w:t>
      </w:r>
      <w:r>
        <w:t xml:space="preserve"> this form. Each respondent completes the form </w:t>
      </w:r>
      <w:r w:rsidR="0055669C">
        <w:t>once per year</w:t>
      </w:r>
      <w:r>
        <w:t xml:space="preserve">. The total number of annual responses is 28,000. </w:t>
      </w:r>
      <w:r w:rsidR="0055669C">
        <w:t>The</w:t>
      </w:r>
      <w:r>
        <w:t xml:space="preserve"> </w:t>
      </w:r>
      <w:r w:rsidR="0055669C">
        <w:t>e</w:t>
      </w:r>
      <w:r>
        <w:t xml:space="preserve">stimated </w:t>
      </w:r>
      <w:r w:rsidR="009905B9">
        <w:t xml:space="preserve">time to complete this form is </w:t>
      </w:r>
      <w:r w:rsidR="00CE614D">
        <w:t xml:space="preserve">35 </w:t>
      </w:r>
      <w:r>
        <w:t>minutes. The</w:t>
      </w:r>
      <w:r w:rsidR="0055669C">
        <w:t>refore</w:t>
      </w:r>
      <w:r w:rsidR="00CE614D">
        <w:t>,</w:t>
      </w:r>
      <w:r>
        <w:t xml:space="preserve"> total burden associated</w:t>
      </w:r>
      <w:r w:rsidR="009905B9">
        <w:t xml:space="preserve"> with this form is </w:t>
      </w:r>
      <w:r w:rsidR="00CE614D">
        <w:t xml:space="preserve">16,333 </w:t>
      </w:r>
      <w:r>
        <w:t>hours.</w:t>
      </w:r>
    </w:p>
    <w:p w:rsidR="00F04A2C" w:rsidP="00F04A2C" w:rsidRDefault="00F04A2C" w14:paraId="7B48FFDE" w14:textId="77777777">
      <w:pPr>
        <w:tabs>
          <w:tab w:val="num" w:pos="1440"/>
        </w:tabs>
        <w:ind w:left="1440" w:hanging="510"/>
      </w:pPr>
    </w:p>
    <w:p w:rsidR="00F04A2C" w:rsidP="00F04A2C" w:rsidRDefault="0055669C" w14:paraId="3A8CF4BD" w14:textId="694E30F1">
      <w:pPr>
        <w:numPr>
          <w:ilvl w:val="1"/>
          <w:numId w:val="6"/>
        </w:numPr>
        <w:tabs>
          <w:tab w:val="left" w:pos="1440"/>
        </w:tabs>
        <w:ind w:left="1440" w:hanging="450"/>
      </w:pPr>
      <w:r>
        <w:t xml:space="preserve">Respondents who </w:t>
      </w:r>
      <w:r w:rsidR="00F04A2C">
        <w:t>do not file electronically must mail the</w:t>
      </w:r>
      <w:r>
        <w:t xml:space="preserve"> completed</w:t>
      </w:r>
      <w:r w:rsidR="00F04A2C">
        <w:t xml:space="preserve"> form to ATF.  Approximately 10% of the respondents file electronically. The costs to respondents </w:t>
      </w:r>
      <w:r>
        <w:t xml:space="preserve">who </w:t>
      </w:r>
      <w:r w:rsidR="00F04A2C">
        <w:t>choose not to file electronically is postage. The</w:t>
      </w:r>
      <w:r>
        <w:t>refore</w:t>
      </w:r>
      <w:r w:rsidR="00CE614D">
        <w:t>,</w:t>
      </w:r>
      <w:r>
        <w:t xml:space="preserve"> the total</w:t>
      </w:r>
      <w:r w:rsidR="00F04A2C">
        <w:t xml:space="preserve"> </w:t>
      </w:r>
      <w:r w:rsidR="00F04A2C">
        <w:lastRenderedPageBreak/>
        <w:t xml:space="preserve">postage cost </w:t>
      </w:r>
      <w:r>
        <w:t xml:space="preserve">for this IC can be calculated as follows: </w:t>
      </w:r>
      <w:r w:rsidR="00F04A2C">
        <w:t>28,000</w:t>
      </w:r>
      <w:r>
        <w:t xml:space="preserve"> (total respondents)</w:t>
      </w:r>
      <w:r w:rsidR="00F04A2C">
        <w:t xml:space="preserve"> x.49 </w:t>
      </w:r>
      <w:r>
        <w:t>(</w:t>
      </w:r>
      <w:r w:rsidR="00F04A2C">
        <w:t>postage</w:t>
      </w:r>
      <w:r>
        <w:t xml:space="preserve"> cost per respondent)</w:t>
      </w:r>
      <w:r w:rsidR="00F04A2C">
        <w:t xml:space="preserve"> = $13,720.</w:t>
      </w:r>
    </w:p>
    <w:p w:rsidR="00F04A2C" w:rsidP="00F04A2C" w:rsidRDefault="00F04A2C" w14:paraId="4C95D1B3" w14:textId="77777777">
      <w:pPr>
        <w:tabs>
          <w:tab w:val="num" w:pos="1440"/>
        </w:tabs>
        <w:ind w:hanging="510"/>
      </w:pPr>
    </w:p>
    <w:p w:rsidR="00F04A2C" w:rsidP="000A072A" w:rsidRDefault="0055669C" w14:paraId="2A9A8E1B" w14:textId="14F875E0">
      <w:pPr>
        <w:numPr>
          <w:ilvl w:val="1"/>
          <w:numId w:val="6"/>
        </w:numPr>
        <w:tabs>
          <w:tab w:val="num" w:pos="1440"/>
        </w:tabs>
        <w:ind w:left="1440" w:hanging="510"/>
      </w:pPr>
      <w:r>
        <w:t>The estimates</w:t>
      </w:r>
      <w:r w:rsidR="00F04A2C">
        <w:t xml:space="preserve"> annual cost to the Federal Government </w:t>
      </w:r>
      <w:r>
        <w:t>is calculated as follows</w:t>
      </w:r>
      <w:r w:rsidR="00F04A2C">
        <w:t>: $2,200</w:t>
      </w:r>
      <w:r w:rsidR="005E2C3A">
        <w:t xml:space="preserve"> (</w:t>
      </w:r>
      <w:r w:rsidR="00606528">
        <w:t>p</w:t>
      </w:r>
      <w:r w:rsidR="005E2C3A">
        <w:t xml:space="preserve">rinting costs) </w:t>
      </w:r>
      <w:r>
        <w:t>+</w:t>
      </w:r>
      <w:r w:rsidR="005E2C3A">
        <w:t xml:space="preserve"> $42,000 (</w:t>
      </w:r>
      <w:r w:rsidR="00606528">
        <w:t>l</w:t>
      </w:r>
      <w:r w:rsidR="00F04A2C">
        <w:t>abor</w:t>
      </w:r>
      <w:r w:rsidR="005E2C3A">
        <w:t xml:space="preserve"> costs) </w:t>
      </w:r>
      <w:r>
        <w:t>=</w:t>
      </w:r>
      <w:r w:rsidR="00F04A2C">
        <w:t xml:space="preserve"> $44,200.</w:t>
      </w:r>
    </w:p>
    <w:p w:rsidR="00F04A2C" w:rsidP="00F04A2C" w:rsidRDefault="00F04A2C" w14:paraId="064A5FA1" w14:textId="77777777">
      <w:pPr>
        <w:tabs>
          <w:tab w:val="num" w:pos="1440"/>
        </w:tabs>
        <w:ind w:hanging="510"/>
      </w:pPr>
    </w:p>
    <w:p w:rsidRPr="00B26304" w:rsidR="00F04A2C" w:rsidP="00F04A2C" w:rsidRDefault="00CE614D" w14:paraId="6E435158" w14:textId="359D914D">
      <w:pPr>
        <w:numPr>
          <w:ilvl w:val="1"/>
          <w:numId w:val="6"/>
        </w:numPr>
        <w:tabs>
          <w:tab w:val="num" w:pos="720"/>
          <w:tab w:val="num" w:pos="1440"/>
        </w:tabs>
        <w:ind w:left="1440" w:hanging="450"/>
      </w:pPr>
      <w:r>
        <w:t xml:space="preserve">There are no </w:t>
      </w:r>
      <w:r w:rsidRPr="00B26304">
        <w:t>adjustments to this information collection</w:t>
      </w:r>
      <w:r w:rsidRPr="00B26304" w:rsidR="00F04A2C">
        <w:t xml:space="preserve">.  </w:t>
      </w:r>
    </w:p>
    <w:p w:rsidR="00F04A2C" w:rsidP="00F04A2C" w:rsidRDefault="00F04A2C" w14:paraId="27947D1B" w14:textId="77777777">
      <w:pPr>
        <w:tabs>
          <w:tab w:val="num" w:pos="1440"/>
        </w:tabs>
        <w:ind w:left="1500" w:hanging="510"/>
      </w:pPr>
      <w:r>
        <w:t xml:space="preserve"> </w:t>
      </w:r>
    </w:p>
    <w:p w:rsidR="00F04A2C" w:rsidP="00F04A2C" w:rsidRDefault="00F04A2C" w14:paraId="06902A16" w14:textId="77777777">
      <w:pPr>
        <w:numPr>
          <w:ilvl w:val="1"/>
          <w:numId w:val="6"/>
        </w:numPr>
        <w:tabs>
          <w:tab w:val="num" w:pos="1440"/>
        </w:tabs>
        <w:ind w:hanging="510"/>
      </w:pPr>
      <w:r>
        <w:t>The results of this collection will not be published.</w:t>
      </w:r>
    </w:p>
    <w:p w:rsidR="00F04A2C" w:rsidP="00F04A2C" w:rsidRDefault="00F04A2C" w14:paraId="63AB4716" w14:textId="77777777">
      <w:pPr>
        <w:tabs>
          <w:tab w:val="num" w:pos="1440"/>
        </w:tabs>
        <w:ind w:hanging="510"/>
      </w:pPr>
    </w:p>
    <w:p w:rsidR="00F04A2C" w:rsidP="001334FA" w:rsidRDefault="00F04A2C" w14:paraId="3CD30091" w14:textId="45AD5C0D">
      <w:pPr>
        <w:numPr>
          <w:ilvl w:val="1"/>
          <w:numId w:val="6"/>
        </w:numPr>
        <w:tabs>
          <w:tab w:val="clear" w:pos="1500"/>
          <w:tab w:val="num" w:pos="1440"/>
        </w:tabs>
        <w:ind w:left="1440" w:hanging="450"/>
      </w:pPr>
      <w:r>
        <w:t>ATF does not request approval to omit the expiration date of OMB approval for</w:t>
      </w:r>
      <w:r w:rsidR="001334FA">
        <w:t xml:space="preserve"> </w:t>
      </w:r>
      <w:r>
        <w:t>this information collection.</w:t>
      </w:r>
    </w:p>
    <w:p w:rsidR="00F04A2C" w:rsidP="00F04A2C" w:rsidRDefault="00F04A2C" w14:paraId="05C991E5" w14:textId="77777777">
      <w:pPr>
        <w:tabs>
          <w:tab w:val="num" w:pos="1440"/>
        </w:tabs>
        <w:ind w:hanging="510"/>
      </w:pPr>
    </w:p>
    <w:p w:rsidR="00F04A2C" w:rsidP="00F04A2C" w:rsidRDefault="00F04A2C" w14:paraId="20EEC227" w14:textId="77777777">
      <w:pPr>
        <w:numPr>
          <w:ilvl w:val="1"/>
          <w:numId w:val="6"/>
        </w:numPr>
        <w:tabs>
          <w:tab w:val="num" w:pos="1440"/>
        </w:tabs>
        <w:ind w:hanging="510"/>
      </w:pPr>
      <w:r>
        <w:t>There are no exceptions to the certification statement.</w:t>
      </w:r>
    </w:p>
    <w:p w:rsidR="00F04A2C" w:rsidP="00F04A2C" w:rsidRDefault="00F04A2C" w14:paraId="029B2258" w14:textId="77777777"/>
    <w:p w:rsidR="00F04A2C" w:rsidP="00F04A2C" w:rsidRDefault="00F04A2C" w14:paraId="14814B16" w14:textId="77777777">
      <w:pPr>
        <w:numPr>
          <w:ilvl w:val="0"/>
          <w:numId w:val="6"/>
        </w:numPr>
      </w:pPr>
      <w:r>
        <w:t>Collections of Information Employing Statistical Methods</w:t>
      </w:r>
    </w:p>
    <w:p w:rsidR="00F04A2C" w:rsidP="00F04A2C" w:rsidRDefault="00F04A2C" w14:paraId="3F2A388D" w14:textId="77777777"/>
    <w:p w:rsidR="00F04A2C" w:rsidP="00F04A2C" w:rsidRDefault="00F04A2C" w14:paraId="51C8547C" w14:textId="77777777">
      <w:pPr>
        <w:ind w:left="45" w:firstLine="720"/>
      </w:pPr>
      <w:r>
        <w:t xml:space="preserve">   This information request does not employ statistical methods.</w:t>
      </w:r>
    </w:p>
    <w:p w:rsidR="00F04A2C" w:rsidP="00365496" w:rsidRDefault="00F04A2C" w14:paraId="0D5DFC08" w14:textId="77777777">
      <w:pPr>
        <w:tabs>
          <w:tab w:val="left" w:pos="990"/>
        </w:tabs>
        <w:ind w:left="900" w:hanging="180"/>
        <w:contextualSpacing/>
        <w:rPr>
          <w:rFonts w:eastAsia="Calibri"/>
          <w:szCs w:val="22"/>
        </w:rPr>
      </w:pPr>
    </w:p>
    <w:p w:rsidRPr="00307603" w:rsidR="00365496" w:rsidP="00FC0ACC" w:rsidRDefault="00365496" w14:paraId="699A705B" w14:textId="77777777">
      <w:pPr>
        <w:ind w:left="45" w:firstLine="720"/>
      </w:pPr>
    </w:p>
    <w:sectPr w:rsidRPr="00307603" w:rsidR="00365496" w:rsidSect="00C86966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F9CC3" w14:textId="77777777" w:rsidR="00677824" w:rsidRDefault="00677824">
      <w:r>
        <w:separator/>
      </w:r>
    </w:p>
  </w:endnote>
  <w:endnote w:type="continuationSeparator" w:id="0">
    <w:p w14:paraId="077373CF" w14:textId="77777777" w:rsidR="00677824" w:rsidRDefault="0067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0675" w14:textId="77777777" w:rsidR="009634D5" w:rsidRDefault="009634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B8AA6" w14:textId="77777777" w:rsidR="009634D5" w:rsidRDefault="00963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6A47" w14:textId="695B383F" w:rsidR="009634D5" w:rsidRDefault="009634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7AE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EBFDE9" w14:textId="77777777" w:rsidR="009634D5" w:rsidRDefault="00963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173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D2D33" w14:textId="45FADBA2" w:rsidR="00C86966" w:rsidRDefault="00C86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626A1A" w14:textId="77777777" w:rsidR="00C86966" w:rsidRDefault="00C86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33B0" w14:textId="77777777" w:rsidR="00677824" w:rsidRDefault="00677824">
      <w:r>
        <w:separator/>
      </w:r>
    </w:p>
  </w:footnote>
  <w:footnote w:type="continuationSeparator" w:id="0">
    <w:p w14:paraId="1209209B" w14:textId="77777777" w:rsidR="00677824" w:rsidRDefault="0067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2D87"/>
    <w:multiLevelType w:val="hybridMultilevel"/>
    <w:tmpl w:val="846E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1697F"/>
    <w:multiLevelType w:val="hybridMultilevel"/>
    <w:tmpl w:val="0222435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402500EC"/>
    <w:multiLevelType w:val="hybridMultilevel"/>
    <w:tmpl w:val="200AA258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47CF0A85"/>
    <w:multiLevelType w:val="hybridMultilevel"/>
    <w:tmpl w:val="607E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1DCA"/>
    <w:multiLevelType w:val="hybridMultilevel"/>
    <w:tmpl w:val="5D68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5F0"/>
    <w:multiLevelType w:val="hybridMultilevel"/>
    <w:tmpl w:val="08BEC132"/>
    <w:lvl w:ilvl="0" w:tplc="132C02C8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9661346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5494A"/>
    <w:multiLevelType w:val="hybridMultilevel"/>
    <w:tmpl w:val="C026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64"/>
    <w:rsid w:val="000027D2"/>
    <w:rsid w:val="00054F18"/>
    <w:rsid w:val="00062353"/>
    <w:rsid w:val="0008255D"/>
    <w:rsid w:val="00095D4C"/>
    <w:rsid w:val="000A072A"/>
    <w:rsid w:val="00106E4F"/>
    <w:rsid w:val="00112D5E"/>
    <w:rsid w:val="001334FA"/>
    <w:rsid w:val="001A6149"/>
    <w:rsid w:val="00200E97"/>
    <w:rsid w:val="0020577F"/>
    <w:rsid w:val="00253001"/>
    <w:rsid w:val="00284317"/>
    <w:rsid w:val="002A5353"/>
    <w:rsid w:val="002A74CF"/>
    <w:rsid w:val="002B5152"/>
    <w:rsid w:val="002F4965"/>
    <w:rsid w:val="00307603"/>
    <w:rsid w:val="003420C1"/>
    <w:rsid w:val="0035022A"/>
    <w:rsid w:val="00365496"/>
    <w:rsid w:val="00367FA3"/>
    <w:rsid w:val="003714A6"/>
    <w:rsid w:val="003C3AD2"/>
    <w:rsid w:val="003E3D13"/>
    <w:rsid w:val="003F0CFB"/>
    <w:rsid w:val="00406FFB"/>
    <w:rsid w:val="00431B31"/>
    <w:rsid w:val="00470D75"/>
    <w:rsid w:val="004B6152"/>
    <w:rsid w:val="004C0616"/>
    <w:rsid w:val="004D1B64"/>
    <w:rsid w:val="004E438E"/>
    <w:rsid w:val="004E76CA"/>
    <w:rsid w:val="00503DCD"/>
    <w:rsid w:val="0055669C"/>
    <w:rsid w:val="00566904"/>
    <w:rsid w:val="00592CAC"/>
    <w:rsid w:val="005E2C3A"/>
    <w:rsid w:val="005F272D"/>
    <w:rsid w:val="00600019"/>
    <w:rsid w:val="00606528"/>
    <w:rsid w:val="00624216"/>
    <w:rsid w:val="0066636E"/>
    <w:rsid w:val="00677824"/>
    <w:rsid w:val="006B1BE2"/>
    <w:rsid w:val="007066ED"/>
    <w:rsid w:val="007068BB"/>
    <w:rsid w:val="00734D23"/>
    <w:rsid w:val="007949AC"/>
    <w:rsid w:val="007A2BAA"/>
    <w:rsid w:val="007C0F02"/>
    <w:rsid w:val="007E76D8"/>
    <w:rsid w:val="007F70C9"/>
    <w:rsid w:val="00845006"/>
    <w:rsid w:val="008C69D5"/>
    <w:rsid w:val="008D3AE0"/>
    <w:rsid w:val="009404C5"/>
    <w:rsid w:val="00947C65"/>
    <w:rsid w:val="009634D5"/>
    <w:rsid w:val="00970897"/>
    <w:rsid w:val="009905B9"/>
    <w:rsid w:val="009940DC"/>
    <w:rsid w:val="009A5C77"/>
    <w:rsid w:val="009B079F"/>
    <w:rsid w:val="009B17C7"/>
    <w:rsid w:val="009C2CF1"/>
    <w:rsid w:val="009E2196"/>
    <w:rsid w:val="009F38F3"/>
    <w:rsid w:val="00A305C4"/>
    <w:rsid w:val="00A82C40"/>
    <w:rsid w:val="00AA1EF8"/>
    <w:rsid w:val="00AC1C2F"/>
    <w:rsid w:val="00AD2583"/>
    <w:rsid w:val="00B113F7"/>
    <w:rsid w:val="00B23531"/>
    <w:rsid w:val="00B26304"/>
    <w:rsid w:val="00B90D21"/>
    <w:rsid w:val="00B962DB"/>
    <w:rsid w:val="00BB7AE6"/>
    <w:rsid w:val="00C15BDD"/>
    <w:rsid w:val="00C16881"/>
    <w:rsid w:val="00C515F4"/>
    <w:rsid w:val="00C57091"/>
    <w:rsid w:val="00C718F2"/>
    <w:rsid w:val="00C84EDB"/>
    <w:rsid w:val="00C86966"/>
    <w:rsid w:val="00CE614D"/>
    <w:rsid w:val="00D14800"/>
    <w:rsid w:val="00D1579F"/>
    <w:rsid w:val="00D15864"/>
    <w:rsid w:val="00D246BC"/>
    <w:rsid w:val="00D26488"/>
    <w:rsid w:val="00D264BC"/>
    <w:rsid w:val="00D324B1"/>
    <w:rsid w:val="00DB04F8"/>
    <w:rsid w:val="00DC1694"/>
    <w:rsid w:val="00DE04BF"/>
    <w:rsid w:val="00E02054"/>
    <w:rsid w:val="00E245FF"/>
    <w:rsid w:val="00E67FB7"/>
    <w:rsid w:val="00E7762C"/>
    <w:rsid w:val="00E80E2E"/>
    <w:rsid w:val="00E837F5"/>
    <w:rsid w:val="00EA6017"/>
    <w:rsid w:val="00EC0C7E"/>
    <w:rsid w:val="00ED2831"/>
    <w:rsid w:val="00F04A2C"/>
    <w:rsid w:val="00F251F8"/>
    <w:rsid w:val="00F4582F"/>
    <w:rsid w:val="00F46077"/>
    <w:rsid w:val="00F7074C"/>
    <w:rsid w:val="00F872B5"/>
    <w:rsid w:val="00FB37D4"/>
    <w:rsid w:val="00FB519A"/>
    <w:rsid w:val="00FC0ACC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6D677"/>
  <w15:chartTrackingRefBased/>
  <w15:docId w15:val="{91D20447-DA22-4CBA-A7DB-222D05D0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7949AC"/>
    <w:pPr>
      <w:ind w:left="720"/>
    </w:pPr>
  </w:style>
  <w:style w:type="character" w:styleId="Hyperlink">
    <w:name w:val="Hyperlink"/>
    <w:uiPriority w:val="99"/>
    <w:unhideWhenUsed/>
    <w:rsid w:val="00EC0C7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B1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BE2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FC0A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0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0ACC"/>
  </w:style>
  <w:style w:type="paragraph" w:styleId="CommentSubject">
    <w:name w:val="annotation subject"/>
    <w:basedOn w:val="CommentText"/>
    <w:next w:val="CommentText"/>
    <w:link w:val="CommentSubjectChar"/>
    <w:rsid w:val="00FC0ACC"/>
    <w:rPr>
      <w:b/>
      <w:bCs/>
    </w:rPr>
  </w:style>
  <w:style w:type="character" w:customStyle="1" w:styleId="CommentSubjectChar">
    <w:name w:val="Comment Subject Char"/>
    <w:link w:val="CommentSubject"/>
    <w:rsid w:val="00FC0ACC"/>
    <w:rPr>
      <w:b/>
      <w:bCs/>
    </w:rPr>
  </w:style>
  <w:style w:type="paragraph" w:styleId="Header">
    <w:name w:val="header"/>
    <w:basedOn w:val="Normal"/>
    <w:link w:val="HeaderChar"/>
    <w:rsid w:val="00C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696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tf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02A6456E12340B067C970D31CDF1A" ma:contentTypeVersion="8" ma:contentTypeDescription="Create a new document." ma:contentTypeScope="" ma:versionID="0581a5ca3aa2ae12591c612a5310c02c">
  <xsd:schema xmlns:xsd="http://www.w3.org/2001/XMLSchema" xmlns:xs="http://www.w3.org/2001/XMLSchema" xmlns:p="http://schemas.microsoft.com/office/2006/metadata/properties" xmlns:ns3="adde057a-4e11-461d-be09-6621893a59f0" targetNamespace="http://schemas.microsoft.com/office/2006/metadata/properties" ma:root="true" ma:fieldsID="3a814780ac148e4faae1af963eae9019" ns3:_="">
    <xsd:import namespace="adde057a-4e11-461d-be09-6621893a5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057a-4e11-461d-be09-6621893a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A493-FE0C-404A-A3E0-234ADF8D0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3F72E-095C-470B-A1C1-C7BF84F8D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BA461-32CF-4C23-A55A-5BA5B838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e057a-4e11-461d-be09-6621893a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2CFCE-6FCC-496A-9C11-B06FB678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5762</CharactersWithSpaces>
  <SharedDoc>false</SharedDoc>
  <HLinks>
    <vt:vector size="30" baseType="variant">
      <vt:variant>
        <vt:i4>3997797</vt:i4>
      </vt:variant>
      <vt:variant>
        <vt:i4>12</vt:i4>
      </vt:variant>
      <vt:variant>
        <vt:i4>0</vt:i4>
      </vt:variant>
      <vt:variant>
        <vt:i4>5</vt:i4>
      </vt:variant>
      <vt:variant>
        <vt:lpwstr>http://www.atf.gov/</vt:lpwstr>
      </vt:variant>
      <vt:variant>
        <vt:lpwstr/>
      </vt:variant>
      <vt:variant>
        <vt:i4>1835114</vt:i4>
      </vt:variant>
      <vt:variant>
        <vt:i4>9</vt:i4>
      </vt:variant>
      <vt:variant>
        <vt:i4>0</vt:i4>
      </vt:variant>
      <vt:variant>
        <vt:i4>5</vt:i4>
      </vt:variant>
      <vt:variant>
        <vt:lpwstr>mailto:Imports-Helpdesk@atf.gov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https://www.cbp.gov/document/guidance/atf-supplemental-guidance-ace</vt:lpwstr>
      </vt:variant>
      <vt:variant>
        <vt:lpwstr/>
      </vt:variant>
      <vt:variant>
        <vt:i4>1835114</vt:i4>
      </vt:variant>
      <vt:variant>
        <vt:i4>3</vt:i4>
      </vt:variant>
      <vt:variant>
        <vt:i4>0</vt:i4>
      </vt:variant>
      <vt:variant>
        <vt:i4>5</vt:i4>
      </vt:variant>
      <vt:variant>
        <vt:lpwstr>mailto:Imports-Helpdesk@atf.gov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https://www.cbp.gov/document/guidance/atf-supplemental-guidance-ace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Bolton, Tamelia A. (Contractor)</cp:lastModifiedBy>
  <cp:revision>2</cp:revision>
  <cp:lastPrinted>2007-01-17T15:57:00Z</cp:lastPrinted>
  <dcterms:created xsi:type="dcterms:W3CDTF">2021-01-26T14:39:00Z</dcterms:created>
  <dcterms:modified xsi:type="dcterms:W3CDTF">2021-01-26T14:39:00Z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0x0101007C402A6456E12340B067C970D31CDF1A</vt:lpwstr>
  </property>
</Properties>
</file>