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13DF" w:rsidR="006C7945" w:rsidP="00C515D3" w:rsidRDefault="006C7945" w14:paraId="5EE630DC" w14:textId="77777777">
      <w:pPr>
        <w:keepLines/>
        <w:widowControl/>
        <w:jc w:val="center"/>
        <w:rPr>
          <w:b/>
          <w:bCs/>
        </w:rPr>
      </w:pPr>
    </w:p>
    <w:p w:rsidRPr="001413DF" w:rsidR="00C515D3" w:rsidP="00C515D3" w:rsidRDefault="00C515D3" w14:paraId="3FED46DB" w14:textId="77777777">
      <w:pPr>
        <w:keepLines/>
        <w:widowControl/>
        <w:jc w:val="center"/>
        <w:rPr>
          <w:b/>
          <w:bCs/>
        </w:rPr>
      </w:pPr>
      <w:r w:rsidRPr="001413DF">
        <w:rPr>
          <w:b/>
          <w:bCs/>
        </w:rPr>
        <w:t>SUPPORTING STATEMENT FOR</w:t>
      </w:r>
    </w:p>
    <w:p w:rsidRPr="001413DF" w:rsidR="00C515D3" w:rsidP="00C515D3" w:rsidRDefault="00C515D3" w14:paraId="0CC41EB9" w14:textId="77777777">
      <w:pPr>
        <w:jc w:val="center"/>
        <w:rPr>
          <w:b/>
          <w:bCs/>
        </w:rPr>
      </w:pPr>
      <w:r w:rsidRPr="001413DF">
        <w:rPr>
          <w:b/>
          <w:bCs/>
        </w:rPr>
        <w:t>THE INFORMATION COLLECTION REQUIREMENTS OF</w:t>
      </w:r>
    </w:p>
    <w:p w:rsidRPr="001413DF" w:rsidR="00497460" w:rsidP="00C515D3" w:rsidRDefault="00497460" w14:paraId="5ADB468B" w14:textId="77777777">
      <w:pPr>
        <w:jc w:val="center"/>
        <w:rPr>
          <w:b/>
          <w:bCs/>
        </w:rPr>
      </w:pPr>
      <w:r w:rsidRPr="001413DF">
        <w:rPr>
          <w:b/>
          <w:bCs/>
        </w:rPr>
        <w:t xml:space="preserve">THE STANDARD ON </w:t>
      </w:r>
      <w:r w:rsidRPr="001413DF" w:rsidR="00C515D3">
        <w:rPr>
          <w:b/>
          <w:bCs/>
        </w:rPr>
        <w:t xml:space="preserve">MATERIAL HOISTS, </w:t>
      </w:r>
    </w:p>
    <w:p w:rsidRPr="001413DF" w:rsidR="00C515D3" w:rsidP="00C515D3" w:rsidRDefault="00C515D3" w14:paraId="292E2A33" w14:textId="77777777">
      <w:pPr>
        <w:jc w:val="center"/>
        <w:rPr>
          <w:b/>
          <w:bCs/>
        </w:rPr>
      </w:pPr>
      <w:r w:rsidRPr="001413DF">
        <w:rPr>
          <w:b/>
          <w:bCs/>
        </w:rPr>
        <w:t>PERSONNEL HOISTS, AND ELEVATORS (29 CFR 1926.552)</w:t>
      </w:r>
      <w:r w:rsidRPr="001413DF">
        <w:rPr>
          <w:rStyle w:val="FootnoteReference"/>
          <w:b/>
          <w:bCs/>
        </w:rPr>
        <w:footnoteReference w:id="1"/>
      </w:r>
    </w:p>
    <w:p w:rsidRPr="001413DF" w:rsidR="00497460" w:rsidP="00C515D3" w:rsidRDefault="00C515D3" w14:paraId="6B15A8FD" w14:textId="77777777">
      <w:pPr>
        <w:jc w:val="center"/>
        <w:rPr>
          <w:b/>
          <w:bCs/>
        </w:rPr>
      </w:pPr>
      <w:r w:rsidRPr="001413DF">
        <w:rPr>
          <w:b/>
          <w:bCs/>
        </w:rPr>
        <w:t>O</w:t>
      </w:r>
      <w:r w:rsidRPr="001413DF" w:rsidR="00497460">
        <w:rPr>
          <w:b/>
          <w:bCs/>
        </w:rPr>
        <w:t xml:space="preserve">FFICE OF MANAGEMENT AND BUDGET </w:t>
      </w:r>
    </w:p>
    <w:p w:rsidRPr="00171E1C" w:rsidR="00C515D3" w:rsidP="00C515D3" w:rsidRDefault="00DB6571" w14:paraId="3900D02C" w14:textId="51E41901">
      <w:pPr>
        <w:jc w:val="center"/>
        <w:rPr>
          <w:b/>
          <w:bCs/>
        </w:rPr>
      </w:pPr>
      <w:r w:rsidRPr="001413DF">
        <w:rPr>
          <w:b/>
          <w:bCs/>
        </w:rPr>
        <w:t>(</w:t>
      </w:r>
      <w:r w:rsidRPr="001413DF" w:rsidR="00497460">
        <w:rPr>
          <w:b/>
          <w:bCs/>
        </w:rPr>
        <w:t>O</w:t>
      </w:r>
      <w:r w:rsidRPr="001413DF" w:rsidR="00C515D3">
        <w:rPr>
          <w:b/>
          <w:bCs/>
        </w:rPr>
        <w:t>MB</w:t>
      </w:r>
      <w:r w:rsidRPr="001413DF">
        <w:rPr>
          <w:b/>
          <w:bCs/>
        </w:rPr>
        <w:t>)</w:t>
      </w:r>
      <w:r w:rsidRPr="001413DF" w:rsidR="00C515D3">
        <w:rPr>
          <w:b/>
          <w:bCs/>
        </w:rPr>
        <w:t xml:space="preserve"> CONTROL NO. 1218-0231</w:t>
      </w:r>
      <w:r w:rsidRPr="001413DF" w:rsidR="007C3428">
        <w:rPr>
          <w:b/>
          <w:bCs/>
        </w:rPr>
        <w:t xml:space="preserve"> </w:t>
      </w:r>
      <w:r w:rsidRPr="001413DF" w:rsidR="009035F4">
        <w:rPr>
          <w:b/>
          <w:bCs/>
        </w:rPr>
        <w:t>(</w:t>
      </w:r>
      <w:r w:rsidR="00544971">
        <w:rPr>
          <w:b/>
          <w:bCs/>
        </w:rPr>
        <w:t>February</w:t>
      </w:r>
      <w:r w:rsidR="00EE3FAB">
        <w:rPr>
          <w:b/>
          <w:bCs/>
        </w:rPr>
        <w:t xml:space="preserve"> </w:t>
      </w:r>
      <w:r w:rsidRPr="006650F7" w:rsidR="006F0EB8">
        <w:rPr>
          <w:b/>
          <w:bCs/>
        </w:rPr>
        <w:t>20</w:t>
      </w:r>
      <w:r w:rsidR="00EE3FAB">
        <w:rPr>
          <w:b/>
          <w:bCs/>
        </w:rPr>
        <w:t>21</w:t>
      </w:r>
      <w:r w:rsidRPr="00171E1C" w:rsidR="009035F4">
        <w:rPr>
          <w:b/>
          <w:bCs/>
        </w:rPr>
        <w:t>)</w:t>
      </w:r>
    </w:p>
    <w:p w:rsidR="00C515D3" w:rsidP="00C515D3" w:rsidRDefault="00C515D3" w14:paraId="6F3EEEF0" w14:textId="77777777">
      <w:pPr>
        <w:jc w:val="center"/>
        <w:rPr>
          <w:b/>
          <w:bCs/>
        </w:rPr>
      </w:pPr>
    </w:p>
    <w:p w:rsidRPr="0001499C" w:rsidR="00C52789" w:rsidP="00C52789" w:rsidRDefault="00C52789" w14:paraId="5C616DEA" w14:textId="77777777">
      <w:pPr>
        <w:outlineLvl w:val="0"/>
        <w:rPr>
          <w:b/>
          <w:bCs/>
          <w:u w:val="single"/>
        </w:rPr>
      </w:pPr>
      <w:r w:rsidRPr="0001499C">
        <w:rPr>
          <w:b/>
          <w:bCs/>
          <w:u w:val="single"/>
        </w:rPr>
        <w:t xml:space="preserve">This ICR </w:t>
      </w:r>
      <w:r w:rsidR="00EE3FAB">
        <w:rPr>
          <w:b/>
          <w:bCs/>
          <w:u w:val="single"/>
        </w:rPr>
        <w:t xml:space="preserve">is requesting the extension of a currently approved data collection. </w:t>
      </w:r>
    </w:p>
    <w:p w:rsidRPr="004837CA" w:rsidR="00C515D3" w:rsidP="00C52789" w:rsidRDefault="00C515D3" w14:paraId="20C2863F" w14:textId="77777777">
      <w:pPr>
        <w:rPr>
          <w:b/>
        </w:rPr>
      </w:pPr>
    </w:p>
    <w:p w:rsidRPr="00C52789" w:rsidR="00C515D3" w:rsidP="00434AF8" w:rsidRDefault="00C515D3" w14:paraId="61A4E95D" w14:textId="77777777">
      <w:pPr>
        <w:numPr>
          <w:ilvl w:val="0"/>
          <w:numId w:val="7"/>
        </w:numPr>
        <w:ind w:left="360"/>
        <w:rPr>
          <w:b/>
        </w:rPr>
      </w:pPr>
      <w:r w:rsidRPr="004837CA">
        <w:rPr>
          <w:b/>
          <w:bCs/>
        </w:rPr>
        <w:t>JUSTIFICATION</w:t>
      </w:r>
    </w:p>
    <w:p w:rsidRPr="00C52789" w:rsidR="00C515D3" w:rsidP="00C515D3" w:rsidRDefault="00C515D3" w14:paraId="0E9983C2" w14:textId="77777777"/>
    <w:p w:rsidRPr="00C52789" w:rsidR="00C515D3" w:rsidP="00C515D3" w:rsidRDefault="00C515D3" w14:paraId="32605D54" w14:textId="77777777">
      <w:pPr>
        <w:rPr>
          <w:b/>
          <w:bCs/>
        </w:rPr>
      </w:pPr>
      <w:r w:rsidRPr="00C5278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13DF" w:rsidR="00C515D3" w:rsidP="00C515D3" w:rsidRDefault="00C515D3" w14:paraId="35E92DAB" w14:textId="77777777"/>
    <w:p w:rsidRPr="004837CA" w:rsidR="00C515D3" w:rsidP="00C515D3" w:rsidRDefault="00C515D3" w14:paraId="4D89BDE8" w14:textId="77777777">
      <w:pPr>
        <w:ind w:right="90"/>
      </w:pPr>
      <w:r w:rsidRPr="0011617E">
        <w:t xml:space="preserve">The main objective of the Occupational Safety and Health Act of 1970 (i.e., the </w:t>
      </w:r>
      <w:r w:rsidRPr="006650F7" w:rsidR="007C3428">
        <w:t xml:space="preserve">OSH </w:t>
      </w:r>
      <w:r w:rsidRPr="006650F7">
        <w:t xml:space="preserve">Act) is to “assure as far as possible every working man and woman in the Nation safe and healthful working conditions and to preserve </w:t>
      </w:r>
      <w:r w:rsidRPr="00171E1C">
        <w:t>our human resources” (29 U.S.C. 651)</w:t>
      </w:r>
      <w:r w:rsidRPr="00171E1C" w:rsidR="00632CEB">
        <w:t xml:space="preserve">. </w:t>
      </w:r>
      <w:r w:rsidRPr="00171E1C">
        <w:t xml:space="preserve"> To achieve this objective, the Act authorizes “the development and promulgation of occupational safety and health standard</w:t>
      </w:r>
      <w:r w:rsidRPr="00171E1C" w:rsidR="00632CEB">
        <w:t>s</w:t>
      </w:r>
      <w:r w:rsidRPr="00171E1C">
        <w:t>” (29 U.S.C. 651)</w:t>
      </w:r>
      <w:r w:rsidRPr="004837CA" w:rsidR="00632CEB">
        <w:t>.</w:t>
      </w:r>
    </w:p>
    <w:p w:rsidRPr="004837CA" w:rsidR="00C515D3" w:rsidP="00C515D3" w:rsidRDefault="00C515D3" w14:paraId="38473D61" w14:textId="77777777">
      <w:pPr>
        <w:ind w:right="90"/>
      </w:pPr>
    </w:p>
    <w:p w:rsidRPr="00C52789" w:rsidR="00C515D3" w:rsidP="00C515D3" w:rsidRDefault="00C515D3" w14:paraId="200A92C0" w14:textId="77777777">
      <w:pPr>
        <w:ind w:right="90"/>
      </w:pPr>
      <w:r w:rsidRPr="00C52789">
        <w:t xml:space="preserve">With regard to recordkeeping, the </w:t>
      </w:r>
      <w:r w:rsidRPr="00C52789" w:rsidR="007C3428">
        <w:t xml:space="preserve">OSH </w:t>
      </w:r>
      <w:r w:rsidRPr="00C52789">
        <w:t xml:space="preserve">Act specifies that “[e]ach employer shall make, keep and preserve, and make available to the Secretary </w:t>
      </w:r>
      <w:r w:rsidRPr="00C52789" w:rsidR="00700AA4">
        <w:t xml:space="preserve">or the Secretary of Health and Human Services, </w:t>
      </w:r>
      <w:r w:rsidRPr="00C52789">
        <w:t xml:space="preserve">such records as the </w:t>
      </w:r>
      <w:r w:rsidRPr="00C52789" w:rsidR="00700AA4">
        <w:t xml:space="preserve">[Secretaries] </w:t>
      </w:r>
      <w:r w:rsidRPr="00C52789">
        <w:t>may prescribe by regulation as necessary or appropriate for the enforcement of this Act</w:t>
      </w:r>
      <w:r w:rsidRPr="00C52789" w:rsidR="00581AB2">
        <w:t xml:space="preserve"> […]</w:t>
      </w:r>
      <w:r w:rsidRPr="00C52789">
        <w:t>” (29 U.S.C. 657)</w:t>
      </w:r>
      <w:r w:rsidRPr="00C52789" w:rsidR="00632CEB">
        <w:t xml:space="preserve">. </w:t>
      </w:r>
      <w:r w:rsidRPr="00C52789">
        <w:t xml:space="preserve"> The Act states further that “[t]he Secretary </w:t>
      </w:r>
      <w:r w:rsidRPr="00C52789" w:rsidR="008D157B">
        <w:t xml:space="preserve">and Secretary of Health and Human Services </w:t>
      </w:r>
      <w:r w:rsidRPr="00C52789">
        <w:t xml:space="preserve">shall </w:t>
      </w:r>
      <w:r w:rsidRPr="00C52789" w:rsidR="008D157B">
        <w:t xml:space="preserve">each </w:t>
      </w:r>
      <w:r w:rsidRPr="00C52789">
        <w:t>prescribe such rule</w:t>
      </w:r>
      <w:r w:rsidRPr="00C52789" w:rsidR="00510630">
        <w:t>s</w:t>
      </w:r>
      <w:r w:rsidRPr="00C52789">
        <w:t xml:space="preserve"> and regulations as [</w:t>
      </w:r>
      <w:r w:rsidRPr="00C52789" w:rsidR="008D157B">
        <w:t>they</w:t>
      </w:r>
      <w:r w:rsidRPr="00C52789">
        <w:t>] may deem necessary to carry out [</w:t>
      </w:r>
      <w:r w:rsidRPr="00C52789" w:rsidR="00450986">
        <w:t>their</w:t>
      </w:r>
      <w:r w:rsidRPr="00C52789">
        <w:t>] responsibilities under this Act, including rule</w:t>
      </w:r>
      <w:r w:rsidRPr="00C52789" w:rsidR="00D72809">
        <w:t>s</w:t>
      </w:r>
      <w:r w:rsidRPr="00C52789">
        <w:t xml:space="preserve"> and regulations dealing with the inspection of an employer’s establishment” (29 U.S.C. 657)</w:t>
      </w:r>
      <w:r w:rsidRPr="00C52789" w:rsidR="00632CEB">
        <w:t>.</w:t>
      </w:r>
    </w:p>
    <w:p w:rsidRPr="00C52789" w:rsidR="00C515D3" w:rsidP="00C515D3" w:rsidRDefault="00C515D3" w14:paraId="50AC816D" w14:textId="77777777">
      <w:pPr>
        <w:ind w:right="90"/>
      </w:pPr>
    </w:p>
    <w:p w:rsidRPr="00C52789" w:rsidR="00C515D3" w:rsidP="00C515D3" w:rsidRDefault="00C515D3" w14:paraId="04EE1CDA" w14:textId="77777777">
      <w:pPr>
        <w:ind w:right="90"/>
      </w:pPr>
      <w:r w:rsidRPr="00C52789">
        <w:t xml:space="preserve">Under the Authority granted by the OSH Act, the Occupational Safety and Health Administration (OSHA or the </w:t>
      </w:r>
      <w:r w:rsidRPr="00C52789" w:rsidR="00632CEB">
        <w:t>“</w:t>
      </w:r>
      <w:r w:rsidRPr="00C52789">
        <w:t>Agency</w:t>
      </w:r>
      <w:r w:rsidRPr="00C52789" w:rsidR="00632CEB">
        <w:t>”</w:t>
      </w:r>
      <w:r w:rsidRPr="00C52789">
        <w:t xml:space="preserve">) published the Material Hoists, Personnel Hoists, and Elevators Standard (29 CFR 1926.552) (the </w:t>
      </w:r>
      <w:r w:rsidRPr="00C52789" w:rsidR="00632CEB">
        <w:t>“</w:t>
      </w:r>
      <w:r w:rsidRPr="00C52789">
        <w:t>Standard</w:t>
      </w:r>
      <w:r w:rsidRPr="00C52789" w:rsidR="00632CEB">
        <w:t>”</w:t>
      </w:r>
      <w:r w:rsidRPr="00C52789">
        <w:t xml:space="preserve">) to protect </w:t>
      </w:r>
      <w:r w:rsidRPr="00C52789" w:rsidR="00497460">
        <w:t>workers</w:t>
      </w:r>
      <w:r w:rsidRPr="00C52789">
        <w:t xml:space="preserve"> who operate and work around </w:t>
      </w:r>
      <w:r w:rsidRPr="00C52789" w:rsidR="009E5C1B">
        <w:t xml:space="preserve">the </w:t>
      </w:r>
      <w:r w:rsidRPr="00C52789">
        <w:t>hoists</w:t>
      </w:r>
      <w:r w:rsidRPr="00C52789" w:rsidR="009E5C1B">
        <w:t xml:space="preserve"> and elevators</w:t>
      </w:r>
      <w:r w:rsidRPr="00C52789">
        <w:t xml:space="preserve">.  </w:t>
      </w:r>
    </w:p>
    <w:p w:rsidRPr="00C52789" w:rsidR="00C515D3" w:rsidP="00C515D3" w:rsidRDefault="00C515D3" w14:paraId="3DD57A0A" w14:textId="77777777">
      <w:pPr>
        <w:ind w:right="90"/>
      </w:pPr>
    </w:p>
    <w:p w:rsidRPr="00C52789" w:rsidR="00C515D3" w:rsidP="008D5863" w:rsidRDefault="00C515D3" w14:paraId="41B796DE" w14:textId="77777777">
      <w:pPr>
        <w:ind w:right="90"/>
        <w:rPr>
          <w:b/>
        </w:rPr>
      </w:pPr>
      <w:r w:rsidRPr="00C52789">
        <w:rPr>
          <w:b/>
          <w:bCs/>
        </w:rPr>
        <w:t>2.  Indicate how, by whom, and for what purpose the information is to be used.  Except for a new collection, indicate the actual use the Agency has made of the information received from the current collection</w:t>
      </w:r>
      <w:r w:rsidRPr="00C52789">
        <w:rPr>
          <w:b/>
        </w:rPr>
        <w:t>.</w:t>
      </w:r>
      <w:r w:rsidRPr="00C52789" w:rsidR="00361CAE">
        <w:rPr>
          <w:b/>
        </w:rPr>
        <w:br w:type="page"/>
      </w:r>
      <w:r w:rsidRPr="00C52789">
        <w:rPr>
          <w:b/>
        </w:rPr>
        <w:lastRenderedPageBreak/>
        <w:t>Posting</w:t>
      </w:r>
      <w:r w:rsidRPr="00C52789" w:rsidR="00314704">
        <w:rPr>
          <w:b/>
        </w:rPr>
        <w:t>, Inspectin</w:t>
      </w:r>
      <w:r w:rsidRPr="00C52789" w:rsidR="009E02FC">
        <w:rPr>
          <w:b/>
        </w:rPr>
        <w:t>g</w:t>
      </w:r>
      <w:r w:rsidRPr="00C52789" w:rsidR="00AD4ABF">
        <w:rPr>
          <w:b/>
        </w:rPr>
        <w:t>,</w:t>
      </w:r>
      <w:r w:rsidRPr="00C52789" w:rsidR="00314704">
        <w:rPr>
          <w:b/>
        </w:rPr>
        <w:t xml:space="preserve"> Testing</w:t>
      </w:r>
      <w:r w:rsidRPr="00C52789" w:rsidR="00AD4ABF">
        <w:rPr>
          <w:b/>
        </w:rPr>
        <w:t xml:space="preserve"> and Records </w:t>
      </w:r>
      <w:r w:rsidRPr="00C52789" w:rsidR="009E02FC">
        <w:rPr>
          <w:b/>
        </w:rPr>
        <w:t>Certification Requirements</w:t>
      </w:r>
    </w:p>
    <w:p w:rsidRPr="00C52789" w:rsidR="00C515D3" w:rsidP="00C515D3" w:rsidRDefault="00C515D3" w14:paraId="3B239632" w14:textId="77777777">
      <w:pPr>
        <w:ind w:right="90"/>
      </w:pPr>
    </w:p>
    <w:p w:rsidRPr="00C52789" w:rsidR="001765B8" w:rsidP="00314704" w:rsidRDefault="00314704" w14:paraId="5F45C3F2" w14:textId="77777777">
      <w:pPr>
        <w:ind w:right="90"/>
      </w:pPr>
      <w:r w:rsidRPr="00C52789">
        <w:t xml:space="preserve">Section 1926.552 requirements </w:t>
      </w:r>
      <w:r w:rsidRPr="00C52789" w:rsidR="00F8144D">
        <w:t xml:space="preserve">are </w:t>
      </w:r>
      <w:r w:rsidRPr="00C52789" w:rsidR="00F62CB8">
        <w:t xml:space="preserve">largely </w:t>
      </w:r>
      <w:r w:rsidRPr="00C52789" w:rsidR="00FE42BC">
        <w:t xml:space="preserve">usual and customary </w:t>
      </w:r>
      <w:r w:rsidRPr="00C52789" w:rsidR="00F62CB8">
        <w:t>practice</w:t>
      </w:r>
      <w:r w:rsidRPr="00C52789" w:rsidR="00FE42BC">
        <w:t>s</w:t>
      </w:r>
      <w:r w:rsidRPr="00C52789" w:rsidR="00F62CB8">
        <w:t xml:space="preserve"> being followed by the industry </w:t>
      </w:r>
      <w:r w:rsidRPr="00C52789">
        <w:t xml:space="preserve">at the time of the Agency’s creation. Section 1926.552 is comprised of </w:t>
      </w:r>
      <w:r w:rsidRPr="00C52789" w:rsidR="00FE42BC">
        <w:t>four</w:t>
      </w:r>
      <w:r w:rsidRPr="00C52789">
        <w:t xml:space="preserve"> subsections: </w:t>
      </w:r>
      <w:r w:rsidRPr="00C52789" w:rsidR="008F5D2D">
        <w:t xml:space="preserve"> </w:t>
      </w:r>
      <w:r w:rsidRPr="00C52789" w:rsidR="004122CB">
        <w:t xml:space="preserve">Subsection </w:t>
      </w:r>
      <w:r w:rsidRPr="00C52789" w:rsidR="00CC59AF">
        <w:t>(a) is general</w:t>
      </w:r>
      <w:r w:rsidRPr="00C52789" w:rsidR="007D0F58">
        <w:t>ly</w:t>
      </w:r>
      <w:r w:rsidRPr="00C52789" w:rsidR="00CC59AF">
        <w:t xml:space="preserve"> applicable requirements. It</w:t>
      </w:r>
      <w:r w:rsidRPr="00C52789" w:rsidR="004122CB">
        <w:t xml:space="preserve"> consolidates posting, inspection and testing requirements </w:t>
      </w:r>
      <w:r w:rsidRPr="00C52789" w:rsidR="004E3FE8">
        <w:t>for each of the other subsections (b), (c), and (d). The requirements echo those f</w:t>
      </w:r>
      <w:r w:rsidRPr="00C52789" w:rsidR="004122CB">
        <w:t>ound in ANSI standards</w:t>
      </w:r>
      <w:r w:rsidRPr="00C52789">
        <w:t xml:space="preserve"> A10.4-1963, Safety Requirements for Workmen’s Hoists</w:t>
      </w:r>
      <w:r w:rsidRPr="00C52789" w:rsidR="004E3FE8">
        <w:t>, ANSI A10.5-1969, Safety Requirements for Material Hoists, and</w:t>
      </w:r>
      <w:r w:rsidRPr="00C52789">
        <w:t xml:space="preserve"> A17.1</w:t>
      </w:r>
      <w:r w:rsidRPr="00C52789" w:rsidR="007D0F58">
        <w:t>, Elevators, Dumbwaiters, Escalators and Moving Walks,</w:t>
      </w:r>
      <w:r w:rsidRPr="00C52789">
        <w:t xml:space="preserve"> and A17.2</w:t>
      </w:r>
      <w:r w:rsidRPr="00C52789" w:rsidR="007D0F58">
        <w:t xml:space="preserve">, </w:t>
      </w:r>
      <w:r w:rsidRPr="00C52789" w:rsidR="001765B8">
        <w:t>Practice for the Inspection of Elevators: Inspector’s Manual.</w:t>
      </w:r>
      <w:r w:rsidRPr="00C52789">
        <w:t xml:space="preserve"> </w:t>
      </w:r>
    </w:p>
    <w:p w:rsidRPr="00C52789" w:rsidR="001765B8" w:rsidP="00314704" w:rsidRDefault="001765B8" w14:paraId="127AF535" w14:textId="77777777">
      <w:pPr>
        <w:ind w:right="90"/>
      </w:pPr>
    </w:p>
    <w:p w:rsidRPr="00C52789" w:rsidR="00314704" w:rsidP="00314704" w:rsidRDefault="00314704" w14:paraId="121DA103" w14:textId="77777777">
      <w:pPr>
        <w:ind w:right="90"/>
      </w:pPr>
      <w:r w:rsidRPr="00C52789">
        <w:t>Although §1926.552 expressly requires hoist or elevator information postings and inspections</w:t>
      </w:r>
      <w:r w:rsidRPr="00C52789" w:rsidR="004122CB">
        <w:t xml:space="preserve"> and tests</w:t>
      </w:r>
      <w:r w:rsidRPr="00C52789" w:rsidR="00A96355">
        <w:t>,</w:t>
      </w:r>
      <w:r w:rsidRPr="00C52789" w:rsidR="006C6334">
        <w:t xml:space="preserve"> much of the industry follows these as continuing custom</w:t>
      </w:r>
      <w:r w:rsidRPr="00C52789" w:rsidR="00A96355">
        <w:t>ary</w:t>
      </w:r>
      <w:r w:rsidRPr="00C52789" w:rsidR="006C6334">
        <w:t xml:space="preserve"> practice</w:t>
      </w:r>
      <w:r w:rsidRPr="00C52789" w:rsidR="00A96355">
        <w:t>s</w:t>
      </w:r>
      <w:r w:rsidRPr="00C52789" w:rsidR="006C6334">
        <w:t xml:space="preserve"> from early ANSI standard days.</w:t>
      </w:r>
      <w:r w:rsidRPr="00C52789" w:rsidR="00E00EC8">
        <w:t xml:space="preserve"> The Agency recognizes them as usual and customary practices for the construction industry</w:t>
      </w:r>
      <w:r w:rsidRPr="00C52789" w:rsidR="0079277A">
        <w:t xml:space="preserve"> and accordingly takes a limited burden hour charge for the §1926.552 requirements</w:t>
      </w:r>
      <w:r w:rsidRPr="00C52789" w:rsidR="00E00EC8">
        <w:t>.</w:t>
      </w:r>
      <w:r w:rsidRPr="00C52789" w:rsidR="00AF764B">
        <w:t xml:space="preserve"> </w:t>
      </w:r>
    </w:p>
    <w:p w:rsidRPr="00C52789" w:rsidR="00314704" w:rsidP="00C515D3" w:rsidRDefault="00314704" w14:paraId="15B6B0C2" w14:textId="77777777">
      <w:pPr>
        <w:ind w:right="90"/>
      </w:pPr>
    </w:p>
    <w:p w:rsidRPr="00C52789" w:rsidR="006F4C5E" w:rsidP="008D5863" w:rsidRDefault="006F4C5E" w14:paraId="1CA7AC97" w14:textId="77777777">
      <w:pPr>
        <w:ind w:right="90" w:firstLine="720"/>
        <w:rPr>
          <w:b/>
        </w:rPr>
      </w:pPr>
      <w:r w:rsidRPr="00C52789">
        <w:rPr>
          <w:b/>
        </w:rPr>
        <w:t>Posting Requirements</w:t>
      </w:r>
      <w:r w:rsidRPr="00C52789" w:rsidR="00E22147">
        <w:rPr>
          <w:b/>
        </w:rPr>
        <w:t xml:space="preserve"> </w:t>
      </w:r>
    </w:p>
    <w:p w:rsidRPr="00C52789" w:rsidR="009F3B51" w:rsidP="00C515D3" w:rsidRDefault="009F3B51" w14:paraId="6794D37A" w14:textId="77777777">
      <w:pPr>
        <w:ind w:right="90"/>
      </w:pPr>
    </w:p>
    <w:p w:rsidRPr="00C52789" w:rsidR="006F4C5E" w:rsidP="00C515D3" w:rsidRDefault="00E22147" w14:paraId="5381D91E" w14:textId="77777777">
      <w:pPr>
        <w:ind w:right="90"/>
      </w:pPr>
      <w:r w:rsidRPr="00C52789">
        <w:t>Subsection 1926.552(a)(2) is a general requirement that applies to all material hoists, personnel hoists and elevators. It requires that “[r</w:t>
      </w:r>
      <w:r w:rsidRPr="00C52789" w:rsidR="008D04CD">
        <w:t xml:space="preserve">]ated </w:t>
      </w:r>
      <w:r w:rsidRPr="00C52789">
        <w:t>load capacities,</w:t>
      </w:r>
      <w:r w:rsidRPr="00C52789" w:rsidR="009F3B51">
        <w:t xml:space="preserve"> </w:t>
      </w:r>
      <w:r w:rsidRPr="00C52789" w:rsidR="008D04CD">
        <w:t xml:space="preserve">recommended operating speeds, and special hazard warnings or instructions shall </w:t>
      </w:r>
      <w:r w:rsidRPr="00C52789" w:rsidR="009F3B51">
        <w:t xml:space="preserve">be posted on cars and platforms.” </w:t>
      </w:r>
      <w:r w:rsidRPr="00C52789" w:rsidR="00825ABF">
        <w:t xml:space="preserve"> Equipment type specific requirements supplement the general requirements.</w:t>
      </w:r>
    </w:p>
    <w:p w:rsidRPr="00C52789" w:rsidR="00C515D3" w:rsidP="00C515D3" w:rsidRDefault="00C515D3" w14:paraId="37734005" w14:textId="77777777">
      <w:pPr>
        <w:ind w:right="90"/>
      </w:pPr>
    </w:p>
    <w:p w:rsidRPr="00C52789" w:rsidR="00053024" w:rsidP="00053024" w:rsidRDefault="004648D7" w14:paraId="5B6BDDC6" w14:textId="77777777">
      <w:pPr>
        <w:keepLines/>
        <w:ind w:right="86"/>
      </w:pPr>
      <w:r w:rsidRPr="00C52789">
        <w:t>Subsection 1926.552</w:t>
      </w:r>
      <w:r w:rsidRPr="00C52789" w:rsidR="00C515D3">
        <w:t xml:space="preserve">(b)(1)(i) </w:t>
      </w:r>
      <w:r w:rsidRPr="00C52789" w:rsidR="00053024">
        <w:t>specifies</w:t>
      </w:r>
      <w:r w:rsidRPr="00C52789" w:rsidR="00C515D3">
        <w:t xml:space="preserve"> that </w:t>
      </w:r>
      <w:r w:rsidRPr="00C52789" w:rsidR="00053024">
        <w:t xml:space="preserve">“Operating rules shall be established and posted at the operator's station of the </w:t>
      </w:r>
      <w:r w:rsidRPr="00C52789" w:rsidR="008D04CD">
        <w:t xml:space="preserve">[material] </w:t>
      </w:r>
      <w:r w:rsidRPr="00C52789" w:rsidR="00053024">
        <w:t>hoist. Such rules shall include signal system and allowable line speed fo</w:t>
      </w:r>
      <w:bookmarkStart w:name="_GoBack" w:id="0"/>
      <w:bookmarkEnd w:id="0"/>
      <w:r w:rsidRPr="00C52789" w:rsidR="00053024">
        <w:t>r various loads. Rules and notices shall be posted on the car frame or crosshead in a conspicuous location, including the statement "No Riders Allowed."</w:t>
      </w:r>
    </w:p>
    <w:p w:rsidRPr="00C52789" w:rsidR="00C515D3" w:rsidP="00061FDA" w:rsidRDefault="00C515D3" w14:paraId="5427EC97" w14:textId="77777777">
      <w:pPr>
        <w:keepLines/>
        <w:ind w:right="86"/>
      </w:pPr>
    </w:p>
    <w:p w:rsidRPr="00C52789" w:rsidR="00C515D3" w:rsidP="00C515D3" w:rsidRDefault="004648D7" w14:paraId="1AAC39C5" w14:textId="77777777">
      <w:pPr>
        <w:ind w:right="90"/>
      </w:pPr>
      <w:r w:rsidRPr="00C52789">
        <w:t>Subsection 1926.552</w:t>
      </w:r>
      <w:r w:rsidRPr="00C52789" w:rsidR="00C515D3">
        <w:t xml:space="preserve">(c)(10) requires that </w:t>
      </w:r>
      <w:r w:rsidRPr="00C52789" w:rsidR="0084621A">
        <w:t xml:space="preserve">personnel hoist </w:t>
      </w:r>
      <w:r w:rsidRPr="00C52789" w:rsidR="00C515D3">
        <w:t>cars be provided with a capacity and data plate secured in a conspicuous place on the car or crosshead.</w:t>
      </w:r>
      <w:r w:rsidRPr="00C52789" w:rsidR="0084621A">
        <w:t xml:space="preserve"> This requirement more specifically identifies where to post capacity and data information for personnel hoists only.</w:t>
      </w:r>
    </w:p>
    <w:p w:rsidRPr="00C52789" w:rsidR="004648D7" w:rsidP="00C515D3" w:rsidRDefault="004648D7" w14:paraId="5C30F708" w14:textId="77777777">
      <w:pPr>
        <w:ind w:right="90"/>
      </w:pPr>
    </w:p>
    <w:p w:rsidRPr="00C52789" w:rsidR="004648D7" w:rsidP="00C515D3" w:rsidRDefault="004648D7" w14:paraId="5D81DE26" w14:textId="77777777">
      <w:pPr>
        <w:ind w:right="90"/>
      </w:pPr>
      <w:r w:rsidRPr="00C52789">
        <w:t>Subsection 1926.552(d)</w:t>
      </w:r>
      <w:r w:rsidRPr="00C52789" w:rsidR="00423408">
        <w:t xml:space="preserve"> </w:t>
      </w:r>
      <w:r w:rsidRPr="00C52789" w:rsidR="00934762">
        <w:t>relies on subsection (a) for requirements.</w:t>
      </w:r>
      <w:r w:rsidRPr="00C52789" w:rsidR="00423408">
        <w:t xml:space="preserve"> </w:t>
      </w:r>
    </w:p>
    <w:p w:rsidRPr="00C52789" w:rsidR="00353A87" w:rsidP="00C515D3" w:rsidRDefault="00353A87" w14:paraId="5A343564" w14:textId="77777777">
      <w:pPr>
        <w:ind w:right="90"/>
      </w:pPr>
    </w:p>
    <w:p w:rsidRPr="00C52789" w:rsidR="00C515D3" w:rsidP="00C515D3" w:rsidRDefault="006545E0" w14:paraId="1FF11226" w14:textId="77777777">
      <w:pPr>
        <w:ind w:right="90"/>
      </w:pPr>
      <w:r w:rsidRPr="00C52789">
        <w:t>Operators</w:t>
      </w:r>
      <w:r w:rsidRPr="00C52789" w:rsidR="00DE7317">
        <w:t xml:space="preserve">, </w:t>
      </w:r>
      <w:r w:rsidRPr="00C52789">
        <w:t>passengers</w:t>
      </w:r>
      <w:r w:rsidRPr="00C52789" w:rsidR="00C515D3">
        <w:t xml:space="preserve"> </w:t>
      </w:r>
      <w:r w:rsidRPr="00C52789" w:rsidR="00AF764B">
        <w:t xml:space="preserve">as well as </w:t>
      </w:r>
      <w:r w:rsidRPr="00C52789" w:rsidR="00DE7317">
        <w:t xml:space="preserve">inspection, test and maintenance </w:t>
      </w:r>
      <w:r w:rsidRPr="00C52789" w:rsidR="00C515D3">
        <w:t>crew</w:t>
      </w:r>
      <w:r w:rsidRPr="00C52789" w:rsidR="00DE7317">
        <w:t>s</w:t>
      </w:r>
      <w:r w:rsidRPr="00C52789" w:rsidR="00C515D3">
        <w:t xml:space="preserve"> </w:t>
      </w:r>
      <w:r w:rsidRPr="00C52789">
        <w:t xml:space="preserve">use the required postings </w:t>
      </w:r>
      <w:r w:rsidRPr="00C52789" w:rsidR="00C515D3">
        <w:t xml:space="preserve">to determine how to </w:t>
      </w:r>
      <w:r w:rsidRPr="00C52789" w:rsidR="004A39F6">
        <w:t xml:space="preserve">safely </w:t>
      </w:r>
      <w:r w:rsidRPr="00C52789" w:rsidR="00C515D3">
        <w:t xml:space="preserve">use the </w:t>
      </w:r>
      <w:r w:rsidRPr="00C52789" w:rsidR="002D2BA7">
        <w:t>hoists or</w:t>
      </w:r>
      <w:r w:rsidRPr="00C52789" w:rsidR="004A39F6">
        <w:t xml:space="preserve"> elevators</w:t>
      </w:r>
      <w:r w:rsidRPr="00C52789" w:rsidR="005C6C0A">
        <w:t xml:space="preserve">. Posted information </w:t>
      </w:r>
      <w:r w:rsidRPr="00C52789" w:rsidR="004A39F6">
        <w:t>includ</w:t>
      </w:r>
      <w:r w:rsidRPr="00C52789" w:rsidR="005C6C0A">
        <w:t>es</w:t>
      </w:r>
      <w:r w:rsidRPr="00C52789" w:rsidR="004A39F6">
        <w:t xml:space="preserve"> safe material and passenger capacities</w:t>
      </w:r>
      <w:r w:rsidRPr="00C52789" w:rsidR="005D26AE">
        <w:t xml:space="preserve">, </w:t>
      </w:r>
      <w:r w:rsidRPr="00C52789" w:rsidR="00DE7317">
        <w:t>as well as</w:t>
      </w:r>
      <w:r w:rsidRPr="00C52789" w:rsidR="00D4375F">
        <w:t xml:space="preserve"> </w:t>
      </w:r>
      <w:r w:rsidRPr="00C52789" w:rsidR="00DE7317">
        <w:t xml:space="preserve">safe </w:t>
      </w:r>
      <w:r w:rsidRPr="00C52789" w:rsidR="00D4375F">
        <w:t>speed</w:t>
      </w:r>
      <w:r w:rsidRPr="00C52789" w:rsidR="005C6C0A">
        <w:t>s</w:t>
      </w:r>
      <w:r w:rsidRPr="00C52789" w:rsidR="005C2CC6">
        <w:t>, warnings</w:t>
      </w:r>
      <w:r w:rsidRPr="00C52789" w:rsidR="00E95522">
        <w:t xml:space="preserve"> or</w:t>
      </w:r>
      <w:r w:rsidRPr="00C52789" w:rsidR="005C2CC6">
        <w:t xml:space="preserve"> other </w:t>
      </w:r>
      <w:r w:rsidRPr="00C52789" w:rsidR="00E95522">
        <w:t>instructions and signal information</w:t>
      </w:r>
      <w:r w:rsidRPr="00C52789" w:rsidR="00D4375F">
        <w:t xml:space="preserve">. The </w:t>
      </w:r>
      <w:r w:rsidRPr="00C52789" w:rsidR="00E95522">
        <w:t>particular postings</w:t>
      </w:r>
      <w:r w:rsidRPr="00C52789" w:rsidR="005D26AE">
        <w:t xml:space="preserve"> </w:t>
      </w:r>
      <w:r w:rsidRPr="00C52789" w:rsidR="004A39F6">
        <w:t>depend on each machine’s</w:t>
      </w:r>
      <w:r w:rsidRPr="00C52789" w:rsidR="00C515D3">
        <w:t xml:space="preserve"> particular configuration.  </w:t>
      </w:r>
      <w:r w:rsidRPr="00C52789" w:rsidR="00840A4A">
        <w:t>Proper and accurate postings facilit</w:t>
      </w:r>
      <w:r w:rsidRPr="00C52789" w:rsidR="00934762">
        <w:t>ate</w:t>
      </w:r>
      <w:r w:rsidRPr="00C52789" w:rsidR="00840A4A">
        <w:t xml:space="preserve"> correct machine use and help avoid</w:t>
      </w:r>
      <w:r w:rsidRPr="00C52789" w:rsidR="00A04D9D">
        <w:t xml:space="preserve"> </w:t>
      </w:r>
      <w:r w:rsidRPr="00C52789" w:rsidR="005D26AE">
        <w:t xml:space="preserve">catastrophic </w:t>
      </w:r>
      <w:r w:rsidRPr="00C52789" w:rsidR="00C515D3">
        <w:t>failures</w:t>
      </w:r>
      <w:r w:rsidRPr="00C52789" w:rsidR="00934762">
        <w:t>.</w:t>
      </w:r>
      <w:r w:rsidRPr="00C52789" w:rsidR="00D42EDF">
        <w:t xml:space="preserve"> </w:t>
      </w:r>
      <w:r w:rsidRPr="00C52789" w:rsidR="00934762">
        <w:t>Such failures</w:t>
      </w:r>
      <w:r w:rsidRPr="00C52789" w:rsidR="00195A32">
        <w:t xml:space="preserve"> would</w:t>
      </w:r>
      <w:r w:rsidRPr="00C52789" w:rsidR="00D42EDF">
        <w:t xml:space="preserve"> endanger</w:t>
      </w:r>
      <w:r w:rsidRPr="00C52789" w:rsidR="00C515D3">
        <w:t xml:space="preserve"> </w:t>
      </w:r>
      <w:r w:rsidRPr="00C52789" w:rsidR="006F0EB8">
        <w:t>worker</w:t>
      </w:r>
      <w:r w:rsidRPr="00C52789" w:rsidR="00C515D3">
        <w:t>s in the immediate vicinity</w:t>
      </w:r>
      <w:r w:rsidRPr="00C52789" w:rsidR="005D26AE">
        <w:t xml:space="preserve"> as well as </w:t>
      </w:r>
      <w:r w:rsidRPr="00C52789" w:rsidR="00D4375F">
        <w:t xml:space="preserve">ones </w:t>
      </w:r>
      <w:r w:rsidRPr="00C52789" w:rsidR="005D26AE">
        <w:t xml:space="preserve">using </w:t>
      </w:r>
      <w:r w:rsidRPr="00C52789" w:rsidR="005C6C0A">
        <w:t xml:space="preserve">or on </w:t>
      </w:r>
      <w:r w:rsidRPr="00C52789" w:rsidR="005D26AE">
        <w:t>the machine</w:t>
      </w:r>
      <w:r w:rsidRPr="00C52789" w:rsidR="00195A32">
        <w:t>s</w:t>
      </w:r>
      <w:r w:rsidRPr="00C52789" w:rsidR="005D26AE">
        <w:t xml:space="preserve"> </w:t>
      </w:r>
      <w:r w:rsidRPr="00C52789" w:rsidR="00195A32">
        <w:t>themselves</w:t>
      </w:r>
      <w:r w:rsidRPr="00C52789" w:rsidR="00C515D3">
        <w:t>.</w:t>
      </w:r>
    </w:p>
    <w:p w:rsidRPr="00C52789" w:rsidR="00C515D3" w:rsidP="00C515D3" w:rsidRDefault="00C515D3" w14:paraId="7E5206F4" w14:textId="77777777">
      <w:pPr>
        <w:ind w:right="90"/>
      </w:pPr>
    </w:p>
    <w:p w:rsidRPr="00C52789" w:rsidR="00C515D3" w:rsidP="008D5863" w:rsidRDefault="00D75665" w14:paraId="2BE1C5F6" w14:textId="77777777">
      <w:pPr>
        <w:ind w:right="90" w:firstLine="720"/>
        <w:rPr>
          <w:b/>
        </w:rPr>
      </w:pPr>
      <w:r w:rsidRPr="00C52789">
        <w:rPr>
          <w:b/>
        </w:rPr>
        <w:br w:type="page"/>
        <w:t>In</w:t>
      </w:r>
      <w:r w:rsidRPr="00C52789" w:rsidR="00C515D3">
        <w:rPr>
          <w:b/>
        </w:rPr>
        <w:t>spection</w:t>
      </w:r>
      <w:r w:rsidRPr="00C52789" w:rsidR="005C6C0A">
        <w:rPr>
          <w:b/>
        </w:rPr>
        <w:t>s, Tests,</w:t>
      </w:r>
      <w:r w:rsidRPr="00C52789" w:rsidR="00C515D3">
        <w:rPr>
          <w:b/>
        </w:rPr>
        <w:t xml:space="preserve"> and </w:t>
      </w:r>
      <w:r w:rsidRPr="00C52789" w:rsidR="00AD4ABF">
        <w:rPr>
          <w:b/>
        </w:rPr>
        <w:t xml:space="preserve">Records </w:t>
      </w:r>
      <w:r w:rsidRPr="00C52789" w:rsidR="00C515D3">
        <w:rPr>
          <w:b/>
        </w:rPr>
        <w:t xml:space="preserve">Certification </w:t>
      </w:r>
      <w:r w:rsidRPr="00C52789" w:rsidR="00AD4ABF">
        <w:rPr>
          <w:b/>
        </w:rPr>
        <w:t>Requirements</w:t>
      </w:r>
    </w:p>
    <w:p w:rsidRPr="00C52789" w:rsidR="00C515D3" w:rsidP="00C515D3" w:rsidRDefault="00C515D3" w14:paraId="0F744A02" w14:textId="77777777">
      <w:pPr>
        <w:ind w:right="90"/>
      </w:pPr>
    </w:p>
    <w:p w:rsidRPr="00C52789" w:rsidR="00C515D3" w:rsidP="00325E2D" w:rsidRDefault="00185A34" w14:paraId="7B47E7D2" w14:textId="77777777">
      <w:pPr>
        <w:ind w:right="90"/>
      </w:pPr>
      <w:r w:rsidRPr="00C52789">
        <w:t>Section 1926.552</w:t>
      </w:r>
      <w:r w:rsidRPr="00C52789" w:rsidR="00C515D3">
        <w:t xml:space="preserve">(c)(15) requires that </w:t>
      </w:r>
      <w:r w:rsidRPr="00C52789" w:rsidR="001262B3">
        <w:t xml:space="preserve">after assembly and erection, and </w:t>
      </w:r>
      <w:r w:rsidRPr="00C52789" w:rsidR="00AF4517">
        <w:t xml:space="preserve">before </w:t>
      </w:r>
      <w:r w:rsidRPr="00C52789" w:rsidR="001262B3">
        <w:t xml:space="preserve">being </w:t>
      </w:r>
      <w:r w:rsidRPr="00C52789" w:rsidR="00AF4517">
        <w:t>put into service</w:t>
      </w:r>
      <w:r w:rsidRPr="00C52789" w:rsidR="009C5470">
        <w:t>,</w:t>
      </w:r>
      <w:r w:rsidRPr="00C52789" w:rsidR="00AF4517">
        <w:t xml:space="preserve"> </w:t>
      </w:r>
      <w:r w:rsidRPr="00C52789" w:rsidR="00AF152C">
        <w:t xml:space="preserve">all personnel hoist functions and safety devices be inspected </w:t>
      </w:r>
      <w:r w:rsidRPr="00C52789" w:rsidR="00C515D3">
        <w:t>and</w:t>
      </w:r>
      <w:r w:rsidRPr="00C52789" w:rsidR="00AF152C">
        <w:t xml:space="preserve"> tested.</w:t>
      </w:r>
      <w:r w:rsidRPr="00C52789" w:rsidR="00C515D3">
        <w:t xml:space="preserve">  </w:t>
      </w:r>
      <w:r w:rsidRPr="00C52789" w:rsidR="009A07D6">
        <w:t>Also t</w:t>
      </w:r>
      <w:r w:rsidRPr="00C52789" w:rsidR="00C515D3">
        <w:t xml:space="preserve">he </w:t>
      </w:r>
      <w:r w:rsidRPr="00C52789" w:rsidR="009A07D6">
        <w:t xml:space="preserve">section requires that a competent person supervise the </w:t>
      </w:r>
      <w:r w:rsidRPr="00C52789" w:rsidR="00AF152C">
        <w:t xml:space="preserve">inspection </w:t>
      </w:r>
      <w:r w:rsidRPr="00C52789" w:rsidR="00C515D3">
        <w:t xml:space="preserve">and </w:t>
      </w:r>
      <w:r w:rsidRPr="00C52789" w:rsidR="00AF152C">
        <w:t>test</w:t>
      </w:r>
      <w:r w:rsidRPr="00C52789" w:rsidR="009A07D6">
        <w:t>ing</w:t>
      </w:r>
      <w:r w:rsidRPr="00C52789" w:rsidR="00825ABF">
        <w:t xml:space="preserve">. </w:t>
      </w:r>
      <w:r w:rsidRPr="00C52789" w:rsidR="00C515D3">
        <w:t xml:space="preserve">A similar inspection and test is required following major alteration of an existing </w:t>
      </w:r>
      <w:r w:rsidRPr="00C52789" w:rsidR="00DD21E1">
        <w:t xml:space="preserve">personnel hoist </w:t>
      </w:r>
      <w:r w:rsidRPr="00C52789" w:rsidR="00C515D3">
        <w:t xml:space="preserve">installation. </w:t>
      </w:r>
      <w:r w:rsidRPr="00C52789" w:rsidR="00D32185">
        <w:t>This section also requires that</w:t>
      </w:r>
      <w:r w:rsidRPr="00C52789" w:rsidR="00C515D3">
        <w:t xml:space="preserve"> </w:t>
      </w:r>
      <w:r w:rsidRPr="00C52789" w:rsidR="00E66C0C">
        <w:t xml:space="preserve">all </w:t>
      </w:r>
      <w:r w:rsidRPr="00C52789" w:rsidR="00DD21E1">
        <w:t xml:space="preserve">personnel </w:t>
      </w:r>
      <w:r w:rsidRPr="00C52789" w:rsidR="00C515D3">
        <w:t xml:space="preserve">hoists be inspected and tested at </w:t>
      </w:r>
      <w:r w:rsidRPr="00C52789" w:rsidR="00D32185">
        <w:t>“not more than 3-</w:t>
      </w:r>
      <w:r w:rsidRPr="00C52789" w:rsidR="00C515D3">
        <w:t>month intervals.</w:t>
      </w:r>
      <w:r w:rsidRPr="00C52789" w:rsidR="00D32185">
        <w:t>”</w:t>
      </w:r>
      <w:r w:rsidRPr="00C52789" w:rsidR="00C515D3">
        <w:t xml:space="preserve">  </w:t>
      </w:r>
      <w:r w:rsidRPr="00C52789" w:rsidR="002C1634">
        <w:t>Additionally §1926.552(c)(15) requires that a</w:t>
      </w:r>
      <w:r w:rsidRPr="00C52789" w:rsidR="00C515D3">
        <w:t xml:space="preserve"> certification record of the </w:t>
      </w:r>
      <w:r w:rsidRPr="00C52789" w:rsidR="00C4785F">
        <w:t xml:space="preserve">most recent </w:t>
      </w:r>
      <w:r w:rsidRPr="00C52789" w:rsidR="002C1634">
        <w:t xml:space="preserve">inspection </w:t>
      </w:r>
      <w:r w:rsidRPr="00C52789" w:rsidR="00D75665">
        <w:t>and test</w:t>
      </w:r>
      <w:r w:rsidRPr="00C52789" w:rsidR="00C515D3">
        <w:t xml:space="preserve"> </w:t>
      </w:r>
      <w:r w:rsidRPr="00C52789" w:rsidR="00D75665">
        <w:t>must be</w:t>
      </w:r>
      <w:r w:rsidRPr="00C52789" w:rsidR="00C515D3">
        <w:t xml:space="preserve"> kept on file</w:t>
      </w:r>
      <w:r w:rsidRPr="00C52789" w:rsidR="00C4785F">
        <w:t>.</w:t>
      </w:r>
      <w:r w:rsidRPr="00C52789" w:rsidR="00C515D3">
        <w:t xml:space="preserve"> </w:t>
      </w:r>
      <w:r w:rsidRPr="00C52789" w:rsidR="00C4785F">
        <w:t>The record must include</w:t>
      </w:r>
      <w:r w:rsidRPr="00C52789" w:rsidR="00C515D3">
        <w:t xml:space="preserve"> the </w:t>
      </w:r>
      <w:r w:rsidRPr="00C52789" w:rsidR="00DA5E69">
        <w:t xml:space="preserve">inspection </w:t>
      </w:r>
      <w:r w:rsidRPr="00C52789" w:rsidR="00C515D3">
        <w:t xml:space="preserve">and </w:t>
      </w:r>
      <w:r w:rsidRPr="00C52789" w:rsidR="00DA5E69">
        <w:t>test</w:t>
      </w:r>
      <w:r w:rsidRPr="00C52789" w:rsidR="00C515D3">
        <w:t xml:space="preserve"> </w:t>
      </w:r>
      <w:r w:rsidRPr="00C52789" w:rsidR="00DA5E69">
        <w:t>completion date</w:t>
      </w:r>
      <w:r w:rsidRPr="00C52789" w:rsidR="00C515D3">
        <w:t>, the</w:t>
      </w:r>
      <w:r w:rsidRPr="00C52789" w:rsidR="00DA5E69">
        <w:t xml:space="preserve"> hoist</w:t>
      </w:r>
      <w:r w:rsidRPr="00C52789" w:rsidR="00C515D3">
        <w:t xml:space="preserve"> identification</w:t>
      </w:r>
      <w:r w:rsidRPr="00C52789" w:rsidR="00732807">
        <w:t>,</w:t>
      </w:r>
      <w:r w:rsidRPr="00C52789" w:rsidR="00C515D3">
        <w:t xml:space="preserve"> and the signature of the person who performed the </w:t>
      </w:r>
      <w:r w:rsidRPr="00C52789" w:rsidR="008C6CE5">
        <w:t xml:space="preserve">inspection </w:t>
      </w:r>
      <w:r w:rsidRPr="00C52789" w:rsidR="00C515D3">
        <w:t xml:space="preserve">and </w:t>
      </w:r>
      <w:r w:rsidRPr="00C52789" w:rsidR="008C6CE5">
        <w:t>test</w:t>
      </w:r>
      <w:r w:rsidRPr="00C52789" w:rsidR="00C515D3">
        <w:t xml:space="preserve">. </w:t>
      </w:r>
    </w:p>
    <w:p w:rsidRPr="00C52789" w:rsidR="00D727AD" w:rsidP="00857632" w:rsidRDefault="00D727AD" w14:paraId="10954CDE" w14:textId="77777777">
      <w:pPr>
        <w:ind w:right="90"/>
      </w:pPr>
    </w:p>
    <w:p w:rsidRPr="00C52789" w:rsidR="00D953DD" w:rsidP="00857632" w:rsidRDefault="00D953DD" w14:paraId="4AB29194" w14:textId="77777777">
      <w:pPr>
        <w:ind w:right="90"/>
      </w:pPr>
      <w:r w:rsidRPr="00C52789">
        <w:t>Subsection 1926.552(c)(17)(iii) requires that personnel hoists used in bridge tower construction “[… ]be inspected and maintained on a weekly basis [and additionally inspected whenever] exposed to winds exceeding 35 miles per hour</w:t>
      </w:r>
      <w:r w:rsidRPr="00C52789" w:rsidR="00825ABF">
        <w:t>.</w:t>
      </w:r>
    </w:p>
    <w:p w:rsidRPr="00C52789" w:rsidR="00825ABF" w:rsidP="00857632" w:rsidRDefault="00825ABF" w14:paraId="3F87A5B2" w14:textId="77777777">
      <w:pPr>
        <w:ind w:right="90"/>
      </w:pPr>
    </w:p>
    <w:p w:rsidRPr="00C52789" w:rsidR="00C515D3" w:rsidP="00C515D3" w:rsidRDefault="00ED0A6C" w14:paraId="51EC69B7" w14:textId="77777777">
      <w:pPr>
        <w:ind w:right="90"/>
      </w:pPr>
      <w:r w:rsidRPr="00C52789">
        <w:t>Subsection 1926.552(d) does not expressly require inspection and testing</w:t>
      </w:r>
      <w:r w:rsidRPr="00C52789" w:rsidR="00642E23">
        <w:t xml:space="preserve"> but relies on subsection 1926.552(a)(2) as discussed above and, mostly on local code </w:t>
      </w:r>
      <w:r w:rsidRPr="00C52789" w:rsidR="00956C53">
        <w:t xml:space="preserve">inspection </w:t>
      </w:r>
      <w:r w:rsidRPr="00C52789" w:rsidR="00642E23">
        <w:t>requirements</w:t>
      </w:r>
      <w:r w:rsidRPr="00C52789">
        <w:t>.</w:t>
      </w:r>
    </w:p>
    <w:p w:rsidRPr="00C52789" w:rsidR="007061B9" w:rsidP="00C515D3" w:rsidRDefault="007061B9" w14:paraId="75A07954" w14:textId="77777777">
      <w:pPr>
        <w:ind w:right="90"/>
      </w:pPr>
    </w:p>
    <w:p w:rsidRPr="00C52789" w:rsidR="00B46162" w:rsidP="00B46162" w:rsidRDefault="00956C53" w14:paraId="285B8247" w14:textId="77777777">
      <w:pPr>
        <w:ind w:right="90"/>
      </w:pPr>
      <w:r w:rsidRPr="00C52789">
        <w:t>In sum</w:t>
      </w:r>
      <w:r w:rsidRPr="00C52789" w:rsidR="00A96355">
        <w:t>,</w:t>
      </w:r>
      <w:r w:rsidRPr="00C52789">
        <w:t xml:space="preserve"> the</w:t>
      </w:r>
      <w:r w:rsidRPr="00C52789" w:rsidR="00B46162">
        <w:t xml:space="preserve"> inspection</w:t>
      </w:r>
      <w:r w:rsidRPr="00C52789" w:rsidR="002C1A8D">
        <w:t>s</w:t>
      </w:r>
      <w:r w:rsidRPr="00C52789" w:rsidR="00B46162">
        <w:t xml:space="preserve">, testing and certification requirements ensure that the </w:t>
      </w:r>
      <w:r w:rsidRPr="00C52789">
        <w:t>hoists or elevators</w:t>
      </w:r>
      <w:r w:rsidRPr="00C52789" w:rsidR="00B46162">
        <w:t xml:space="preserve"> are regularly evaluated and found fit for use on construction sites. The certification ensures that hoist</w:t>
      </w:r>
      <w:r w:rsidRPr="00C52789" w:rsidR="008E5209">
        <w:t>s</w:t>
      </w:r>
      <w:r w:rsidRPr="00C52789" w:rsidR="00B46162">
        <w:t xml:space="preserve"> ha</w:t>
      </w:r>
      <w:r w:rsidRPr="00C52789" w:rsidR="008E5209">
        <w:t>ve</w:t>
      </w:r>
      <w:r w:rsidRPr="00C52789" w:rsidR="00B46162">
        <w:t xml:space="preserve"> been inspected</w:t>
      </w:r>
      <w:r w:rsidRPr="00C52789" w:rsidR="008E5209">
        <w:t>,</w:t>
      </w:r>
      <w:r w:rsidRPr="00C52789" w:rsidR="00B46162">
        <w:t xml:space="preserve"> tested</w:t>
      </w:r>
      <w:r w:rsidRPr="00C52789" w:rsidR="008E5209">
        <w:t xml:space="preserve"> and found fit for safe operation</w:t>
      </w:r>
      <w:r w:rsidRPr="00C52789" w:rsidR="0081274F">
        <w:t>.</w:t>
      </w:r>
      <w:r w:rsidRPr="00C52789" w:rsidR="00B46162">
        <w:t xml:space="preserve"> </w:t>
      </w:r>
      <w:r w:rsidRPr="00C52789" w:rsidR="008E5209">
        <w:t xml:space="preserve">The certified record facilitates the inspection process as well as repair </w:t>
      </w:r>
      <w:r w:rsidRPr="00C52789">
        <w:t>and maintenance activity and in turn improves safety against devastating collapses or failures.</w:t>
      </w:r>
    </w:p>
    <w:p w:rsidRPr="00C52789" w:rsidR="00DD0A79" w:rsidP="00C515D3" w:rsidRDefault="00DD0A79" w14:paraId="59A1B3E2" w14:textId="77777777">
      <w:pPr>
        <w:ind w:right="90"/>
      </w:pPr>
    </w:p>
    <w:p w:rsidRPr="00C52789" w:rsidR="00C515D3" w:rsidP="00061FDA" w:rsidRDefault="00C515D3" w14:paraId="2B7ED9FE" w14:textId="77777777">
      <w:pPr>
        <w:ind w:right="90" w:firstLine="720"/>
        <w:rPr>
          <w:b/>
        </w:rPr>
      </w:pPr>
      <w:r w:rsidRPr="00C52789">
        <w:rPr>
          <w:b/>
        </w:rPr>
        <w:t xml:space="preserve">Disclosure of </w:t>
      </w:r>
      <w:r w:rsidRPr="00C52789" w:rsidR="003F4278">
        <w:rPr>
          <w:b/>
        </w:rPr>
        <w:t xml:space="preserve">Inspection </w:t>
      </w:r>
      <w:r w:rsidRPr="00C52789">
        <w:rPr>
          <w:b/>
        </w:rPr>
        <w:t xml:space="preserve">and </w:t>
      </w:r>
      <w:r w:rsidRPr="00C52789" w:rsidR="003F4278">
        <w:rPr>
          <w:b/>
        </w:rPr>
        <w:t>Test</w:t>
      </w:r>
      <w:r w:rsidRPr="00C52789">
        <w:rPr>
          <w:b/>
        </w:rPr>
        <w:t xml:space="preserve"> Certification Records</w:t>
      </w:r>
    </w:p>
    <w:p w:rsidRPr="00C52789" w:rsidR="00C515D3" w:rsidP="00C515D3" w:rsidRDefault="00C515D3" w14:paraId="3C7DA689" w14:textId="77777777">
      <w:pPr>
        <w:ind w:right="90"/>
      </w:pPr>
    </w:p>
    <w:p w:rsidRPr="00C52789" w:rsidR="00B64626" w:rsidP="00C515D3" w:rsidRDefault="00DD0A79" w14:paraId="3B6AB7A0" w14:textId="77777777">
      <w:pPr>
        <w:ind w:right="90"/>
      </w:pPr>
      <w:r w:rsidRPr="00C52789">
        <w:t xml:space="preserve">OSHA </w:t>
      </w:r>
      <w:r w:rsidRPr="00C52789" w:rsidR="007C3428">
        <w:t>Compliance Safety and Health Officer</w:t>
      </w:r>
      <w:r w:rsidRPr="00C52789">
        <w:t>s</w:t>
      </w:r>
      <w:r w:rsidRPr="00C52789" w:rsidR="007C3428">
        <w:t xml:space="preserve"> (</w:t>
      </w:r>
      <w:r w:rsidRPr="00C52789" w:rsidR="00C515D3">
        <w:t>CSHO</w:t>
      </w:r>
      <w:r w:rsidRPr="00C52789" w:rsidR="007C3428">
        <w:t>)</w:t>
      </w:r>
      <w:r w:rsidRPr="00C52789">
        <w:t xml:space="preserve"> will request </w:t>
      </w:r>
      <w:r w:rsidRPr="00C52789" w:rsidR="0081274F">
        <w:t xml:space="preserve">inspection/test </w:t>
      </w:r>
      <w:r w:rsidRPr="00C52789">
        <w:t>records</w:t>
      </w:r>
      <w:r w:rsidRPr="00C52789" w:rsidR="00C515D3">
        <w:t xml:space="preserve"> during OSHA</w:t>
      </w:r>
      <w:r w:rsidRPr="00C52789" w:rsidR="00FE0E59">
        <w:t xml:space="preserve"> site</w:t>
      </w:r>
      <w:r w:rsidRPr="00C52789" w:rsidR="00C515D3">
        <w:t xml:space="preserve"> inspection</w:t>
      </w:r>
      <w:r w:rsidRPr="00C52789">
        <w:t>s</w:t>
      </w:r>
      <w:r w:rsidRPr="00C52789" w:rsidR="00607EA5">
        <w:t xml:space="preserve"> to ensure </w:t>
      </w:r>
      <w:r w:rsidRPr="00C52789" w:rsidR="00FC7659">
        <w:t xml:space="preserve">that </w:t>
      </w:r>
      <w:r w:rsidRPr="00C52789" w:rsidR="00607EA5">
        <w:t>appropriate care and oversight of hoist and elevator</w:t>
      </w:r>
      <w:r w:rsidRPr="00C52789" w:rsidR="00B64626">
        <w:t xml:space="preserve"> </w:t>
      </w:r>
      <w:r w:rsidRPr="00C52789" w:rsidR="0081274F">
        <w:t>use has taken place and continues to take place</w:t>
      </w:r>
      <w:r w:rsidRPr="00C52789" w:rsidR="00D46479">
        <w:t>. T</w:t>
      </w:r>
      <w:r w:rsidRPr="00C52789" w:rsidR="003A5FA9">
        <w:t>he Agency inspect</w:t>
      </w:r>
      <w:r w:rsidRPr="00C52789" w:rsidR="00FC7659">
        <w:t xml:space="preserve">s </w:t>
      </w:r>
      <w:r w:rsidRPr="00C52789" w:rsidR="00D46479">
        <w:t>sites for safety compliance to protect workers from being exposed to hoist or elevator hazards.</w:t>
      </w:r>
      <w:r w:rsidRPr="00C52789" w:rsidR="00FC3602">
        <w:t xml:space="preserve"> </w:t>
      </w:r>
      <w:r w:rsidRPr="00C52789" w:rsidR="00BE03EB">
        <w:t xml:space="preserve"> </w:t>
      </w:r>
      <w:r w:rsidRPr="00C52789" w:rsidR="00FC3602">
        <w:t>The Agency has</w:t>
      </w:r>
      <w:r w:rsidRPr="00C52789" w:rsidR="00C4610C">
        <w:t xml:space="preserve"> determined that information collected by the Agency during the investigation is not subject to the PRA under 5 CFR 1320.4(a)(2).  Therefore, OSHA takes no burden or cost for disclosure of records.</w:t>
      </w:r>
    </w:p>
    <w:p w:rsidRPr="00C52789" w:rsidR="00D46479" w:rsidP="00C515D3" w:rsidRDefault="00D46479" w14:paraId="08135782" w14:textId="77777777">
      <w:pPr>
        <w:ind w:right="90"/>
      </w:pPr>
    </w:p>
    <w:p w:rsidRPr="00C52789" w:rsidR="00C515D3" w:rsidP="00C515D3" w:rsidRDefault="00C515D3" w14:paraId="6910DCA8" w14:textId="77777777">
      <w:pPr>
        <w:ind w:right="90"/>
        <w:rPr>
          <w:b/>
        </w:rPr>
      </w:pPr>
      <w:r w:rsidRPr="00C52789">
        <w:rPr>
          <w:b/>
        </w:rPr>
        <w:t>3</w:t>
      </w:r>
      <w:r w:rsidRPr="00C52789">
        <w:rPr>
          <w:b/>
          <w:bCs/>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413DF" w:rsidR="00C515D3" w:rsidP="00C515D3" w:rsidRDefault="00C515D3" w14:paraId="46EE0F58" w14:textId="77777777">
      <w:pPr>
        <w:ind w:right="90"/>
      </w:pPr>
    </w:p>
    <w:p w:rsidRPr="00171E1C" w:rsidR="00CD2C4A" w:rsidP="00C515D3" w:rsidRDefault="00C515D3" w14:paraId="35CF758A" w14:textId="77777777">
      <w:pPr>
        <w:ind w:right="90"/>
      </w:pPr>
      <w:r w:rsidRPr="0011617E">
        <w:t>Employers may use auto</w:t>
      </w:r>
      <w:r w:rsidRPr="006650F7">
        <w:t xml:space="preserve">mated, electronic, mechanical, or other technological information-collection techniques, or other forms </w:t>
      </w:r>
      <w:r w:rsidRPr="00171E1C">
        <w:t xml:space="preserve">of information technology (e.g., electronic submission of </w:t>
      </w:r>
    </w:p>
    <w:p w:rsidRPr="00C52789" w:rsidR="00C515D3" w:rsidP="00C515D3" w:rsidRDefault="00C515D3" w14:paraId="72DD0F6A" w14:textId="77777777">
      <w:pPr>
        <w:ind w:right="90"/>
      </w:pPr>
      <w:r w:rsidRPr="00C52789">
        <w:t xml:space="preserve">responses) when establishing and maintaining the required records.  The agency wrote paperwork requirements of the Standard in performance-oriented language (i.e., in terms of what </w:t>
      </w:r>
      <w:r w:rsidRPr="00C52789">
        <w:rPr>
          <w:u w:val="single"/>
        </w:rPr>
        <w:t>data</w:t>
      </w:r>
      <w:r w:rsidRPr="00C52789">
        <w:t xml:space="preserve"> to collect, not </w:t>
      </w:r>
      <w:r w:rsidRPr="00C52789">
        <w:rPr>
          <w:u w:val="single"/>
        </w:rPr>
        <w:t>how</w:t>
      </w:r>
      <w:r w:rsidRPr="00C52789">
        <w:t xml:space="preserve"> to record the data).</w:t>
      </w:r>
    </w:p>
    <w:p w:rsidRPr="00C52789" w:rsidR="00C515D3" w:rsidP="00C515D3" w:rsidRDefault="00C515D3" w14:paraId="25A53F02" w14:textId="77777777">
      <w:pPr>
        <w:ind w:right="90"/>
      </w:pPr>
    </w:p>
    <w:p w:rsidRPr="00C52789" w:rsidR="00DA4EEB" w:rsidP="00DA4EEB" w:rsidRDefault="00C515D3" w14:paraId="4F6EF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b/>
        </w:rPr>
      </w:pPr>
      <w:r w:rsidRPr="00C52789">
        <w:rPr>
          <w:b/>
          <w:bCs/>
        </w:rPr>
        <w:t xml:space="preserve">4.  Describe efforts to identify duplication.  Show specifically why any similar information already available cannot be used or modified for use for the purposes described in Item </w:t>
      </w:r>
      <w:r w:rsidRPr="00C52789" w:rsidR="003864B3">
        <w:rPr>
          <w:b/>
          <w:bCs/>
        </w:rPr>
        <w:t>A.</w:t>
      </w:r>
      <w:r w:rsidRPr="00C52789">
        <w:rPr>
          <w:b/>
          <w:bCs/>
        </w:rPr>
        <w:t>2 above.</w:t>
      </w:r>
    </w:p>
    <w:p w:rsidRPr="001413DF" w:rsidR="00DA4EEB" w:rsidP="00DA4EEB" w:rsidRDefault="00DA4EEB" w14:paraId="705EE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pPr>
    </w:p>
    <w:p w:rsidRPr="00C52789" w:rsidR="00C515D3" w:rsidP="0026523A" w:rsidRDefault="00C515D3" w14:paraId="030D2AB8" w14:textId="77777777">
      <w:pPr>
        <w:tabs>
          <w:tab w:val="left" w:pos="126"/>
          <w:tab w:val="left" w:pos="2880"/>
          <w:tab w:val="left" w:pos="3600"/>
          <w:tab w:val="left" w:pos="4320"/>
          <w:tab w:val="left" w:pos="5040"/>
          <w:tab w:val="left" w:pos="5760"/>
          <w:tab w:val="left" w:pos="6480"/>
          <w:tab w:val="left" w:pos="7200"/>
          <w:tab w:val="left" w:pos="7920"/>
          <w:tab w:val="left" w:pos="8640"/>
        </w:tabs>
        <w:ind w:right="90"/>
        <w:rPr>
          <w:b/>
        </w:rPr>
      </w:pPr>
      <w:r w:rsidRPr="0011617E">
        <w:t xml:space="preserve">The requirements to collect and maintain information are specific to each employer and </w:t>
      </w:r>
      <w:r w:rsidRPr="006650F7" w:rsidR="00497460">
        <w:t>worker</w:t>
      </w:r>
      <w:r w:rsidRPr="006650F7">
        <w:t xml:space="preserve"> involved, and no other source or agency duplicates these requirements or can make the req</w:t>
      </w:r>
      <w:r w:rsidRPr="00171E1C">
        <w:t>uired information available to OSHA (i.e., the required information is available only from</w:t>
      </w:r>
      <w:r w:rsidRPr="004837CA" w:rsidR="0073551A">
        <w:t xml:space="preserve"> </w:t>
      </w:r>
      <w:r w:rsidRPr="004837CA">
        <w:t>employers).</w:t>
      </w:r>
      <w:r w:rsidRPr="00C52789" w:rsidR="00A67C42">
        <w:t xml:space="preserve"> The requirements for </w:t>
      </w:r>
      <w:r w:rsidRPr="00C52789" w:rsidR="003A5FA9">
        <w:t xml:space="preserve">much of </w:t>
      </w:r>
      <w:r w:rsidRPr="00C52789" w:rsidR="00A67C42">
        <w:t xml:space="preserve">this information are recognized by the industry as a </w:t>
      </w:r>
      <w:r w:rsidRPr="00C52789" w:rsidR="00531765">
        <w:t xml:space="preserve">customary and usual practice, which frequently </w:t>
      </w:r>
      <w:r w:rsidRPr="00C52789" w:rsidR="003A5FA9">
        <w:t>may be r</w:t>
      </w:r>
      <w:r w:rsidRPr="00C52789" w:rsidR="00A67C42">
        <w:t xml:space="preserve">equired by </w:t>
      </w:r>
      <w:r w:rsidRPr="00C52789" w:rsidR="003A5FA9">
        <w:t xml:space="preserve">state or </w:t>
      </w:r>
      <w:r w:rsidRPr="00C52789" w:rsidR="00A67C42">
        <w:t xml:space="preserve">local authorities. </w:t>
      </w:r>
      <w:r w:rsidRPr="00C52789" w:rsidR="00097374">
        <w:t xml:space="preserve">Therefore, </w:t>
      </w:r>
      <w:r w:rsidRPr="00C52789" w:rsidR="00A67C42">
        <w:t xml:space="preserve">OSHA is taking a </w:t>
      </w:r>
      <w:r w:rsidRPr="00C52789" w:rsidR="00097374">
        <w:t>charge of 10</w:t>
      </w:r>
      <w:r w:rsidRPr="00C52789" w:rsidR="00A67C42">
        <w:t xml:space="preserve">% across the board for cases that are not covered by </w:t>
      </w:r>
      <w:r w:rsidRPr="00C52789" w:rsidR="00097374">
        <w:t xml:space="preserve">state or </w:t>
      </w:r>
      <w:r w:rsidRPr="00C52789" w:rsidR="00A67C42">
        <w:t>local authorities</w:t>
      </w:r>
      <w:r w:rsidRPr="00C52789" w:rsidR="00097374">
        <w:t xml:space="preserve">, nor considered </w:t>
      </w:r>
      <w:r w:rsidRPr="00C52789" w:rsidR="00A96355">
        <w:t xml:space="preserve">usual and </w:t>
      </w:r>
      <w:r w:rsidRPr="00C52789" w:rsidR="00097374">
        <w:t>customary.</w:t>
      </w:r>
    </w:p>
    <w:p w:rsidRPr="001413DF" w:rsidR="00C515D3" w:rsidP="00C515D3" w:rsidRDefault="00C515D3" w14:paraId="2B2C9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pPr>
    </w:p>
    <w:p w:rsidRPr="00C52789" w:rsidR="004A5503" w:rsidP="004A5503" w:rsidRDefault="00C515D3" w14:paraId="690BA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b/>
          <w:bCs/>
        </w:rPr>
      </w:pPr>
      <w:r w:rsidRPr="00C52789">
        <w:rPr>
          <w:b/>
          <w:bCs/>
        </w:rPr>
        <w:t>5.  If the collection of information impacts small businesses or other small entities, describe any methods used to minimize burden.</w:t>
      </w:r>
    </w:p>
    <w:p w:rsidRPr="00C52789" w:rsidR="00D75665" w:rsidP="004A5503" w:rsidRDefault="00D75665" w14:paraId="7EE15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b/>
        </w:rPr>
      </w:pPr>
    </w:p>
    <w:p w:rsidRPr="00C52789" w:rsidR="00C515D3" w:rsidP="004A5503" w:rsidRDefault="00C515D3" w14:paraId="26247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b/>
        </w:rPr>
      </w:pPr>
      <w:r w:rsidRPr="001413DF">
        <w:t>The information</w:t>
      </w:r>
      <w:r w:rsidRPr="001413DF" w:rsidR="00801B01">
        <w:t xml:space="preserve"> </w:t>
      </w:r>
      <w:r w:rsidRPr="0011617E">
        <w:t xml:space="preserve">collection requirements specified by the Standard do not have a significant impact on a substantial number of </w:t>
      </w:r>
      <w:r w:rsidRPr="006650F7" w:rsidR="00F61709">
        <w:t xml:space="preserve">small </w:t>
      </w:r>
      <w:r w:rsidRPr="006650F7">
        <w:t>entities.</w:t>
      </w:r>
    </w:p>
    <w:p w:rsidRPr="001413DF" w:rsidR="00C515D3" w:rsidP="00C515D3" w:rsidRDefault="00C515D3" w14:paraId="60BB1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pPr>
    </w:p>
    <w:p w:rsidRPr="00C52789" w:rsidR="00C515D3" w:rsidP="00C515D3" w:rsidRDefault="00C515D3" w14:paraId="03D58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6.  Describe the consequence to Federal program or policy activities if the collection is not conducted or is conducted less frequently, as well as any technical or legal obstacles to reducing burden.</w:t>
      </w:r>
    </w:p>
    <w:p w:rsidRPr="001413DF" w:rsidR="00C515D3" w:rsidP="00C515D3" w:rsidRDefault="00C515D3" w14:paraId="32564B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15D3" w:rsidP="00C515D3" w:rsidRDefault="00C515D3" w14:paraId="33AC9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The Agenc</w:t>
      </w:r>
      <w:r w:rsidRPr="006650F7" w:rsidR="00B83BCE">
        <w:t xml:space="preserve">y believes that the information </w:t>
      </w:r>
      <w:r w:rsidRPr="006650F7">
        <w:t>collection frequencies required by the Standard are the minimum fre</w:t>
      </w:r>
      <w:r w:rsidRPr="00171E1C">
        <w:t>quencies necessary to fulfill its mandate “to assure so far as possible every working man and woman in the nation safe and healthful working conditions and to preserve our human resources” as specified in the OSH Act at 29 U.S.C. 651.  According</w:t>
      </w:r>
      <w:r w:rsidRPr="004837CA">
        <w:t>ly, if employers do not perform the information</w:t>
      </w:r>
      <w:r w:rsidRPr="004837CA" w:rsidR="00497460">
        <w:t xml:space="preserve"> </w:t>
      </w:r>
      <w:r w:rsidRPr="00C52789">
        <w:t xml:space="preserve">collection required by §1926.552 or delay in providing this information, </w:t>
      </w:r>
      <w:r w:rsidRPr="00C52789" w:rsidR="00497460">
        <w:t>workers</w:t>
      </w:r>
      <w:r w:rsidRPr="00C52789">
        <w:t xml:space="preserve"> are at ri</w:t>
      </w:r>
      <w:r w:rsidRPr="00C52789" w:rsidR="00AD6A76">
        <w:t>sk of serious injuries or death.</w:t>
      </w:r>
    </w:p>
    <w:p w:rsidRPr="00C52789" w:rsidR="00AD6A76" w:rsidP="00C515D3" w:rsidRDefault="00AD6A76" w14:paraId="7E8D6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15D3" w:rsidP="00C515D3" w:rsidRDefault="00C515D3" w14:paraId="127FEC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52789">
        <w:rPr>
          <w:b/>
          <w:bCs/>
        </w:rPr>
        <w:t>7.  Explain any special circumstances that would cause an information collection to be conducted in a manner:</w:t>
      </w:r>
    </w:p>
    <w:p w:rsidRPr="00C52789" w:rsidR="00C515D3" w:rsidP="00C515D3" w:rsidRDefault="00C515D3" w14:paraId="509B5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723DEF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52789">
        <w:rPr>
          <w:b/>
          <w:bCs/>
        </w:rPr>
        <w:t xml:space="preserve">     ·  </w:t>
      </w:r>
      <w:r w:rsidRPr="00C52789">
        <w:rPr>
          <w:b/>
          <w:bCs/>
        </w:rPr>
        <w:tab/>
      </w:r>
      <w:r w:rsidRPr="00C52789" w:rsidR="00434AF8">
        <w:rPr>
          <w:b/>
          <w:bCs/>
        </w:rPr>
        <w:t>r</w:t>
      </w:r>
      <w:r w:rsidRPr="00C52789">
        <w:rPr>
          <w:b/>
          <w:bCs/>
        </w:rPr>
        <w:t xml:space="preserve">equiring respondents to report information to the agency more often than </w:t>
      </w:r>
      <w:r w:rsidR="00D979ED">
        <w:rPr>
          <w:b/>
          <w:bCs/>
        </w:rPr>
        <w:tab/>
      </w:r>
      <w:r w:rsidRPr="00C52789">
        <w:rPr>
          <w:b/>
          <w:bCs/>
        </w:rPr>
        <w:t>quarterly;</w:t>
      </w:r>
    </w:p>
    <w:p w:rsidRPr="00C52789" w:rsidR="00C515D3" w:rsidP="00C515D3" w:rsidRDefault="00C515D3" w14:paraId="4D08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5AE49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C52789">
        <w:rPr>
          <w:b/>
          <w:bCs/>
        </w:rPr>
        <w:t xml:space="preserve">     ·</w:t>
      </w:r>
      <w:r w:rsidRPr="00C52789">
        <w:rPr>
          <w:b/>
          <w:bCs/>
        </w:rPr>
        <w:tab/>
      </w:r>
      <w:r w:rsidRPr="00C52789" w:rsidR="00434AF8">
        <w:rPr>
          <w:b/>
          <w:bCs/>
        </w:rPr>
        <w:t>r</w:t>
      </w:r>
      <w:r w:rsidRPr="00C52789">
        <w:rPr>
          <w:b/>
          <w:bCs/>
        </w:rPr>
        <w:t>equiring respondents to prepare a written response to a collection of information in fewer than 30 days after receipt of it;</w:t>
      </w:r>
    </w:p>
    <w:p w:rsidRPr="00C52789" w:rsidR="00C515D3" w:rsidP="00C515D3" w:rsidRDefault="00C515D3" w14:paraId="0E7B9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979ED" w:rsidP="00C515D3" w:rsidRDefault="00C515D3" w14:paraId="36705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52789">
        <w:rPr>
          <w:b/>
          <w:bCs/>
        </w:rPr>
        <w:t xml:space="preserve">   </w:t>
      </w:r>
    </w:p>
    <w:p w:rsidRPr="00C52789" w:rsidR="00C515D3" w:rsidP="00C515D3" w:rsidRDefault="00D979ED" w14:paraId="0F740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bCs/>
        </w:rPr>
        <w:br w:type="page"/>
      </w:r>
      <w:r w:rsidRPr="00C52789" w:rsidR="00C515D3">
        <w:rPr>
          <w:b/>
          <w:bCs/>
        </w:rPr>
        <w:t xml:space="preserve">  ·  </w:t>
      </w:r>
      <w:r w:rsidRPr="00C52789" w:rsidR="00C515D3">
        <w:rPr>
          <w:b/>
          <w:bCs/>
        </w:rPr>
        <w:tab/>
      </w:r>
      <w:r w:rsidRPr="00C52789" w:rsidR="00434AF8">
        <w:rPr>
          <w:b/>
          <w:bCs/>
        </w:rPr>
        <w:t>r</w:t>
      </w:r>
      <w:r w:rsidRPr="00C52789" w:rsidR="00C515D3">
        <w:rPr>
          <w:b/>
          <w:bCs/>
        </w:rPr>
        <w:t xml:space="preserve">equiring respondents to submit more than an original and two copies of any </w:t>
      </w:r>
      <w:r>
        <w:rPr>
          <w:b/>
          <w:bCs/>
        </w:rPr>
        <w:tab/>
      </w:r>
      <w:r w:rsidRPr="00C52789" w:rsidR="00C515D3">
        <w:rPr>
          <w:b/>
          <w:bCs/>
        </w:rPr>
        <w:t>document;</w:t>
      </w:r>
    </w:p>
    <w:p w:rsidRPr="00C52789" w:rsidR="00C515D3" w:rsidP="00C515D3" w:rsidRDefault="00C515D3" w14:paraId="709DB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C515D3" w:rsidP="00C515D3" w:rsidRDefault="00C515D3" w14:paraId="6ED42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C52789">
        <w:rPr>
          <w:b/>
          <w:bCs/>
        </w:rPr>
        <w:t xml:space="preserve">     · </w:t>
      </w:r>
      <w:r w:rsidRPr="00C52789">
        <w:rPr>
          <w:b/>
          <w:bCs/>
        </w:rPr>
        <w:tab/>
      </w:r>
      <w:r w:rsidRPr="00C52789" w:rsidR="00434AF8">
        <w:rPr>
          <w:b/>
          <w:bCs/>
        </w:rPr>
        <w:t>r</w:t>
      </w:r>
      <w:r w:rsidRPr="00C52789">
        <w:rPr>
          <w:b/>
          <w:bCs/>
        </w:rPr>
        <w:t>equiring respondents to retain records, other than health, medical, government contract, grant-in-aid, or tax records for more than three years;</w:t>
      </w:r>
    </w:p>
    <w:p w:rsidRPr="00C52789" w:rsidR="00C515D3" w:rsidP="00C515D3" w:rsidRDefault="00C515D3" w14:paraId="5C4A5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2AC28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C52789">
        <w:rPr>
          <w:b/>
          <w:bCs/>
        </w:rPr>
        <w:t xml:space="preserve">     ·</w:t>
      </w:r>
      <w:r w:rsidRPr="00C52789">
        <w:rPr>
          <w:b/>
          <w:bCs/>
        </w:rPr>
        <w:tab/>
      </w:r>
      <w:r w:rsidRPr="00C52789" w:rsidR="00434AF8">
        <w:rPr>
          <w:b/>
          <w:bCs/>
        </w:rPr>
        <w:t>i</w:t>
      </w:r>
      <w:r w:rsidRPr="00C52789">
        <w:rPr>
          <w:b/>
          <w:bCs/>
        </w:rPr>
        <w:t>n connection with a statistical survey, that is not designed to produce valid and reliable results that can be generalized to the universe of study;</w:t>
      </w:r>
    </w:p>
    <w:p w:rsidRPr="00C52789" w:rsidR="00C515D3" w:rsidP="003A7157" w:rsidRDefault="003A7157" w14:paraId="03B0C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     </w:t>
      </w:r>
      <w:r w:rsidRPr="00C52789" w:rsidR="00C515D3">
        <w:rPr>
          <w:b/>
          <w:bCs/>
        </w:rPr>
        <w:t xml:space="preserve"> ·</w:t>
      </w:r>
      <w:r w:rsidRPr="00C52789" w:rsidR="00C515D3">
        <w:rPr>
          <w:b/>
          <w:bCs/>
        </w:rPr>
        <w:tab/>
      </w:r>
      <w:r w:rsidRPr="00C52789" w:rsidR="00434AF8">
        <w:rPr>
          <w:b/>
          <w:bCs/>
        </w:rPr>
        <w:t>r</w:t>
      </w:r>
      <w:r w:rsidRPr="00C52789" w:rsidR="00C515D3">
        <w:rPr>
          <w:b/>
          <w:bCs/>
        </w:rPr>
        <w:t>equiring the use of a statistical data classification that has not been reviewed and approved by OMB;</w:t>
      </w:r>
    </w:p>
    <w:p w:rsidRPr="00C52789" w:rsidR="00C515D3" w:rsidP="00C515D3" w:rsidRDefault="00C515D3" w14:paraId="2F438F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4DD54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C52789">
        <w:rPr>
          <w:b/>
          <w:bCs/>
        </w:rPr>
        <w:t xml:space="preserve">     ·</w:t>
      </w:r>
      <w:r w:rsidRPr="00C52789">
        <w:rPr>
          <w:b/>
          <w:bCs/>
        </w:rPr>
        <w:tab/>
      </w:r>
      <w:r w:rsidRPr="00C52789" w:rsidR="00434AF8">
        <w:rPr>
          <w:b/>
          <w:bCs/>
        </w:rPr>
        <w:t>t</w:t>
      </w:r>
      <w:r w:rsidRPr="00C52789">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52789" w:rsidR="00C515D3" w:rsidP="00C515D3" w:rsidRDefault="00C515D3" w14:paraId="0A870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781B0F46" w14:textId="77777777">
      <w:pPr>
        <w:ind w:left="720" w:hanging="720"/>
        <w:rPr>
          <w:b/>
        </w:rPr>
      </w:pPr>
      <w:r w:rsidRPr="00C52789">
        <w:rPr>
          <w:b/>
          <w:bCs/>
        </w:rPr>
        <w:t xml:space="preserve">     ·</w:t>
      </w:r>
      <w:r w:rsidRPr="00C52789">
        <w:rPr>
          <w:b/>
          <w:bCs/>
        </w:rPr>
        <w:tab/>
      </w:r>
      <w:r w:rsidRPr="00C52789" w:rsidR="00434AF8">
        <w:rPr>
          <w:b/>
          <w:bCs/>
        </w:rPr>
        <w:t>r</w:t>
      </w:r>
      <w:r w:rsidRPr="00C52789">
        <w:rPr>
          <w:b/>
          <w:bCs/>
        </w:rPr>
        <w:t>equiring respondents to submit proprietary trade secret, or other confidential information unless the agency can demonstrate that it has instituted procedures to protect the information's confidentiality to the extent permitted by law.</w:t>
      </w:r>
    </w:p>
    <w:p w:rsidRPr="001413DF" w:rsidR="00C515D3" w:rsidP="00C515D3" w:rsidRDefault="00C515D3" w14:paraId="4125F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71E1C" w:rsidR="002417A9" w:rsidP="00497460" w:rsidRDefault="00C515D3" w14:paraId="683401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 xml:space="preserve">No special circumstances exist that require employers to collect information using the procedures specified by this </w:t>
      </w:r>
      <w:r w:rsidRPr="006650F7" w:rsidR="00801B01">
        <w:t>I</w:t>
      </w:r>
      <w:r w:rsidRPr="006650F7">
        <w:t>tem.  The requirements are within the guidelines set forth in 5 CFR 1320.5</w:t>
      </w:r>
    </w:p>
    <w:p w:rsidRPr="004837CA" w:rsidR="00D75665" w:rsidP="00497460" w:rsidRDefault="00D75665" w14:paraId="2E1AF39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C515D3" w:rsidP="00497460" w:rsidRDefault="002417A9" w14:paraId="5B0014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837CA">
        <w:rPr>
          <w:b/>
        </w:rPr>
        <w:t>8</w:t>
      </w:r>
      <w:r w:rsidRPr="004837CA" w:rsidR="00C515D3">
        <w:rPr>
          <w:b/>
        </w:rPr>
        <w:t>.</w:t>
      </w:r>
      <w:r w:rsidRPr="004837CA">
        <w:rPr>
          <w:b/>
        </w:rPr>
        <w:t xml:space="preserve"> I</w:t>
      </w:r>
      <w:r w:rsidRPr="00C52789" w:rsidR="00C515D3">
        <w:rPr>
          <w:b/>
          <w:bCs/>
        </w:rPr>
        <w:t>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w:t>
      </w:r>
      <w:r w:rsidRPr="00C52789" w:rsidR="005C4891">
        <w:rPr>
          <w:b/>
          <w:bCs/>
        </w:rPr>
        <w:t xml:space="preserve"> </w:t>
      </w:r>
      <w:r w:rsidRPr="00C52789" w:rsidR="00C515D3">
        <w:rPr>
          <w:b/>
          <w:bCs/>
        </w:rPr>
        <w:t>taken by the agency in response to these comments.  Specifically address comments received on cost and hour burden.</w:t>
      </w:r>
    </w:p>
    <w:p w:rsidRPr="001413DF" w:rsidR="00D83568" w:rsidP="00F13507" w:rsidRDefault="00D83568" w14:paraId="2D1C0C9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Pr="00C52789" w:rsidR="00C114C1" w:rsidP="00C114C1" w:rsidRDefault="00C114C1" w14:paraId="281AB2ED" w14:textId="77777777">
      <w:pPr>
        <w:rPr>
          <w:rFonts w:eastAsia="Batang"/>
        </w:rPr>
      </w:pPr>
      <w:r w:rsidRPr="0011617E">
        <w:rPr>
          <w:rFonts w:eastAsia="Batang"/>
        </w:rPr>
        <w:t xml:space="preserve">Pursuant to the Paperwork Reduction Act of 1995 (44 U.S.C. 3506(c)(2)(A)), </w:t>
      </w:r>
      <w:r w:rsidRPr="006650F7">
        <w:rPr>
          <w:rFonts w:eastAsia="Batang"/>
        </w:rPr>
        <w:t xml:space="preserve">OSHA published a notice in the </w:t>
      </w:r>
      <w:r w:rsidRPr="006650F7">
        <w:rPr>
          <w:rFonts w:eastAsia="Batang"/>
          <w:i/>
        </w:rPr>
        <w:t>Federal</w:t>
      </w:r>
      <w:r w:rsidRPr="00171E1C">
        <w:rPr>
          <w:rFonts w:eastAsia="Batang"/>
        </w:rPr>
        <w:t xml:space="preserve"> </w:t>
      </w:r>
      <w:r w:rsidRPr="004837CA">
        <w:rPr>
          <w:rFonts w:eastAsia="Batang"/>
          <w:i/>
        </w:rPr>
        <w:t>Register</w:t>
      </w:r>
      <w:r w:rsidRPr="004837CA">
        <w:rPr>
          <w:rFonts w:eastAsia="Batang"/>
        </w:rPr>
        <w:t xml:space="preserve"> on </w:t>
      </w:r>
      <w:r w:rsidR="008F353B">
        <w:rPr>
          <w:i/>
          <w:iCs/>
          <w:sz w:val="23"/>
          <w:szCs w:val="23"/>
        </w:rPr>
        <w:t xml:space="preserve">November 12, 2020 </w:t>
      </w:r>
      <w:r w:rsidR="008F353B">
        <w:rPr>
          <w:sz w:val="23"/>
          <w:szCs w:val="23"/>
        </w:rPr>
        <w:t xml:space="preserve">(85 FR 71947, Docket No. OSHA-2010-0052) </w:t>
      </w:r>
      <w:r w:rsidRPr="004837CA">
        <w:rPr>
          <w:rFonts w:eastAsia="Batang"/>
        </w:rPr>
        <w:t xml:space="preserve">soliciting comments from the public and other interested parties on the information collection requirements contained in the </w:t>
      </w:r>
      <w:r w:rsidRPr="004837CA" w:rsidR="00E62229">
        <w:rPr>
          <w:rFonts w:eastAsia="Batang"/>
        </w:rPr>
        <w:t>Material Hoists, Person</w:t>
      </w:r>
      <w:r w:rsidRPr="00C52789" w:rsidR="00E62229">
        <w:rPr>
          <w:rFonts w:eastAsia="Batang"/>
        </w:rPr>
        <w:t>nel Hoists, and Elevators</w:t>
      </w:r>
      <w:r w:rsidRPr="00C52789">
        <w:rPr>
          <w:rFonts w:eastAsia="Batang"/>
        </w:rPr>
        <w:t xml:space="preserve"> </w:t>
      </w:r>
      <w:r w:rsidRPr="00C52789">
        <w:t xml:space="preserve">Standard (29 CFR </w:t>
      </w:r>
      <w:r w:rsidR="00D979ED">
        <w:t>1926.552</w:t>
      </w:r>
      <w:r w:rsidRPr="00C52789">
        <w:t>)</w:t>
      </w:r>
      <w:r w:rsidRPr="00C52789">
        <w:rPr>
          <w:rFonts w:eastAsia="Batang"/>
        </w:rPr>
        <w:t xml:space="preserve">.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w:t>
      </w:r>
      <w:r w:rsidRPr="00EE3FAB" w:rsidR="00EE3FAB">
        <w:rPr>
          <w:rFonts w:eastAsia="Batang"/>
        </w:rPr>
        <w:t>The Agency did not receive any substantive comments regarding this proposed information collection request.</w:t>
      </w:r>
    </w:p>
    <w:p w:rsidRPr="00C52789" w:rsidR="00C515D3" w:rsidP="00644886" w:rsidRDefault="00C515D3" w14:paraId="234EF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b/>
        </w:rPr>
      </w:pPr>
      <w:r w:rsidRPr="00C52789">
        <w:rPr>
          <w:b/>
          <w:bCs/>
        </w:rPr>
        <w:t xml:space="preserve">9.  Explain any decision to provide any payment or gift to respondents, other than </w:t>
      </w:r>
      <w:r w:rsidRPr="00C52789" w:rsidR="0049314D">
        <w:rPr>
          <w:b/>
          <w:bCs/>
        </w:rPr>
        <w:t>remuneration</w:t>
      </w:r>
      <w:r w:rsidRPr="00C52789">
        <w:rPr>
          <w:b/>
          <w:bCs/>
        </w:rPr>
        <w:t xml:space="preserve"> of contractors or grantees.</w:t>
      </w:r>
    </w:p>
    <w:p w:rsidRPr="001413DF" w:rsidR="00C515D3" w:rsidP="00C515D3" w:rsidRDefault="00C515D3" w14:paraId="26F0D6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13DF">
        <w:t>The Agency will not provide payments or gifts to the respondents.</w:t>
      </w:r>
    </w:p>
    <w:p w:rsidRPr="0011617E" w:rsidR="00C515D3" w:rsidP="00C515D3" w:rsidRDefault="00C515D3" w14:paraId="005D8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15D3" w:rsidP="00C515D3" w:rsidRDefault="00C515D3" w14:paraId="1F243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10.  Describe any assurance of confidentiality provided to respondents and the basis for the assurance in statute, regulation, or agency policy.</w:t>
      </w:r>
    </w:p>
    <w:p w:rsidRPr="001413DF" w:rsidR="00C515D3" w:rsidP="00C515D3" w:rsidRDefault="00C515D3" w14:paraId="4C4AB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617E" w:rsidR="00C515D3" w:rsidP="00C515D3" w:rsidRDefault="00C515D3" w14:paraId="69D2D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The paperwork requirements specified by the Standard do not involve confidential information.</w:t>
      </w:r>
    </w:p>
    <w:p w:rsidRPr="006650F7" w:rsidR="00C515D3" w:rsidP="00C515D3" w:rsidRDefault="00C515D3" w14:paraId="58314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15D3" w:rsidP="00C515D3" w:rsidRDefault="00C515D3" w14:paraId="7654F4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1413DF" w:rsidR="00C515D3" w:rsidP="00C515D3" w:rsidRDefault="00C515D3" w14:paraId="3439B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650F7" w:rsidR="00C515D3" w:rsidP="00C515D3" w:rsidRDefault="00C515D3" w14:paraId="261EF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None of the provisions in the standard require sensitive information.</w:t>
      </w:r>
    </w:p>
    <w:p w:rsidRPr="00C52789" w:rsidR="0049314D" w:rsidP="001075BE" w:rsidRDefault="0049314D" w14:paraId="0D3AB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A0AEA" w:rsidP="001075BE" w:rsidRDefault="00CA0AEA" w14:paraId="205856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52789">
        <w:rPr>
          <w:b/>
          <w:bCs/>
        </w:rPr>
        <w:t>12.  Provide estimates of the hour burden of the collection of information.  The statement should:</w:t>
      </w:r>
    </w:p>
    <w:p w:rsidRPr="00C52789" w:rsidR="00CA0AEA" w:rsidP="00CA0AEA" w:rsidRDefault="00CA0AEA" w14:paraId="780DD0AB" w14:textId="77777777">
      <w:pPr>
        <w:widowControl/>
        <w:rPr>
          <w:b/>
          <w:bCs/>
        </w:rPr>
      </w:pPr>
    </w:p>
    <w:p w:rsidRPr="00C52789" w:rsidR="00CA0AEA" w:rsidP="00CA0AEA" w:rsidRDefault="00CA0AEA" w14:paraId="450B2921" w14:textId="77777777">
      <w:pPr>
        <w:widowControl/>
        <w:numPr>
          <w:ilvl w:val="0"/>
          <w:numId w:val="6"/>
        </w:numPr>
        <w:rPr>
          <w:b/>
          <w:bCs/>
        </w:rPr>
      </w:pPr>
      <w:r w:rsidRPr="00C5278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52789" w:rsidR="00CA0AEA" w:rsidP="00CA0AEA" w:rsidRDefault="00CA0AEA" w14:paraId="5835BE50" w14:textId="77777777">
      <w:pPr>
        <w:widowControl/>
        <w:rPr>
          <w:b/>
          <w:bCs/>
        </w:rPr>
      </w:pPr>
    </w:p>
    <w:p w:rsidRPr="00C52789" w:rsidR="00CA0AEA" w:rsidP="00CA0AEA" w:rsidRDefault="00CA0AEA" w14:paraId="20D2EF69" w14:textId="77777777">
      <w:pPr>
        <w:widowControl/>
        <w:numPr>
          <w:ilvl w:val="0"/>
          <w:numId w:val="6"/>
        </w:numPr>
        <w:rPr>
          <w:b/>
          <w:bCs/>
        </w:rPr>
      </w:pPr>
      <w:r w:rsidRPr="00C52789">
        <w:rPr>
          <w:b/>
          <w:bCs/>
        </w:rPr>
        <w:t>If this request for approval covers more than one form, provide separate hour burden estimates for each form</w:t>
      </w:r>
    </w:p>
    <w:p w:rsidRPr="00C52789" w:rsidR="00CA0AEA" w:rsidP="00CA0AEA" w:rsidRDefault="00CA0AEA" w14:paraId="57375BA5" w14:textId="77777777">
      <w:pPr>
        <w:widowControl/>
        <w:rPr>
          <w:b/>
          <w:bCs/>
        </w:rPr>
      </w:pPr>
      <w:r w:rsidRPr="00C52789">
        <w:rPr>
          <w:b/>
          <w:bCs/>
        </w:rPr>
        <w:t xml:space="preserve"> </w:t>
      </w:r>
    </w:p>
    <w:p w:rsidRPr="00C52789" w:rsidR="00CA0AEA" w:rsidP="00CA0AEA" w:rsidRDefault="00CA0AEA" w14:paraId="01C3B43E" w14:textId="77777777">
      <w:pPr>
        <w:widowControl/>
        <w:ind w:left="720" w:hanging="360"/>
      </w:pPr>
      <w:r w:rsidRPr="00C52789">
        <w:rPr>
          <w:b/>
          <w:bCs/>
        </w:rPr>
        <w:t>●</w:t>
      </w:r>
      <w:r w:rsidRPr="00C52789">
        <w:rPr>
          <w:b/>
          <w:bCs/>
        </w:rPr>
        <w:tab/>
        <w:t>Provide estimates of annualized cost to respondents for the hour burdens for collections of information, identifying and using appropriate wage-rate categories.</w:t>
      </w:r>
    </w:p>
    <w:p w:rsidRPr="001413DF" w:rsidR="00C515D3" w:rsidP="00C515D3" w:rsidRDefault="00C515D3" w14:paraId="4BE66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6650F7" w:rsidR="00C515D3" w:rsidP="00C515D3" w:rsidRDefault="00C515D3" w14:paraId="60EB646E"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1617E">
        <w:rPr>
          <w:b/>
          <w:bCs/>
        </w:rPr>
        <w:t>Estimated Burden Hours</w:t>
      </w:r>
      <w:r w:rsidRPr="006650F7" w:rsidR="00801B01">
        <w:rPr>
          <w:b/>
          <w:bCs/>
        </w:rPr>
        <w:t xml:space="preserve"> and Costs</w:t>
      </w:r>
    </w:p>
    <w:p w:rsidRPr="00C52789" w:rsidR="00187D1A" w:rsidP="00E06518" w:rsidRDefault="00187D1A" w14:paraId="4178B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7D1A" w:rsidP="00E06518" w:rsidRDefault="00187D1A" w14:paraId="50612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 xml:space="preserve">Using the 2013 estimated number of hoists and elevators of 5,868, OSHA estimates that the number of hoists and elevators in operation in 2017 is 6,697.  This is derived by using the Dodge Momentum Index for </w:t>
      </w:r>
      <w:r w:rsidRPr="00C52789" w:rsidR="00070AAF">
        <w:t>October, 2013 (</w:t>
      </w:r>
      <w:hyperlink w:history="1" r:id="rId11">
        <w:r w:rsidRPr="001413DF" w:rsidR="00070AAF">
          <w:rPr>
            <w:rStyle w:val="Hyperlink"/>
          </w:rPr>
          <w:t>https://www.constructi</w:t>
        </w:r>
        <w:r w:rsidRPr="0011617E" w:rsidR="00070AAF">
          <w:rPr>
            <w:rStyle w:val="Hyperlink"/>
          </w:rPr>
          <w:t>on.com/about-us/press/dodge-momentum-index-slips-in-october.asp</w:t>
        </w:r>
      </w:hyperlink>
      <w:r w:rsidRPr="001413DF" w:rsidR="00070AAF">
        <w:t xml:space="preserve">) and October, 2017 </w:t>
      </w:r>
      <w:r w:rsidRPr="001413DF">
        <w:t>(</w:t>
      </w:r>
      <w:hyperlink w:history="1" r:id="rId12">
        <w:r w:rsidRPr="001413DF">
          <w:rPr>
            <w:rStyle w:val="Hyperlink"/>
          </w:rPr>
          <w:t>https://www.construction.com/news/dodge-momentum-index-strong-november-dec-2</w:t>
        </w:r>
        <w:r w:rsidRPr="0011617E">
          <w:rPr>
            <w:rStyle w:val="Hyperlink"/>
          </w:rPr>
          <w:t>017</w:t>
        </w:r>
      </w:hyperlink>
      <w:r w:rsidRPr="001413DF">
        <w:t xml:space="preserve">).  This </w:t>
      </w:r>
      <w:r w:rsidRPr="001413DF" w:rsidR="00070AAF">
        <w:t xml:space="preserve">publically-available </w:t>
      </w:r>
      <w:r w:rsidRPr="0011617E">
        <w:t xml:space="preserve">index </w:t>
      </w:r>
      <w:r w:rsidRPr="006650F7" w:rsidR="00070AAF">
        <w:t>shows a 14.1 percent increase in initial reports of non-residential construction projects in the US between October 2013 and October 2017.  This growth rate of .141 is applied to the 2013 count of hoists and elevators to yield a count of 6,697</w:t>
      </w:r>
      <w:r w:rsidRPr="00171E1C" w:rsidR="00366C89">
        <w:t xml:space="preserve"> estimated to be operating in 2017</w:t>
      </w:r>
      <w:r w:rsidRPr="004837CA" w:rsidR="00070AAF">
        <w:t>.</w:t>
      </w:r>
    </w:p>
    <w:p w:rsidRPr="004837CA" w:rsidR="00D979ED" w:rsidP="00E06518" w:rsidRDefault="00D979ED" w14:paraId="3A786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E3FAB" w:rsidR="00AB0034" w:rsidP="00AB0034" w:rsidRDefault="00AB0034" w14:paraId="387F8004" w14:textId="77777777">
      <w:r w:rsidRPr="00EE3FAB">
        <w:t>OSHA will use the</w:t>
      </w:r>
      <w:r w:rsidRPr="00EE3FAB" w:rsidR="00FD1DDB">
        <w:t xml:space="preserve"> data</w:t>
      </w:r>
      <w:r w:rsidRPr="00EE3FAB">
        <w:t xml:space="preserve"> marker between October 2017 and December 2019</w:t>
      </w:r>
      <w:r w:rsidRPr="00EE3FAB" w:rsidR="00FD1DDB">
        <w:t xml:space="preserve"> for this Information Collection Request for the number of hoists and elevators. According to the </w:t>
      </w:r>
      <w:r w:rsidRPr="00EE3FAB" w:rsidR="007A0689">
        <w:t>Dodge Momentum Index Press release, the g</w:t>
      </w:r>
      <w:r w:rsidRPr="00EE3FAB" w:rsidR="00FD1DDB">
        <w:t>rowth rate during that time was .24</w:t>
      </w:r>
      <w:r w:rsidRPr="00EE3FAB" w:rsidR="00B746D4">
        <w:t xml:space="preserve">. </w:t>
      </w:r>
      <w:r w:rsidRPr="00EE3FAB" w:rsidR="00FD1DDB">
        <w:t xml:space="preserve"> </w:t>
      </w:r>
      <w:r w:rsidRPr="00EE3FAB" w:rsidR="00B746D4">
        <w:t xml:space="preserve">OSHA is applying this </w:t>
      </w:r>
      <w:r w:rsidRPr="00EE3FAB" w:rsidR="00FD1DDB">
        <w:t xml:space="preserve">to the </w:t>
      </w:r>
      <w:r w:rsidRPr="00EE3FAB" w:rsidR="00B746D4">
        <w:t>n</w:t>
      </w:r>
      <w:r w:rsidRPr="00EE3FAB" w:rsidR="00FD1DDB">
        <w:t xml:space="preserve">umber of </w:t>
      </w:r>
      <w:r w:rsidRPr="00EE3FAB" w:rsidR="00B746D4">
        <w:t>h</w:t>
      </w:r>
      <w:r w:rsidRPr="00EE3FAB" w:rsidR="00FD1DDB">
        <w:t>oists and elevators</w:t>
      </w:r>
      <w:r w:rsidRPr="00EE3FAB" w:rsidR="007A0689">
        <w:t xml:space="preserve">, indicating an updated estimate of 8,304 hoists and elevators.  </w:t>
      </w:r>
    </w:p>
    <w:p w:rsidRPr="00EE3FAB" w:rsidR="00B2675F" w:rsidP="00AB0034" w:rsidRDefault="00B2675F" w14:paraId="0E5EE92E" w14:textId="77777777"/>
    <w:p w:rsidRPr="00C52789" w:rsidR="000948AE" w:rsidP="00E06518" w:rsidRDefault="00E06518" w14:paraId="6A244760" w14:textId="4C15C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50F7">
        <w:t xml:space="preserve">The Agency has no </w:t>
      </w:r>
      <w:r w:rsidRPr="00171E1C">
        <w:t xml:space="preserve">cost associated with enforcing this standard.  OSHA would only review records in the context of an investigation of a particular employer to determine compliance with the Standard.  </w:t>
      </w:r>
      <w:r w:rsidRPr="00C52789" w:rsidR="00070AAF">
        <w:t xml:space="preserve">The </w:t>
      </w:r>
      <w:r w:rsidRPr="00C52789" w:rsidR="00183B14">
        <w:t xml:space="preserve">Agency </w:t>
      </w:r>
      <w:r w:rsidR="00CC35FB">
        <w:t>takes no burden or cost during an OSHA investigation.</w:t>
      </w:r>
      <w:r w:rsidRPr="00C52789" w:rsidR="0019785F">
        <w:t>.</w:t>
      </w:r>
      <w:r w:rsidRPr="00C52789" w:rsidR="00F525E3">
        <w:t xml:space="preserve"> </w:t>
      </w:r>
    </w:p>
    <w:p w:rsidRPr="00C52789" w:rsidR="0019785F" w:rsidP="00C52425" w:rsidRDefault="0019785F" w14:paraId="0CD31A86" w14:textId="77777777">
      <w:pPr>
        <w:widowControl/>
        <w:autoSpaceDE/>
        <w:autoSpaceDN/>
        <w:adjustRightInd/>
      </w:pPr>
    </w:p>
    <w:p w:rsidRPr="00C52789" w:rsidR="00C52425" w:rsidP="00C52425" w:rsidRDefault="00147E5A" w14:paraId="19AD48B2" w14:textId="77777777">
      <w:pPr>
        <w:widowControl/>
        <w:autoSpaceDE/>
        <w:autoSpaceDN/>
        <w:adjustRightInd/>
        <w:rPr>
          <w:b/>
        </w:rPr>
      </w:pPr>
      <w:r w:rsidRPr="00C52789">
        <w:rPr>
          <w:b/>
        </w:rPr>
        <w:t>Wage Rate Costs</w:t>
      </w:r>
    </w:p>
    <w:p w:rsidRPr="00C52789" w:rsidR="004B4F95" w:rsidP="00C52425" w:rsidRDefault="004B4F95" w14:paraId="27CA891E" w14:textId="77777777">
      <w:pPr>
        <w:widowControl/>
        <w:autoSpaceDE/>
        <w:autoSpaceDN/>
        <w:adjustRightInd/>
        <w:rPr>
          <w:b/>
        </w:rPr>
      </w:pPr>
    </w:p>
    <w:p w:rsidRPr="001413DF" w:rsidR="00D62819" w:rsidP="00D62819" w:rsidRDefault="00D62819" w14:paraId="1FFAFD12" w14:textId="459693C8">
      <w:pPr>
        <w:rPr>
          <w:rFonts w:eastAsia="Calibri"/>
        </w:rPr>
      </w:pPr>
      <w:r w:rsidRPr="00C52789">
        <w:rPr>
          <w:rFonts w:eastAsia="Calibri"/>
        </w:rPr>
        <w:t xml:space="preserve">The Agency determined the wage rate from mean hourly wage earnings to represent the cost of an employee’s time. For the relevant standard occupational classification category, OSHA used the wage rates reported in the Bureau of Labor Statistics, U.S. Department of Labor, </w:t>
      </w:r>
      <w:r w:rsidRPr="00C52789">
        <w:rPr>
          <w:rFonts w:eastAsia="Calibri"/>
          <w:i/>
        </w:rPr>
        <w:t>Occupational Employment Statistics (OES), May 2019</w:t>
      </w:r>
      <w:r w:rsidRPr="00C52789">
        <w:rPr>
          <w:rFonts w:eastAsia="Calibri"/>
        </w:rPr>
        <w:t xml:space="preserve"> [date accessed: March 30, 2020].</w:t>
      </w:r>
      <w:r w:rsidRPr="001413DF">
        <w:rPr>
          <w:rFonts w:eastAsia="Calibri"/>
          <w:vertAlign w:val="superscript"/>
        </w:rPr>
        <w:footnoteReference w:id="2"/>
      </w:r>
      <w:r w:rsidRPr="001413DF">
        <w:rPr>
          <w:rFonts w:eastAsia="Calibri"/>
        </w:rPr>
        <w:t xml:space="preserve">  </w:t>
      </w:r>
    </w:p>
    <w:p w:rsidRPr="001413DF" w:rsidR="00D62819" w:rsidP="00D62819" w:rsidRDefault="00D62819" w14:paraId="7ACB65B7" w14:textId="77777777">
      <w:pPr>
        <w:rPr>
          <w:rFonts w:eastAsia="Calibri"/>
        </w:rPr>
      </w:pPr>
    </w:p>
    <w:p w:rsidRPr="006650F7" w:rsidR="00D62819" w:rsidP="00D62819" w:rsidRDefault="00D62819" w14:paraId="680A16F0" w14:textId="740823CF">
      <w:pPr>
        <w:rPr>
          <w:rFonts w:eastAsia="Calibri"/>
        </w:rPr>
      </w:pPr>
      <w:r w:rsidRPr="0011617E">
        <w:rPr>
          <w:rFonts w:eastAsia="Calibri"/>
        </w:rPr>
        <w:t>To account for fringe benefits, the Agency used the Bureau of Labor Statistics’ (BLS) March 2020 National Compensation Survey</w:t>
      </w:r>
      <w:r w:rsidRPr="006650F7">
        <w:rPr>
          <w:rFonts w:eastAsia="Calibri"/>
          <w:i/>
        </w:rPr>
        <w:t xml:space="preserve">. </w:t>
      </w:r>
      <w:r w:rsidRPr="006650F7">
        <w:rPr>
          <w:rFonts w:eastAsia="Calibri"/>
        </w:rPr>
        <w:t xml:space="preserve"> Fringe markup is from the following BLS press release: </w:t>
      </w:r>
      <w:r w:rsidRPr="004837CA">
        <w:rPr>
          <w:rFonts w:eastAsia="Calibri"/>
          <w:i/>
        </w:rPr>
        <w:t xml:space="preserve">Employer Costs for Employee Compensation </w:t>
      </w:r>
      <w:r w:rsidRPr="004837CA">
        <w:rPr>
          <w:rFonts w:eastAsia="Calibri"/>
        </w:rPr>
        <w:t xml:space="preserve">news release text; </w:t>
      </w:r>
      <w:r w:rsidR="006349EB">
        <w:rPr>
          <w:rFonts w:eastAsia="Calibri"/>
        </w:rPr>
        <w:t>September 17,</w:t>
      </w:r>
      <w:r w:rsidRPr="00C52789">
        <w:rPr>
          <w:rFonts w:eastAsia="Calibri"/>
        </w:rPr>
        <w:t xml:space="preserve"> 2020</w:t>
      </w:r>
      <w:r w:rsidR="00D032B2">
        <w:rPr>
          <w:rFonts w:eastAsia="Calibri"/>
        </w:rPr>
        <w:t>,</w:t>
      </w:r>
      <w:r w:rsidRPr="00C52789">
        <w:rPr>
          <w:rFonts w:eastAsia="Calibri"/>
        </w:rPr>
        <w:t xml:space="preserve"> </w:t>
      </w:r>
      <w:r w:rsidR="00C33408">
        <w:rPr>
          <w:rFonts w:eastAsia="Calibri"/>
        </w:rPr>
        <w:t xml:space="preserve"> </w:t>
      </w:r>
      <w:hyperlink w:history="1" r:id="rId13">
        <w:r w:rsidRPr="005E3568" w:rsidR="00D032B2">
          <w:rPr>
            <w:rStyle w:val="Hyperlink"/>
            <w:rFonts w:eastAsia="Calibri"/>
            <w:i/>
          </w:rPr>
          <w:t>https://www.bls.gov/news.release/archives/ecec_09172020.pdf</w:t>
        </w:r>
      </w:hyperlink>
      <w:r w:rsidR="00D032B2">
        <w:rPr>
          <w:rStyle w:val="CommentReference"/>
          <w:i/>
          <w:color w:val="ED7D31" w:themeColor="accent2"/>
        </w:rPr>
        <w:t xml:space="preserve"> ,</w:t>
      </w:r>
      <w:r w:rsidRPr="001413DF">
        <w:rPr>
          <w:rFonts w:eastAsia="Calibri"/>
        </w:rPr>
        <w:t xml:space="preserve"> BLS reported that for civilian workers, fringe benefits accounted for </w:t>
      </w:r>
      <w:r w:rsidR="00BE10C5">
        <w:rPr>
          <w:rFonts w:eastAsia="Calibri"/>
        </w:rPr>
        <w:t>30.0</w:t>
      </w:r>
      <w:r w:rsidRPr="001413DF">
        <w:rPr>
          <w:rFonts w:eastAsia="Calibri"/>
        </w:rPr>
        <w:t xml:space="preserve"> percent of total compensation and wages accounted for the remaining 70.</w:t>
      </w:r>
      <w:r w:rsidR="00BE10C5">
        <w:rPr>
          <w:rFonts w:eastAsia="Calibri"/>
        </w:rPr>
        <w:t>0</w:t>
      </w:r>
      <w:r w:rsidRPr="001413DF">
        <w:rPr>
          <w:rFonts w:eastAsia="Calibri"/>
        </w:rPr>
        <w:t xml:space="preserve"> percent.  To calculate the loaded hourly wage for each occupation, the Agency divided the mean hourly wage by</w:t>
      </w:r>
      <w:r w:rsidRPr="0011617E">
        <w:t xml:space="preserve"> 1 minus the fringe benefits as shown in Table 1</w:t>
      </w:r>
      <w:r w:rsidRPr="006650F7">
        <w:rPr>
          <w:rFonts w:eastAsia="Calibri"/>
        </w:rPr>
        <w:t>.</w:t>
      </w:r>
    </w:p>
    <w:p w:rsidRPr="006650F7" w:rsidR="00D62819" w:rsidP="00D62819" w:rsidRDefault="00D62819" w14:paraId="661EDFF5" w14:textId="77777777">
      <w:pPr>
        <w:rPr>
          <w:rFonts w:eastAsia="Calibri"/>
        </w:rPr>
      </w:pPr>
    </w:p>
    <w:p w:rsidRPr="00C52789" w:rsidR="00D62819" w:rsidP="00D62819" w:rsidRDefault="00B746D4" w14:paraId="4982B3FD"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530"/>
        <w:gridCol w:w="1999"/>
        <w:gridCol w:w="1331"/>
        <w:gridCol w:w="1885"/>
      </w:tblGrid>
      <w:tr w:rsidRPr="00C52789" w:rsidR="00D62819" w:rsidTr="008B1C11" w14:paraId="46A88C90" w14:textId="77777777">
        <w:tc>
          <w:tcPr>
            <w:tcW w:w="9350" w:type="dxa"/>
            <w:gridSpan w:val="5"/>
            <w:shd w:val="clear" w:color="auto" w:fill="auto"/>
          </w:tcPr>
          <w:p w:rsidRPr="00C52789" w:rsidR="00D62819" w:rsidP="00D62819" w:rsidRDefault="00D62819" w14:paraId="363FBFA9" w14:textId="77777777">
            <w:pPr>
              <w:keepLines/>
              <w:jc w:val="center"/>
              <w:rPr>
                <w:rFonts w:eastAsia="Calibri"/>
                <w:b/>
              </w:rPr>
            </w:pPr>
            <w:r w:rsidRPr="00C52789">
              <w:rPr>
                <w:rFonts w:eastAsia="Calibri"/>
                <w:b/>
              </w:rPr>
              <w:t>Table 1 -- WAGE HOUR ESTIMATES</w:t>
            </w:r>
          </w:p>
        </w:tc>
      </w:tr>
      <w:tr w:rsidRPr="00C52789" w:rsidR="00B21671" w:rsidTr="00EE3FAB" w14:paraId="4E262CE2" w14:textId="77777777">
        <w:tc>
          <w:tcPr>
            <w:tcW w:w="2605" w:type="dxa"/>
            <w:shd w:val="clear" w:color="auto" w:fill="EDEDED"/>
          </w:tcPr>
          <w:p w:rsidRPr="00C52789" w:rsidR="00D62819" w:rsidP="00D62819" w:rsidRDefault="00D62819" w14:paraId="4B2545CE" w14:textId="77777777">
            <w:pPr>
              <w:keepLines/>
              <w:rPr>
                <w:rFonts w:eastAsia="Calibri"/>
                <w:b/>
              </w:rPr>
            </w:pPr>
            <w:r w:rsidRPr="00C52789">
              <w:rPr>
                <w:rFonts w:eastAsia="Calibri"/>
                <w:b/>
              </w:rPr>
              <w:t>Occupational Title</w:t>
            </w:r>
          </w:p>
        </w:tc>
        <w:tc>
          <w:tcPr>
            <w:tcW w:w="1530" w:type="dxa"/>
            <w:shd w:val="clear" w:color="auto" w:fill="EDEDED"/>
          </w:tcPr>
          <w:p w:rsidRPr="00C52789" w:rsidR="00D62819" w:rsidP="00D62819" w:rsidRDefault="00D62819" w14:paraId="6FF3D357" w14:textId="77777777">
            <w:pPr>
              <w:keepLines/>
              <w:rPr>
                <w:rFonts w:eastAsia="Calibri"/>
                <w:b/>
              </w:rPr>
            </w:pPr>
            <w:r w:rsidRPr="00C52789">
              <w:rPr>
                <w:rFonts w:eastAsia="Calibri"/>
                <w:b/>
              </w:rPr>
              <w:t>Standard Occupation Code</w:t>
            </w:r>
          </w:p>
        </w:tc>
        <w:tc>
          <w:tcPr>
            <w:tcW w:w="1999" w:type="dxa"/>
            <w:shd w:val="clear" w:color="auto" w:fill="EDEDED"/>
          </w:tcPr>
          <w:p w:rsidR="00EE3FAB" w:rsidP="00D62819" w:rsidRDefault="00D62819" w14:paraId="77FF92D5" w14:textId="77777777">
            <w:pPr>
              <w:keepLines/>
              <w:rPr>
                <w:rFonts w:eastAsia="Calibri"/>
                <w:b/>
              </w:rPr>
            </w:pPr>
            <w:r w:rsidRPr="00C52789">
              <w:rPr>
                <w:rFonts w:eastAsia="Calibri"/>
                <w:b/>
              </w:rPr>
              <w:t xml:space="preserve">Mean Hourly Wage Rate </w:t>
            </w:r>
          </w:p>
          <w:p w:rsidRPr="00C52789" w:rsidR="00D62819" w:rsidP="00D62819" w:rsidRDefault="00D62819" w14:paraId="22B0FAAE" w14:textId="77777777">
            <w:pPr>
              <w:keepLines/>
              <w:rPr>
                <w:rFonts w:eastAsia="Calibri"/>
                <w:b/>
              </w:rPr>
            </w:pPr>
            <w:r w:rsidRPr="00C52789">
              <w:rPr>
                <w:rFonts w:eastAsia="Calibri"/>
                <w:b/>
              </w:rPr>
              <w:t>(A)</w:t>
            </w:r>
          </w:p>
        </w:tc>
        <w:tc>
          <w:tcPr>
            <w:tcW w:w="1331" w:type="dxa"/>
            <w:shd w:val="clear" w:color="auto" w:fill="EDEDED"/>
          </w:tcPr>
          <w:p w:rsidR="00EE3FAB" w:rsidP="00025BB3" w:rsidRDefault="00D62819" w14:paraId="7A8D9E14" w14:textId="77777777">
            <w:pPr>
              <w:rPr>
                <w:rFonts w:eastAsia="Calibri"/>
                <w:b/>
              </w:rPr>
            </w:pPr>
            <w:r w:rsidRPr="00C52789">
              <w:rPr>
                <w:rFonts w:eastAsia="Calibri"/>
                <w:b/>
              </w:rPr>
              <w:t>Fringe Benefits</w:t>
            </w:r>
          </w:p>
          <w:p w:rsidRPr="001413DF" w:rsidR="00D62819" w:rsidP="00025BB3" w:rsidRDefault="00D62819" w14:paraId="25F6604D" w14:textId="77777777">
            <w:pPr>
              <w:rPr>
                <w:rFonts w:eastAsia="Calibri"/>
                <w:b/>
              </w:rPr>
            </w:pPr>
            <w:r w:rsidRPr="00C52789">
              <w:rPr>
                <w:rFonts w:eastAsia="Calibri"/>
                <w:b/>
              </w:rPr>
              <w:t xml:space="preserve"> (B)</w:t>
            </w:r>
            <w:r w:rsidRPr="001413DF">
              <w:rPr>
                <w:b/>
                <w:vertAlign w:val="superscript"/>
              </w:rPr>
              <w:footnoteReference w:id="3"/>
            </w:r>
          </w:p>
        </w:tc>
        <w:tc>
          <w:tcPr>
            <w:tcW w:w="1885" w:type="dxa"/>
            <w:shd w:val="clear" w:color="auto" w:fill="EDEDED"/>
          </w:tcPr>
          <w:p w:rsidR="00D62819" w:rsidP="00D62819" w:rsidRDefault="00D62819" w14:paraId="77D92756" w14:textId="77777777">
            <w:pPr>
              <w:keepLines/>
              <w:rPr>
                <w:rFonts w:eastAsia="Calibri"/>
                <w:b/>
              </w:rPr>
            </w:pPr>
            <w:r w:rsidRPr="0011617E">
              <w:rPr>
                <w:rFonts w:eastAsia="Calibri"/>
                <w:b/>
              </w:rPr>
              <w:t>Loaded Hourly Wage Rate</w:t>
            </w:r>
          </w:p>
          <w:p w:rsidRPr="00171E1C" w:rsidR="00EE3FAB" w:rsidP="00D62819" w:rsidRDefault="00EE3FAB" w14:paraId="60C70560" w14:textId="77777777">
            <w:pPr>
              <w:keepLines/>
              <w:rPr>
                <w:rFonts w:eastAsia="Calibri"/>
                <w:b/>
              </w:rPr>
            </w:pPr>
            <w:r w:rsidRPr="00EE3FAB">
              <w:rPr>
                <w:rFonts w:eastAsia="Calibri"/>
                <w:b/>
              </w:rPr>
              <w:t>(C)=(A)/((1-(B))</w:t>
            </w:r>
          </w:p>
        </w:tc>
      </w:tr>
      <w:tr w:rsidRPr="00C52789" w:rsidR="00B21671" w:rsidTr="00EE3FAB" w14:paraId="34203869" w14:textId="77777777">
        <w:trPr>
          <w:trHeight w:val="764"/>
        </w:trPr>
        <w:tc>
          <w:tcPr>
            <w:tcW w:w="2605" w:type="dxa"/>
            <w:shd w:val="clear" w:color="auto" w:fill="auto"/>
          </w:tcPr>
          <w:p w:rsidRPr="00C52789" w:rsidR="00071400" w:rsidP="00C52789" w:rsidRDefault="00071400" w14:paraId="2994C1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 xml:space="preserve">Non-supervisory construction worker </w:t>
            </w:r>
          </w:p>
          <w:p w:rsidRPr="00C52789" w:rsidR="00071400" w:rsidP="00D62819" w:rsidRDefault="00071400" w14:paraId="4ACA7F13" w14:textId="77777777">
            <w:pPr>
              <w:keepLines/>
              <w:rPr>
                <w:rFonts w:eastAsia="Calibri"/>
              </w:rPr>
            </w:pPr>
          </w:p>
          <w:p w:rsidRPr="00C52789" w:rsidR="00071400" w:rsidP="00D62819" w:rsidRDefault="00071400" w14:paraId="5579CC86" w14:textId="77777777">
            <w:pPr>
              <w:keepLines/>
              <w:rPr>
                <w:rFonts w:eastAsia="Calibri"/>
              </w:rPr>
            </w:pPr>
          </w:p>
        </w:tc>
        <w:tc>
          <w:tcPr>
            <w:tcW w:w="1530" w:type="dxa"/>
            <w:shd w:val="clear" w:color="auto" w:fill="auto"/>
          </w:tcPr>
          <w:p w:rsidRPr="00C52789" w:rsidR="00D62819" w:rsidP="00D62819" w:rsidRDefault="009E570B" w14:paraId="3CA81B9A" w14:textId="77777777">
            <w:pPr>
              <w:keepLines/>
              <w:rPr>
                <w:rFonts w:eastAsia="Calibri"/>
              </w:rPr>
            </w:pPr>
            <w:r w:rsidRPr="00C52789">
              <w:rPr>
                <w:rFonts w:eastAsia="Calibri"/>
              </w:rPr>
              <w:t>47-2061</w:t>
            </w:r>
          </w:p>
        </w:tc>
        <w:tc>
          <w:tcPr>
            <w:tcW w:w="1999" w:type="dxa"/>
            <w:shd w:val="clear" w:color="auto" w:fill="auto"/>
          </w:tcPr>
          <w:p w:rsidRPr="00C52789" w:rsidR="00D62819" w:rsidP="00D62819" w:rsidRDefault="009E570B" w14:paraId="1837C481" w14:textId="77777777">
            <w:pPr>
              <w:keepLines/>
              <w:rPr>
                <w:rFonts w:eastAsia="Calibri"/>
              </w:rPr>
            </w:pPr>
            <w:r w:rsidRPr="00C52789">
              <w:rPr>
                <w:rFonts w:eastAsia="Calibri"/>
              </w:rPr>
              <w:t>$20.06</w:t>
            </w:r>
          </w:p>
        </w:tc>
        <w:tc>
          <w:tcPr>
            <w:tcW w:w="1331" w:type="dxa"/>
            <w:shd w:val="clear" w:color="auto" w:fill="auto"/>
          </w:tcPr>
          <w:p w:rsidRPr="00C52789" w:rsidR="00D62819" w:rsidP="00D62819" w:rsidRDefault="00D62819" w14:paraId="2E7A4F5F" w14:textId="77777777">
            <w:pPr>
              <w:keepLines/>
              <w:rPr>
                <w:rFonts w:eastAsia="Calibri"/>
              </w:rPr>
            </w:pPr>
            <w:r w:rsidRPr="00C52789">
              <w:t>.</w:t>
            </w:r>
            <w:r w:rsidR="006349EB">
              <w:t>30</w:t>
            </w:r>
          </w:p>
        </w:tc>
        <w:tc>
          <w:tcPr>
            <w:tcW w:w="1885" w:type="dxa"/>
            <w:shd w:val="clear" w:color="auto" w:fill="auto"/>
          </w:tcPr>
          <w:p w:rsidRPr="00C52789" w:rsidR="00D62819" w:rsidP="00D62819" w:rsidRDefault="009E570B" w14:paraId="2543C66E" w14:textId="77777777">
            <w:pPr>
              <w:keepLines/>
              <w:rPr>
                <w:rFonts w:eastAsia="Calibri"/>
              </w:rPr>
            </w:pPr>
            <w:r w:rsidRPr="00C52789">
              <w:rPr>
                <w:rFonts w:eastAsia="Calibri"/>
              </w:rPr>
              <w:t>$</w:t>
            </w:r>
            <w:r w:rsidR="006349EB">
              <w:rPr>
                <w:rFonts w:eastAsia="Calibri"/>
              </w:rPr>
              <w:t>28.66</w:t>
            </w:r>
          </w:p>
        </w:tc>
      </w:tr>
    </w:tbl>
    <w:p w:rsidRPr="001413DF" w:rsidR="00D62819" w:rsidP="00D62819" w:rsidRDefault="00D62819" w14:paraId="5320F4CD" w14:textId="77777777">
      <w:pPr>
        <w:keepLines/>
        <w:widowControl/>
        <w:autoSpaceDE/>
        <w:autoSpaceDN/>
        <w:adjustRightInd/>
        <w:rPr>
          <w:color w:val="000000"/>
        </w:rPr>
      </w:pPr>
    </w:p>
    <w:p w:rsidRPr="0011617E" w:rsidR="00D62819" w:rsidP="00C52425" w:rsidRDefault="00D62819" w14:paraId="325C4274" w14:textId="77777777">
      <w:pPr>
        <w:widowControl/>
        <w:autoSpaceDE/>
        <w:autoSpaceDN/>
        <w:adjustRightInd/>
        <w:rPr>
          <w:b/>
        </w:rPr>
      </w:pPr>
    </w:p>
    <w:p w:rsidRPr="006650F7" w:rsidR="00D62819" w:rsidP="00C52425" w:rsidRDefault="00D62819" w14:paraId="186E17C9" w14:textId="77777777">
      <w:pPr>
        <w:widowControl/>
        <w:autoSpaceDE/>
        <w:autoSpaceDN/>
        <w:adjustRightInd/>
        <w:rPr>
          <w:b/>
        </w:rPr>
      </w:pPr>
    </w:p>
    <w:p w:rsidRPr="004837CA" w:rsidR="001F02DC" w:rsidP="00B2332F" w:rsidRDefault="006349EB" w14:paraId="52934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sidDel="006349EB">
        <w:t xml:space="preserve"> </w:t>
      </w:r>
      <w:r w:rsidRPr="006650F7" w:rsidR="00D75665">
        <w:rPr>
          <w:b/>
        </w:rPr>
        <w:t xml:space="preserve">(A)  </w:t>
      </w:r>
      <w:r w:rsidRPr="00171E1C" w:rsidR="00C515D3">
        <w:rPr>
          <w:b/>
          <w:u w:val="single"/>
        </w:rPr>
        <w:t>Posting Requirements</w:t>
      </w:r>
      <w:r w:rsidRPr="00171E1C" w:rsidR="00CA0AEA">
        <w:rPr>
          <w:b/>
          <w:u w:val="single"/>
        </w:rPr>
        <w:t>--</w:t>
      </w:r>
      <w:r w:rsidRPr="004837CA" w:rsidR="00C515D3">
        <w:rPr>
          <w:b/>
          <w:u w:val="single"/>
        </w:rPr>
        <w:t>1926.552(a)(2), (b)(1)(i), (c)(10)</w:t>
      </w:r>
    </w:p>
    <w:p w:rsidRPr="004837CA" w:rsidR="001F02DC" w:rsidP="001F02DC" w:rsidRDefault="001F02DC" w14:paraId="76A38C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C515D3" w:rsidP="001F02DC" w:rsidRDefault="00C515D3" w14:paraId="7B3F1F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t>All manufactured equipment has the required documentation attached or included when the equipment is delivered.  If, for some reason, the manufacturer’s specifications are unavailable, or if they have been lost or damaged, the employer must obtain a replacement set of specifications from the manufacturer.  In the event the equipment manufacturer is not available or cannot provide the information, the equipment must be evaluated and tested by a qualified engineer to obtain the required information.</w:t>
      </w:r>
    </w:p>
    <w:p w:rsidRPr="00C52789" w:rsidR="002C1A8D" w:rsidP="00C515D3" w:rsidRDefault="002C1A8D" w14:paraId="3FB353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C515D3" w:rsidP="00C515D3" w:rsidRDefault="00C515D3" w14:paraId="5DA9C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rPr>
          <w:b/>
        </w:rPr>
        <w:t>Hoists and Elevators</w:t>
      </w:r>
    </w:p>
    <w:p w:rsidRPr="00C52789" w:rsidR="00C515D3" w:rsidP="00C515D3" w:rsidRDefault="00C515D3" w14:paraId="56780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3523A" w:rsidP="00C515D3" w:rsidRDefault="00C77893" w14:paraId="56089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 xml:space="preserve">Hoist and elevator </w:t>
      </w:r>
      <w:r w:rsidRPr="00C52789" w:rsidR="00C515D3">
        <w:t>manufacturers establish the rated load capacit</w:t>
      </w:r>
      <w:r w:rsidRPr="00C52789">
        <w:t>ies</w:t>
      </w:r>
      <w:r w:rsidRPr="00C52789" w:rsidR="00C515D3">
        <w:t>, operating speeds, special hazards warning, allowable line speed</w:t>
      </w:r>
      <w:r w:rsidRPr="00C52789">
        <w:t>s</w:t>
      </w:r>
      <w:r w:rsidRPr="00C52789" w:rsidR="00C515D3">
        <w:t xml:space="preserve"> for various loads and other required information stated in these provisions.  This information is permanently affixed to the hoist when delivered. </w:t>
      </w:r>
      <w:r w:rsidRPr="00C52789" w:rsidR="00E778AB">
        <w:t xml:space="preserve">However, </w:t>
      </w:r>
      <w:r w:rsidRPr="00C52789" w:rsidR="00C3523A">
        <w:t xml:space="preserve">the manufacturer is unlikely to be the installer, operator, or user of the equipment, which is erected and installed at the construction project. </w:t>
      </w:r>
    </w:p>
    <w:p w:rsidRPr="00C52789" w:rsidR="00C3523A" w:rsidP="00C515D3" w:rsidRDefault="00C3523A" w14:paraId="21D8E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AF6FAE" w:rsidP="00AF6FAE" w:rsidRDefault="00AF6FAE" w14:paraId="1908E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As required by the standard, employers must also post the information at each landing and operator’s station. Additionally employers incur the burden for this information collection activity when, the information needs to be re-posted.  OSHA estimates that on average it would take a non-supervisory construction worker 60 minutes (1.0 hour) to obtain and post the necessary information</w:t>
      </w:r>
      <w:r w:rsidRPr="00C52789" w:rsidR="00655194">
        <w:t xml:space="preserve"> on landings and at operator stations</w:t>
      </w:r>
      <w:r w:rsidRPr="00C52789">
        <w:t xml:space="preserve">. </w:t>
      </w:r>
      <w:r w:rsidR="00543A3D">
        <w:t xml:space="preserve"> </w:t>
      </w:r>
      <w:r w:rsidRPr="00C52789" w:rsidR="00543A3D">
        <w:t>The Agency takes an across the board burden for 10% of hoists and elevators needing these postings each year under these circumstances or 830 – rounded hours (8,304 x 0.10 = 830 hours).</w:t>
      </w:r>
    </w:p>
    <w:p w:rsidRPr="00C52789" w:rsidR="00AF6FAE" w:rsidP="00C515D3" w:rsidRDefault="00AF6FAE" w14:paraId="06C29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872122" w:rsidP="00872122" w:rsidRDefault="00872122" w14:paraId="71E93BD8" w14:textId="7F30512B">
      <w:pPr>
        <w:widowControl/>
        <w:autoSpaceDE/>
        <w:autoSpaceDN/>
        <w:adjustRightInd/>
      </w:pPr>
      <w:r w:rsidRPr="00C52789">
        <w:t xml:space="preserve">Some members of the industry suggest </w:t>
      </w:r>
      <w:r w:rsidRPr="00C52789" w:rsidR="008F203C">
        <w:t>and OSHA staff agree</w:t>
      </w:r>
      <w:r w:rsidRPr="00C52789" w:rsidR="00F33D0B">
        <w:t>s</w:t>
      </w:r>
      <w:r w:rsidRPr="00C52789" w:rsidR="008F203C">
        <w:t xml:space="preserve"> </w:t>
      </w:r>
      <w:r w:rsidRPr="00C52789">
        <w:t xml:space="preserve">that hoists and elevators are not used </w:t>
      </w:r>
      <w:r w:rsidRPr="00C52789" w:rsidR="008F203C">
        <w:t xml:space="preserve">on average </w:t>
      </w:r>
      <w:r w:rsidRPr="00C52789">
        <w:t xml:space="preserve">below 6 floors or stories.  Using a conservative overestimate the Agency calculates that on average the </w:t>
      </w:r>
      <w:r w:rsidRPr="00C52789" w:rsidR="00C27FE6">
        <w:t>8,304</w:t>
      </w:r>
      <w:r w:rsidRPr="00C52789">
        <w:t xml:space="preserve"> hoists and elevators are operating </w:t>
      </w:r>
      <w:r w:rsidRPr="00C52789" w:rsidR="00453721">
        <w:t xml:space="preserve">in pairs </w:t>
      </w:r>
      <w:r w:rsidRPr="00C52789">
        <w:t xml:space="preserve">on buildings that are 50 stories or floors high.  </w:t>
      </w:r>
      <w:r w:rsidRPr="00C52789" w:rsidR="00AF6FAE">
        <w:t>Paired machines then require postings</w:t>
      </w:r>
      <w:r w:rsidRPr="00C52789">
        <w:t xml:space="preserve"> at two landings on the 6</w:t>
      </w:r>
      <w:r w:rsidRPr="00C52789">
        <w:rPr>
          <w:vertAlign w:val="superscript"/>
        </w:rPr>
        <w:t>th</w:t>
      </w:r>
      <w:r w:rsidRPr="00C52789">
        <w:t xml:space="preserve"> through 50 floors inclusive or 90 landings per building (45 postings per hoist </w:t>
      </w:r>
      <w:r w:rsidRPr="00C52789" w:rsidR="00CD77CF">
        <w:t>x</w:t>
      </w:r>
      <w:r w:rsidRPr="00C52789">
        <w:t xml:space="preserve"> </w:t>
      </w:r>
      <w:r w:rsidRPr="00C52789" w:rsidR="00D8042E">
        <w:t>8,304</w:t>
      </w:r>
      <w:r w:rsidRPr="00C52789" w:rsidR="00890866">
        <w:t xml:space="preserve"> </w:t>
      </w:r>
      <w:r w:rsidRPr="00C52789">
        <w:t xml:space="preserve">machines =  postings). Also each of the operator stations requires posting. </w:t>
      </w:r>
      <w:r w:rsidRPr="00C52789" w:rsidR="00F33D0B">
        <w:t>The total annual</w:t>
      </w:r>
      <w:r w:rsidRPr="00C52789" w:rsidR="00CD77CF">
        <w:t xml:space="preserve"> burden</w:t>
      </w:r>
      <w:r w:rsidRPr="00C52789" w:rsidR="00F33D0B">
        <w:t xml:space="preserve"> is </w:t>
      </w:r>
      <w:r w:rsidRPr="00C52789" w:rsidR="00D8042E">
        <w:rPr>
          <w:b/>
        </w:rPr>
        <w:t>373,680</w:t>
      </w:r>
      <w:r w:rsidRPr="00C52789">
        <w:t xml:space="preserve"> postings (</w:t>
      </w:r>
      <w:r w:rsidRPr="00C52789" w:rsidR="00D8042E">
        <w:t>373,680</w:t>
      </w:r>
      <w:r w:rsidRPr="00C52789">
        <w:t xml:space="preserve"> machine postings + </w:t>
      </w:r>
      <w:r w:rsidRPr="00C52789" w:rsidR="00D8042E">
        <w:t>8,304</w:t>
      </w:r>
      <w:r w:rsidRPr="00C52789" w:rsidR="00890866">
        <w:t xml:space="preserve"> </w:t>
      </w:r>
      <w:r w:rsidRPr="00C52789">
        <w:t xml:space="preserve">operator station postings = </w:t>
      </w:r>
      <w:r w:rsidRPr="00C52789" w:rsidR="007329AF">
        <w:t>3</w:t>
      </w:r>
      <w:r w:rsidRPr="00C52789" w:rsidR="00D8042E">
        <w:t>81,984</w:t>
      </w:r>
      <w:r w:rsidRPr="00C52789">
        <w:t xml:space="preserve"> total postings</w:t>
      </w:r>
      <w:r w:rsidRPr="00C52789" w:rsidR="00B96FE7">
        <w:t xml:space="preserve">) or </w:t>
      </w:r>
      <w:r w:rsidRPr="00C52789" w:rsidR="00453721">
        <w:t xml:space="preserve">46 </w:t>
      </w:r>
      <w:r w:rsidRPr="00C52789" w:rsidR="004A5C15">
        <w:t xml:space="preserve">postings </w:t>
      </w:r>
      <w:r w:rsidRPr="00C52789" w:rsidR="00453721">
        <w:t>per machine</w:t>
      </w:r>
      <w:r w:rsidRPr="00C52789" w:rsidR="00B96FE7">
        <w:t xml:space="preserve"> </w:t>
      </w:r>
      <w:r w:rsidRPr="00C52789" w:rsidR="00AF6FAE">
        <w:t xml:space="preserve">annually </w:t>
      </w:r>
      <w:r w:rsidRPr="00C52789" w:rsidR="00B96FE7">
        <w:t>(</w:t>
      </w:r>
      <w:r w:rsidRPr="00C52789" w:rsidR="00F97655">
        <w:t>373,680</w:t>
      </w:r>
      <w:r w:rsidRPr="00C52789" w:rsidR="00B96FE7">
        <w:t xml:space="preserve"> ÷ </w:t>
      </w:r>
      <w:r w:rsidRPr="00C52789" w:rsidR="00F97655">
        <w:t>8,304</w:t>
      </w:r>
      <w:r w:rsidRPr="00C52789" w:rsidR="00890866">
        <w:t xml:space="preserve"> </w:t>
      </w:r>
      <w:r w:rsidRPr="00C52789" w:rsidR="00B96FE7">
        <w:t xml:space="preserve">= </w:t>
      </w:r>
      <w:r w:rsidRPr="00C52789" w:rsidR="00F97655">
        <w:t>45</w:t>
      </w:r>
      <w:r w:rsidRPr="00C52789" w:rsidR="00B96FE7">
        <w:t>)</w:t>
      </w:r>
      <w:r w:rsidRPr="00C52789">
        <w:t>.</w:t>
      </w:r>
      <w:r w:rsidRPr="00C52789" w:rsidR="00655194">
        <w:t xml:space="preserve"> </w:t>
      </w:r>
    </w:p>
    <w:p w:rsidRPr="00C52789" w:rsidR="00187D1A" w:rsidP="00872122" w:rsidRDefault="00187D1A" w14:paraId="1BA9C19C" w14:textId="77777777">
      <w:pPr>
        <w:widowControl/>
        <w:autoSpaceDE/>
        <w:autoSpaceDN/>
        <w:adjustRightInd/>
      </w:pPr>
    </w:p>
    <w:p w:rsidRPr="00C52789" w:rsidR="00D1258F" w:rsidP="00C515D3" w:rsidRDefault="00D1258F" w14:paraId="5A754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 xml:space="preserve">Additionally the Agency estimates that </w:t>
      </w:r>
      <w:r w:rsidRPr="00C52789" w:rsidR="00FA5402">
        <w:t>1</w:t>
      </w:r>
      <w:r w:rsidRPr="00C52789" w:rsidR="003D66FA">
        <w:t xml:space="preserve">% </w:t>
      </w:r>
      <w:r w:rsidRPr="00C52789" w:rsidR="009E0CF0">
        <w:t>or</w:t>
      </w:r>
      <w:r w:rsidRPr="00C52789" w:rsidR="003D66FA">
        <w:t xml:space="preserve"> </w:t>
      </w:r>
      <w:r w:rsidRPr="00C52789" w:rsidR="00F97655">
        <w:t>83</w:t>
      </w:r>
      <w:r w:rsidRPr="00C52789" w:rsidR="007329AF">
        <w:t xml:space="preserve"> </w:t>
      </w:r>
      <w:r w:rsidRPr="00C52789">
        <w:t>crossheads or hoist cars, and elevators need re-posting each year (</w:t>
      </w:r>
      <w:r w:rsidRPr="00C52789" w:rsidR="00F97655">
        <w:t>.</w:t>
      </w:r>
      <w:r w:rsidRPr="00C52789" w:rsidR="003D66FA">
        <w:t>01</w:t>
      </w:r>
      <w:r w:rsidRPr="00C52789">
        <w:t xml:space="preserve"> of </w:t>
      </w:r>
      <w:r w:rsidRPr="00C52789" w:rsidR="00F97655">
        <w:t>8,304</w:t>
      </w:r>
      <w:r w:rsidRPr="00C52789" w:rsidR="00890866">
        <w:t xml:space="preserve"> </w:t>
      </w:r>
      <w:r w:rsidRPr="00C52789">
        <w:t>hoists and elevators</w:t>
      </w:r>
      <w:r w:rsidRPr="00C52789" w:rsidR="002C4E63">
        <w:t xml:space="preserve"> </w:t>
      </w:r>
      <w:r w:rsidRPr="00C52789" w:rsidR="003D66FA">
        <w:t>=</w:t>
      </w:r>
      <w:r w:rsidRPr="00C52789" w:rsidR="002C4E63">
        <w:t xml:space="preserve"> </w:t>
      </w:r>
      <w:r w:rsidRPr="00C52789" w:rsidR="00F97655">
        <w:t>83</w:t>
      </w:r>
      <w:r w:rsidRPr="00C52789" w:rsidR="007329AF">
        <w:t xml:space="preserve"> </w:t>
      </w:r>
      <w:r w:rsidRPr="00C52789" w:rsidR="003D66FA">
        <w:t>machines</w:t>
      </w:r>
      <w:r w:rsidR="00F42FBC">
        <w:t xml:space="preserve"> (</w:t>
      </w:r>
      <w:r w:rsidRPr="00C52789" w:rsidR="003A138B">
        <w:t>rounded</w:t>
      </w:r>
      <w:r w:rsidRPr="00C52789">
        <w:t>)</w:t>
      </w:r>
    </w:p>
    <w:p w:rsidRPr="00C52789" w:rsidR="00C52425" w:rsidP="00C515D3" w:rsidRDefault="00C52425" w14:paraId="60102C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2425" w:rsidP="00C515D3" w:rsidRDefault="00C52425" w14:paraId="677F0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ab/>
      </w:r>
      <w:r w:rsidRPr="00C52789">
        <w:tab/>
        <w:t xml:space="preserve">Burden hours:  </w:t>
      </w:r>
      <w:r w:rsidRPr="00C52789" w:rsidR="00D1258F">
        <w:t>(</w:t>
      </w:r>
      <w:r w:rsidRPr="00C52789" w:rsidR="00F97655">
        <w:t>830</w:t>
      </w:r>
      <w:r w:rsidRPr="00C52789" w:rsidR="003023A5">
        <w:t xml:space="preserve"> </w:t>
      </w:r>
      <w:r w:rsidRPr="00C52789" w:rsidR="00257144">
        <w:t xml:space="preserve">+ </w:t>
      </w:r>
      <w:r w:rsidRPr="00C52789" w:rsidR="00EA6EDB">
        <w:t>83</w:t>
      </w:r>
      <w:r w:rsidRPr="00C52789" w:rsidR="00D1258F">
        <w:t>)</w:t>
      </w:r>
      <w:r w:rsidRPr="00C52789" w:rsidR="00FE42BC">
        <w:t xml:space="preserve"> x 1 hour = </w:t>
      </w:r>
      <w:r w:rsidRPr="00C52789" w:rsidR="00EA6EDB">
        <w:t>913</w:t>
      </w:r>
      <w:r w:rsidRPr="00C52789" w:rsidR="007329AF">
        <w:t xml:space="preserve"> </w:t>
      </w:r>
      <w:r w:rsidRPr="00C52789">
        <w:t>hours</w:t>
      </w:r>
    </w:p>
    <w:p w:rsidRPr="00C52789" w:rsidR="00D00050" w:rsidP="00B00279" w:rsidRDefault="00C52425" w14:paraId="0EA69A1F" w14:textId="4DFB1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ab/>
      </w:r>
      <w:r w:rsidRPr="00C52789">
        <w:tab/>
      </w:r>
      <w:r w:rsidRPr="00C52789">
        <w:tab/>
        <w:t xml:space="preserve"> </w:t>
      </w:r>
      <w:r w:rsidRPr="00C52789" w:rsidR="00FE42BC">
        <w:t xml:space="preserve">Cost: </w:t>
      </w:r>
      <w:r w:rsidRPr="00C52789" w:rsidR="00942C7D">
        <w:tab/>
      </w:r>
      <w:r w:rsidRPr="00C52789" w:rsidR="00FE42BC">
        <w:t xml:space="preserve"> </w:t>
      </w:r>
      <w:r w:rsidRPr="00C52789" w:rsidR="00EA6EDB">
        <w:t>913</w:t>
      </w:r>
      <w:r w:rsidRPr="00C52789" w:rsidR="007329AF">
        <w:t xml:space="preserve"> </w:t>
      </w:r>
      <w:r w:rsidRPr="00C52789" w:rsidR="009F6449">
        <w:t xml:space="preserve">hours x </w:t>
      </w:r>
      <w:r w:rsidRPr="00C52789" w:rsidR="00B95924">
        <w:t>$</w:t>
      </w:r>
      <w:r w:rsidRPr="00C52789" w:rsidR="00EA6EDB">
        <w:t>28.</w:t>
      </w:r>
      <w:r w:rsidR="00746EA1">
        <w:t>66</w:t>
      </w:r>
      <w:r w:rsidR="00F42FBC">
        <w:t xml:space="preserve"> </w:t>
      </w:r>
      <w:r w:rsidRPr="00C52789" w:rsidR="001256F4">
        <w:t>= $</w:t>
      </w:r>
      <w:r w:rsidR="00746EA1">
        <w:t>26,166.58</w:t>
      </w:r>
    </w:p>
    <w:p w:rsidRPr="00C52789" w:rsidR="00D00050" w:rsidP="00B00279" w:rsidRDefault="00D00050" w14:paraId="28734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A04D9D" w:rsidP="00B00279" w:rsidRDefault="00A04D9D" w14:paraId="699F8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rPr>
          <w:b/>
        </w:rPr>
        <w:t>B) Inspections, Tests, and Records Certification Requirements</w:t>
      </w:r>
    </w:p>
    <w:p w:rsidRPr="00C52789" w:rsidR="002610E3" w:rsidP="00FC4948" w:rsidRDefault="002610E3" w14:paraId="28A3E035" w14:textId="77777777">
      <w:pPr>
        <w:widowControl/>
        <w:autoSpaceDE/>
        <w:autoSpaceDN/>
        <w:adjustRightInd/>
      </w:pPr>
    </w:p>
    <w:p w:rsidRPr="00C52789" w:rsidR="003C73E5" w:rsidP="00FC4948" w:rsidRDefault="003C73E5" w14:paraId="31DD11FE" w14:textId="77777777">
      <w:pPr>
        <w:widowControl/>
        <w:autoSpaceDE/>
        <w:autoSpaceDN/>
        <w:adjustRightInd/>
      </w:pPr>
      <w:r w:rsidRPr="00C52789">
        <w:t>OSHA does not currently enforce the information collect</w:t>
      </w:r>
      <w:r w:rsidRPr="00C52789" w:rsidR="00BC706A">
        <w:t>i</w:t>
      </w:r>
      <w:r w:rsidRPr="00C52789">
        <w:t xml:space="preserve">on requirements of the Standard.  </w:t>
      </w:r>
    </w:p>
    <w:p w:rsidRPr="00C52789" w:rsidR="00AD48AB" w:rsidP="00FC4948" w:rsidRDefault="002610E3" w14:paraId="090814B8" w14:textId="77777777">
      <w:pPr>
        <w:widowControl/>
        <w:autoSpaceDE/>
        <w:autoSpaceDN/>
        <w:adjustRightInd/>
      </w:pPr>
      <w:r w:rsidRPr="00C52789">
        <w:t>Section 1926.552(c)(15) requires that after assembly and erection, and before being put into service all hoist functions and safety devices be inspected and tested. A similar inspection and test is required following major alteration of an existing personnel hoist installation.  F</w:t>
      </w:r>
      <w:r w:rsidRPr="00C52789" w:rsidR="00347AF2">
        <w:t xml:space="preserve">rom discussions with industry members OSHA estimates that </w:t>
      </w:r>
      <w:r w:rsidRPr="00C52789" w:rsidR="002B153F">
        <w:t>usually two machines are used on each project</w:t>
      </w:r>
      <w:r w:rsidR="00502FAD">
        <w:t xml:space="preserve"> and there are a total of 8,304 machines</w:t>
      </w:r>
      <w:r w:rsidRPr="00C52789" w:rsidR="002B153F">
        <w:t>.</w:t>
      </w:r>
      <w:r w:rsidRPr="00C52789" w:rsidR="00FC4948">
        <w:t xml:space="preserve"> </w:t>
      </w:r>
      <w:r w:rsidRPr="00C52789" w:rsidR="002B153F">
        <w:t xml:space="preserve"> One is used for material and the other for personnel or they are both used for both at different times.</w:t>
      </w:r>
      <w:r w:rsidRPr="00C52789" w:rsidR="000727E5">
        <w:t xml:space="preserve"> </w:t>
      </w:r>
      <w:r w:rsidRPr="00C52789" w:rsidR="00FC4948">
        <w:t>As mentioned earlier from observation of the industry and discussion with industry members most employers consider hoist and elevator inspection, testing, certificati</w:t>
      </w:r>
      <w:r w:rsidRPr="00C52789" w:rsidR="00B2295D">
        <w:t>on</w:t>
      </w:r>
      <w:r w:rsidRPr="00C52789" w:rsidR="00FC4948">
        <w:t xml:space="preserve"> and records’ maintenance usual and customary</w:t>
      </w:r>
      <w:r w:rsidRPr="00C52789" w:rsidR="00B2295D">
        <w:t xml:space="preserve"> or required by local building codes</w:t>
      </w:r>
      <w:r w:rsidRPr="00C52789" w:rsidR="00FC4948">
        <w:t xml:space="preserve">. </w:t>
      </w:r>
    </w:p>
    <w:p w:rsidRPr="00C52789" w:rsidR="00AD48AB" w:rsidP="00FC4948" w:rsidRDefault="00AD48AB" w14:paraId="160F8959" w14:textId="77777777">
      <w:pPr>
        <w:widowControl/>
        <w:autoSpaceDE/>
        <w:autoSpaceDN/>
        <w:adjustRightInd/>
      </w:pPr>
    </w:p>
    <w:p w:rsidRPr="00C52789" w:rsidR="00637990" w:rsidP="0006426C" w:rsidRDefault="00FC4948" w14:paraId="6D14DF24" w14:textId="77777777">
      <w:pPr>
        <w:widowControl/>
        <w:autoSpaceDE/>
        <w:autoSpaceDN/>
        <w:adjustRightInd/>
      </w:pPr>
      <w:r w:rsidRPr="00C52789">
        <w:t>The Agency takes a 10% across the board burden charge for the instances when the practice is not so unive</w:t>
      </w:r>
      <w:r w:rsidRPr="00C52789" w:rsidR="00AD48AB">
        <w:t xml:space="preserve">rsal. The Agency estimates that the </w:t>
      </w:r>
      <w:r w:rsidRPr="00C52789" w:rsidR="00544750">
        <w:t>8,304</w:t>
      </w:r>
      <w:r w:rsidRPr="00C52789" w:rsidR="00890866">
        <w:t xml:space="preserve"> </w:t>
      </w:r>
      <w:r w:rsidRPr="00C52789" w:rsidR="00AD48AB">
        <w:t>hoists and elevators undergo</w:t>
      </w:r>
      <w:r w:rsidRPr="00C52789">
        <w:t xml:space="preserve"> </w:t>
      </w:r>
      <w:r w:rsidRPr="00C52789" w:rsidR="000727E5">
        <w:t xml:space="preserve">inspections, tests or </w:t>
      </w:r>
      <w:r w:rsidRPr="00C52789" w:rsidR="0006426C">
        <w:t xml:space="preserve">certification at least 4 times a year and additionally that 10% </w:t>
      </w:r>
      <w:r w:rsidRPr="00C52789" w:rsidR="00C515D3">
        <w:t>will require a second inspection each quarter due to repair wor</w:t>
      </w:r>
      <w:r w:rsidRPr="00C52789" w:rsidR="002610E3">
        <w:t>k</w:t>
      </w:r>
      <w:r w:rsidRPr="00C52789" w:rsidR="00C515D3">
        <w:t xml:space="preserve">.  The Agency estimates that it takes a </w:t>
      </w:r>
      <w:r w:rsidRPr="00C52789" w:rsidR="001F30B4">
        <w:t>non-supervisory</w:t>
      </w:r>
      <w:r w:rsidRPr="00C52789" w:rsidR="0006426C">
        <w:t xml:space="preserve"> </w:t>
      </w:r>
      <w:r w:rsidRPr="00C52789" w:rsidR="00C515D3">
        <w:t xml:space="preserve">construction </w:t>
      </w:r>
      <w:r w:rsidRPr="00C52789" w:rsidR="001F30B4">
        <w:t>worker</w:t>
      </w:r>
      <w:r w:rsidRPr="00C52789" w:rsidR="00C515D3">
        <w:t xml:space="preserve"> approximately 15 minutes (</w:t>
      </w:r>
      <w:r w:rsidR="00F42FBC">
        <w:t>15/60</w:t>
      </w:r>
      <w:r w:rsidRPr="00C52789" w:rsidR="00C515D3">
        <w:t xml:space="preserve"> hour) to conduct the test and inspection</w:t>
      </w:r>
      <w:r w:rsidRPr="00C52789" w:rsidR="00A90614">
        <w:t>,</w:t>
      </w:r>
      <w:r w:rsidRPr="00C52789" w:rsidR="00C515D3">
        <w:t xml:space="preserve"> and to generate and maintain the certification record of the m</w:t>
      </w:r>
      <w:r w:rsidRPr="00C52789" w:rsidR="000C1208">
        <w:t>ost recent test and inspection.</w:t>
      </w:r>
      <w:r w:rsidRPr="00C52789" w:rsidR="004B4996">
        <w:t xml:space="preserve">  </w:t>
      </w:r>
    </w:p>
    <w:p w:rsidRPr="00C52789" w:rsidR="00A353FE" w:rsidP="00C515D3" w:rsidRDefault="00C515D3" w14:paraId="54C15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2789">
        <w:tab/>
      </w:r>
    </w:p>
    <w:p w:rsidRPr="00C52789" w:rsidR="00756513" w:rsidP="00756513" w:rsidRDefault="00C515D3" w14:paraId="1740EC92" w14:textId="77777777">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720" w:firstLine="720"/>
      </w:pPr>
      <w:r w:rsidRPr="00C52789">
        <w:rPr>
          <w:b/>
        </w:rPr>
        <w:t xml:space="preserve">Burden </w:t>
      </w:r>
      <w:r w:rsidRPr="00C52789" w:rsidR="00632CEB">
        <w:rPr>
          <w:b/>
        </w:rPr>
        <w:t>h</w:t>
      </w:r>
      <w:r w:rsidRPr="00C52789">
        <w:rPr>
          <w:b/>
        </w:rPr>
        <w:t>ours</w:t>
      </w:r>
      <w:r w:rsidRPr="00C52789">
        <w:t xml:space="preserve">:  </w:t>
      </w:r>
      <w:r w:rsidRPr="00C52789" w:rsidR="00544750">
        <w:t>8,304</w:t>
      </w:r>
      <w:r w:rsidRPr="00C52789" w:rsidR="00890866">
        <w:t xml:space="preserve"> </w:t>
      </w:r>
      <w:r w:rsidRPr="00C52789" w:rsidR="00756513">
        <w:t>machines</w:t>
      </w:r>
      <w:r w:rsidRPr="00C52789" w:rsidR="002610E3">
        <w:t xml:space="preserve"> x </w:t>
      </w:r>
      <w:r w:rsidRPr="00C52789">
        <w:t>4</w:t>
      </w:r>
      <w:r w:rsidRPr="00C52789" w:rsidR="001F30B4">
        <w:t xml:space="preserve"> inspections </w:t>
      </w:r>
      <w:r w:rsidRPr="00C52789">
        <w:t>x</w:t>
      </w:r>
      <w:r w:rsidRPr="00C52789" w:rsidR="00B4726E">
        <w:t xml:space="preserve"> </w:t>
      </w:r>
      <w:r w:rsidR="00F42FBC">
        <w:t>15/60</w:t>
      </w:r>
      <w:r w:rsidRPr="00C52789">
        <w:t xml:space="preserve"> hour</w:t>
      </w:r>
      <w:r w:rsidRPr="00C52789" w:rsidR="00756513">
        <w:t xml:space="preserve"> </w:t>
      </w:r>
      <w:r w:rsidRPr="00C52789">
        <w:t xml:space="preserve">= </w:t>
      </w:r>
      <w:r w:rsidRPr="00C52789" w:rsidR="002920F4">
        <w:t>8,304</w:t>
      </w:r>
      <w:r w:rsidRPr="00C52789" w:rsidR="005C617C">
        <w:t xml:space="preserve"> </w:t>
      </w:r>
      <w:r w:rsidRPr="00C52789">
        <w:t>hours</w:t>
      </w:r>
    </w:p>
    <w:p w:rsidRPr="00C52789" w:rsidR="003D6CFC" w:rsidP="00756513" w:rsidRDefault="003D6CFC" w14:paraId="30C049D9" w14:textId="77777777">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720" w:firstLine="720"/>
      </w:pPr>
    </w:p>
    <w:p w:rsidRPr="00C52789" w:rsidR="0072227A" w:rsidP="001F30B4" w:rsidRDefault="002920F4" w14:paraId="5BDDD522" w14:textId="77777777">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3060"/>
      </w:pPr>
      <w:r w:rsidRPr="00C52789">
        <w:t>8,304</w:t>
      </w:r>
      <w:r w:rsidRPr="00C52789" w:rsidR="005C617C">
        <w:t xml:space="preserve"> </w:t>
      </w:r>
      <w:r w:rsidRPr="00C52789" w:rsidR="00756513">
        <w:t>machines</w:t>
      </w:r>
      <w:r w:rsidRPr="00C52789" w:rsidR="00C515D3">
        <w:t xml:space="preserve"> </w:t>
      </w:r>
      <w:r w:rsidRPr="00C52789" w:rsidR="003D6CFC">
        <w:t>x</w:t>
      </w:r>
      <w:r w:rsidRPr="00C52789">
        <w:t xml:space="preserve"> </w:t>
      </w:r>
      <w:r w:rsidRPr="00C52789" w:rsidR="00C515D3">
        <w:t>10%</w:t>
      </w:r>
      <w:r w:rsidRPr="00C52789" w:rsidR="00A865ED">
        <w:t xml:space="preserve"> </w:t>
      </w:r>
      <w:r w:rsidRPr="00C52789" w:rsidR="00C515D3">
        <w:t>requiring 2</w:t>
      </w:r>
      <w:r w:rsidRPr="00C52789" w:rsidR="00C515D3">
        <w:rPr>
          <w:vertAlign w:val="superscript"/>
        </w:rPr>
        <w:t>nd</w:t>
      </w:r>
      <w:r w:rsidRPr="00C52789" w:rsidR="00C515D3">
        <w:t xml:space="preserve"> inspection</w:t>
      </w:r>
      <w:r w:rsidR="00F42FBC">
        <w:t xml:space="preserve"> </w:t>
      </w:r>
      <w:r w:rsidRPr="00C52789" w:rsidR="003D6CFC">
        <w:t xml:space="preserve">= </w:t>
      </w:r>
      <w:r w:rsidRPr="00C52789">
        <w:t>830</w:t>
      </w:r>
      <w:r w:rsidRPr="00C52789" w:rsidR="007329AF">
        <w:t xml:space="preserve"> </w:t>
      </w:r>
      <w:r w:rsidRPr="00C52789" w:rsidR="003D6CFC">
        <w:t xml:space="preserve">(rounded) </w:t>
      </w:r>
      <w:r w:rsidRPr="00C52789" w:rsidR="00C515D3">
        <w:t>x 4 inspections</w:t>
      </w:r>
      <w:r w:rsidRPr="00C52789" w:rsidR="002E1EC3">
        <w:t xml:space="preserve"> </w:t>
      </w:r>
      <w:r w:rsidRPr="00C52789" w:rsidR="00C515D3">
        <w:t xml:space="preserve">annually x </w:t>
      </w:r>
      <w:r w:rsidR="00F42FBC">
        <w:t>15/60</w:t>
      </w:r>
      <w:r w:rsidRPr="00C52789" w:rsidR="00C515D3">
        <w:t xml:space="preserve"> hour</w:t>
      </w:r>
      <w:r w:rsidRPr="00C52789" w:rsidR="00C8388D">
        <w:t xml:space="preserve"> = </w:t>
      </w:r>
      <w:r w:rsidRPr="00C52789">
        <w:t>830</w:t>
      </w:r>
      <w:r w:rsidRPr="00C52789" w:rsidR="005C617C">
        <w:t xml:space="preserve"> </w:t>
      </w:r>
      <w:r w:rsidRPr="00C52789" w:rsidR="00C8388D">
        <w:t>hours</w:t>
      </w:r>
    </w:p>
    <w:p w:rsidRPr="00C52789" w:rsidR="00C8388D" w:rsidP="001F30B4" w:rsidRDefault="00C8388D" w14:paraId="6846683E" w14:textId="77777777">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3060"/>
      </w:pPr>
    </w:p>
    <w:p w:rsidRPr="00C52789" w:rsidR="00C515D3" w:rsidP="00A353FE" w:rsidRDefault="00C515D3" w14:paraId="701A0C21" w14:textId="40F133AB">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pPr>
      <w:r w:rsidRPr="00C52789">
        <w:rPr>
          <w:b/>
        </w:rPr>
        <w:tab/>
      </w:r>
      <w:r w:rsidRPr="00C52789">
        <w:rPr>
          <w:b/>
        </w:rPr>
        <w:tab/>
      </w:r>
      <w:r w:rsidRPr="00C52789" w:rsidR="00A353FE">
        <w:rPr>
          <w:b/>
        </w:rPr>
        <w:tab/>
      </w:r>
      <w:r w:rsidRPr="00C52789">
        <w:rPr>
          <w:b/>
        </w:rPr>
        <w:t>Costs</w:t>
      </w:r>
      <w:r w:rsidRPr="00C52789">
        <w:t>:</w:t>
      </w:r>
      <w:r w:rsidRPr="00C52789" w:rsidR="00A353FE">
        <w:rPr>
          <w:b/>
        </w:rPr>
        <w:tab/>
      </w:r>
      <w:r w:rsidRPr="00C52789" w:rsidR="00A353FE">
        <w:rPr>
          <w:b/>
        </w:rPr>
        <w:tab/>
      </w:r>
      <w:r w:rsidRPr="00C52789" w:rsidR="002920F4">
        <w:t>8,304</w:t>
      </w:r>
      <w:r w:rsidRPr="00C52789" w:rsidR="005C617C">
        <w:t xml:space="preserve"> </w:t>
      </w:r>
      <w:r w:rsidRPr="00C52789">
        <w:t>hours x</w:t>
      </w:r>
      <w:r w:rsidRPr="00C52789">
        <w:rPr>
          <w:b/>
        </w:rPr>
        <w:t xml:space="preserve"> </w:t>
      </w:r>
      <w:r w:rsidRPr="00C52789" w:rsidR="0072227A">
        <w:t>$</w:t>
      </w:r>
      <w:r w:rsidRPr="00C52789" w:rsidR="002920F4">
        <w:t>28.</w:t>
      </w:r>
      <w:r w:rsidR="00746EA1">
        <w:t>66</w:t>
      </w:r>
      <w:r w:rsidRPr="00C52789" w:rsidR="00856C82">
        <w:rPr>
          <w:b/>
        </w:rPr>
        <w:t xml:space="preserve"> </w:t>
      </w:r>
      <w:r w:rsidRPr="00C52789">
        <w:t>=</w:t>
      </w:r>
      <w:r w:rsidRPr="00C52789" w:rsidR="00DE3529">
        <w:t xml:space="preserve"> </w:t>
      </w:r>
      <w:r w:rsidRPr="00C52789" w:rsidR="00B95924">
        <w:t>$</w:t>
      </w:r>
      <w:r w:rsidR="00746EA1">
        <w:t>237,992.64</w:t>
      </w:r>
    </w:p>
    <w:p w:rsidRPr="00C52789" w:rsidR="00BC0902" w:rsidP="00A353FE" w:rsidRDefault="00BC0902" w14:paraId="325046A0" w14:textId="2ADCE33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pPr>
      <w:r w:rsidRPr="00C52789">
        <w:tab/>
      </w:r>
      <w:r w:rsidRPr="00C52789">
        <w:tab/>
      </w:r>
      <w:r w:rsidRPr="00C52789">
        <w:tab/>
      </w:r>
      <w:r w:rsidRPr="00C52789">
        <w:tab/>
        <w:t xml:space="preserve">     </w:t>
      </w:r>
      <w:r w:rsidR="00F42FBC">
        <w:t xml:space="preserve"> </w:t>
      </w:r>
      <w:r w:rsidRPr="00C52789" w:rsidR="002920F4">
        <w:t>830</w:t>
      </w:r>
      <w:r w:rsidRPr="00C52789" w:rsidR="007329AF">
        <w:t xml:space="preserve"> </w:t>
      </w:r>
      <w:r w:rsidRPr="00C52789">
        <w:t>hours x $</w:t>
      </w:r>
      <w:r w:rsidRPr="00C52789" w:rsidR="002920F4">
        <w:t>28.</w:t>
      </w:r>
      <w:r w:rsidR="00746EA1">
        <w:t>66</w:t>
      </w:r>
      <w:r w:rsidRPr="00C52789">
        <w:t xml:space="preserve"> = </w:t>
      </w:r>
      <w:r w:rsidRPr="00C52789" w:rsidR="008D12FA">
        <w:t>$</w:t>
      </w:r>
      <w:r w:rsidR="00746EA1">
        <w:t>23,787.80</w:t>
      </w:r>
    </w:p>
    <w:p w:rsidRPr="00C52789" w:rsidR="00511F4C" w:rsidP="00A353FE" w:rsidRDefault="00511F4C" w14:paraId="4CB22CAF" w14:textId="7777777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pPr>
    </w:p>
    <w:p w:rsidRPr="00C52789" w:rsidR="00511F4C" w:rsidP="00A353FE" w:rsidRDefault="00511F4C" w14:paraId="6A691721" w14:textId="7777777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rPr>
          <w:b/>
        </w:rPr>
      </w:pPr>
      <w:r w:rsidRPr="00C52789">
        <w:rPr>
          <w:b/>
        </w:rPr>
        <w:t>(C) Disclosure of Test and Inspection Certification Records—1926.552(c)(15)</w:t>
      </w:r>
    </w:p>
    <w:p w:rsidRPr="00C52789" w:rsidR="008361C0" w:rsidP="00A353FE" w:rsidRDefault="008361C0" w14:paraId="5CA939DC" w14:textId="7777777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rPr>
          <w:b/>
        </w:rPr>
      </w:pPr>
    </w:p>
    <w:p w:rsidRPr="00C52789" w:rsidR="00C01E9F" w:rsidP="00A353FE" w:rsidRDefault="008361C0" w14:paraId="631D83D6" w14:textId="7777777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pPr>
      <w:r w:rsidRPr="00C52789">
        <w:t>Usually, OSHA request</w:t>
      </w:r>
      <w:r w:rsidR="00F42FBC">
        <w:t>s</w:t>
      </w:r>
      <w:r w:rsidRPr="00C52789">
        <w:t xml:space="preserve"> access to records during an inspection.  The Agency has determined that information collected by the Agency during the investigatio</w:t>
      </w:r>
      <w:r w:rsidRPr="00C52789" w:rsidR="006F69DC">
        <w:t xml:space="preserve">n is </w:t>
      </w:r>
      <w:r w:rsidRPr="00C52789">
        <w:t>not subject to the PRA under 5 CFR 1320.4(a)(2).  Therefore, OSHA takes no burden or cost for the disclosure of records.</w:t>
      </w:r>
    </w:p>
    <w:p w:rsidRPr="00C52789" w:rsidR="008361C0" w:rsidP="00A353FE" w:rsidRDefault="008361C0" w14:paraId="7E579D8D" w14:textId="77777777">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pPr>
    </w:p>
    <w:p w:rsidRPr="00C52789" w:rsidR="00A06881" w:rsidP="00A06881" w:rsidRDefault="00A06881" w14:paraId="0244313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Pr="00C52789" w:rsidR="00A06881" w:rsidP="00246FF1" w:rsidRDefault="00246FF1" w14:paraId="0D21FDA7" w14:textId="77058E84">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Pr>
          <w:b/>
          <w:bCs/>
        </w:rPr>
        <w:tab/>
        <w:t xml:space="preserve">          </w:t>
      </w:r>
      <w:r w:rsidRPr="00C52789" w:rsidR="00A06881">
        <w:rPr>
          <w:b/>
          <w:bCs/>
        </w:rPr>
        <w:t xml:space="preserve">Table: </w:t>
      </w:r>
      <w:r w:rsidR="00502FAD">
        <w:rPr>
          <w:b/>
          <w:bCs/>
        </w:rPr>
        <w:t>2</w:t>
      </w:r>
      <w:r w:rsidRPr="00C52789" w:rsidR="00A06881">
        <w:rPr>
          <w:b/>
          <w:bCs/>
        </w:rPr>
        <w:t xml:space="preserve"> Estimated Annualized Respondent Burden Hours and Cost</w:t>
      </w:r>
    </w:p>
    <w:p w:rsidRPr="00C52789" w:rsidR="00A06881" w:rsidP="00A06881" w:rsidRDefault="00A06881" w14:paraId="0864181C" w14:textId="77777777">
      <w:pPr>
        <w:rPr>
          <w:vanish/>
        </w:rPr>
      </w:pPr>
    </w:p>
    <w:tbl>
      <w:tblPr>
        <w:tblW w:w="1089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620"/>
        <w:gridCol w:w="1440"/>
        <w:gridCol w:w="1440"/>
        <w:gridCol w:w="1530"/>
        <w:gridCol w:w="1260"/>
        <w:gridCol w:w="1170"/>
        <w:gridCol w:w="1103"/>
        <w:gridCol w:w="1327"/>
      </w:tblGrid>
      <w:tr w:rsidRPr="00C52789" w:rsidR="00BE10C5" w:rsidTr="00D032B2" w14:paraId="4AC1BA8E" w14:textId="77777777">
        <w:trPr>
          <w:tblHeader/>
        </w:trPr>
        <w:tc>
          <w:tcPr>
            <w:tcW w:w="1620" w:type="dxa"/>
            <w:shd w:val="clear" w:color="auto" w:fill="C6D9F1"/>
          </w:tcPr>
          <w:p w:rsidRPr="00BE10C5" w:rsidR="00906E60" w:rsidP="00D06816" w:rsidRDefault="00906E60" w14:paraId="02FD9A21" w14:textId="77777777">
            <w:pPr>
              <w:widowControl/>
              <w:jc w:val="center"/>
              <w:rPr>
                <w:b/>
                <w:bCs/>
                <w:sz w:val="22"/>
                <w:szCs w:val="22"/>
              </w:rPr>
            </w:pPr>
            <w:r w:rsidRPr="00BE10C5">
              <w:rPr>
                <w:b/>
                <w:bCs/>
                <w:sz w:val="22"/>
                <w:szCs w:val="22"/>
              </w:rPr>
              <w:t>Information Collection Requirement</w:t>
            </w:r>
          </w:p>
          <w:p w:rsidRPr="00BE10C5" w:rsidR="004B743D" w:rsidP="00D06816" w:rsidRDefault="004B743D" w14:paraId="560EA10E" w14:textId="77777777">
            <w:pPr>
              <w:widowControl/>
              <w:jc w:val="center"/>
              <w:rPr>
                <w:b/>
                <w:sz w:val="22"/>
                <w:szCs w:val="22"/>
              </w:rPr>
            </w:pPr>
          </w:p>
        </w:tc>
        <w:tc>
          <w:tcPr>
            <w:tcW w:w="1440" w:type="dxa"/>
            <w:shd w:val="clear" w:color="auto" w:fill="C6D9F1"/>
          </w:tcPr>
          <w:p w:rsidRPr="00BE10C5" w:rsidR="00906E60" w:rsidP="00BE10C5" w:rsidRDefault="00687E20" w14:paraId="0A45715B" w14:textId="77777777">
            <w:pPr>
              <w:widowControl/>
              <w:rPr>
                <w:b/>
                <w:bCs/>
                <w:sz w:val="22"/>
                <w:szCs w:val="22"/>
              </w:rPr>
            </w:pPr>
            <w:r>
              <w:rPr>
                <w:b/>
                <w:bCs/>
                <w:sz w:val="22"/>
                <w:szCs w:val="22"/>
              </w:rPr>
              <w:t xml:space="preserve">Total </w:t>
            </w:r>
            <w:r w:rsidRPr="00BE10C5">
              <w:rPr>
                <w:b/>
                <w:bCs/>
                <w:sz w:val="22"/>
                <w:szCs w:val="22"/>
              </w:rPr>
              <w:t>N</w:t>
            </w:r>
            <w:r>
              <w:rPr>
                <w:b/>
                <w:bCs/>
                <w:sz w:val="22"/>
                <w:szCs w:val="22"/>
              </w:rPr>
              <w:t xml:space="preserve">o. </w:t>
            </w:r>
            <w:r w:rsidRPr="00BE10C5" w:rsidR="00906E60">
              <w:rPr>
                <w:b/>
                <w:bCs/>
                <w:sz w:val="22"/>
                <w:szCs w:val="22"/>
              </w:rPr>
              <w:t>of Respondents</w:t>
            </w:r>
          </w:p>
          <w:p w:rsidRPr="00BE10C5" w:rsidR="004B743D" w:rsidP="0010571B" w:rsidRDefault="004B743D" w14:paraId="251A5D51" w14:textId="77777777">
            <w:pPr>
              <w:widowControl/>
              <w:jc w:val="center"/>
              <w:rPr>
                <w:bCs/>
                <w:i/>
                <w:sz w:val="22"/>
                <w:szCs w:val="22"/>
              </w:rPr>
            </w:pPr>
          </w:p>
          <w:p w:rsidRPr="00BE10C5" w:rsidR="004B743D" w:rsidP="0010571B" w:rsidRDefault="004B743D" w14:paraId="7F7ABB2C" w14:textId="77777777">
            <w:pPr>
              <w:widowControl/>
              <w:jc w:val="center"/>
              <w:rPr>
                <w:bCs/>
                <w:i/>
                <w:sz w:val="22"/>
                <w:szCs w:val="22"/>
              </w:rPr>
            </w:pPr>
          </w:p>
        </w:tc>
        <w:tc>
          <w:tcPr>
            <w:tcW w:w="1440" w:type="dxa"/>
            <w:shd w:val="clear" w:color="auto" w:fill="C6D9F1"/>
          </w:tcPr>
          <w:p w:rsidRPr="00BE10C5" w:rsidR="00906E60" w:rsidP="0010571B" w:rsidRDefault="00687E20" w14:paraId="226B8384" w14:textId="77777777">
            <w:pPr>
              <w:widowControl/>
              <w:jc w:val="center"/>
              <w:rPr>
                <w:b/>
                <w:sz w:val="22"/>
                <w:szCs w:val="22"/>
              </w:rPr>
            </w:pPr>
            <w:r>
              <w:rPr>
                <w:b/>
                <w:sz w:val="22"/>
                <w:szCs w:val="22"/>
              </w:rPr>
              <w:t xml:space="preserve">No. of Responses </w:t>
            </w:r>
            <w:r w:rsidRPr="00BE10C5" w:rsidR="00906E60">
              <w:rPr>
                <w:b/>
                <w:sz w:val="22"/>
                <w:szCs w:val="22"/>
              </w:rPr>
              <w:t xml:space="preserve">per </w:t>
            </w:r>
            <w:r>
              <w:rPr>
                <w:b/>
                <w:sz w:val="22"/>
                <w:szCs w:val="22"/>
              </w:rPr>
              <w:t>R</w:t>
            </w:r>
            <w:r w:rsidRPr="00BE10C5" w:rsidR="00906E60">
              <w:rPr>
                <w:b/>
                <w:sz w:val="22"/>
                <w:szCs w:val="22"/>
              </w:rPr>
              <w:t>espondents</w:t>
            </w:r>
          </w:p>
          <w:p w:rsidRPr="00BE10C5" w:rsidR="004B743D" w:rsidP="0010571B" w:rsidRDefault="004B743D" w14:paraId="11A13499" w14:textId="77777777">
            <w:pPr>
              <w:widowControl/>
              <w:jc w:val="center"/>
              <w:rPr>
                <w:sz w:val="22"/>
                <w:szCs w:val="22"/>
              </w:rPr>
            </w:pPr>
          </w:p>
        </w:tc>
        <w:tc>
          <w:tcPr>
            <w:tcW w:w="1530" w:type="dxa"/>
            <w:shd w:val="clear" w:color="auto" w:fill="C6D9F1"/>
          </w:tcPr>
          <w:p w:rsidRPr="00BE10C5" w:rsidR="00906E60" w:rsidP="0010571B" w:rsidRDefault="00906E60" w14:paraId="706B9CA8" w14:textId="77777777">
            <w:pPr>
              <w:widowControl/>
              <w:jc w:val="center"/>
              <w:rPr>
                <w:b/>
                <w:sz w:val="22"/>
                <w:szCs w:val="22"/>
              </w:rPr>
            </w:pPr>
            <w:r w:rsidRPr="00BE10C5">
              <w:rPr>
                <w:b/>
                <w:sz w:val="22"/>
                <w:szCs w:val="22"/>
              </w:rPr>
              <w:t>Total</w:t>
            </w:r>
          </w:p>
          <w:p w:rsidR="00687E20" w:rsidP="0010571B" w:rsidRDefault="00687E20" w14:paraId="6B65D962" w14:textId="77777777">
            <w:pPr>
              <w:widowControl/>
              <w:jc w:val="center"/>
              <w:rPr>
                <w:b/>
                <w:sz w:val="22"/>
                <w:szCs w:val="22"/>
              </w:rPr>
            </w:pPr>
            <w:r>
              <w:rPr>
                <w:b/>
                <w:sz w:val="22"/>
                <w:szCs w:val="22"/>
              </w:rPr>
              <w:t>No. of Responses</w:t>
            </w:r>
          </w:p>
          <w:p w:rsidRPr="00BE10C5" w:rsidR="00906E60" w:rsidP="0010571B" w:rsidRDefault="00906E60" w14:paraId="3D516449" w14:textId="77777777">
            <w:pPr>
              <w:widowControl/>
              <w:jc w:val="center"/>
              <w:rPr>
                <w:b/>
                <w:sz w:val="22"/>
                <w:szCs w:val="22"/>
              </w:rPr>
            </w:pPr>
            <w:r w:rsidRPr="00BE10C5">
              <w:rPr>
                <w:b/>
                <w:sz w:val="22"/>
                <w:szCs w:val="22"/>
              </w:rPr>
              <w:t>Response</w:t>
            </w:r>
          </w:p>
          <w:p w:rsidRPr="00BE10C5" w:rsidR="004B743D" w:rsidP="0010571B" w:rsidRDefault="004B743D" w14:paraId="76811CB5" w14:textId="77777777">
            <w:pPr>
              <w:widowControl/>
              <w:jc w:val="center"/>
              <w:rPr>
                <w:b/>
                <w:sz w:val="22"/>
                <w:szCs w:val="22"/>
              </w:rPr>
            </w:pPr>
          </w:p>
          <w:p w:rsidRPr="00BE10C5" w:rsidR="004B743D" w:rsidP="0010571B" w:rsidRDefault="004B743D" w14:paraId="523743F0" w14:textId="77777777">
            <w:pPr>
              <w:widowControl/>
              <w:jc w:val="center"/>
              <w:rPr>
                <w:i/>
                <w:sz w:val="22"/>
                <w:szCs w:val="22"/>
              </w:rPr>
            </w:pPr>
          </w:p>
        </w:tc>
        <w:tc>
          <w:tcPr>
            <w:tcW w:w="1260" w:type="dxa"/>
            <w:shd w:val="clear" w:color="auto" w:fill="C6D9F1"/>
          </w:tcPr>
          <w:p w:rsidR="00906E60" w:rsidP="0010571B" w:rsidRDefault="00906E60" w14:paraId="2D363584" w14:textId="77777777">
            <w:pPr>
              <w:widowControl/>
              <w:jc w:val="center"/>
              <w:rPr>
                <w:b/>
                <w:bCs/>
                <w:sz w:val="22"/>
                <w:szCs w:val="22"/>
              </w:rPr>
            </w:pPr>
            <w:r w:rsidRPr="00BE10C5">
              <w:rPr>
                <w:b/>
                <w:bCs/>
                <w:sz w:val="22"/>
                <w:szCs w:val="22"/>
              </w:rPr>
              <w:t>Times per response</w:t>
            </w:r>
          </w:p>
          <w:p w:rsidRPr="00BE10C5" w:rsidR="00687E20" w:rsidP="0010571B" w:rsidRDefault="00687E20" w14:paraId="13AFCEF0" w14:textId="77777777">
            <w:pPr>
              <w:widowControl/>
              <w:jc w:val="center"/>
              <w:rPr>
                <w:b/>
                <w:bCs/>
                <w:sz w:val="22"/>
                <w:szCs w:val="22"/>
              </w:rPr>
            </w:pPr>
            <w:r>
              <w:rPr>
                <w:b/>
                <w:bCs/>
                <w:sz w:val="22"/>
                <w:szCs w:val="22"/>
              </w:rPr>
              <w:t>(in hrs.)</w:t>
            </w:r>
          </w:p>
          <w:p w:rsidRPr="00BE10C5" w:rsidR="004B743D" w:rsidP="0010571B" w:rsidRDefault="004B743D" w14:paraId="5AA299B0" w14:textId="77777777">
            <w:pPr>
              <w:widowControl/>
              <w:jc w:val="center"/>
              <w:rPr>
                <w:i/>
                <w:sz w:val="22"/>
                <w:szCs w:val="22"/>
              </w:rPr>
            </w:pPr>
          </w:p>
        </w:tc>
        <w:tc>
          <w:tcPr>
            <w:tcW w:w="1170" w:type="dxa"/>
            <w:shd w:val="clear" w:color="auto" w:fill="C6D9F1"/>
          </w:tcPr>
          <w:p w:rsidRPr="00BE10C5" w:rsidR="00906E60" w:rsidP="0010571B" w:rsidRDefault="00687E20" w14:paraId="2AEEE03D" w14:textId="77777777">
            <w:pPr>
              <w:widowControl/>
              <w:jc w:val="center"/>
              <w:rPr>
                <w:b/>
                <w:sz w:val="22"/>
                <w:szCs w:val="22"/>
              </w:rPr>
            </w:pPr>
            <w:r>
              <w:rPr>
                <w:b/>
                <w:sz w:val="22"/>
                <w:szCs w:val="22"/>
              </w:rPr>
              <w:t xml:space="preserve">Total </w:t>
            </w:r>
            <w:r w:rsidRPr="00BE10C5" w:rsidR="00906E60">
              <w:rPr>
                <w:b/>
                <w:sz w:val="22"/>
                <w:szCs w:val="22"/>
              </w:rPr>
              <w:t>Burden Hours</w:t>
            </w:r>
          </w:p>
          <w:p w:rsidRPr="00BE10C5" w:rsidR="004B743D" w:rsidP="0010571B" w:rsidRDefault="004B743D" w14:paraId="291D3BD5" w14:textId="77777777">
            <w:pPr>
              <w:widowControl/>
              <w:jc w:val="center"/>
              <w:rPr>
                <w:i/>
                <w:sz w:val="22"/>
                <w:szCs w:val="22"/>
              </w:rPr>
            </w:pPr>
          </w:p>
        </w:tc>
        <w:tc>
          <w:tcPr>
            <w:tcW w:w="1103" w:type="dxa"/>
            <w:shd w:val="clear" w:color="auto" w:fill="C6D9F1"/>
          </w:tcPr>
          <w:p w:rsidR="00687E20" w:rsidP="0010571B" w:rsidRDefault="00687E20" w14:paraId="618D32A5" w14:textId="77777777">
            <w:pPr>
              <w:widowControl/>
              <w:jc w:val="center"/>
              <w:rPr>
                <w:b/>
                <w:sz w:val="22"/>
                <w:szCs w:val="22"/>
              </w:rPr>
            </w:pPr>
            <w:r>
              <w:rPr>
                <w:b/>
                <w:sz w:val="22"/>
                <w:szCs w:val="22"/>
              </w:rPr>
              <w:t>Avg.</w:t>
            </w:r>
          </w:p>
          <w:p w:rsidRPr="00BE10C5" w:rsidR="00906E60" w:rsidP="0010571B" w:rsidRDefault="00906E60" w14:paraId="00DCBCBC" w14:textId="77777777">
            <w:pPr>
              <w:widowControl/>
              <w:jc w:val="center"/>
              <w:rPr>
                <w:b/>
                <w:sz w:val="22"/>
                <w:szCs w:val="22"/>
              </w:rPr>
            </w:pPr>
            <w:r w:rsidRPr="00BE10C5">
              <w:rPr>
                <w:b/>
                <w:sz w:val="22"/>
                <w:szCs w:val="22"/>
              </w:rPr>
              <w:t>Wage Rate</w:t>
            </w:r>
          </w:p>
          <w:p w:rsidRPr="00BE10C5" w:rsidR="004B743D" w:rsidP="0010571B" w:rsidRDefault="004B743D" w14:paraId="2F413524" w14:textId="77777777">
            <w:pPr>
              <w:widowControl/>
              <w:jc w:val="center"/>
              <w:rPr>
                <w:b/>
                <w:sz w:val="22"/>
                <w:szCs w:val="22"/>
              </w:rPr>
            </w:pPr>
          </w:p>
          <w:p w:rsidRPr="00BE10C5" w:rsidR="004B743D" w:rsidP="0010571B" w:rsidRDefault="004B743D" w14:paraId="73A06C6F" w14:textId="77777777">
            <w:pPr>
              <w:widowControl/>
              <w:jc w:val="center"/>
              <w:rPr>
                <w:i/>
                <w:sz w:val="22"/>
                <w:szCs w:val="22"/>
              </w:rPr>
            </w:pPr>
          </w:p>
        </w:tc>
        <w:tc>
          <w:tcPr>
            <w:tcW w:w="1327" w:type="dxa"/>
            <w:shd w:val="clear" w:color="auto" w:fill="C6D9F1"/>
          </w:tcPr>
          <w:p w:rsidRPr="00BE10C5" w:rsidR="00906E60" w:rsidP="00BE10C5" w:rsidRDefault="00687E20" w14:paraId="6C6CD92B" w14:textId="77777777">
            <w:pPr>
              <w:widowControl/>
              <w:tabs>
                <w:tab w:val="center" w:pos="432"/>
              </w:tabs>
              <w:rPr>
                <w:b/>
                <w:bCs/>
                <w:sz w:val="22"/>
                <w:szCs w:val="22"/>
              </w:rPr>
            </w:pPr>
            <w:r>
              <w:rPr>
                <w:b/>
                <w:bCs/>
                <w:sz w:val="22"/>
                <w:szCs w:val="22"/>
              </w:rPr>
              <w:tab/>
              <w:t xml:space="preserve">Total Burden </w:t>
            </w:r>
            <w:r w:rsidRPr="00BE10C5" w:rsidR="00906E60">
              <w:rPr>
                <w:b/>
                <w:bCs/>
                <w:sz w:val="22"/>
                <w:szCs w:val="22"/>
              </w:rPr>
              <w:t>Costs</w:t>
            </w:r>
          </w:p>
          <w:p w:rsidRPr="00BE10C5" w:rsidR="004B743D" w:rsidP="0010571B" w:rsidRDefault="004B743D" w14:paraId="26D42C00" w14:textId="77777777">
            <w:pPr>
              <w:widowControl/>
              <w:jc w:val="center"/>
              <w:rPr>
                <w:b/>
                <w:bCs/>
                <w:sz w:val="22"/>
                <w:szCs w:val="22"/>
              </w:rPr>
            </w:pPr>
          </w:p>
          <w:p w:rsidRPr="00BE10C5" w:rsidR="004B743D" w:rsidP="0010571B" w:rsidRDefault="004B743D" w14:paraId="34A8CCB3" w14:textId="77777777">
            <w:pPr>
              <w:widowControl/>
              <w:jc w:val="center"/>
              <w:rPr>
                <w:bCs/>
                <w:i/>
                <w:sz w:val="22"/>
                <w:szCs w:val="22"/>
              </w:rPr>
            </w:pPr>
          </w:p>
        </w:tc>
      </w:tr>
      <w:tr w:rsidRPr="00D24FEB" w:rsidR="00046BCB" w:rsidTr="00D032B2" w14:paraId="330DAA46" w14:textId="77777777">
        <w:trPr>
          <w:trHeight w:val="449"/>
        </w:trPr>
        <w:tc>
          <w:tcPr>
            <w:tcW w:w="1620" w:type="dxa"/>
          </w:tcPr>
          <w:p w:rsidRPr="00BE10C5" w:rsidR="00906E60" w:rsidP="00D06816" w:rsidRDefault="00906E60" w14:paraId="051EB707" w14:textId="77777777">
            <w:pPr>
              <w:rPr>
                <w:b/>
                <w:sz w:val="22"/>
                <w:szCs w:val="22"/>
              </w:rPr>
            </w:pPr>
            <w:r w:rsidRPr="00BE10C5">
              <w:rPr>
                <w:b/>
                <w:sz w:val="22"/>
                <w:szCs w:val="22"/>
              </w:rPr>
              <w:t>A) Posting Requirements</w:t>
            </w:r>
          </w:p>
        </w:tc>
        <w:tc>
          <w:tcPr>
            <w:tcW w:w="1440" w:type="dxa"/>
          </w:tcPr>
          <w:p w:rsidRPr="00BE10C5" w:rsidR="00906E60" w:rsidP="00D4226C" w:rsidRDefault="00906E60" w14:paraId="06602811" w14:textId="77777777">
            <w:pPr>
              <w:jc w:val="right"/>
              <w:rPr>
                <w:sz w:val="22"/>
                <w:szCs w:val="22"/>
              </w:rPr>
            </w:pPr>
            <w:r w:rsidRPr="00BE10C5">
              <w:rPr>
                <w:sz w:val="22"/>
                <w:szCs w:val="22"/>
              </w:rPr>
              <w:t>0</w:t>
            </w:r>
          </w:p>
        </w:tc>
        <w:tc>
          <w:tcPr>
            <w:tcW w:w="1440" w:type="dxa"/>
          </w:tcPr>
          <w:p w:rsidRPr="00BE10C5" w:rsidR="00906E60" w:rsidP="00D4226C" w:rsidRDefault="00906E60" w14:paraId="31EDC135" w14:textId="77777777">
            <w:pPr>
              <w:jc w:val="right"/>
              <w:rPr>
                <w:sz w:val="22"/>
                <w:szCs w:val="22"/>
              </w:rPr>
            </w:pPr>
            <w:r w:rsidRPr="00BE10C5">
              <w:rPr>
                <w:sz w:val="22"/>
                <w:szCs w:val="22"/>
              </w:rPr>
              <w:t>0</w:t>
            </w:r>
          </w:p>
        </w:tc>
        <w:tc>
          <w:tcPr>
            <w:tcW w:w="1530" w:type="dxa"/>
            <w:shd w:val="clear" w:color="auto" w:fill="auto"/>
          </w:tcPr>
          <w:p w:rsidRPr="00BE10C5" w:rsidR="00906E60" w:rsidP="00D4226C" w:rsidRDefault="00906E60" w14:paraId="0919EE77" w14:textId="77777777">
            <w:pPr>
              <w:widowControl/>
              <w:jc w:val="right"/>
              <w:rPr>
                <w:bCs/>
                <w:sz w:val="22"/>
                <w:szCs w:val="22"/>
              </w:rPr>
            </w:pPr>
            <w:r w:rsidRPr="00BE10C5">
              <w:rPr>
                <w:bCs/>
                <w:sz w:val="22"/>
                <w:szCs w:val="22"/>
              </w:rPr>
              <w:t>0</w:t>
            </w:r>
          </w:p>
        </w:tc>
        <w:tc>
          <w:tcPr>
            <w:tcW w:w="1260" w:type="dxa"/>
            <w:shd w:val="clear" w:color="auto" w:fill="auto"/>
          </w:tcPr>
          <w:p w:rsidRPr="00BE10C5" w:rsidR="00906E60" w:rsidP="00D4226C" w:rsidRDefault="008A1394" w14:paraId="42DE0766" w14:textId="77777777">
            <w:pPr>
              <w:widowControl/>
              <w:ind w:left="38" w:firstLine="90"/>
              <w:jc w:val="right"/>
              <w:rPr>
                <w:bCs/>
                <w:sz w:val="22"/>
                <w:szCs w:val="22"/>
              </w:rPr>
            </w:pPr>
            <w:r w:rsidRPr="00BE10C5">
              <w:rPr>
                <w:bCs/>
                <w:sz w:val="22"/>
                <w:szCs w:val="22"/>
              </w:rPr>
              <w:t>0</w:t>
            </w:r>
          </w:p>
        </w:tc>
        <w:tc>
          <w:tcPr>
            <w:tcW w:w="1170" w:type="dxa"/>
            <w:shd w:val="clear" w:color="auto" w:fill="auto"/>
          </w:tcPr>
          <w:p w:rsidRPr="00BE10C5" w:rsidR="00906E60" w:rsidP="00D4226C" w:rsidRDefault="00906E60" w14:paraId="5ACEA86C" w14:textId="77777777">
            <w:pPr>
              <w:widowControl/>
              <w:jc w:val="right"/>
              <w:rPr>
                <w:bCs/>
                <w:sz w:val="22"/>
                <w:szCs w:val="22"/>
              </w:rPr>
            </w:pPr>
            <w:r w:rsidRPr="00BE10C5">
              <w:rPr>
                <w:bCs/>
                <w:sz w:val="22"/>
                <w:szCs w:val="22"/>
              </w:rPr>
              <w:t>0</w:t>
            </w:r>
          </w:p>
        </w:tc>
        <w:tc>
          <w:tcPr>
            <w:tcW w:w="1103" w:type="dxa"/>
            <w:shd w:val="clear" w:color="auto" w:fill="auto"/>
          </w:tcPr>
          <w:p w:rsidRPr="00BE10C5" w:rsidR="00906E60" w:rsidP="00D4226C" w:rsidRDefault="008A1394" w14:paraId="4520254E" w14:textId="77777777">
            <w:pPr>
              <w:widowControl/>
              <w:jc w:val="right"/>
              <w:rPr>
                <w:sz w:val="22"/>
                <w:szCs w:val="22"/>
              </w:rPr>
            </w:pPr>
            <w:r w:rsidRPr="00BE10C5">
              <w:rPr>
                <w:sz w:val="22"/>
                <w:szCs w:val="22"/>
              </w:rPr>
              <w:t>$0</w:t>
            </w:r>
          </w:p>
        </w:tc>
        <w:tc>
          <w:tcPr>
            <w:tcW w:w="1327" w:type="dxa"/>
          </w:tcPr>
          <w:p w:rsidRPr="00BE10C5" w:rsidR="00906E60" w:rsidP="00D24FEB" w:rsidRDefault="009E6DAF" w14:paraId="7D43F4A7" w14:textId="77777777">
            <w:pPr>
              <w:widowControl/>
              <w:jc w:val="right"/>
              <w:rPr>
                <w:sz w:val="22"/>
                <w:szCs w:val="22"/>
              </w:rPr>
            </w:pPr>
            <w:r w:rsidRPr="00BE10C5">
              <w:rPr>
                <w:sz w:val="22"/>
                <w:szCs w:val="22"/>
              </w:rPr>
              <w:t xml:space="preserve">          </w:t>
            </w:r>
            <w:r w:rsidRPr="00BE10C5" w:rsidR="008A1394">
              <w:rPr>
                <w:sz w:val="22"/>
                <w:szCs w:val="22"/>
              </w:rPr>
              <w:t>$0</w:t>
            </w:r>
          </w:p>
        </w:tc>
      </w:tr>
      <w:tr w:rsidRPr="00D24FEB" w:rsidR="00046BCB" w:rsidTr="00D032B2" w14:paraId="0E1911BC" w14:textId="77777777">
        <w:trPr>
          <w:trHeight w:val="332"/>
        </w:trPr>
        <w:tc>
          <w:tcPr>
            <w:tcW w:w="1620" w:type="dxa"/>
          </w:tcPr>
          <w:p w:rsidRPr="00BE10C5" w:rsidR="008A1394" w:rsidP="00D06816" w:rsidRDefault="008A1394" w14:paraId="2E49FFCB" w14:textId="77777777">
            <w:pPr>
              <w:rPr>
                <w:b/>
                <w:sz w:val="22"/>
                <w:szCs w:val="22"/>
              </w:rPr>
            </w:pPr>
            <w:r w:rsidRPr="00BE10C5">
              <w:rPr>
                <w:b/>
                <w:sz w:val="22"/>
                <w:szCs w:val="22"/>
              </w:rPr>
              <w:t>Hoists and Elevators</w:t>
            </w:r>
          </w:p>
        </w:tc>
        <w:tc>
          <w:tcPr>
            <w:tcW w:w="1440" w:type="dxa"/>
          </w:tcPr>
          <w:p w:rsidRPr="00BE10C5" w:rsidR="008A1394" w:rsidP="00D4226C" w:rsidRDefault="00BD74D4" w14:paraId="67E6E9B5" w14:textId="77777777">
            <w:pPr>
              <w:jc w:val="right"/>
              <w:rPr>
                <w:sz w:val="22"/>
                <w:szCs w:val="22"/>
              </w:rPr>
            </w:pPr>
            <w:r w:rsidRPr="00BE10C5">
              <w:rPr>
                <w:sz w:val="22"/>
                <w:szCs w:val="22"/>
              </w:rPr>
              <w:t>913</w:t>
            </w:r>
          </w:p>
        </w:tc>
        <w:tc>
          <w:tcPr>
            <w:tcW w:w="1440" w:type="dxa"/>
          </w:tcPr>
          <w:p w:rsidRPr="00BE10C5" w:rsidR="008A1394" w:rsidP="00046BCB" w:rsidRDefault="008A1394" w14:paraId="20A0B23A" w14:textId="77777777">
            <w:pPr>
              <w:jc w:val="right"/>
              <w:rPr>
                <w:sz w:val="22"/>
                <w:szCs w:val="22"/>
              </w:rPr>
            </w:pPr>
            <w:r w:rsidRPr="00BE10C5">
              <w:rPr>
                <w:sz w:val="22"/>
                <w:szCs w:val="22"/>
              </w:rPr>
              <w:t xml:space="preserve">1 </w:t>
            </w:r>
          </w:p>
        </w:tc>
        <w:tc>
          <w:tcPr>
            <w:tcW w:w="1530" w:type="dxa"/>
            <w:shd w:val="clear" w:color="auto" w:fill="auto"/>
          </w:tcPr>
          <w:p w:rsidRPr="00BE10C5" w:rsidR="008A1394" w:rsidRDefault="00BD74D4" w14:paraId="4FE21D02" w14:textId="77777777">
            <w:pPr>
              <w:widowControl/>
              <w:jc w:val="right"/>
              <w:rPr>
                <w:bCs/>
                <w:sz w:val="22"/>
                <w:szCs w:val="22"/>
              </w:rPr>
            </w:pPr>
            <w:r w:rsidRPr="00BE10C5">
              <w:rPr>
                <w:bCs/>
                <w:sz w:val="22"/>
                <w:szCs w:val="22"/>
              </w:rPr>
              <w:t>913</w:t>
            </w:r>
          </w:p>
        </w:tc>
        <w:tc>
          <w:tcPr>
            <w:tcW w:w="1260" w:type="dxa"/>
            <w:shd w:val="clear" w:color="auto" w:fill="auto"/>
          </w:tcPr>
          <w:p w:rsidRPr="00BE10C5" w:rsidR="008A1394" w:rsidP="00687E20" w:rsidRDefault="008A1394" w14:paraId="307FA993" w14:textId="77777777">
            <w:pPr>
              <w:widowControl/>
              <w:ind w:left="38" w:firstLine="90"/>
              <w:jc w:val="right"/>
              <w:rPr>
                <w:bCs/>
                <w:sz w:val="22"/>
                <w:szCs w:val="22"/>
              </w:rPr>
            </w:pPr>
            <w:r w:rsidRPr="00BE10C5">
              <w:rPr>
                <w:bCs/>
                <w:sz w:val="22"/>
                <w:szCs w:val="22"/>
              </w:rPr>
              <w:t xml:space="preserve">1 </w:t>
            </w:r>
          </w:p>
        </w:tc>
        <w:tc>
          <w:tcPr>
            <w:tcW w:w="1170" w:type="dxa"/>
            <w:shd w:val="clear" w:color="auto" w:fill="auto"/>
          </w:tcPr>
          <w:p w:rsidRPr="00BE10C5" w:rsidR="008A1394" w:rsidP="00D4226C" w:rsidRDefault="001413DF" w14:paraId="2C9929B2" w14:textId="77777777">
            <w:pPr>
              <w:widowControl/>
              <w:jc w:val="right"/>
              <w:rPr>
                <w:bCs/>
                <w:sz w:val="22"/>
                <w:szCs w:val="22"/>
              </w:rPr>
            </w:pPr>
            <w:r w:rsidRPr="00BE10C5">
              <w:rPr>
                <w:bCs/>
                <w:sz w:val="22"/>
                <w:szCs w:val="22"/>
              </w:rPr>
              <w:t>913</w:t>
            </w:r>
          </w:p>
        </w:tc>
        <w:tc>
          <w:tcPr>
            <w:tcW w:w="1103" w:type="dxa"/>
            <w:shd w:val="clear" w:color="auto" w:fill="auto"/>
          </w:tcPr>
          <w:p w:rsidRPr="00BE10C5" w:rsidR="008A1394" w:rsidP="00D4226C" w:rsidRDefault="008A1394" w14:paraId="0AE15B79" w14:textId="2B39607B">
            <w:pPr>
              <w:widowControl/>
              <w:jc w:val="right"/>
              <w:rPr>
                <w:sz w:val="22"/>
                <w:szCs w:val="22"/>
              </w:rPr>
            </w:pPr>
            <w:r w:rsidRPr="00BE10C5">
              <w:rPr>
                <w:sz w:val="22"/>
                <w:szCs w:val="22"/>
              </w:rPr>
              <w:t>$</w:t>
            </w:r>
            <w:r w:rsidRPr="00BE10C5" w:rsidR="001413DF">
              <w:rPr>
                <w:sz w:val="22"/>
                <w:szCs w:val="22"/>
              </w:rPr>
              <w:t>28.</w:t>
            </w:r>
            <w:r w:rsidR="00746EA1">
              <w:rPr>
                <w:sz w:val="22"/>
                <w:szCs w:val="22"/>
              </w:rPr>
              <w:t>66</w:t>
            </w:r>
          </w:p>
        </w:tc>
        <w:tc>
          <w:tcPr>
            <w:tcW w:w="1327" w:type="dxa"/>
          </w:tcPr>
          <w:p w:rsidRPr="00C52789" w:rsidR="00746EA1" w:rsidP="00746EA1" w:rsidRDefault="009E6DAF" w14:paraId="027E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E10C5">
              <w:rPr>
                <w:sz w:val="22"/>
                <w:szCs w:val="22"/>
              </w:rPr>
              <w:t xml:space="preserve">  </w:t>
            </w:r>
            <w:r w:rsidRPr="00BE10C5" w:rsidR="00E02BD6">
              <w:rPr>
                <w:sz w:val="22"/>
                <w:szCs w:val="22"/>
              </w:rPr>
              <w:t>$</w:t>
            </w:r>
            <w:r w:rsidR="00746EA1">
              <w:t>26,166.58</w:t>
            </w:r>
          </w:p>
          <w:p w:rsidRPr="00BE10C5" w:rsidR="008A1394" w:rsidP="00746EA1" w:rsidRDefault="00746EA1" w14:paraId="5892AD8E" w14:textId="3D9DDC73">
            <w:pPr>
              <w:widowControl/>
              <w:jc w:val="right"/>
              <w:rPr>
                <w:sz w:val="22"/>
                <w:szCs w:val="22"/>
              </w:rPr>
            </w:pPr>
            <w:r w:rsidRPr="00BE10C5" w:rsidDel="00746EA1">
              <w:rPr>
                <w:sz w:val="22"/>
                <w:szCs w:val="22"/>
              </w:rPr>
              <w:t xml:space="preserve"> </w:t>
            </w:r>
          </w:p>
        </w:tc>
      </w:tr>
      <w:tr w:rsidRPr="00D24FEB" w:rsidR="00046BCB" w:rsidTr="00D032B2" w14:paraId="0CE7194D" w14:textId="77777777">
        <w:trPr>
          <w:trHeight w:val="548"/>
        </w:trPr>
        <w:tc>
          <w:tcPr>
            <w:tcW w:w="1620" w:type="dxa"/>
          </w:tcPr>
          <w:p w:rsidRPr="00BE10C5" w:rsidR="008A1394" w:rsidP="00D06816" w:rsidRDefault="008A1394" w14:paraId="72CA080D" w14:textId="77777777">
            <w:pPr>
              <w:rPr>
                <w:b/>
                <w:sz w:val="22"/>
                <w:szCs w:val="22"/>
              </w:rPr>
            </w:pPr>
            <w:r w:rsidRPr="00BE10C5">
              <w:rPr>
                <w:b/>
                <w:sz w:val="22"/>
                <w:szCs w:val="22"/>
              </w:rPr>
              <w:t>B) Inspection Test, and Records Certification Requirements</w:t>
            </w:r>
          </w:p>
        </w:tc>
        <w:tc>
          <w:tcPr>
            <w:tcW w:w="1440" w:type="dxa"/>
          </w:tcPr>
          <w:p w:rsidR="003C5A57" w:rsidP="00D4226C" w:rsidRDefault="003C5A57" w14:paraId="4BA3C1C0" w14:textId="77777777">
            <w:pPr>
              <w:jc w:val="right"/>
              <w:rPr>
                <w:sz w:val="22"/>
                <w:szCs w:val="22"/>
              </w:rPr>
            </w:pPr>
            <w:r w:rsidRPr="00BE10C5">
              <w:rPr>
                <w:sz w:val="22"/>
                <w:szCs w:val="22"/>
              </w:rPr>
              <w:t>8,304</w:t>
            </w:r>
          </w:p>
          <w:p w:rsidRPr="00BE10C5" w:rsidR="00687E20" w:rsidP="00D4226C" w:rsidRDefault="00687E20" w14:paraId="644CB34C" w14:textId="77777777">
            <w:pPr>
              <w:jc w:val="right"/>
              <w:rPr>
                <w:sz w:val="22"/>
                <w:szCs w:val="22"/>
              </w:rPr>
            </w:pPr>
            <w:r>
              <w:rPr>
                <w:sz w:val="22"/>
                <w:szCs w:val="22"/>
              </w:rPr>
              <w:t>(</w:t>
            </w:r>
            <w:r w:rsidRPr="00687E20">
              <w:rPr>
                <w:sz w:val="22"/>
                <w:szCs w:val="22"/>
              </w:rPr>
              <w:t>8,304 x .10</w:t>
            </w:r>
            <w:r>
              <w:rPr>
                <w:sz w:val="22"/>
                <w:szCs w:val="22"/>
              </w:rPr>
              <w:t>)</w:t>
            </w:r>
          </w:p>
        </w:tc>
        <w:tc>
          <w:tcPr>
            <w:tcW w:w="1440" w:type="dxa"/>
          </w:tcPr>
          <w:p w:rsidRPr="00BE10C5" w:rsidR="008A1394" w:rsidP="00D4226C" w:rsidRDefault="008A1394" w14:paraId="6D874E90" w14:textId="77777777">
            <w:pPr>
              <w:jc w:val="right"/>
              <w:rPr>
                <w:sz w:val="22"/>
                <w:szCs w:val="22"/>
              </w:rPr>
            </w:pPr>
            <w:r w:rsidRPr="00BE10C5">
              <w:rPr>
                <w:sz w:val="22"/>
                <w:szCs w:val="22"/>
              </w:rPr>
              <w:t xml:space="preserve">4 </w:t>
            </w:r>
          </w:p>
          <w:p w:rsidRPr="00BE10C5" w:rsidR="00D97407" w:rsidP="00687E20" w:rsidRDefault="00D97407" w14:paraId="7ADDCFFD" w14:textId="77777777">
            <w:pPr>
              <w:jc w:val="right"/>
              <w:rPr>
                <w:sz w:val="22"/>
                <w:szCs w:val="22"/>
              </w:rPr>
            </w:pPr>
            <w:r w:rsidRPr="00BE10C5">
              <w:rPr>
                <w:sz w:val="22"/>
                <w:szCs w:val="22"/>
              </w:rPr>
              <w:t xml:space="preserve">4 </w:t>
            </w:r>
          </w:p>
        </w:tc>
        <w:tc>
          <w:tcPr>
            <w:tcW w:w="1530" w:type="dxa"/>
            <w:shd w:val="clear" w:color="auto" w:fill="auto"/>
          </w:tcPr>
          <w:p w:rsidRPr="00BE10C5" w:rsidR="008A1394" w:rsidP="00046BCB" w:rsidRDefault="001413DF" w14:paraId="2A81097C" w14:textId="77777777">
            <w:pPr>
              <w:widowControl/>
              <w:jc w:val="right"/>
              <w:rPr>
                <w:bCs/>
                <w:sz w:val="22"/>
                <w:szCs w:val="22"/>
              </w:rPr>
            </w:pPr>
            <w:r w:rsidRPr="00BE10C5">
              <w:rPr>
                <w:bCs/>
                <w:sz w:val="22"/>
                <w:szCs w:val="22"/>
              </w:rPr>
              <w:t>33,216</w:t>
            </w:r>
          </w:p>
          <w:p w:rsidRPr="00BE10C5" w:rsidR="00D97407" w:rsidP="00BE10C5" w:rsidRDefault="00BD74D4" w14:paraId="3355952B" w14:textId="77777777">
            <w:pPr>
              <w:widowControl/>
              <w:jc w:val="right"/>
              <w:rPr>
                <w:bCs/>
                <w:sz w:val="22"/>
                <w:szCs w:val="22"/>
              </w:rPr>
            </w:pPr>
            <w:r w:rsidRPr="00BE10C5">
              <w:rPr>
                <w:bCs/>
                <w:sz w:val="22"/>
                <w:szCs w:val="22"/>
              </w:rPr>
              <w:t>3,322</w:t>
            </w:r>
          </w:p>
        </w:tc>
        <w:tc>
          <w:tcPr>
            <w:tcW w:w="1260" w:type="dxa"/>
            <w:shd w:val="clear" w:color="auto" w:fill="auto"/>
          </w:tcPr>
          <w:p w:rsidRPr="00BE10C5" w:rsidR="008A1394" w:rsidP="00D4226C" w:rsidRDefault="00687E20" w14:paraId="75485228" w14:textId="6C1EFA33">
            <w:pPr>
              <w:widowControl/>
              <w:ind w:left="38" w:firstLine="90"/>
              <w:jc w:val="right"/>
              <w:rPr>
                <w:bCs/>
                <w:sz w:val="22"/>
                <w:szCs w:val="22"/>
              </w:rPr>
            </w:pPr>
            <w:r>
              <w:rPr>
                <w:bCs/>
                <w:sz w:val="22"/>
                <w:szCs w:val="22"/>
              </w:rPr>
              <w:t>15</w:t>
            </w:r>
            <w:r w:rsidR="00FA4313">
              <w:rPr>
                <w:bCs/>
                <w:sz w:val="22"/>
                <w:szCs w:val="22"/>
              </w:rPr>
              <w:t>/</w:t>
            </w:r>
            <w:r>
              <w:rPr>
                <w:bCs/>
                <w:sz w:val="22"/>
                <w:szCs w:val="22"/>
              </w:rPr>
              <w:t>60</w:t>
            </w:r>
          </w:p>
          <w:p w:rsidRPr="00BE10C5" w:rsidR="00D97407" w:rsidP="00046BCB" w:rsidRDefault="00687E20" w14:paraId="7284C9EE" w14:textId="77777777">
            <w:pPr>
              <w:widowControl/>
              <w:ind w:left="38" w:firstLine="90"/>
              <w:jc w:val="right"/>
              <w:rPr>
                <w:bCs/>
                <w:sz w:val="22"/>
                <w:szCs w:val="22"/>
              </w:rPr>
            </w:pPr>
            <w:r>
              <w:rPr>
                <w:bCs/>
                <w:sz w:val="22"/>
                <w:szCs w:val="22"/>
              </w:rPr>
              <w:t>15/6</w:t>
            </w:r>
            <w:r w:rsidR="00046BCB">
              <w:rPr>
                <w:bCs/>
                <w:sz w:val="22"/>
                <w:szCs w:val="22"/>
              </w:rPr>
              <w:t>0</w:t>
            </w:r>
          </w:p>
        </w:tc>
        <w:tc>
          <w:tcPr>
            <w:tcW w:w="1170" w:type="dxa"/>
            <w:shd w:val="clear" w:color="auto" w:fill="auto"/>
          </w:tcPr>
          <w:p w:rsidRPr="00BE10C5" w:rsidR="008A1394" w:rsidP="00D4226C" w:rsidRDefault="001413DF" w14:paraId="6B43A3F9" w14:textId="77777777">
            <w:pPr>
              <w:widowControl/>
              <w:jc w:val="right"/>
              <w:rPr>
                <w:bCs/>
                <w:sz w:val="22"/>
                <w:szCs w:val="22"/>
              </w:rPr>
            </w:pPr>
            <w:r w:rsidRPr="00BE10C5">
              <w:rPr>
                <w:bCs/>
                <w:sz w:val="22"/>
                <w:szCs w:val="22"/>
              </w:rPr>
              <w:t>8,304</w:t>
            </w:r>
          </w:p>
          <w:p w:rsidRPr="00BE10C5" w:rsidR="00D97407" w:rsidP="00D4226C" w:rsidRDefault="00BD74D4" w14:paraId="1CF672AF" w14:textId="77777777">
            <w:pPr>
              <w:widowControl/>
              <w:jc w:val="right"/>
              <w:rPr>
                <w:bCs/>
                <w:sz w:val="22"/>
                <w:szCs w:val="22"/>
              </w:rPr>
            </w:pPr>
            <w:r w:rsidRPr="00BE10C5">
              <w:rPr>
                <w:bCs/>
                <w:sz w:val="22"/>
                <w:szCs w:val="22"/>
              </w:rPr>
              <w:t>830</w:t>
            </w:r>
          </w:p>
        </w:tc>
        <w:tc>
          <w:tcPr>
            <w:tcW w:w="1103" w:type="dxa"/>
            <w:shd w:val="clear" w:color="auto" w:fill="auto"/>
          </w:tcPr>
          <w:p w:rsidRPr="00BE10C5" w:rsidR="008A1394" w:rsidP="00D4226C" w:rsidRDefault="008A1394" w14:paraId="359A545A" w14:textId="7B715FE0">
            <w:pPr>
              <w:widowControl/>
              <w:jc w:val="right"/>
              <w:rPr>
                <w:sz w:val="22"/>
                <w:szCs w:val="22"/>
              </w:rPr>
            </w:pPr>
            <w:r w:rsidRPr="00BE10C5">
              <w:rPr>
                <w:sz w:val="22"/>
                <w:szCs w:val="22"/>
              </w:rPr>
              <w:t>$</w:t>
            </w:r>
            <w:r w:rsidRPr="00BE10C5" w:rsidR="001413DF">
              <w:rPr>
                <w:sz w:val="22"/>
                <w:szCs w:val="22"/>
              </w:rPr>
              <w:t>28.</w:t>
            </w:r>
            <w:r w:rsidR="00746EA1">
              <w:rPr>
                <w:sz w:val="22"/>
                <w:szCs w:val="22"/>
              </w:rPr>
              <w:t>66</w:t>
            </w:r>
          </w:p>
          <w:p w:rsidRPr="00BE10C5" w:rsidR="00D97407" w:rsidP="00D4226C" w:rsidRDefault="00D97407" w14:paraId="7CA2E40C" w14:textId="61396BDC">
            <w:pPr>
              <w:widowControl/>
              <w:jc w:val="right"/>
              <w:rPr>
                <w:bCs/>
                <w:sz w:val="22"/>
                <w:szCs w:val="22"/>
              </w:rPr>
            </w:pPr>
            <w:r w:rsidRPr="00BE10C5">
              <w:rPr>
                <w:bCs/>
                <w:sz w:val="22"/>
                <w:szCs w:val="22"/>
              </w:rPr>
              <w:t>$</w:t>
            </w:r>
            <w:r w:rsidRPr="00BE10C5" w:rsidR="001413DF">
              <w:rPr>
                <w:bCs/>
                <w:sz w:val="22"/>
                <w:szCs w:val="22"/>
              </w:rPr>
              <w:t>28.</w:t>
            </w:r>
            <w:r w:rsidR="00746EA1">
              <w:rPr>
                <w:bCs/>
                <w:sz w:val="22"/>
                <w:szCs w:val="22"/>
              </w:rPr>
              <w:t>66</w:t>
            </w:r>
          </w:p>
        </w:tc>
        <w:tc>
          <w:tcPr>
            <w:tcW w:w="1327" w:type="dxa"/>
          </w:tcPr>
          <w:p w:rsidRPr="00BE10C5" w:rsidR="00D97407" w:rsidP="00D24FEB" w:rsidRDefault="004263EF" w14:paraId="10139B05" w14:textId="72EBCB0F">
            <w:pPr>
              <w:widowControl/>
              <w:jc w:val="right"/>
              <w:rPr>
                <w:bCs/>
                <w:sz w:val="22"/>
                <w:szCs w:val="22"/>
              </w:rPr>
            </w:pPr>
            <w:r w:rsidRPr="00BE10C5">
              <w:rPr>
                <w:bCs/>
                <w:sz w:val="22"/>
                <w:szCs w:val="22"/>
              </w:rPr>
              <w:t>$</w:t>
            </w:r>
            <w:r w:rsidRPr="00BE10C5" w:rsidR="001413DF">
              <w:rPr>
                <w:sz w:val="22"/>
                <w:szCs w:val="22"/>
              </w:rPr>
              <w:t>237,</w:t>
            </w:r>
            <w:r w:rsidR="00746EA1">
              <w:rPr>
                <w:sz w:val="22"/>
                <w:szCs w:val="22"/>
              </w:rPr>
              <w:t>992.64</w:t>
            </w:r>
          </w:p>
          <w:p w:rsidRPr="00BE10C5" w:rsidR="001413DF" w:rsidP="00BE10C5" w:rsidRDefault="00D97407" w14:paraId="5B2ECFA1" w14:textId="756A7CAD">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s>
              <w:jc w:val="right"/>
              <w:rPr>
                <w:sz w:val="22"/>
                <w:szCs w:val="22"/>
              </w:rPr>
            </w:pPr>
            <w:r w:rsidRPr="00BE10C5">
              <w:rPr>
                <w:bCs/>
                <w:sz w:val="22"/>
                <w:szCs w:val="22"/>
              </w:rPr>
              <w:t>$</w:t>
            </w:r>
            <w:r w:rsidRPr="00BE10C5" w:rsidR="001413DF">
              <w:rPr>
                <w:sz w:val="22"/>
                <w:szCs w:val="22"/>
              </w:rPr>
              <w:t>23</w:t>
            </w:r>
            <w:r w:rsidR="00746EA1">
              <w:rPr>
                <w:sz w:val="22"/>
                <w:szCs w:val="22"/>
              </w:rPr>
              <w:t>787.80</w:t>
            </w:r>
          </w:p>
          <w:p w:rsidRPr="00BE10C5" w:rsidR="00D97407" w:rsidP="00D032B2" w:rsidRDefault="00D97407" w14:paraId="2DE031E6" w14:textId="77777777">
            <w:pPr>
              <w:widowControl/>
              <w:jc w:val="center"/>
              <w:rPr>
                <w:bCs/>
                <w:sz w:val="22"/>
                <w:szCs w:val="22"/>
              </w:rPr>
            </w:pPr>
          </w:p>
        </w:tc>
      </w:tr>
      <w:tr w:rsidRPr="00D24FEB" w:rsidR="00046BCB" w:rsidTr="00D032B2" w14:paraId="45B8D3AA" w14:textId="77777777">
        <w:trPr>
          <w:trHeight w:val="548"/>
        </w:trPr>
        <w:tc>
          <w:tcPr>
            <w:tcW w:w="1620" w:type="dxa"/>
          </w:tcPr>
          <w:p w:rsidRPr="00BE10C5" w:rsidR="0058706F" w:rsidP="00D06816" w:rsidRDefault="0058706F" w14:paraId="18C26329" w14:textId="77777777">
            <w:pPr>
              <w:rPr>
                <w:b/>
                <w:strike/>
                <w:sz w:val="22"/>
                <w:szCs w:val="22"/>
              </w:rPr>
            </w:pPr>
            <w:r w:rsidRPr="00BE10C5">
              <w:rPr>
                <w:b/>
                <w:sz w:val="22"/>
                <w:szCs w:val="22"/>
              </w:rPr>
              <w:t>C) Disclosure of Tests and Inspection Certification Records</w:t>
            </w:r>
          </w:p>
        </w:tc>
        <w:tc>
          <w:tcPr>
            <w:tcW w:w="1440" w:type="dxa"/>
          </w:tcPr>
          <w:p w:rsidRPr="00BE10C5" w:rsidR="0058706F" w:rsidP="005570BE" w:rsidRDefault="00F050B1" w14:paraId="7462DA9B" w14:textId="77777777">
            <w:pPr>
              <w:jc w:val="right"/>
              <w:rPr>
                <w:sz w:val="22"/>
                <w:szCs w:val="22"/>
              </w:rPr>
            </w:pPr>
            <w:r>
              <w:rPr>
                <w:sz w:val="22"/>
                <w:szCs w:val="22"/>
              </w:rPr>
              <w:t>0</w:t>
            </w:r>
          </w:p>
        </w:tc>
        <w:tc>
          <w:tcPr>
            <w:tcW w:w="1440" w:type="dxa"/>
          </w:tcPr>
          <w:p w:rsidRPr="00BE10C5" w:rsidR="0058706F" w:rsidP="00D4226C" w:rsidRDefault="0058706F" w14:paraId="0F696DCA" w14:textId="77777777">
            <w:pPr>
              <w:jc w:val="right"/>
              <w:rPr>
                <w:sz w:val="22"/>
                <w:szCs w:val="22"/>
              </w:rPr>
            </w:pPr>
            <w:r w:rsidRPr="00BE10C5">
              <w:rPr>
                <w:sz w:val="22"/>
                <w:szCs w:val="22"/>
              </w:rPr>
              <w:t>0</w:t>
            </w:r>
          </w:p>
        </w:tc>
        <w:tc>
          <w:tcPr>
            <w:tcW w:w="1530" w:type="dxa"/>
            <w:shd w:val="clear" w:color="auto" w:fill="auto"/>
          </w:tcPr>
          <w:p w:rsidRPr="00BE10C5" w:rsidR="0058706F" w:rsidP="00D4226C" w:rsidRDefault="0058706F" w14:paraId="5AA58D10" w14:textId="77777777">
            <w:pPr>
              <w:widowControl/>
              <w:jc w:val="right"/>
              <w:rPr>
                <w:bCs/>
                <w:sz w:val="22"/>
                <w:szCs w:val="22"/>
              </w:rPr>
            </w:pPr>
            <w:r w:rsidRPr="00BE10C5">
              <w:rPr>
                <w:bCs/>
                <w:sz w:val="22"/>
                <w:szCs w:val="22"/>
              </w:rPr>
              <w:t>0</w:t>
            </w:r>
            <w:r w:rsidRPr="00BE10C5" w:rsidR="008B7D43">
              <w:rPr>
                <w:bCs/>
                <w:sz w:val="22"/>
                <w:szCs w:val="22"/>
              </w:rPr>
              <w:t xml:space="preserve"> </w:t>
            </w:r>
          </w:p>
        </w:tc>
        <w:tc>
          <w:tcPr>
            <w:tcW w:w="1260" w:type="dxa"/>
            <w:shd w:val="clear" w:color="auto" w:fill="auto"/>
          </w:tcPr>
          <w:p w:rsidRPr="00BE10C5" w:rsidR="0058706F" w:rsidP="00D4226C" w:rsidRDefault="0058706F" w14:paraId="1C217EE0" w14:textId="77777777">
            <w:pPr>
              <w:jc w:val="right"/>
              <w:rPr>
                <w:sz w:val="22"/>
                <w:szCs w:val="22"/>
              </w:rPr>
            </w:pPr>
            <w:r w:rsidRPr="00BE10C5">
              <w:rPr>
                <w:sz w:val="22"/>
                <w:szCs w:val="22"/>
              </w:rPr>
              <w:t>0</w:t>
            </w:r>
          </w:p>
        </w:tc>
        <w:tc>
          <w:tcPr>
            <w:tcW w:w="1170" w:type="dxa"/>
            <w:shd w:val="clear" w:color="auto" w:fill="auto"/>
          </w:tcPr>
          <w:p w:rsidRPr="00BE10C5" w:rsidR="0058706F" w:rsidP="00745B03" w:rsidRDefault="00745B03" w14:paraId="4C0D059B" w14:textId="77777777">
            <w:pPr>
              <w:widowControl/>
              <w:jc w:val="right"/>
              <w:rPr>
                <w:bCs/>
                <w:sz w:val="22"/>
                <w:szCs w:val="22"/>
              </w:rPr>
            </w:pPr>
            <w:r w:rsidRPr="00BE10C5">
              <w:rPr>
                <w:bCs/>
                <w:sz w:val="22"/>
                <w:szCs w:val="22"/>
              </w:rPr>
              <w:t>0</w:t>
            </w:r>
          </w:p>
        </w:tc>
        <w:tc>
          <w:tcPr>
            <w:tcW w:w="1103" w:type="dxa"/>
            <w:shd w:val="clear" w:color="auto" w:fill="auto"/>
          </w:tcPr>
          <w:p w:rsidRPr="00BE10C5" w:rsidR="0058706F" w:rsidP="00D4226C" w:rsidRDefault="0058706F" w14:paraId="2A9CE7EC" w14:textId="77777777">
            <w:pPr>
              <w:widowControl/>
              <w:jc w:val="right"/>
              <w:rPr>
                <w:bCs/>
                <w:sz w:val="22"/>
                <w:szCs w:val="22"/>
              </w:rPr>
            </w:pPr>
            <w:r w:rsidRPr="00BE10C5">
              <w:rPr>
                <w:bCs/>
                <w:sz w:val="22"/>
                <w:szCs w:val="22"/>
              </w:rPr>
              <w:t>$0</w:t>
            </w:r>
          </w:p>
        </w:tc>
        <w:tc>
          <w:tcPr>
            <w:tcW w:w="1327" w:type="dxa"/>
          </w:tcPr>
          <w:p w:rsidRPr="00BE10C5" w:rsidR="0058706F" w:rsidP="00D24FEB" w:rsidRDefault="009E6DAF" w14:paraId="607A0FB1" w14:textId="77777777">
            <w:pPr>
              <w:widowControl/>
              <w:jc w:val="right"/>
              <w:rPr>
                <w:sz w:val="22"/>
                <w:szCs w:val="22"/>
              </w:rPr>
            </w:pPr>
            <w:r w:rsidRPr="00BE10C5">
              <w:rPr>
                <w:sz w:val="22"/>
                <w:szCs w:val="22"/>
              </w:rPr>
              <w:t xml:space="preserve">         </w:t>
            </w:r>
            <w:r w:rsidRPr="00BE10C5" w:rsidR="0058706F">
              <w:rPr>
                <w:sz w:val="22"/>
                <w:szCs w:val="22"/>
              </w:rPr>
              <w:t>$0</w:t>
            </w:r>
          </w:p>
        </w:tc>
      </w:tr>
      <w:tr w:rsidRPr="00D24FEB" w:rsidR="00046BCB" w:rsidTr="00D032B2" w14:paraId="6695B4DC" w14:textId="77777777">
        <w:trPr>
          <w:trHeight w:val="251"/>
        </w:trPr>
        <w:tc>
          <w:tcPr>
            <w:tcW w:w="1620" w:type="dxa"/>
          </w:tcPr>
          <w:p w:rsidRPr="00BE10C5" w:rsidR="0058706F" w:rsidP="00D06816" w:rsidRDefault="0058706F" w14:paraId="5E9CFCD8" w14:textId="77777777">
            <w:pPr>
              <w:rPr>
                <w:b/>
                <w:sz w:val="22"/>
                <w:szCs w:val="22"/>
              </w:rPr>
            </w:pPr>
            <w:r w:rsidRPr="00BE10C5">
              <w:rPr>
                <w:b/>
                <w:sz w:val="22"/>
                <w:szCs w:val="22"/>
              </w:rPr>
              <w:t>TOTAL</w:t>
            </w:r>
          </w:p>
        </w:tc>
        <w:tc>
          <w:tcPr>
            <w:tcW w:w="1440" w:type="dxa"/>
          </w:tcPr>
          <w:p w:rsidRPr="00BE10C5" w:rsidR="0058706F" w:rsidP="00D4226C" w:rsidRDefault="0058706F" w14:paraId="479CCD60" w14:textId="77777777">
            <w:pPr>
              <w:jc w:val="right"/>
              <w:rPr>
                <w:sz w:val="22"/>
                <w:szCs w:val="22"/>
              </w:rPr>
            </w:pPr>
          </w:p>
        </w:tc>
        <w:tc>
          <w:tcPr>
            <w:tcW w:w="1440" w:type="dxa"/>
          </w:tcPr>
          <w:p w:rsidRPr="00BE10C5" w:rsidR="0058706F" w:rsidP="00D4226C" w:rsidRDefault="0058706F" w14:paraId="657FACB8" w14:textId="77777777">
            <w:pPr>
              <w:jc w:val="right"/>
              <w:rPr>
                <w:b/>
                <w:sz w:val="22"/>
                <w:szCs w:val="22"/>
              </w:rPr>
            </w:pPr>
          </w:p>
        </w:tc>
        <w:tc>
          <w:tcPr>
            <w:tcW w:w="1530" w:type="dxa"/>
            <w:shd w:val="clear" w:color="auto" w:fill="auto"/>
          </w:tcPr>
          <w:p w:rsidRPr="00BE10C5" w:rsidR="0058706F" w:rsidP="00C52789" w:rsidRDefault="00BD74D4" w14:paraId="6E120EAB" w14:textId="77777777">
            <w:pPr>
              <w:widowControl/>
              <w:jc w:val="center"/>
              <w:rPr>
                <w:b/>
                <w:bCs/>
                <w:sz w:val="22"/>
                <w:szCs w:val="22"/>
              </w:rPr>
            </w:pPr>
            <w:r w:rsidRPr="00BE10C5">
              <w:rPr>
                <w:b/>
                <w:bCs/>
                <w:sz w:val="22"/>
                <w:szCs w:val="22"/>
              </w:rPr>
              <w:t>37,451</w:t>
            </w:r>
          </w:p>
        </w:tc>
        <w:tc>
          <w:tcPr>
            <w:tcW w:w="1260" w:type="dxa"/>
            <w:shd w:val="clear" w:color="auto" w:fill="auto"/>
          </w:tcPr>
          <w:p w:rsidRPr="00BE10C5" w:rsidR="0058706F" w:rsidP="00D4226C" w:rsidRDefault="0058706F" w14:paraId="45C9B1AE" w14:textId="77777777">
            <w:pPr>
              <w:jc w:val="right"/>
              <w:rPr>
                <w:b/>
                <w:sz w:val="22"/>
                <w:szCs w:val="22"/>
              </w:rPr>
            </w:pPr>
          </w:p>
        </w:tc>
        <w:tc>
          <w:tcPr>
            <w:tcW w:w="1170" w:type="dxa"/>
            <w:shd w:val="clear" w:color="auto" w:fill="auto"/>
          </w:tcPr>
          <w:p w:rsidRPr="00BE10C5" w:rsidR="0058706F" w:rsidP="00BE10C5" w:rsidRDefault="00BD74D4" w14:paraId="65B227EA" w14:textId="77777777">
            <w:pPr>
              <w:widowControl/>
              <w:jc w:val="right"/>
              <w:rPr>
                <w:b/>
                <w:bCs/>
                <w:sz w:val="22"/>
                <w:szCs w:val="22"/>
              </w:rPr>
            </w:pPr>
            <w:r w:rsidRPr="00BE10C5">
              <w:rPr>
                <w:b/>
                <w:bCs/>
                <w:sz w:val="22"/>
                <w:szCs w:val="22"/>
              </w:rPr>
              <w:t>10</w:t>
            </w:r>
            <w:r w:rsidRPr="00BE10C5" w:rsidR="0011617E">
              <w:rPr>
                <w:b/>
                <w:bCs/>
                <w:sz w:val="22"/>
                <w:szCs w:val="22"/>
              </w:rPr>
              <w:t>,047</w:t>
            </w:r>
          </w:p>
        </w:tc>
        <w:tc>
          <w:tcPr>
            <w:tcW w:w="1103" w:type="dxa"/>
            <w:shd w:val="clear" w:color="auto" w:fill="auto"/>
          </w:tcPr>
          <w:p w:rsidRPr="00BE10C5" w:rsidR="0058706F" w:rsidP="00D4226C" w:rsidRDefault="0058706F" w14:paraId="7EB235B0" w14:textId="77777777">
            <w:pPr>
              <w:widowControl/>
              <w:jc w:val="right"/>
              <w:rPr>
                <w:b/>
                <w:bCs/>
                <w:sz w:val="22"/>
                <w:szCs w:val="22"/>
              </w:rPr>
            </w:pPr>
          </w:p>
        </w:tc>
        <w:tc>
          <w:tcPr>
            <w:tcW w:w="1327" w:type="dxa"/>
          </w:tcPr>
          <w:p w:rsidRPr="00BE10C5" w:rsidR="0058706F" w:rsidP="00D24FEB" w:rsidRDefault="00344FF1" w14:paraId="15C2A08B" w14:textId="113DDE74">
            <w:pPr>
              <w:widowControl/>
              <w:jc w:val="right"/>
              <w:rPr>
                <w:b/>
                <w:sz w:val="22"/>
                <w:szCs w:val="22"/>
              </w:rPr>
            </w:pPr>
            <w:r w:rsidRPr="00BE10C5">
              <w:rPr>
                <w:b/>
                <w:sz w:val="22"/>
                <w:szCs w:val="22"/>
              </w:rPr>
              <w:t>$</w:t>
            </w:r>
            <w:r w:rsidR="00FA3028">
              <w:rPr>
                <w:b/>
                <w:sz w:val="22"/>
                <w:szCs w:val="22"/>
              </w:rPr>
              <w:t>287,947.02</w:t>
            </w:r>
          </w:p>
        </w:tc>
      </w:tr>
    </w:tbl>
    <w:p w:rsidRPr="001413DF" w:rsidR="000E1D8F" w:rsidP="00C515D3" w:rsidRDefault="000E1D8F" w14:paraId="18483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52789" w:rsidR="00C515D3" w:rsidP="00C515D3" w:rsidRDefault="00C515D3" w14:paraId="256E6993" w14:textId="77777777">
      <w:pPr>
        <w:widowControl/>
        <w:tabs>
          <w:tab w:val="left" w:pos="-1080"/>
          <w:tab w:val="left" w:pos="-720"/>
          <w:tab w:val="left" w:pos="0"/>
          <w:tab w:val="left" w:pos="720"/>
          <w:tab w:val="left" w:pos="990"/>
          <w:tab w:val="left" w:pos="2160"/>
        </w:tabs>
      </w:pPr>
      <w:r w:rsidRPr="00C52789">
        <w:rPr>
          <w:b/>
          <w:bCs/>
        </w:rPr>
        <w:t>13.  Provide an estimate of the total annual cost burden to respondents or recordkeepers resulting from the collection of information.  (Do not include the cost of any hour burden shown in Items 12 and 14.)</w:t>
      </w:r>
    </w:p>
    <w:p w:rsidRPr="00C52789" w:rsidR="00C515D3" w:rsidP="00C515D3" w:rsidRDefault="00C515D3" w14:paraId="17D4EE58" w14:textId="77777777">
      <w:pPr>
        <w:widowControl/>
        <w:tabs>
          <w:tab w:val="left" w:pos="-1080"/>
          <w:tab w:val="left" w:pos="-720"/>
          <w:tab w:val="left" w:pos="0"/>
          <w:tab w:val="left" w:pos="720"/>
          <w:tab w:val="left" w:pos="990"/>
          <w:tab w:val="left" w:pos="2160"/>
        </w:tabs>
      </w:pPr>
    </w:p>
    <w:p w:rsidRPr="00C52789" w:rsidR="00593F02" w:rsidP="00593F02" w:rsidRDefault="00C515D3" w14:paraId="5EC85373" w14:textId="77777777">
      <w:pPr>
        <w:pStyle w:val="Level2"/>
        <w:widowControl/>
        <w:numPr>
          <w:ilvl w:val="0"/>
          <w:numId w:val="12"/>
        </w:numPr>
        <w:tabs>
          <w:tab w:val="left" w:pos="-1080"/>
          <w:tab w:val="left" w:pos="-720"/>
          <w:tab w:val="left" w:pos="0"/>
          <w:tab w:val="left" w:pos="90"/>
          <w:tab w:val="left" w:pos="720"/>
          <w:tab w:val="left" w:pos="990"/>
        </w:tabs>
        <w:ind w:hanging="1080"/>
        <w:rPr>
          <w:b/>
          <w:bCs/>
        </w:rPr>
      </w:pPr>
      <w:r w:rsidRPr="00C52789">
        <w:rPr>
          <w:b/>
          <w:bCs/>
        </w:rPr>
        <w:t>The cost estimate should be split into two components:  (a) a total capital and</w:t>
      </w:r>
    </w:p>
    <w:p w:rsidRPr="00C52789" w:rsidR="00C515D3" w:rsidP="00593F02" w:rsidRDefault="00C515D3" w14:paraId="4636466F" w14:textId="77777777">
      <w:pPr>
        <w:pStyle w:val="Level2"/>
        <w:widowControl/>
        <w:tabs>
          <w:tab w:val="left" w:pos="-1080"/>
          <w:tab w:val="left" w:pos="-720"/>
          <w:tab w:val="left" w:pos="0"/>
          <w:tab w:val="left" w:pos="90"/>
          <w:tab w:val="left" w:pos="720"/>
        </w:tabs>
        <w:ind w:left="720" w:firstLine="0"/>
        <w:rPr>
          <w:b/>
          <w:bCs/>
        </w:rPr>
      </w:pPr>
      <w:r w:rsidRPr="00C52789">
        <w:rPr>
          <w:b/>
          <w:bCs/>
        </w:rPr>
        <w:t>start-up cost component annualized over its expected useful life)</w:t>
      </w:r>
      <w:r w:rsidRPr="00C52789" w:rsidR="00593F02">
        <w:rPr>
          <w:b/>
          <w:bCs/>
        </w:rPr>
        <w:t xml:space="preserve">; and (b) a total operation and </w:t>
      </w:r>
      <w:r w:rsidRPr="00C52789">
        <w:rPr>
          <w:b/>
          <w:bCs/>
        </w:rPr>
        <w:t>maintenance and purchase of</w:t>
      </w:r>
      <w:r w:rsidRPr="00C52789" w:rsidR="00ED3937">
        <w:rPr>
          <w:b/>
          <w:bCs/>
        </w:rPr>
        <w:t xml:space="preserve"> </w:t>
      </w:r>
      <w:r w:rsidRPr="00C52789">
        <w:rPr>
          <w:b/>
          <w:bCs/>
        </w:rPr>
        <w:t>service component.  The estimates</w:t>
      </w:r>
      <w:r w:rsidRPr="00C52789" w:rsidR="00593F02">
        <w:rPr>
          <w:b/>
          <w:bCs/>
        </w:rPr>
        <w:t xml:space="preserve"> should take into account costs </w:t>
      </w:r>
      <w:r w:rsidRPr="00C52789">
        <w:rPr>
          <w:b/>
          <w:bCs/>
        </w:rPr>
        <w:t>associated with generating, maintaining,</w:t>
      </w:r>
      <w:r w:rsidRPr="00C52789" w:rsidR="00ED3937">
        <w:rPr>
          <w:b/>
          <w:bCs/>
        </w:rPr>
        <w:t xml:space="preserve"> </w:t>
      </w:r>
      <w:r w:rsidRPr="00C52789">
        <w:rPr>
          <w:b/>
          <w:bCs/>
        </w:rPr>
        <w:t>and disclosing or providing the information.  Include</w:t>
      </w:r>
      <w:r w:rsidRPr="00C52789" w:rsidR="00593F02">
        <w:rPr>
          <w:b/>
          <w:bCs/>
        </w:rPr>
        <w:t xml:space="preserve"> </w:t>
      </w:r>
      <w:r w:rsidRPr="00C52789">
        <w:rPr>
          <w:b/>
          <w:bCs/>
        </w:rPr>
        <w:t>descriptions of meth</w:t>
      </w:r>
      <w:r w:rsidRPr="00C52789" w:rsidR="00ED3937">
        <w:rPr>
          <w:b/>
          <w:bCs/>
        </w:rPr>
        <w:t xml:space="preserve">ods used to estimate major cost </w:t>
      </w:r>
      <w:r w:rsidRPr="00C52789">
        <w:rPr>
          <w:b/>
          <w:bCs/>
        </w:rPr>
        <w:t xml:space="preserve">factors including system and technology acquisition, expected useful life of </w:t>
      </w:r>
      <w:r w:rsidRPr="00C52789" w:rsidR="00D13370">
        <w:rPr>
          <w:b/>
          <w:bCs/>
        </w:rPr>
        <w:t xml:space="preserve">capital equipment, the discount </w:t>
      </w:r>
      <w:r w:rsidRPr="00C52789">
        <w:rPr>
          <w:b/>
          <w:bCs/>
        </w:rPr>
        <w:t>rate(s), and the time period over which costs will be incurred.  Capital and start-up costs include,</w:t>
      </w:r>
      <w:r w:rsidRPr="00C52789" w:rsidR="00ED3937">
        <w:rPr>
          <w:b/>
          <w:bCs/>
        </w:rPr>
        <w:t xml:space="preserve"> </w:t>
      </w:r>
      <w:r w:rsidRPr="00C52789">
        <w:rPr>
          <w:b/>
          <w:bCs/>
        </w:rPr>
        <w:t>among other items, preparations for collecting information such as purchasing computers and software; monitoring, sampling, drilling and testing equipment; and record storage facilities.</w:t>
      </w:r>
    </w:p>
    <w:p w:rsidRPr="00C52789" w:rsidR="00593F02" w:rsidP="00593F02" w:rsidRDefault="00593F02" w14:paraId="2B38DA21" w14:textId="77777777">
      <w:pPr>
        <w:pStyle w:val="Level1"/>
        <w:widowControl/>
        <w:tabs>
          <w:tab w:val="left" w:pos="-1080"/>
          <w:tab w:val="left" w:pos="-720"/>
          <w:tab w:val="left" w:pos="0"/>
          <w:tab w:val="left" w:pos="720"/>
          <w:tab w:val="left" w:pos="990"/>
          <w:tab w:val="left" w:pos="2160"/>
        </w:tabs>
        <w:ind w:left="0" w:firstLine="0"/>
        <w:rPr>
          <w:b/>
          <w:bCs/>
        </w:rPr>
      </w:pPr>
    </w:p>
    <w:p w:rsidR="00D24FEB" w:rsidP="00593F02" w:rsidRDefault="00D24FEB" w14:paraId="3F14FA9B" w14:textId="77777777">
      <w:pPr>
        <w:pStyle w:val="Level1"/>
        <w:widowControl/>
        <w:numPr>
          <w:ilvl w:val="0"/>
          <w:numId w:val="12"/>
        </w:numPr>
        <w:tabs>
          <w:tab w:val="left" w:pos="-1080"/>
          <w:tab w:val="left" w:pos="-720"/>
          <w:tab w:val="left" w:pos="0"/>
          <w:tab w:val="left" w:pos="720"/>
          <w:tab w:val="left" w:pos="990"/>
          <w:tab w:val="left" w:pos="2160"/>
        </w:tabs>
        <w:ind w:hanging="1080"/>
        <w:rPr>
          <w:b/>
          <w:bCs/>
        </w:rPr>
      </w:pPr>
      <w:r>
        <w:rPr>
          <w:b/>
          <w:bCs/>
        </w:rPr>
        <w:br w:type="page"/>
      </w:r>
      <w:r w:rsidRPr="00C52789" w:rsidR="00C515D3">
        <w:rPr>
          <w:b/>
          <w:bCs/>
        </w:rPr>
        <w:t>If cost estimates are expected to vary widely, agencies should present ranges of cost</w:t>
      </w:r>
    </w:p>
    <w:p w:rsidRPr="00C52789" w:rsidR="006D0B79" w:rsidP="00D24FEB" w:rsidRDefault="00D24FEB" w14:paraId="22DEE540" w14:textId="77777777">
      <w:pPr>
        <w:pStyle w:val="Level1"/>
        <w:widowControl/>
        <w:tabs>
          <w:tab w:val="left" w:pos="-1080"/>
          <w:tab w:val="left" w:pos="-720"/>
          <w:tab w:val="left" w:pos="0"/>
          <w:tab w:val="left" w:pos="720"/>
          <w:tab w:val="left" w:pos="990"/>
          <w:tab w:val="left" w:pos="2160"/>
        </w:tabs>
        <w:ind w:left="720" w:firstLine="0"/>
      </w:pPr>
      <w:r w:rsidRPr="00D24FEB">
        <w:rPr>
          <w:b/>
          <w:bCs/>
        </w:rPr>
        <w:t xml:space="preserve"> </w:t>
      </w:r>
      <w:r w:rsidRPr="00D24FEB" w:rsidR="00C515D3">
        <w:rPr>
          <w:b/>
          <w:bCs/>
        </w:rPr>
        <w:t>burdens</w:t>
      </w:r>
      <w:r w:rsidRPr="00D24FEB">
        <w:rPr>
          <w:b/>
          <w:bCs/>
        </w:rPr>
        <w:t xml:space="preserve"> </w:t>
      </w:r>
      <w:r w:rsidRPr="00D24FEB" w:rsidR="00C515D3">
        <w:rPr>
          <w:b/>
          <w:bCs/>
        </w:rPr>
        <w:t>and explain the reasons for the variance.  The cost of purchasing or contracting out</w:t>
      </w:r>
      <w:r w:rsidRPr="00D24FEB" w:rsidR="00593F02">
        <w:rPr>
          <w:b/>
          <w:bCs/>
        </w:rPr>
        <w:t xml:space="preserve"> </w:t>
      </w:r>
      <w:r w:rsidRPr="00D24FEB" w:rsidR="00C515D3">
        <w:rPr>
          <w:b/>
          <w:bCs/>
        </w:rPr>
        <w:t>information collection services should be a part of this cost burden estim</w:t>
      </w:r>
      <w:r w:rsidRPr="00D24FEB" w:rsidR="00ED3937">
        <w:rPr>
          <w:b/>
          <w:bCs/>
        </w:rPr>
        <w:t>ate.  In developing cost burden</w:t>
      </w:r>
      <w:r w:rsidRPr="00D24FEB" w:rsidR="00593F02">
        <w:rPr>
          <w:b/>
          <w:bCs/>
        </w:rPr>
        <w:t xml:space="preserve"> </w:t>
      </w:r>
      <w:r w:rsidRPr="00D24FEB" w:rsidR="00C515D3">
        <w:rPr>
          <w:b/>
          <w:bCs/>
        </w:rPr>
        <w:t>estimates, agencies may consult with a sample of respondent (fewer than 10), utilize the 60-day pre-OMB</w:t>
      </w:r>
      <w:r w:rsidRPr="00D24FEB" w:rsidR="00593F02">
        <w:rPr>
          <w:b/>
          <w:bCs/>
        </w:rPr>
        <w:t xml:space="preserve"> </w:t>
      </w:r>
      <w:r w:rsidRPr="00D24FEB" w:rsidR="00C515D3">
        <w:rPr>
          <w:b/>
          <w:bCs/>
        </w:rPr>
        <w:t>submission public comment process an</w:t>
      </w:r>
      <w:r w:rsidRPr="00C91CA3" w:rsidR="00C515D3">
        <w:rPr>
          <w:b/>
          <w:bCs/>
        </w:rPr>
        <w:t>d use existing economic or regulatory impact analysis associated with the rulemaking containing the information collection, as appropriate</w:t>
      </w:r>
      <w:r w:rsidRPr="00C52789" w:rsidR="00C515D3">
        <w:t>.</w:t>
      </w:r>
    </w:p>
    <w:p w:rsidRPr="00C52789" w:rsidR="00B2332F" w:rsidP="006D0B79" w:rsidRDefault="00B2332F" w14:paraId="5C0D9307" w14:textId="77777777">
      <w:pPr>
        <w:pStyle w:val="Level1"/>
        <w:widowControl/>
        <w:tabs>
          <w:tab w:val="left" w:pos="-1080"/>
          <w:tab w:val="left" w:pos="-720"/>
          <w:tab w:val="left" w:pos="0"/>
          <w:tab w:val="left" w:pos="720"/>
          <w:tab w:val="left" w:pos="990"/>
          <w:tab w:val="left" w:pos="2160"/>
        </w:tabs>
        <w:ind w:left="720" w:firstLine="0"/>
        <w:rPr>
          <w:b/>
          <w:bCs/>
        </w:rPr>
      </w:pPr>
    </w:p>
    <w:p w:rsidR="00D24FEB" w:rsidP="00BE10C5" w:rsidRDefault="00C515D3" w14:paraId="0FCE5806" w14:textId="77777777">
      <w:pPr>
        <w:pStyle w:val="Level1"/>
        <w:widowControl/>
        <w:numPr>
          <w:ilvl w:val="0"/>
          <w:numId w:val="12"/>
        </w:numPr>
        <w:tabs>
          <w:tab w:val="left" w:pos="-1080"/>
          <w:tab w:val="left" w:pos="-720"/>
          <w:tab w:val="left" w:pos="0"/>
          <w:tab w:val="left" w:pos="720"/>
          <w:tab w:val="left" w:pos="990"/>
          <w:tab w:val="left" w:pos="2160"/>
        </w:tabs>
        <w:ind w:left="1530" w:hanging="1080"/>
        <w:rPr>
          <w:b/>
          <w:bCs/>
        </w:rPr>
      </w:pPr>
      <w:r w:rsidRPr="00D24FEB">
        <w:rPr>
          <w:b/>
          <w:bCs/>
        </w:rPr>
        <w:t xml:space="preserve">Generally, estimates should not include purchases of equipment or services, or </w:t>
      </w:r>
    </w:p>
    <w:p w:rsidRPr="00C52789" w:rsidR="00D75665" w:rsidP="00BE10C5" w:rsidRDefault="00C515D3" w14:paraId="7A13A7E8" w14:textId="77777777">
      <w:pPr>
        <w:pStyle w:val="Level1"/>
        <w:widowControl/>
        <w:tabs>
          <w:tab w:val="left" w:pos="-1080"/>
          <w:tab w:val="left" w:pos="-720"/>
          <w:tab w:val="left" w:pos="0"/>
          <w:tab w:val="left" w:pos="720"/>
          <w:tab w:val="left" w:pos="990"/>
          <w:tab w:val="left" w:pos="2160"/>
        </w:tabs>
        <w:ind w:left="810" w:firstLine="0"/>
        <w:rPr>
          <w:b/>
          <w:bCs/>
        </w:rPr>
      </w:pPr>
      <w:r w:rsidRPr="00D24FEB">
        <w:rPr>
          <w:b/>
          <w:bCs/>
        </w:rPr>
        <w:t>portions thereof,</w:t>
      </w:r>
      <w:r w:rsidR="00C91CA3">
        <w:rPr>
          <w:b/>
          <w:bCs/>
        </w:rPr>
        <w:t xml:space="preserve"> </w:t>
      </w:r>
      <w:r w:rsidRPr="00C52789">
        <w:rPr>
          <w:b/>
          <w:bCs/>
        </w:rPr>
        <w:t>made:</w:t>
      </w:r>
    </w:p>
    <w:p w:rsidRPr="00C52789" w:rsidR="00C515D3" w:rsidP="00BC09E7" w:rsidRDefault="00816899" w14:paraId="5F1D654B" w14:textId="77777777">
      <w:pPr>
        <w:pStyle w:val="Level1"/>
        <w:widowControl/>
        <w:tabs>
          <w:tab w:val="left" w:pos="-1080"/>
          <w:tab w:val="left" w:pos="-720"/>
          <w:tab w:val="left" w:pos="0"/>
          <w:tab w:val="left" w:pos="720"/>
          <w:tab w:val="left" w:pos="990"/>
          <w:tab w:val="left" w:pos="2160"/>
        </w:tabs>
        <w:ind w:hanging="990"/>
        <w:rPr>
          <w:b/>
        </w:rPr>
      </w:pPr>
      <w:r w:rsidRPr="00C52789">
        <w:rPr>
          <w:b/>
          <w:bCs/>
        </w:rPr>
        <w:t xml:space="preserve">  </w:t>
      </w:r>
    </w:p>
    <w:p w:rsidRPr="00C52789" w:rsidR="00C515D3" w:rsidP="00C515D3" w:rsidRDefault="00C515D3" w14:paraId="05C3CB63" w14:textId="77777777">
      <w:pPr>
        <w:pStyle w:val="Level3"/>
        <w:widowControl/>
        <w:numPr>
          <w:ilvl w:val="2"/>
          <w:numId w:val="3"/>
        </w:numPr>
        <w:tabs>
          <w:tab w:val="left" w:pos="-1080"/>
          <w:tab w:val="left" w:pos="-720"/>
          <w:tab w:val="left" w:pos="0"/>
          <w:tab w:val="left" w:pos="720"/>
          <w:tab w:val="left" w:pos="990"/>
          <w:tab w:val="num" w:pos="1350"/>
          <w:tab w:val="left" w:pos="2880"/>
          <w:tab w:val="left" w:pos="3600"/>
          <w:tab w:val="left" w:pos="4320"/>
          <w:tab w:val="left" w:pos="5040"/>
          <w:tab w:val="left" w:pos="5760"/>
          <w:tab w:val="left" w:pos="6480"/>
          <w:tab w:val="left" w:pos="7200"/>
          <w:tab w:val="left" w:pos="7920"/>
          <w:tab w:val="left" w:pos="8640"/>
          <w:tab w:val="left" w:pos="9360"/>
        </w:tabs>
        <w:rPr>
          <w:b/>
        </w:rPr>
      </w:pPr>
      <w:r w:rsidRPr="00C52789">
        <w:rPr>
          <w:b/>
        </w:rPr>
        <w:t>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52789" w:rsidR="00C515D3" w:rsidP="00C515D3" w:rsidRDefault="00C515D3" w14:paraId="435E3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1413DF" w:rsidR="00C515D3" w:rsidP="00C515D3" w:rsidRDefault="00C515D3" w14:paraId="11C91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13DF">
        <w:t>Item 12 above provides the total cost of the information</w:t>
      </w:r>
      <w:r w:rsidRPr="001413DF" w:rsidR="0085294F">
        <w:t xml:space="preserve"> </w:t>
      </w:r>
      <w:r w:rsidRPr="001413DF">
        <w:t>collection requirements specified by the Standard.</w:t>
      </w:r>
    </w:p>
    <w:p w:rsidRPr="00C52789" w:rsidR="00C515D3" w:rsidP="00C515D3" w:rsidRDefault="00C515D3" w14:paraId="6A911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5C108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413DF" w:rsidR="00C515D3" w:rsidP="00C515D3" w:rsidRDefault="00C515D3" w14:paraId="0113D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650F7" w:rsidR="00C515D3" w:rsidP="002F75EC" w:rsidRDefault="00F60034" w14:paraId="71827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There</w:t>
      </w:r>
      <w:r w:rsidRPr="006650F7">
        <w:t xml:space="preserve"> is no cost to the Federal Government.</w:t>
      </w:r>
      <w:r w:rsidRPr="006650F7" w:rsidR="005373E6">
        <w:t xml:space="preserve">  </w:t>
      </w:r>
    </w:p>
    <w:p w:rsidRPr="006650F7" w:rsidR="002F75EC" w:rsidP="002F75EC" w:rsidRDefault="002F75EC" w14:paraId="35701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2F75EC" w:rsidP="002F75EC" w:rsidRDefault="002F75EC" w14:paraId="289BB4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rPr>
        <w:t>15. Explain the reasons for any program changes or adjustment reported in Items 13 or 14.</w:t>
      </w:r>
    </w:p>
    <w:p w:rsidRPr="001413DF" w:rsidR="002F75EC" w:rsidP="002F75EC" w:rsidRDefault="002F75EC" w14:paraId="7877E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A7A18" w:rsidP="00C515D3" w:rsidRDefault="007A7A18" w14:paraId="2B1C3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The Agency requests an</w:t>
      </w:r>
      <w:r w:rsidRPr="006650F7">
        <w:t xml:space="preserve"> adjustment </w:t>
      </w:r>
      <w:r w:rsidRPr="006650F7" w:rsidR="006B2EB1">
        <w:t>increase of</w:t>
      </w:r>
      <w:r w:rsidR="006650F7">
        <w:t xml:space="preserve"> 1,943 </w:t>
      </w:r>
      <w:r w:rsidR="00025BB3">
        <w:t>burden hours (</w:t>
      </w:r>
      <w:r w:rsidR="006650F7">
        <w:t>from</w:t>
      </w:r>
      <w:r w:rsidRPr="006650F7" w:rsidR="006B2EB1">
        <w:t xml:space="preserve"> </w:t>
      </w:r>
      <w:r w:rsidR="006650F7">
        <w:t>8,104</w:t>
      </w:r>
      <w:r w:rsidRPr="006650F7" w:rsidR="006B2EB1">
        <w:t xml:space="preserve"> hours to </w:t>
      </w:r>
      <w:r w:rsidR="006650F7">
        <w:t>10,047</w:t>
      </w:r>
      <w:r w:rsidRPr="006650F7" w:rsidR="006B2EB1">
        <w:t xml:space="preserve"> burden hours</w:t>
      </w:r>
      <w:r w:rsidR="00025BB3">
        <w:t>)</w:t>
      </w:r>
      <w:r w:rsidRPr="006650F7" w:rsidR="006B2EB1">
        <w:t xml:space="preserve">.  This adjustment is because of economic growth and measured additional non-residential construction which has resulted in more hoists and elevators in use. </w:t>
      </w:r>
      <w:r w:rsidR="00502FAD">
        <w:t>See Table 3.</w:t>
      </w:r>
      <w:r w:rsidRPr="006650F7" w:rsidR="006B2EB1">
        <w:t xml:space="preserve"> </w:t>
      </w:r>
    </w:p>
    <w:p w:rsidR="00502FAD" w:rsidP="00C515D3" w:rsidRDefault="00502FAD" w14:paraId="75683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032B2" w:rsidR="00502FAD" w:rsidP="00C515D3" w:rsidRDefault="00502FAD" w14:paraId="3A7DE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032B2">
        <w:rPr>
          <w:b/>
        </w:rPr>
        <w:t>Table 3 – Adjustment of the Current and Requested Burden Hours</w:t>
      </w:r>
    </w:p>
    <w:p w:rsidR="00502FAD" w:rsidP="00C515D3" w:rsidRDefault="00502FAD" w14:paraId="0B4E5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47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2070"/>
        <w:gridCol w:w="1530"/>
        <w:gridCol w:w="1463"/>
        <w:gridCol w:w="1507"/>
        <w:gridCol w:w="2903"/>
      </w:tblGrid>
      <w:tr w:rsidRPr="00C52789" w:rsidR="00502FAD" w:rsidTr="00D032B2" w14:paraId="142B0CF1" w14:textId="77777777">
        <w:trPr>
          <w:tblHeader/>
        </w:trPr>
        <w:tc>
          <w:tcPr>
            <w:tcW w:w="2070" w:type="dxa"/>
            <w:shd w:val="clear" w:color="auto" w:fill="C6D9F1"/>
          </w:tcPr>
          <w:p w:rsidRPr="00C52789" w:rsidR="00502FAD" w:rsidP="008C149A" w:rsidRDefault="00502FAD" w14:paraId="58651ABD" w14:textId="77777777">
            <w:pPr>
              <w:widowControl/>
              <w:jc w:val="center"/>
              <w:rPr>
                <w:b/>
              </w:rPr>
            </w:pPr>
            <w:r w:rsidRPr="00C52789">
              <w:rPr>
                <w:b/>
                <w:bCs/>
              </w:rPr>
              <w:t>Information Collection Requirement</w:t>
            </w:r>
          </w:p>
        </w:tc>
        <w:tc>
          <w:tcPr>
            <w:tcW w:w="1530" w:type="dxa"/>
            <w:shd w:val="clear" w:color="auto" w:fill="C6D9F1"/>
          </w:tcPr>
          <w:p w:rsidRPr="00C52789" w:rsidR="00502FAD" w:rsidP="008C149A" w:rsidRDefault="00502FAD" w14:paraId="39BFA372" w14:textId="77777777">
            <w:pPr>
              <w:widowControl/>
              <w:jc w:val="center"/>
              <w:rPr>
                <w:b/>
                <w:bCs/>
              </w:rPr>
            </w:pPr>
            <w:r w:rsidRPr="00C52789">
              <w:rPr>
                <w:b/>
                <w:bCs/>
              </w:rPr>
              <w:t>Current</w:t>
            </w:r>
          </w:p>
          <w:p w:rsidRPr="00C52789" w:rsidR="00502FAD" w:rsidP="008C149A" w:rsidRDefault="00502FAD" w14:paraId="07EE1DA4" w14:textId="77777777">
            <w:pPr>
              <w:widowControl/>
              <w:jc w:val="center"/>
              <w:rPr>
                <w:b/>
                <w:bCs/>
              </w:rPr>
            </w:pPr>
            <w:r w:rsidRPr="00C52789">
              <w:rPr>
                <w:b/>
                <w:bCs/>
              </w:rPr>
              <w:t xml:space="preserve"> Burden Hours</w:t>
            </w:r>
          </w:p>
        </w:tc>
        <w:tc>
          <w:tcPr>
            <w:tcW w:w="1463" w:type="dxa"/>
            <w:shd w:val="clear" w:color="auto" w:fill="C6D9F1"/>
          </w:tcPr>
          <w:p w:rsidRPr="00C52789" w:rsidR="00502FAD" w:rsidP="008C149A" w:rsidRDefault="00502FAD" w14:paraId="54F3CC28" w14:textId="77777777">
            <w:pPr>
              <w:widowControl/>
              <w:jc w:val="center"/>
              <w:rPr>
                <w:b/>
                <w:bCs/>
              </w:rPr>
            </w:pPr>
            <w:r w:rsidRPr="00C52789">
              <w:rPr>
                <w:b/>
                <w:bCs/>
              </w:rPr>
              <w:t>Requested</w:t>
            </w:r>
          </w:p>
          <w:p w:rsidRPr="00C52789" w:rsidR="00502FAD" w:rsidP="008C149A" w:rsidRDefault="00502FAD" w14:paraId="27EC017C" w14:textId="77777777">
            <w:pPr>
              <w:widowControl/>
              <w:jc w:val="center"/>
              <w:rPr>
                <w:b/>
              </w:rPr>
            </w:pPr>
            <w:r w:rsidRPr="00C52789">
              <w:rPr>
                <w:b/>
                <w:bCs/>
              </w:rPr>
              <w:t>Burden Hours</w:t>
            </w:r>
          </w:p>
        </w:tc>
        <w:tc>
          <w:tcPr>
            <w:tcW w:w="1507" w:type="dxa"/>
            <w:shd w:val="clear" w:color="auto" w:fill="C6D9F1"/>
          </w:tcPr>
          <w:p w:rsidRPr="00C52789" w:rsidR="00502FAD" w:rsidP="008C149A" w:rsidRDefault="00502FAD" w14:paraId="2401BB8E" w14:textId="77777777">
            <w:pPr>
              <w:widowControl/>
              <w:jc w:val="center"/>
              <w:rPr>
                <w:b/>
              </w:rPr>
            </w:pPr>
            <w:r w:rsidRPr="00C52789">
              <w:rPr>
                <w:b/>
                <w:bCs/>
              </w:rPr>
              <w:t>Adjustment</w:t>
            </w:r>
          </w:p>
        </w:tc>
        <w:tc>
          <w:tcPr>
            <w:tcW w:w="2903" w:type="dxa"/>
            <w:shd w:val="clear" w:color="auto" w:fill="C6D9F1"/>
          </w:tcPr>
          <w:p w:rsidRPr="00C52789" w:rsidR="00502FAD" w:rsidP="008C149A" w:rsidRDefault="00502FAD" w14:paraId="7184F154" w14:textId="77777777">
            <w:pPr>
              <w:widowControl/>
              <w:jc w:val="center"/>
              <w:rPr>
                <w:b/>
              </w:rPr>
            </w:pPr>
            <w:r w:rsidRPr="00C52789">
              <w:rPr>
                <w:b/>
                <w:bCs/>
              </w:rPr>
              <w:t xml:space="preserve">Explanation of Adjustment </w:t>
            </w:r>
          </w:p>
        </w:tc>
      </w:tr>
      <w:tr w:rsidRPr="00C52789" w:rsidR="00502FAD" w:rsidTr="00D032B2" w14:paraId="7F69302A" w14:textId="77777777">
        <w:trPr>
          <w:trHeight w:val="296"/>
        </w:trPr>
        <w:tc>
          <w:tcPr>
            <w:tcW w:w="2070" w:type="dxa"/>
          </w:tcPr>
          <w:p w:rsidRPr="00C52789" w:rsidR="00502FAD" w:rsidP="008C149A" w:rsidRDefault="00502FAD" w14:paraId="529C42E8" w14:textId="77777777">
            <w:pPr>
              <w:rPr>
                <w:b/>
              </w:rPr>
            </w:pPr>
            <w:r w:rsidRPr="00C52789">
              <w:rPr>
                <w:b/>
              </w:rPr>
              <w:t>A) Posting Requirements</w:t>
            </w:r>
          </w:p>
        </w:tc>
        <w:tc>
          <w:tcPr>
            <w:tcW w:w="1530" w:type="dxa"/>
          </w:tcPr>
          <w:p w:rsidRPr="00C52789" w:rsidR="00502FAD" w:rsidP="008C149A" w:rsidRDefault="00502FAD" w14:paraId="4FBF9173" w14:textId="77777777">
            <w:pPr>
              <w:jc w:val="right"/>
            </w:pPr>
            <w:r w:rsidRPr="00C52789">
              <w:t>0</w:t>
            </w:r>
          </w:p>
        </w:tc>
        <w:tc>
          <w:tcPr>
            <w:tcW w:w="1463" w:type="dxa"/>
          </w:tcPr>
          <w:p w:rsidRPr="00C52789" w:rsidR="00502FAD" w:rsidP="008C149A" w:rsidRDefault="00502FAD" w14:paraId="033BDA73" w14:textId="77777777">
            <w:pPr>
              <w:jc w:val="right"/>
            </w:pPr>
            <w:r w:rsidRPr="00C52789">
              <w:t>0</w:t>
            </w:r>
          </w:p>
        </w:tc>
        <w:tc>
          <w:tcPr>
            <w:tcW w:w="1507" w:type="dxa"/>
            <w:shd w:val="clear" w:color="auto" w:fill="auto"/>
          </w:tcPr>
          <w:p w:rsidRPr="00C52789" w:rsidR="00502FAD" w:rsidP="008C149A" w:rsidRDefault="00502FAD" w14:paraId="2A380FF2" w14:textId="77777777">
            <w:pPr>
              <w:widowControl/>
              <w:jc w:val="right"/>
              <w:rPr>
                <w:bCs/>
              </w:rPr>
            </w:pPr>
            <w:r w:rsidRPr="00C52789">
              <w:rPr>
                <w:bCs/>
              </w:rPr>
              <w:t>0</w:t>
            </w:r>
          </w:p>
        </w:tc>
        <w:tc>
          <w:tcPr>
            <w:tcW w:w="2903" w:type="dxa"/>
            <w:shd w:val="clear" w:color="auto" w:fill="auto"/>
          </w:tcPr>
          <w:p w:rsidRPr="00C52789" w:rsidR="00502FAD" w:rsidP="008C149A" w:rsidRDefault="00502FAD" w14:paraId="43C88A29" w14:textId="77777777">
            <w:pPr>
              <w:widowControl/>
            </w:pPr>
            <w:r w:rsidRPr="00C52789">
              <w:t>No change.</w:t>
            </w:r>
          </w:p>
        </w:tc>
      </w:tr>
      <w:tr w:rsidRPr="00C52789" w:rsidR="00502FAD" w:rsidTr="00D032B2" w14:paraId="4C23E3B2" w14:textId="77777777">
        <w:trPr>
          <w:trHeight w:val="197"/>
        </w:trPr>
        <w:tc>
          <w:tcPr>
            <w:tcW w:w="2070" w:type="dxa"/>
          </w:tcPr>
          <w:p w:rsidRPr="00C52789" w:rsidR="00502FAD" w:rsidP="008C149A" w:rsidRDefault="00502FAD" w14:paraId="0169C355" w14:textId="77777777">
            <w:pPr>
              <w:rPr>
                <w:b/>
              </w:rPr>
            </w:pPr>
            <w:r w:rsidRPr="00C52789">
              <w:rPr>
                <w:b/>
              </w:rPr>
              <w:t>Hoists and Elevators</w:t>
            </w:r>
          </w:p>
        </w:tc>
        <w:tc>
          <w:tcPr>
            <w:tcW w:w="1530" w:type="dxa"/>
          </w:tcPr>
          <w:p w:rsidRPr="00C52789" w:rsidR="00502FAD" w:rsidP="008C149A" w:rsidRDefault="00502FAD" w14:paraId="517741F6" w14:textId="77777777">
            <w:pPr>
              <w:jc w:val="right"/>
            </w:pPr>
            <w:r>
              <w:t>737</w:t>
            </w:r>
          </w:p>
        </w:tc>
        <w:tc>
          <w:tcPr>
            <w:tcW w:w="1463" w:type="dxa"/>
          </w:tcPr>
          <w:p w:rsidRPr="00C52789" w:rsidR="00502FAD" w:rsidP="008C149A" w:rsidRDefault="00502FAD" w14:paraId="672A490A" w14:textId="77777777">
            <w:pPr>
              <w:widowControl/>
              <w:jc w:val="right"/>
              <w:rPr>
                <w:bCs/>
              </w:rPr>
            </w:pPr>
            <w:r w:rsidRPr="00C52789">
              <w:rPr>
                <w:bCs/>
              </w:rPr>
              <w:t xml:space="preserve">             </w:t>
            </w:r>
            <w:r>
              <w:rPr>
                <w:bCs/>
              </w:rPr>
              <w:t>913</w:t>
            </w:r>
          </w:p>
        </w:tc>
        <w:tc>
          <w:tcPr>
            <w:tcW w:w="1507" w:type="dxa"/>
            <w:shd w:val="clear" w:color="auto" w:fill="auto"/>
          </w:tcPr>
          <w:p w:rsidRPr="00C52789" w:rsidR="00502FAD" w:rsidP="008C149A" w:rsidRDefault="00502FAD" w14:paraId="5C4105A8" w14:textId="77777777">
            <w:pPr>
              <w:widowControl/>
              <w:jc w:val="right"/>
              <w:rPr>
                <w:bCs/>
              </w:rPr>
            </w:pPr>
            <w:r>
              <w:rPr>
                <w:bCs/>
              </w:rPr>
              <w:t>176</w:t>
            </w:r>
          </w:p>
        </w:tc>
        <w:tc>
          <w:tcPr>
            <w:tcW w:w="2903" w:type="dxa"/>
            <w:shd w:val="clear" w:color="auto" w:fill="auto"/>
          </w:tcPr>
          <w:p w:rsidRPr="00C52789" w:rsidR="00502FAD" w:rsidP="008C149A" w:rsidRDefault="00502FAD" w14:paraId="4582F5FE" w14:textId="77777777">
            <w:pPr>
              <w:widowControl/>
            </w:pPr>
            <w:r w:rsidRPr="00C52789">
              <w:t>Economic growth.</w:t>
            </w:r>
          </w:p>
        </w:tc>
      </w:tr>
      <w:tr w:rsidRPr="00C52789" w:rsidR="00502FAD" w:rsidTr="00D032B2" w14:paraId="79CB130B" w14:textId="77777777">
        <w:trPr>
          <w:trHeight w:val="548"/>
        </w:trPr>
        <w:tc>
          <w:tcPr>
            <w:tcW w:w="2070" w:type="dxa"/>
          </w:tcPr>
          <w:p w:rsidRPr="00C52789" w:rsidR="00502FAD" w:rsidP="008C149A" w:rsidRDefault="00502FAD" w14:paraId="17E2F603" w14:textId="77777777">
            <w:pPr>
              <w:rPr>
                <w:b/>
              </w:rPr>
            </w:pPr>
            <w:r w:rsidRPr="00C52789">
              <w:rPr>
                <w:b/>
              </w:rPr>
              <w:t>B) Inspection Test, and Records Certification Requirements</w:t>
            </w:r>
          </w:p>
        </w:tc>
        <w:tc>
          <w:tcPr>
            <w:tcW w:w="1530" w:type="dxa"/>
          </w:tcPr>
          <w:p w:rsidRPr="00C52789" w:rsidR="00502FAD" w:rsidP="008C149A" w:rsidRDefault="00502FAD" w14:paraId="79049C77" w14:textId="77777777">
            <w:pPr>
              <w:jc w:val="right"/>
            </w:pPr>
            <w:r>
              <w:t>7,367</w:t>
            </w:r>
          </w:p>
          <w:p w:rsidRPr="00C52789" w:rsidR="00502FAD" w:rsidP="008C149A" w:rsidRDefault="00502FAD" w14:paraId="40F37718" w14:textId="77777777">
            <w:pPr>
              <w:jc w:val="right"/>
            </w:pPr>
          </w:p>
        </w:tc>
        <w:tc>
          <w:tcPr>
            <w:tcW w:w="1463" w:type="dxa"/>
          </w:tcPr>
          <w:p w:rsidRPr="00C52789" w:rsidR="00502FAD" w:rsidP="008C149A" w:rsidRDefault="00502FAD" w14:paraId="572CA2EB" w14:textId="77777777">
            <w:pPr>
              <w:widowControl/>
              <w:jc w:val="right"/>
              <w:rPr>
                <w:bCs/>
              </w:rPr>
            </w:pPr>
            <w:r>
              <w:t>9,134</w:t>
            </w:r>
          </w:p>
        </w:tc>
        <w:tc>
          <w:tcPr>
            <w:tcW w:w="1507" w:type="dxa"/>
            <w:shd w:val="clear" w:color="auto" w:fill="auto"/>
          </w:tcPr>
          <w:p w:rsidRPr="00C52789" w:rsidR="00502FAD" w:rsidP="008C149A" w:rsidRDefault="00502FAD" w14:paraId="6672EAFC" w14:textId="77777777">
            <w:pPr>
              <w:widowControl/>
              <w:jc w:val="right"/>
            </w:pPr>
            <w:r>
              <w:t>1,767</w:t>
            </w:r>
          </w:p>
          <w:p w:rsidRPr="00C52789" w:rsidR="00502FAD" w:rsidP="008C149A" w:rsidRDefault="00502FAD" w14:paraId="61ADA8AD" w14:textId="77777777">
            <w:pPr>
              <w:widowControl/>
              <w:jc w:val="right"/>
              <w:rPr>
                <w:bCs/>
              </w:rPr>
            </w:pPr>
          </w:p>
        </w:tc>
        <w:tc>
          <w:tcPr>
            <w:tcW w:w="2903" w:type="dxa"/>
            <w:shd w:val="clear" w:color="auto" w:fill="auto"/>
          </w:tcPr>
          <w:p w:rsidRPr="00C52789" w:rsidR="00502FAD" w:rsidP="008C149A" w:rsidRDefault="00502FAD" w14:paraId="5E2CDA99" w14:textId="77777777">
            <w:pPr>
              <w:widowControl/>
              <w:rPr>
                <w:bCs/>
              </w:rPr>
            </w:pPr>
            <w:r w:rsidRPr="00C52789">
              <w:rPr>
                <w:bCs/>
              </w:rPr>
              <w:t xml:space="preserve">Economic growth. </w:t>
            </w:r>
          </w:p>
        </w:tc>
      </w:tr>
      <w:tr w:rsidRPr="00C52789" w:rsidR="00502FAD" w:rsidTr="00D032B2" w14:paraId="116E28D3" w14:textId="77777777">
        <w:trPr>
          <w:trHeight w:val="278"/>
        </w:trPr>
        <w:tc>
          <w:tcPr>
            <w:tcW w:w="2070" w:type="dxa"/>
          </w:tcPr>
          <w:p w:rsidRPr="00C52789" w:rsidR="00502FAD" w:rsidP="008C149A" w:rsidRDefault="00502FAD" w14:paraId="7EA689AC" w14:textId="77777777">
            <w:pPr>
              <w:rPr>
                <w:b/>
                <w:strike/>
              </w:rPr>
            </w:pPr>
            <w:r w:rsidRPr="00C52789">
              <w:rPr>
                <w:b/>
              </w:rPr>
              <w:t>C) Disclosure of Tests and Inspection Certification Records</w:t>
            </w:r>
          </w:p>
        </w:tc>
        <w:tc>
          <w:tcPr>
            <w:tcW w:w="1530" w:type="dxa"/>
          </w:tcPr>
          <w:p w:rsidRPr="00C52789" w:rsidR="00502FAD" w:rsidP="008C149A" w:rsidRDefault="00502FAD" w14:paraId="55FC9547" w14:textId="77777777">
            <w:pPr>
              <w:jc w:val="right"/>
            </w:pPr>
            <w:r>
              <w:t>0</w:t>
            </w:r>
          </w:p>
        </w:tc>
        <w:tc>
          <w:tcPr>
            <w:tcW w:w="1463" w:type="dxa"/>
          </w:tcPr>
          <w:p w:rsidRPr="00C52789" w:rsidR="00502FAD" w:rsidP="008C149A" w:rsidRDefault="00502FAD" w14:paraId="55F7A021" w14:textId="77777777">
            <w:pPr>
              <w:widowControl/>
              <w:jc w:val="right"/>
              <w:rPr>
                <w:bCs/>
              </w:rPr>
            </w:pPr>
            <w:r w:rsidRPr="00C52789">
              <w:rPr>
                <w:bCs/>
              </w:rPr>
              <w:t>0</w:t>
            </w:r>
          </w:p>
        </w:tc>
        <w:tc>
          <w:tcPr>
            <w:tcW w:w="1507" w:type="dxa"/>
            <w:shd w:val="clear" w:color="auto" w:fill="auto"/>
          </w:tcPr>
          <w:p w:rsidRPr="00C52789" w:rsidR="00502FAD" w:rsidP="008C149A" w:rsidRDefault="00502FAD" w14:paraId="17C6FBF1" w14:textId="77777777">
            <w:pPr>
              <w:widowControl/>
              <w:jc w:val="right"/>
              <w:rPr>
                <w:bCs/>
              </w:rPr>
            </w:pPr>
            <w:r>
              <w:rPr>
                <w:bCs/>
              </w:rPr>
              <w:t>0</w:t>
            </w:r>
          </w:p>
        </w:tc>
        <w:tc>
          <w:tcPr>
            <w:tcW w:w="2903" w:type="dxa"/>
            <w:shd w:val="clear" w:color="auto" w:fill="auto"/>
          </w:tcPr>
          <w:p w:rsidRPr="00C52789" w:rsidR="00502FAD" w:rsidP="008C149A" w:rsidRDefault="00502FAD" w14:paraId="47BBF9E2" w14:textId="77777777">
            <w:pPr>
              <w:widowControl/>
              <w:rPr>
                <w:bCs/>
              </w:rPr>
            </w:pPr>
            <w:r>
              <w:t>No change.</w:t>
            </w:r>
          </w:p>
        </w:tc>
      </w:tr>
      <w:tr w:rsidRPr="00C52789" w:rsidR="00502FAD" w:rsidTr="00D032B2" w14:paraId="57D8F35C" w14:textId="77777777">
        <w:trPr>
          <w:trHeight w:val="251"/>
        </w:trPr>
        <w:tc>
          <w:tcPr>
            <w:tcW w:w="2070" w:type="dxa"/>
          </w:tcPr>
          <w:p w:rsidRPr="00C52789" w:rsidR="00502FAD" w:rsidP="008C149A" w:rsidRDefault="00502FAD" w14:paraId="4A20D256" w14:textId="77777777">
            <w:pPr>
              <w:rPr>
                <w:b/>
              </w:rPr>
            </w:pPr>
            <w:r w:rsidRPr="00C52789">
              <w:rPr>
                <w:b/>
              </w:rPr>
              <w:t>TOTAL</w:t>
            </w:r>
          </w:p>
        </w:tc>
        <w:tc>
          <w:tcPr>
            <w:tcW w:w="1530" w:type="dxa"/>
          </w:tcPr>
          <w:p w:rsidRPr="00C52789" w:rsidR="00502FAD" w:rsidP="008C149A" w:rsidRDefault="00502FAD" w14:paraId="6832031C" w14:textId="77777777">
            <w:pPr>
              <w:jc w:val="right"/>
              <w:rPr>
                <w:b/>
              </w:rPr>
            </w:pPr>
            <w:r>
              <w:rPr>
                <w:b/>
              </w:rPr>
              <w:t>8,104</w:t>
            </w:r>
          </w:p>
        </w:tc>
        <w:tc>
          <w:tcPr>
            <w:tcW w:w="1463" w:type="dxa"/>
          </w:tcPr>
          <w:p w:rsidRPr="00C52789" w:rsidR="00502FAD" w:rsidP="008C149A" w:rsidRDefault="00502FAD" w14:paraId="61AE2927" w14:textId="77777777">
            <w:pPr>
              <w:widowControl/>
              <w:jc w:val="right"/>
              <w:rPr>
                <w:b/>
                <w:bCs/>
              </w:rPr>
            </w:pPr>
            <w:r>
              <w:rPr>
                <w:b/>
                <w:bCs/>
              </w:rPr>
              <w:t>10,047</w:t>
            </w:r>
          </w:p>
        </w:tc>
        <w:tc>
          <w:tcPr>
            <w:tcW w:w="1507" w:type="dxa"/>
            <w:shd w:val="clear" w:color="auto" w:fill="auto"/>
          </w:tcPr>
          <w:p w:rsidRPr="00C52789" w:rsidR="00502FAD" w:rsidP="008C149A" w:rsidRDefault="00502FAD" w14:paraId="716DB127" w14:textId="77777777">
            <w:pPr>
              <w:widowControl/>
              <w:jc w:val="center"/>
              <w:rPr>
                <w:b/>
                <w:bCs/>
              </w:rPr>
            </w:pPr>
            <w:r>
              <w:rPr>
                <w:b/>
                <w:bCs/>
              </w:rPr>
              <w:t>1,943</w:t>
            </w:r>
          </w:p>
        </w:tc>
        <w:tc>
          <w:tcPr>
            <w:tcW w:w="2903" w:type="dxa"/>
            <w:shd w:val="clear" w:color="auto" w:fill="C6D9F1"/>
          </w:tcPr>
          <w:p w:rsidRPr="00C52789" w:rsidR="00502FAD" w:rsidP="008C149A" w:rsidRDefault="00502FAD" w14:paraId="18322C44" w14:textId="77777777">
            <w:pPr>
              <w:widowControl/>
              <w:rPr>
                <w:bCs/>
              </w:rPr>
            </w:pPr>
          </w:p>
        </w:tc>
      </w:tr>
    </w:tbl>
    <w:p w:rsidRPr="004837CA" w:rsidR="00502FAD" w:rsidP="00C515D3" w:rsidRDefault="00502FAD" w14:paraId="38FCF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1E0A91" w:rsidP="00C515D3" w:rsidRDefault="001E0A91" w14:paraId="5B5A6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52789" w:rsidR="00C515D3" w:rsidP="00C515D3" w:rsidRDefault="00C515D3" w14:paraId="36C7C068"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413DF" w:rsidR="00C515D3" w:rsidP="00C515D3" w:rsidRDefault="00C515D3" w14:paraId="282D3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650F7" w:rsidR="00C515D3" w:rsidP="00C515D3" w:rsidRDefault="00C515D3" w14:paraId="694C2F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17E">
        <w:t>OSHA will not publish the information collected under the Standard.</w:t>
      </w:r>
    </w:p>
    <w:p w:rsidRPr="00C52789" w:rsidR="00C515D3" w:rsidP="00B2332F" w:rsidRDefault="00C515D3" w14:paraId="2ACC7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b/>
        </w:rPr>
      </w:pPr>
      <w:r w:rsidRPr="00C52789">
        <w:rPr>
          <w:b/>
          <w:bCs/>
        </w:rPr>
        <w:t>17.  If seeking approval to not display the expiration date for OMB approval of the information collection, explain the reasons that display would be appropriate.</w:t>
      </w:r>
    </w:p>
    <w:p w:rsidRPr="006650F7" w:rsidR="00BC706A" w:rsidP="00C515D3" w:rsidRDefault="00464E1F" w14:paraId="0095A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13DF">
        <w:t>OSHA lists current valid control numbers in §§1910.8, 1915.8, 1917.4, 1918.4, and 1926.5 and</w:t>
      </w:r>
      <w:r w:rsidRPr="0011617E">
        <w:t xml:space="preserve"> publishes the expiration date in the Federal register notice announcing </w:t>
      </w:r>
      <w:r w:rsidRPr="006650F7" w:rsidR="00566AA3">
        <w:t xml:space="preserve">OMB approval of the </w:t>
      </w:r>
    </w:p>
    <w:p w:rsidRPr="004837CA" w:rsidR="00464E1F" w:rsidP="00C515D3" w:rsidRDefault="00566AA3" w14:paraId="097A5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50F7">
        <w:t xml:space="preserve">Information </w:t>
      </w:r>
      <w:r w:rsidRPr="006650F7" w:rsidR="00464E1F">
        <w:t>collection requirement,</w:t>
      </w:r>
      <w:r w:rsidRPr="00171E1C" w:rsidR="0081107B">
        <w:t xml:space="preserve"> </w:t>
      </w:r>
      <w:r w:rsidRPr="004837CA" w:rsidR="00464E1F">
        <w:t>(see 5 CFR 1320.3(f)(3)</w:t>
      </w:r>
      <w:r w:rsidRPr="004837CA" w:rsidR="00DB07FA">
        <w:t>)</w:t>
      </w:r>
      <w:r w:rsidRPr="004837CA" w:rsidR="00464E1F">
        <w:t>.  OSHA believes that this is the moist appropriate and accurate mechanism to inform interested parties of these expiration dates.</w:t>
      </w:r>
    </w:p>
    <w:p w:rsidRPr="00C52789" w:rsidR="000B1C6D" w:rsidP="00C515D3" w:rsidRDefault="000B1C6D" w14:paraId="36659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52789" w:rsidR="00C515D3" w:rsidP="00C515D3" w:rsidRDefault="00C515D3" w14:paraId="720BF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52789">
        <w:rPr>
          <w:b/>
          <w:bCs/>
        </w:rPr>
        <w:t>18.  Explain each exception to the certification statement.</w:t>
      </w:r>
    </w:p>
    <w:p w:rsidRPr="001413DF" w:rsidR="00C515D3" w:rsidP="00C515D3" w:rsidRDefault="00C515D3" w14:paraId="4FBA5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650F7" w:rsidR="00C515D3" w:rsidP="00C515D3" w:rsidRDefault="00C515D3" w14:paraId="39D1D7D3" w14:textId="77777777">
      <w:r w:rsidRPr="0011617E">
        <w:t>OSHA is not seeking an exception to the certification statement.</w:t>
      </w:r>
    </w:p>
    <w:p w:rsidRPr="006650F7" w:rsidR="00433166" w:rsidP="00433166" w:rsidRDefault="00433166" w14:paraId="425199B6" w14:textId="77777777"/>
    <w:p w:rsidRPr="004837CA" w:rsidR="00E82FBF" w:rsidP="00E82FBF" w:rsidRDefault="00E82FBF" w14:paraId="4F82AFB6" w14:textId="77777777">
      <w:pPr>
        <w:pStyle w:val="Default"/>
        <w:numPr>
          <w:ilvl w:val="0"/>
          <w:numId w:val="7"/>
        </w:numPr>
        <w:tabs>
          <w:tab w:val="left" w:pos="270"/>
          <w:tab w:val="left" w:pos="540"/>
        </w:tabs>
        <w:ind w:left="360"/>
        <w:rPr>
          <w:b/>
          <w:color w:val="auto"/>
        </w:rPr>
      </w:pPr>
      <w:r w:rsidRPr="004837CA">
        <w:rPr>
          <w:b/>
          <w:color w:val="auto"/>
        </w:rPr>
        <w:t>COLLECTION OF INFORMATION EMPLOYING STATISTICAL METHODS.</w:t>
      </w:r>
    </w:p>
    <w:p w:rsidRPr="004837CA" w:rsidR="00E82FBF" w:rsidP="00E82FBF" w:rsidRDefault="00E82FBF" w14:paraId="639BB5BA" w14:textId="77777777">
      <w:pPr>
        <w:pStyle w:val="Default"/>
        <w:tabs>
          <w:tab w:val="left" w:pos="0"/>
          <w:tab w:val="left" w:pos="450"/>
          <w:tab w:val="left" w:pos="540"/>
        </w:tabs>
        <w:rPr>
          <w:color w:val="auto"/>
        </w:rPr>
      </w:pPr>
    </w:p>
    <w:p w:rsidRPr="00C52789" w:rsidR="00350F69" w:rsidP="00D032B2" w:rsidRDefault="00E82FBF" w14:paraId="76B78029" w14:textId="7E603262">
      <w:pPr>
        <w:pStyle w:val="Default"/>
        <w:tabs>
          <w:tab w:val="left" w:pos="0"/>
          <w:tab w:val="left" w:pos="450"/>
          <w:tab w:val="left" w:pos="540"/>
        </w:tabs>
      </w:pPr>
      <w:r w:rsidRPr="00C52789">
        <w:rPr>
          <w:color w:val="auto"/>
        </w:rPr>
        <w:t>This supporting statement does not contain any collection of information requirements that employ statistical methods</w:t>
      </w:r>
      <w:r w:rsidRPr="00C52789" w:rsidR="00DD7320">
        <w:t>.</w:t>
      </w:r>
    </w:p>
    <w:sectPr w:rsidRPr="00C52789" w:rsidR="00350F69" w:rsidSect="00D032B2">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7D14E" w14:textId="77777777" w:rsidR="00045BEE" w:rsidRDefault="00045BEE">
      <w:r>
        <w:separator/>
      </w:r>
    </w:p>
  </w:endnote>
  <w:endnote w:type="continuationSeparator" w:id="0">
    <w:p w14:paraId="27BBF89A" w14:textId="77777777" w:rsidR="00045BEE" w:rsidRDefault="0004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B112" w14:textId="77777777" w:rsidR="00DB6571" w:rsidRDefault="00DB6571" w:rsidP="00731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2C3B9" w14:textId="77777777" w:rsidR="00DB6571" w:rsidRDefault="00DB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63A2" w14:textId="77777777" w:rsidR="00DB6571" w:rsidRDefault="00DB6571">
    <w:pPr>
      <w:spacing w:line="240" w:lineRule="exact"/>
    </w:pPr>
  </w:p>
  <w:p w14:paraId="04DE3032" w14:textId="24F3A3DF" w:rsidR="00DB6571" w:rsidRDefault="00DB6571" w:rsidP="006D753F">
    <w:pPr>
      <w:framePr w:wrap="around" w:vAnchor="text" w:hAnchor="margin" w:xAlign="center" w:y="1"/>
      <w:jc w:val="center"/>
    </w:pPr>
    <w:r>
      <w:sym w:font="Symbol" w:char="F02D"/>
    </w:r>
    <w:r>
      <w:fldChar w:fldCharType="begin"/>
    </w:r>
    <w:r>
      <w:instrText xml:space="preserve">PAGE </w:instrText>
    </w:r>
    <w:r>
      <w:fldChar w:fldCharType="separate"/>
    </w:r>
    <w:r w:rsidR="00712430">
      <w:rPr>
        <w:noProof/>
      </w:rPr>
      <w:t>3</w:t>
    </w:r>
    <w:r>
      <w:fldChar w:fldCharType="end"/>
    </w:r>
    <w:r>
      <w:sym w:font="Symbol" w:char="F02D"/>
    </w:r>
  </w:p>
  <w:p w14:paraId="5AEBA8D5" w14:textId="77777777" w:rsidR="00DB6571" w:rsidRDefault="00DB657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E47A" w14:textId="77777777" w:rsidR="00D75665" w:rsidRDefault="00D756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8F5B" w14:textId="77777777" w:rsidR="00045BEE" w:rsidRDefault="00045BEE">
      <w:r>
        <w:separator/>
      </w:r>
    </w:p>
  </w:footnote>
  <w:footnote w:type="continuationSeparator" w:id="0">
    <w:p w14:paraId="14EE6116" w14:textId="77777777" w:rsidR="00045BEE" w:rsidRDefault="00045BEE">
      <w:r>
        <w:continuationSeparator/>
      </w:r>
    </w:p>
  </w:footnote>
  <w:footnote w:id="1">
    <w:p w14:paraId="3A58A3B1" w14:textId="77777777" w:rsidR="00DB6571" w:rsidRDefault="00DB6571">
      <w:pPr>
        <w:pStyle w:val="FootnoteText"/>
      </w:pPr>
      <w:r>
        <w:t xml:space="preserve">     </w:t>
      </w:r>
      <w:r>
        <w:rPr>
          <w:rStyle w:val="FootnoteReference"/>
        </w:rPr>
        <w:footnoteRef/>
      </w:r>
      <w:r>
        <w:t>The purpose of this supporting statement is to analyze and describe the burden hour and cost associated with provisions of this standard that contain paperwork requirements; this Supporting Statement does not provide information or guidance on how to comply with, or how to enforce, these provisions.</w:t>
      </w:r>
    </w:p>
  </w:footnote>
  <w:footnote w:id="2">
    <w:p w14:paraId="758C9A82" w14:textId="77777777" w:rsidR="00D62819" w:rsidRPr="003766E0" w:rsidRDefault="00D62819" w:rsidP="00D62819">
      <w:pPr>
        <w:rPr>
          <w:rFonts w:eastAsia="Calibri"/>
          <w:sz w:val="20"/>
          <w:szCs w:val="20"/>
        </w:rPr>
      </w:pPr>
      <w:r w:rsidRPr="003766E0">
        <w:rPr>
          <w:rStyle w:val="FootnoteReference"/>
          <w:sz w:val="20"/>
          <w:szCs w:val="20"/>
        </w:rPr>
        <w:footnoteRef/>
      </w:r>
      <w:r w:rsidRPr="003766E0">
        <w:rPr>
          <w:sz w:val="20"/>
          <w:szCs w:val="20"/>
        </w:rPr>
        <w:t xml:space="preserve"> </w:t>
      </w:r>
      <w:r w:rsidRPr="003766E0">
        <w:rPr>
          <w:rFonts w:eastAsia="Calibri"/>
          <w:sz w:val="20"/>
          <w:szCs w:val="20"/>
        </w:rPr>
        <w:t xml:space="preserve">(OES data is available at </w:t>
      </w:r>
      <w:hyperlink r:id="rId1" w:history="1">
        <w:r w:rsidRPr="003766E0">
          <w:rPr>
            <w:rFonts w:eastAsia="Calibri"/>
            <w:color w:val="0000FF"/>
            <w:sz w:val="20"/>
            <w:szCs w:val="20"/>
            <w:u w:val="single"/>
          </w:rPr>
          <w:t>https://www.bls.gov/oes/tables.htm</w:t>
        </w:r>
      </w:hyperlink>
      <w:r w:rsidRPr="003766E0">
        <w:rPr>
          <w:rFonts w:eastAsia="Calibri"/>
          <w:sz w:val="20"/>
          <w:szCs w:val="20"/>
        </w:rPr>
        <w:t>.  To access a wage rate, select the year, “Occupation Profiles,” and the Standard Occupational Classification (SOC) code.)</w:t>
      </w:r>
    </w:p>
    <w:p w14:paraId="2E106BEF" w14:textId="77777777" w:rsidR="00D62819" w:rsidRDefault="00D62819" w:rsidP="00D62819">
      <w:pPr>
        <w:pStyle w:val="FootnoteText"/>
      </w:pPr>
    </w:p>
  </w:footnote>
  <w:footnote w:id="3">
    <w:p w14:paraId="4709694B" w14:textId="77777777" w:rsidR="00D62819" w:rsidRPr="005969E1" w:rsidRDefault="00D62819" w:rsidP="00D62819">
      <w:pPr>
        <w:pStyle w:val="FootnoteText"/>
      </w:pPr>
      <w:r w:rsidRPr="003766E0">
        <w:rPr>
          <w:rStyle w:val="FootnoteReference"/>
        </w:rPr>
        <w:footnoteRef/>
      </w:r>
      <w:r w:rsidRPr="00CF764E">
        <w:t xml:space="preserve"> </w:t>
      </w:r>
      <w:r>
        <w:t>Source:  Employer costs for Employee Compensation Supplementary Table 2. U.S. Department of Labor, Bureau of Labor Statistics, March 2020.</w:t>
      </w:r>
      <w:r>
        <w:rPr>
          <w:i/>
        </w:rPr>
        <w:t xml:space="preserve">    </w:t>
      </w:r>
      <w:r w:rsidRPr="00CA35CD">
        <w:rPr>
          <w:i/>
        </w:rPr>
        <w:t>https://www.bls.gov/news.release/ecec.nr0.htm</w:t>
      </w:r>
      <w:r>
        <w:rPr>
          <w:i/>
        </w:rPr>
        <w:t xml:space="preserve">    </w:t>
      </w:r>
      <w:r w:rsidR="006349EB" w:rsidRPr="006349EB">
        <w:rPr>
          <w:rFonts w:eastAsia="Calibri"/>
        </w:rPr>
        <w:t>https://www.bls.gov/news.release/ecec.nr0.htm</w:t>
      </w:r>
      <w:r>
        <w:rPr>
          <w:i/>
        </w:rPr>
        <w:t xml:space="preserve">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D230" w14:textId="77777777" w:rsidR="000B05E7" w:rsidRDefault="000B05E7" w:rsidP="000B05E7">
    <w:pPr>
      <w:rPr>
        <w:b/>
        <w:bCs/>
      </w:rPr>
    </w:pPr>
    <w:r w:rsidRPr="000B05E7">
      <w:rPr>
        <w:b/>
        <w:bCs/>
      </w:rPr>
      <w:t>MATERIAL HOISTS, PERSONNEL HOISTS, AND ELEVATORS (29 CFR 1926.552)</w:t>
    </w:r>
  </w:p>
  <w:p w14:paraId="00D55FC5" w14:textId="77777777" w:rsidR="000B05E7" w:rsidRDefault="000B05E7" w:rsidP="000B05E7">
    <w:pPr>
      <w:tabs>
        <w:tab w:val="left" w:pos="5070"/>
      </w:tabs>
      <w:rPr>
        <w:b/>
        <w:bCs/>
        <w:sz w:val="20"/>
        <w:szCs w:val="20"/>
      </w:rPr>
    </w:pPr>
    <w:r>
      <w:rPr>
        <w:b/>
        <w:bCs/>
        <w:sz w:val="20"/>
        <w:szCs w:val="20"/>
      </w:rPr>
      <w:t>OMB Control Number 1218-0231</w:t>
    </w:r>
    <w:r w:rsidRPr="00BE10C5">
      <w:rPr>
        <w:b/>
        <w:bCs/>
        <w:sz w:val="20"/>
        <w:szCs w:val="20"/>
      </w:rPr>
      <w:t xml:space="preserve">  </w:t>
    </w:r>
  </w:p>
  <w:p w14:paraId="14C7C45D" w14:textId="77777777" w:rsidR="000B05E7" w:rsidRPr="00BE10C5" w:rsidRDefault="000B05E7" w:rsidP="000B05E7">
    <w:pPr>
      <w:tabs>
        <w:tab w:val="left" w:pos="5070"/>
      </w:tabs>
      <w:rPr>
        <w:b/>
        <w:bCs/>
        <w:sz w:val="20"/>
        <w:szCs w:val="20"/>
      </w:rPr>
    </w:pPr>
    <w:r>
      <w:rPr>
        <w:b/>
        <w:bCs/>
        <w:sz w:val="20"/>
        <w:szCs w:val="20"/>
      </w:rPr>
      <w:t xml:space="preserve">Expires </w:t>
    </w:r>
    <w:r w:rsidR="00ED1E54">
      <w:rPr>
        <w:b/>
        <w:bCs/>
        <w:sz w:val="20"/>
        <w:szCs w:val="20"/>
      </w:rPr>
      <w:t>April 30</w:t>
    </w:r>
    <w:r>
      <w:rPr>
        <w:b/>
        <w:bCs/>
        <w:sz w:val="20"/>
        <w:szCs w:val="20"/>
      </w:rPr>
      <w:t>, 2021</w:t>
    </w:r>
    <w:r>
      <w:rPr>
        <w:b/>
        <w:bCs/>
        <w:sz w:val="20"/>
        <w:szCs w:val="20"/>
      </w:rPr>
      <w:tab/>
    </w:r>
  </w:p>
  <w:p w14:paraId="4EC4D550" w14:textId="77777777" w:rsidR="00D979ED" w:rsidRDefault="00D979ED" w:rsidP="00D979ED">
    <w:pPr>
      <w:pStyle w:val="Header"/>
    </w:pPr>
  </w:p>
  <w:p w14:paraId="703845DF" w14:textId="77777777" w:rsidR="001D79C1" w:rsidRPr="00270A86" w:rsidRDefault="001D79C1" w:rsidP="0027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4024" w14:textId="77777777" w:rsidR="000B05E7" w:rsidRDefault="000B05E7" w:rsidP="000B05E7">
    <w:pPr>
      <w:rPr>
        <w:b/>
        <w:bCs/>
      </w:rPr>
    </w:pPr>
    <w:r w:rsidRPr="000B05E7">
      <w:rPr>
        <w:b/>
        <w:bCs/>
      </w:rPr>
      <w:t>MATERIAL HOISTS, PERSONNEL HOISTS, AND ELEVATORS (29 CFR 1926.552)</w:t>
    </w:r>
  </w:p>
  <w:p w14:paraId="59D99745" w14:textId="77777777" w:rsidR="000B05E7" w:rsidRDefault="000B05E7" w:rsidP="000B05E7">
    <w:pPr>
      <w:tabs>
        <w:tab w:val="left" w:pos="5070"/>
      </w:tabs>
      <w:rPr>
        <w:b/>
        <w:bCs/>
        <w:sz w:val="20"/>
        <w:szCs w:val="20"/>
      </w:rPr>
    </w:pPr>
    <w:r>
      <w:rPr>
        <w:b/>
        <w:bCs/>
        <w:sz w:val="20"/>
        <w:szCs w:val="20"/>
      </w:rPr>
      <w:t xml:space="preserve">OMB Control Number </w:t>
    </w:r>
    <w:r w:rsidR="00D979ED">
      <w:rPr>
        <w:b/>
        <w:bCs/>
        <w:sz w:val="20"/>
        <w:szCs w:val="20"/>
      </w:rPr>
      <w:t>1218-0231</w:t>
    </w:r>
    <w:r w:rsidR="00C415ED" w:rsidRPr="00BE10C5">
      <w:rPr>
        <w:b/>
        <w:bCs/>
        <w:sz w:val="20"/>
        <w:szCs w:val="20"/>
      </w:rPr>
      <w:t xml:space="preserve">  </w:t>
    </w:r>
  </w:p>
  <w:p w14:paraId="0B8D0504" w14:textId="77777777" w:rsidR="00C415ED" w:rsidRPr="00BE10C5" w:rsidRDefault="00EE3FAB" w:rsidP="000B05E7">
    <w:pPr>
      <w:tabs>
        <w:tab w:val="left" w:pos="5070"/>
      </w:tabs>
      <w:rPr>
        <w:b/>
        <w:bCs/>
        <w:sz w:val="20"/>
        <w:szCs w:val="20"/>
      </w:rPr>
    </w:pPr>
    <w:r>
      <w:rPr>
        <w:b/>
        <w:bCs/>
        <w:sz w:val="20"/>
        <w:szCs w:val="20"/>
      </w:rPr>
      <w:t>Expiration Date:</w:t>
    </w:r>
    <w:r w:rsidR="000B05E7">
      <w:rPr>
        <w:b/>
        <w:bCs/>
        <w:sz w:val="20"/>
        <w:szCs w:val="20"/>
      </w:rPr>
      <w:t xml:space="preserve"> </w:t>
    </w:r>
    <w:r w:rsidR="00ED1E54">
      <w:rPr>
        <w:b/>
        <w:bCs/>
        <w:sz w:val="20"/>
        <w:szCs w:val="20"/>
      </w:rPr>
      <w:t>April 30</w:t>
    </w:r>
    <w:r w:rsidR="000B05E7">
      <w:rPr>
        <w:b/>
        <w:bCs/>
        <w:sz w:val="20"/>
        <w:szCs w:val="20"/>
      </w:rPr>
      <w:t>, 2021</w:t>
    </w:r>
    <w:r w:rsidR="00D979ED">
      <w:rPr>
        <w:b/>
        <w:bCs/>
        <w:sz w:val="20"/>
        <w:szCs w:val="20"/>
      </w:rPr>
      <w:tab/>
    </w:r>
  </w:p>
  <w:p w14:paraId="3C0620DA" w14:textId="77777777" w:rsidR="00C80A92" w:rsidRDefault="00C8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E64E064"/>
    <w:lvl w:ilvl="0">
      <w:numFmt w:val="bullet"/>
      <w:lvlText w:val="*"/>
      <w:lvlJc w:val="left"/>
    </w:lvl>
  </w:abstractNum>
  <w:abstractNum w:abstractNumId="1" w15:restartNumberingAfterBreak="0">
    <w:nsid w:val="0000000C"/>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E2DA5"/>
    <w:multiLevelType w:val="hybridMultilevel"/>
    <w:tmpl w:val="BCBE5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C2E77"/>
    <w:multiLevelType w:val="hybridMultilevel"/>
    <w:tmpl w:val="0AA23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A7E"/>
    <w:multiLevelType w:val="hybridMultilevel"/>
    <w:tmpl w:val="5B8EE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E81390"/>
    <w:multiLevelType w:val="hybridMultilevel"/>
    <w:tmpl w:val="3D44D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CDC"/>
    <w:multiLevelType w:val="hybridMultilevel"/>
    <w:tmpl w:val="F91E8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DB0993"/>
    <w:multiLevelType w:val="hybridMultilevel"/>
    <w:tmpl w:val="A2DA23C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2B64AB"/>
    <w:multiLevelType w:val="hybridMultilevel"/>
    <w:tmpl w:val="F798235E"/>
    <w:lvl w:ilvl="0" w:tplc="4F527AE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8EE"/>
    <w:multiLevelType w:val="hybridMultilevel"/>
    <w:tmpl w:val="8EE0A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C4E84"/>
    <w:multiLevelType w:val="hybridMultilevel"/>
    <w:tmpl w:val="B3D6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01B64"/>
    <w:multiLevelType w:val="hybridMultilevel"/>
    <w:tmpl w:val="1EE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C5ED6"/>
    <w:multiLevelType w:val="hybridMultilevel"/>
    <w:tmpl w:val="DF4C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E5229"/>
    <w:multiLevelType w:val="hybridMultilevel"/>
    <w:tmpl w:val="78525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72BBD"/>
    <w:multiLevelType w:val="hybridMultilevel"/>
    <w:tmpl w:val="511641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60EB5C2B"/>
    <w:multiLevelType w:val="hybridMultilevel"/>
    <w:tmpl w:val="6F404B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1B1535"/>
    <w:multiLevelType w:val="hybridMultilevel"/>
    <w:tmpl w:val="1AA47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04DE7"/>
    <w:multiLevelType w:val="hybridMultilevel"/>
    <w:tmpl w:val="25081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D75E72"/>
    <w:multiLevelType w:val="hybridMultilevel"/>
    <w:tmpl w:val="F6C0CC08"/>
    <w:lvl w:ilvl="0" w:tplc="DCBE21F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8D4C86"/>
    <w:multiLevelType w:val="hybridMultilevel"/>
    <w:tmpl w:val="2E82B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5">
    <w:abstractNumId w:val="7"/>
  </w:num>
  <w:num w:numId="6">
    <w:abstractNumId w:val="19"/>
  </w:num>
  <w:num w:numId="7">
    <w:abstractNumId w:val="12"/>
  </w:num>
  <w:num w:numId="8">
    <w:abstractNumId w:val="8"/>
  </w:num>
  <w:num w:numId="9">
    <w:abstractNumId w:val="10"/>
  </w:num>
  <w:num w:numId="10">
    <w:abstractNumId w:val="6"/>
  </w:num>
  <w:num w:numId="11">
    <w:abstractNumId w:val="5"/>
  </w:num>
  <w:num w:numId="12">
    <w:abstractNumId w:val="16"/>
  </w:num>
  <w:num w:numId="13">
    <w:abstractNumId w:val="2"/>
  </w:num>
  <w:num w:numId="14">
    <w:abstractNumId w:val="11"/>
  </w:num>
  <w:num w:numId="15">
    <w:abstractNumId w:val="13"/>
  </w:num>
  <w:num w:numId="16">
    <w:abstractNumId w:val="4"/>
  </w:num>
  <w:num w:numId="17">
    <w:abstractNumId w:val="15"/>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DC"/>
    <w:rsid w:val="00000008"/>
    <w:rsid w:val="00000A3C"/>
    <w:rsid w:val="00001B8E"/>
    <w:rsid w:val="00007F5D"/>
    <w:rsid w:val="000142EB"/>
    <w:rsid w:val="00015016"/>
    <w:rsid w:val="00016E1D"/>
    <w:rsid w:val="00021D15"/>
    <w:rsid w:val="00025BB3"/>
    <w:rsid w:val="00030C0C"/>
    <w:rsid w:val="0003525D"/>
    <w:rsid w:val="000370A8"/>
    <w:rsid w:val="00041519"/>
    <w:rsid w:val="0004192A"/>
    <w:rsid w:val="000452FE"/>
    <w:rsid w:val="00045BEE"/>
    <w:rsid w:val="00046BCB"/>
    <w:rsid w:val="000479B0"/>
    <w:rsid w:val="00052B00"/>
    <w:rsid w:val="00053024"/>
    <w:rsid w:val="00054476"/>
    <w:rsid w:val="000571F9"/>
    <w:rsid w:val="00061FDA"/>
    <w:rsid w:val="0006426C"/>
    <w:rsid w:val="000643A1"/>
    <w:rsid w:val="00064F2A"/>
    <w:rsid w:val="00065B91"/>
    <w:rsid w:val="00066BB3"/>
    <w:rsid w:val="00070AAF"/>
    <w:rsid w:val="00071400"/>
    <w:rsid w:val="000727E5"/>
    <w:rsid w:val="00074AF8"/>
    <w:rsid w:val="00076E7A"/>
    <w:rsid w:val="0008260B"/>
    <w:rsid w:val="0008319D"/>
    <w:rsid w:val="00083939"/>
    <w:rsid w:val="00083FA2"/>
    <w:rsid w:val="00084B4B"/>
    <w:rsid w:val="0008612B"/>
    <w:rsid w:val="00091502"/>
    <w:rsid w:val="000948AE"/>
    <w:rsid w:val="00097374"/>
    <w:rsid w:val="000A22D5"/>
    <w:rsid w:val="000A2727"/>
    <w:rsid w:val="000A2DA7"/>
    <w:rsid w:val="000A3D3E"/>
    <w:rsid w:val="000A4D9A"/>
    <w:rsid w:val="000B046D"/>
    <w:rsid w:val="000B05E7"/>
    <w:rsid w:val="000B1C6D"/>
    <w:rsid w:val="000B5331"/>
    <w:rsid w:val="000B534E"/>
    <w:rsid w:val="000B64EC"/>
    <w:rsid w:val="000B7654"/>
    <w:rsid w:val="000C1208"/>
    <w:rsid w:val="000C3C17"/>
    <w:rsid w:val="000C3D7C"/>
    <w:rsid w:val="000C4063"/>
    <w:rsid w:val="000D1439"/>
    <w:rsid w:val="000E03E4"/>
    <w:rsid w:val="000E1D8F"/>
    <w:rsid w:val="000E2638"/>
    <w:rsid w:val="000E44C5"/>
    <w:rsid w:val="000E7F6D"/>
    <w:rsid w:val="000F3939"/>
    <w:rsid w:val="000F726C"/>
    <w:rsid w:val="000F750E"/>
    <w:rsid w:val="000F77DF"/>
    <w:rsid w:val="000F79BD"/>
    <w:rsid w:val="0010571B"/>
    <w:rsid w:val="00105C33"/>
    <w:rsid w:val="001075BE"/>
    <w:rsid w:val="001157AA"/>
    <w:rsid w:val="0011617E"/>
    <w:rsid w:val="00116462"/>
    <w:rsid w:val="00116A5C"/>
    <w:rsid w:val="00121113"/>
    <w:rsid w:val="001217BB"/>
    <w:rsid w:val="00122E23"/>
    <w:rsid w:val="001256F4"/>
    <w:rsid w:val="001262B3"/>
    <w:rsid w:val="00126837"/>
    <w:rsid w:val="00134924"/>
    <w:rsid w:val="00141376"/>
    <w:rsid w:val="001413DF"/>
    <w:rsid w:val="00142324"/>
    <w:rsid w:val="00145CCD"/>
    <w:rsid w:val="00147731"/>
    <w:rsid w:val="00147E5A"/>
    <w:rsid w:val="00147F3A"/>
    <w:rsid w:val="00151D10"/>
    <w:rsid w:val="0015700E"/>
    <w:rsid w:val="00160E6F"/>
    <w:rsid w:val="00163F8F"/>
    <w:rsid w:val="00166311"/>
    <w:rsid w:val="00171140"/>
    <w:rsid w:val="00171E1C"/>
    <w:rsid w:val="00174B46"/>
    <w:rsid w:val="001765B8"/>
    <w:rsid w:val="0017687E"/>
    <w:rsid w:val="00176DAD"/>
    <w:rsid w:val="001771D7"/>
    <w:rsid w:val="00177C28"/>
    <w:rsid w:val="00183A93"/>
    <w:rsid w:val="00183B14"/>
    <w:rsid w:val="00183D4C"/>
    <w:rsid w:val="00185A34"/>
    <w:rsid w:val="00186185"/>
    <w:rsid w:val="001867D0"/>
    <w:rsid w:val="001874AE"/>
    <w:rsid w:val="00187D1A"/>
    <w:rsid w:val="00192233"/>
    <w:rsid w:val="00192A81"/>
    <w:rsid w:val="00192BF7"/>
    <w:rsid w:val="00194388"/>
    <w:rsid w:val="0019452D"/>
    <w:rsid w:val="00195A32"/>
    <w:rsid w:val="001961F4"/>
    <w:rsid w:val="0019785E"/>
    <w:rsid w:val="0019785F"/>
    <w:rsid w:val="001A0AB3"/>
    <w:rsid w:val="001A1A33"/>
    <w:rsid w:val="001A2726"/>
    <w:rsid w:val="001A36B8"/>
    <w:rsid w:val="001A4817"/>
    <w:rsid w:val="001A57D9"/>
    <w:rsid w:val="001A5A47"/>
    <w:rsid w:val="001A7A0F"/>
    <w:rsid w:val="001B073A"/>
    <w:rsid w:val="001B16B3"/>
    <w:rsid w:val="001B2B41"/>
    <w:rsid w:val="001B580C"/>
    <w:rsid w:val="001B5D77"/>
    <w:rsid w:val="001C00FD"/>
    <w:rsid w:val="001C0402"/>
    <w:rsid w:val="001C0EA8"/>
    <w:rsid w:val="001C3538"/>
    <w:rsid w:val="001C5A95"/>
    <w:rsid w:val="001C6529"/>
    <w:rsid w:val="001D04D5"/>
    <w:rsid w:val="001D09DC"/>
    <w:rsid w:val="001D33F3"/>
    <w:rsid w:val="001D3C87"/>
    <w:rsid w:val="001D6917"/>
    <w:rsid w:val="001D6D85"/>
    <w:rsid w:val="001D79C1"/>
    <w:rsid w:val="001E0A91"/>
    <w:rsid w:val="001E410A"/>
    <w:rsid w:val="001F02DC"/>
    <w:rsid w:val="001F1552"/>
    <w:rsid w:val="001F3097"/>
    <w:rsid w:val="001F30B4"/>
    <w:rsid w:val="001F3C6A"/>
    <w:rsid w:val="001F6BDE"/>
    <w:rsid w:val="0020011A"/>
    <w:rsid w:val="00203457"/>
    <w:rsid w:val="00203F89"/>
    <w:rsid w:val="002052B2"/>
    <w:rsid w:val="00205A45"/>
    <w:rsid w:val="0020729A"/>
    <w:rsid w:val="00215D15"/>
    <w:rsid w:val="00222345"/>
    <w:rsid w:val="00225BFC"/>
    <w:rsid w:val="00226D6E"/>
    <w:rsid w:val="00227170"/>
    <w:rsid w:val="00227670"/>
    <w:rsid w:val="002349B5"/>
    <w:rsid w:val="002368B7"/>
    <w:rsid w:val="00240228"/>
    <w:rsid w:val="002417A9"/>
    <w:rsid w:val="00242EE7"/>
    <w:rsid w:val="00246FF1"/>
    <w:rsid w:val="002501CF"/>
    <w:rsid w:val="0025107D"/>
    <w:rsid w:val="0025118E"/>
    <w:rsid w:val="0025202B"/>
    <w:rsid w:val="00253772"/>
    <w:rsid w:val="00253F5B"/>
    <w:rsid w:val="00255F72"/>
    <w:rsid w:val="0025694F"/>
    <w:rsid w:val="00257144"/>
    <w:rsid w:val="002610E3"/>
    <w:rsid w:val="002642D7"/>
    <w:rsid w:val="0026523A"/>
    <w:rsid w:val="00265522"/>
    <w:rsid w:val="00266335"/>
    <w:rsid w:val="002671C3"/>
    <w:rsid w:val="00270A86"/>
    <w:rsid w:val="00271579"/>
    <w:rsid w:val="00274508"/>
    <w:rsid w:val="00274AD3"/>
    <w:rsid w:val="00282205"/>
    <w:rsid w:val="00284DE3"/>
    <w:rsid w:val="00284DE4"/>
    <w:rsid w:val="0028599E"/>
    <w:rsid w:val="00286152"/>
    <w:rsid w:val="00287AB7"/>
    <w:rsid w:val="00287F27"/>
    <w:rsid w:val="002920F4"/>
    <w:rsid w:val="0029260D"/>
    <w:rsid w:val="00292C34"/>
    <w:rsid w:val="0029462A"/>
    <w:rsid w:val="00296219"/>
    <w:rsid w:val="002A04BC"/>
    <w:rsid w:val="002A04F2"/>
    <w:rsid w:val="002A1205"/>
    <w:rsid w:val="002A18D5"/>
    <w:rsid w:val="002A72E7"/>
    <w:rsid w:val="002B0E16"/>
    <w:rsid w:val="002B153F"/>
    <w:rsid w:val="002B1BAD"/>
    <w:rsid w:val="002B205A"/>
    <w:rsid w:val="002B2CFB"/>
    <w:rsid w:val="002B3B3C"/>
    <w:rsid w:val="002B4D81"/>
    <w:rsid w:val="002B657D"/>
    <w:rsid w:val="002B72CA"/>
    <w:rsid w:val="002C1634"/>
    <w:rsid w:val="002C1A8D"/>
    <w:rsid w:val="002C1C1B"/>
    <w:rsid w:val="002C40CB"/>
    <w:rsid w:val="002C4E63"/>
    <w:rsid w:val="002C6347"/>
    <w:rsid w:val="002D2760"/>
    <w:rsid w:val="002D2A0D"/>
    <w:rsid w:val="002D2BA7"/>
    <w:rsid w:val="002D4745"/>
    <w:rsid w:val="002E1EC3"/>
    <w:rsid w:val="002E3D7E"/>
    <w:rsid w:val="002F42B6"/>
    <w:rsid w:val="002F75EC"/>
    <w:rsid w:val="003023A5"/>
    <w:rsid w:val="003024E5"/>
    <w:rsid w:val="00302C32"/>
    <w:rsid w:val="00307071"/>
    <w:rsid w:val="00310E5D"/>
    <w:rsid w:val="003119E5"/>
    <w:rsid w:val="00314704"/>
    <w:rsid w:val="0032102B"/>
    <w:rsid w:val="00321EBE"/>
    <w:rsid w:val="00325E2D"/>
    <w:rsid w:val="00325F20"/>
    <w:rsid w:val="00327140"/>
    <w:rsid w:val="00332D64"/>
    <w:rsid w:val="00334F21"/>
    <w:rsid w:val="00340A5A"/>
    <w:rsid w:val="00344FF1"/>
    <w:rsid w:val="00347AF2"/>
    <w:rsid w:val="00350F69"/>
    <w:rsid w:val="00353A87"/>
    <w:rsid w:val="00354395"/>
    <w:rsid w:val="0036106F"/>
    <w:rsid w:val="00361CAE"/>
    <w:rsid w:val="00364873"/>
    <w:rsid w:val="00366C89"/>
    <w:rsid w:val="0037020C"/>
    <w:rsid w:val="00373F31"/>
    <w:rsid w:val="00377AA6"/>
    <w:rsid w:val="00377FE0"/>
    <w:rsid w:val="003864B3"/>
    <w:rsid w:val="00390BA4"/>
    <w:rsid w:val="003911B7"/>
    <w:rsid w:val="00392BE5"/>
    <w:rsid w:val="00396ADC"/>
    <w:rsid w:val="003A138B"/>
    <w:rsid w:val="003A17E7"/>
    <w:rsid w:val="003A5FA9"/>
    <w:rsid w:val="003A7157"/>
    <w:rsid w:val="003B502C"/>
    <w:rsid w:val="003C03A5"/>
    <w:rsid w:val="003C264E"/>
    <w:rsid w:val="003C5A57"/>
    <w:rsid w:val="003C5ED0"/>
    <w:rsid w:val="003C73E5"/>
    <w:rsid w:val="003D17E7"/>
    <w:rsid w:val="003D1E24"/>
    <w:rsid w:val="003D4F54"/>
    <w:rsid w:val="003D66C8"/>
    <w:rsid w:val="003D66FA"/>
    <w:rsid w:val="003D6CFC"/>
    <w:rsid w:val="003D6D9B"/>
    <w:rsid w:val="003E0A39"/>
    <w:rsid w:val="003E36EB"/>
    <w:rsid w:val="003E41DA"/>
    <w:rsid w:val="003F0FA6"/>
    <w:rsid w:val="003F2141"/>
    <w:rsid w:val="003F4278"/>
    <w:rsid w:val="003F7502"/>
    <w:rsid w:val="003F7FE3"/>
    <w:rsid w:val="00400983"/>
    <w:rsid w:val="004035CB"/>
    <w:rsid w:val="00403AD0"/>
    <w:rsid w:val="0040471E"/>
    <w:rsid w:val="004047E8"/>
    <w:rsid w:val="004122CB"/>
    <w:rsid w:val="00415546"/>
    <w:rsid w:val="0041610E"/>
    <w:rsid w:val="00417EFF"/>
    <w:rsid w:val="00420C86"/>
    <w:rsid w:val="00422E4A"/>
    <w:rsid w:val="00423408"/>
    <w:rsid w:val="004263EF"/>
    <w:rsid w:val="00431C71"/>
    <w:rsid w:val="00433166"/>
    <w:rsid w:val="00434AF8"/>
    <w:rsid w:val="00437451"/>
    <w:rsid w:val="0043789D"/>
    <w:rsid w:val="0043797F"/>
    <w:rsid w:val="00441F16"/>
    <w:rsid w:val="00446B87"/>
    <w:rsid w:val="00450986"/>
    <w:rsid w:val="00452DF3"/>
    <w:rsid w:val="00453721"/>
    <w:rsid w:val="004558F3"/>
    <w:rsid w:val="004574CE"/>
    <w:rsid w:val="00463136"/>
    <w:rsid w:val="004634B6"/>
    <w:rsid w:val="004648D7"/>
    <w:rsid w:val="00464E1F"/>
    <w:rsid w:val="00465051"/>
    <w:rsid w:val="0046528B"/>
    <w:rsid w:val="00465EE9"/>
    <w:rsid w:val="004666F6"/>
    <w:rsid w:val="00467122"/>
    <w:rsid w:val="00471521"/>
    <w:rsid w:val="00475D91"/>
    <w:rsid w:val="00476F48"/>
    <w:rsid w:val="00477BCD"/>
    <w:rsid w:val="00481A8B"/>
    <w:rsid w:val="00483281"/>
    <w:rsid w:val="004837CA"/>
    <w:rsid w:val="00483A92"/>
    <w:rsid w:val="0049215A"/>
    <w:rsid w:val="0049314D"/>
    <w:rsid w:val="004947C4"/>
    <w:rsid w:val="00497460"/>
    <w:rsid w:val="004A1073"/>
    <w:rsid w:val="004A1C43"/>
    <w:rsid w:val="004A2BFF"/>
    <w:rsid w:val="004A39F6"/>
    <w:rsid w:val="004A406E"/>
    <w:rsid w:val="004A5503"/>
    <w:rsid w:val="004A5C15"/>
    <w:rsid w:val="004B00FA"/>
    <w:rsid w:val="004B1EE9"/>
    <w:rsid w:val="004B4996"/>
    <w:rsid w:val="004B4F95"/>
    <w:rsid w:val="004B743D"/>
    <w:rsid w:val="004C2601"/>
    <w:rsid w:val="004C2642"/>
    <w:rsid w:val="004C5332"/>
    <w:rsid w:val="004E1BF0"/>
    <w:rsid w:val="004E3FE8"/>
    <w:rsid w:val="004E5B77"/>
    <w:rsid w:val="004F0080"/>
    <w:rsid w:val="004F4D3B"/>
    <w:rsid w:val="004F6D1E"/>
    <w:rsid w:val="00502FAD"/>
    <w:rsid w:val="0050504C"/>
    <w:rsid w:val="00505590"/>
    <w:rsid w:val="00510630"/>
    <w:rsid w:val="00511F4C"/>
    <w:rsid w:val="00522192"/>
    <w:rsid w:val="00523B16"/>
    <w:rsid w:val="00524983"/>
    <w:rsid w:val="0053082B"/>
    <w:rsid w:val="005309B3"/>
    <w:rsid w:val="00531765"/>
    <w:rsid w:val="00531C1B"/>
    <w:rsid w:val="00531E9A"/>
    <w:rsid w:val="00532308"/>
    <w:rsid w:val="00536799"/>
    <w:rsid w:val="00536E5A"/>
    <w:rsid w:val="005373E6"/>
    <w:rsid w:val="00537841"/>
    <w:rsid w:val="005400ED"/>
    <w:rsid w:val="005413E0"/>
    <w:rsid w:val="00543A3D"/>
    <w:rsid w:val="00544750"/>
    <w:rsid w:val="00544971"/>
    <w:rsid w:val="00546CEA"/>
    <w:rsid w:val="00550AF1"/>
    <w:rsid w:val="00552D6B"/>
    <w:rsid w:val="0055450C"/>
    <w:rsid w:val="00554F79"/>
    <w:rsid w:val="005561AA"/>
    <w:rsid w:val="00556826"/>
    <w:rsid w:val="00556ED2"/>
    <w:rsid w:val="005570BE"/>
    <w:rsid w:val="005574D3"/>
    <w:rsid w:val="005602C1"/>
    <w:rsid w:val="005628B4"/>
    <w:rsid w:val="00566AA3"/>
    <w:rsid w:val="00567665"/>
    <w:rsid w:val="00570671"/>
    <w:rsid w:val="00572505"/>
    <w:rsid w:val="00572576"/>
    <w:rsid w:val="0057555A"/>
    <w:rsid w:val="00575A3B"/>
    <w:rsid w:val="00580917"/>
    <w:rsid w:val="00580F88"/>
    <w:rsid w:val="00581AB2"/>
    <w:rsid w:val="00583B56"/>
    <w:rsid w:val="0058706F"/>
    <w:rsid w:val="00593F02"/>
    <w:rsid w:val="00595932"/>
    <w:rsid w:val="005A29CC"/>
    <w:rsid w:val="005A55F6"/>
    <w:rsid w:val="005A7441"/>
    <w:rsid w:val="005A7B5A"/>
    <w:rsid w:val="005B0819"/>
    <w:rsid w:val="005B2784"/>
    <w:rsid w:val="005C2CC6"/>
    <w:rsid w:val="005C4891"/>
    <w:rsid w:val="005C4E5B"/>
    <w:rsid w:val="005C617C"/>
    <w:rsid w:val="005C6BBC"/>
    <w:rsid w:val="005C6C0A"/>
    <w:rsid w:val="005D007C"/>
    <w:rsid w:val="005D1A8B"/>
    <w:rsid w:val="005D22DB"/>
    <w:rsid w:val="005D23B6"/>
    <w:rsid w:val="005D26AE"/>
    <w:rsid w:val="005D7339"/>
    <w:rsid w:val="005D7653"/>
    <w:rsid w:val="005E40BA"/>
    <w:rsid w:val="005E5D50"/>
    <w:rsid w:val="005E6413"/>
    <w:rsid w:val="005E684F"/>
    <w:rsid w:val="005E6911"/>
    <w:rsid w:val="005F2064"/>
    <w:rsid w:val="005F31CC"/>
    <w:rsid w:val="005F61DD"/>
    <w:rsid w:val="005F7623"/>
    <w:rsid w:val="00603AC9"/>
    <w:rsid w:val="00604206"/>
    <w:rsid w:val="00606B8D"/>
    <w:rsid w:val="0060775D"/>
    <w:rsid w:val="00607EA5"/>
    <w:rsid w:val="00613C34"/>
    <w:rsid w:val="00622936"/>
    <w:rsid w:val="0062414D"/>
    <w:rsid w:val="0062462B"/>
    <w:rsid w:val="00624C2D"/>
    <w:rsid w:val="0063005B"/>
    <w:rsid w:val="00630E3A"/>
    <w:rsid w:val="00632CEB"/>
    <w:rsid w:val="00633245"/>
    <w:rsid w:val="00633345"/>
    <w:rsid w:val="00633A87"/>
    <w:rsid w:val="006349EB"/>
    <w:rsid w:val="00635CB6"/>
    <w:rsid w:val="0063626D"/>
    <w:rsid w:val="006363D6"/>
    <w:rsid w:val="00637990"/>
    <w:rsid w:val="00642E23"/>
    <w:rsid w:val="00644886"/>
    <w:rsid w:val="006458BE"/>
    <w:rsid w:val="00646610"/>
    <w:rsid w:val="006545E0"/>
    <w:rsid w:val="00655194"/>
    <w:rsid w:val="006559D4"/>
    <w:rsid w:val="00656DBD"/>
    <w:rsid w:val="00662EAE"/>
    <w:rsid w:val="00664E31"/>
    <w:rsid w:val="006650F7"/>
    <w:rsid w:val="006651FC"/>
    <w:rsid w:val="00671433"/>
    <w:rsid w:val="00676614"/>
    <w:rsid w:val="00682BA0"/>
    <w:rsid w:val="00683124"/>
    <w:rsid w:val="0068347D"/>
    <w:rsid w:val="00684675"/>
    <w:rsid w:val="006850A5"/>
    <w:rsid w:val="00685B16"/>
    <w:rsid w:val="00687E20"/>
    <w:rsid w:val="006913DF"/>
    <w:rsid w:val="00691963"/>
    <w:rsid w:val="00692C53"/>
    <w:rsid w:val="00694CAC"/>
    <w:rsid w:val="006A08D0"/>
    <w:rsid w:val="006A0BF9"/>
    <w:rsid w:val="006A450E"/>
    <w:rsid w:val="006A503C"/>
    <w:rsid w:val="006A512B"/>
    <w:rsid w:val="006A563F"/>
    <w:rsid w:val="006A67BC"/>
    <w:rsid w:val="006B2EB1"/>
    <w:rsid w:val="006B4415"/>
    <w:rsid w:val="006C09E1"/>
    <w:rsid w:val="006C1624"/>
    <w:rsid w:val="006C29E4"/>
    <w:rsid w:val="006C35F7"/>
    <w:rsid w:val="006C6334"/>
    <w:rsid w:val="006C7945"/>
    <w:rsid w:val="006D0B79"/>
    <w:rsid w:val="006D1982"/>
    <w:rsid w:val="006D536B"/>
    <w:rsid w:val="006D6554"/>
    <w:rsid w:val="006D67E1"/>
    <w:rsid w:val="006D753F"/>
    <w:rsid w:val="006D7BD8"/>
    <w:rsid w:val="006E582A"/>
    <w:rsid w:val="006F0EB8"/>
    <w:rsid w:val="006F2CDF"/>
    <w:rsid w:val="006F4C5E"/>
    <w:rsid w:val="006F57F0"/>
    <w:rsid w:val="006F69DC"/>
    <w:rsid w:val="006F7C1A"/>
    <w:rsid w:val="00700AA4"/>
    <w:rsid w:val="007015B6"/>
    <w:rsid w:val="00701DB5"/>
    <w:rsid w:val="00703D02"/>
    <w:rsid w:val="007061B9"/>
    <w:rsid w:val="00712242"/>
    <w:rsid w:val="00712430"/>
    <w:rsid w:val="007178BB"/>
    <w:rsid w:val="0072227A"/>
    <w:rsid w:val="00722B4C"/>
    <w:rsid w:val="007239AA"/>
    <w:rsid w:val="00724D08"/>
    <w:rsid w:val="007268D1"/>
    <w:rsid w:val="007310C6"/>
    <w:rsid w:val="00732807"/>
    <w:rsid w:val="007329AF"/>
    <w:rsid w:val="00732E8C"/>
    <w:rsid w:val="0073551A"/>
    <w:rsid w:val="00737FFA"/>
    <w:rsid w:val="00745B03"/>
    <w:rsid w:val="00745F3F"/>
    <w:rsid w:val="00746C40"/>
    <w:rsid w:val="00746EA1"/>
    <w:rsid w:val="00747AA9"/>
    <w:rsid w:val="007503BC"/>
    <w:rsid w:val="007520D8"/>
    <w:rsid w:val="00753C78"/>
    <w:rsid w:val="00756513"/>
    <w:rsid w:val="00756C6B"/>
    <w:rsid w:val="007573A5"/>
    <w:rsid w:val="00763A4F"/>
    <w:rsid w:val="00766798"/>
    <w:rsid w:val="007726BF"/>
    <w:rsid w:val="007739F3"/>
    <w:rsid w:val="0077730D"/>
    <w:rsid w:val="00782DDF"/>
    <w:rsid w:val="00783C85"/>
    <w:rsid w:val="00786B2E"/>
    <w:rsid w:val="00787BE6"/>
    <w:rsid w:val="0079277A"/>
    <w:rsid w:val="007A0689"/>
    <w:rsid w:val="007A0692"/>
    <w:rsid w:val="007A1F2E"/>
    <w:rsid w:val="007A461D"/>
    <w:rsid w:val="007A55FF"/>
    <w:rsid w:val="007A7A18"/>
    <w:rsid w:val="007B6101"/>
    <w:rsid w:val="007B66C9"/>
    <w:rsid w:val="007B7992"/>
    <w:rsid w:val="007C14E0"/>
    <w:rsid w:val="007C2165"/>
    <w:rsid w:val="007C3428"/>
    <w:rsid w:val="007C4097"/>
    <w:rsid w:val="007C4D2B"/>
    <w:rsid w:val="007C6E14"/>
    <w:rsid w:val="007C76C2"/>
    <w:rsid w:val="007D0F58"/>
    <w:rsid w:val="007D753F"/>
    <w:rsid w:val="007E0CDC"/>
    <w:rsid w:val="007E2212"/>
    <w:rsid w:val="007E2972"/>
    <w:rsid w:val="007F1C9A"/>
    <w:rsid w:val="007F3867"/>
    <w:rsid w:val="007F3C07"/>
    <w:rsid w:val="007F6D63"/>
    <w:rsid w:val="007F76BC"/>
    <w:rsid w:val="007F7959"/>
    <w:rsid w:val="0080062C"/>
    <w:rsid w:val="00801A18"/>
    <w:rsid w:val="00801B01"/>
    <w:rsid w:val="00803C1B"/>
    <w:rsid w:val="00804433"/>
    <w:rsid w:val="008045F3"/>
    <w:rsid w:val="00806544"/>
    <w:rsid w:val="008107E7"/>
    <w:rsid w:val="0081107B"/>
    <w:rsid w:val="0081274F"/>
    <w:rsid w:val="00815F5B"/>
    <w:rsid w:val="00816899"/>
    <w:rsid w:val="00822BAE"/>
    <w:rsid w:val="008237C6"/>
    <w:rsid w:val="00825ABF"/>
    <w:rsid w:val="00826541"/>
    <w:rsid w:val="00830151"/>
    <w:rsid w:val="00830E15"/>
    <w:rsid w:val="008347D5"/>
    <w:rsid w:val="00834D4E"/>
    <w:rsid w:val="008361C0"/>
    <w:rsid w:val="00840A4A"/>
    <w:rsid w:val="00841DC5"/>
    <w:rsid w:val="00841EC9"/>
    <w:rsid w:val="00842379"/>
    <w:rsid w:val="00843083"/>
    <w:rsid w:val="0084621A"/>
    <w:rsid w:val="0085294F"/>
    <w:rsid w:val="008529AA"/>
    <w:rsid w:val="008552B9"/>
    <w:rsid w:val="00856C82"/>
    <w:rsid w:val="00857632"/>
    <w:rsid w:val="0086039F"/>
    <w:rsid w:val="008632AA"/>
    <w:rsid w:val="00866320"/>
    <w:rsid w:val="00867E55"/>
    <w:rsid w:val="00872122"/>
    <w:rsid w:val="00872BBF"/>
    <w:rsid w:val="008740E6"/>
    <w:rsid w:val="00881642"/>
    <w:rsid w:val="00881E15"/>
    <w:rsid w:val="0088347A"/>
    <w:rsid w:val="0088605A"/>
    <w:rsid w:val="0088780C"/>
    <w:rsid w:val="00890866"/>
    <w:rsid w:val="00891D5C"/>
    <w:rsid w:val="0089361A"/>
    <w:rsid w:val="0089381A"/>
    <w:rsid w:val="00893B0F"/>
    <w:rsid w:val="00894FB3"/>
    <w:rsid w:val="008964F1"/>
    <w:rsid w:val="008A1394"/>
    <w:rsid w:val="008A181E"/>
    <w:rsid w:val="008A1F97"/>
    <w:rsid w:val="008A395F"/>
    <w:rsid w:val="008A41E1"/>
    <w:rsid w:val="008B1C11"/>
    <w:rsid w:val="008B5D66"/>
    <w:rsid w:val="008B6482"/>
    <w:rsid w:val="008B7D43"/>
    <w:rsid w:val="008C0962"/>
    <w:rsid w:val="008C0A32"/>
    <w:rsid w:val="008C1DA4"/>
    <w:rsid w:val="008C2F98"/>
    <w:rsid w:val="008C3748"/>
    <w:rsid w:val="008C5A1D"/>
    <w:rsid w:val="008C6CE5"/>
    <w:rsid w:val="008D04CD"/>
    <w:rsid w:val="008D12FA"/>
    <w:rsid w:val="008D157B"/>
    <w:rsid w:val="008D26F2"/>
    <w:rsid w:val="008D5863"/>
    <w:rsid w:val="008E1451"/>
    <w:rsid w:val="008E302B"/>
    <w:rsid w:val="008E494B"/>
    <w:rsid w:val="008E5209"/>
    <w:rsid w:val="008E596C"/>
    <w:rsid w:val="008F203C"/>
    <w:rsid w:val="008F353B"/>
    <w:rsid w:val="008F5186"/>
    <w:rsid w:val="008F5D2D"/>
    <w:rsid w:val="008F6A04"/>
    <w:rsid w:val="008F6AB8"/>
    <w:rsid w:val="008F71CF"/>
    <w:rsid w:val="008F7F84"/>
    <w:rsid w:val="009005F3"/>
    <w:rsid w:val="009035F4"/>
    <w:rsid w:val="00904BAB"/>
    <w:rsid w:val="00906E60"/>
    <w:rsid w:val="0090716B"/>
    <w:rsid w:val="0091046A"/>
    <w:rsid w:val="00913742"/>
    <w:rsid w:val="00916C26"/>
    <w:rsid w:val="00916FE7"/>
    <w:rsid w:val="00920076"/>
    <w:rsid w:val="00921E1C"/>
    <w:rsid w:val="00923A0F"/>
    <w:rsid w:val="00923AB6"/>
    <w:rsid w:val="00924C21"/>
    <w:rsid w:val="00934762"/>
    <w:rsid w:val="00942C7D"/>
    <w:rsid w:val="009441A4"/>
    <w:rsid w:val="00944B24"/>
    <w:rsid w:val="0095199A"/>
    <w:rsid w:val="00953860"/>
    <w:rsid w:val="00953BCE"/>
    <w:rsid w:val="009562A1"/>
    <w:rsid w:val="00956C53"/>
    <w:rsid w:val="00957F83"/>
    <w:rsid w:val="0096073B"/>
    <w:rsid w:val="00963487"/>
    <w:rsid w:val="009665ED"/>
    <w:rsid w:val="0096727E"/>
    <w:rsid w:val="00971BB3"/>
    <w:rsid w:val="00976B2E"/>
    <w:rsid w:val="00986406"/>
    <w:rsid w:val="00986AD5"/>
    <w:rsid w:val="00993275"/>
    <w:rsid w:val="0099513B"/>
    <w:rsid w:val="0099537F"/>
    <w:rsid w:val="009958E8"/>
    <w:rsid w:val="009A07D6"/>
    <w:rsid w:val="009A17E6"/>
    <w:rsid w:val="009A22F7"/>
    <w:rsid w:val="009A76FB"/>
    <w:rsid w:val="009B4753"/>
    <w:rsid w:val="009B52B4"/>
    <w:rsid w:val="009B7250"/>
    <w:rsid w:val="009C00C4"/>
    <w:rsid w:val="009C2F71"/>
    <w:rsid w:val="009C37B2"/>
    <w:rsid w:val="009C5470"/>
    <w:rsid w:val="009C702F"/>
    <w:rsid w:val="009C73B0"/>
    <w:rsid w:val="009D5334"/>
    <w:rsid w:val="009D58BC"/>
    <w:rsid w:val="009E02FC"/>
    <w:rsid w:val="009E0CF0"/>
    <w:rsid w:val="009E21D2"/>
    <w:rsid w:val="009E25CE"/>
    <w:rsid w:val="009E4D12"/>
    <w:rsid w:val="009E570B"/>
    <w:rsid w:val="009E5C1B"/>
    <w:rsid w:val="009E5F73"/>
    <w:rsid w:val="009E6DAF"/>
    <w:rsid w:val="009E7AFF"/>
    <w:rsid w:val="009E7EF6"/>
    <w:rsid w:val="009F1218"/>
    <w:rsid w:val="009F182A"/>
    <w:rsid w:val="009F3B51"/>
    <w:rsid w:val="009F55AC"/>
    <w:rsid w:val="009F6449"/>
    <w:rsid w:val="00A026AB"/>
    <w:rsid w:val="00A04D9D"/>
    <w:rsid w:val="00A06881"/>
    <w:rsid w:val="00A1254E"/>
    <w:rsid w:val="00A159B5"/>
    <w:rsid w:val="00A2050C"/>
    <w:rsid w:val="00A2109B"/>
    <w:rsid w:val="00A21569"/>
    <w:rsid w:val="00A22BEB"/>
    <w:rsid w:val="00A27047"/>
    <w:rsid w:val="00A34E92"/>
    <w:rsid w:val="00A353FE"/>
    <w:rsid w:val="00A36D15"/>
    <w:rsid w:val="00A44031"/>
    <w:rsid w:val="00A462BB"/>
    <w:rsid w:val="00A46B53"/>
    <w:rsid w:val="00A474DE"/>
    <w:rsid w:val="00A54D8F"/>
    <w:rsid w:val="00A614E1"/>
    <w:rsid w:val="00A63970"/>
    <w:rsid w:val="00A67C42"/>
    <w:rsid w:val="00A703FD"/>
    <w:rsid w:val="00A71622"/>
    <w:rsid w:val="00A71B8A"/>
    <w:rsid w:val="00A73E45"/>
    <w:rsid w:val="00A746A1"/>
    <w:rsid w:val="00A865ED"/>
    <w:rsid w:val="00A869A3"/>
    <w:rsid w:val="00A90614"/>
    <w:rsid w:val="00A94007"/>
    <w:rsid w:val="00A95363"/>
    <w:rsid w:val="00A95568"/>
    <w:rsid w:val="00A96355"/>
    <w:rsid w:val="00AA3CEE"/>
    <w:rsid w:val="00AB0034"/>
    <w:rsid w:val="00AB3727"/>
    <w:rsid w:val="00AB58CC"/>
    <w:rsid w:val="00AC0C5E"/>
    <w:rsid w:val="00AC126E"/>
    <w:rsid w:val="00AC257E"/>
    <w:rsid w:val="00AC3CE2"/>
    <w:rsid w:val="00AC79E2"/>
    <w:rsid w:val="00AD03F4"/>
    <w:rsid w:val="00AD42D2"/>
    <w:rsid w:val="00AD48AB"/>
    <w:rsid w:val="00AD4ABF"/>
    <w:rsid w:val="00AD4DF7"/>
    <w:rsid w:val="00AD6A76"/>
    <w:rsid w:val="00AD73AB"/>
    <w:rsid w:val="00AE2D0E"/>
    <w:rsid w:val="00AE3926"/>
    <w:rsid w:val="00AE5C1B"/>
    <w:rsid w:val="00AF152C"/>
    <w:rsid w:val="00AF4517"/>
    <w:rsid w:val="00AF5ADD"/>
    <w:rsid w:val="00AF6FAE"/>
    <w:rsid w:val="00AF75B7"/>
    <w:rsid w:val="00AF764B"/>
    <w:rsid w:val="00B00279"/>
    <w:rsid w:val="00B070F2"/>
    <w:rsid w:val="00B11513"/>
    <w:rsid w:val="00B122FB"/>
    <w:rsid w:val="00B14669"/>
    <w:rsid w:val="00B15959"/>
    <w:rsid w:val="00B21671"/>
    <w:rsid w:val="00B2295D"/>
    <w:rsid w:val="00B2332F"/>
    <w:rsid w:val="00B2675F"/>
    <w:rsid w:val="00B31507"/>
    <w:rsid w:val="00B32DF8"/>
    <w:rsid w:val="00B33C58"/>
    <w:rsid w:val="00B35002"/>
    <w:rsid w:val="00B375CE"/>
    <w:rsid w:val="00B4001A"/>
    <w:rsid w:val="00B436C9"/>
    <w:rsid w:val="00B4417A"/>
    <w:rsid w:val="00B44239"/>
    <w:rsid w:val="00B444D3"/>
    <w:rsid w:val="00B4491E"/>
    <w:rsid w:val="00B455D3"/>
    <w:rsid w:val="00B46162"/>
    <w:rsid w:val="00B4726E"/>
    <w:rsid w:val="00B54A84"/>
    <w:rsid w:val="00B562B3"/>
    <w:rsid w:val="00B63041"/>
    <w:rsid w:val="00B64626"/>
    <w:rsid w:val="00B71E47"/>
    <w:rsid w:val="00B72F85"/>
    <w:rsid w:val="00B746D4"/>
    <w:rsid w:val="00B771CE"/>
    <w:rsid w:val="00B82155"/>
    <w:rsid w:val="00B83A80"/>
    <w:rsid w:val="00B83BCE"/>
    <w:rsid w:val="00B95924"/>
    <w:rsid w:val="00B9618A"/>
    <w:rsid w:val="00B968BE"/>
    <w:rsid w:val="00B96FE7"/>
    <w:rsid w:val="00BA0262"/>
    <w:rsid w:val="00BA126B"/>
    <w:rsid w:val="00BA43F2"/>
    <w:rsid w:val="00BB32F7"/>
    <w:rsid w:val="00BB37E3"/>
    <w:rsid w:val="00BB3B9E"/>
    <w:rsid w:val="00BB5833"/>
    <w:rsid w:val="00BB6A14"/>
    <w:rsid w:val="00BB7E37"/>
    <w:rsid w:val="00BC0902"/>
    <w:rsid w:val="00BC09E7"/>
    <w:rsid w:val="00BC4732"/>
    <w:rsid w:val="00BC4BEF"/>
    <w:rsid w:val="00BC706A"/>
    <w:rsid w:val="00BD3714"/>
    <w:rsid w:val="00BD3F66"/>
    <w:rsid w:val="00BD6358"/>
    <w:rsid w:val="00BD6E4F"/>
    <w:rsid w:val="00BD74D4"/>
    <w:rsid w:val="00BE03EB"/>
    <w:rsid w:val="00BE10C5"/>
    <w:rsid w:val="00BE19BC"/>
    <w:rsid w:val="00BE6E47"/>
    <w:rsid w:val="00BF09F9"/>
    <w:rsid w:val="00BF254A"/>
    <w:rsid w:val="00BF2B4D"/>
    <w:rsid w:val="00BF6055"/>
    <w:rsid w:val="00C01E9F"/>
    <w:rsid w:val="00C0298D"/>
    <w:rsid w:val="00C0612A"/>
    <w:rsid w:val="00C114C1"/>
    <w:rsid w:val="00C225A5"/>
    <w:rsid w:val="00C2298E"/>
    <w:rsid w:val="00C244D4"/>
    <w:rsid w:val="00C27FE6"/>
    <w:rsid w:val="00C31FDA"/>
    <w:rsid w:val="00C33408"/>
    <w:rsid w:val="00C33D83"/>
    <w:rsid w:val="00C34AF8"/>
    <w:rsid w:val="00C34C5B"/>
    <w:rsid w:val="00C3523A"/>
    <w:rsid w:val="00C35571"/>
    <w:rsid w:val="00C356BF"/>
    <w:rsid w:val="00C35FE6"/>
    <w:rsid w:val="00C415ED"/>
    <w:rsid w:val="00C444D0"/>
    <w:rsid w:val="00C45135"/>
    <w:rsid w:val="00C4610C"/>
    <w:rsid w:val="00C4785F"/>
    <w:rsid w:val="00C515D3"/>
    <w:rsid w:val="00C52425"/>
    <w:rsid w:val="00C52789"/>
    <w:rsid w:val="00C530EA"/>
    <w:rsid w:val="00C53B98"/>
    <w:rsid w:val="00C5406E"/>
    <w:rsid w:val="00C554B1"/>
    <w:rsid w:val="00C64DAA"/>
    <w:rsid w:val="00C65A9D"/>
    <w:rsid w:val="00C735B3"/>
    <w:rsid w:val="00C77893"/>
    <w:rsid w:val="00C80A92"/>
    <w:rsid w:val="00C8388D"/>
    <w:rsid w:val="00C900D3"/>
    <w:rsid w:val="00C91CA3"/>
    <w:rsid w:val="00C929A8"/>
    <w:rsid w:val="00C92C1B"/>
    <w:rsid w:val="00C95E93"/>
    <w:rsid w:val="00CA04BF"/>
    <w:rsid w:val="00CA0AEA"/>
    <w:rsid w:val="00CA256B"/>
    <w:rsid w:val="00CA5550"/>
    <w:rsid w:val="00CA6892"/>
    <w:rsid w:val="00CA7D41"/>
    <w:rsid w:val="00CB0388"/>
    <w:rsid w:val="00CB73DD"/>
    <w:rsid w:val="00CC143E"/>
    <w:rsid w:val="00CC1C40"/>
    <w:rsid w:val="00CC3365"/>
    <w:rsid w:val="00CC33B5"/>
    <w:rsid w:val="00CC35FB"/>
    <w:rsid w:val="00CC54E7"/>
    <w:rsid w:val="00CC59AF"/>
    <w:rsid w:val="00CC6903"/>
    <w:rsid w:val="00CC752D"/>
    <w:rsid w:val="00CD0982"/>
    <w:rsid w:val="00CD1108"/>
    <w:rsid w:val="00CD2B8E"/>
    <w:rsid w:val="00CD2C4A"/>
    <w:rsid w:val="00CD77CF"/>
    <w:rsid w:val="00CE1CD0"/>
    <w:rsid w:val="00CE21D4"/>
    <w:rsid w:val="00CE336C"/>
    <w:rsid w:val="00CE3724"/>
    <w:rsid w:val="00CE3E6E"/>
    <w:rsid w:val="00CF2E6F"/>
    <w:rsid w:val="00CF5837"/>
    <w:rsid w:val="00CF6FE3"/>
    <w:rsid w:val="00D00050"/>
    <w:rsid w:val="00D032B2"/>
    <w:rsid w:val="00D04B15"/>
    <w:rsid w:val="00D06816"/>
    <w:rsid w:val="00D1258F"/>
    <w:rsid w:val="00D127BA"/>
    <w:rsid w:val="00D13370"/>
    <w:rsid w:val="00D177E1"/>
    <w:rsid w:val="00D206F7"/>
    <w:rsid w:val="00D2151D"/>
    <w:rsid w:val="00D24FEB"/>
    <w:rsid w:val="00D31EF3"/>
    <w:rsid w:val="00D32185"/>
    <w:rsid w:val="00D35BF7"/>
    <w:rsid w:val="00D36887"/>
    <w:rsid w:val="00D371B2"/>
    <w:rsid w:val="00D41385"/>
    <w:rsid w:val="00D4226C"/>
    <w:rsid w:val="00D42EDF"/>
    <w:rsid w:val="00D4375F"/>
    <w:rsid w:val="00D46479"/>
    <w:rsid w:val="00D514D7"/>
    <w:rsid w:val="00D57E85"/>
    <w:rsid w:val="00D62819"/>
    <w:rsid w:val="00D633E2"/>
    <w:rsid w:val="00D643C7"/>
    <w:rsid w:val="00D678A1"/>
    <w:rsid w:val="00D70099"/>
    <w:rsid w:val="00D722A0"/>
    <w:rsid w:val="00D727AD"/>
    <w:rsid w:val="00D72809"/>
    <w:rsid w:val="00D74376"/>
    <w:rsid w:val="00D755D8"/>
    <w:rsid w:val="00D75665"/>
    <w:rsid w:val="00D768FC"/>
    <w:rsid w:val="00D8042E"/>
    <w:rsid w:val="00D8083C"/>
    <w:rsid w:val="00D81756"/>
    <w:rsid w:val="00D82AF6"/>
    <w:rsid w:val="00D83568"/>
    <w:rsid w:val="00D83B30"/>
    <w:rsid w:val="00D871B1"/>
    <w:rsid w:val="00D8755D"/>
    <w:rsid w:val="00D911E6"/>
    <w:rsid w:val="00D93B3E"/>
    <w:rsid w:val="00D953DD"/>
    <w:rsid w:val="00D97047"/>
    <w:rsid w:val="00D97407"/>
    <w:rsid w:val="00D979ED"/>
    <w:rsid w:val="00DA08BE"/>
    <w:rsid w:val="00DA4EEB"/>
    <w:rsid w:val="00DA5695"/>
    <w:rsid w:val="00DA5E69"/>
    <w:rsid w:val="00DA6362"/>
    <w:rsid w:val="00DB07FA"/>
    <w:rsid w:val="00DB2ACF"/>
    <w:rsid w:val="00DB4117"/>
    <w:rsid w:val="00DB654E"/>
    <w:rsid w:val="00DB6571"/>
    <w:rsid w:val="00DC041C"/>
    <w:rsid w:val="00DC66CE"/>
    <w:rsid w:val="00DC77C4"/>
    <w:rsid w:val="00DD092B"/>
    <w:rsid w:val="00DD0A79"/>
    <w:rsid w:val="00DD1E30"/>
    <w:rsid w:val="00DD21E1"/>
    <w:rsid w:val="00DD7320"/>
    <w:rsid w:val="00DE1165"/>
    <w:rsid w:val="00DE3529"/>
    <w:rsid w:val="00DE485E"/>
    <w:rsid w:val="00DE7317"/>
    <w:rsid w:val="00DE78C4"/>
    <w:rsid w:val="00DF0CE3"/>
    <w:rsid w:val="00DF5D07"/>
    <w:rsid w:val="00E00EC8"/>
    <w:rsid w:val="00E00F09"/>
    <w:rsid w:val="00E02810"/>
    <w:rsid w:val="00E02BD6"/>
    <w:rsid w:val="00E04E26"/>
    <w:rsid w:val="00E0555E"/>
    <w:rsid w:val="00E06518"/>
    <w:rsid w:val="00E06F6A"/>
    <w:rsid w:val="00E07305"/>
    <w:rsid w:val="00E07F48"/>
    <w:rsid w:val="00E12E53"/>
    <w:rsid w:val="00E13D83"/>
    <w:rsid w:val="00E16554"/>
    <w:rsid w:val="00E20123"/>
    <w:rsid w:val="00E22147"/>
    <w:rsid w:val="00E27918"/>
    <w:rsid w:val="00E30D6C"/>
    <w:rsid w:val="00E310B6"/>
    <w:rsid w:val="00E33670"/>
    <w:rsid w:val="00E35043"/>
    <w:rsid w:val="00E35E4F"/>
    <w:rsid w:val="00E36813"/>
    <w:rsid w:val="00E43056"/>
    <w:rsid w:val="00E44E21"/>
    <w:rsid w:val="00E53C0B"/>
    <w:rsid w:val="00E5609E"/>
    <w:rsid w:val="00E56D32"/>
    <w:rsid w:val="00E6051B"/>
    <w:rsid w:val="00E611AF"/>
    <w:rsid w:val="00E61D53"/>
    <w:rsid w:val="00E62229"/>
    <w:rsid w:val="00E63223"/>
    <w:rsid w:val="00E63A56"/>
    <w:rsid w:val="00E64082"/>
    <w:rsid w:val="00E66C0C"/>
    <w:rsid w:val="00E778AB"/>
    <w:rsid w:val="00E82FBF"/>
    <w:rsid w:val="00E839BB"/>
    <w:rsid w:val="00E83D45"/>
    <w:rsid w:val="00E86E52"/>
    <w:rsid w:val="00E92F42"/>
    <w:rsid w:val="00E95522"/>
    <w:rsid w:val="00EA1E18"/>
    <w:rsid w:val="00EA55F3"/>
    <w:rsid w:val="00EA5D33"/>
    <w:rsid w:val="00EA6EDB"/>
    <w:rsid w:val="00EA78E8"/>
    <w:rsid w:val="00EA7CD6"/>
    <w:rsid w:val="00EB116A"/>
    <w:rsid w:val="00EB18AF"/>
    <w:rsid w:val="00EB1BBD"/>
    <w:rsid w:val="00EB4BD9"/>
    <w:rsid w:val="00EB7890"/>
    <w:rsid w:val="00EC151D"/>
    <w:rsid w:val="00EC2914"/>
    <w:rsid w:val="00EC3041"/>
    <w:rsid w:val="00EC7A97"/>
    <w:rsid w:val="00EC7E1E"/>
    <w:rsid w:val="00ED07FD"/>
    <w:rsid w:val="00ED0A6C"/>
    <w:rsid w:val="00ED1BB6"/>
    <w:rsid w:val="00ED1E54"/>
    <w:rsid w:val="00ED3937"/>
    <w:rsid w:val="00ED61B9"/>
    <w:rsid w:val="00ED68D0"/>
    <w:rsid w:val="00EE1872"/>
    <w:rsid w:val="00EE315A"/>
    <w:rsid w:val="00EE3D63"/>
    <w:rsid w:val="00EE3FAB"/>
    <w:rsid w:val="00EF17B5"/>
    <w:rsid w:val="00EF3243"/>
    <w:rsid w:val="00EF43FE"/>
    <w:rsid w:val="00F00A71"/>
    <w:rsid w:val="00F050B1"/>
    <w:rsid w:val="00F12C11"/>
    <w:rsid w:val="00F133A5"/>
    <w:rsid w:val="00F13507"/>
    <w:rsid w:val="00F14A27"/>
    <w:rsid w:val="00F15164"/>
    <w:rsid w:val="00F20D53"/>
    <w:rsid w:val="00F25324"/>
    <w:rsid w:val="00F2634D"/>
    <w:rsid w:val="00F33D0B"/>
    <w:rsid w:val="00F366EA"/>
    <w:rsid w:val="00F37EF7"/>
    <w:rsid w:val="00F42FBC"/>
    <w:rsid w:val="00F44DC2"/>
    <w:rsid w:val="00F525E3"/>
    <w:rsid w:val="00F558B2"/>
    <w:rsid w:val="00F60034"/>
    <w:rsid w:val="00F60ADC"/>
    <w:rsid w:val="00F614BA"/>
    <w:rsid w:val="00F61709"/>
    <w:rsid w:val="00F62CB8"/>
    <w:rsid w:val="00F62D40"/>
    <w:rsid w:val="00F65092"/>
    <w:rsid w:val="00F65721"/>
    <w:rsid w:val="00F66D2D"/>
    <w:rsid w:val="00F6796C"/>
    <w:rsid w:val="00F80EC9"/>
    <w:rsid w:val="00F8144D"/>
    <w:rsid w:val="00F847F2"/>
    <w:rsid w:val="00F85F3B"/>
    <w:rsid w:val="00F90F1B"/>
    <w:rsid w:val="00F92A5C"/>
    <w:rsid w:val="00F935C9"/>
    <w:rsid w:val="00F95038"/>
    <w:rsid w:val="00F96E1C"/>
    <w:rsid w:val="00F96E78"/>
    <w:rsid w:val="00F97655"/>
    <w:rsid w:val="00FA2DEB"/>
    <w:rsid w:val="00FA3028"/>
    <w:rsid w:val="00FA4313"/>
    <w:rsid w:val="00FA4937"/>
    <w:rsid w:val="00FA5402"/>
    <w:rsid w:val="00FA604D"/>
    <w:rsid w:val="00FA6606"/>
    <w:rsid w:val="00FA7F6F"/>
    <w:rsid w:val="00FB0D5A"/>
    <w:rsid w:val="00FB6EEA"/>
    <w:rsid w:val="00FB75B0"/>
    <w:rsid w:val="00FB7BF2"/>
    <w:rsid w:val="00FC0EE6"/>
    <w:rsid w:val="00FC126C"/>
    <w:rsid w:val="00FC3602"/>
    <w:rsid w:val="00FC4756"/>
    <w:rsid w:val="00FC4948"/>
    <w:rsid w:val="00FC5F15"/>
    <w:rsid w:val="00FC7659"/>
    <w:rsid w:val="00FD1DDB"/>
    <w:rsid w:val="00FE0E59"/>
    <w:rsid w:val="00FE1714"/>
    <w:rsid w:val="00FE2B49"/>
    <w:rsid w:val="00FE2B9C"/>
    <w:rsid w:val="00FE42BC"/>
    <w:rsid w:val="00FF4A25"/>
    <w:rsid w:val="00FF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114ECD"/>
  <w15:chartTrackingRefBased/>
  <w15:docId w15:val="{FBD8DE81-33E8-4F9F-BE32-DE2352EE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5D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515D3"/>
    <w:pPr>
      <w:ind w:left="990" w:hanging="270"/>
    </w:pPr>
  </w:style>
  <w:style w:type="paragraph" w:customStyle="1" w:styleId="Level2">
    <w:name w:val="Level 2"/>
    <w:basedOn w:val="Normal"/>
    <w:rsid w:val="00C515D3"/>
    <w:pPr>
      <w:ind w:left="990" w:hanging="270"/>
    </w:pPr>
  </w:style>
  <w:style w:type="paragraph" w:customStyle="1" w:styleId="Level3">
    <w:name w:val="Level 3"/>
    <w:basedOn w:val="Normal"/>
    <w:rsid w:val="00C515D3"/>
    <w:pPr>
      <w:tabs>
        <w:tab w:val="num" w:pos="2160"/>
      </w:tabs>
      <w:ind w:left="1350" w:hanging="360"/>
      <w:outlineLvl w:val="2"/>
    </w:pPr>
  </w:style>
  <w:style w:type="paragraph" w:styleId="FootnoteText">
    <w:name w:val="footnote text"/>
    <w:basedOn w:val="Normal"/>
    <w:link w:val="FootnoteTextChar"/>
    <w:rsid w:val="00C515D3"/>
    <w:rPr>
      <w:sz w:val="20"/>
      <w:szCs w:val="20"/>
    </w:rPr>
  </w:style>
  <w:style w:type="character" w:styleId="FootnoteReference">
    <w:name w:val="footnote reference"/>
    <w:semiHidden/>
    <w:rsid w:val="00C515D3"/>
    <w:rPr>
      <w:vertAlign w:val="superscript"/>
    </w:rPr>
  </w:style>
  <w:style w:type="character" w:styleId="Emphasis">
    <w:name w:val="Emphasis"/>
    <w:qFormat/>
    <w:rsid w:val="00091502"/>
    <w:rPr>
      <w:i/>
      <w:iCs/>
    </w:rPr>
  </w:style>
  <w:style w:type="paragraph" w:styleId="BalloonText">
    <w:name w:val="Balloon Text"/>
    <w:basedOn w:val="Normal"/>
    <w:semiHidden/>
    <w:rsid w:val="003911B7"/>
    <w:rPr>
      <w:rFonts w:ascii="Tahoma" w:hAnsi="Tahoma" w:cs="Tahoma"/>
      <w:sz w:val="16"/>
      <w:szCs w:val="16"/>
    </w:rPr>
  </w:style>
  <w:style w:type="character" w:styleId="CommentReference">
    <w:name w:val="annotation reference"/>
    <w:semiHidden/>
    <w:rsid w:val="004B1EE9"/>
    <w:rPr>
      <w:sz w:val="16"/>
      <w:szCs w:val="16"/>
    </w:rPr>
  </w:style>
  <w:style w:type="paragraph" w:styleId="CommentText">
    <w:name w:val="annotation text"/>
    <w:basedOn w:val="Normal"/>
    <w:semiHidden/>
    <w:rsid w:val="004B1EE9"/>
    <w:rPr>
      <w:sz w:val="20"/>
      <w:szCs w:val="20"/>
    </w:rPr>
  </w:style>
  <w:style w:type="paragraph" w:styleId="CommentSubject">
    <w:name w:val="annotation subject"/>
    <w:basedOn w:val="CommentText"/>
    <w:next w:val="CommentText"/>
    <w:semiHidden/>
    <w:rsid w:val="004B1EE9"/>
    <w:rPr>
      <w:b/>
      <w:bCs/>
    </w:rPr>
  </w:style>
  <w:style w:type="paragraph" w:styleId="Footer">
    <w:name w:val="footer"/>
    <w:basedOn w:val="Normal"/>
    <w:link w:val="FooterChar"/>
    <w:uiPriority w:val="99"/>
    <w:rsid w:val="006D753F"/>
    <w:pPr>
      <w:tabs>
        <w:tab w:val="center" w:pos="4320"/>
        <w:tab w:val="right" w:pos="8640"/>
      </w:tabs>
    </w:pPr>
  </w:style>
  <w:style w:type="character" w:styleId="PageNumber">
    <w:name w:val="page number"/>
    <w:basedOn w:val="DefaultParagraphFont"/>
    <w:rsid w:val="006D753F"/>
  </w:style>
  <w:style w:type="character" w:styleId="Hyperlink">
    <w:name w:val="Hyperlink"/>
    <w:uiPriority w:val="99"/>
    <w:rsid w:val="00E02810"/>
    <w:rPr>
      <w:color w:val="0000FF"/>
      <w:u w:val="single"/>
    </w:rPr>
  </w:style>
  <w:style w:type="table" w:styleId="TableGrid">
    <w:name w:val="Table Grid"/>
    <w:basedOn w:val="TableNormal"/>
    <w:rsid w:val="003E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FBF"/>
    <w:pPr>
      <w:autoSpaceDE w:val="0"/>
      <w:autoSpaceDN w:val="0"/>
      <w:adjustRightInd w:val="0"/>
    </w:pPr>
    <w:rPr>
      <w:rFonts w:eastAsia="Calibri"/>
      <w:color w:val="000000"/>
      <w:sz w:val="24"/>
      <w:szCs w:val="24"/>
    </w:rPr>
  </w:style>
  <w:style w:type="paragraph" w:styleId="Revision">
    <w:name w:val="Revision"/>
    <w:hidden/>
    <w:uiPriority w:val="99"/>
    <w:semiHidden/>
    <w:rsid w:val="00CE336C"/>
    <w:rPr>
      <w:sz w:val="24"/>
      <w:szCs w:val="24"/>
    </w:rPr>
  </w:style>
  <w:style w:type="paragraph" w:styleId="Header">
    <w:name w:val="header"/>
    <w:basedOn w:val="Normal"/>
    <w:link w:val="HeaderChar"/>
    <w:uiPriority w:val="99"/>
    <w:rsid w:val="00B444D3"/>
    <w:pPr>
      <w:tabs>
        <w:tab w:val="center" w:pos="4680"/>
        <w:tab w:val="right" w:pos="9360"/>
      </w:tabs>
    </w:pPr>
  </w:style>
  <w:style w:type="character" w:customStyle="1" w:styleId="HeaderChar">
    <w:name w:val="Header Char"/>
    <w:link w:val="Header"/>
    <w:uiPriority w:val="99"/>
    <w:rsid w:val="00B444D3"/>
    <w:rPr>
      <w:sz w:val="24"/>
      <w:szCs w:val="24"/>
    </w:rPr>
  </w:style>
  <w:style w:type="character" w:customStyle="1" w:styleId="FooterChar">
    <w:name w:val="Footer Char"/>
    <w:link w:val="Footer"/>
    <w:uiPriority w:val="99"/>
    <w:rsid w:val="00D75665"/>
    <w:rPr>
      <w:sz w:val="24"/>
      <w:szCs w:val="24"/>
    </w:rPr>
  </w:style>
  <w:style w:type="character" w:customStyle="1" w:styleId="FootnoteTextChar">
    <w:name w:val="Footnote Text Char"/>
    <w:link w:val="FootnoteText"/>
    <w:rsid w:val="001D33F3"/>
  </w:style>
  <w:style w:type="character" w:styleId="FollowedHyperlink">
    <w:name w:val="FollowedHyperlink"/>
    <w:rsid w:val="007F7959"/>
    <w:rPr>
      <w:color w:val="800080"/>
      <w:u w:val="single"/>
    </w:rPr>
  </w:style>
  <w:style w:type="paragraph" w:styleId="HTMLPreformatted">
    <w:name w:val="HTML Preformatted"/>
    <w:basedOn w:val="Normal"/>
    <w:link w:val="HTMLPreformattedChar"/>
    <w:uiPriority w:val="99"/>
    <w:unhideWhenUsed/>
    <w:rsid w:val="002501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2501C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8576">
      <w:bodyDiv w:val="1"/>
      <w:marLeft w:val="0"/>
      <w:marRight w:val="0"/>
      <w:marTop w:val="0"/>
      <w:marBottom w:val="0"/>
      <w:divBdr>
        <w:top w:val="none" w:sz="0" w:space="0" w:color="auto"/>
        <w:left w:val="none" w:sz="0" w:space="0" w:color="auto"/>
        <w:bottom w:val="none" w:sz="0" w:space="0" w:color="auto"/>
        <w:right w:val="none" w:sz="0" w:space="0" w:color="auto"/>
      </w:divBdr>
    </w:div>
    <w:div w:id="986663719">
      <w:bodyDiv w:val="1"/>
      <w:marLeft w:val="0"/>
      <w:marRight w:val="0"/>
      <w:marTop w:val="0"/>
      <w:marBottom w:val="0"/>
      <w:divBdr>
        <w:top w:val="none" w:sz="0" w:space="0" w:color="auto"/>
        <w:left w:val="none" w:sz="0" w:space="0" w:color="auto"/>
        <w:bottom w:val="none" w:sz="0" w:space="0" w:color="auto"/>
        <w:right w:val="none" w:sz="0" w:space="0" w:color="auto"/>
      </w:divBdr>
      <w:divsChild>
        <w:div w:id="134953529">
          <w:marLeft w:val="0"/>
          <w:marRight w:val="0"/>
          <w:marTop w:val="0"/>
          <w:marBottom w:val="0"/>
          <w:divBdr>
            <w:top w:val="none" w:sz="0" w:space="0" w:color="auto"/>
            <w:left w:val="none" w:sz="0" w:space="0" w:color="auto"/>
            <w:bottom w:val="none" w:sz="0" w:space="0" w:color="auto"/>
            <w:right w:val="none" w:sz="0" w:space="0" w:color="auto"/>
          </w:divBdr>
          <w:divsChild>
            <w:div w:id="1370573349">
              <w:marLeft w:val="0"/>
              <w:marRight w:val="0"/>
              <w:marTop w:val="0"/>
              <w:marBottom w:val="0"/>
              <w:divBdr>
                <w:top w:val="none" w:sz="0" w:space="0" w:color="auto"/>
                <w:left w:val="none" w:sz="0" w:space="0" w:color="auto"/>
                <w:bottom w:val="none" w:sz="0" w:space="0" w:color="auto"/>
                <w:right w:val="none" w:sz="0" w:space="0" w:color="auto"/>
              </w:divBdr>
              <w:divsChild>
                <w:div w:id="14002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7557">
      <w:bodyDiv w:val="1"/>
      <w:marLeft w:val="0"/>
      <w:marRight w:val="0"/>
      <w:marTop w:val="0"/>
      <w:marBottom w:val="0"/>
      <w:divBdr>
        <w:top w:val="none" w:sz="0" w:space="0" w:color="auto"/>
        <w:left w:val="none" w:sz="0" w:space="0" w:color="auto"/>
        <w:bottom w:val="none" w:sz="0" w:space="0" w:color="auto"/>
        <w:right w:val="none" w:sz="0" w:space="0" w:color="auto"/>
      </w:divBdr>
    </w:div>
    <w:div w:id="1718239451">
      <w:bodyDiv w:val="1"/>
      <w:marLeft w:val="0"/>
      <w:marRight w:val="0"/>
      <w:marTop w:val="0"/>
      <w:marBottom w:val="0"/>
      <w:divBdr>
        <w:top w:val="none" w:sz="0" w:space="0" w:color="auto"/>
        <w:left w:val="none" w:sz="0" w:space="0" w:color="auto"/>
        <w:bottom w:val="none" w:sz="0" w:space="0" w:color="auto"/>
        <w:right w:val="none" w:sz="0" w:space="0" w:color="auto"/>
      </w:divBdr>
      <w:divsChild>
        <w:div w:id="758142067">
          <w:marLeft w:val="0"/>
          <w:marRight w:val="0"/>
          <w:marTop w:val="0"/>
          <w:marBottom w:val="0"/>
          <w:divBdr>
            <w:top w:val="none" w:sz="0" w:space="0" w:color="auto"/>
            <w:left w:val="none" w:sz="0" w:space="0" w:color="auto"/>
            <w:bottom w:val="none" w:sz="0" w:space="0" w:color="auto"/>
            <w:right w:val="none" w:sz="0" w:space="0" w:color="auto"/>
          </w:divBdr>
        </w:div>
        <w:div w:id="1445611271">
          <w:marLeft w:val="0"/>
          <w:marRight w:val="0"/>
          <w:marTop w:val="0"/>
          <w:marBottom w:val="0"/>
          <w:divBdr>
            <w:top w:val="none" w:sz="0" w:space="0" w:color="auto"/>
            <w:left w:val="none" w:sz="0" w:space="0" w:color="auto"/>
            <w:bottom w:val="none" w:sz="0" w:space="0" w:color="auto"/>
            <w:right w:val="none" w:sz="0" w:space="0" w:color="auto"/>
          </w:divBdr>
        </w:div>
        <w:div w:id="1521550926">
          <w:marLeft w:val="0"/>
          <w:marRight w:val="0"/>
          <w:marTop w:val="0"/>
          <w:marBottom w:val="0"/>
          <w:divBdr>
            <w:top w:val="none" w:sz="0" w:space="0" w:color="auto"/>
            <w:left w:val="none" w:sz="0" w:space="0" w:color="auto"/>
            <w:bottom w:val="none" w:sz="0" w:space="0" w:color="auto"/>
            <w:right w:val="none" w:sz="0" w:space="0" w:color="auto"/>
          </w:divBdr>
        </w:div>
        <w:div w:id="1702047299">
          <w:marLeft w:val="0"/>
          <w:marRight w:val="0"/>
          <w:marTop w:val="0"/>
          <w:marBottom w:val="0"/>
          <w:divBdr>
            <w:top w:val="none" w:sz="0" w:space="0" w:color="auto"/>
            <w:left w:val="none" w:sz="0" w:space="0" w:color="auto"/>
            <w:bottom w:val="none" w:sz="0" w:space="0" w:color="auto"/>
            <w:right w:val="none" w:sz="0" w:space="0" w:color="auto"/>
          </w:divBdr>
        </w:div>
      </w:divsChild>
    </w:div>
    <w:div w:id="1735545522">
      <w:bodyDiv w:val="1"/>
      <w:marLeft w:val="0"/>
      <w:marRight w:val="0"/>
      <w:marTop w:val="0"/>
      <w:marBottom w:val="0"/>
      <w:divBdr>
        <w:top w:val="none" w:sz="0" w:space="0" w:color="auto"/>
        <w:left w:val="none" w:sz="0" w:space="0" w:color="auto"/>
        <w:bottom w:val="none" w:sz="0" w:space="0" w:color="auto"/>
        <w:right w:val="none" w:sz="0" w:space="0" w:color="auto"/>
      </w:divBdr>
    </w:div>
    <w:div w:id="1907299275">
      <w:bodyDiv w:val="1"/>
      <w:marLeft w:val="0"/>
      <w:marRight w:val="0"/>
      <w:marTop w:val="0"/>
      <w:marBottom w:val="0"/>
      <w:divBdr>
        <w:top w:val="none" w:sz="0" w:space="0" w:color="auto"/>
        <w:left w:val="none" w:sz="0" w:space="0" w:color="auto"/>
        <w:bottom w:val="none" w:sz="0" w:space="0" w:color="auto"/>
        <w:right w:val="none" w:sz="0" w:space="0" w:color="auto"/>
      </w:divBdr>
    </w:div>
    <w:div w:id="2056267980">
      <w:bodyDiv w:val="1"/>
      <w:marLeft w:val="0"/>
      <w:marRight w:val="0"/>
      <w:marTop w:val="0"/>
      <w:marBottom w:val="0"/>
      <w:divBdr>
        <w:top w:val="none" w:sz="0" w:space="0" w:color="auto"/>
        <w:left w:val="none" w:sz="0" w:space="0" w:color="auto"/>
        <w:bottom w:val="none" w:sz="0" w:space="0" w:color="auto"/>
        <w:right w:val="none" w:sz="0" w:space="0" w:color="auto"/>
      </w:divBdr>
      <w:divsChild>
        <w:div w:id="1940723300">
          <w:marLeft w:val="0"/>
          <w:marRight w:val="0"/>
          <w:marTop w:val="0"/>
          <w:marBottom w:val="0"/>
          <w:divBdr>
            <w:top w:val="none" w:sz="0" w:space="0" w:color="auto"/>
            <w:left w:val="none" w:sz="0" w:space="0" w:color="auto"/>
            <w:bottom w:val="none" w:sz="0" w:space="0" w:color="auto"/>
            <w:right w:val="none" w:sz="0" w:space="0" w:color="auto"/>
          </w:divBdr>
          <w:divsChild>
            <w:div w:id="1511605643">
              <w:marLeft w:val="0"/>
              <w:marRight w:val="0"/>
              <w:marTop w:val="0"/>
              <w:marBottom w:val="0"/>
              <w:divBdr>
                <w:top w:val="none" w:sz="0" w:space="0" w:color="auto"/>
                <w:left w:val="none" w:sz="0" w:space="0" w:color="auto"/>
                <w:bottom w:val="none" w:sz="0" w:space="0" w:color="auto"/>
                <w:right w:val="none" w:sz="0" w:space="0" w:color="auto"/>
              </w:divBdr>
              <w:divsChild>
                <w:div w:id="19812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archives/ecec_09172020.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truction.com/news/dodge-momentum-index-strong-november-dec-201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truction.com/about-us/press/dodge-momentum-index-slips-in-october.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8EA1-310A-440C-B626-C104F228CDE7}">
  <ds:schemaRefs>
    <ds:schemaRef ds:uri="http://schemas.microsoft.com/sharepoint/v3/contenttype/forms"/>
  </ds:schemaRefs>
</ds:datastoreItem>
</file>

<file path=customXml/itemProps2.xml><?xml version="1.0" encoding="utf-8"?>
<ds:datastoreItem xmlns:ds="http://schemas.openxmlformats.org/officeDocument/2006/customXml" ds:itemID="{74E28E05-30C8-4F34-9E5D-BB22AD66F2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1F8C0EFB-63BA-42E1-A8B1-8B2B91440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388B7-6D2A-44B3-85F9-1C322CF6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27885</CharactersWithSpaces>
  <SharedDoc>false</SharedDoc>
  <HLinks>
    <vt:vector size="18" baseType="variant">
      <vt:variant>
        <vt:i4>6619235</vt:i4>
      </vt:variant>
      <vt:variant>
        <vt:i4>3</vt:i4>
      </vt:variant>
      <vt:variant>
        <vt:i4>0</vt:i4>
      </vt:variant>
      <vt:variant>
        <vt:i4>5</vt:i4>
      </vt:variant>
      <vt:variant>
        <vt:lpwstr>https://www.construction.com/news/dodge-momentum-index-strong-november-dec-2017</vt:lpwstr>
      </vt:variant>
      <vt:variant>
        <vt:lpwstr/>
      </vt:variant>
      <vt:variant>
        <vt:i4>1572950</vt:i4>
      </vt:variant>
      <vt:variant>
        <vt:i4>0</vt:i4>
      </vt:variant>
      <vt:variant>
        <vt:i4>0</vt:i4>
      </vt:variant>
      <vt:variant>
        <vt:i4>5</vt:i4>
      </vt:variant>
      <vt:variant>
        <vt:lpwstr>https://www.construction.com/about-us/press/dodge-momentum-index-slips-in-october.asp</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OSHA_User</dc:creator>
  <cp:keywords/>
  <cp:lastModifiedBy>Cannon, Belinda - OSHA</cp:lastModifiedBy>
  <cp:revision>2</cp:revision>
  <cp:lastPrinted>2018-04-05T22:31:00Z</cp:lastPrinted>
  <dcterms:created xsi:type="dcterms:W3CDTF">2021-02-19T20:11:00Z</dcterms:created>
  <dcterms:modified xsi:type="dcterms:W3CDTF">2021-02-19T20:11:00Z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