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8915AC" w14:paraId="1DAA9F6C" w14:textId="11C0346E">
      <w:pPr>
        <w:widowControl/>
        <w:jc w:val="center"/>
        <w:rPr>
          <w:rFonts w:ascii="Times New Roman" w:hAnsi="Times New Roman"/>
          <w:b/>
          <w:bCs/>
        </w:rPr>
      </w:pPr>
      <w:r>
        <w:rPr>
          <w:rFonts w:ascii="Times New Roman" w:hAnsi="Times New Roman"/>
          <w:b/>
          <w:bCs/>
        </w:rPr>
        <w:t xml:space="preserve"> Employment Navigator Data Collection and Matching</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404BD24D">
      <w:pPr>
        <w:widowControl/>
        <w:jc w:val="center"/>
        <w:rPr>
          <w:rFonts w:ascii="Times New Roman" w:hAnsi="Times New Roman"/>
          <w:b/>
          <w:bCs/>
        </w:rPr>
      </w:pPr>
      <w:r w:rsidRPr="00871CA6">
        <w:rPr>
          <w:rFonts w:ascii="Times New Roman" w:hAnsi="Times New Roman"/>
          <w:b/>
          <w:bCs/>
        </w:rPr>
        <w:t>OMB</w:t>
      </w:r>
      <w:r w:rsidR="00BA7A5C">
        <w:rPr>
          <w:rFonts w:ascii="Times New Roman" w:hAnsi="Times New Roman"/>
          <w:b/>
          <w:bCs/>
        </w:rPr>
        <w:t xml:space="preserve"> </w:t>
      </w:r>
      <w:r w:rsidRPr="00871CA6" w:rsidR="00690F56">
        <w:rPr>
          <w:rFonts w:ascii="Times New Roman" w:hAnsi="Times New Roman"/>
          <w:b/>
          <w:bCs/>
        </w:rPr>
        <w:t xml:space="preserve">CONTROL NO. </w:t>
      </w:r>
      <w:r w:rsidR="008915AC">
        <w:rPr>
          <w:rFonts w:ascii="Times New Roman" w:hAnsi="Times New Roman"/>
          <w:b/>
          <w:bCs/>
        </w:rPr>
        <w:t>12</w:t>
      </w:r>
      <w:r w:rsidR="00BA7A5C">
        <w:rPr>
          <w:rFonts w:ascii="Times New Roman" w:hAnsi="Times New Roman"/>
          <w:b/>
          <w:bCs/>
        </w:rPr>
        <w:t>93</w:t>
      </w:r>
      <w:r w:rsidR="008915AC">
        <w:rPr>
          <w:rFonts w:ascii="Times New Roman" w:hAnsi="Times New Roman"/>
          <w:b/>
          <w:bCs/>
        </w:rPr>
        <w:t>-</w:t>
      </w:r>
      <w:r w:rsidR="007F522C">
        <w:rPr>
          <w:rFonts w:ascii="Times New Roman" w:hAnsi="Times New Roman"/>
          <w:b/>
          <w:bCs/>
        </w:rPr>
        <w:t>TBD</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00CE3DDA">
      <w:pPr>
        <w:widowControl/>
        <w:rPr>
          <w:rFonts w:ascii="Times New Roman" w:hAnsi="Times New Roman"/>
          <w:bCs/>
        </w:rPr>
      </w:pPr>
      <w:r w:rsidRPr="00D53DEB">
        <w:rPr>
          <w:rFonts w:ascii="Times New Roman" w:hAnsi="Times New Roman"/>
          <w:bCs/>
        </w:rPr>
        <w:t xml:space="preserve">This ICR seeks to </w:t>
      </w:r>
      <w:r w:rsidR="00EE4772">
        <w:rPr>
          <w:rFonts w:ascii="Times New Roman" w:hAnsi="Times New Roman"/>
          <w:bCs/>
        </w:rPr>
        <w:t xml:space="preserve">obtain approval for a new information collection request from transitioning service members and recently separated veterans.  The purpose for the data collection will be to measure the effectiveness of Employment Navigators, who will be placed on select military bases in order to assist service members </w:t>
      </w:r>
      <w:r w:rsidR="00191F2C">
        <w:rPr>
          <w:rFonts w:ascii="Times New Roman" w:hAnsi="Times New Roman"/>
          <w:bCs/>
        </w:rPr>
        <w:t xml:space="preserve">in </w:t>
      </w:r>
      <w:r w:rsidR="00EE4772">
        <w:rPr>
          <w:rFonts w:ascii="Times New Roman" w:hAnsi="Times New Roman"/>
          <w:bCs/>
        </w:rPr>
        <w:t>effectively transition</w:t>
      </w:r>
      <w:r w:rsidR="00191F2C">
        <w:rPr>
          <w:rFonts w:ascii="Times New Roman" w:hAnsi="Times New Roman"/>
          <w:bCs/>
        </w:rPr>
        <w:t>ing</w:t>
      </w:r>
      <w:r w:rsidR="00EE4772">
        <w:rPr>
          <w:rFonts w:ascii="Times New Roman" w:hAnsi="Times New Roman"/>
          <w:bCs/>
        </w:rPr>
        <w:t xml:space="preserve"> into the civilian labor force</w:t>
      </w:r>
      <w:r w:rsidRPr="00D53DEB">
        <w:rPr>
          <w:rFonts w:ascii="Times New Roman" w:hAnsi="Times New Roman"/>
          <w:bCs/>
        </w:rPr>
        <w:t>.</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60D1BEC8">
      <w:pPr>
        <w:widowControl/>
        <w:rPr>
          <w:rFonts w:ascii="Times New Roman" w:hAnsi="Times New Roman"/>
        </w:rPr>
      </w:pPr>
    </w:p>
    <w:p w:rsidRPr="006A4D02" w:rsidR="005E3E12" w:rsidP="00690F56" w:rsidRDefault="006A4D02" w14:paraId="6990F2CB" w14:textId="7D331265">
      <w:pPr>
        <w:widowControl/>
        <w:rPr>
          <w:rFonts w:ascii="Times New Roman" w:hAnsi="Times New Roman"/>
          <w:bCs/>
        </w:rPr>
      </w:pPr>
      <w:r>
        <w:rPr>
          <w:rFonts w:ascii="Times New Roman" w:hAnsi="Times New Roman"/>
          <w:bCs/>
        </w:rPr>
        <w:t xml:space="preserve">The Department of Labor </w:t>
      </w:r>
      <w:r w:rsidR="00650517">
        <w:rPr>
          <w:rFonts w:ascii="Times New Roman" w:hAnsi="Times New Roman"/>
          <w:bCs/>
        </w:rPr>
        <w:t xml:space="preserve">(DOL) </w:t>
      </w:r>
      <w:r>
        <w:rPr>
          <w:rFonts w:ascii="Times New Roman" w:hAnsi="Times New Roman"/>
          <w:bCs/>
        </w:rPr>
        <w:t>is ta</w:t>
      </w:r>
      <w:r w:rsidR="00650517">
        <w:rPr>
          <w:rFonts w:ascii="Times New Roman" w:hAnsi="Times New Roman"/>
          <w:bCs/>
        </w:rPr>
        <w:t>sked to “</w:t>
      </w:r>
      <w:r w:rsidRPr="00650517" w:rsidR="00650517">
        <w:rPr>
          <w:rFonts w:ascii="Times New Roman" w:hAnsi="Times New Roman"/>
          <w:bCs/>
        </w:rPr>
        <w:t xml:space="preserve">establish and maintain a program to furnish counseling, assistance in identifying employment and training opportunities, help in obtaining such employment and training, and other related information and services to members of the armed forces under the jurisdiction of the Secretary concerned who are being separated from active duty and the spouses of such members” under </w:t>
      </w:r>
      <w:r w:rsidRPr="006A4D02">
        <w:rPr>
          <w:rFonts w:ascii="Times New Roman" w:hAnsi="Times New Roman"/>
          <w:bCs/>
        </w:rPr>
        <w:t xml:space="preserve">10 U.S.C. </w:t>
      </w:r>
      <w:r w:rsidRPr="006A4D02" w:rsidR="00160E33">
        <w:rPr>
          <w:rFonts w:ascii="Times New Roman" w:hAnsi="Times New Roman"/>
          <w:bCs/>
        </w:rPr>
        <w:t xml:space="preserve">§ </w:t>
      </w:r>
      <w:r w:rsidRPr="006A4D02">
        <w:rPr>
          <w:rFonts w:ascii="Times New Roman" w:hAnsi="Times New Roman"/>
          <w:bCs/>
        </w:rPr>
        <w:t>114</w:t>
      </w:r>
      <w:r w:rsidR="00160E33">
        <w:rPr>
          <w:rFonts w:ascii="Times New Roman" w:hAnsi="Times New Roman"/>
          <w:bCs/>
        </w:rPr>
        <w:t>4.</w:t>
      </w:r>
      <w:r w:rsidR="00650517">
        <w:rPr>
          <w:rFonts w:ascii="Times New Roman" w:hAnsi="Times New Roman"/>
          <w:bCs/>
        </w:rPr>
        <w:t xml:space="preserve">  As part of the Transition Assistance Program (TAP), DOL proposes to place job assistance counselors (Employment Navigators) on select military bases </w:t>
      </w:r>
      <w:r w:rsidR="005C33A1">
        <w:rPr>
          <w:rFonts w:ascii="Times New Roman" w:hAnsi="Times New Roman"/>
          <w:bCs/>
        </w:rPr>
        <w:t xml:space="preserve">to assist transitioning service members move into the civilian labor force.  </w:t>
      </w:r>
      <w:r w:rsidR="00CF0EA1">
        <w:rPr>
          <w:rFonts w:ascii="Times New Roman" w:hAnsi="Times New Roman"/>
          <w:bCs/>
        </w:rPr>
        <w:t xml:space="preserve">Employment Navigators will assist transitioning service members to get placed on a best-fit pathway for his/her desired career.  </w:t>
      </w:r>
      <w:r w:rsidR="005C33A1">
        <w:rPr>
          <w:rFonts w:ascii="Times New Roman" w:hAnsi="Times New Roman"/>
          <w:bCs/>
        </w:rPr>
        <w:t>In order to create return on investment metrics, data must be collected on the services provided by Employment Navigators, and employment-based outcomes that follow.</w:t>
      </w:r>
      <w:r w:rsidR="00CF0EA1">
        <w:rPr>
          <w:rFonts w:ascii="Times New Roman" w:hAnsi="Times New Roman"/>
          <w:bCs/>
        </w:rPr>
        <w:t xml:space="preserve">  Data is expected to be collected directly from Employment Navigators assisting transitioning service members, as well as any DOL-approved service partners who also provided job-assistance services to the service members.</w:t>
      </w:r>
    </w:p>
    <w:p w:rsidRPr="00D53DEB" w:rsidR="00690F56" w:rsidP="00690F56" w:rsidRDefault="00690F56" w14:paraId="74744673" w14:textId="77777777">
      <w:pPr>
        <w:widowControl/>
        <w:rPr>
          <w:rFonts w:ascii="Times New Roman" w:hAnsi="Times New Roman"/>
        </w:rPr>
      </w:pPr>
    </w:p>
    <w:p w:rsidR="00690F56" w:rsidP="00690F56" w:rsidRDefault="00690F56" w14:paraId="2BBF8E2F" w14:textId="70D6EEA1">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5C33A1" w:rsidP="00690F56" w:rsidRDefault="005C33A1" w14:paraId="008D90B3" w14:textId="12D4A857">
      <w:pPr>
        <w:widowControl/>
        <w:rPr>
          <w:rFonts w:ascii="Times New Roman" w:hAnsi="Times New Roman"/>
          <w:b/>
          <w:bCs/>
        </w:rPr>
      </w:pPr>
    </w:p>
    <w:p w:rsidRPr="002902FD" w:rsidR="005C33A1" w:rsidP="00690F56" w:rsidRDefault="002902FD" w14:paraId="034AD92B" w14:textId="20EB82FE">
      <w:pPr>
        <w:widowControl/>
        <w:rPr>
          <w:rFonts w:ascii="Times New Roman" w:hAnsi="Times New Roman"/>
          <w:bCs/>
        </w:rPr>
      </w:pPr>
      <w:r w:rsidRPr="002902FD">
        <w:rPr>
          <w:rFonts w:ascii="Times New Roman" w:hAnsi="Times New Roman"/>
          <w:bCs/>
        </w:rPr>
        <w:t xml:space="preserve">The purpose of the proposed </w:t>
      </w:r>
      <w:r>
        <w:rPr>
          <w:rFonts w:ascii="Times New Roman" w:hAnsi="Times New Roman"/>
          <w:bCs/>
        </w:rPr>
        <w:t>information collection</w:t>
      </w:r>
      <w:r w:rsidRPr="002902FD">
        <w:rPr>
          <w:rFonts w:ascii="Times New Roman" w:hAnsi="Times New Roman"/>
          <w:bCs/>
        </w:rPr>
        <w:t xml:space="preserve"> is to </w:t>
      </w:r>
      <w:r>
        <w:rPr>
          <w:rFonts w:ascii="Times New Roman" w:hAnsi="Times New Roman"/>
          <w:bCs/>
        </w:rPr>
        <w:t>provide</w:t>
      </w:r>
      <w:r w:rsidRPr="002902FD">
        <w:rPr>
          <w:rFonts w:ascii="Times New Roman" w:hAnsi="Times New Roman"/>
          <w:bCs/>
        </w:rPr>
        <w:t xml:space="preserve"> transitioning service members and recently separated veterans assistance in finding the best-fit career as quickly as possible.  The </w:t>
      </w:r>
      <w:r>
        <w:rPr>
          <w:rFonts w:ascii="Times New Roman" w:hAnsi="Times New Roman"/>
          <w:bCs/>
        </w:rPr>
        <w:t>data collection</w:t>
      </w:r>
      <w:r w:rsidRPr="002902FD">
        <w:rPr>
          <w:rFonts w:ascii="Times New Roman" w:hAnsi="Times New Roman"/>
          <w:bCs/>
        </w:rPr>
        <w:t xml:space="preserve"> will allow Employment Navigators and partners to capture necessary information for DOL to conduct employment outcome analysis.  </w:t>
      </w:r>
      <w:r>
        <w:rPr>
          <w:rFonts w:ascii="Times New Roman" w:hAnsi="Times New Roman"/>
          <w:bCs/>
        </w:rPr>
        <w:t>The outcome analysis will be conducted by DOL employees to measure the impact of Employment Navigators, and gauge the feasibility to continue the program beyond the pilot phase.</w:t>
      </w:r>
      <w:r w:rsidR="00413FD1">
        <w:rPr>
          <w:rFonts w:ascii="Times New Roman" w:hAnsi="Times New Roman"/>
          <w:bCs/>
        </w:rPr>
        <w:t xml:space="preserve">  It is anticipated that data gathered from this proposed collection will then be merged with the National Directory of New Hires for employment and wage analysis.  The data collected here will allow for various cross-tabulations </w:t>
      </w:r>
      <w:r w:rsidR="00413FD1">
        <w:rPr>
          <w:rFonts w:ascii="Times New Roman" w:hAnsi="Times New Roman"/>
          <w:bCs/>
        </w:rPr>
        <w:lastRenderedPageBreak/>
        <w:t>to be created, which then may lead to the most potent mix of services or highlight high-producing partners.</w:t>
      </w:r>
    </w:p>
    <w:p w:rsidRPr="00A47DA7" w:rsidR="00690F56" w:rsidP="00690F56" w:rsidRDefault="00690F56" w14:paraId="6EBE63D5" w14:textId="77777777">
      <w:pPr>
        <w:widowControl/>
        <w:rPr>
          <w:rFonts w:ascii="Times New Roman" w:hAnsi="Times New Roman"/>
          <w:u w:val="single"/>
        </w:rPr>
      </w:pPr>
    </w:p>
    <w:p w:rsidR="00690F56" w:rsidP="00690F56" w:rsidRDefault="00690F56" w14:paraId="1908DC84" w14:textId="4A334D3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413FD1" w:rsidP="00690F56" w:rsidRDefault="00413FD1" w14:paraId="2D25A93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547F56" w:rsidR="002902FD" w:rsidP="00690F56" w:rsidRDefault="00DB758B" w14:paraId="60F8B265" w14:textId="6E04AB0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100% of the responses to t</w:t>
      </w:r>
      <w:r w:rsidR="00547F56">
        <w:rPr>
          <w:rFonts w:ascii="Times New Roman" w:hAnsi="Times New Roman"/>
          <w:bCs/>
        </w:rPr>
        <w:t xml:space="preserve">he Employment Navigator data collection will be through an electronic/cloud-based case management system.  Data will be collected verbally from the participant and entered into the system by Employment Navigator or approved Transition Assistance Program (TAP) partner staff, reducing the amount of burden on the participants.  </w:t>
      </w:r>
      <w:r w:rsidR="009028C3">
        <w:rPr>
          <w:rFonts w:ascii="Times New Roman" w:hAnsi="Times New Roman"/>
          <w:bCs/>
        </w:rPr>
        <w:t>To reduce burden and redundancy, TAP Partners will also have access to the proposed data collection system.  Since both Employment Navigators and approved Partners will be able to access the electronic record, it will ensure that required data elements will only be collected once.  Additionally, the electronic system will contain data validation to ensure 100 percent data accuracy for each field.</w:t>
      </w:r>
    </w:p>
    <w:p w:rsidRPr="00A47DA7" w:rsidR="00690F56" w:rsidP="00690F56" w:rsidRDefault="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A463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rsidRDefault="00690F56" w14:paraId="2693B8DC" w14:textId="0F1141A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547F56" w:rsidP="00690F56" w:rsidRDefault="00547F56" w14:paraId="240F6AD2" w14:textId="16F9198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Data collected will be primarily on the services provided by the Employment Navigator, which will be unique to the participant and non-duplicative.  There will also be a few personal characteristic data elements collected; these few data elements exist in other Department of Defense data systems, but would require additional security development work which would exceed the burden costs of collecting those few variables again.</w:t>
      </w:r>
      <w:r w:rsidR="00643322">
        <w:rPr>
          <w:rFonts w:ascii="Times New Roman" w:hAnsi="Times New Roman"/>
        </w:rPr>
        <w:t xml:space="preserve">  As mentioned in item #3 above, multiple entities will share access to the electronic data system in order to reduce re-collection of data elements.  </w:t>
      </w: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rsidRDefault="00690F56" w14:paraId="034A882C" w14:textId="5A24C4E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547F56" w:rsidP="00690F56" w:rsidRDefault="00A57B03" w14:paraId="4FA20A49" w14:textId="0C85CFD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All participants will be active</w:t>
      </w:r>
      <w:r w:rsidR="008A0B20">
        <w:rPr>
          <w:rFonts w:ascii="Times New Roman" w:hAnsi="Times New Roman"/>
        </w:rPr>
        <w:t>-</w:t>
      </w:r>
      <w:r>
        <w:rPr>
          <w:rFonts w:ascii="Times New Roman" w:hAnsi="Times New Roman"/>
        </w:rPr>
        <w:t>duty service members and will have no burden impact on small businesses.</w:t>
      </w:r>
    </w:p>
    <w:p w:rsidRPr="00A973AA"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rsidRDefault="00690F56" w14:paraId="7C4C2F67" w14:textId="649EDB2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57B03" w:rsidP="00690F56" w:rsidRDefault="00C436BD" w14:paraId="3D498A68" w14:textId="468961F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As a pilot program, a lack of data collection would not allow DOL to calculate return-on-investment metrics for the program.  DOL plans to examine the employment placement rate and total earnings as potential indicators of program success, but this data collection is required to be </w:t>
      </w:r>
      <w:r>
        <w:rPr>
          <w:rFonts w:ascii="Times New Roman" w:hAnsi="Times New Roman"/>
        </w:rPr>
        <w:lastRenderedPageBreak/>
        <w:t xml:space="preserve">able to do that.  </w:t>
      </w:r>
      <w:r w:rsidR="006862C3">
        <w:rPr>
          <w:rFonts w:ascii="Times New Roman" w:hAnsi="Times New Roman"/>
        </w:rPr>
        <w:t xml:space="preserve">If DOL intends to implement the Employment Navigator pilot into a full-time program, key performance indicators will be required.  </w:t>
      </w:r>
    </w:p>
    <w:p w:rsidRPr="00A47DA7" w:rsidR="00A57B03" w:rsidP="00690F56" w:rsidRDefault="00A57B03" w14:paraId="352139F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81719" w:rsidR="00690F56" w:rsidP="00690F56" w:rsidRDefault="00237691" w14:paraId="583D2BFF" w14:textId="6C45200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Pr="00D53DEB" w:rsidR="00381719" w:rsidP="00381719" w:rsidRDefault="00381719" w14:paraId="32EAC134" w14:textId="5936ED9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D53DEB" w:rsidR="00642220" w:rsidP="00642220" w:rsidRDefault="00381719" w14:paraId="3DCDBA31" w14:textId="7055803E">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This information collection request does not contain any special circumstances for respondents.</w:t>
      </w:r>
    </w:p>
    <w:p w:rsidRPr="00871CA6"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proofErr w:type="gramStart"/>
      <w:r w:rsidRPr="00D53DEB">
        <w:rPr>
          <w:rFonts w:ascii="Times New Roman" w:hAnsi="Times New Roman"/>
          <w:b/>
          <w:bCs/>
        </w:rPr>
        <w:t>publication</w:t>
      </w:r>
      <w:proofErr w:type="gramEnd"/>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P="00690F56" w:rsidRDefault="00690F56" w14:paraId="6D77C5FA" w14:textId="3A43F7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81719" w:rsidP="00690F56" w:rsidRDefault="004B3977" w14:paraId="5C8721E2" w14:textId="73734D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 60-day </w:t>
      </w:r>
      <w:hyperlink w:history="1" r:id="rId8">
        <w:r w:rsidRPr="004B3977">
          <w:rPr>
            <w:rStyle w:val="Hyperlink"/>
            <w:rFonts w:ascii="Times New Roman" w:hAnsi="Times New Roman"/>
          </w:rPr>
          <w:t>no</w:t>
        </w:r>
        <w:r w:rsidRPr="004B3977">
          <w:rPr>
            <w:rStyle w:val="Hyperlink"/>
            <w:rFonts w:ascii="Times New Roman" w:hAnsi="Times New Roman"/>
          </w:rPr>
          <w:t>t</w:t>
        </w:r>
        <w:r w:rsidRPr="004B3977">
          <w:rPr>
            <w:rStyle w:val="Hyperlink"/>
            <w:rFonts w:ascii="Times New Roman" w:hAnsi="Times New Roman"/>
          </w:rPr>
          <w:t>ice</w:t>
        </w:r>
      </w:hyperlink>
      <w:r>
        <w:rPr>
          <w:rFonts w:ascii="Times New Roman" w:hAnsi="Times New Roman"/>
        </w:rPr>
        <w:t xml:space="preserve"> was published in the Federal Register on 7/29/2020.  </w:t>
      </w:r>
      <w:r w:rsidR="005C60D0">
        <w:rPr>
          <w:rFonts w:ascii="Times New Roman" w:hAnsi="Times New Roman"/>
        </w:rPr>
        <w:t xml:space="preserve">There was one public comment received during this time period.  The comment recommended that DOL provide a </w:t>
      </w:r>
      <w:r w:rsidR="005C60D0">
        <w:rPr>
          <w:rFonts w:ascii="Times New Roman" w:hAnsi="Times New Roman"/>
        </w:rPr>
        <w:lastRenderedPageBreak/>
        <w:t xml:space="preserve">written supporting statement and final versions of the three forms mentioned in the notice.  All of these documents are being supplied as part of the 30-day </w:t>
      </w:r>
      <w:hyperlink w:history="1" r:id="rId9">
        <w:r w:rsidR="0012525A">
          <w:rPr>
            <w:rStyle w:val="Hyperlink"/>
            <w:rFonts w:ascii="Times New Roman" w:hAnsi="Times New Roman"/>
          </w:rPr>
          <w:t>notice</w:t>
        </w:r>
      </w:hyperlink>
      <w:r w:rsidR="005C60D0">
        <w:rPr>
          <w:rFonts w:ascii="Times New Roman" w:hAnsi="Times New Roman"/>
        </w:rPr>
        <w:t>.</w:t>
      </w:r>
    </w:p>
    <w:p w:rsidRPr="00D53DEB" w:rsidR="00381719" w:rsidP="00690F56" w:rsidRDefault="00381719" w14:paraId="632348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P="00690F56" w:rsidRDefault="00690F56" w14:paraId="51B060B8" w14:textId="5ED841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0307C" w:rsidR="004B3977" w:rsidP="00690F56" w:rsidRDefault="005C60D0" w14:paraId="29565499" w14:textId="58D6F6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Consultations were held with various potential TAP partners to understand the recordkeeping and reporting requirements proposed.  Feedback was positive, especially considering DOL VETS will provide an electronic cloud-based case management system for Employment</w:t>
      </w:r>
      <w:r w:rsidR="00085C95">
        <w:rPr>
          <w:rFonts w:ascii="Times New Roman" w:hAnsi="Times New Roman"/>
          <w:bCs/>
        </w:rPr>
        <w:t xml:space="preserve"> Navigators and TAP partners for data entry.  </w:t>
      </w:r>
      <w:r w:rsidR="003A59EA">
        <w:rPr>
          <w:rFonts w:ascii="Times New Roman" w:hAnsi="Times New Roman"/>
          <w:bCs/>
        </w:rPr>
        <w:t xml:space="preserve">Additionally, the proposed data collection was modeled after existing/approved methods used by other DOL agencies within the workforce network.  </w:t>
      </w:r>
    </w:p>
    <w:p w:rsidRPr="00D53DEB" w:rsidR="004B3977" w:rsidP="00690F56" w:rsidRDefault="004B3977" w14:paraId="29CC95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rsidRDefault="00690F56" w14:paraId="7644A432" w14:textId="61EBFCA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0307C" w:rsidR="00B0307C" w:rsidP="00690F56" w:rsidRDefault="00B0307C" w14:paraId="3547E364" w14:textId="7594D2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There are no special circumstances to prohibit consultation on this information collection request at least every three years.</w:t>
      </w:r>
    </w:p>
    <w:p w:rsidRPr="00A47DA7" w:rsidR="0060114B" w:rsidP="0060114B" w:rsidRDefault="0060114B" w14:paraId="425C0DB9" w14:textId="77777777">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A47DA7" w:rsidR="00690F56" w:rsidP="00690F56" w:rsidRDefault="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514B79" w14:paraId="3D9804C1" w14:textId="51DDE1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Respondents will not receive any type of gifts or payments.  Participation in the Employment Navigator program i</w:t>
      </w:r>
      <w:r w:rsidR="0012525A">
        <w:rPr>
          <w:rFonts w:ascii="Times New Roman" w:hAnsi="Times New Roman"/>
        </w:rPr>
        <w:t>s</w:t>
      </w:r>
      <w:r>
        <w:rPr>
          <w:rFonts w:ascii="Times New Roman" w:hAnsi="Times New Roman"/>
        </w:rPr>
        <w:t xml:space="preserve"> voluntary.</w:t>
      </w:r>
    </w:p>
    <w:p w:rsidRPr="00871CA6" w:rsidR="00B0307C" w:rsidP="00690F56" w:rsidRDefault="00B0307C" w14:paraId="2C727C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690F56" w:rsidP="00690F56" w:rsidRDefault="00690F56" w14:paraId="41D6A133" w14:textId="0B64AC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514B79" w:rsidR="00514B79" w:rsidP="00690F56" w:rsidRDefault="00F26D93" w14:paraId="30361FBE" w14:textId="173F97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Respondents will be assured that information provided is on a voluntary basis, and that any personal information will be used only to determine the socioeconomic impact of the program.</w:t>
      </w:r>
      <w:r w:rsidR="00507C50">
        <w:rPr>
          <w:rFonts w:ascii="Times New Roman" w:hAnsi="Times New Roman"/>
          <w:bCs/>
        </w:rPr>
        <w:t xml:space="preserve">  Participants will be asked to sign a data disclosure form which includes safeguards put in place by DOL to protect sensitive data, as well as permission to use personal information only for the purposes of employment outcome matching and aggregation.</w:t>
      </w:r>
    </w:p>
    <w:p w:rsidRPr="00871CA6"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rsidRDefault="00690F56" w14:paraId="02AFA701" w14:textId="29B098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26D93" w:rsidR="00F26D93" w:rsidP="00690F56" w:rsidRDefault="006731F6" w14:paraId="76D738B1" w14:textId="283EE9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Private or sensitive questions will not be asked of respondents.</w:t>
      </w:r>
    </w:p>
    <w:p w:rsidRPr="00871CA6"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P="00507C50" w:rsidRDefault="00507C50" w14:paraId="49938EA8" w14:textId="73FD28AD">
      <w:pPr>
        <w:rPr>
          <w:rFonts w:ascii="Times New Roman" w:hAnsi="Times New Roman"/>
        </w:rPr>
      </w:pPr>
      <w:r>
        <w:rPr>
          <w:rFonts w:ascii="Times New Roman" w:hAnsi="Times New Roman"/>
        </w:rPr>
        <w:t xml:space="preserve">The burden estimate for this proposal is </w:t>
      </w:r>
      <w:r w:rsidR="0012525A">
        <w:rPr>
          <w:rFonts w:ascii="Times New Roman" w:hAnsi="Times New Roman"/>
        </w:rPr>
        <w:t>contained</w:t>
      </w:r>
      <w:r>
        <w:rPr>
          <w:rFonts w:ascii="Times New Roman" w:hAnsi="Times New Roman"/>
        </w:rPr>
        <w:t xml:space="preserve"> in the table below.  </w:t>
      </w:r>
      <w:r w:rsidR="0012525A">
        <w:rPr>
          <w:rFonts w:ascii="Times New Roman" w:hAnsi="Times New Roman"/>
        </w:rPr>
        <w:t>T</w:t>
      </w:r>
      <w:r>
        <w:rPr>
          <w:rFonts w:ascii="Times New Roman" w:hAnsi="Times New Roman"/>
        </w:rPr>
        <w:t>he burden is displayed for each major component</w:t>
      </w:r>
      <w:r w:rsidR="0012525A">
        <w:rPr>
          <w:rFonts w:ascii="Times New Roman" w:hAnsi="Times New Roman"/>
        </w:rPr>
        <w:t xml:space="preserve"> in </w:t>
      </w:r>
      <w:r w:rsidR="0012525A">
        <w:rPr>
          <w:rFonts w:ascii="Times New Roman" w:hAnsi="Times New Roman"/>
        </w:rPr>
        <w:t>three main areas of data collection</w:t>
      </w:r>
      <w:r>
        <w:rPr>
          <w:rFonts w:ascii="Times New Roman" w:hAnsi="Times New Roman"/>
        </w:rPr>
        <w:t xml:space="preserve">.  The majority of the burden is assumed under the Employment Navigator intake form.  At this stage, Employment Navigators will collect demographic information, data regarding post-separation preferences, and services provided or offered.  It is estimated that this intake process will take 20 minutes per respondent.  </w:t>
      </w:r>
    </w:p>
    <w:p w:rsidR="00507C50" w:rsidP="00507C50" w:rsidRDefault="00507C50" w14:paraId="69710CB7" w14:textId="781BEE7A">
      <w:pPr>
        <w:rPr>
          <w:rFonts w:ascii="Times New Roman" w:hAnsi="Times New Roman"/>
        </w:rPr>
      </w:pPr>
    </w:p>
    <w:p w:rsidR="00507C50" w:rsidP="00507C50" w:rsidRDefault="00507C50" w14:paraId="6298AF29" w14:textId="28F745CB">
      <w:pPr>
        <w:rPr>
          <w:rFonts w:ascii="Times New Roman" w:hAnsi="Times New Roman"/>
        </w:rPr>
      </w:pPr>
      <w:r>
        <w:rPr>
          <w:rFonts w:ascii="Times New Roman" w:hAnsi="Times New Roman"/>
        </w:rPr>
        <w:t xml:space="preserve">The second stage of data collections occurs after a participant is referred to an approved TAP partner entity to receive the recommended services such as direct job placement, mentorship, or networking.  At this point, the TAP partner will provide DOL with additional information on the services provided.  It is estimated that </w:t>
      </w:r>
      <w:r w:rsidR="00ED1913">
        <w:rPr>
          <w:rFonts w:ascii="Times New Roman" w:hAnsi="Times New Roman"/>
        </w:rPr>
        <w:t xml:space="preserve">TAP partners will spend approximately 15 minutes per participant entering the additional data.  </w:t>
      </w:r>
      <w:r w:rsidR="008666F3">
        <w:rPr>
          <w:rFonts w:ascii="Times New Roman" w:hAnsi="Times New Roman"/>
        </w:rPr>
        <w:t>It should also be noted that it is estimated that approximately half of the total participants will be referred to non-American Job Center (AJC) partners where this additional data collection will occur.  AJCs will not enter the additional information requested; instead, AJCs will enter data as prescribed in the Participant Individual Record Layout (form ETA-9172), which is approved under OMB Control No. 1205-0521.</w:t>
      </w:r>
    </w:p>
    <w:p w:rsidR="008666F3" w:rsidP="00507C50" w:rsidRDefault="008666F3" w14:paraId="75605FD1" w14:textId="37D9562D">
      <w:pPr>
        <w:rPr>
          <w:rFonts w:ascii="Times New Roman" w:hAnsi="Times New Roman"/>
        </w:rPr>
      </w:pPr>
    </w:p>
    <w:p w:rsidRPr="00507C50" w:rsidR="008666F3" w:rsidP="00507C50" w:rsidRDefault="008666F3" w14:paraId="27CBD7E9" w14:textId="63A97036">
      <w:pPr>
        <w:rPr>
          <w:rFonts w:ascii="Times New Roman" w:hAnsi="Times New Roman"/>
        </w:rPr>
      </w:pPr>
      <w:r>
        <w:rPr>
          <w:rFonts w:ascii="Times New Roman" w:hAnsi="Times New Roman"/>
        </w:rPr>
        <w:t>The last form included in the overall burden estimate is the application to become a verified TAP partner.  This will be a standardized form that any entity will complete and submit to DOL for review.  It is estimated that this form will take 12 minutes to complete.</w:t>
      </w:r>
    </w:p>
    <w:p w:rsidRPr="006626FF" w:rsidR="009E7EA9" w:rsidP="006626FF" w:rsidRDefault="009E7EA9" w14:paraId="21A2D726" w14:textId="77777777">
      <w:pPr>
        <w:ind w:left="720"/>
        <w:rPr>
          <w:rFonts w:ascii="Times New Roman" w:hAnsi="Times New Roman"/>
          <w:i/>
        </w:rPr>
      </w:pPr>
    </w:p>
    <w:p w:rsidR="006626FF" w:rsidP="006626FF" w:rsidRDefault="0070604A" w14:paraId="3CD4954E" w14:textId="6D7F54B7">
      <w:pPr>
        <w:ind w:left="720"/>
        <w:jc w:val="center"/>
        <w:rPr>
          <w:rFonts w:ascii="Times New Roman" w:hAnsi="Times New Roman"/>
          <w:b/>
        </w:rPr>
      </w:pPr>
      <w:r>
        <w:rPr>
          <w:rFonts w:ascii="Times New Roman" w:hAnsi="Times New Roman"/>
          <w:b/>
        </w:rPr>
        <w:lastRenderedPageBreak/>
        <w:t xml:space="preserve">Table 1: </w:t>
      </w:r>
      <w:r w:rsidRPr="00E60FB0" w:rsidR="006626FF">
        <w:rPr>
          <w:rFonts w:ascii="Times New Roman" w:hAnsi="Times New Roman"/>
          <w:b/>
        </w:rPr>
        <w:t>Estimated Annualized Respondent Cost and Hour Burden</w:t>
      </w:r>
    </w:p>
    <w:p w:rsidRPr="00E60FB0" w:rsidR="009E7EA9" w:rsidP="006626FF" w:rsidRDefault="009E7EA9" w14:paraId="3E3275A4" w14:textId="77777777">
      <w:pPr>
        <w:ind w:left="720"/>
        <w:jc w:val="center"/>
        <w:rPr>
          <w:rFonts w:ascii="Times New Roman" w:hAnsi="Times New Roman"/>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5"/>
        <w:gridCol w:w="1415"/>
        <w:gridCol w:w="1329"/>
        <w:gridCol w:w="1182"/>
        <w:gridCol w:w="1037"/>
        <w:gridCol w:w="958"/>
        <w:gridCol w:w="898"/>
        <w:gridCol w:w="1146"/>
      </w:tblGrid>
      <w:tr w:rsidRPr="00E60FB0" w:rsidR="006626FF" w:rsidTr="00C17909" w14:paraId="2DF04903" w14:textId="77777777">
        <w:trPr>
          <w:trHeight w:val="890"/>
        </w:trPr>
        <w:tc>
          <w:tcPr>
            <w:tcW w:w="138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1393DF7B" w14:textId="77777777">
            <w:pPr>
              <w:spacing w:line="276" w:lineRule="auto"/>
              <w:jc w:val="center"/>
              <w:rPr>
                <w:rFonts w:ascii="Times New Roman" w:hAnsi="Times New Roman"/>
                <w:b/>
                <w:sz w:val="22"/>
                <w:szCs w:val="22"/>
              </w:rPr>
            </w:pPr>
          </w:p>
          <w:p w:rsidRPr="00E60FB0" w:rsidR="006626FF"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3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9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238CBA4F" w14:textId="257C474D">
            <w:pPr>
              <w:spacing w:line="276" w:lineRule="auto"/>
              <w:jc w:val="center"/>
              <w:rPr>
                <w:rFonts w:ascii="Times New Roman" w:hAnsi="Times New Roman"/>
                <w:b/>
                <w:sz w:val="22"/>
                <w:szCs w:val="22"/>
              </w:rPr>
            </w:pPr>
            <w:r w:rsidRPr="00E60FB0">
              <w:rPr>
                <w:rFonts w:ascii="Times New Roman" w:hAnsi="Times New Roman"/>
                <w:b/>
                <w:sz w:val="22"/>
                <w:szCs w:val="22"/>
              </w:rPr>
              <w:t>Wage Rate</w:t>
            </w:r>
            <w:r w:rsidR="00C17909">
              <w:rPr>
                <w:rFonts w:ascii="Times New Roman" w:hAnsi="Times New Roman"/>
                <w:b/>
                <w:sz w:val="22"/>
                <w:szCs w:val="22"/>
              </w:rPr>
              <w:t>*</w:t>
            </w:r>
          </w:p>
        </w:tc>
        <w:tc>
          <w:tcPr>
            <w:tcW w:w="114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F935EE" w:rsidTr="00F1409A" w14:paraId="09169E28" w14:textId="77777777">
        <w:tc>
          <w:tcPr>
            <w:tcW w:w="1385" w:type="dxa"/>
            <w:tcBorders>
              <w:top w:val="single" w:color="auto" w:sz="4" w:space="0"/>
              <w:left w:val="single" w:color="auto" w:sz="4" w:space="0"/>
              <w:bottom w:val="single" w:color="auto" w:sz="4" w:space="0"/>
              <w:right w:val="single" w:color="auto" w:sz="4" w:space="0"/>
            </w:tcBorders>
            <w:vAlign w:val="bottom"/>
            <w:hideMark/>
          </w:tcPr>
          <w:p w:rsidRPr="00E60FB0" w:rsidR="006626FF" w:rsidRDefault="00DA4FBA" w14:paraId="762DB321" w14:textId="13033702">
            <w:pPr>
              <w:spacing w:line="276" w:lineRule="auto"/>
              <w:rPr>
                <w:rFonts w:ascii="Times New Roman" w:hAnsi="Times New Roman"/>
                <w:sz w:val="22"/>
                <w:szCs w:val="22"/>
              </w:rPr>
            </w:pPr>
            <w:r>
              <w:rPr>
                <w:rFonts w:ascii="Times New Roman" w:hAnsi="Times New Roman"/>
                <w:sz w:val="22"/>
                <w:szCs w:val="22"/>
              </w:rPr>
              <w:t>Employment Navigator Intake Form</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6626FF" w:rsidP="008666F3" w:rsidRDefault="006626FF" w14:paraId="523DFE49" w14:textId="77777777">
            <w:pPr>
              <w:spacing w:line="276" w:lineRule="auto"/>
              <w:jc w:val="center"/>
              <w:rPr>
                <w:rFonts w:ascii="Times New Roman" w:hAnsi="Times New Roman"/>
                <w:sz w:val="22"/>
                <w:szCs w:val="22"/>
              </w:rPr>
            </w:pPr>
          </w:p>
          <w:p w:rsidR="006626FF" w:rsidP="008666F3" w:rsidRDefault="00DA4FBA" w14:paraId="5C8826D9" w14:textId="1CFEFE61">
            <w:pPr>
              <w:spacing w:line="276" w:lineRule="auto"/>
              <w:jc w:val="center"/>
              <w:rPr>
                <w:rFonts w:ascii="Times New Roman" w:hAnsi="Times New Roman"/>
                <w:sz w:val="22"/>
                <w:szCs w:val="22"/>
              </w:rPr>
            </w:pPr>
            <w:r>
              <w:rPr>
                <w:rFonts w:ascii="Times New Roman" w:hAnsi="Times New Roman"/>
                <w:sz w:val="22"/>
                <w:szCs w:val="22"/>
              </w:rPr>
              <w:t>15,000</w:t>
            </w:r>
          </w:p>
          <w:p w:rsidRPr="00E60FB0" w:rsidR="00DA4FBA" w:rsidP="008666F3" w:rsidRDefault="00DA4FBA" w14:paraId="2F5115C1" w14:textId="0D143D81">
            <w:pPr>
              <w:spacing w:line="276" w:lineRule="auto"/>
              <w:jc w:val="center"/>
              <w:rPr>
                <w:rFonts w:ascii="Times New Roman" w:hAnsi="Times New Roman"/>
                <w:sz w:val="22"/>
                <w:szCs w:val="22"/>
              </w:rPr>
            </w:pP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6626FF" w:rsidP="008666F3" w:rsidRDefault="006626FF" w14:paraId="54BC61C8" w14:textId="77777777">
            <w:pPr>
              <w:spacing w:line="276" w:lineRule="auto"/>
              <w:jc w:val="center"/>
              <w:rPr>
                <w:rFonts w:ascii="Times New Roman" w:hAnsi="Times New Roman"/>
                <w:sz w:val="22"/>
                <w:szCs w:val="22"/>
              </w:rPr>
            </w:pPr>
          </w:p>
          <w:p w:rsidRPr="00E60FB0" w:rsidR="006626FF" w:rsidP="008666F3" w:rsidRDefault="00DA4FBA" w14:paraId="5A00193C" w14:textId="4E2C5DC0">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color="auto" w:sz="4" w:space="0"/>
              <w:left w:val="single" w:color="auto" w:sz="4" w:space="0"/>
              <w:bottom w:val="single" w:color="auto" w:sz="4" w:space="0"/>
              <w:right w:val="single" w:color="auto" w:sz="4" w:space="0"/>
            </w:tcBorders>
            <w:vAlign w:val="center"/>
          </w:tcPr>
          <w:p w:rsidRPr="00E60FB0" w:rsidR="006626FF" w:rsidP="00F1409A" w:rsidRDefault="00DA4FBA" w14:paraId="15D44061" w14:textId="3978EC5A">
            <w:pPr>
              <w:spacing w:line="276" w:lineRule="auto"/>
              <w:jc w:val="center"/>
              <w:rPr>
                <w:rFonts w:ascii="Times New Roman" w:hAnsi="Times New Roman"/>
                <w:sz w:val="22"/>
                <w:szCs w:val="22"/>
              </w:rPr>
            </w:pPr>
            <w:r>
              <w:rPr>
                <w:rFonts w:ascii="Times New Roman" w:hAnsi="Times New Roman"/>
                <w:sz w:val="22"/>
                <w:szCs w:val="22"/>
              </w:rPr>
              <w:t>15,000</w:t>
            </w:r>
          </w:p>
        </w:tc>
        <w:tc>
          <w:tcPr>
            <w:tcW w:w="1037" w:type="dxa"/>
            <w:tcBorders>
              <w:top w:val="single" w:color="auto" w:sz="4" w:space="0"/>
              <w:left w:val="single" w:color="auto" w:sz="4" w:space="0"/>
              <w:bottom w:val="single" w:color="auto" w:sz="4" w:space="0"/>
              <w:right w:val="single" w:color="auto" w:sz="4" w:space="0"/>
            </w:tcBorders>
            <w:vAlign w:val="center"/>
          </w:tcPr>
          <w:p w:rsidRPr="00E60FB0" w:rsidR="006626FF" w:rsidP="008666F3" w:rsidRDefault="006626FF" w14:paraId="0AB67B72" w14:textId="77777777">
            <w:pPr>
              <w:spacing w:line="276" w:lineRule="auto"/>
              <w:jc w:val="center"/>
              <w:rPr>
                <w:rFonts w:ascii="Times New Roman" w:hAnsi="Times New Roman"/>
                <w:sz w:val="22"/>
                <w:szCs w:val="22"/>
              </w:rPr>
            </w:pPr>
          </w:p>
          <w:p w:rsidRPr="00E60FB0" w:rsidR="006626FF" w:rsidP="008666F3" w:rsidRDefault="00DA4FBA" w14:paraId="15AA6C5B" w14:textId="365833C1">
            <w:pPr>
              <w:spacing w:line="276" w:lineRule="auto"/>
              <w:jc w:val="center"/>
              <w:rPr>
                <w:rFonts w:ascii="Times New Roman" w:hAnsi="Times New Roman"/>
                <w:sz w:val="22"/>
                <w:szCs w:val="22"/>
              </w:rPr>
            </w:pPr>
            <w:r>
              <w:rPr>
                <w:rFonts w:ascii="Times New Roman" w:hAnsi="Times New Roman"/>
                <w:sz w:val="22"/>
                <w:szCs w:val="22"/>
              </w:rPr>
              <w:t>.33</w:t>
            </w:r>
          </w:p>
          <w:p w:rsidRPr="00E60FB0" w:rsidR="006626FF" w:rsidP="008666F3" w:rsidRDefault="006626FF" w14:paraId="460B8B6B" w14:textId="77777777">
            <w:pPr>
              <w:spacing w:line="276" w:lineRule="auto"/>
              <w:jc w:val="center"/>
              <w:rPr>
                <w:rFonts w:ascii="Times New Roman" w:hAnsi="Times New Roman"/>
                <w:sz w:val="22"/>
                <w:szCs w:val="22"/>
              </w:rPr>
            </w:pPr>
          </w:p>
        </w:tc>
        <w:tc>
          <w:tcPr>
            <w:tcW w:w="958" w:type="dxa"/>
            <w:tcBorders>
              <w:top w:val="single" w:color="auto" w:sz="4" w:space="0"/>
              <w:left w:val="single" w:color="auto" w:sz="4" w:space="0"/>
              <w:bottom w:val="single" w:color="auto" w:sz="4" w:space="0"/>
              <w:right w:val="single" w:color="auto" w:sz="4" w:space="0"/>
            </w:tcBorders>
            <w:vAlign w:val="center"/>
          </w:tcPr>
          <w:p w:rsidRPr="00E60FB0" w:rsidR="006626FF" w:rsidP="00F1409A" w:rsidRDefault="00DA4FBA" w14:paraId="752F73D3" w14:textId="001EE8F5">
            <w:pPr>
              <w:spacing w:line="276" w:lineRule="auto"/>
              <w:jc w:val="center"/>
              <w:rPr>
                <w:rFonts w:ascii="Times New Roman" w:hAnsi="Times New Roman"/>
                <w:sz w:val="22"/>
                <w:szCs w:val="22"/>
              </w:rPr>
            </w:pPr>
            <w:r>
              <w:rPr>
                <w:rFonts w:ascii="Times New Roman" w:hAnsi="Times New Roman"/>
                <w:sz w:val="22"/>
                <w:szCs w:val="22"/>
              </w:rPr>
              <w:t>5,000</w:t>
            </w:r>
          </w:p>
        </w:tc>
        <w:tc>
          <w:tcPr>
            <w:tcW w:w="898" w:type="dxa"/>
            <w:tcBorders>
              <w:top w:val="single" w:color="auto" w:sz="4" w:space="0"/>
              <w:left w:val="single" w:color="auto" w:sz="4" w:space="0"/>
              <w:bottom w:val="single" w:color="auto" w:sz="4" w:space="0"/>
              <w:right w:val="single" w:color="auto" w:sz="4" w:space="0"/>
            </w:tcBorders>
            <w:vAlign w:val="center"/>
          </w:tcPr>
          <w:p w:rsidR="00DA4FBA" w:rsidP="008666F3" w:rsidRDefault="00DA4FBA" w14:paraId="5C3C2250" w14:textId="77777777">
            <w:pPr>
              <w:spacing w:line="276" w:lineRule="auto"/>
              <w:jc w:val="center"/>
              <w:rPr>
                <w:rFonts w:ascii="Times New Roman" w:hAnsi="Times New Roman"/>
                <w:sz w:val="22"/>
                <w:szCs w:val="22"/>
              </w:rPr>
            </w:pPr>
          </w:p>
          <w:p w:rsidRPr="00E60FB0" w:rsidR="006626FF" w:rsidP="008666F3" w:rsidRDefault="00DA4FBA" w14:paraId="387B5D04" w14:textId="371FDBB3">
            <w:pPr>
              <w:spacing w:line="276" w:lineRule="auto"/>
              <w:jc w:val="center"/>
              <w:rPr>
                <w:rFonts w:ascii="Times New Roman" w:hAnsi="Times New Roman"/>
                <w:sz w:val="22"/>
                <w:szCs w:val="22"/>
              </w:rPr>
            </w:pPr>
            <w:r>
              <w:rPr>
                <w:rFonts w:ascii="Times New Roman" w:hAnsi="Times New Roman"/>
                <w:sz w:val="22"/>
                <w:szCs w:val="22"/>
              </w:rPr>
              <w:t>$29.69</w:t>
            </w:r>
          </w:p>
          <w:p w:rsidRPr="00E60FB0" w:rsidR="006626FF" w:rsidP="008666F3" w:rsidRDefault="006626FF" w14:paraId="6FAC2390" w14:textId="77777777">
            <w:pPr>
              <w:spacing w:line="276" w:lineRule="auto"/>
              <w:jc w:val="center"/>
              <w:rPr>
                <w:rFonts w:ascii="Times New Roman" w:hAnsi="Times New Roman"/>
                <w:sz w:val="22"/>
                <w:szCs w:val="22"/>
              </w:rPr>
            </w:pPr>
          </w:p>
        </w:tc>
        <w:tc>
          <w:tcPr>
            <w:tcW w:w="1146" w:type="dxa"/>
            <w:tcBorders>
              <w:top w:val="single" w:color="auto" w:sz="4" w:space="0"/>
              <w:left w:val="single" w:color="auto" w:sz="4" w:space="0"/>
              <w:bottom w:val="single" w:color="auto" w:sz="4" w:space="0"/>
              <w:right w:val="single" w:color="auto" w:sz="4" w:space="0"/>
            </w:tcBorders>
            <w:vAlign w:val="center"/>
          </w:tcPr>
          <w:p w:rsidRPr="00E60FB0" w:rsidR="006626FF" w:rsidP="008666F3" w:rsidRDefault="00DA4FBA" w14:paraId="78C3C2D7" w14:textId="6F2684C0">
            <w:pPr>
              <w:spacing w:line="276" w:lineRule="auto"/>
              <w:jc w:val="center"/>
              <w:rPr>
                <w:rFonts w:ascii="Times New Roman" w:hAnsi="Times New Roman"/>
                <w:sz w:val="22"/>
                <w:szCs w:val="22"/>
              </w:rPr>
            </w:pPr>
            <w:r>
              <w:rPr>
                <w:rFonts w:ascii="Times New Roman" w:hAnsi="Times New Roman"/>
                <w:sz w:val="22"/>
                <w:szCs w:val="22"/>
              </w:rPr>
              <w:t>$148,450</w:t>
            </w:r>
          </w:p>
        </w:tc>
      </w:tr>
      <w:tr w:rsidRPr="00E60FB0" w:rsidR="00DA4FBA" w:rsidTr="008666F3" w14:paraId="68960D2D" w14:textId="77777777">
        <w:tc>
          <w:tcPr>
            <w:tcW w:w="1385" w:type="dxa"/>
            <w:tcBorders>
              <w:top w:val="single" w:color="auto" w:sz="4" w:space="0"/>
              <w:left w:val="single" w:color="auto" w:sz="4" w:space="0"/>
              <w:bottom w:val="single" w:color="auto" w:sz="4" w:space="0"/>
              <w:right w:val="single" w:color="auto" w:sz="4" w:space="0"/>
            </w:tcBorders>
            <w:vAlign w:val="bottom"/>
          </w:tcPr>
          <w:p w:rsidRPr="00E60FB0" w:rsidR="00DA4FBA" w:rsidRDefault="00DA4FBA" w14:paraId="0EE08832" w14:textId="4D31366B">
            <w:pPr>
              <w:spacing w:line="276" w:lineRule="auto"/>
              <w:rPr>
                <w:rFonts w:ascii="Times New Roman" w:hAnsi="Times New Roman"/>
                <w:sz w:val="22"/>
                <w:szCs w:val="22"/>
              </w:rPr>
            </w:pPr>
            <w:r>
              <w:rPr>
                <w:rFonts w:ascii="Times New Roman" w:hAnsi="Times New Roman"/>
                <w:sz w:val="22"/>
                <w:szCs w:val="22"/>
              </w:rPr>
              <w:t>TAP Partner Data Entry Form</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56D59B10" w14:textId="5F28FC2A">
            <w:pPr>
              <w:spacing w:line="276" w:lineRule="auto"/>
              <w:jc w:val="center"/>
              <w:rPr>
                <w:rFonts w:ascii="Times New Roman" w:hAnsi="Times New Roman"/>
                <w:sz w:val="22"/>
                <w:szCs w:val="22"/>
              </w:rPr>
            </w:pPr>
            <w:r>
              <w:rPr>
                <w:rFonts w:ascii="Times New Roman" w:hAnsi="Times New Roman"/>
                <w:sz w:val="22"/>
                <w:szCs w:val="22"/>
              </w:rPr>
              <w:t>7,500</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5BAA97CB" w14:textId="0F0882AD">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3A8E1E90" w14:textId="791DFF50">
            <w:pPr>
              <w:spacing w:line="276" w:lineRule="auto"/>
              <w:jc w:val="center"/>
              <w:rPr>
                <w:rFonts w:ascii="Times New Roman" w:hAnsi="Times New Roman"/>
                <w:sz w:val="22"/>
                <w:szCs w:val="22"/>
              </w:rPr>
            </w:pPr>
            <w:r>
              <w:rPr>
                <w:rFonts w:ascii="Times New Roman" w:hAnsi="Times New Roman"/>
                <w:sz w:val="22"/>
                <w:szCs w:val="22"/>
              </w:rPr>
              <w:t>7,500</w:t>
            </w:r>
          </w:p>
        </w:tc>
        <w:tc>
          <w:tcPr>
            <w:tcW w:w="1037"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79374FA7" w14:textId="474AE8BA">
            <w:pPr>
              <w:spacing w:line="276" w:lineRule="auto"/>
              <w:jc w:val="center"/>
              <w:rPr>
                <w:rFonts w:ascii="Times New Roman" w:hAnsi="Times New Roman"/>
                <w:sz w:val="22"/>
                <w:szCs w:val="22"/>
              </w:rPr>
            </w:pPr>
            <w:r>
              <w:rPr>
                <w:rFonts w:ascii="Times New Roman" w:hAnsi="Times New Roman"/>
                <w:sz w:val="22"/>
                <w:szCs w:val="22"/>
              </w:rPr>
              <w:t>.25</w:t>
            </w:r>
          </w:p>
        </w:tc>
        <w:tc>
          <w:tcPr>
            <w:tcW w:w="958"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59F7B599" w14:textId="24879AD7">
            <w:pPr>
              <w:spacing w:line="276" w:lineRule="auto"/>
              <w:jc w:val="center"/>
              <w:rPr>
                <w:rFonts w:ascii="Times New Roman" w:hAnsi="Times New Roman"/>
                <w:sz w:val="22"/>
                <w:szCs w:val="22"/>
              </w:rPr>
            </w:pPr>
            <w:r>
              <w:rPr>
                <w:rFonts w:ascii="Times New Roman" w:hAnsi="Times New Roman"/>
                <w:sz w:val="22"/>
                <w:szCs w:val="22"/>
              </w:rPr>
              <w:t>1,875</w:t>
            </w:r>
          </w:p>
        </w:tc>
        <w:tc>
          <w:tcPr>
            <w:tcW w:w="898"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0EFE9935" w14:textId="20A5797F">
            <w:pPr>
              <w:spacing w:line="276" w:lineRule="auto"/>
              <w:jc w:val="center"/>
              <w:rPr>
                <w:rFonts w:ascii="Times New Roman" w:hAnsi="Times New Roman"/>
                <w:sz w:val="22"/>
                <w:szCs w:val="22"/>
              </w:rPr>
            </w:pPr>
            <w:r>
              <w:rPr>
                <w:rFonts w:ascii="Times New Roman" w:hAnsi="Times New Roman"/>
                <w:sz w:val="22"/>
                <w:szCs w:val="22"/>
              </w:rPr>
              <w:t>$29.69</w:t>
            </w:r>
          </w:p>
        </w:tc>
        <w:tc>
          <w:tcPr>
            <w:tcW w:w="1146"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58484BF0" w14:textId="452FAFB3">
            <w:pPr>
              <w:spacing w:line="276" w:lineRule="auto"/>
              <w:jc w:val="center"/>
              <w:rPr>
                <w:rFonts w:ascii="Times New Roman" w:hAnsi="Times New Roman"/>
                <w:sz w:val="22"/>
                <w:szCs w:val="22"/>
              </w:rPr>
            </w:pPr>
            <w:r>
              <w:rPr>
                <w:rFonts w:ascii="Times New Roman" w:hAnsi="Times New Roman"/>
                <w:sz w:val="22"/>
                <w:szCs w:val="22"/>
              </w:rPr>
              <w:t>$55,669</w:t>
            </w:r>
          </w:p>
        </w:tc>
      </w:tr>
      <w:tr w:rsidRPr="00E60FB0" w:rsidR="00DA4FBA" w:rsidTr="008666F3" w14:paraId="60F28187" w14:textId="77777777">
        <w:tc>
          <w:tcPr>
            <w:tcW w:w="1385" w:type="dxa"/>
            <w:tcBorders>
              <w:top w:val="single" w:color="auto" w:sz="4" w:space="0"/>
              <w:left w:val="single" w:color="auto" w:sz="4" w:space="0"/>
              <w:bottom w:val="single" w:color="auto" w:sz="4" w:space="0"/>
              <w:right w:val="single" w:color="auto" w:sz="4" w:space="0"/>
            </w:tcBorders>
            <w:vAlign w:val="bottom"/>
          </w:tcPr>
          <w:p w:rsidRPr="00E60FB0" w:rsidR="00DA4FBA" w:rsidRDefault="00DA4FBA" w14:paraId="1FCB12E6" w14:textId="17B9398B">
            <w:pPr>
              <w:spacing w:line="276" w:lineRule="auto"/>
              <w:rPr>
                <w:rFonts w:ascii="Times New Roman" w:hAnsi="Times New Roman"/>
                <w:sz w:val="22"/>
                <w:szCs w:val="22"/>
              </w:rPr>
            </w:pPr>
            <w:r>
              <w:rPr>
                <w:rFonts w:ascii="Times New Roman" w:hAnsi="Times New Roman"/>
                <w:sz w:val="22"/>
                <w:szCs w:val="22"/>
              </w:rPr>
              <w:t>TAP Partner Registration Form</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4CA0C61D" w14:textId="4A5F4CEE">
            <w:pPr>
              <w:spacing w:line="276" w:lineRule="auto"/>
              <w:jc w:val="center"/>
              <w:rPr>
                <w:rFonts w:ascii="Times New Roman" w:hAnsi="Times New Roman"/>
                <w:sz w:val="22"/>
                <w:szCs w:val="22"/>
              </w:rPr>
            </w:pPr>
            <w:r>
              <w:rPr>
                <w:rFonts w:ascii="Times New Roman" w:hAnsi="Times New Roman"/>
                <w:sz w:val="22"/>
                <w:szCs w:val="22"/>
              </w:rPr>
              <w:t>50</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4EDD2817" w14:textId="5F836AC7">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1557E73B" w14:textId="366AA688">
            <w:pPr>
              <w:spacing w:line="276" w:lineRule="auto"/>
              <w:jc w:val="center"/>
              <w:rPr>
                <w:rFonts w:ascii="Times New Roman" w:hAnsi="Times New Roman"/>
                <w:sz w:val="22"/>
                <w:szCs w:val="22"/>
              </w:rPr>
            </w:pPr>
            <w:r>
              <w:rPr>
                <w:rFonts w:ascii="Times New Roman" w:hAnsi="Times New Roman"/>
                <w:sz w:val="22"/>
                <w:szCs w:val="22"/>
              </w:rPr>
              <w:t>50</w:t>
            </w:r>
          </w:p>
        </w:tc>
        <w:tc>
          <w:tcPr>
            <w:tcW w:w="1037"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684E72FC" w14:textId="767CC6C4">
            <w:pPr>
              <w:spacing w:line="276" w:lineRule="auto"/>
              <w:jc w:val="center"/>
              <w:rPr>
                <w:rFonts w:ascii="Times New Roman" w:hAnsi="Times New Roman"/>
                <w:sz w:val="22"/>
                <w:szCs w:val="22"/>
              </w:rPr>
            </w:pPr>
            <w:r>
              <w:rPr>
                <w:rFonts w:ascii="Times New Roman" w:hAnsi="Times New Roman"/>
                <w:sz w:val="22"/>
                <w:szCs w:val="22"/>
              </w:rPr>
              <w:t>.20</w:t>
            </w:r>
          </w:p>
        </w:tc>
        <w:tc>
          <w:tcPr>
            <w:tcW w:w="958"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249E225D" w14:textId="71FF5A42">
            <w:pPr>
              <w:spacing w:line="276" w:lineRule="auto"/>
              <w:jc w:val="center"/>
              <w:rPr>
                <w:rFonts w:ascii="Times New Roman" w:hAnsi="Times New Roman"/>
                <w:sz w:val="22"/>
                <w:szCs w:val="22"/>
              </w:rPr>
            </w:pPr>
            <w:r>
              <w:rPr>
                <w:rFonts w:ascii="Times New Roman" w:hAnsi="Times New Roman"/>
                <w:sz w:val="22"/>
                <w:szCs w:val="22"/>
              </w:rPr>
              <w:t>10</w:t>
            </w:r>
          </w:p>
        </w:tc>
        <w:tc>
          <w:tcPr>
            <w:tcW w:w="898"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61990414" w14:textId="01B28B13">
            <w:pPr>
              <w:spacing w:line="276" w:lineRule="auto"/>
              <w:jc w:val="center"/>
              <w:rPr>
                <w:rFonts w:ascii="Times New Roman" w:hAnsi="Times New Roman"/>
                <w:sz w:val="22"/>
                <w:szCs w:val="22"/>
              </w:rPr>
            </w:pPr>
            <w:r>
              <w:rPr>
                <w:rFonts w:ascii="Times New Roman" w:hAnsi="Times New Roman"/>
                <w:sz w:val="22"/>
                <w:szCs w:val="22"/>
              </w:rPr>
              <w:t>$30.25</w:t>
            </w:r>
          </w:p>
        </w:tc>
        <w:tc>
          <w:tcPr>
            <w:tcW w:w="1146" w:type="dxa"/>
            <w:tcBorders>
              <w:top w:val="single" w:color="auto" w:sz="4" w:space="0"/>
              <w:left w:val="single" w:color="auto" w:sz="4" w:space="0"/>
              <w:bottom w:val="single" w:color="auto" w:sz="4" w:space="0"/>
              <w:right w:val="single" w:color="auto" w:sz="4" w:space="0"/>
            </w:tcBorders>
            <w:vAlign w:val="center"/>
          </w:tcPr>
          <w:p w:rsidRPr="00E60FB0" w:rsidR="00DA4FBA" w:rsidP="008666F3" w:rsidRDefault="00DA4FBA" w14:paraId="463E593E" w14:textId="2A135355">
            <w:pPr>
              <w:spacing w:line="276" w:lineRule="auto"/>
              <w:jc w:val="center"/>
              <w:rPr>
                <w:rFonts w:ascii="Times New Roman" w:hAnsi="Times New Roman"/>
                <w:sz w:val="22"/>
                <w:szCs w:val="22"/>
              </w:rPr>
            </w:pPr>
            <w:r>
              <w:rPr>
                <w:rFonts w:ascii="Times New Roman" w:hAnsi="Times New Roman"/>
                <w:sz w:val="22"/>
                <w:szCs w:val="22"/>
              </w:rPr>
              <w:t>$303</w:t>
            </w:r>
          </w:p>
        </w:tc>
      </w:tr>
      <w:tr w:rsidRPr="00E60FB0" w:rsidR="00C17909" w:rsidTr="001D3876" w14:paraId="3DAF5E49" w14:textId="77777777">
        <w:tc>
          <w:tcPr>
            <w:tcW w:w="1385" w:type="dxa"/>
            <w:tcBorders>
              <w:top w:val="single" w:color="auto" w:sz="4" w:space="0"/>
              <w:left w:val="single" w:color="auto" w:sz="4" w:space="0"/>
              <w:bottom w:val="single" w:color="auto" w:sz="4" w:space="0"/>
              <w:right w:val="single" w:color="auto" w:sz="4" w:space="0"/>
            </w:tcBorders>
            <w:vAlign w:val="bottom"/>
          </w:tcPr>
          <w:p w:rsidR="00C17909" w:rsidRDefault="00C17909" w14:paraId="41411E19" w14:textId="3F8F6BF7">
            <w:pPr>
              <w:spacing w:line="276" w:lineRule="auto"/>
              <w:rPr>
                <w:rFonts w:ascii="Times New Roman" w:hAnsi="Times New Roman"/>
                <w:sz w:val="22"/>
                <w:szCs w:val="22"/>
              </w:rPr>
            </w:pPr>
            <w:r>
              <w:rPr>
                <w:rFonts w:ascii="Times New Roman" w:hAnsi="Times New Roman"/>
                <w:sz w:val="22"/>
                <w:szCs w:val="22"/>
              </w:rPr>
              <w:t>TOTAL</w:t>
            </w:r>
          </w:p>
        </w:tc>
        <w:tc>
          <w:tcPr>
            <w:tcW w:w="1415" w:type="dxa"/>
            <w:tcBorders>
              <w:top w:val="single" w:color="auto" w:sz="4" w:space="0"/>
              <w:left w:val="single" w:color="auto" w:sz="4" w:space="0"/>
              <w:bottom w:val="single" w:color="auto" w:sz="4" w:space="0"/>
              <w:right w:val="single" w:color="auto" w:sz="4" w:space="0"/>
            </w:tcBorders>
            <w:vAlign w:val="center"/>
          </w:tcPr>
          <w:p w:rsidR="00C17909" w:rsidRDefault="00C17909" w14:paraId="7A2C7973" w14:textId="50056297">
            <w:pPr>
              <w:spacing w:line="276" w:lineRule="auto"/>
              <w:jc w:val="center"/>
              <w:rPr>
                <w:rFonts w:ascii="Times New Roman" w:hAnsi="Times New Roman"/>
                <w:sz w:val="22"/>
                <w:szCs w:val="22"/>
              </w:rPr>
            </w:pPr>
            <w:r>
              <w:rPr>
                <w:rFonts w:ascii="Times New Roman" w:hAnsi="Times New Roman"/>
                <w:sz w:val="22"/>
                <w:szCs w:val="22"/>
              </w:rPr>
              <w:t>22,500</w:t>
            </w:r>
          </w:p>
        </w:tc>
        <w:tc>
          <w:tcPr>
            <w:tcW w:w="1329" w:type="dxa"/>
            <w:tcBorders>
              <w:top w:val="single" w:color="auto" w:sz="4" w:space="0"/>
              <w:left w:val="single" w:color="auto" w:sz="4" w:space="0"/>
              <w:bottom w:val="single" w:color="auto" w:sz="4" w:space="0"/>
              <w:right w:val="single" w:color="auto" w:sz="4" w:space="0"/>
            </w:tcBorders>
            <w:vAlign w:val="center"/>
          </w:tcPr>
          <w:p w:rsidR="00C17909" w:rsidRDefault="00C17909" w14:paraId="173C1EDA" w14:textId="265DDCBA">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color="auto" w:sz="4" w:space="0"/>
              <w:left w:val="single" w:color="auto" w:sz="4" w:space="0"/>
              <w:bottom w:val="single" w:color="auto" w:sz="4" w:space="0"/>
              <w:right w:val="single" w:color="auto" w:sz="4" w:space="0"/>
            </w:tcBorders>
            <w:vAlign w:val="center"/>
          </w:tcPr>
          <w:p w:rsidR="00C17909" w:rsidRDefault="00C17909" w14:paraId="78783E39" w14:textId="639FE0E5">
            <w:pPr>
              <w:spacing w:line="276" w:lineRule="auto"/>
              <w:jc w:val="center"/>
              <w:rPr>
                <w:rFonts w:ascii="Times New Roman" w:hAnsi="Times New Roman"/>
                <w:sz w:val="22"/>
                <w:szCs w:val="22"/>
              </w:rPr>
            </w:pPr>
            <w:r>
              <w:rPr>
                <w:rFonts w:ascii="Times New Roman" w:hAnsi="Times New Roman"/>
                <w:sz w:val="22"/>
                <w:szCs w:val="22"/>
              </w:rPr>
              <w:t>22,500</w:t>
            </w:r>
          </w:p>
        </w:tc>
        <w:tc>
          <w:tcPr>
            <w:tcW w:w="1037" w:type="dxa"/>
            <w:tcBorders>
              <w:top w:val="single" w:color="auto" w:sz="4" w:space="0"/>
              <w:left w:val="single" w:color="auto" w:sz="4" w:space="0"/>
              <w:bottom w:val="single" w:color="auto" w:sz="4" w:space="0"/>
              <w:right w:val="single" w:color="auto" w:sz="4" w:space="0"/>
            </w:tcBorders>
            <w:shd w:val="clear" w:color="auto" w:fill="9CC2E5" w:themeFill="accent1" w:themeFillTint="99"/>
            <w:vAlign w:val="center"/>
          </w:tcPr>
          <w:p w:rsidR="00C17909" w:rsidP="001D3876" w:rsidRDefault="00C17909" w14:paraId="37F81747" w14:textId="52449DD6">
            <w:pPr>
              <w:spacing w:line="276" w:lineRule="auto"/>
              <w:rPr>
                <w:rFonts w:ascii="Times New Roman" w:hAnsi="Times New Roman"/>
                <w:sz w:val="22"/>
                <w:szCs w:val="22"/>
              </w:rPr>
            </w:pPr>
          </w:p>
        </w:tc>
        <w:tc>
          <w:tcPr>
            <w:tcW w:w="958" w:type="dxa"/>
            <w:tcBorders>
              <w:top w:val="single" w:color="auto" w:sz="4" w:space="0"/>
              <w:left w:val="single" w:color="auto" w:sz="4" w:space="0"/>
              <w:bottom w:val="single" w:color="auto" w:sz="4" w:space="0"/>
              <w:right w:val="single" w:color="auto" w:sz="4" w:space="0"/>
            </w:tcBorders>
            <w:vAlign w:val="center"/>
          </w:tcPr>
          <w:p w:rsidR="00C17909" w:rsidRDefault="00C17909" w14:paraId="43A1E153" w14:textId="11B77159">
            <w:pPr>
              <w:spacing w:line="276" w:lineRule="auto"/>
              <w:jc w:val="center"/>
              <w:rPr>
                <w:rFonts w:ascii="Times New Roman" w:hAnsi="Times New Roman"/>
                <w:sz w:val="22"/>
                <w:szCs w:val="22"/>
              </w:rPr>
            </w:pPr>
            <w:r>
              <w:rPr>
                <w:rFonts w:ascii="Times New Roman" w:hAnsi="Times New Roman"/>
                <w:sz w:val="22"/>
                <w:szCs w:val="22"/>
              </w:rPr>
              <w:t>6,885</w:t>
            </w:r>
          </w:p>
        </w:tc>
        <w:tc>
          <w:tcPr>
            <w:tcW w:w="898" w:type="dxa"/>
            <w:tcBorders>
              <w:top w:val="single" w:color="auto" w:sz="4" w:space="0"/>
              <w:left w:val="single" w:color="auto" w:sz="4" w:space="0"/>
              <w:bottom w:val="single" w:color="auto" w:sz="4" w:space="0"/>
              <w:right w:val="single" w:color="auto" w:sz="4" w:space="0"/>
            </w:tcBorders>
            <w:vAlign w:val="center"/>
          </w:tcPr>
          <w:p w:rsidR="00C17909" w:rsidRDefault="00C17909" w14:paraId="344E0186" w14:textId="7A682905">
            <w:pPr>
              <w:spacing w:line="276" w:lineRule="auto"/>
              <w:jc w:val="center"/>
              <w:rPr>
                <w:rFonts w:ascii="Times New Roman" w:hAnsi="Times New Roman"/>
                <w:sz w:val="22"/>
                <w:szCs w:val="22"/>
              </w:rPr>
            </w:pPr>
            <w:r>
              <w:rPr>
                <w:rFonts w:ascii="Times New Roman" w:hAnsi="Times New Roman"/>
                <w:sz w:val="22"/>
                <w:szCs w:val="22"/>
              </w:rPr>
              <w:t>$29.88</w:t>
            </w:r>
          </w:p>
        </w:tc>
        <w:tc>
          <w:tcPr>
            <w:tcW w:w="1146" w:type="dxa"/>
            <w:tcBorders>
              <w:top w:val="single" w:color="auto" w:sz="4" w:space="0"/>
              <w:left w:val="single" w:color="auto" w:sz="4" w:space="0"/>
              <w:bottom w:val="single" w:color="auto" w:sz="4" w:space="0"/>
              <w:right w:val="single" w:color="auto" w:sz="4" w:space="0"/>
            </w:tcBorders>
            <w:vAlign w:val="center"/>
          </w:tcPr>
          <w:p w:rsidR="00C17909" w:rsidP="00C17909" w:rsidRDefault="002A679D" w14:paraId="2F9D3963" w14:textId="1B8445C5">
            <w:pPr>
              <w:spacing w:line="276" w:lineRule="auto"/>
              <w:jc w:val="center"/>
              <w:rPr>
                <w:rFonts w:ascii="Times New Roman" w:hAnsi="Times New Roman"/>
                <w:sz w:val="22"/>
                <w:szCs w:val="22"/>
              </w:rPr>
            </w:pPr>
            <w:r>
              <w:rPr>
                <w:rFonts w:ascii="Times New Roman" w:hAnsi="Times New Roman"/>
                <w:sz w:val="22"/>
                <w:szCs w:val="22"/>
              </w:rPr>
              <w:t>$204,422</w:t>
            </w:r>
          </w:p>
        </w:tc>
      </w:tr>
    </w:tbl>
    <w:p w:rsidRPr="00C17909" w:rsidR="00C17909" w:rsidP="00C17909" w:rsidRDefault="00C17909" w14:paraId="365B2AA9" w14:textId="584BB3CA">
      <w:pPr>
        <w:widowControl/>
        <w:autoSpaceDE/>
        <w:autoSpaceDN/>
        <w:adjustRightInd/>
        <w:rPr>
          <w:rFonts w:ascii="Calibri" w:hAnsi="Calibri" w:cs="Calibri"/>
          <w:i/>
          <w:iCs/>
          <w:color w:val="000000"/>
          <w:sz w:val="20"/>
          <w:szCs w:val="20"/>
        </w:rPr>
      </w:pPr>
      <w:r>
        <w:rPr>
          <w:rFonts w:ascii="Calibri" w:hAnsi="Calibri" w:cs="Calibri"/>
          <w:i/>
          <w:iCs/>
          <w:color w:val="000000"/>
          <w:sz w:val="20"/>
          <w:szCs w:val="20"/>
        </w:rPr>
        <w:t>*</w:t>
      </w:r>
      <w:r w:rsidRPr="00C17909">
        <w:rPr>
          <w:rFonts w:ascii="Calibri" w:hAnsi="Calibri" w:cs="Calibri"/>
          <w:i/>
          <w:iCs/>
          <w:color w:val="000000"/>
          <w:sz w:val="20"/>
          <w:szCs w:val="20"/>
        </w:rPr>
        <w:t>Note: Hou</w:t>
      </w:r>
      <w:r w:rsidR="00D251C9">
        <w:rPr>
          <w:rFonts w:ascii="Calibri" w:hAnsi="Calibri" w:cs="Calibri"/>
          <w:i/>
          <w:iCs/>
          <w:color w:val="000000"/>
          <w:sz w:val="20"/>
          <w:szCs w:val="20"/>
        </w:rPr>
        <w:t>rly cost for $29.69 based on Bureau of Labor Statistics (BLS)</w:t>
      </w:r>
      <w:r w:rsidRPr="00C17909">
        <w:rPr>
          <w:rFonts w:ascii="Calibri" w:hAnsi="Calibri" w:cs="Calibri"/>
          <w:i/>
          <w:iCs/>
          <w:color w:val="000000"/>
          <w:sz w:val="20"/>
          <w:szCs w:val="20"/>
        </w:rPr>
        <w:t xml:space="preserve"> Occupational Employment and Wages, May 2019, 21-1029 'Social Workers, Other' mean hourly wages.  Hourly rate </w:t>
      </w:r>
      <w:r>
        <w:rPr>
          <w:rFonts w:ascii="Calibri" w:hAnsi="Calibri" w:cs="Calibri"/>
          <w:i/>
          <w:iCs/>
          <w:color w:val="000000"/>
          <w:sz w:val="20"/>
          <w:szCs w:val="20"/>
        </w:rPr>
        <w:t xml:space="preserve">of $30.25 </w:t>
      </w:r>
      <w:r w:rsidRPr="00C17909">
        <w:rPr>
          <w:rFonts w:ascii="Calibri" w:hAnsi="Calibri" w:cs="Calibri"/>
          <w:i/>
          <w:iCs/>
          <w:color w:val="000000"/>
          <w:sz w:val="20"/>
          <w:szCs w:val="20"/>
        </w:rPr>
        <w:t>for Partner System Registration based on BLS Occupational Employment and Wages, May 2019, 43-6011, 'Executive Secretaries and Executive Administrative Assistants' mean hourly wages.</w:t>
      </w:r>
    </w:p>
    <w:p w:rsidRPr="00A47DA7"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72D66" w:rsidR="00690F56" w:rsidP="00E60FB0" w:rsidRDefault="00690F56" w14:paraId="6E445B0D"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proofErr w:type="gramStart"/>
      <w:r w:rsidRPr="006F6E13" w:rsidR="00CD215D">
        <w:rPr>
          <w:rFonts w:ascii="Times New Roman" w:hAnsi="Times New Roman"/>
          <w:b/>
        </w:rPr>
        <w:t>:</w:t>
      </w:r>
      <w:r w:rsidRPr="006F6E13" w:rsidR="00AB4DC3">
        <w:rPr>
          <w:rFonts w:ascii="Times New Roman" w:hAnsi="Times New Roman"/>
          <w:b/>
        </w:rPr>
        <w:t xml:space="preserve">  (</w:t>
      </w:r>
      <w:proofErr w:type="gramEnd"/>
      <w:r w:rsidRPr="006F6E13" w:rsidR="00AB4DC3">
        <w:rPr>
          <w:rFonts w:ascii="Times New Roman" w:hAnsi="Times New Roman"/>
          <w:b/>
        </w:rPr>
        <w:t>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w:t>
      </w:r>
      <w:r w:rsidRPr="00D53DEB">
        <w:rPr>
          <w:rFonts w:ascii="Times New Roman" w:hAnsi="Times New Roman"/>
          <w:b/>
        </w:rPr>
        <w:lastRenderedPageBreak/>
        <w:t>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rsidRDefault="008E050A" w14:paraId="726D62FC" w14:textId="29AA1D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is no expected start-up or maintenance cost to the respondents or recordkeepers.  A cloud-based case management/data entry system will be provided by the Federal Government, and is discussed in more detail in section 14.  License costs associated with </w:t>
      </w:r>
      <w:r w:rsidR="00CA2D2C">
        <w:rPr>
          <w:rFonts w:ascii="Times New Roman" w:hAnsi="Times New Roman"/>
        </w:rPr>
        <w:t xml:space="preserve">access to the system </w:t>
      </w:r>
      <w:r w:rsidR="00C17909">
        <w:rPr>
          <w:rFonts w:ascii="Times New Roman" w:hAnsi="Times New Roman"/>
        </w:rPr>
        <w:t>will also be paid for by DOL.</w:t>
      </w:r>
    </w:p>
    <w:p w:rsidR="00D713C1" w:rsidP="00690F56" w:rsidRDefault="00D713C1" w14:paraId="7E3B1F53" w14:textId="314056F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713C1" w:rsidP="00690F56" w:rsidRDefault="00D713C1" w14:paraId="0C55F205" w14:textId="2E82A4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is also no expected burden associated with services provide to participants since these services are already being provided under normal business models.  DOL is simply providing additional referrals to each partner based on the partner’s willingness to receive additional participants.  </w:t>
      </w:r>
    </w:p>
    <w:p w:rsidRPr="00F4518C" w:rsidR="00A67085" w:rsidP="00690F56" w:rsidRDefault="00A67085" w14:paraId="72A6B0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690F56" w:rsidRDefault="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E050A" w:rsidP="008E050A" w:rsidRDefault="008E050A" w14:paraId="19AC7BEC" w14:textId="4C6D89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Start-up costs incurred by the federal government include: $2.</w:t>
      </w:r>
      <w:r w:rsidR="00F65B99">
        <w:rPr>
          <w:rFonts w:ascii="Times New Roman" w:hAnsi="Times New Roman"/>
        </w:rPr>
        <w:t>5</w:t>
      </w:r>
      <w:r>
        <w:rPr>
          <w:rFonts w:ascii="Times New Roman" w:hAnsi="Times New Roman"/>
        </w:rPr>
        <w:t>M for initial case management development and implementation; $</w:t>
      </w:r>
      <w:r w:rsidR="00F65B99">
        <w:rPr>
          <w:rFonts w:ascii="Times New Roman" w:hAnsi="Times New Roman"/>
        </w:rPr>
        <w:t>5</w:t>
      </w:r>
      <w:r>
        <w:rPr>
          <w:rFonts w:ascii="Times New Roman" w:hAnsi="Times New Roman"/>
        </w:rPr>
        <w:t>00,000 annually thereafter for system maintenance and licensing; $50,000 annually for costs associated with data matching to the National Directory of New Hires; $500,000 annually for contractor analytical support (based on $250,000 per year for a Senior Data Analyst).</w:t>
      </w:r>
      <w:r w:rsidR="00C17909">
        <w:rPr>
          <w:rFonts w:ascii="Times New Roman" w:hAnsi="Times New Roman"/>
        </w:rPr>
        <w:t xml:space="preserve">  This cost estimation was based on similar case managements systems developed by DOL in the recent past.  </w:t>
      </w:r>
    </w:p>
    <w:p w:rsidR="00690F56" w:rsidP="00690F56" w:rsidRDefault="00690F56" w14:paraId="3F8C7E1B" w14:textId="32EF84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4028" w:rsidP="00690F56" w:rsidRDefault="00C94028" w14:paraId="29BF6878" w14:textId="060F7F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aforementioned case management system will likely be a commercial off-the-shelf product customized for use by Employment Navigators, approved TAP partners, and DOL employees.  The system will be cloud-based and available to all users wherever internet access is available. </w:t>
      </w:r>
      <w:r w:rsidR="00C17909">
        <w:rPr>
          <w:rFonts w:ascii="Times New Roman" w:hAnsi="Times New Roman"/>
        </w:rPr>
        <w:t xml:space="preserve">Respondents will not bear a </w:t>
      </w:r>
      <w:r w:rsidR="00946CA6">
        <w:rPr>
          <w:rFonts w:ascii="Times New Roman" w:hAnsi="Times New Roman"/>
        </w:rPr>
        <w:t xml:space="preserve">direct </w:t>
      </w:r>
      <w:r w:rsidR="00C17909">
        <w:rPr>
          <w:rFonts w:ascii="Times New Roman" w:hAnsi="Times New Roman"/>
        </w:rPr>
        <w:t>cost to utilize the system.</w:t>
      </w:r>
      <w:r>
        <w:rPr>
          <w:rFonts w:ascii="Times New Roman" w:hAnsi="Times New Roman"/>
        </w:rPr>
        <w:t xml:space="preserve"> </w:t>
      </w:r>
    </w:p>
    <w:p w:rsidR="00F65B99" w:rsidP="00690F56" w:rsidRDefault="00F65B99" w14:paraId="1B92F647" w14:textId="7A31B3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65B99" w:rsidP="00690F56" w:rsidRDefault="00F65B99" w14:paraId="5FCBCC90" w14:textId="0E1BD6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In addition to the equipment and contractor costs mentioned above, it is estimated that DOL will bear the cost of approximately </w:t>
      </w:r>
      <w:r w:rsidR="00FB19B8">
        <w:rPr>
          <w:rFonts w:ascii="Times New Roman" w:hAnsi="Times New Roman"/>
        </w:rPr>
        <w:t>$40,000</w:t>
      </w:r>
      <w:r>
        <w:rPr>
          <w:rFonts w:ascii="Times New Roman" w:hAnsi="Times New Roman"/>
        </w:rPr>
        <w:t xml:space="preserve">, which is based on </w:t>
      </w:r>
      <w:r w:rsidR="0070604A">
        <w:rPr>
          <w:rFonts w:ascii="Times New Roman" w:hAnsi="Times New Roman"/>
        </w:rPr>
        <w:t xml:space="preserve">half of a full-time government employee.  This cost comes from the need to guide contract staff, engage in data analysis, and brief senior leadership on </w:t>
      </w:r>
      <w:r w:rsidR="006E62E9">
        <w:rPr>
          <w:rFonts w:ascii="Times New Roman" w:hAnsi="Times New Roman"/>
        </w:rPr>
        <w:t>performance outcomes of the pilot.  The table below includes an itemized list of cost categories for the first year of pilot operation and future years.</w:t>
      </w:r>
    </w:p>
    <w:p w:rsidR="006E62E9" w:rsidP="00690F56" w:rsidRDefault="006E62E9" w14:paraId="27A08184" w14:textId="3506CA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E62E9" w:rsidP="00690F56" w:rsidRDefault="006E62E9" w14:paraId="60A2C5AD" w14:textId="16EA98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B19B8" w:rsidR="006E62E9" w:rsidP="00FB19B8" w:rsidRDefault="006E62E9" w14:paraId="40EFAFDD" w14:textId="7F05B0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rPr>
      </w:pPr>
      <w:r w:rsidRPr="00FB19B8">
        <w:rPr>
          <w:rFonts w:ascii="Times New Roman" w:hAnsi="Times New Roman"/>
          <w:b/>
        </w:rPr>
        <w:lastRenderedPageBreak/>
        <w:t>Table 2: Itemized Cost Categories for Employment Navigator Pilot</w:t>
      </w:r>
    </w:p>
    <w:tbl>
      <w:tblPr>
        <w:tblStyle w:val="TableGrid"/>
        <w:tblW w:w="0" w:type="auto"/>
        <w:tblLook w:val="04A0" w:firstRow="1" w:lastRow="0" w:firstColumn="1" w:lastColumn="0" w:noHBand="0" w:noVBand="1"/>
      </w:tblPr>
      <w:tblGrid>
        <w:gridCol w:w="4765"/>
        <w:gridCol w:w="2250"/>
        <w:gridCol w:w="2335"/>
      </w:tblGrid>
      <w:tr w:rsidRPr="00A31381" w:rsidR="006E62E9" w:rsidTr="00A31381" w14:paraId="0B93BA84" w14:textId="77777777">
        <w:tc>
          <w:tcPr>
            <w:tcW w:w="4765" w:type="dxa"/>
            <w:shd w:val="clear" w:color="auto" w:fill="9CC2E5" w:themeFill="accent1" w:themeFillTint="99"/>
          </w:tcPr>
          <w:p w:rsidRPr="00A31381" w:rsidR="006E62E9" w:rsidP="00690F56" w:rsidRDefault="006E62E9" w14:paraId="3FE41E64" w14:textId="17C4AF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31381">
              <w:rPr>
                <w:rFonts w:ascii="Times New Roman" w:hAnsi="Times New Roman"/>
                <w:b/>
              </w:rPr>
              <w:t>Cost Category</w:t>
            </w:r>
          </w:p>
        </w:tc>
        <w:tc>
          <w:tcPr>
            <w:tcW w:w="2250" w:type="dxa"/>
            <w:shd w:val="clear" w:color="auto" w:fill="9CC2E5" w:themeFill="accent1" w:themeFillTint="99"/>
          </w:tcPr>
          <w:p w:rsidRPr="00A31381" w:rsidR="006E62E9" w:rsidP="00690F56" w:rsidRDefault="006E62E9" w14:paraId="2D6EBB92" w14:textId="596B1E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31381">
              <w:rPr>
                <w:rFonts w:ascii="Times New Roman" w:hAnsi="Times New Roman"/>
                <w:b/>
              </w:rPr>
              <w:t>First Year of Pilot</w:t>
            </w:r>
          </w:p>
        </w:tc>
        <w:tc>
          <w:tcPr>
            <w:tcW w:w="2335" w:type="dxa"/>
            <w:shd w:val="clear" w:color="auto" w:fill="9CC2E5" w:themeFill="accent1" w:themeFillTint="99"/>
          </w:tcPr>
          <w:p w:rsidRPr="00A31381" w:rsidR="006E62E9" w:rsidP="00690F56" w:rsidRDefault="00175696" w14:paraId="0C1E9055" w14:textId="4869BB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31381">
              <w:rPr>
                <w:rFonts w:ascii="Times New Roman" w:hAnsi="Times New Roman"/>
                <w:b/>
              </w:rPr>
              <w:t>Future Years</w:t>
            </w:r>
          </w:p>
        </w:tc>
      </w:tr>
      <w:tr w:rsidR="006E62E9" w:rsidTr="00FB19B8" w14:paraId="42375736" w14:textId="77777777">
        <w:tc>
          <w:tcPr>
            <w:tcW w:w="4765" w:type="dxa"/>
          </w:tcPr>
          <w:p w:rsidR="006E62E9" w:rsidP="00690F56" w:rsidRDefault="002A679D" w14:paraId="3D66FED1" w14:textId="703643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Public Data Collection</w:t>
            </w:r>
          </w:p>
        </w:tc>
        <w:tc>
          <w:tcPr>
            <w:tcW w:w="2250" w:type="dxa"/>
          </w:tcPr>
          <w:p w:rsidR="006E62E9" w:rsidP="00690F56" w:rsidRDefault="00D92CE7" w14:paraId="334A7FDA" w14:textId="4CA005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$204,422</w:t>
            </w:r>
          </w:p>
        </w:tc>
        <w:tc>
          <w:tcPr>
            <w:tcW w:w="2335" w:type="dxa"/>
          </w:tcPr>
          <w:p w:rsidR="006E62E9" w:rsidP="00690F56" w:rsidRDefault="00D92CE7" w14:paraId="4C17A590" w14:textId="0620E9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$204,422</w:t>
            </w:r>
          </w:p>
        </w:tc>
      </w:tr>
      <w:tr w:rsidR="006E62E9" w:rsidTr="00FB19B8" w14:paraId="5898816C" w14:textId="77777777">
        <w:tc>
          <w:tcPr>
            <w:tcW w:w="4765" w:type="dxa"/>
          </w:tcPr>
          <w:p w:rsidR="006E62E9" w:rsidP="00690F56" w:rsidRDefault="00D92CE7" w14:paraId="60197A8C" w14:textId="1F2A5C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Public Equipment &amp; </w:t>
            </w:r>
            <w:r w:rsidR="00FB19B8">
              <w:rPr>
                <w:rFonts w:ascii="Times New Roman" w:hAnsi="Times New Roman"/>
              </w:rPr>
              <w:t xml:space="preserve">System </w:t>
            </w:r>
            <w:r>
              <w:rPr>
                <w:rFonts w:ascii="Times New Roman" w:hAnsi="Times New Roman"/>
              </w:rPr>
              <w:t>Maintenance</w:t>
            </w:r>
          </w:p>
        </w:tc>
        <w:tc>
          <w:tcPr>
            <w:tcW w:w="2250" w:type="dxa"/>
          </w:tcPr>
          <w:p w:rsidR="006E62E9" w:rsidP="00690F56" w:rsidRDefault="00D92CE7" w14:paraId="4C7F3516" w14:textId="1E98E1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$0</w:t>
            </w:r>
          </w:p>
        </w:tc>
        <w:tc>
          <w:tcPr>
            <w:tcW w:w="2335" w:type="dxa"/>
          </w:tcPr>
          <w:p w:rsidR="006E62E9" w:rsidP="00690F56" w:rsidRDefault="00D92CE7" w14:paraId="472459DE" w14:textId="5DEA3C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$0</w:t>
            </w:r>
          </w:p>
        </w:tc>
      </w:tr>
      <w:tr w:rsidR="006E62E9" w:rsidTr="00FB19B8" w14:paraId="02413D42" w14:textId="77777777">
        <w:tc>
          <w:tcPr>
            <w:tcW w:w="4765" w:type="dxa"/>
          </w:tcPr>
          <w:p w:rsidR="006E62E9" w:rsidP="00690F56" w:rsidRDefault="00FB19B8" w14:paraId="6DA9FC06" w14:textId="3477DC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Case Management System Development</w:t>
            </w:r>
          </w:p>
        </w:tc>
        <w:tc>
          <w:tcPr>
            <w:tcW w:w="2250" w:type="dxa"/>
          </w:tcPr>
          <w:p w:rsidR="006E62E9" w:rsidP="00690F56" w:rsidRDefault="00FB19B8" w14:paraId="2D3672AF" w14:textId="17FFBA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$2,500,000</w:t>
            </w:r>
          </w:p>
        </w:tc>
        <w:tc>
          <w:tcPr>
            <w:tcW w:w="2335" w:type="dxa"/>
          </w:tcPr>
          <w:p w:rsidR="006E62E9" w:rsidP="00690F56" w:rsidRDefault="00FB19B8" w14:paraId="1CDA6AD5" w14:textId="3C4427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N/A</w:t>
            </w:r>
          </w:p>
        </w:tc>
      </w:tr>
      <w:tr w:rsidR="006E62E9" w:rsidTr="00FB19B8" w14:paraId="10298FA4" w14:textId="77777777">
        <w:tc>
          <w:tcPr>
            <w:tcW w:w="4765" w:type="dxa"/>
          </w:tcPr>
          <w:p w:rsidR="006E62E9" w:rsidP="00690F56" w:rsidRDefault="00FB19B8" w14:paraId="1BD7B238" w14:textId="774427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Case Management System Maintenance </w:t>
            </w:r>
          </w:p>
        </w:tc>
        <w:tc>
          <w:tcPr>
            <w:tcW w:w="2250" w:type="dxa"/>
          </w:tcPr>
          <w:p w:rsidR="006E62E9" w:rsidP="00690F56" w:rsidRDefault="00FB19B8" w14:paraId="3CDCCC63" w14:textId="6CAC4E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N/A</w:t>
            </w:r>
          </w:p>
        </w:tc>
        <w:tc>
          <w:tcPr>
            <w:tcW w:w="2335" w:type="dxa"/>
          </w:tcPr>
          <w:p w:rsidR="006E62E9" w:rsidP="00690F56" w:rsidRDefault="00FB19B8" w14:paraId="7D99CBBA" w14:textId="62BD39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$500,000</w:t>
            </w:r>
          </w:p>
        </w:tc>
      </w:tr>
      <w:tr w:rsidR="006E62E9" w:rsidTr="00FB19B8" w14:paraId="2552F804" w14:textId="77777777">
        <w:tc>
          <w:tcPr>
            <w:tcW w:w="4765" w:type="dxa"/>
          </w:tcPr>
          <w:p w:rsidR="006E62E9" w:rsidP="00690F56" w:rsidRDefault="00FB19B8" w14:paraId="25783DCD" w14:textId="1EE04F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Data Matching Fees, Federal Employees, Contractor Support</w:t>
            </w:r>
          </w:p>
        </w:tc>
        <w:tc>
          <w:tcPr>
            <w:tcW w:w="2250" w:type="dxa"/>
          </w:tcPr>
          <w:p w:rsidR="006E62E9" w:rsidP="00690F56" w:rsidRDefault="00FB19B8" w14:paraId="10E7B64B" w14:textId="1D8A27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$590,000</w:t>
            </w:r>
          </w:p>
        </w:tc>
        <w:tc>
          <w:tcPr>
            <w:tcW w:w="2335" w:type="dxa"/>
          </w:tcPr>
          <w:p w:rsidR="006E62E9" w:rsidP="00690F56" w:rsidRDefault="00FB19B8" w14:paraId="24492667" w14:textId="0F8B5F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$590,000</w:t>
            </w:r>
          </w:p>
        </w:tc>
      </w:tr>
      <w:tr w:rsidR="00FB19B8" w:rsidTr="00FB19B8" w14:paraId="06527E7F" w14:textId="77777777">
        <w:tc>
          <w:tcPr>
            <w:tcW w:w="4765" w:type="dxa"/>
          </w:tcPr>
          <w:p w:rsidRPr="00FB19B8" w:rsidR="00FB19B8" w:rsidP="00690F56" w:rsidRDefault="00FB19B8" w14:paraId="09389D0B" w14:textId="0AE23A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FB19B8">
              <w:rPr>
                <w:rFonts w:ascii="Times New Roman" w:hAnsi="Times New Roman"/>
                <w:b/>
              </w:rPr>
              <w:t>TOTAL</w:t>
            </w:r>
            <w:r w:rsidR="0011382A">
              <w:rPr>
                <w:rStyle w:val="FootnoteReference"/>
                <w:rFonts w:ascii="Times New Roman" w:hAnsi="Times New Roman"/>
                <w:b/>
              </w:rPr>
              <w:footnoteReference w:id="1"/>
            </w:r>
          </w:p>
        </w:tc>
        <w:tc>
          <w:tcPr>
            <w:tcW w:w="2250" w:type="dxa"/>
          </w:tcPr>
          <w:p w:rsidRPr="00FB19B8" w:rsidR="00FB19B8" w:rsidP="00690F56" w:rsidRDefault="00FB19B8" w14:paraId="5BED6997" w14:textId="31D929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FB19B8">
              <w:rPr>
                <w:rFonts w:ascii="Times New Roman" w:hAnsi="Times New Roman"/>
                <w:b/>
              </w:rPr>
              <w:t>$3,294,422</w:t>
            </w:r>
          </w:p>
        </w:tc>
        <w:tc>
          <w:tcPr>
            <w:tcW w:w="2335" w:type="dxa"/>
          </w:tcPr>
          <w:p w:rsidRPr="00FB19B8" w:rsidR="00FB19B8" w:rsidP="00690F56" w:rsidRDefault="00FB19B8" w14:paraId="3DF8A158" w14:textId="6D52B9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FB19B8">
              <w:rPr>
                <w:rFonts w:ascii="Times New Roman" w:hAnsi="Times New Roman"/>
                <w:b/>
              </w:rPr>
              <w:t>$1,294,422</w:t>
            </w:r>
          </w:p>
        </w:tc>
      </w:tr>
    </w:tbl>
    <w:p w:rsidR="006E62E9" w:rsidP="00690F56" w:rsidRDefault="006E62E9" w14:paraId="18570F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122245" w:rsidP="00690F56" w:rsidRDefault="00122245" w14:paraId="10D25E45" w14:textId="322686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rsidRDefault="00690F56" w14:paraId="13EF01B8" w14:textId="50AFA9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1F1543" w:rsidP="00690F56" w:rsidRDefault="00937601" w14:paraId="7DFAE995" w14:textId="679E57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As a pilot program, this project will help to establish permanent program policies.  There will be no changes at this time to the original program due to this information collection.</w:t>
      </w:r>
    </w:p>
    <w:p w:rsidRPr="00F4518C" w:rsidR="00690F56" w:rsidP="00690F56" w:rsidRDefault="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rsidRDefault="00690F56" w14:paraId="510180C3" w14:textId="5C3722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37601" w:rsidP="00690F56" w:rsidRDefault="00A75544" w14:paraId="4A2921FA" w14:textId="16BFBCA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Report publication from this information collection is unlikely.  However, aggregated results will likely be shared with interested stakeholders, such as: Congress, the Department of Defense and all military branches, and the Department of Veterans’ Affairs.</w:t>
      </w:r>
    </w:p>
    <w:p w:rsidR="00A75544" w:rsidP="00690F56" w:rsidRDefault="00A75544" w14:paraId="77A12520" w14:textId="657FCE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A75544" w:rsidP="00690F56" w:rsidRDefault="00A75544" w14:paraId="731E2027" w14:textId="7AFDA9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Any information obtained from this information collection will be distributed in an aggregated form that makes it impossible to identify one specific record</w:t>
      </w:r>
      <w:r w:rsidR="00FB19B8">
        <w:rPr>
          <w:rFonts w:ascii="Times New Roman" w:hAnsi="Times New Roman"/>
        </w:rPr>
        <w:t>/participant</w:t>
      </w:r>
      <w:r>
        <w:rPr>
          <w:rFonts w:ascii="Times New Roman" w:hAnsi="Times New Roman"/>
        </w:rPr>
        <w:t xml:space="preserve">.  It is anticipated that information will be calculated to create the key performance indicators of: employment placement; employment retention; and quarterly or annual earnings.  These performance indicators will be displayed in cross-tabular tables or visualizations which display these results by: military occupational specialty; rank; military branch; military installation; services received by an Employment Navigator; educational attainment; receipt of a “warm handover” from DoD; and possibly others as data trends emerge.  It is not expected for advanced statistical methods to be necessary to produce these performance indicators.  </w:t>
      </w:r>
      <w:r w:rsidR="00FB19B8">
        <w:rPr>
          <w:rFonts w:ascii="Times New Roman" w:hAnsi="Times New Roman"/>
        </w:rPr>
        <w:t>No sampling methodology will be needed.</w:t>
      </w:r>
    </w:p>
    <w:p w:rsidRPr="00871CA6"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rsidRDefault="00690F56" w14:paraId="1B1630F4" w14:textId="63259E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2C6D91" w:rsidP="00690F56" w:rsidRDefault="00053A67" w14:paraId="3531FC64" w14:textId="3057F5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p>
    <w:p w:rsidRPr="00A973AA"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rsidRDefault="000C3A92" w14:paraId="641E1E6D" w14:textId="780D80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AF0222" w:rsidP="000C3A92" w:rsidRDefault="00053A67" w14:paraId="391138C4" w14:textId="160423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Not applicable. </w:t>
      </w: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332F98" w:rsidRDefault="00AF0222" w14:paraId="3E8CBCDA" w14:textId="2FDF7558">
      <w:pPr>
        <w:rPr>
          <w:rFonts w:ascii="Times New Roman" w:hAnsi="Times New Roman"/>
        </w:rPr>
      </w:pPr>
      <w:r>
        <w:rPr>
          <w:rFonts w:ascii="Times New Roman" w:hAnsi="Times New Roman"/>
        </w:rPr>
        <w:t>Not applicable</w:t>
      </w:r>
    </w:p>
    <w:sectPr w:rsidRPr="00D53DEB" w:rsidR="00332F98"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B8D6E" w14:textId="77777777" w:rsidR="00E36D10" w:rsidRDefault="00E36D10">
      <w:r>
        <w:separator/>
      </w:r>
    </w:p>
  </w:endnote>
  <w:endnote w:type="continuationSeparator" w:id="0">
    <w:p w14:paraId="285F3C15" w14:textId="77777777" w:rsidR="00E36D10" w:rsidRDefault="00E3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46377" w14:textId="39224D59"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BA7A5C">
      <w:rPr>
        <w:rStyle w:val="PageNumber"/>
        <w:rFonts w:ascii="Times New Roman" w:hAnsi="Times New Roman"/>
        <w:noProof/>
      </w:rPr>
      <w:t>2</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D7960" w14:textId="77777777" w:rsidR="00E36D10" w:rsidRDefault="00E36D10">
      <w:r>
        <w:separator/>
      </w:r>
    </w:p>
  </w:footnote>
  <w:footnote w:type="continuationSeparator" w:id="0">
    <w:p w14:paraId="1A6575F2" w14:textId="77777777" w:rsidR="00E36D10" w:rsidRDefault="00E36D10">
      <w:r>
        <w:continuationSeparator/>
      </w:r>
    </w:p>
  </w:footnote>
  <w:footnote w:id="1">
    <w:p w14:paraId="23E129DA" w14:textId="2DC6BA6D" w:rsidR="0011382A" w:rsidRPr="0011382A" w:rsidRDefault="0011382A">
      <w:pPr>
        <w:pStyle w:val="FootnoteText"/>
        <w:rPr>
          <w:rFonts w:ascii="Times New Roman" w:hAnsi="Times New Roman"/>
        </w:rPr>
      </w:pPr>
      <w:r w:rsidRPr="0011382A">
        <w:rPr>
          <w:rStyle w:val="FootnoteReference"/>
          <w:rFonts w:ascii="Times New Roman" w:hAnsi="Times New Roman"/>
        </w:rPr>
        <w:footnoteRef/>
      </w:r>
      <w:r w:rsidRPr="0011382A">
        <w:rPr>
          <w:rFonts w:ascii="Times New Roman" w:hAnsi="Times New Roman"/>
        </w:rPr>
        <w:t xml:space="preserve"> A three-year average cost will be used for the Annual Cost to Federal Government</w:t>
      </w:r>
      <w:r w:rsidR="001D3876">
        <w:rPr>
          <w:rFonts w:ascii="Times New Roman" w:hAnsi="Times New Roman"/>
        </w:rPr>
        <w:t xml:space="preserve"> within the ROCIS ICR</w:t>
      </w:r>
      <w:r w:rsidRPr="0011382A">
        <w:rPr>
          <w:rFonts w:ascii="Times New Roman" w:hAnsi="Times New Roman"/>
        </w:rPr>
        <w:t xml:space="preserve"> (</w:t>
      </w:r>
      <w:r>
        <w:rPr>
          <w:rFonts w:ascii="Times New Roman" w:hAnsi="Times New Roman"/>
        </w:rPr>
        <w:t>($3,294,422 + $1,294,422 + $1,294,422) ÷ 3 = $</w:t>
      </w:r>
      <w:r w:rsidR="001D3876">
        <w:rPr>
          <w:rFonts w:ascii="Times New Roman" w:hAnsi="Times New Roman"/>
        </w:rPr>
        <w:t>1,961,089.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7277" w14:textId="1A61689B" w:rsidR="006626FF" w:rsidRPr="006626FF" w:rsidRDefault="008915AC" w:rsidP="00F8164B">
    <w:pPr>
      <w:pStyle w:val="Header"/>
      <w:rPr>
        <w:rFonts w:ascii="Times New Roman" w:hAnsi="Times New Roman"/>
        <w:bCs/>
        <w:sz w:val="20"/>
        <w:szCs w:val="20"/>
      </w:rPr>
    </w:pPr>
    <w:r>
      <w:rPr>
        <w:rFonts w:ascii="Times New Roman" w:hAnsi="Times New Roman"/>
        <w:bCs/>
        <w:sz w:val="20"/>
        <w:szCs w:val="20"/>
      </w:rPr>
      <w:t>Employment Navigator Data Collection and Matching</w:t>
    </w:r>
  </w:p>
  <w:p w14:paraId="52F50703" w14:textId="7ECF2291"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915AC">
      <w:rPr>
        <w:rFonts w:ascii="Times New Roman" w:hAnsi="Times New Roman"/>
        <w:sz w:val="20"/>
        <w:szCs w:val="20"/>
      </w:rPr>
      <w:t>12</w:t>
    </w:r>
    <w:r w:rsidR="00BA7A5C">
      <w:rPr>
        <w:rFonts w:ascii="Times New Roman" w:hAnsi="Times New Roman"/>
        <w:sz w:val="20"/>
        <w:szCs w:val="20"/>
      </w:rPr>
      <w:t>93</w:t>
    </w:r>
    <w:r w:rsidR="008915AC">
      <w:rPr>
        <w:rFonts w:ascii="Times New Roman" w:hAnsi="Times New Roman"/>
        <w:sz w:val="20"/>
        <w:szCs w:val="20"/>
      </w:rPr>
      <w:t>-</w:t>
    </w:r>
    <w:r w:rsidR="007F522C">
      <w:rPr>
        <w:rFonts w:ascii="Times New Roman" w:hAnsi="Times New Roman"/>
        <w:sz w:val="20"/>
        <w:szCs w:val="20"/>
      </w:rPr>
      <w:t>0NEW</w:t>
    </w:r>
  </w:p>
  <w:p w14:paraId="1D1AD862" w14:textId="3E478A2B"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7F522C">
      <w:rPr>
        <w:rFonts w:ascii="Times New Roman" w:hAnsi="Times New Roman"/>
        <w:sz w:val="20"/>
        <w:szCs w:val="20"/>
      </w:rPr>
      <w:t>TBD</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472F4"/>
    <w:rsid w:val="00052174"/>
    <w:rsid w:val="00053A67"/>
    <w:rsid w:val="00061F6C"/>
    <w:rsid w:val="00064E28"/>
    <w:rsid w:val="0007383F"/>
    <w:rsid w:val="00085C95"/>
    <w:rsid w:val="00095C30"/>
    <w:rsid w:val="000A7853"/>
    <w:rsid w:val="000A7E62"/>
    <w:rsid w:val="000B0391"/>
    <w:rsid w:val="000B4875"/>
    <w:rsid w:val="000B6FB6"/>
    <w:rsid w:val="000C257C"/>
    <w:rsid w:val="000C3A92"/>
    <w:rsid w:val="000C74FB"/>
    <w:rsid w:val="000D7F95"/>
    <w:rsid w:val="000E1C64"/>
    <w:rsid w:val="000F6836"/>
    <w:rsid w:val="001040D4"/>
    <w:rsid w:val="001078BB"/>
    <w:rsid w:val="0011382A"/>
    <w:rsid w:val="00116CD5"/>
    <w:rsid w:val="00122245"/>
    <w:rsid w:val="0012525A"/>
    <w:rsid w:val="00133C47"/>
    <w:rsid w:val="0014556E"/>
    <w:rsid w:val="0015322B"/>
    <w:rsid w:val="0015365E"/>
    <w:rsid w:val="00155582"/>
    <w:rsid w:val="00157A90"/>
    <w:rsid w:val="00160E33"/>
    <w:rsid w:val="00175696"/>
    <w:rsid w:val="00177273"/>
    <w:rsid w:val="00180E5A"/>
    <w:rsid w:val="00191F2C"/>
    <w:rsid w:val="001A47D9"/>
    <w:rsid w:val="001D10ED"/>
    <w:rsid w:val="001D2D09"/>
    <w:rsid w:val="001D3876"/>
    <w:rsid w:val="001D67BB"/>
    <w:rsid w:val="001E0E7F"/>
    <w:rsid w:val="001E2932"/>
    <w:rsid w:val="001E3596"/>
    <w:rsid w:val="001E5213"/>
    <w:rsid w:val="001F1543"/>
    <w:rsid w:val="001F2E8E"/>
    <w:rsid w:val="002036A1"/>
    <w:rsid w:val="002134B4"/>
    <w:rsid w:val="002203C9"/>
    <w:rsid w:val="00237691"/>
    <w:rsid w:val="00242CA0"/>
    <w:rsid w:val="00243432"/>
    <w:rsid w:val="00247146"/>
    <w:rsid w:val="00264B15"/>
    <w:rsid w:val="00273D58"/>
    <w:rsid w:val="00277C1F"/>
    <w:rsid w:val="002866AD"/>
    <w:rsid w:val="00286BE3"/>
    <w:rsid w:val="002902FD"/>
    <w:rsid w:val="0029135D"/>
    <w:rsid w:val="00292951"/>
    <w:rsid w:val="00293CD1"/>
    <w:rsid w:val="002A3962"/>
    <w:rsid w:val="002A5972"/>
    <w:rsid w:val="002A679D"/>
    <w:rsid w:val="002C6D91"/>
    <w:rsid w:val="002E238B"/>
    <w:rsid w:val="002E4200"/>
    <w:rsid w:val="00304132"/>
    <w:rsid w:val="00312124"/>
    <w:rsid w:val="00313820"/>
    <w:rsid w:val="0032649A"/>
    <w:rsid w:val="00332F98"/>
    <w:rsid w:val="003430A6"/>
    <w:rsid w:val="003448FC"/>
    <w:rsid w:val="003548D8"/>
    <w:rsid w:val="00363CC2"/>
    <w:rsid w:val="00371EEC"/>
    <w:rsid w:val="00381719"/>
    <w:rsid w:val="003876F3"/>
    <w:rsid w:val="00390426"/>
    <w:rsid w:val="00394AEB"/>
    <w:rsid w:val="003A59EA"/>
    <w:rsid w:val="003A6353"/>
    <w:rsid w:val="003C13C6"/>
    <w:rsid w:val="003D5958"/>
    <w:rsid w:val="003D6AC7"/>
    <w:rsid w:val="003E49A6"/>
    <w:rsid w:val="003E5E34"/>
    <w:rsid w:val="003F53FB"/>
    <w:rsid w:val="00400B4D"/>
    <w:rsid w:val="00401F18"/>
    <w:rsid w:val="004056B7"/>
    <w:rsid w:val="00410AC8"/>
    <w:rsid w:val="00413FD1"/>
    <w:rsid w:val="00414664"/>
    <w:rsid w:val="00443460"/>
    <w:rsid w:val="00446A56"/>
    <w:rsid w:val="0044773C"/>
    <w:rsid w:val="004672B5"/>
    <w:rsid w:val="004844D1"/>
    <w:rsid w:val="0048559D"/>
    <w:rsid w:val="00494A93"/>
    <w:rsid w:val="00494D75"/>
    <w:rsid w:val="004A1763"/>
    <w:rsid w:val="004B1E83"/>
    <w:rsid w:val="004B3977"/>
    <w:rsid w:val="004D1C78"/>
    <w:rsid w:val="004D441E"/>
    <w:rsid w:val="004D46D1"/>
    <w:rsid w:val="004D745F"/>
    <w:rsid w:val="004E1D9E"/>
    <w:rsid w:val="00506560"/>
    <w:rsid w:val="00507C50"/>
    <w:rsid w:val="00514B79"/>
    <w:rsid w:val="005164DC"/>
    <w:rsid w:val="00530EBD"/>
    <w:rsid w:val="0054331F"/>
    <w:rsid w:val="00547F56"/>
    <w:rsid w:val="00567912"/>
    <w:rsid w:val="00570098"/>
    <w:rsid w:val="005805E7"/>
    <w:rsid w:val="00583F5D"/>
    <w:rsid w:val="0058424C"/>
    <w:rsid w:val="00584F8D"/>
    <w:rsid w:val="005A0350"/>
    <w:rsid w:val="005B5990"/>
    <w:rsid w:val="005C33A1"/>
    <w:rsid w:val="005C60D0"/>
    <w:rsid w:val="005C6147"/>
    <w:rsid w:val="005D5F8C"/>
    <w:rsid w:val="005E3E12"/>
    <w:rsid w:val="005E5148"/>
    <w:rsid w:val="0060114B"/>
    <w:rsid w:val="00611DE2"/>
    <w:rsid w:val="006227B3"/>
    <w:rsid w:val="00642220"/>
    <w:rsid w:val="00643322"/>
    <w:rsid w:val="00650517"/>
    <w:rsid w:val="00652ED1"/>
    <w:rsid w:val="006626FF"/>
    <w:rsid w:val="006650A8"/>
    <w:rsid w:val="006731F6"/>
    <w:rsid w:val="0067772C"/>
    <w:rsid w:val="00685435"/>
    <w:rsid w:val="006862C3"/>
    <w:rsid w:val="00690F56"/>
    <w:rsid w:val="006A4637"/>
    <w:rsid w:val="006A4D02"/>
    <w:rsid w:val="006C39F8"/>
    <w:rsid w:val="006E1A08"/>
    <w:rsid w:val="006E62E9"/>
    <w:rsid w:val="006E6512"/>
    <w:rsid w:val="006F66F9"/>
    <w:rsid w:val="006F6E13"/>
    <w:rsid w:val="007010C5"/>
    <w:rsid w:val="007011F1"/>
    <w:rsid w:val="0070604A"/>
    <w:rsid w:val="007127A1"/>
    <w:rsid w:val="00713ACE"/>
    <w:rsid w:val="00715F82"/>
    <w:rsid w:val="0071749C"/>
    <w:rsid w:val="007412B6"/>
    <w:rsid w:val="007636EC"/>
    <w:rsid w:val="00767D37"/>
    <w:rsid w:val="00774503"/>
    <w:rsid w:val="00777CD2"/>
    <w:rsid w:val="0078038F"/>
    <w:rsid w:val="00785FE9"/>
    <w:rsid w:val="00786E04"/>
    <w:rsid w:val="007A7F79"/>
    <w:rsid w:val="007D46C2"/>
    <w:rsid w:val="007F522C"/>
    <w:rsid w:val="008043E5"/>
    <w:rsid w:val="00804A1A"/>
    <w:rsid w:val="0081073D"/>
    <w:rsid w:val="008323ED"/>
    <w:rsid w:val="00835955"/>
    <w:rsid w:val="00846701"/>
    <w:rsid w:val="008624D5"/>
    <w:rsid w:val="008666F3"/>
    <w:rsid w:val="00871CA6"/>
    <w:rsid w:val="00882AB5"/>
    <w:rsid w:val="00882B1D"/>
    <w:rsid w:val="0088672C"/>
    <w:rsid w:val="008915AC"/>
    <w:rsid w:val="008A0B20"/>
    <w:rsid w:val="008A1F0C"/>
    <w:rsid w:val="008A40D1"/>
    <w:rsid w:val="008B541B"/>
    <w:rsid w:val="008E050A"/>
    <w:rsid w:val="008F3297"/>
    <w:rsid w:val="00901003"/>
    <w:rsid w:val="0090158E"/>
    <w:rsid w:val="00901EF6"/>
    <w:rsid w:val="009028C3"/>
    <w:rsid w:val="0090413E"/>
    <w:rsid w:val="009271B1"/>
    <w:rsid w:val="00937601"/>
    <w:rsid w:val="009441E2"/>
    <w:rsid w:val="00946CA6"/>
    <w:rsid w:val="00963680"/>
    <w:rsid w:val="00964D3F"/>
    <w:rsid w:val="009700D9"/>
    <w:rsid w:val="00970C6C"/>
    <w:rsid w:val="00985C15"/>
    <w:rsid w:val="009A6DCA"/>
    <w:rsid w:val="009B00FD"/>
    <w:rsid w:val="009B38D1"/>
    <w:rsid w:val="009B4116"/>
    <w:rsid w:val="009C2A10"/>
    <w:rsid w:val="009D1EA2"/>
    <w:rsid w:val="009E0141"/>
    <w:rsid w:val="009E234B"/>
    <w:rsid w:val="009E2813"/>
    <w:rsid w:val="009E7EA9"/>
    <w:rsid w:val="009F52F3"/>
    <w:rsid w:val="00A00283"/>
    <w:rsid w:val="00A10441"/>
    <w:rsid w:val="00A15094"/>
    <w:rsid w:val="00A21811"/>
    <w:rsid w:val="00A21F98"/>
    <w:rsid w:val="00A31381"/>
    <w:rsid w:val="00A41C21"/>
    <w:rsid w:val="00A44F10"/>
    <w:rsid w:val="00A47DA7"/>
    <w:rsid w:val="00A52DE7"/>
    <w:rsid w:val="00A55023"/>
    <w:rsid w:val="00A56B86"/>
    <w:rsid w:val="00A57B03"/>
    <w:rsid w:val="00A632EF"/>
    <w:rsid w:val="00A67085"/>
    <w:rsid w:val="00A677E9"/>
    <w:rsid w:val="00A740AB"/>
    <w:rsid w:val="00A75544"/>
    <w:rsid w:val="00A834BF"/>
    <w:rsid w:val="00A90769"/>
    <w:rsid w:val="00A973AA"/>
    <w:rsid w:val="00AA177A"/>
    <w:rsid w:val="00AB4DC3"/>
    <w:rsid w:val="00AC775D"/>
    <w:rsid w:val="00AD022F"/>
    <w:rsid w:val="00AD75AC"/>
    <w:rsid w:val="00AF0222"/>
    <w:rsid w:val="00AF2C11"/>
    <w:rsid w:val="00AF3788"/>
    <w:rsid w:val="00AF5262"/>
    <w:rsid w:val="00AF7928"/>
    <w:rsid w:val="00B0307C"/>
    <w:rsid w:val="00B04B51"/>
    <w:rsid w:val="00B35DAD"/>
    <w:rsid w:val="00B47443"/>
    <w:rsid w:val="00B5377A"/>
    <w:rsid w:val="00B6181C"/>
    <w:rsid w:val="00B6510E"/>
    <w:rsid w:val="00B66231"/>
    <w:rsid w:val="00BA6C9C"/>
    <w:rsid w:val="00BA7A5C"/>
    <w:rsid w:val="00BB3BEF"/>
    <w:rsid w:val="00BD34F2"/>
    <w:rsid w:val="00BE6F99"/>
    <w:rsid w:val="00C02E4A"/>
    <w:rsid w:val="00C05B88"/>
    <w:rsid w:val="00C07F7F"/>
    <w:rsid w:val="00C12530"/>
    <w:rsid w:val="00C14429"/>
    <w:rsid w:val="00C17909"/>
    <w:rsid w:val="00C247D8"/>
    <w:rsid w:val="00C33191"/>
    <w:rsid w:val="00C34009"/>
    <w:rsid w:val="00C436BD"/>
    <w:rsid w:val="00C4763A"/>
    <w:rsid w:val="00C63D1E"/>
    <w:rsid w:val="00C65631"/>
    <w:rsid w:val="00C667F3"/>
    <w:rsid w:val="00C712D2"/>
    <w:rsid w:val="00C77B5C"/>
    <w:rsid w:val="00C824C6"/>
    <w:rsid w:val="00C8275F"/>
    <w:rsid w:val="00C87068"/>
    <w:rsid w:val="00C9162F"/>
    <w:rsid w:val="00C94028"/>
    <w:rsid w:val="00CA2D2C"/>
    <w:rsid w:val="00CA2F0A"/>
    <w:rsid w:val="00CB3579"/>
    <w:rsid w:val="00CC0731"/>
    <w:rsid w:val="00CC770C"/>
    <w:rsid w:val="00CD215D"/>
    <w:rsid w:val="00CD6628"/>
    <w:rsid w:val="00CF0EA1"/>
    <w:rsid w:val="00D05EAB"/>
    <w:rsid w:val="00D2331B"/>
    <w:rsid w:val="00D251C9"/>
    <w:rsid w:val="00D36BB6"/>
    <w:rsid w:val="00D53DEB"/>
    <w:rsid w:val="00D57DE8"/>
    <w:rsid w:val="00D713C1"/>
    <w:rsid w:val="00D73AAD"/>
    <w:rsid w:val="00D75842"/>
    <w:rsid w:val="00D86FF7"/>
    <w:rsid w:val="00D92CE7"/>
    <w:rsid w:val="00DA4FBA"/>
    <w:rsid w:val="00DB758B"/>
    <w:rsid w:val="00DB7B7C"/>
    <w:rsid w:val="00DC52F6"/>
    <w:rsid w:val="00DD6DF0"/>
    <w:rsid w:val="00E0031C"/>
    <w:rsid w:val="00E0138A"/>
    <w:rsid w:val="00E06430"/>
    <w:rsid w:val="00E22463"/>
    <w:rsid w:val="00E23871"/>
    <w:rsid w:val="00E322E9"/>
    <w:rsid w:val="00E36D10"/>
    <w:rsid w:val="00E400EA"/>
    <w:rsid w:val="00E46EE5"/>
    <w:rsid w:val="00E57F5E"/>
    <w:rsid w:val="00E60FB0"/>
    <w:rsid w:val="00E614A1"/>
    <w:rsid w:val="00E700AD"/>
    <w:rsid w:val="00E74ABD"/>
    <w:rsid w:val="00E83023"/>
    <w:rsid w:val="00E833E4"/>
    <w:rsid w:val="00E92EED"/>
    <w:rsid w:val="00E93A0F"/>
    <w:rsid w:val="00EA3E66"/>
    <w:rsid w:val="00EC02FC"/>
    <w:rsid w:val="00EC0B43"/>
    <w:rsid w:val="00ED1913"/>
    <w:rsid w:val="00EE4772"/>
    <w:rsid w:val="00F11AA8"/>
    <w:rsid w:val="00F1409A"/>
    <w:rsid w:val="00F24787"/>
    <w:rsid w:val="00F26D93"/>
    <w:rsid w:val="00F27223"/>
    <w:rsid w:val="00F3623C"/>
    <w:rsid w:val="00F41116"/>
    <w:rsid w:val="00F44D20"/>
    <w:rsid w:val="00F4518C"/>
    <w:rsid w:val="00F4529D"/>
    <w:rsid w:val="00F53F09"/>
    <w:rsid w:val="00F56B20"/>
    <w:rsid w:val="00F6219B"/>
    <w:rsid w:val="00F64E0B"/>
    <w:rsid w:val="00F65B99"/>
    <w:rsid w:val="00F72D66"/>
    <w:rsid w:val="00F8164B"/>
    <w:rsid w:val="00F935EE"/>
    <w:rsid w:val="00FA3D8C"/>
    <w:rsid w:val="00FB19B8"/>
    <w:rsid w:val="00FB587F"/>
    <w:rsid w:val="00FF2FC3"/>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4B3977"/>
    <w:rPr>
      <w:color w:val="0563C1" w:themeColor="hyperlink"/>
      <w:u w:val="single"/>
    </w:rPr>
  </w:style>
  <w:style w:type="table" w:styleId="TableGrid">
    <w:name w:val="Table Grid"/>
    <w:basedOn w:val="TableNormal"/>
    <w:rsid w:val="006E6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0C6C"/>
    <w:rPr>
      <w:color w:val="605E5C"/>
      <w:shd w:val="clear" w:color="auto" w:fill="E1DFDD"/>
    </w:rPr>
  </w:style>
  <w:style w:type="paragraph" w:styleId="FootnoteText">
    <w:name w:val="footnote text"/>
    <w:basedOn w:val="Normal"/>
    <w:link w:val="FootnoteTextChar"/>
    <w:rsid w:val="0011382A"/>
    <w:rPr>
      <w:sz w:val="20"/>
      <w:szCs w:val="20"/>
    </w:rPr>
  </w:style>
  <w:style w:type="character" w:customStyle="1" w:styleId="FootnoteTextChar">
    <w:name w:val="Footnote Text Char"/>
    <w:basedOn w:val="DefaultParagraphFont"/>
    <w:link w:val="FootnoteText"/>
    <w:rsid w:val="0011382A"/>
    <w:rPr>
      <w:rFonts w:ascii="Courier 12cpi" w:hAnsi="Courier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168448051">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16656233">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0/07/29/2020-16378/agency-information-collection-activities-comment-reques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ederalregister.gov/documents/2020/12/28/2020-28571/agency-information-collection-activities-submission-for-omb-review-comment-request-employ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E870A-1775-40BF-95CA-B16E52F5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21477</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Anthony May</cp:lastModifiedBy>
  <cp:revision>2</cp:revision>
  <cp:lastPrinted>2020-02-19T15:46:00Z</cp:lastPrinted>
  <dcterms:created xsi:type="dcterms:W3CDTF">2021-01-06T21:46:00Z</dcterms:created>
  <dcterms:modified xsi:type="dcterms:W3CDTF">2021-01-06T21:46:00Z</dcterms:modified>
</cp:coreProperties>
</file>