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D6649" w:rsidR="001551C6" w:rsidP="001551C6" w:rsidRDefault="001551C6" w14:paraId="00CE6707" w14:textId="5E7E2D85">
      <w:pPr>
        <w:spacing w:after="360"/>
        <w:jc w:val="center"/>
        <w:rPr>
          <w:i/>
          <w:color w:val="000000" w:themeColor="text1"/>
          <w:sz w:val="32"/>
        </w:rPr>
      </w:pPr>
      <w:bookmarkStart w:name="_GoBack" w:id="0"/>
      <w:bookmarkEnd w:id="0"/>
      <w:r>
        <w:rPr>
          <w:b/>
          <w:sz w:val="32"/>
        </w:rPr>
        <w:t xml:space="preserve">SUPPORTING STATEMENT FOR </w:t>
      </w:r>
      <w:r>
        <w:rPr>
          <w:b/>
          <w:sz w:val="32"/>
        </w:rPr>
        <w:br/>
        <w:t>PAPERWORK REDUCTION ACT SUBMISSION</w:t>
      </w:r>
      <w:r>
        <w:rPr>
          <w:b/>
          <w:sz w:val="32"/>
        </w:rPr>
        <w:br/>
      </w:r>
      <w:r>
        <w:rPr>
          <w:b/>
          <w:sz w:val="32"/>
        </w:rPr>
        <w:br/>
      </w:r>
      <w:r w:rsidR="002226B3">
        <w:rPr>
          <w:b/>
          <w:sz w:val="32"/>
        </w:rPr>
        <w:t xml:space="preserve">Request for Approval </w:t>
      </w:r>
      <w:r w:rsidR="00BE32F7">
        <w:rPr>
          <w:b/>
          <w:sz w:val="32"/>
        </w:rPr>
        <w:t xml:space="preserve">to </w:t>
      </w:r>
      <w:r w:rsidR="00DA61A2">
        <w:rPr>
          <w:b/>
          <w:sz w:val="32"/>
        </w:rPr>
        <w:t xml:space="preserve">Issue Special Validation for </w:t>
      </w:r>
      <w:r w:rsidR="002226B3">
        <w:rPr>
          <w:b/>
          <w:sz w:val="32"/>
        </w:rPr>
        <w:t>Travel to a Restricted Country or Area</w:t>
      </w:r>
      <w:r w:rsidR="00665FB4">
        <w:rPr>
          <w:b/>
          <w:sz w:val="32"/>
        </w:rPr>
        <w:t xml:space="preserve"> on a U.S. Passport</w:t>
      </w:r>
      <w:r w:rsidR="002226B3">
        <w:rPr>
          <w:b/>
          <w:sz w:val="32"/>
        </w:rPr>
        <w:br/>
        <w:t xml:space="preserve">OMB Number </w:t>
      </w:r>
      <w:r w:rsidR="007B0B44">
        <w:rPr>
          <w:b/>
          <w:sz w:val="32"/>
        </w:rPr>
        <w:t>1405-0228</w:t>
      </w:r>
      <w:r w:rsidR="006D6649">
        <w:rPr>
          <w:b/>
          <w:sz w:val="32"/>
        </w:rPr>
        <w:t xml:space="preserve">    </w:t>
      </w:r>
    </w:p>
    <w:p w:rsidR="001551C6" w:rsidP="001551C6" w:rsidRDefault="001551C6" w14:paraId="09532A59" w14:textId="77777777">
      <w:pPr>
        <w:pStyle w:val="Heading1"/>
      </w:pPr>
    </w:p>
    <w:p w:rsidR="001551C6" w:rsidP="001551C6" w:rsidRDefault="001551C6" w14:paraId="568C51A7" w14:textId="77777777">
      <w:pPr>
        <w:pStyle w:val="Heading1"/>
      </w:pPr>
      <w:r>
        <w:t>A.</w:t>
      </w:r>
      <w:r>
        <w:tab/>
        <w:t>JUSTIFICATION</w:t>
      </w:r>
    </w:p>
    <w:p w:rsidR="00BD5DBE" w:rsidP="00A72A4E" w:rsidRDefault="00BD5DBE" w14:paraId="098BA4C5" w14:textId="5B87CB81">
      <w:pPr>
        <w:pStyle w:val="ListParagraph"/>
        <w:numPr>
          <w:ilvl w:val="0"/>
          <w:numId w:val="8"/>
        </w:numPr>
      </w:pPr>
      <w:r w:rsidRPr="007F6199">
        <w:rPr>
          <w:i/>
          <w:color w:val="000000" w:themeColor="text1"/>
          <w:sz w:val="28"/>
          <w:szCs w:val="28"/>
        </w:rPr>
        <w:t>Why is this collection necessary and what are the legal statutes that allow this?</w:t>
      </w:r>
    </w:p>
    <w:p w:rsidR="00AA11BC" w:rsidP="00BD5DBE" w:rsidRDefault="00AA11BC" w14:paraId="60255749" w14:textId="04A6AEC6">
      <w:pPr>
        <w:pStyle w:val="ListParagraph"/>
        <w:ind w:left="360"/>
      </w:pPr>
      <w:r>
        <w:t xml:space="preserve">This collection solicits information to confirm identity and demonstrate entitlement for a special validation in a U.S. passport, permitting </w:t>
      </w:r>
      <w:r w:rsidR="00665FB4">
        <w:t xml:space="preserve">single or </w:t>
      </w:r>
      <w:r w:rsidR="00612DC6">
        <w:t xml:space="preserve">multiple entries </w:t>
      </w:r>
      <w:r w:rsidR="00456587">
        <w:t xml:space="preserve">within a one-year period </w:t>
      </w:r>
      <w:r w:rsidR="00612DC6">
        <w:t>under certain circumstances</w:t>
      </w:r>
      <w:r>
        <w:t xml:space="preserve"> t</w:t>
      </w:r>
      <w:r w:rsidR="006D009E">
        <w:t>o a restricted country or area.</w:t>
      </w:r>
      <w:r w:rsidR="00BE32F7">
        <w:t xml:space="preserve"> </w:t>
      </w:r>
      <w:r w:rsidR="009B3A32">
        <w:t xml:space="preserve"> </w:t>
      </w:r>
      <w:r>
        <w:t xml:space="preserve">The Secretary of State may exercise authority, under 22 U.S.C. § 211a, Executive Order 11295 (August 5, 1966), and 22 C.F.R. </w:t>
      </w:r>
      <w:r w:rsidR="00360C57">
        <w:t xml:space="preserve">§ </w:t>
      </w:r>
      <w:r>
        <w:t xml:space="preserve">51.63, to invalidate all U.S. passports for travel to a country or area if he determines that any of three conditions exist:  the country is at war with the United States; armed hostilities are in progress in the country or area; or there is imminent danger to the public health or physical safety of U.S. travelers in the country or area.  On July 19, 2017, upon determining that there is imminent danger to the public health or physical safety of U.S. travelers in the </w:t>
      </w:r>
      <w:r w:rsidR="00360C57">
        <w:t>Democratic People’s Republic of Korea (</w:t>
      </w:r>
      <w:r>
        <w:t>DPRK</w:t>
      </w:r>
      <w:r w:rsidR="00360C57">
        <w:t>)</w:t>
      </w:r>
      <w:r>
        <w:t xml:space="preserve">, the Secretary of State approved imposing such a passport restriction with respect to travel to the </w:t>
      </w:r>
      <w:r w:rsidR="00360C57">
        <w:t>DPRK</w:t>
      </w:r>
      <w:r>
        <w:t xml:space="preserve"> pursuant to 22 U.S.C. § 211a, Executive Order 1129</w:t>
      </w:r>
      <w:r w:rsidR="006D009E">
        <w:t>5, and 22 C.F.R. § 51.63(a)(3).</w:t>
      </w:r>
      <w:r w:rsidR="00CF2166">
        <w:t xml:space="preserve">  The Secretary </w:t>
      </w:r>
      <w:r w:rsidRPr="00A72A4E" w:rsidR="00A72A4E">
        <w:t xml:space="preserve">extended the </w:t>
      </w:r>
      <w:r w:rsidR="00A72A4E">
        <w:t>restriction</w:t>
      </w:r>
      <w:r w:rsidRPr="00A72A4E" w:rsidR="00A72A4E">
        <w:t xml:space="preserve"> in 2018 and further extended it, effective September 1, 2019, for another year.  </w:t>
      </w:r>
    </w:p>
    <w:p w:rsidR="00360C57" w:rsidP="00360C57" w:rsidRDefault="00360C57" w14:paraId="139264FD" w14:textId="77777777">
      <w:pPr>
        <w:pStyle w:val="ListParagraph"/>
        <w:ind w:left="360"/>
      </w:pPr>
    </w:p>
    <w:p w:rsidR="00360C57" w:rsidP="00360C57" w:rsidRDefault="00AA11BC" w14:paraId="7238ECBD" w14:textId="43D6302A">
      <w:pPr>
        <w:pStyle w:val="ListParagraph"/>
        <w:ind w:left="360"/>
      </w:pPr>
      <w:r>
        <w:t xml:space="preserve">The issuance of U.S. passports to U.S. nationals requires the determination of identity, nationality, and entitlement with reference to the provisions of Title III of the Immigration and Nationality Act (INA) (8 U.S.C. sections 1401-1504), the 14th Amendment to the Constitution of the United States, other applicable laws, as well as the implementing regulations at 22 C.F.R. Parts 50 and 51.  The specific regulations pertaining to an Application for a U.S. Passport are </w:t>
      </w:r>
      <w:r w:rsidR="00E55543">
        <w:t xml:space="preserve">provided </w:t>
      </w:r>
      <w:r>
        <w:t xml:space="preserve">at 22 C.F.R. §§ 51.20 and 51.21.  The specific regulations pertaining to a Request for Approval to Travel to a Restricted Country or Area are located at 22 C.F.R. § 51.64.  There is no further review of a decision denying a request for approval. </w:t>
      </w:r>
      <w:r w:rsidR="009B3A32">
        <w:t xml:space="preserve"> </w:t>
      </w:r>
      <w:r>
        <w:t xml:space="preserve">The basis for review of denials is found at 22 C.F.R. § </w:t>
      </w:r>
      <w:r w:rsidR="00E55543">
        <w:t>51.70</w:t>
      </w:r>
      <w:r w:rsidR="0047170E">
        <w:t>,</w:t>
      </w:r>
      <w:r w:rsidR="00E55543">
        <w:t xml:space="preserve"> and 22 C.F.R. § </w:t>
      </w:r>
      <w:r>
        <w:t>51.70(b)(4)</w:t>
      </w:r>
      <w:r w:rsidR="00E55543">
        <w:t xml:space="preserve"> </w:t>
      </w:r>
      <w:r>
        <w:t>excludes from review determinations made under 22 C.F.R. § 51.64.  Without the requisite approval and validation of a traveler’s U.S. passport, the use of such passport for travel to, in, or through a restricted country or area may justify revocation of the passport for misuse under 22 C.F.R. § 51.62(a)(2) and may subject the traveler to felony prosecution under 18 U.S.C. § 1544</w:t>
      </w:r>
      <w:r w:rsidR="00E55543">
        <w:t xml:space="preserve"> for misuse of a passport or other applicable laws</w:t>
      </w:r>
      <w:r>
        <w:t>.</w:t>
      </w:r>
    </w:p>
    <w:p w:rsidR="00360C57" w:rsidP="00360C57" w:rsidRDefault="00360C57" w14:paraId="0CDEFCA9" w14:textId="77777777">
      <w:pPr>
        <w:pStyle w:val="ListParagraph"/>
        <w:ind w:left="360"/>
      </w:pPr>
    </w:p>
    <w:p w:rsidR="00BD5DBE" w:rsidP="00360C57" w:rsidRDefault="00BD5DBE" w14:paraId="30B56F1E" w14:textId="1D6C09E4">
      <w:pPr>
        <w:pStyle w:val="ListParagraph"/>
        <w:numPr>
          <w:ilvl w:val="0"/>
          <w:numId w:val="8"/>
        </w:numPr>
      </w:pPr>
      <w:r w:rsidRPr="007F6199">
        <w:rPr>
          <w:i/>
          <w:color w:val="000000" w:themeColor="text1"/>
          <w:sz w:val="28"/>
          <w:szCs w:val="28"/>
        </w:rPr>
        <w:t>What business purpose is the information gathered going to be used for?</w:t>
      </w:r>
    </w:p>
    <w:p w:rsidR="002226B3" w:rsidP="00BD5DBE" w:rsidRDefault="002226B3" w14:paraId="618F8562" w14:textId="4D3CCDF1">
      <w:pPr>
        <w:pStyle w:val="ListParagraph"/>
        <w:ind w:left="360"/>
      </w:pPr>
      <w:r>
        <w:t xml:space="preserve">The information collected will be used to confirm an individual’s identity and to determine whether, under 22 C.F.R. § 51.64, the individual has demonstrated it is in the national </w:t>
      </w:r>
      <w:r>
        <w:lastRenderedPageBreak/>
        <w:t>interest</w:t>
      </w:r>
      <w:r w:rsidR="006D009E">
        <w:t xml:space="preserve"> of the United States</w:t>
      </w:r>
      <w:r>
        <w:t xml:space="preserve"> to grant the individual’s request for a special validation in his or her passport that permits the passport to be used for </w:t>
      </w:r>
      <w:r w:rsidR="00532055">
        <w:t>one round-trip</w:t>
      </w:r>
      <w:r w:rsidR="00FB54B0">
        <w:t>,</w:t>
      </w:r>
      <w:r w:rsidR="00532055">
        <w:t xml:space="preserve"> or </w:t>
      </w:r>
      <w:r w:rsidR="00612DC6">
        <w:t>multiple entries within a one-year period</w:t>
      </w:r>
      <w:r w:rsidR="00FB54B0">
        <w:t>,</w:t>
      </w:r>
      <w:r w:rsidR="00BE32F7">
        <w:t xml:space="preserve"> </w:t>
      </w:r>
      <w:r>
        <w:t>to a restricted country or area</w:t>
      </w:r>
      <w:r w:rsidR="00612DC6">
        <w:t>, subject to additional requirements</w:t>
      </w:r>
      <w:r>
        <w:t xml:space="preserve">.    </w:t>
      </w:r>
    </w:p>
    <w:p w:rsidRPr="002226B3" w:rsidR="00360C57" w:rsidP="00360C57" w:rsidRDefault="00360C57" w14:paraId="59FCDDF6" w14:textId="77777777">
      <w:pPr>
        <w:pStyle w:val="ListParagraph"/>
        <w:ind w:left="360"/>
      </w:pPr>
    </w:p>
    <w:p w:rsidR="00BD5DBE" w:rsidP="00360C57" w:rsidRDefault="00BD5DBE" w14:paraId="04329741" w14:textId="2FC95786">
      <w:pPr>
        <w:pStyle w:val="ListParagraph"/>
        <w:numPr>
          <w:ilvl w:val="0"/>
          <w:numId w:val="8"/>
        </w:numPr>
      </w:pPr>
      <w:r w:rsidRPr="007F6199">
        <w:rPr>
          <w:i/>
          <w:color w:val="000000" w:themeColor="text1"/>
          <w:sz w:val="28"/>
          <w:szCs w:val="28"/>
        </w:rPr>
        <w:t>Is this collection able to be completed electronically (e.g. through a website or application)?</w:t>
      </w:r>
    </w:p>
    <w:p w:rsidR="00360C57" w:rsidP="00BD5DBE" w:rsidRDefault="00360C57" w14:paraId="54DC0CA5" w14:textId="3B74A033">
      <w:pPr>
        <w:pStyle w:val="ListParagraph"/>
        <w:ind w:left="360"/>
      </w:pPr>
      <w:r>
        <w:t>A</w:t>
      </w:r>
      <w:r w:rsidRPr="00AA11BC" w:rsidR="00AA11BC">
        <w:t xml:space="preserve"> dedicated page at travel.state.gov</w:t>
      </w:r>
      <w:r>
        <w:t xml:space="preserve"> provides instructions</w:t>
      </w:r>
      <w:r w:rsidRPr="00AA11BC" w:rsidR="00AA11BC">
        <w:t xml:space="preserve">, and </w:t>
      </w:r>
      <w:r>
        <w:t>respondents may</w:t>
      </w:r>
      <w:r w:rsidRPr="00AA11BC" w:rsidR="00AA11BC">
        <w:t xml:space="preserve"> submit the required documents by e-mail or mail to the Department of State. </w:t>
      </w:r>
      <w:r w:rsidR="009B3A32">
        <w:t xml:space="preserve"> </w:t>
      </w:r>
      <w:r w:rsidRPr="00AA11BC" w:rsidR="00AA11BC">
        <w:t xml:space="preserve">Respondents whose requests are approved will receive a letter </w:t>
      </w:r>
      <w:r>
        <w:t xml:space="preserve">by email and mail </w:t>
      </w:r>
      <w:r w:rsidRPr="00AA11BC" w:rsidR="00AA11BC">
        <w:t>certifying their eligibility to</w:t>
      </w:r>
      <w:r w:rsidR="002226B3">
        <w:t xml:space="preserve"> obtain a special validation</w:t>
      </w:r>
      <w:r w:rsidR="006D009E">
        <w:t xml:space="preserve"> in a passport to be used to</w:t>
      </w:r>
      <w:r w:rsidRPr="00AA11BC" w:rsidR="00AA11BC">
        <w:t xml:space="preserve"> travel to </w:t>
      </w:r>
      <w:r w:rsidR="006D009E">
        <w:t>the DPRK</w:t>
      </w:r>
      <w:r w:rsidRPr="00AA11BC" w:rsidR="00AA11BC">
        <w:t xml:space="preserve">. </w:t>
      </w:r>
      <w:r w:rsidR="009B3A32">
        <w:t xml:space="preserve"> </w:t>
      </w:r>
      <w:r w:rsidRPr="00AA11BC" w:rsidR="00AA11BC">
        <w:t xml:space="preserve">These respondents will be instructed to submit their letter along with a passport application and applicable fees to obtain a passport with a special validation. </w:t>
      </w:r>
    </w:p>
    <w:p w:rsidR="00360C57" w:rsidP="00360C57" w:rsidRDefault="00360C57" w14:paraId="18DDED76" w14:textId="77777777">
      <w:pPr>
        <w:pStyle w:val="ListParagraph"/>
      </w:pPr>
    </w:p>
    <w:p w:rsidR="00BD5DBE" w:rsidP="00360C57" w:rsidRDefault="00BD5DBE" w14:paraId="127EFF12" w14:textId="1C74E834">
      <w:pPr>
        <w:pStyle w:val="ListParagraph"/>
        <w:numPr>
          <w:ilvl w:val="0"/>
          <w:numId w:val="8"/>
        </w:numPr>
      </w:pPr>
      <w:r w:rsidRPr="007F6199">
        <w:rPr>
          <w:i/>
          <w:color w:val="000000" w:themeColor="text1"/>
          <w:sz w:val="28"/>
          <w:szCs w:val="28"/>
        </w:rPr>
        <w:t>Does this collection duplicate any other collection of information?</w:t>
      </w:r>
    </w:p>
    <w:p w:rsidR="00360C57" w:rsidP="00BD5DBE" w:rsidRDefault="00AA11BC" w14:paraId="14EB8157" w14:textId="23E13A1C">
      <w:pPr>
        <w:pStyle w:val="ListParagraph"/>
        <w:ind w:left="360"/>
      </w:pPr>
      <w:r w:rsidRPr="00AA11BC">
        <w:t>This collection is not duplicative of another existing collection.</w:t>
      </w:r>
    </w:p>
    <w:p w:rsidR="00360C57" w:rsidP="00360C57" w:rsidRDefault="00360C57" w14:paraId="29CDA64C" w14:textId="77777777">
      <w:pPr>
        <w:pStyle w:val="ListParagraph"/>
      </w:pPr>
    </w:p>
    <w:p w:rsidR="00BD5DBE" w:rsidP="00360C57" w:rsidRDefault="00BD5DBE" w14:paraId="406F7F63" w14:textId="10E58411">
      <w:pPr>
        <w:pStyle w:val="ListParagraph"/>
        <w:numPr>
          <w:ilvl w:val="0"/>
          <w:numId w:val="8"/>
        </w:numPr>
      </w:pPr>
      <w:r w:rsidRPr="007F6199">
        <w:rPr>
          <w:i/>
          <w:color w:val="000000" w:themeColor="text1"/>
          <w:sz w:val="28"/>
          <w:szCs w:val="28"/>
        </w:rPr>
        <w:t>Describe any impacts on small business</w:t>
      </w:r>
      <w:r>
        <w:rPr>
          <w:i/>
          <w:color w:val="000000" w:themeColor="text1"/>
          <w:sz w:val="28"/>
          <w:szCs w:val="28"/>
        </w:rPr>
        <w:t>.</w:t>
      </w:r>
    </w:p>
    <w:p w:rsidR="00360C57" w:rsidP="00BD5DBE" w:rsidRDefault="00AA11BC" w14:paraId="51717438" w14:textId="2D0C002D">
      <w:pPr>
        <w:pStyle w:val="ListParagraph"/>
        <w:ind w:left="360"/>
      </w:pPr>
      <w:r w:rsidRPr="00AA11BC">
        <w:t>This information collection does not involve small businesses or other small entities.</w:t>
      </w:r>
    </w:p>
    <w:p w:rsidR="00360C57" w:rsidP="00360C57" w:rsidRDefault="00360C57" w14:paraId="0884748B" w14:textId="77777777">
      <w:pPr>
        <w:pStyle w:val="ListParagraph"/>
      </w:pPr>
    </w:p>
    <w:p w:rsidRPr="00BD5DBE" w:rsidR="00BD5DBE" w:rsidP="00360C57" w:rsidRDefault="00BD5DBE" w14:paraId="379390C1" w14:textId="39C9CFD5">
      <w:pPr>
        <w:pStyle w:val="ListParagraph"/>
        <w:numPr>
          <w:ilvl w:val="0"/>
          <w:numId w:val="8"/>
        </w:numPr>
        <w:rPr>
          <w:i/>
          <w:color w:val="000000" w:themeColor="text1"/>
          <w:sz w:val="28"/>
          <w:szCs w:val="28"/>
        </w:rPr>
      </w:pPr>
      <w:r w:rsidRPr="007F6199">
        <w:rPr>
          <w:i/>
          <w:color w:val="000000" w:themeColor="text1"/>
          <w:sz w:val="28"/>
          <w:szCs w:val="28"/>
        </w:rPr>
        <w:t>What are consequences if this collection is not done?</w:t>
      </w:r>
    </w:p>
    <w:p w:rsidR="00360C57" w:rsidP="00BD5DBE" w:rsidRDefault="00AA11BC" w14:paraId="5C77B70F" w14:textId="1076C5EB">
      <w:pPr>
        <w:pStyle w:val="ListParagraph"/>
        <w:ind w:left="360"/>
        <w:rPr>
          <w:i/>
          <w:color w:val="000000" w:themeColor="text1"/>
          <w:sz w:val="28"/>
          <w:szCs w:val="28"/>
        </w:rPr>
      </w:pPr>
      <w:r w:rsidRPr="00AA11BC">
        <w:t xml:space="preserve">If this collection is not conducted, individuals will not be able to show </w:t>
      </w:r>
      <w:r w:rsidR="00360C57">
        <w:t xml:space="preserve">entitlement for a special validation in a U.S. passport, permitting one round-trip </w:t>
      </w:r>
      <w:r w:rsidR="004A7CA9">
        <w:t xml:space="preserve">or multiple-entries </w:t>
      </w:r>
      <w:r w:rsidR="00360C57">
        <w:t>to a restricted country or area</w:t>
      </w:r>
      <w:r w:rsidRPr="00AA11BC">
        <w:t>.  As a result, such individuals would not have valid U.S. passports enabling them to travel to a restricted country or area, even when such travel is in the national interest of the United States.</w:t>
      </w:r>
    </w:p>
    <w:p w:rsidR="00360C57" w:rsidP="00360C57" w:rsidRDefault="00360C57" w14:paraId="77B6ADFC" w14:textId="77777777">
      <w:pPr>
        <w:pStyle w:val="ListParagraph"/>
      </w:pPr>
    </w:p>
    <w:p w:rsidRPr="00BD5DBE" w:rsidR="00BD5DBE" w:rsidP="00360C57" w:rsidRDefault="00AA2A24" w14:paraId="2DB466C0" w14:textId="38C2CF7E">
      <w:pPr>
        <w:pStyle w:val="ListParagraph"/>
        <w:numPr>
          <w:ilvl w:val="0"/>
          <w:numId w:val="8"/>
        </w:numPr>
        <w:rPr>
          <w:i/>
          <w:color w:val="000000" w:themeColor="text1"/>
          <w:sz w:val="28"/>
          <w:szCs w:val="28"/>
        </w:rPr>
      </w:pPr>
      <w:r w:rsidRPr="007F6199">
        <w:rPr>
          <w:i/>
          <w:color w:val="000000" w:themeColor="text1"/>
          <w:sz w:val="28"/>
          <w:szCs w:val="28"/>
        </w:rPr>
        <w:t>Are there any special collection circumstance</w:t>
      </w:r>
      <w:r>
        <w:rPr>
          <w:i/>
          <w:color w:val="000000" w:themeColor="text1"/>
          <w:sz w:val="28"/>
          <w:szCs w:val="28"/>
        </w:rPr>
        <w:t>s</w:t>
      </w:r>
      <w:r w:rsidRPr="007F6199">
        <w:rPr>
          <w:i/>
          <w:color w:val="000000" w:themeColor="text1"/>
          <w:sz w:val="28"/>
          <w:szCs w:val="28"/>
        </w:rPr>
        <w:t>?</w:t>
      </w:r>
    </w:p>
    <w:p w:rsidRPr="00360C57" w:rsidR="00360C57" w:rsidP="00BD5DBE" w:rsidRDefault="003561FB" w14:paraId="363DA032" w14:textId="3325016C">
      <w:pPr>
        <w:pStyle w:val="ListParagraph"/>
        <w:ind w:left="360"/>
        <w:rPr>
          <w:i/>
          <w:color w:val="000000" w:themeColor="text1"/>
          <w:sz w:val="28"/>
          <w:szCs w:val="28"/>
        </w:rPr>
      </w:pPr>
      <w:r>
        <w:t>No special circumstances exist.</w:t>
      </w:r>
    </w:p>
    <w:p w:rsidRPr="00360C57" w:rsidR="00360C57" w:rsidP="00360C57" w:rsidRDefault="00360C57" w14:paraId="75377D8B" w14:textId="77777777">
      <w:pPr>
        <w:pStyle w:val="ListParagraph"/>
        <w:rPr>
          <w:color w:val="000000" w:themeColor="text1"/>
          <w:szCs w:val="24"/>
        </w:rPr>
      </w:pPr>
    </w:p>
    <w:p w:rsidRPr="00BD5DBE" w:rsidR="00BD5DBE" w:rsidP="00360C57" w:rsidRDefault="00AA2A24" w14:paraId="4F7B71CF" w14:textId="49ADDE32">
      <w:pPr>
        <w:pStyle w:val="ListParagraph"/>
        <w:numPr>
          <w:ilvl w:val="0"/>
          <w:numId w:val="8"/>
        </w:numPr>
        <w:rPr>
          <w:i/>
          <w:color w:val="000000" w:themeColor="text1"/>
          <w:sz w:val="28"/>
          <w:szCs w:val="28"/>
        </w:rPr>
      </w:pPr>
      <w:r w:rsidRPr="007F6199">
        <w:rPr>
          <w:i/>
          <w:color w:val="000000" w:themeColor="text1"/>
          <w:sz w:val="28"/>
          <w:szCs w:val="28"/>
        </w:rPr>
        <w:t>Document publication a request for public comments in the Federal Register</w:t>
      </w:r>
      <w:r w:rsidR="00047D8D">
        <w:rPr>
          <w:i/>
          <w:color w:val="000000" w:themeColor="text1"/>
          <w:sz w:val="28"/>
          <w:szCs w:val="28"/>
        </w:rPr>
        <w:t>.</w:t>
      </w:r>
    </w:p>
    <w:p w:rsidR="00360C57" w:rsidP="00BD5DBE" w:rsidRDefault="00154EB4" w14:paraId="6CD84676" w14:textId="50A227BE">
      <w:pPr>
        <w:pStyle w:val="ListParagraph"/>
        <w:ind w:left="360"/>
        <w:rPr>
          <w:color w:val="000000" w:themeColor="text1"/>
          <w:szCs w:val="24"/>
        </w:rPr>
      </w:pPr>
      <w:r>
        <w:rPr>
          <w:color w:val="000000" w:themeColor="text1"/>
          <w:szCs w:val="24"/>
        </w:rPr>
        <w:t>On September 4, 2020, t</w:t>
      </w:r>
      <w:r w:rsidRPr="00360C57" w:rsidR="001551C6">
        <w:rPr>
          <w:color w:val="000000" w:themeColor="text1"/>
          <w:szCs w:val="24"/>
        </w:rPr>
        <w:t>he Department publish</w:t>
      </w:r>
      <w:r w:rsidR="003F7BBF">
        <w:rPr>
          <w:color w:val="000000" w:themeColor="text1"/>
          <w:szCs w:val="24"/>
        </w:rPr>
        <w:t>ed</w:t>
      </w:r>
      <w:r w:rsidRPr="00360C57" w:rsidR="001551C6">
        <w:rPr>
          <w:color w:val="000000" w:themeColor="text1"/>
          <w:szCs w:val="24"/>
        </w:rPr>
        <w:t xml:space="preserve"> a </w:t>
      </w:r>
      <w:r w:rsidR="00256AE6">
        <w:rPr>
          <w:color w:val="000000" w:themeColor="text1"/>
          <w:szCs w:val="24"/>
        </w:rPr>
        <w:t xml:space="preserve">60-day </w:t>
      </w:r>
      <w:r w:rsidRPr="00360C57" w:rsidR="001551C6">
        <w:rPr>
          <w:color w:val="000000" w:themeColor="text1"/>
          <w:szCs w:val="24"/>
        </w:rPr>
        <w:t xml:space="preserve">notice in the Federal Register </w:t>
      </w:r>
      <w:r w:rsidR="003F7BBF">
        <w:rPr>
          <w:color w:val="000000" w:themeColor="text1"/>
          <w:szCs w:val="24"/>
        </w:rPr>
        <w:t xml:space="preserve">(Document ID DOS-2020-0035) </w:t>
      </w:r>
      <w:r w:rsidRPr="00360C57" w:rsidR="001551C6">
        <w:rPr>
          <w:color w:val="000000" w:themeColor="text1"/>
          <w:szCs w:val="24"/>
        </w:rPr>
        <w:t>soliciting public co</w:t>
      </w:r>
      <w:r w:rsidRPr="00360C57" w:rsidR="006D009E">
        <w:rPr>
          <w:color w:val="000000" w:themeColor="text1"/>
          <w:szCs w:val="24"/>
        </w:rPr>
        <w:t>mments</w:t>
      </w:r>
      <w:r w:rsidR="003F7BBF">
        <w:rPr>
          <w:color w:val="000000" w:themeColor="text1"/>
          <w:szCs w:val="24"/>
        </w:rPr>
        <w:t>.</w:t>
      </w:r>
      <w:r w:rsidRPr="00360C57" w:rsidR="006D009E">
        <w:rPr>
          <w:color w:val="000000" w:themeColor="text1"/>
          <w:szCs w:val="24"/>
        </w:rPr>
        <w:t xml:space="preserve"> </w:t>
      </w:r>
      <w:r w:rsidR="00E44BF8">
        <w:rPr>
          <w:color w:val="000000" w:themeColor="text1"/>
          <w:szCs w:val="24"/>
        </w:rPr>
        <w:t xml:space="preserve">Sixteen (16) </w:t>
      </w:r>
      <w:r w:rsidR="003F7BBF">
        <w:rPr>
          <w:color w:val="000000" w:themeColor="text1"/>
          <w:szCs w:val="24"/>
        </w:rPr>
        <w:t>comments were received</w:t>
      </w:r>
      <w:r>
        <w:rPr>
          <w:color w:val="000000" w:themeColor="text1"/>
          <w:szCs w:val="24"/>
        </w:rPr>
        <w:t xml:space="preserve"> through Regulations.gov</w:t>
      </w:r>
      <w:r w:rsidR="000A0B99">
        <w:rPr>
          <w:color w:val="000000" w:themeColor="text1"/>
          <w:szCs w:val="24"/>
        </w:rPr>
        <w:t xml:space="preserve"> or </w:t>
      </w:r>
      <w:r>
        <w:rPr>
          <w:color w:val="000000" w:themeColor="text1"/>
          <w:szCs w:val="24"/>
        </w:rPr>
        <w:t>by e-mail through</w:t>
      </w:r>
      <w:r w:rsidR="00E44BF8">
        <w:rPr>
          <w:color w:val="000000" w:themeColor="text1"/>
          <w:szCs w:val="24"/>
        </w:rPr>
        <w:t xml:space="preserve"> </w:t>
      </w:r>
      <w:hyperlink w:history="1" r:id="rId11">
        <w:r w:rsidRPr="00F41B8D" w:rsidR="000A0B99">
          <w:rPr>
            <w:rStyle w:val="Hyperlink"/>
            <w:szCs w:val="24"/>
          </w:rPr>
          <w:t>PPTSpecialValidations@state.gov</w:t>
        </w:r>
      </w:hyperlink>
      <w:r>
        <w:rPr>
          <w:color w:val="000000" w:themeColor="text1"/>
          <w:szCs w:val="24"/>
        </w:rPr>
        <w:t>.</w:t>
      </w:r>
    </w:p>
    <w:p w:rsidR="00154EB4" w:rsidP="00BD5DBE" w:rsidRDefault="00154EB4" w14:paraId="3667D03F" w14:textId="47ACE0F2">
      <w:pPr>
        <w:pStyle w:val="ListParagraph"/>
        <w:ind w:left="360"/>
        <w:rPr>
          <w:color w:val="000000" w:themeColor="text1"/>
          <w:szCs w:val="24"/>
        </w:rPr>
      </w:pPr>
    </w:p>
    <w:p w:rsidR="00082326" w:rsidP="00154EB4" w:rsidRDefault="0031591B" w14:paraId="677F7D5F" w14:textId="56F9F1A9">
      <w:pPr>
        <w:pStyle w:val="ListParagraph"/>
        <w:numPr>
          <w:ilvl w:val="0"/>
          <w:numId w:val="12"/>
        </w:numPr>
        <w:rPr>
          <w:color w:val="000000" w:themeColor="text1"/>
          <w:szCs w:val="24"/>
        </w:rPr>
      </w:pPr>
      <w:r>
        <w:rPr>
          <w:color w:val="000000" w:themeColor="text1"/>
          <w:szCs w:val="24"/>
        </w:rPr>
        <w:t>Two</w:t>
      </w:r>
      <w:r w:rsidR="00154EB4">
        <w:rPr>
          <w:color w:val="000000" w:themeColor="text1"/>
          <w:szCs w:val="24"/>
        </w:rPr>
        <w:t xml:space="preserve"> comment</w:t>
      </w:r>
      <w:r>
        <w:rPr>
          <w:color w:val="000000" w:themeColor="text1"/>
          <w:szCs w:val="24"/>
        </w:rPr>
        <w:t>s</w:t>
      </w:r>
      <w:r w:rsidR="00154EB4">
        <w:rPr>
          <w:color w:val="000000" w:themeColor="text1"/>
          <w:szCs w:val="24"/>
        </w:rPr>
        <w:t xml:space="preserve"> </w:t>
      </w:r>
      <w:r w:rsidR="001F5B5E">
        <w:rPr>
          <w:color w:val="000000" w:themeColor="text1"/>
          <w:szCs w:val="24"/>
        </w:rPr>
        <w:t>made reference to</w:t>
      </w:r>
      <w:r w:rsidR="004F53FC">
        <w:rPr>
          <w:color w:val="000000" w:themeColor="text1"/>
          <w:szCs w:val="24"/>
        </w:rPr>
        <w:t xml:space="preserve"> line breaks, bullet</w:t>
      </w:r>
      <w:r w:rsidR="001F5B5E">
        <w:rPr>
          <w:color w:val="000000" w:themeColor="text1"/>
          <w:szCs w:val="24"/>
        </w:rPr>
        <w:t xml:space="preserve">s or numbered lists, and community public service programs, however it did not specify </w:t>
      </w:r>
      <w:r w:rsidR="00082326">
        <w:rPr>
          <w:color w:val="000000" w:themeColor="text1"/>
          <w:szCs w:val="24"/>
        </w:rPr>
        <w:t>the impact on the information collection.</w:t>
      </w:r>
    </w:p>
    <w:p w:rsidR="00154EB4" w:rsidP="00154EB4" w:rsidRDefault="00082326" w14:paraId="4E3E7882" w14:textId="6EDBCB29">
      <w:pPr>
        <w:pStyle w:val="ListParagraph"/>
        <w:numPr>
          <w:ilvl w:val="0"/>
          <w:numId w:val="12"/>
        </w:numPr>
        <w:rPr>
          <w:color w:val="000000" w:themeColor="text1"/>
          <w:szCs w:val="24"/>
        </w:rPr>
      </w:pPr>
      <w:r>
        <w:rPr>
          <w:color w:val="000000" w:themeColor="text1"/>
          <w:szCs w:val="24"/>
        </w:rPr>
        <w:t>Two comments indicated “upvoting”.</w:t>
      </w:r>
      <w:r w:rsidR="001F5B5E">
        <w:rPr>
          <w:color w:val="000000" w:themeColor="text1"/>
          <w:szCs w:val="24"/>
        </w:rPr>
        <w:t xml:space="preserve"> </w:t>
      </w:r>
    </w:p>
    <w:p w:rsidR="00082326" w:rsidP="00154EB4" w:rsidRDefault="00082326" w14:paraId="010DCC59" w14:textId="7BE021E4">
      <w:pPr>
        <w:pStyle w:val="ListParagraph"/>
        <w:numPr>
          <w:ilvl w:val="0"/>
          <w:numId w:val="12"/>
        </w:numPr>
        <w:rPr>
          <w:color w:val="000000" w:themeColor="text1"/>
          <w:szCs w:val="24"/>
        </w:rPr>
      </w:pPr>
      <w:r>
        <w:rPr>
          <w:color w:val="000000" w:themeColor="text1"/>
          <w:szCs w:val="24"/>
        </w:rPr>
        <w:t xml:space="preserve">One comment suggested that there </w:t>
      </w:r>
      <w:r w:rsidR="004C0328">
        <w:rPr>
          <w:color w:val="000000" w:themeColor="text1"/>
          <w:szCs w:val="24"/>
        </w:rPr>
        <w:t>is</w:t>
      </w:r>
      <w:r>
        <w:rPr>
          <w:color w:val="000000" w:themeColor="text1"/>
          <w:szCs w:val="24"/>
        </w:rPr>
        <w:t xml:space="preserve"> no reason for any exemptions</w:t>
      </w:r>
      <w:r w:rsidR="004C0328">
        <w:rPr>
          <w:color w:val="000000" w:themeColor="text1"/>
          <w:szCs w:val="24"/>
        </w:rPr>
        <w:t xml:space="preserve"> to travel to a restricted country, </w:t>
      </w:r>
      <w:r w:rsidR="00693DDC">
        <w:rPr>
          <w:color w:val="000000" w:themeColor="text1"/>
          <w:szCs w:val="24"/>
        </w:rPr>
        <w:t>more</w:t>
      </w:r>
      <w:r w:rsidR="004C0328">
        <w:rPr>
          <w:color w:val="000000" w:themeColor="text1"/>
          <w:szCs w:val="24"/>
        </w:rPr>
        <w:t xml:space="preserve"> specifically</w:t>
      </w:r>
      <w:r>
        <w:rPr>
          <w:color w:val="000000" w:themeColor="text1"/>
          <w:szCs w:val="24"/>
        </w:rPr>
        <w:t xml:space="preserve"> for journalistic or humanitarian reasons.  The </w:t>
      </w:r>
      <w:r w:rsidR="004C0328">
        <w:rPr>
          <w:color w:val="000000" w:themeColor="text1"/>
          <w:szCs w:val="24"/>
        </w:rPr>
        <w:t xml:space="preserve">regulation pertaining to </w:t>
      </w:r>
      <w:r>
        <w:rPr>
          <w:color w:val="000000" w:themeColor="text1"/>
          <w:szCs w:val="24"/>
        </w:rPr>
        <w:t xml:space="preserve">such travel </w:t>
      </w:r>
      <w:r w:rsidR="004C0328">
        <w:rPr>
          <w:color w:val="000000" w:themeColor="text1"/>
          <w:szCs w:val="24"/>
        </w:rPr>
        <w:t>is</w:t>
      </w:r>
      <w:r>
        <w:rPr>
          <w:color w:val="000000" w:themeColor="text1"/>
          <w:szCs w:val="24"/>
        </w:rPr>
        <w:t xml:space="preserve"> established </w:t>
      </w:r>
      <w:r w:rsidR="004C0328">
        <w:rPr>
          <w:color w:val="000000" w:themeColor="text1"/>
          <w:szCs w:val="24"/>
        </w:rPr>
        <w:t>in</w:t>
      </w:r>
      <w:r>
        <w:rPr>
          <w:color w:val="000000" w:themeColor="text1"/>
          <w:szCs w:val="24"/>
        </w:rPr>
        <w:t xml:space="preserve"> </w:t>
      </w:r>
      <w:r w:rsidR="004C0328">
        <w:t>22 C.F.R. § 51.64</w:t>
      </w:r>
      <w:r>
        <w:rPr>
          <w:color w:val="000000" w:themeColor="text1"/>
          <w:szCs w:val="24"/>
        </w:rPr>
        <w:t>.  The comment is considered outside the scope of this information collection.</w:t>
      </w:r>
    </w:p>
    <w:p w:rsidR="0096116E" w:rsidP="00154EB4" w:rsidRDefault="0096116E" w14:paraId="60812C73" w14:textId="09D8C4AA">
      <w:pPr>
        <w:pStyle w:val="ListParagraph"/>
        <w:numPr>
          <w:ilvl w:val="0"/>
          <w:numId w:val="12"/>
        </w:numPr>
        <w:rPr>
          <w:color w:val="000000" w:themeColor="text1"/>
          <w:szCs w:val="24"/>
        </w:rPr>
      </w:pPr>
      <w:r>
        <w:rPr>
          <w:color w:val="000000" w:themeColor="text1"/>
          <w:szCs w:val="24"/>
        </w:rPr>
        <w:t>One comment suggested expanding the validity period for special validations from 1 year to 5 years.  The comment is considered outside the scope of this information collection.</w:t>
      </w:r>
    </w:p>
    <w:p w:rsidRPr="00EB4F41" w:rsidR="0096116E" w:rsidP="008C65C3" w:rsidRDefault="0096116E" w14:paraId="5BFD74F0" w14:textId="2D173232">
      <w:pPr>
        <w:pStyle w:val="ListParagraph"/>
        <w:numPr>
          <w:ilvl w:val="0"/>
          <w:numId w:val="12"/>
        </w:numPr>
        <w:rPr>
          <w:color w:val="000000" w:themeColor="text1"/>
          <w:szCs w:val="24"/>
        </w:rPr>
      </w:pPr>
      <w:r>
        <w:rPr>
          <w:color w:val="000000" w:themeColor="text1"/>
          <w:szCs w:val="24"/>
        </w:rPr>
        <w:lastRenderedPageBreak/>
        <w:t xml:space="preserve">One comment submitted by a humanitarian organization raised concerns about the ability to provide a final itinerary 30 days in advance of travel detailing dates and purpose of travel.  </w:t>
      </w:r>
      <w:r>
        <w:rPr>
          <w:bCs/>
          <w:sz w:val="23"/>
          <w:szCs w:val="23"/>
        </w:rPr>
        <w:t>In response, the Department added the following language to the Federal Register notice:  “…</w:t>
      </w:r>
      <w:r w:rsidRPr="00D26F12">
        <w:t xml:space="preserve">the applicant’s draft itinerary, including </w:t>
      </w:r>
      <w:r>
        <w:rPr>
          <w:bCs/>
          <w:i/>
        </w:rPr>
        <w:t xml:space="preserve">proposed </w:t>
      </w:r>
      <w:r w:rsidRPr="00D26F12">
        <w:t xml:space="preserve">dates of travel and </w:t>
      </w:r>
      <w:r>
        <w:rPr>
          <w:bCs/>
          <w:i/>
        </w:rPr>
        <w:t>the</w:t>
      </w:r>
      <w:r w:rsidRPr="00D26F12">
        <w:t xml:space="preserve"> </w:t>
      </w:r>
      <w:r>
        <w:rPr>
          <w:bCs/>
          <w:i/>
        </w:rPr>
        <w:t xml:space="preserve">intended </w:t>
      </w:r>
      <w:r w:rsidRPr="00D26F12">
        <w:t xml:space="preserve">work to </w:t>
      </w:r>
      <w:r>
        <w:rPr>
          <w:bCs/>
          <w:i/>
        </w:rPr>
        <w:t xml:space="preserve">be </w:t>
      </w:r>
      <w:r w:rsidRPr="00D26F12">
        <w:t>perfor</w:t>
      </w:r>
      <w:r>
        <w:rPr>
          <w:bCs/>
          <w:i/>
        </w:rPr>
        <w:t>med</w:t>
      </w:r>
      <w:r w:rsidRPr="00D26F12">
        <w:t xml:space="preserve"> on each trip</w:t>
      </w:r>
      <w:r>
        <w:t>…”; and applicants</w:t>
      </w:r>
      <w:r w:rsidRPr="00D26F12">
        <w:t xml:space="preserve"> who are approved for a multiple-entry special validation </w:t>
      </w:r>
      <w:r>
        <w:t>“…</w:t>
      </w:r>
      <w:r w:rsidRPr="00D26F12">
        <w:t>must also s</w:t>
      </w:r>
      <w:r>
        <w:t>end</w:t>
      </w:r>
      <w:r w:rsidRPr="00D26F12">
        <w:t xml:space="preserve"> a final itinerary detailing dates and purpose of travel </w:t>
      </w:r>
      <w:r>
        <w:rPr>
          <w:i/>
        </w:rPr>
        <w:t xml:space="preserve">at least five (5) days </w:t>
      </w:r>
      <w:r w:rsidRPr="00D26F12">
        <w:t>prior to each trip to the DPRK while using their multi-entry special validation U.S. passport.</w:t>
      </w:r>
      <w:r>
        <w:t>”</w:t>
      </w:r>
      <w:r w:rsidRPr="00D26F12">
        <w:t xml:space="preserve"> </w:t>
      </w:r>
    </w:p>
    <w:p w:rsidRPr="00047D8D" w:rsidR="00047D8D" w:rsidP="00047D8D" w:rsidRDefault="00E44BF8" w14:paraId="3C653B64" w14:textId="11CCF917">
      <w:pPr>
        <w:pStyle w:val="ListParagraph"/>
        <w:numPr>
          <w:ilvl w:val="0"/>
          <w:numId w:val="12"/>
        </w:numPr>
        <w:rPr>
          <w:color w:val="000000" w:themeColor="text1"/>
          <w:szCs w:val="24"/>
        </w:rPr>
      </w:pPr>
      <w:r>
        <w:t xml:space="preserve">One commenter submitted a report/analysis on </w:t>
      </w:r>
      <w:r w:rsidRPr="00047D8D">
        <w:rPr>
          <w:rFonts w:eastAsiaTheme="minorHAnsi"/>
          <w:i/>
          <w:szCs w:val="24"/>
        </w:rPr>
        <w:t xml:space="preserve">The Impact of Sanctions against North Korea on Humanitarian Aid </w:t>
      </w:r>
      <w:r w:rsidRPr="00047D8D">
        <w:rPr>
          <w:rFonts w:eastAsiaTheme="minorHAnsi"/>
          <w:szCs w:val="24"/>
        </w:rPr>
        <w:t>published in the Journal of Humanitarian Affairs.  While the article discusse</w:t>
      </w:r>
      <w:r w:rsidR="00047D8D">
        <w:rPr>
          <w:rFonts w:eastAsiaTheme="minorHAnsi"/>
          <w:szCs w:val="24"/>
        </w:rPr>
        <w:t>s</w:t>
      </w:r>
      <w:r w:rsidRPr="00047D8D">
        <w:rPr>
          <w:rFonts w:eastAsiaTheme="minorHAnsi"/>
          <w:szCs w:val="24"/>
        </w:rPr>
        <w:t xml:space="preserve"> some of the sanctions imposed by the United States, specifically for travel to DPRK, it d</w:t>
      </w:r>
      <w:r w:rsidR="00047D8D">
        <w:rPr>
          <w:rFonts w:eastAsiaTheme="minorHAnsi"/>
          <w:szCs w:val="24"/>
        </w:rPr>
        <w:t>oes</w:t>
      </w:r>
      <w:r w:rsidRPr="00047D8D">
        <w:rPr>
          <w:rFonts w:eastAsiaTheme="minorHAnsi"/>
          <w:szCs w:val="24"/>
        </w:rPr>
        <w:t xml:space="preserve"> not provide any suggestions within the scope of the information collection</w:t>
      </w:r>
      <w:r w:rsidRPr="00047D8D">
        <w:rPr>
          <w:rFonts w:eastAsiaTheme="minorHAnsi"/>
          <w:color w:val="564C88"/>
          <w:szCs w:val="24"/>
        </w:rPr>
        <w:t>.</w:t>
      </w:r>
      <w:r w:rsidRPr="00047D8D" w:rsidR="00EB4F41">
        <w:rPr>
          <w:rFonts w:eastAsiaTheme="minorHAnsi"/>
          <w:color w:val="564C88"/>
          <w:szCs w:val="24"/>
        </w:rPr>
        <w:t xml:space="preserve"> </w:t>
      </w:r>
    </w:p>
    <w:p w:rsidRPr="00047D8D" w:rsidR="00C52927" w:rsidP="00047D8D" w:rsidRDefault="0041615B" w14:paraId="1DF97D95" w14:textId="400C8C0A">
      <w:pPr>
        <w:pStyle w:val="ListParagraph"/>
        <w:numPr>
          <w:ilvl w:val="0"/>
          <w:numId w:val="12"/>
        </w:numPr>
        <w:rPr>
          <w:color w:val="000000" w:themeColor="text1"/>
          <w:szCs w:val="24"/>
        </w:rPr>
      </w:pPr>
      <w:r w:rsidRPr="00047D8D">
        <w:rPr>
          <w:color w:val="000000" w:themeColor="text1"/>
          <w:szCs w:val="24"/>
        </w:rPr>
        <w:t>One comment submitt</w:t>
      </w:r>
      <w:r w:rsidRPr="00047D8D" w:rsidR="00A458A6">
        <w:rPr>
          <w:color w:val="000000" w:themeColor="text1"/>
          <w:szCs w:val="24"/>
        </w:rPr>
        <w:t>e</w:t>
      </w:r>
      <w:r w:rsidRPr="00047D8D">
        <w:rPr>
          <w:color w:val="000000" w:themeColor="text1"/>
          <w:szCs w:val="24"/>
        </w:rPr>
        <w:t xml:space="preserve">d by a humanitarian organization </w:t>
      </w:r>
      <w:r w:rsidRPr="00047D8D" w:rsidR="00A458A6">
        <w:rPr>
          <w:color w:val="000000" w:themeColor="text1"/>
          <w:szCs w:val="24"/>
        </w:rPr>
        <w:t xml:space="preserve">suggested that the bullet listing the required documents for applying for a special validation “Statement explaining the reason that the applicant thinks their trip is in the national interest..” include the phrase “…including compelling international humanitarian interests”.  The specific bullet point </w:t>
      </w:r>
      <w:r w:rsidRPr="00047D8D" w:rsidR="00E12F51">
        <w:rPr>
          <w:color w:val="000000" w:themeColor="text1"/>
          <w:szCs w:val="24"/>
        </w:rPr>
        <w:t>already defines what constitutes national inte</w:t>
      </w:r>
      <w:r w:rsidRPr="00047D8D" w:rsidR="00FF09F0">
        <w:rPr>
          <w:color w:val="000000" w:themeColor="text1"/>
          <w:szCs w:val="24"/>
        </w:rPr>
        <w:t>rest by referencing “…(see criteria above)…”</w:t>
      </w:r>
      <w:r w:rsidRPr="00047D8D" w:rsidR="001A4478">
        <w:rPr>
          <w:color w:val="000000" w:themeColor="text1"/>
          <w:szCs w:val="24"/>
        </w:rPr>
        <w:t xml:space="preserve">, with “…compelling humanitarian considerations.” being one of the criteria listed.  </w:t>
      </w:r>
    </w:p>
    <w:p w:rsidR="00C52927" w:rsidP="00EB4F41" w:rsidRDefault="00C52927" w14:paraId="66073BC4" w14:textId="77777777">
      <w:pPr>
        <w:pStyle w:val="ListParagraph"/>
        <w:ind w:left="1080"/>
        <w:rPr>
          <w:color w:val="000000" w:themeColor="text1"/>
          <w:szCs w:val="24"/>
        </w:rPr>
      </w:pPr>
    </w:p>
    <w:p w:rsidR="0041615B" w:rsidP="00EB4F41" w:rsidRDefault="001A4478" w14:paraId="61D785C2" w14:textId="06680364">
      <w:pPr>
        <w:pStyle w:val="ListParagraph"/>
        <w:ind w:left="1080"/>
      </w:pPr>
      <w:r>
        <w:rPr>
          <w:color w:val="000000" w:themeColor="text1"/>
          <w:szCs w:val="24"/>
        </w:rPr>
        <w:t xml:space="preserve">Additionally, the commenter raised concerns </w:t>
      </w:r>
      <w:r w:rsidR="00C52927">
        <w:rPr>
          <w:color w:val="000000" w:themeColor="text1"/>
          <w:szCs w:val="24"/>
        </w:rPr>
        <w:t>about the required documentation for those requesting a multiple-entry special validation</w:t>
      </w:r>
      <w:r w:rsidRPr="00EB4F41">
        <w:rPr>
          <w:color w:val="000000" w:themeColor="text1"/>
          <w:szCs w:val="24"/>
        </w:rPr>
        <w:t xml:space="preserve"> </w:t>
      </w:r>
      <w:r w:rsidR="00C52927">
        <w:rPr>
          <w:color w:val="000000" w:themeColor="text1"/>
          <w:szCs w:val="24"/>
        </w:rPr>
        <w:t xml:space="preserve">and the submission of the final itinerary 30 days in advance of travel.  </w:t>
      </w:r>
      <w:r w:rsidR="00C52927">
        <w:rPr>
          <w:bCs/>
          <w:sz w:val="23"/>
          <w:szCs w:val="23"/>
        </w:rPr>
        <w:t>In response, the Department added the following language to the Federal Register notice:  “…</w:t>
      </w:r>
      <w:r w:rsidRPr="00D26F12" w:rsidR="00C52927">
        <w:t xml:space="preserve">the applicant’s draft itinerary, including </w:t>
      </w:r>
      <w:r w:rsidR="00C52927">
        <w:rPr>
          <w:bCs/>
          <w:i/>
        </w:rPr>
        <w:t xml:space="preserve">proposed </w:t>
      </w:r>
      <w:r w:rsidRPr="00D26F12" w:rsidR="00C52927">
        <w:t xml:space="preserve">dates of travel and </w:t>
      </w:r>
      <w:r w:rsidR="00C52927">
        <w:rPr>
          <w:bCs/>
          <w:i/>
        </w:rPr>
        <w:t>the</w:t>
      </w:r>
      <w:r w:rsidRPr="00D26F12" w:rsidR="00C52927">
        <w:t xml:space="preserve"> </w:t>
      </w:r>
      <w:r w:rsidR="00C52927">
        <w:rPr>
          <w:bCs/>
          <w:i/>
        </w:rPr>
        <w:t xml:space="preserve">intended </w:t>
      </w:r>
      <w:r w:rsidRPr="00D26F12" w:rsidR="00C52927">
        <w:t xml:space="preserve">work to </w:t>
      </w:r>
      <w:r w:rsidR="00C52927">
        <w:rPr>
          <w:bCs/>
          <w:i/>
        </w:rPr>
        <w:t xml:space="preserve">be </w:t>
      </w:r>
      <w:r w:rsidRPr="00D26F12" w:rsidR="00C52927">
        <w:t>perfor</w:t>
      </w:r>
      <w:r w:rsidR="00C52927">
        <w:rPr>
          <w:bCs/>
          <w:i/>
        </w:rPr>
        <w:t>med</w:t>
      </w:r>
      <w:r w:rsidRPr="00D26F12" w:rsidR="00C52927">
        <w:t xml:space="preserve"> on each trip</w:t>
      </w:r>
      <w:r w:rsidR="00C52927">
        <w:t>…”; and applicants</w:t>
      </w:r>
      <w:r w:rsidRPr="00D26F12" w:rsidR="00C52927">
        <w:t xml:space="preserve"> who are approved for a multiple-entry special validation </w:t>
      </w:r>
      <w:r w:rsidR="00C52927">
        <w:t>“…</w:t>
      </w:r>
      <w:r w:rsidRPr="00D26F12" w:rsidR="00C52927">
        <w:t>must also s</w:t>
      </w:r>
      <w:r w:rsidR="00C52927">
        <w:t>end</w:t>
      </w:r>
      <w:r w:rsidRPr="00D26F12" w:rsidR="00C52927">
        <w:t xml:space="preserve"> a final itinerary detailing dates and purpose of travel </w:t>
      </w:r>
      <w:r w:rsidR="00C52927">
        <w:rPr>
          <w:i/>
        </w:rPr>
        <w:t xml:space="preserve">at least five (5) days </w:t>
      </w:r>
      <w:r w:rsidRPr="00D26F12" w:rsidR="00C52927">
        <w:t>prior to each trip to the DPRK while using their multi-entry special validation U.S. passport.</w:t>
      </w:r>
      <w:r w:rsidR="00C52927">
        <w:t>”</w:t>
      </w:r>
      <w:r w:rsidRPr="00D26F12" w:rsidR="00C52927">
        <w:t xml:space="preserve"> </w:t>
      </w:r>
    </w:p>
    <w:p w:rsidR="00C52927" w:rsidP="00EB4F41" w:rsidRDefault="00C52927" w14:paraId="5F56B8DE" w14:textId="34CDB019">
      <w:pPr>
        <w:pStyle w:val="ListParagraph"/>
        <w:ind w:left="1080"/>
      </w:pPr>
    </w:p>
    <w:p w:rsidR="00C52927" w:rsidP="00EB4F41" w:rsidRDefault="00C52927" w14:paraId="51E97956" w14:textId="19A96FF6">
      <w:pPr>
        <w:pStyle w:val="ListParagraph"/>
        <w:spacing w:after="0"/>
        <w:ind w:left="1080"/>
        <w:rPr>
          <w:rStyle w:val="Strong"/>
          <w:b w:val="0"/>
        </w:rPr>
      </w:pPr>
      <w:r>
        <w:t xml:space="preserve">Finally, the commenter proposed </w:t>
      </w:r>
      <w:r w:rsidR="00EB4F41">
        <w:t>that</w:t>
      </w:r>
      <w:r>
        <w:t xml:space="preserve"> the State Department expand its definition of compelling humanitarian considerations</w:t>
      </w:r>
      <w:r w:rsidR="008C65C3">
        <w:t xml:space="preserve">.  </w:t>
      </w:r>
      <w:r w:rsidR="008C65C3">
        <w:rPr>
          <w:rStyle w:val="Strong"/>
          <w:b w:val="0"/>
        </w:rPr>
        <w:t xml:space="preserve">The term “compelling humanitarian considerations” is directly from </w:t>
      </w:r>
      <w:r w:rsidR="008C65C3">
        <w:t>22 C.F.R. § 51.64</w:t>
      </w:r>
      <w:r w:rsidR="00EB4F41">
        <w:t>.  This comment</w:t>
      </w:r>
      <w:r w:rsidR="008C65C3">
        <w:rPr>
          <w:rStyle w:val="Strong"/>
          <w:b w:val="0"/>
        </w:rPr>
        <w:t xml:space="preserve"> is considered outside the scope of this information collection.  </w:t>
      </w:r>
    </w:p>
    <w:p w:rsidRPr="00EB4F41" w:rsidR="008C65C3" w:rsidP="00EB4F41" w:rsidRDefault="008C65C3" w14:paraId="43BCB73F" w14:textId="67AFB9F7">
      <w:pPr>
        <w:pStyle w:val="ListParagraph"/>
        <w:numPr>
          <w:ilvl w:val="0"/>
          <w:numId w:val="12"/>
        </w:numPr>
        <w:spacing w:after="0"/>
        <w:rPr>
          <w:color w:val="000000" w:themeColor="text1"/>
          <w:szCs w:val="24"/>
        </w:rPr>
      </w:pPr>
      <w:r>
        <w:rPr>
          <w:color w:val="000000" w:themeColor="text1"/>
          <w:szCs w:val="24"/>
        </w:rPr>
        <w:t xml:space="preserve">One comment submitted by a humanitarian organization raised concerns about the ability to provide a final itinerary 30 days in advance of travel detailing dates and purpose of travel.  </w:t>
      </w:r>
      <w:r>
        <w:rPr>
          <w:bCs/>
          <w:sz w:val="23"/>
          <w:szCs w:val="23"/>
        </w:rPr>
        <w:t>In response, the Department added the following language to the Federal Register notice:  “…</w:t>
      </w:r>
      <w:r w:rsidRPr="00D26F12">
        <w:t xml:space="preserve">the applicant’s draft itinerary, including </w:t>
      </w:r>
      <w:r>
        <w:rPr>
          <w:bCs/>
          <w:i/>
        </w:rPr>
        <w:t xml:space="preserve">proposed </w:t>
      </w:r>
      <w:r w:rsidRPr="00D26F12">
        <w:t xml:space="preserve">dates of travel and </w:t>
      </w:r>
      <w:r>
        <w:rPr>
          <w:bCs/>
          <w:i/>
        </w:rPr>
        <w:t>the</w:t>
      </w:r>
      <w:r w:rsidRPr="00D26F12">
        <w:t xml:space="preserve"> </w:t>
      </w:r>
      <w:r>
        <w:rPr>
          <w:bCs/>
          <w:i/>
        </w:rPr>
        <w:t xml:space="preserve">intended </w:t>
      </w:r>
      <w:r w:rsidRPr="00D26F12">
        <w:t xml:space="preserve">work to </w:t>
      </w:r>
      <w:r>
        <w:rPr>
          <w:bCs/>
          <w:i/>
        </w:rPr>
        <w:t xml:space="preserve">be </w:t>
      </w:r>
      <w:r w:rsidRPr="00D26F12">
        <w:t>perfor</w:t>
      </w:r>
      <w:r>
        <w:rPr>
          <w:bCs/>
          <w:i/>
        </w:rPr>
        <w:t>med</w:t>
      </w:r>
      <w:r w:rsidRPr="00D26F12">
        <w:t xml:space="preserve"> on each trip</w:t>
      </w:r>
      <w:r>
        <w:t>…”; and applicants</w:t>
      </w:r>
      <w:r w:rsidRPr="00D26F12">
        <w:t xml:space="preserve"> who are approved for a multiple-entry special validation </w:t>
      </w:r>
      <w:r>
        <w:t>“…</w:t>
      </w:r>
      <w:r w:rsidRPr="00D26F12">
        <w:t>must also s</w:t>
      </w:r>
      <w:r>
        <w:t>end</w:t>
      </w:r>
      <w:r w:rsidRPr="00D26F12">
        <w:t xml:space="preserve"> a final itinerary detailing dates and purpose of travel </w:t>
      </w:r>
      <w:r>
        <w:rPr>
          <w:i/>
        </w:rPr>
        <w:t xml:space="preserve">at least five (5) days </w:t>
      </w:r>
      <w:r w:rsidRPr="00D26F12">
        <w:t>prior to each trip to the DPRK while using their multi-entry special validation U.S. passport.</w:t>
      </w:r>
      <w:r>
        <w:t>”</w:t>
      </w:r>
      <w:r w:rsidRPr="00D26F12">
        <w:t xml:space="preserve"> </w:t>
      </w:r>
    </w:p>
    <w:p w:rsidRPr="009C31D1" w:rsidR="008C65C3" w:rsidP="00EB4F41" w:rsidRDefault="008C65C3" w14:paraId="3EDB69A2" w14:textId="77777777">
      <w:pPr>
        <w:spacing w:after="0"/>
        <w:ind w:left="720"/>
        <w:rPr>
          <w:rStyle w:val="Strong"/>
          <w:b w:val="0"/>
        </w:rPr>
      </w:pPr>
    </w:p>
    <w:p w:rsidR="009C31D1" w:rsidP="00EB4F41" w:rsidRDefault="008C65C3" w14:paraId="54C8841C" w14:textId="66D9F802">
      <w:pPr>
        <w:pStyle w:val="ListParagraph"/>
        <w:spacing w:after="0"/>
        <w:ind w:left="1080"/>
        <w:rPr>
          <w:bCs/>
          <w:sz w:val="23"/>
          <w:szCs w:val="23"/>
        </w:rPr>
      </w:pPr>
      <w:r>
        <w:rPr>
          <w:rStyle w:val="Strong"/>
          <w:b w:val="0"/>
        </w:rPr>
        <w:t>Additionally</w:t>
      </w:r>
      <w:r w:rsidR="00A6006D">
        <w:rPr>
          <w:rStyle w:val="Strong"/>
          <w:b w:val="0"/>
        </w:rPr>
        <w:t>, the commenter raised concerns</w:t>
      </w:r>
      <w:r>
        <w:rPr>
          <w:rStyle w:val="Strong"/>
          <w:b w:val="0"/>
        </w:rPr>
        <w:t xml:space="preserve"> </w:t>
      </w:r>
      <w:r w:rsidR="00EB4F41">
        <w:rPr>
          <w:rStyle w:val="Strong"/>
          <w:b w:val="0"/>
        </w:rPr>
        <w:t>that</w:t>
      </w:r>
      <w:r w:rsidR="00A6006D">
        <w:rPr>
          <w:rStyle w:val="Strong"/>
          <w:b w:val="0"/>
        </w:rPr>
        <w:t xml:space="preserve"> the requirement to submit</w:t>
      </w:r>
      <w:r w:rsidR="00A6006D">
        <w:rPr>
          <w:sz w:val="23"/>
          <w:szCs w:val="23"/>
        </w:rPr>
        <w:t xml:space="preserve"> “documentation that shows the applicant’s humanitarian work requires that they make multiple trips…”</w:t>
      </w:r>
      <w:r>
        <w:rPr>
          <w:sz w:val="23"/>
          <w:szCs w:val="23"/>
        </w:rPr>
        <w:t xml:space="preserve"> is not clear as to what type of “documentary evidence” is being requested.  </w:t>
      </w:r>
      <w:r>
        <w:rPr>
          <w:bCs/>
          <w:sz w:val="23"/>
          <w:szCs w:val="23"/>
        </w:rPr>
        <w:t>In response, the Department added the following language to the information collection in the Federal Register notice: “…</w:t>
      </w:r>
      <w:r>
        <w:rPr>
          <w:bCs/>
          <w:i/>
        </w:rPr>
        <w:t>such as a letter from the organization being represented explaining in detail the purpose and intended work to be performed</w:t>
      </w:r>
      <w:r>
        <w:rPr>
          <w:i/>
        </w:rPr>
        <w:t xml:space="preserve"> on the trip(s)</w:t>
      </w:r>
      <w:r w:rsidRPr="000A0B99">
        <w:rPr>
          <w:bCs/>
          <w:i/>
        </w:rPr>
        <w:t xml:space="preserve"> </w:t>
      </w:r>
      <w:r>
        <w:rPr>
          <w:bCs/>
          <w:i/>
        </w:rPr>
        <w:t>.</w:t>
      </w:r>
      <w:r>
        <w:rPr>
          <w:bCs/>
          <w:sz w:val="23"/>
          <w:szCs w:val="23"/>
        </w:rPr>
        <w:t xml:space="preserve">”  </w:t>
      </w:r>
    </w:p>
    <w:p w:rsidRPr="00EB4F41" w:rsidR="00082326" w:rsidP="00702889" w:rsidRDefault="00314A3E" w14:paraId="15E55682" w14:textId="1A33168C">
      <w:pPr>
        <w:pStyle w:val="ListParagraph"/>
        <w:numPr>
          <w:ilvl w:val="0"/>
          <w:numId w:val="12"/>
        </w:numPr>
        <w:spacing w:after="0"/>
        <w:rPr>
          <w:rStyle w:val="Strong"/>
          <w:b w:val="0"/>
          <w:bCs w:val="0"/>
          <w:color w:val="000000" w:themeColor="text1"/>
          <w:szCs w:val="24"/>
        </w:rPr>
      </w:pPr>
      <w:r>
        <w:rPr>
          <w:color w:val="000000" w:themeColor="text1"/>
          <w:szCs w:val="24"/>
        </w:rPr>
        <w:t xml:space="preserve">Two separate </w:t>
      </w:r>
      <w:r w:rsidR="00262585">
        <w:rPr>
          <w:color w:val="000000" w:themeColor="text1"/>
          <w:szCs w:val="24"/>
        </w:rPr>
        <w:t>comment</w:t>
      </w:r>
      <w:r>
        <w:rPr>
          <w:color w:val="000000" w:themeColor="text1"/>
          <w:szCs w:val="24"/>
        </w:rPr>
        <w:t xml:space="preserve">s submitted by the same individual/organization </w:t>
      </w:r>
      <w:r w:rsidR="00262585">
        <w:rPr>
          <w:color w:val="000000" w:themeColor="text1"/>
          <w:szCs w:val="24"/>
        </w:rPr>
        <w:t>indicated</w:t>
      </w:r>
      <w:r w:rsidRPr="00262585" w:rsidR="00262585">
        <w:rPr>
          <w:color w:val="000000" w:themeColor="text1"/>
          <w:szCs w:val="24"/>
        </w:rPr>
        <w:t xml:space="preserve"> that the term “</w:t>
      </w:r>
      <w:r w:rsidR="00262585">
        <w:t xml:space="preserve">compelling humanitarian considerations” is non-specific and subject to individual interpretation.  They reference </w:t>
      </w:r>
      <w:r w:rsidRPr="00262585" w:rsidR="00262585">
        <w:rPr>
          <w:rStyle w:val="Strong"/>
          <w:b w:val="0"/>
        </w:rPr>
        <w:t xml:space="preserve">The North Korea Sanctions Regulation Section 510.512 which </w:t>
      </w:r>
      <w:r w:rsidR="00262585">
        <w:rPr>
          <w:rStyle w:val="Strong"/>
          <w:b w:val="0"/>
        </w:rPr>
        <w:t xml:space="preserve">more broadly defines humanitarian efforts.  </w:t>
      </w:r>
      <w:r w:rsidR="00B075B1">
        <w:rPr>
          <w:rStyle w:val="Strong"/>
          <w:b w:val="0"/>
        </w:rPr>
        <w:t xml:space="preserve">The term “compelling humanitarian considerations” is directly from </w:t>
      </w:r>
      <w:r w:rsidR="00B075B1">
        <w:t>22 C.F.R. § 51.64</w:t>
      </w:r>
      <w:r w:rsidR="00EB4F41">
        <w:t xml:space="preserve">. This comment </w:t>
      </w:r>
      <w:r w:rsidR="00B075B1">
        <w:rPr>
          <w:rStyle w:val="Strong"/>
          <w:b w:val="0"/>
        </w:rPr>
        <w:t xml:space="preserve">is considered outside the scope of this information collection.  </w:t>
      </w:r>
    </w:p>
    <w:p w:rsidRPr="00335308" w:rsidR="00314A3E" w:rsidP="00702889" w:rsidRDefault="00314A3E" w14:paraId="66B8C5B1" w14:textId="0C47A18B">
      <w:pPr>
        <w:pStyle w:val="ListParagraph"/>
        <w:numPr>
          <w:ilvl w:val="0"/>
          <w:numId w:val="12"/>
        </w:numPr>
        <w:spacing w:after="0"/>
        <w:rPr>
          <w:rStyle w:val="Strong"/>
          <w:b w:val="0"/>
          <w:bCs w:val="0"/>
          <w:color w:val="000000" w:themeColor="text1"/>
          <w:szCs w:val="24"/>
        </w:rPr>
      </w:pPr>
      <w:r>
        <w:rPr>
          <w:color w:val="000000" w:themeColor="text1"/>
          <w:szCs w:val="24"/>
        </w:rPr>
        <w:t>One comment</w:t>
      </w:r>
      <w:r w:rsidR="00393FB3">
        <w:rPr>
          <w:color w:val="000000" w:themeColor="text1"/>
          <w:szCs w:val="24"/>
        </w:rPr>
        <w:t>er</w:t>
      </w:r>
      <w:r>
        <w:rPr>
          <w:color w:val="000000" w:themeColor="text1"/>
          <w:szCs w:val="24"/>
        </w:rPr>
        <w:t xml:space="preserve"> suggested that the multiple entry special validations apply to </w:t>
      </w:r>
      <w:r w:rsidR="005A7218">
        <w:rPr>
          <w:color w:val="000000" w:themeColor="text1"/>
          <w:szCs w:val="24"/>
        </w:rPr>
        <w:t>non-governmental organizations (</w:t>
      </w:r>
      <w:r>
        <w:rPr>
          <w:color w:val="000000" w:themeColor="text1"/>
          <w:szCs w:val="24"/>
        </w:rPr>
        <w:t>NGO</w:t>
      </w:r>
      <w:r w:rsidR="005A7218">
        <w:rPr>
          <w:color w:val="000000" w:themeColor="text1"/>
          <w:szCs w:val="24"/>
        </w:rPr>
        <w:t>)</w:t>
      </w:r>
      <w:r>
        <w:rPr>
          <w:color w:val="000000" w:themeColor="text1"/>
          <w:szCs w:val="24"/>
        </w:rPr>
        <w:t xml:space="preserve"> workers.  Th</w:t>
      </w:r>
      <w:r w:rsidR="00393FB3">
        <w:rPr>
          <w:color w:val="000000" w:themeColor="text1"/>
          <w:szCs w:val="24"/>
        </w:rPr>
        <w:t>e</w:t>
      </w:r>
      <w:r>
        <w:rPr>
          <w:color w:val="000000" w:themeColor="text1"/>
          <w:szCs w:val="24"/>
        </w:rPr>
        <w:t xml:space="preserve"> comment is considered outside the scope of this information collection.</w:t>
      </w:r>
    </w:p>
    <w:p w:rsidR="00EC1B9D" w:rsidP="00B91F38" w:rsidRDefault="00702889" w14:paraId="5A6A6306" w14:textId="782A5224">
      <w:pPr>
        <w:pStyle w:val="Default"/>
        <w:numPr>
          <w:ilvl w:val="0"/>
          <w:numId w:val="12"/>
        </w:numPr>
      </w:pPr>
      <w:r>
        <w:rPr>
          <w:rStyle w:val="Strong"/>
          <w:b w:val="0"/>
        </w:rPr>
        <w:t xml:space="preserve">One comment </w:t>
      </w:r>
      <w:r w:rsidR="0047170E">
        <w:rPr>
          <w:rStyle w:val="Strong"/>
          <w:b w:val="0"/>
        </w:rPr>
        <w:t xml:space="preserve">submitted </w:t>
      </w:r>
      <w:r>
        <w:rPr>
          <w:rStyle w:val="Strong"/>
          <w:b w:val="0"/>
        </w:rPr>
        <w:t xml:space="preserve">by a humanitarian organization suggested that </w:t>
      </w:r>
      <w:r>
        <w:rPr>
          <w:sz w:val="23"/>
          <w:szCs w:val="23"/>
        </w:rPr>
        <w:t xml:space="preserve">the phrase “supporting documentary evidence” </w:t>
      </w:r>
      <w:r w:rsidR="00B91F38">
        <w:rPr>
          <w:sz w:val="23"/>
          <w:szCs w:val="23"/>
        </w:rPr>
        <w:t xml:space="preserve">is not clear </w:t>
      </w:r>
      <w:r>
        <w:rPr>
          <w:sz w:val="23"/>
          <w:szCs w:val="23"/>
        </w:rPr>
        <w:t xml:space="preserve">as to what type of “documentary evidence” is being requested.  They </w:t>
      </w:r>
      <w:r w:rsidRPr="00702889">
        <w:rPr>
          <w:bCs/>
          <w:sz w:val="23"/>
          <w:szCs w:val="23"/>
        </w:rPr>
        <w:t xml:space="preserve">recommend the phrase be removed or edited to read “supporting documentary evidence such as [example], if available.” </w:t>
      </w:r>
      <w:r>
        <w:rPr>
          <w:bCs/>
          <w:sz w:val="23"/>
          <w:szCs w:val="23"/>
        </w:rPr>
        <w:t xml:space="preserve"> </w:t>
      </w:r>
      <w:r w:rsidR="0047170E">
        <w:rPr>
          <w:bCs/>
          <w:sz w:val="23"/>
          <w:szCs w:val="23"/>
        </w:rPr>
        <w:t>In response, the Department a</w:t>
      </w:r>
      <w:r w:rsidR="00AE43B1">
        <w:rPr>
          <w:bCs/>
          <w:sz w:val="23"/>
          <w:szCs w:val="23"/>
        </w:rPr>
        <w:t>dded the following language</w:t>
      </w:r>
      <w:r w:rsidR="00DA760B">
        <w:rPr>
          <w:bCs/>
          <w:sz w:val="23"/>
          <w:szCs w:val="23"/>
        </w:rPr>
        <w:t xml:space="preserve"> to the information collection in the Federal Register notice</w:t>
      </w:r>
      <w:r w:rsidR="00AE43B1">
        <w:rPr>
          <w:bCs/>
          <w:sz w:val="23"/>
          <w:szCs w:val="23"/>
        </w:rPr>
        <w:t>: “…</w:t>
      </w:r>
      <w:r w:rsidR="00AE43B1">
        <w:rPr>
          <w:bCs/>
          <w:i/>
        </w:rPr>
        <w:t>such as a letter from the organization being represented</w:t>
      </w:r>
      <w:r w:rsidR="000A0B99">
        <w:rPr>
          <w:bCs/>
          <w:i/>
        </w:rPr>
        <w:t xml:space="preserve"> </w:t>
      </w:r>
      <w:r w:rsidR="004853D0">
        <w:rPr>
          <w:bCs/>
          <w:i/>
        </w:rPr>
        <w:t>explaining in detail the purpose and intended work to be performed</w:t>
      </w:r>
      <w:r w:rsidR="004853D0">
        <w:rPr>
          <w:i/>
        </w:rPr>
        <w:t xml:space="preserve"> on the </w:t>
      </w:r>
      <w:r w:rsidR="000A0B99">
        <w:rPr>
          <w:i/>
        </w:rPr>
        <w:t>trip(s)</w:t>
      </w:r>
      <w:r w:rsidRPr="000A0B99" w:rsidR="000A0B99">
        <w:rPr>
          <w:bCs/>
          <w:i/>
        </w:rPr>
        <w:t xml:space="preserve"> </w:t>
      </w:r>
      <w:r w:rsidR="00AE43B1">
        <w:rPr>
          <w:bCs/>
          <w:i/>
        </w:rPr>
        <w:t>.</w:t>
      </w:r>
      <w:r w:rsidR="00AE43B1">
        <w:rPr>
          <w:bCs/>
          <w:sz w:val="23"/>
          <w:szCs w:val="23"/>
        </w:rPr>
        <w:t xml:space="preserve">”  </w:t>
      </w:r>
      <w:r>
        <w:rPr>
          <w:bCs/>
          <w:sz w:val="23"/>
          <w:szCs w:val="23"/>
        </w:rPr>
        <w:t>Additionally, th</w:t>
      </w:r>
      <w:r w:rsidR="0047170E">
        <w:rPr>
          <w:bCs/>
          <w:sz w:val="23"/>
          <w:szCs w:val="23"/>
        </w:rPr>
        <w:t>e commenter</w:t>
      </w:r>
      <w:r>
        <w:rPr>
          <w:bCs/>
          <w:sz w:val="23"/>
          <w:szCs w:val="23"/>
        </w:rPr>
        <w:t xml:space="preserve"> raise</w:t>
      </w:r>
      <w:r w:rsidR="0047170E">
        <w:rPr>
          <w:bCs/>
          <w:sz w:val="23"/>
          <w:szCs w:val="23"/>
        </w:rPr>
        <w:t>d</w:t>
      </w:r>
      <w:r>
        <w:rPr>
          <w:bCs/>
          <w:sz w:val="23"/>
          <w:szCs w:val="23"/>
        </w:rPr>
        <w:t xml:space="preserve"> concer</w:t>
      </w:r>
      <w:r w:rsidR="00EC1B9D">
        <w:rPr>
          <w:bCs/>
          <w:sz w:val="23"/>
          <w:szCs w:val="23"/>
        </w:rPr>
        <w:t xml:space="preserve">ns about the ability to provide </w:t>
      </w:r>
      <w:r w:rsidR="00EC1B9D">
        <w:rPr>
          <w:sz w:val="23"/>
          <w:szCs w:val="23"/>
        </w:rPr>
        <w:t xml:space="preserve">a final itinerary detailing dates and purpose of travel at least one month </w:t>
      </w:r>
      <w:r w:rsidR="004853D0">
        <w:rPr>
          <w:sz w:val="23"/>
          <w:szCs w:val="23"/>
        </w:rPr>
        <w:t xml:space="preserve">(30 days) </w:t>
      </w:r>
      <w:r w:rsidR="00EC1B9D">
        <w:rPr>
          <w:sz w:val="23"/>
          <w:szCs w:val="23"/>
        </w:rPr>
        <w:t xml:space="preserve">prior to each trip.  </w:t>
      </w:r>
      <w:r w:rsidR="0047170E">
        <w:rPr>
          <w:bCs/>
          <w:sz w:val="23"/>
          <w:szCs w:val="23"/>
        </w:rPr>
        <w:t>The Department a</w:t>
      </w:r>
      <w:r w:rsidR="00AE43B1">
        <w:rPr>
          <w:bCs/>
          <w:sz w:val="23"/>
          <w:szCs w:val="23"/>
        </w:rPr>
        <w:t>dded the following language</w:t>
      </w:r>
      <w:r w:rsidR="00E869B3">
        <w:rPr>
          <w:bCs/>
          <w:sz w:val="23"/>
          <w:szCs w:val="23"/>
        </w:rPr>
        <w:t xml:space="preserve"> to the Federal Register notice</w:t>
      </w:r>
      <w:r w:rsidR="00AE43B1">
        <w:rPr>
          <w:bCs/>
          <w:sz w:val="23"/>
          <w:szCs w:val="23"/>
        </w:rPr>
        <w:t>:  “…</w:t>
      </w:r>
      <w:r w:rsidRPr="00D26F12" w:rsidR="00AE43B1">
        <w:t xml:space="preserve">the applicant’s draft itinerary, including </w:t>
      </w:r>
      <w:r w:rsidR="00AE43B1">
        <w:rPr>
          <w:bCs/>
          <w:i/>
        </w:rPr>
        <w:t xml:space="preserve">proposed </w:t>
      </w:r>
      <w:r w:rsidRPr="00D26F12" w:rsidR="00AE43B1">
        <w:t xml:space="preserve">dates of travel and </w:t>
      </w:r>
      <w:r w:rsidR="00AE43B1">
        <w:rPr>
          <w:bCs/>
          <w:i/>
        </w:rPr>
        <w:t>the</w:t>
      </w:r>
      <w:r w:rsidRPr="00D26F12" w:rsidR="00AE43B1">
        <w:t xml:space="preserve"> </w:t>
      </w:r>
      <w:r w:rsidR="00AE43B1">
        <w:rPr>
          <w:bCs/>
          <w:i/>
        </w:rPr>
        <w:t xml:space="preserve">intended </w:t>
      </w:r>
      <w:r w:rsidRPr="00D26F12" w:rsidR="00AE43B1">
        <w:t xml:space="preserve">work to </w:t>
      </w:r>
      <w:r w:rsidR="00AE43B1">
        <w:rPr>
          <w:bCs/>
          <w:i/>
        </w:rPr>
        <w:t xml:space="preserve">be </w:t>
      </w:r>
      <w:r w:rsidRPr="00D26F12" w:rsidR="00AE43B1">
        <w:t>perfor</w:t>
      </w:r>
      <w:r w:rsidR="00AE43B1">
        <w:rPr>
          <w:bCs/>
          <w:i/>
        </w:rPr>
        <w:t>med</w:t>
      </w:r>
      <w:r w:rsidRPr="00D26F12" w:rsidR="00AE43B1">
        <w:t xml:space="preserve"> on each trip</w:t>
      </w:r>
      <w:r w:rsidR="004853D0">
        <w:t xml:space="preserve">…”; </w:t>
      </w:r>
      <w:r w:rsidR="00E869B3">
        <w:t xml:space="preserve">and </w:t>
      </w:r>
      <w:r w:rsidR="00045E23">
        <w:t>applicants</w:t>
      </w:r>
      <w:r w:rsidRPr="00D26F12" w:rsidR="00045E23">
        <w:t xml:space="preserve"> </w:t>
      </w:r>
      <w:r w:rsidRPr="00D26F12" w:rsidR="00AE43B1">
        <w:t xml:space="preserve">who are approved for a multiple-entry special validation </w:t>
      </w:r>
      <w:r w:rsidR="00E869B3">
        <w:t>“…</w:t>
      </w:r>
      <w:r w:rsidRPr="00D26F12" w:rsidR="00AE43B1">
        <w:t>must also s</w:t>
      </w:r>
      <w:r w:rsidR="004853D0">
        <w:t>end</w:t>
      </w:r>
      <w:r w:rsidRPr="00D26F12" w:rsidR="00AE43B1">
        <w:t xml:space="preserve"> a final itinerary detailing dates and purpose of travel </w:t>
      </w:r>
      <w:r w:rsidR="004853D0">
        <w:rPr>
          <w:i/>
        </w:rPr>
        <w:t xml:space="preserve">at least five (5) days </w:t>
      </w:r>
      <w:r w:rsidRPr="00D26F12" w:rsidR="00AE43B1">
        <w:t>prior to each trip to the DPRK while using their multi-entry special validation U.S. passport.</w:t>
      </w:r>
      <w:r w:rsidR="00AE43B1">
        <w:t>”</w:t>
      </w:r>
      <w:r w:rsidRPr="00D26F12" w:rsidR="00AE43B1">
        <w:t xml:space="preserve">  </w:t>
      </w:r>
    </w:p>
    <w:p w:rsidR="00AE43B1" w:rsidP="00AE43B1" w:rsidRDefault="00AE43B1" w14:paraId="3E977EAA" w14:textId="54E3225D">
      <w:pPr>
        <w:pStyle w:val="Default"/>
        <w:ind w:left="1080"/>
      </w:pPr>
    </w:p>
    <w:p w:rsidRPr="00EC1B9D" w:rsidR="00831AC0" w:rsidP="00831AC0" w:rsidRDefault="00AE43B1" w14:paraId="6D4A78B0" w14:textId="515D3B7B">
      <w:pPr>
        <w:pStyle w:val="Default"/>
        <w:ind w:left="1080"/>
      </w:pPr>
      <w:r>
        <w:t>Th</w:t>
      </w:r>
      <w:r w:rsidR="00831AC0">
        <w:t>e</w:t>
      </w:r>
      <w:r>
        <w:t xml:space="preserve"> </w:t>
      </w:r>
      <w:r w:rsidR="0047170E">
        <w:t xml:space="preserve">public comments </w:t>
      </w:r>
      <w:r>
        <w:t>also included recommendations to establish</w:t>
      </w:r>
      <w:r w:rsidR="00831AC0">
        <w:t xml:space="preserve"> m</w:t>
      </w:r>
      <w:r>
        <w:t>ore forms o</w:t>
      </w:r>
      <w:r w:rsidR="00831AC0">
        <w:t>f communication between the US and DPR</w:t>
      </w:r>
      <w:r>
        <w:t>K</w:t>
      </w:r>
      <w:r w:rsidR="00831AC0">
        <w:t xml:space="preserve">; transparency, timeliness and reasons for approval/denial of SVP provided to applicant; expanding eligibility for those requesting an SVP.  These recommendations are considered outside the scope of this information collection. </w:t>
      </w:r>
    </w:p>
    <w:p w:rsidR="00360C57" w:rsidP="00256AE6" w:rsidRDefault="0031591B" w14:paraId="40141E92" w14:textId="6F9A80B6">
      <w:pPr>
        <w:pStyle w:val="ListParagraph"/>
        <w:numPr>
          <w:ilvl w:val="0"/>
          <w:numId w:val="12"/>
        </w:numPr>
        <w:spacing w:after="0"/>
      </w:pPr>
      <w:r>
        <w:t>Two</w:t>
      </w:r>
      <w:r w:rsidR="00B91F38">
        <w:t xml:space="preserve"> comment</w:t>
      </w:r>
      <w:r>
        <w:t>s</w:t>
      </w:r>
      <w:r w:rsidR="00B91F38">
        <w:t xml:space="preserve"> </w:t>
      </w:r>
      <w:r w:rsidR="00314A3E">
        <w:t>submitted by</w:t>
      </w:r>
      <w:r w:rsidR="00B91F38">
        <w:t xml:space="preserve"> a humanitarian organization </w:t>
      </w:r>
      <w:r w:rsidR="00DE673E">
        <w:t>raised</w:t>
      </w:r>
      <w:r w:rsidR="005A7099">
        <w:t xml:space="preserve"> </w:t>
      </w:r>
      <w:r w:rsidR="00DE673E">
        <w:t xml:space="preserve">the same </w:t>
      </w:r>
      <w:r w:rsidR="005A7099">
        <w:t>concern</w:t>
      </w:r>
      <w:r w:rsidR="00DE673E">
        <w:t xml:space="preserve"> as above</w:t>
      </w:r>
      <w:r w:rsidR="0048633B">
        <w:t xml:space="preserve"> with</w:t>
      </w:r>
      <w:r w:rsidR="00B91F38">
        <w:t xml:space="preserve"> </w:t>
      </w:r>
      <w:r w:rsidR="00DE673E">
        <w:t>the requirements</w:t>
      </w:r>
      <w:r w:rsidR="00B91F38">
        <w:t xml:space="preserve"> </w:t>
      </w:r>
      <w:r w:rsidR="00DE673E">
        <w:rPr>
          <w:bCs/>
          <w:sz w:val="23"/>
          <w:szCs w:val="23"/>
        </w:rPr>
        <w:t xml:space="preserve">to provide </w:t>
      </w:r>
      <w:r w:rsidR="00DE673E">
        <w:rPr>
          <w:sz w:val="23"/>
          <w:szCs w:val="23"/>
        </w:rPr>
        <w:t>a final itinerary detailing dates and purpose of travel at least one month prior to each trip.</w:t>
      </w:r>
      <w:r w:rsidR="00DE673E">
        <w:t xml:space="preserve">  This comment is addressed.</w:t>
      </w:r>
    </w:p>
    <w:p w:rsidR="00256AE6" w:rsidP="00256AE6" w:rsidRDefault="00256AE6" w14:paraId="254C5130" w14:textId="77777777">
      <w:pPr>
        <w:pStyle w:val="ListParagraph"/>
        <w:spacing w:after="0"/>
        <w:ind w:left="1080"/>
      </w:pPr>
    </w:p>
    <w:p w:rsidRPr="00BD5DBE" w:rsidR="00BD5DBE" w:rsidP="00360C57" w:rsidRDefault="00AA2A24" w14:paraId="553A9B45" w14:textId="4BBD0927">
      <w:pPr>
        <w:pStyle w:val="ListParagraph"/>
        <w:numPr>
          <w:ilvl w:val="0"/>
          <w:numId w:val="8"/>
        </w:numPr>
        <w:rPr>
          <w:i/>
          <w:color w:val="000000" w:themeColor="text1"/>
          <w:sz w:val="28"/>
          <w:szCs w:val="28"/>
        </w:rPr>
      </w:pPr>
      <w:r w:rsidRPr="007F6199">
        <w:rPr>
          <w:i/>
          <w:color w:val="000000" w:themeColor="text1"/>
          <w:sz w:val="28"/>
          <w:szCs w:val="28"/>
        </w:rPr>
        <w:t>Are payments or gifts given to the respondents?</w:t>
      </w:r>
    </w:p>
    <w:p w:rsidR="00360C57" w:rsidP="00BD5DBE" w:rsidRDefault="002226B3" w14:paraId="5EE58AB3" w14:textId="4DC9E3F2">
      <w:pPr>
        <w:pStyle w:val="ListParagraph"/>
        <w:ind w:left="360"/>
        <w:rPr>
          <w:i/>
          <w:color w:val="000000" w:themeColor="text1"/>
          <w:sz w:val="28"/>
          <w:szCs w:val="28"/>
        </w:rPr>
      </w:pPr>
      <w:r w:rsidRPr="002226B3">
        <w:t>No payment or gift is provided to respondents.</w:t>
      </w:r>
      <w:r w:rsidRPr="00360C57" w:rsidR="001551C6">
        <w:rPr>
          <w:i/>
          <w:color w:val="000000" w:themeColor="text1"/>
          <w:sz w:val="28"/>
          <w:szCs w:val="28"/>
        </w:rPr>
        <w:t xml:space="preserve"> </w:t>
      </w:r>
    </w:p>
    <w:p w:rsidR="00360C57" w:rsidP="00360C57" w:rsidRDefault="00360C57" w14:paraId="2706CFB1" w14:textId="77777777">
      <w:pPr>
        <w:pStyle w:val="ListParagraph"/>
      </w:pPr>
    </w:p>
    <w:p w:rsidRPr="00BD5DBE" w:rsidR="00BD5DBE" w:rsidP="00FB54B0" w:rsidRDefault="00AA2A24" w14:paraId="3B92D1E6" w14:textId="3EE8EBBD">
      <w:pPr>
        <w:pStyle w:val="ListParagraph"/>
        <w:numPr>
          <w:ilvl w:val="0"/>
          <w:numId w:val="8"/>
        </w:numPr>
        <w:rPr>
          <w:i/>
          <w:color w:val="000000" w:themeColor="text1"/>
          <w:sz w:val="28"/>
          <w:szCs w:val="28"/>
        </w:rPr>
      </w:pPr>
      <w:r w:rsidRPr="007F6199">
        <w:rPr>
          <w:i/>
          <w:color w:val="000000" w:themeColor="text1"/>
          <w:sz w:val="28"/>
          <w:szCs w:val="28"/>
        </w:rPr>
        <w:t>Describe assurances of privacy/confidentiality</w:t>
      </w:r>
    </w:p>
    <w:p w:rsidRPr="00360C57" w:rsidR="00360C57" w:rsidP="00BD5DBE" w:rsidRDefault="002226B3" w14:paraId="4B5A8AE6" w14:textId="44639689">
      <w:pPr>
        <w:pStyle w:val="ListParagraph"/>
        <w:ind w:left="360"/>
        <w:rPr>
          <w:i/>
          <w:color w:val="000000" w:themeColor="text1"/>
          <w:sz w:val="28"/>
          <w:szCs w:val="28"/>
        </w:rPr>
      </w:pPr>
      <w:r>
        <w:t xml:space="preserve">The Department’s web page soliciting this information </w:t>
      </w:r>
      <w:r w:rsidRPr="001B0946">
        <w:t>includes a Privacy Act Statement explaining the routine uses of the information collected under the Act.  There are no promises of confidentiality to the respondents</w:t>
      </w:r>
      <w:r w:rsidRPr="00360C57">
        <w:rPr>
          <w:szCs w:val="24"/>
        </w:rPr>
        <w:t xml:space="preserve">. More information on the Routine Uses for the system can be found in System of Records Notices State-05, Overseas Citizen Services Records </w:t>
      </w:r>
      <w:r w:rsidRPr="00FB54B0" w:rsidR="00FB54B0">
        <w:rPr>
          <w:szCs w:val="24"/>
        </w:rPr>
        <w:t>and Other Overseas Records</w:t>
      </w:r>
      <w:r w:rsidR="00FB54B0">
        <w:rPr>
          <w:szCs w:val="24"/>
        </w:rPr>
        <w:t xml:space="preserve"> </w:t>
      </w:r>
      <w:r w:rsidRPr="00360C57">
        <w:rPr>
          <w:szCs w:val="24"/>
        </w:rPr>
        <w:t xml:space="preserve">and State-26, Passport Records. </w:t>
      </w:r>
    </w:p>
    <w:p w:rsidR="00360C57" w:rsidP="00360C57" w:rsidRDefault="00360C57" w14:paraId="6B8F6BF9" w14:textId="77777777">
      <w:pPr>
        <w:pStyle w:val="ListParagraph"/>
      </w:pPr>
    </w:p>
    <w:p w:rsidRPr="00BD5DBE" w:rsidR="00BD5DBE" w:rsidP="00360C57" w:rsidRDefault="00AA2A24" w14:paraId="184A985F" w14:textId="43A44E9D">
      <w:pPr>
        <w:pStyle w:val="ListParagraph"/>
        <w:numPr>
          <w:ilvl w:val="0"/>
          <w:numId w:val="8"/>
        </w:numPr>
        <w:rPr>
          <w:i/>
          <w:color w:val="000000" w:themeColor="text1"/>
          <w:sz w:val="28"/>
          <w:szCs w:val="28"/>
        </w:rPr>
      </w:pPr>
      <w:r w:rsidRPr="007F6199">
        <w:rPr>
          <w:i/>
          <w:color w:val="000000" w:themeColor="text1"/>
          <w:sz w:val="28"/>
          <w:szCs w:val="28"/>
        </w:rPr>
        <w:t>Are any questions of a sensitive nature asked?</w:t>
      </w:r>
    </w:p>
    <w:p w:rsidR="00360C57" w:rsidP="00BD5DBE" w:rsidRDefault="002226B3" w14:paraId="782E282A" w14:textId="0A8B2D04">
      <w:pPr>
        <w:pStyle w:val="ListParagraph"/>
        <w:ind w:left="360"/>
        <w:rPr>
          <w:i/>
          <w:color w:val="000000" w:themeColor="text1"/>
          <w:sz w:val="28"/>
          <w:szCs w:val="28"/>
        </w:rPr>
      </w:pPr>
      <w:r w:rsidRPr="002226B3">
        <w:t xml:space="preserve">Applicants are asked to specify the category into which they feel their trip is in the national interest under 22 C.F.R. § 51.64.  In response, some applicants may claim to have compelling humanitarian reasons that would justify issuance of a special validation permitting them to use their U.S. passports to travel to a restricted country or area.  In order to support such a claim, the applicant may be required to disclose the medical condition of themselves or a family member, or provide other sensitive information to justify why they qualify for a validation.  </w:t>
      </w:r>
      <w:r w:rsidRPr="00360C57" w:rsidR="001551C6">
        <w:rPr>
          <w:i/>
          <w:color w:val="000000" w:themeColor="text1"/>
          <w:sz w:val="28"/>
          <w:szCs w:val="28"/>
        </w:rPr>
        <w:t xml:space="preserve"> </w:t>
      </w:r>
    </w:p>
    <w:p w:rsidR="00360C57" w:rsidP="00360C57" w:rsidRDefault="00360C57" w14:paraId="1DC7C514" w14:textId="77777777">
      <w:pPr>
        <w:pStyle w:val="ListParagraph"/>
      </w:pPr>
    </w:p>
    <w:p w:rsidRPr="00BD5DBE" w:rsidR="00BD5DBE" w:rsidP="00360C57" w:rsidRDefault="00AA2A24" w14:paraId="7FBAAC87" w14:textId="18F860F6">
      <w:pPr>
        <w:pStyle w:val="ListParagraph"/>
        <w:numPr>
          <w:ilvl w:val="0"/>
          <w:numId w:val="8"/>
        </w:numPr>
        <w:rPr>
          <w:i/>
          <w:color w:val="000000" w:themeColor="text1"/>
          <w:sz w:val="28"/>
          <w:szCs w:val="28"/>
        </w:rPr>
      </w:pPr>
      <w:r w:rsidRPr="007F6199">
        <w:rPr>
          <w:i/>
          <w:color w:val="000000" w:themeColor="text1"/>
          <w:sz w:val="28"/>
          <w:szCs w:val="28"/>
        </w:rPr>
        <w:t>Describe the hour time burden and the hour cost burden on the respondent needed to complete this collection</w:t>
      </w:r>
    </w:p>
    <w:p w:rsidRPr="00360C57" w:rsidR="006D009E" w:rsidP="00BD5DBE" w:rsidRDefault="006D009E" w14:paraId="13E04073" w14:textId="00C4248C">
      <w:pPr>
        <w:pStyle w:val="ListParagraph"/>
        <w:ind w:left="360"/>
        <w:rPr>
          <w:i/>
          <w:color w:val="000000" w:themeColor="text1"/>
          <w:sz w:val="28"/>
          <w:szCs w:val="28"/>
        </w:rPr>
      </w:pPr>
      <w:r>
        <w:t xml:space="preserve">The Passport Services Directorate estimates that the average time required for this information collection to determine eligibility for a </w:t>
      </w:r>
      <w:r w:rsidR="000B1194">
        <w:t xml:space="preserve">single-entry </w:t>
      </w:r>
      <w:r>
        <w:t>special validation is 45 minutes per response</w:t>
      </w:r>
      <w:r w:rsidR="000B1194">
        <w:t>, and for a multi-entry special validation the estimate time is 90 minutes</w:t>
      </w:r>
      <w:r>
        <w:t xml:space="preserve">.  </w:t>
      </w:r>
      <w:r w:rsidR="000B1194">
        <w:t>The</w:t>
      </w:r>
      <w:r>
        <w:t xml:space="preserve"> estimated total annual burden for the collection is</w:t>
      </w:r>
      <w:r w:rsidR="004C0F74">
        <w:t xml:space="preserve"> 150 hours per year</w:t>
      </w:r>
      <w:r>
        <w:t>:</w:t>
      </w:r>
    </w:p>
    <w:p w:rsidR="00082CC0" w:rsidP="00082CC0" w:rsidRDefault="00B810E1" w14:paraId="7209A413" w14:textId="77777777">
      <w:pPr>
        <w:spacing w:after="0"/>
        <w:ind w:left="630" w:firstLine="90"/>
      </w:pPr>
      <w:r>
        <w:t xml:space="preserve">100 </w:t>
      </w:r>
      <w:r w:rsidR="006D009E">
        <w:t xml:space="preserve">(estimated number of </w:t>
      </w:r>
      <w:r>
        <w:t xml:space="preserve">single-entry </w:t>
      </w:r>
      <w:r w:rsidR="006D009E">
        <w:t xml:space="preserve">respondents) x 45 (minutes) / 60 = </w:t>
      </w:r>
      <w:r>
        <w:t xml:space="preserve">75 </w:t>
      </w:r>
      <w:r w:rsidR="006D009E">
        <w:t>hours per</w:t>
      </w:r>
    </w:p>
    <w:p w:rsidR="006D009E" w:rsidP="00082CC0" w:rsidRDefault="00082CC0" w14:paraId="1D152763" w14:textId="640D5E32">
      <w:pPr>
        <w:spacing w:after="0"/>
      </w:pPr>
      <w:r>
        <w:t xml:space="preserve">         </w:t>
      </w:r>
      <w:r w:rsidR="006D009E">
        <w:t xml:space="preserve"> </w:t>
      </w:r>
      <w:r>
        <w:t xml:space="preserve">  </w:t>
      </w:r>
      <w:r w:rsidR="006D009E">
        <w:t>year.</w:t>
      </w:r>
    </w:p>
    <w:p w:rsidR="00B810E1" w:rsidP="00082CC0" w:rsidRDefault="00B810E1" w14:paraId="4F94CFDD" w14:textId="77777777">
      <w:pPr>
        <w:spacing w:after="0"/>
        <w:ind w:left="630" w:firstLine="90"/>
      </w:pPr>
    </w:p>
    <w:p w:rsidR="00B810E1" w:rsidP="000B1194" w:rsidRDefault="00B810E1" w14:paraId="1AF73564" w14:textId="77777777">
      <w:pPr>
        <w:spacing w:after="0"/>
        <w:ind w:left="630" w:firstLine="90"/>
      </w:pPr>
      <w:r>
        <w:t xml:space="preserve">50 (estimated number of multi-entry respondents) x </w:t>
      </w:r>
      <w:r w:rsidR="004C0F74">
        <w:t>**</w:t>
      </w:r>
      <w:r>
        <w:t>90 (minutes) / 60 = 75 hours per</w:t>
      </w:r>
    </w:p>
    <w:p w:rsidR="004C0F74" w:rsidP="000B1194" w:rsidRDefault="00B810E1" w14:paraId="18C80A95" w14:textId="77777777">
      <w:pPr>
        <w:spacing w:after="0"/>
      </w:pPr>
      <w:r>
        <w:t xml:space="preserve"> </w:t>
      </w:r>
      <w:r>
        <w:tab/>
        <w:t xml:space="preserve">year. </w:t>
      </w:r>
    </w:p>
    <w:p w:rsidR="004C0071" w:rsidP="000B1194" w:rsidRDefault="00B810E1" w14:paraId="4D4AB405" w14:textId="77777777">
      <w:pPr>
        <w:spacing w:after="0"/>
        <w:ind w:firstLine="720"/>
      </w:pPr>
      <w:r>
        <w:t>(</w:t>
      </w:r>
      <w:r w:rsidR="004C0F74">
        <w:t>**</w:t>
      </w:r>
      <w:r>
        <w:t xml:space="preserve">90 minutes includes the 45 minutes for initial request </w:t>
      </w:r>
      <w:r w:rsidR="004C0F74">
        <w:t>and accounts for</w:t>
      </w:r>
      <w:r>
        <w:t xml:space="preserve"> </w:t>
      </w:r>
      <w:r w:rsidR="004C0F74">
        <w:t>respondent</w:t>
      </w:r>
    </w:p>
    <w:p w:rsidR="004C0071" w:rsidP="000B1194" w:rsidRDefault="00B810E1" w14:paraId="45E8FF01" w14:textId="77777777">
      <w:pPr>
        <w:spacing w:after="0"/>
        <w:ind w:firstLine="720"/>
      </w:pPr>
      <w:r>
        <w:t>provid</w:t>
      </w:r>
      <w:r w:rsidR="004C0F74">
        <w:t>ing</w:t>
      </w:r>
      <w:r>
        <w:t xml:space="preserve"> itineraries</w:t>
      </w:r>
      <w:r w:rsidR="004C0F74">
        <w:t xml:space="preserve"> for each trip at an average of 3 trips per year taking </w:t>
      </w:r>
      <w:r>
        <w:t>15 minutes</w:t>
      </w:r>
    </w:p>
    <w:p w:rsidR="00B810E1" w:rsidP="000B1194" w:rsidRDefault="004C0F74" w14:paraId="168BA561" w14:textId="77777777">
      <w:pPr>
        <w:spacing w:after="0"/>
        <w:ind w:firstLine="720"/>
      </w:pPr>
      <w:r>
        <w:t>(additional 45 minutes)</w:t>
      </w:r>
      <w:r w:rsidR="00C337FE">
        <w:t>)</w:t>
      </w:r>
      <w:r>
        <w:t>.</w:t>
      </w:r>
    </w:p>
    <w:p w:rsidR="00B810E1" w:rsidP="006D009E" w:rsidRDefault="00B810E1" w14:paraId="06542FD1" w14:textId="77777777">
      <w:pPr>
        <w:ind w:left="630" w:firstLine="90"/>
      </w:pPr>
    </w:p>
    <w:p w:rsidR="006D009E" w:rsidP="006D009E" w:rsidRDefault="006D009E" w14:paraId="66BB1387" w14:textId="77777777">
      <w:pPr>
        <w:ind w:left="720"/>
      </w:pPr>
      <w:r>
        <w:t>To estimate the cost to respondents based on the hourly wage and weighted wage multiplier, the Department of State calculated the following:</w:t>
      </w:r>
    </w:p>
    <w:p w:rsidR="006D009E" w:rsidP="006D009E" w:rsidRDefault="006D009E" w14:paraId="31E9217F" w14:textId="271AC5E9">
      <w:pPr>
        <w:ind w:left="720"/>
      </w:pPr>
      <w:r w:rsidRPr="00B77A45">
        <w:t>$</w:t>
      </w:r>
      <w:r w:rsidRPr="00B77A45" w:rsidR="0072735D">
        <w:t>25</w:t>
      </w:r>
      <w:r w:rsidR="0072735D">
        <w:t>.72</w:t>
      </w:r>
      <w:r>
        <w:t xml:space="preserve"> (mean hourly earnings based on estimated income per hour</w:t>
      </w:r>
      <w:r w:rsidR="00485F8E">
        <w:t xml:space="preserve"> for all occupations</w:t>
      </w:r>
      <w:r>
        <w:t xml:space="preserve"> from the Bureau of Labor Statistics)</w:t>
      </w:r>
      <w:r w:rsidR="00537A89">
        <w:rPr>
          <w:rStyle w:val="FootnoteReference"/>
        </w:rPr>
        <w:footnoteReference w:id="1"/>
      </w:r>
      <w:r>
        <w:t xml:space="preserve"> x </w:t>
      </w:r>
      <w:r w:rsidR="00AA2A24">
        <w:t>2</w:t>
      </w:r>
      <w:r>
        <w:t xml:space="preserve"> (weighted wage multiplier) = </w:t>
      </w:r>
      <w:r w:rsidRPr="004F3B97">
        <w:t>$</w:t>
      </w:r>
      <w:r w:rsidR="005515B7">
        <w:t>51.44</w:t>
      </w:r>
      <w:r w:rsidR="00644B2F">
        <w:t xml:space="preserve"> </w:t>
      </w:r>
      <w:r>
        <w:t>weighted wage</w:t>
      </w:r>
    </w:p>
    <w:p w:rsidR="006D009E" w:rsidP="006D009E" w:rsidRDefault="00644B2F" w14:paraId="57B6DDDA" w14:textId="4650AA70">
      <w:pPr>
        <w:ind w:left="630" w:firstLine="90"/>
      </w:pPr>
      <w:r>
        <w:t xml:space="preserve">150 </w:t>
      </w:r>
      <w:r w:rsidR="006D009E">
        <w:t>(annual hours) x $</w:t>
      </w:r>
      <w:r w:rsidR="005515B7">
        <w:t>51.44</w:t>
      </w:r>
      <w:r w:rsidR="006D009E">
        <w:t xml:space="preserve"> (weighted wage) = </w:t>
      </w:r>
      <w:r w:rsidRPr="004F3B97" w:rsidR="006D009E">
        <w:rPr>
          <w:b/>
        </w:rPr>
        <w:t>$</w:t>
      </w:r>
      <w:r w:rsidR="005515B7">
        <w:rPr>
          <w:b/>
        </w:rPr>
        <w:t>7716</w:t>
      </w:r>
      <w:r w:rsidR="007C6F73">
        <w:rPr>
          <w:b/>
        </w:rPr>
        <w:t>.00</w:t>
      </w:r>
      <w:r w:rsidR="00D83CB3">
        <w:t xml:space="preserve"> </w:t>
      </w:r>
      <w:r w:rsidR="006D009E">
        <w:t>(hour burden cost)</w:t>
      </w:r>
    </w:p>
    <w:p w:rsidR="006D009E" w:rsidP="00360C57" w:rsidRDefault="006D009E" w14:paraId="1D69D06F" w14:textId="77777777">
      <w:r>
        <w:t xml:space="preserve">The estimated number of minutes required per response is based on a sampling of the time required to search existing data sources, gather the necessary information, provide the information required, review the final collection, and submit the collection to the Passport Services Directorate for processing.  </w:t>
      </w:r>
    </w:p>
    <w:p w:rsidR="006D009E" w:rsidP="00360C57" w:rsidRDefault="006D009E" w14:paraId="7F6DFCCD" w14:textId="2F4A8257">
      <w:r>
        <w:rPr>
          <w:szCs w:val="24"/>
        </w:rPr>
        <w:t xml:space="preserve">If the request for a Special Validation Passport is approved, the Department will send a letter certifying the applicant’s eligibility for travel to the restricted country or area.  The applicant must then complete and submit </w:t>
      </w:r>
      <w:r w:rsidRPr="008F7521">
        <w:rPr>
          <w:szCs w:val="24"/>
        </w:rPr>
        <w:t xml:space="preserve">either a DS-11 or DS-82 passport application.  Based on current travel trends to the restricted country/area, </w:t>
      </w:r>
      <w:r>
        <w:rPr>
          <w:szCs w:val="24"/>
        </w:rPr>
        <w:t>t</w:t>
      </w:r>
      <w:r w:rsidRPr="008F7521">
        <w:rPr>
          <w:szCs w:val="24"/>
        </w:rPr>
        <w:t>he Department estimates that 90</w:t>
      </w:r>
      <w:r w:rsidR="00C072F3">
        <w:rPr>
          <w:szCs w:val="24"/>
        </w:rPr>
        <w:t xml:space="preserve"> percent</w:t>
      </w:r>
      <w:r w:rsidRPr="008F7521">
        <w:rPr>
          <w:szCs w:val="24"/>
        </w:rPr>
        <w:t xml:space="preserve"> of respondents will be </w:t>
      </w:r>
      <w:r>
        <w:rPr>
          <w:szCs w:val="24"/>
        </w:rPr>
        <w:t>able to use</w:t>
      </w:r>
      <w:r w:rsidRPr="008F7521">
        <w:rPr>
          <w:szCs w:val="24"/>
        </w:rPr>
        <w:t xml:space="preserve"> the DS-82.  The remaining 10</w:t>
      </w:r>
      <w:r w:rsidR="00C072F3">
        <w:rPr>
          <w:szCs w:val="24"/>
        </w:rPr>
        <w:t xml:space="preserve"> percent</w:t>
      </w:r>
      <w:r w:rsidRPr="008F7521">
        <w:rPr>
          <w:szCs w:val="24"/>
        </w:rPr>
        <w:t xml:space="preserve"> will likely either be first-time applicants or otherwise not meet the requirements for the DS-82 and will therefore need to apply using </w:t>
      </w:r>
      <w:r>
        <w:rPr>
          <w:szCs w:val="24"/>
        </w:rPr>
        <w:t>the</w:t>
      </w:r>
      <w:r w:rsidRPr="008F7521">
        <w:rPr>
          <w:szCs w:val="24"/>
        </w:rPr>
        <w:t xml:space="preserve"> DS-11</w:t>
      </w:r>
      <w:r>
        <w:rPr>
          <w:szCs w:val="24"/>
        </w:rPr>
        <w:t xml:space="preserve">.  </w:t>
      </w:r>
    </w:p>
    <w:p w:rsidR="006D009E" w:rsidP="00360C57" w:rsidRDefault="006D009E" w14:paraId="39883371" w14:textId="77777777">
      <w:pPr>
        <w:tabs>
          <w:tab w:val="left" w:pos="360"/>
        </w:tabs>
        <w:spacing w:after="0"/>
        <w:jc w:val="both"/>
        <w:rPr>
          <w:szCs w:val="24"/>
        </w:rPr>
      </w:pPr>
      <w:r>
        <w:rPr>
          <w:szCs w:val="24"/>
        </w:rPr>
        <w:tab/>
      </w:r>
    </w:p>
    <w:p w:rsidR="006D009E" w:rsidP="00360C57" w:rsidRDefault="006D009E" w14:paraId="392A5057" w14:textId="77777777">
      <w:pPr>
        <w:tabs>
          <w:tab w:val="left" w:pos="360"/>
        </w:tabs>
        <w:spacing w:after="0"/>
        <w:jc w:val="both"/>
        <w:rPr>
          <w:szCs w:val="24"/>
        </w:rPr>
      </w:pPr>
      <w:r>
        <w:rPr>
          <w:szCs w:val="24"/>
        </w:rPr>
        <w:t xml:space="preserve">Calculations for a </w:t>
      </w:r>
      <w:r w:rsidRPr="00927766">
        <w:rPr>
          <w:b/>
          <w:szCs w:val="24"/>
        </w:rPr>
        <w:t>DS-82 hour burden cost</w:t>
      </w:r>
      <w:r>
        <w:rPr>
          <w:szCs w:val="24"/>
        </w:rPr>
        <w:t xml:space="preserve"> are as follows: </w:t>
      </w:r>
    </w:p>
    <w:p w:rsidR="006D009E" w:rsidP="00360C57" w:rsidRDefault="006D009E" w14:paraId="2758EEBA" w14:textId="77777777">
      <w:pPr>
        <w:tabs>
          <w:tab w:val="left" w:pos="360"/>
        </w:tabs>
        <w:spacing w:after="0"/>
        <w:jc w:val="both"/>
        <w:rPr>
          <w:szCs w:val="24"/>
        </w:rPr>
      </w:pPr>
    </w:p>
    <w:p w:rsidR="006D009E" w:rsidP="008C305C" w:rsidRDefault="00485F8E" w14:paraId="19CB163C" w14:textId="77777777">
      <w:pPr>
        <w:tabs>
          <w:tab w:val="left" w:pos="360"/>
        </w:tabs>
        <w:spacing w:after="0"/>
        <w:ind w:left="360"/>
        <w:jc w:val="both"/>
        <w:rPr>
          <w:szCs w:val="24"/>
        </w:rPr>
      </w:pPr>
      <w:r>
        <w:rPr>
          <w:szCs w:val="24"/>
        </w:rPr>
        <w:t xml:space="preserve">135 </w:t>
      </w:r>
      <w:r w:rsidR="006D009E">
        <w:rPr>
          <w:szCs w:val="24"/>
        </w:rPr>
        <w:t xml:space="preserve">(number of respondents) x 40 (minutes)/60 hour = </w:t>
      </w:r>
      <w:r>
        <w:rPr>
          <w:szCs w:val="24"/>
        </w:rPr>
        <w:t xml:space="preserve">90 </w:t>
      </w:r>
      <w:r w:rsidR="006D009E">
        <w:rPr>
          <w:szCs w:val="24"/>
        </w:rPr>
        <w:t xml:space="preserve">hours per year.  </w:t>
      </w:r>
    </w:p>
    <w:p w:rsidR="006D009E" w:rsidP="008C305C" w:rsidRDefault="006D009E" w14:paraId="1F20CC46" w14:textId="77777777">
      <w:pPr>
        <w:tabs>
          <w:tab w:val="left" w:pos="360"/>
        </w:tabs>
        <w:spacing w:after="0"/>
        <w:ind w:left="540"/>
        <w:jc w:val="both"/>
        <w:rPr>
          <w:szCs w:val="24"/>
        </w:rPr>
      </w:pPr>
    </w:p>
    <w:p w:rsidR="006D009E" w:rsidP="008C305C" w:rsidRDefault="006D009E" w14:paraId="4849500D" w14:textId="77777777">
      <w:pPr>
        <w:spacing w:after="0"/>
        <w:ind w:left="360"/>
        <w:jc w:val="both"/>
        <w:rPr>
          <w:szCs w:val="24"/>
        </w:rPr>
      </w:pPr>
      <w:r>
        <w:rPr>
          <w:szCs w:val="24"/>
        </w:rPr>
        <w:t>To estimate the cost to respondents for this form based on the hourly wage and weighted wage multiplier, the Department calculated the following:</w:t>
      </w:r>
    </w:p>
    <w:p w:rsidR="006D009E" w:rsidP="008C305C" w:rsidRDefault="006D009E" w14:paraId="3F90EC86" w14:textId="77777777">
      <w:pPr>
        <w:spacing w:after="0"/>
        <w:ind w:left="540"/>
        <w:jc w:val="both"/>
        <w:rPr>
          <w:szCs w:val="24"/>
        </w:rPr>
      </w:pPr>
    </w:p>
    <w:p w:rsidR="006D009E" w:rsidP="008C305C" w:rsidRDefault="006D009E" w14:paraId="35CE9670" w14:textId="737048D4">
      <w:pPr>
        <w:spacing w:after="0"/>
        <w:ind w:left="360"/>
        <w:jc w:val="both"/>
        <w:rPr>
          <w:szCs w:val="24"/>
        </w:rPr>
      </w:pPr>
      <w:r w:rsidRPr="004F3B97">
        <w:rPr>
          <w:szCs w:val="24"/>
        </w:rPr>
        <w:t>$</w:t>
      </w:r>
      <w:r w:rsidRPr="004F3B97" w:rsidR="00485F8E">
        <w:rPr>
          <w:szCs w:val="24"/>
        </w:rPr>
        <w:t>25</w:t>
      </w:r>
      <w:r w:rsidR="00485F8E">
        <w:rPr>
          <w:szCs w:val="24"/>
        </w:rPr>
        <w:t>.72</w:t>
      </w:r>
      <w:r>
        <w:rPr>
          <w:szCs w:val="24"/>
        </w:rPr>
        <w:t xml:space="preserve"> (mean hourly earnings based on estimated income per hour from the Bureau of Labor Statistics)</w:t>
      </w:r>
      <w:r w:rsidR="007C6F73">
        <w:rPr>
          <w:rStyle w:val="FootnoteReference"/>
          <w:szCs w:val="24"/>
        </w:rPr>
        <w:footnoteReference w:id="2"/>
      </w:r>
      <w:r>
        <w:rPr>
          <w:szCs w:val="24"/>
        </w:rPr>
        <w:t xml:space="preserve"> x </w:t>
      </w:r>
      <w:r w:rsidR="005515B7">
        <w:rPr>
          <w:szCs w:val="24"/>
        </w:rPr>
        <w:t>2</w:t>
      </w:r>
      <w:r>
        <w:rPr>
          <w:szCs w:val="24"/>
        </w:rPr>
        <w:t xml:space="preserve"> (weighted wage multiplier) = </w:t>
      </w:r>
      <w:r w:rsidRPr="004F3B97">
        <w:rPr>
          <w:szCs w:val="24"/>
        </w:rPr>
        <w:t>$</w:t>
      </w:r>
      <w:r w:rsidR="005515B7">
        <w:rPr>
          <w:szCs w:val="24"/>
        </w:rPr>
        <w:t>51.44</w:t>
      </w:r>
      <w:r>
        <w:rPr>
          <w:szCs w:val="24"/>
        </w:rPr>
        <w:t xml:space="preserve"> (weighted wage)</w:t>
      </w:r>
    </w:p>
    <w:p w:rsidR="006D009E" w:rsidP="008C305C" w:rsidRDefault="006D009E" w14:paraId="516E24A6" w14:textId="77777777">
      <w:pPr>
        <w:spacing w:after="0"/>
        <w:ind w:left="540"/>
        <w:jc w:val="both"/>
        <w:rPr>
          <w:szCs w:val="24"/>
        </w:rPr>
      </w:pPr>
    </w:p>
    <w:p w:rsidR="006D009E" w:rsidP="00F12181" w:rsidRDefault="00485F8E" w14:paraId="0980C59B" w14:textId="3E4F9165">
      <w:pPr>
        <w:spacing w:after="0"/>
        <w:ind w:left="360"/>
        <w:jc w:val="both"/>
        <w:rPr>
          <w:szCs w:val="24"/>
        </w:rPr>
      </w:pPr>
      <w:r>
        <w:rPr>
          <w:szCs w:val="24"/>
        </w:rPr>
        <w:t xml:space="preserve">90 </w:t>
      </w:r>
      <w:r w:rsidR="006D009E">
        <w:rPr>
          <w:szCs w:val="24"/>
        </w:rPr>
        <w:t>(annual hours) x $</w:t>
      </w:r>
      <w:r w:rsidR="005515B7">
        <w:rPr>
          <w:szCs w:val="24"/>
        </w:rPr>
        <w:t>51.44</w:t>
      </w:r>
      <w:r w:rsidR="006D009E">
        <w:rPr>
          <w:szCs w:val="24"/>
        </w:rPr>
        <w:t xml:space="preserve"> (weighted wage) = </w:t>
      </w:r>
      <w:r w:rsidRPr="004F3B97" w:rsidR="006D009E">
        <w:rPr>
          <w:b/>
          <w:szCs w:val="24"/>
        </w:rPr>
        <w:t>$</w:t>
      </w:r>
      <w:r w:rsidR="005515B7">
        <w:rPr>
          <w:b/>
          <w:szCs w:val="24"/>
        </w:rPr>
        <w:t>4,629.60</w:t>
      </w:r>
      <w:r w:rsidR="008733E8">
        <w:rPr>
          <w:b/>
          <w:szCs w:val="24"/>
        </w:rPr>
        <w:t xml:space="preserve"> </w:t>
      </w:r>
      <w:r w:rsidR="006D009E">
        <w:rPr>
          <w:szCs w:val="24"/>
        </w:rPr>
        <w:t>(hour burden cost).</w:t>
      </w:r>
    </w:p>
    <w:p w:rsidRPr="00F12181" w:rsidR="00F12181" w:rsidP="00F12181" w:rsidRDefault="00F12181" w14:paraId="2C2981DC" w14:textId="77777777">
      <w:pPr>
        <w:spacing w:after="0"/>
        <w:ind w:left="360"/>
        <w:jc w:val="both"/>
        <w:rPr>
          <w:szCs w:val="24"/>
        </w:rPr>
      </w:pPr>
    </w:p>
    <w:p w:rsidR="006D009E" w:rsidP="00360C57" w:rsidRDefault="006D009E" w14:paraId="4F679163" w14:textId="77777777">
      <w:pPr>
        <w:tabs>
          <w:tab w:val="left" w:pos="360"/>
        </w:tabs>
        <w:spacing w:after="0"/>
        <w:jc w:val="both"/>
        <w:rPr>
          <w:szCs w:val="24"/>
        </w:rPr>
      </w:pPr>
      <w:r>
        <w:rPr>
          <w:szCs w:val="24"/>
        </w:rPr>
        <w:t xml:space="preserve">Calculations for a </w:t>
      </w:r>
      <w:r w:rsidRPr="00235A5F">
        <w:rPr>
          <w:b/>
          <w:szCs w:val="24"/>
        </w:rPr>
        <w:t>DS-</w:t>
      </w:r>
      <w:r>
        <w:rPr>
          <w:b/>
          <w:szCs w:val="24"/>
        </w:rPr>
        <w:t>11</w:t>
      </w:r>
      <w:r w:rsidRPr="00235A5F">
        <w:rPr>
          <w:b/>
          <w:szCs w:val="24"/>
        </w:rPr>
        <w:t xml:space="preserve"> hour burden cost</w:t>
      </w:r>
      <w:r>
        <w:rPr>
          <w:szCs w:val="24"/>
        </w:rPr>
        <w:t xml:space="preserve"> are as follows: </w:t>
      </w:r>
    </w:p>
    <w:p w:rsidR="006D009E" w:rsidP="00360C57" w:rsidRDefault="006D009E" w14:paraId="53417335" w14:textId="77777777">
      <w:pPr>
        <w:tabs>
          <w:tab w:val="left" w:pos="360"/>
        </w:tabs>
        <w:spacing w:after="0"/>
        <w:jc w:val="both"/>
        <w:rPr>
          <w:szCs w:val="24"/>
        </w:rPr>
      </w:pPr>
    </w:p>
    <w:p w:rsidR="006D009E" w:rsidP="008C305C" w:rsidRDefault="00485F8E" w14:paraId="10ED95D8" w14:textId="77777777">
      <w:pPr>
        <w:tabs>
          <w:tab w:val="left" w:pos="360"/>
        </w:tabs>
        <w:spacing w:after="0"/>
        <w:ind w:left="360"/>
        <w:jc w:val="both"/>
        <w:rPr>
          <w:szCs w:val="24"/>
        </w:rPr>
      </w:pPr>
      <w:r>
        <w:rPr>
          <w:szCs w:val="24"/>
        </w:rPr>
        <w:t xml:space="preserve">15 </w:t>
      </w:r>
      <w:r w:rsidR="006D009E">
        <w:rPr>
          <w:szCs w:val="24"/>
        </w:rPr>
        <w:t xml:space="preserve">(number of respondents) x 85 (minutes)/60 hour = </w:t>
      </w:r>
      <w:r>
        <w:rPr>
          <w:szCs w:val="24"/>
        </w:rPr>
        <w:t xml:space="preserve">21 </w:t>
      </w:r>
      <w:r w:rsidR="006D009E">
        <w:rPr>
          <w:szCs w:val="24"/>
        </w:rPr>
        <w:t xml:space="preserve">hours per year.  </w:t>
      </w:r>
    </w:p>
    <w:p w:rsidR="006D009E" w:rsidP="008C305C" w:rsidRDefault="006D009E" w14:paraId="059A2DEE" w14:textId="77777777">
      <w:pPr>
        <w:tabs>
          <w:tab w:val="left" w:pos="360"/>
        </w:tabs>
        <w:spacing w:after="0"/>
        <w:ind w:left="540"/>
        <w:jc w:val="both"/>
        <w:rPr>
          <w:szCs w:val="24"/>
        </w:rPr>
      </w:pPr>
    </w:p>
    <w:p w:rsidR="006D009E" w:rsidP="008C305C" w:rsidRDefault="006D009E" w14:paraId="06E0A841" w14:textId="77777777">
      <w:pPr>
        <w:spacing w:after="0"/>
        <w:ind w:left="360"/>
        <w:jc w:val="both"/>
        <w:rPr>
          <w:szCs w:val="24"/>
        </w:rPr>
      </w:pPr>
      <w:r>
        <w:rPr>
          <w:szCs w:val="24"/>
        </w:rPr>
        <w:t>To estimate the cost to respondents for this form based on the hourly wage and weighted wage multiplier, the Department calculated the following:</w:t>
      </w:r>
    </w:p>
    <w:p w:rsidR="006D009E" w:rsidP="008C305C" w:rsidRDefault="006D009E" w14:paraId="73A38034" w14:textId="77777777">
      <w:pPr>
        <w:spacing w:after="0"/>
        <w:ind w:left="540"/>
        <w:jc w:val="both"/>
        <w:rPr>
          <w:szCs w:val="24"/>
        </w:rPr>
      </w:pPr>
    </w:p>
    <w:p w:rsidR="006D009E" w:rsidP="008C305C" w:rsidRDefault="006D009E" w14:paraId="627A4CBD" w14:textId="0BE7F4DF">
      <w:pPr>
        <w:spacing w:after="0"/>
        <w:ind w:left="360"/>
        <w:jc w:val="both"/>
        <w:rPr>
          <w:szCs w:val="24"/>
        </w:rPr>
      </w:pPr>
      <w:r w:rsidRPr="004F3B97">
        <w:rPr>
          <w:szCs w:val="24"/>
        </w:rPr>
        <w:t>$</w:t>
      </w:r>
      <w:r w:rsidRPr="004F3B97" w:rsidR="00A722DC">
        <w:rPr>
          <w:szCs w:val="24"/>
        </w:rPr>
        <w:t>25</w:t>
      </w:r>
      <w:r w:rsidR="00A722DC">
        <w:rPr>
          <w:szCs w:val="24"/>
        </w:rPr>
        <w:t>.72</w:t>
      </w:r>
      <w:r>
        <w:rPr>
          <w:szCs w:val="24"/>
        </w:rPr>
        <w:t xml:space="preserve"> (mean hourly earnings based on estimated income per hour from the Bureau of Labor Statistics)</w:t>
      </w:r>
      <w:r w:rsidR="007C6F73">
        <w:rPr>
          <w:rStyle w:val="FootnoteReference"/>
          <w:szCs w:val="24"/>
        </w:rPr>
        <w:footnoteReference w:id="3"/>
      </w:r>
      <w:r>
        <w:rPr>
          <w:szCs w:val="24"/>
        </w:rPr>
        <w:t xml:space="preserve"> x </w:t>
      </w:r>
      <w:r w:rsidR="00AA2A24">
        <w:rPr>
          <w:szCs w:val="24"/>
        </w:rPr>
        <w:t>2</w:t>
      </w:r>
      <w:r>
        <w:rPr>
          <w:szCs w:val="24"/>
        </w:rPr>
        <w:t xml:space="preserve"> (weighted wage multiplier) </w:t>
      </w:r>
      <w:r w:rsidRPr="004F3B97">
        <w:rPr>
          <w:szCs w:val="24"/>
        </w:rPr>
        <w:t>= $</w:t>
      </w:r>
      <w:r w:rsidR="00AA2A24">
        <w:rPr>
          <w:szCs w:val="24"/>
        </w:rPr>
        <w:t>51.44</w:t>
      </w:r>
      <w:r>
        <w:rPr>
          <w:szCs w:val="24"/>
        </w:rPr>
        <w:t xml:space="preserve"> (weighted wage)</w:t>
      </w:r>
    </w:p>
    <w:p w:rsidR="006D009E" w:rsidP="008C305C" w:rsidRDefault="006D009E" w14:paraId="08DEE6A0" w14:textId="77777777">
      <w:pPr>
        <w:tabs>
          <w:tab w:val="left" w:pos="360"/>
        </w:tabs>
        <w:spacing w:after="0"/>
        <w:ind w:left="360"/>
        <w:jc w:val="both"/>
        <w:rPr>
          <w:szCs w:val="24"/>
        </w:rPr>
      </w:pPr>
    </w:p>
    <w:p w:rsidR="00F12181" w:rsidP="00F12181" w:rsidRDefault="00A722DC" w14:paraId="6A42342E" w14:textId="75FED971">
      <w:pPr>
        <w:ind w:left="360"/>
        <w:rPr>
          <w:szCs w:val="24"/>
        </w:rPr>
      </w:pPr>
      <w:r>
        <w:rPr>
          <w:szCs w:val="24"/>
        </w:rPr>
        <w:t xml:space="preserve">21 </w:t>
      </w:r>
      <w:r w:rsidR="006D009E">
        <w:rPr>
          <w:szCs w:val="24"/>
        </w:rPr>
        <w:t>(annual hours) x $</w:t>
      </w:r>
      <w:r w:rsidR="00AA2A24">
        <w:rPr>
          <w:szCs w:val="24"/>
        </w:rPr>
        <w:t>51.44</w:t>
      </w:r>
      <w:r w:rsidR="006D009E">
        <w:rPr>
          <w:szCs w:val="24"/>
        </w:rPr>
        <w:t xml:space="preserve"> (weighted wage) = </w:t>
      </w:r>
      <w:r w:rsidRPr="004F3B97" w:rsidR="006D009E">
        <w:rPr>
          <w:b/>
          <w:szCs w:val="24"/>
        </w:rPr>
        <w:t>$</w:t>
      </w:r>
      <w:r w:rsidR="00AA2A24">
        <w:rPr>
          <w:b/>
          <w:szCs w:val="24"/>
        </w:rPr>
        <w:t>1,080</w:t>
      </w:r>
      <w:r w:rsidR="007C6F73">
        <w:rPr>
          <w:b/>
          <w:szCs w:val="24"/>
        </w:rPr>
        <w:t>.24</w:t>
      </w:r>
      <w:r w:rsidR="006D009E">
        <w:rPr>
          <w:b/>
          <w:szCs w:val="24"/>
        </w:rPr>
        <w:t xml:space="preserve"> </w:t>
      </w:r>
      <w:r w:rsidR="006D009E">
        <w:rPr>
          <w:szCs w:val="24"/>
        </w:rPr>
        <w:t>(hour burden cost).</w:t>
      </w:r>
    </w:p>
    <w:p w:rsidRPr="00F12181" w:rsidR="006D009E" w:rsidP="00F12181" w:rsidRDefault="006D009E" w14:paraId="08D8C16D" w14:textId="77777777">
      <w:pPr>
        <w:rPr>
          <w:szCs w:val="24"/>
        </w:rPr>
      </w:pPr>
      <w:r>
        <w:t xml:space="preserve">Therefore the </w:t>
      </w:r>
      <w:r>
        <w:rPr>
          <w:b/>
        </w:rPr>
        <w:t>total hour burden</w:t>
      </w:r>
      <w:r w:rsidR="007B0B44">
        <w:rPr>
          <w:b/>
        </w:rPr>
        <w:t xml:space="preserve"> cost</w:t>
      </w:r>
      <w:r>
        <w:t xml:space="preserve"> would be as follows:</w:t>
      </w:r>
    </w:p>
    <w:p w:rsidR="006D009E" w:rsidP="008C305C" w:rsidRDefault="006D009E" w14:paraId="7E81179C" w14:textId="763B58A6">
      <w:pPr>
        <w:ind w:left="360"/>
        <w:rPr>
          <w:szCs w:val="24"/>
        </w:rPr>
      </w:pPr>
      <w:r>
        <w:rPr>
          <w:szCs w:val="24"/>
        </w:rPr>
        <w:t>$</w:t>
      </w:r>
      <w:r w:rsidR="005515B7">
        <w:rPr>
          <w:szCs w:val="24"/>
        </w:rPr>
        <w:t>7,716</w:t>
      </w:r>
      <w:r w:rsidR="008733E8">
        <w:rPr>
          <w:szCs w:val="24"/>
        </w:rPr>
        <w:t xml:space="preserve"> </w:t>
      </w:r>
      <w:r>
        <w:rPr>
          <w:szCs w:val="24"/>
        </w:rPr>
        <w:t>(Re</w:t>
      </w:r>
      <w:r w:rsidR="008C305C">
        <w:rPr>
          <w:szCs w:val="24"/>
        </w:rPr>
        <w:t>quest hour burden cost) + $</w:t>
      </w:r>
      <w:r w:rsidR="005515B7">
        <w:rPr>
          <w:szCs w:val="24"/>
        </w:rPr>
        <w:t>4,629.60</w:t>
      </w:r>
      <w:r w:rsidR="008733E8">
        <w:rPr>
          <w:szCs w:val="24"/>
        </w:rPr>
        <w:t xml:space="preserve"> </w:t>
      </w:r>
      <w:r>
        <w:rPr>
          <w:szCs w:val="24"/>
        </w:rPr>
        <w:t xml:space="preserve">(DS-82 hour burden cost) + </w:t>
      </w:r>
      <w:r w:rsidR="00A722DC">
        <w:rPr>
          <w:szCs w:val="24"/>
        </w:rPr>
        <w:t>$</w:t>
      </w:r>
      <w:r w:rsidR="005515B7">
        <w:rPr>
          <w:szCs w:val="24"/>
        </w:rPr>
        <w:t>1,080</w:t>
      </w:r>
      <w:r w:rsidR="007C6F73">
        <w:rPr>
          <w:szCs w:val="24"/>
        </w:rPr>
        <w:t>.24</w:t>
      </w:r>
      <w:r>
        <w:rPr>
          <w:szCs w:val="24"/>
        </w:rPr>
        <w:t xml:space="preserve"> (DS-11 hour burden cost) = </w:t>
      </w:r>
      <w:r w:rsidRPr="004F3B97">
        <w:rPr>
          <w:szCs w:val="24"/>
        </w:rPr>
        <w:t>$</w:t>
      </w:r>
      <w:r w:rsidR="005515B7">
        <w:rPr>
          <w:szCs w:val="24"/>
        </w:rPr>
        <w:t>13,425.</w:t>
      </w:r>
      <w:r w:rsidR="007C6F73">
        <w:rPr>
          <w:szCs w:val="24"/>
        </w:rPr>
        <w:t>84</w:t>
      </w:r>
      <w:r w:rsidR="008733E8">
        <w:rPr>
          <w:b/>
          <w:szCs w:val="24"/>
        </w:rPr>
        <w:t xml:space="preserve"> </w:t>
      </w:r>
      <w:r>
        <w:rPr>
          <w:szCs w:val="24"/>
        </w:rPr>
        <w:t>(total hour burden cost)</w:t>
      </w:r>
    </w:p>
    <w:p w:rsidR="00F12181" w:rsidP="008C305C" w:rsidRDefault="00F12181" w14:paraId="3973B189" w14:textId="77777777">
      <w:pPr>
        <w:ind w:left="360"/>
      </w:pPr>
    </w:p>
    <w:p w:rsidR="00BD5DBE" w:rsidP="008C305C" w:rsidRDefault="00AA2A24" w14:paraId="53104DD4" w14:textId="1AB3E43B">
      <w:pPr>
        <w:pStyle w:val="ListParagraph"/>
        <w:numPr>
          <w:ilvl w:val="0"/>
          <w:numId w:val="8"/>
        </w:numPr>
      </w:pPr>
      <w:r>
        <w:rPr>
          <w:i/>
          <w:color w:val="000000" w:themeColor="text1"/>
          <w:sz w:val="28"/>
          <w:szCs w:val="28"/>
        </w:rPr>
        <w:t>Describe the monetary burden to</w:t>
      </w:r>
      <w:r w:rsidRPr="007F6199">
        <w:rPr>
          <w:i/>
          <w:color w:val="000000" w:themeColor="text1"/>
          <w:sz w:val="28"/>
          <w:szCs w:val="28"/>
        </w:rPr>
        <w:t xml:space="preserve"> respondent</w:t>
      </w:r>
      <w:r>
        <w:rPr>
          <w:i/>
          <w:color w:val="000000" w:themeColor="text1"/>
          <w:sz w:val="28"/>
          <w:szCs w:val="28"/>
        </w:rPr>
        <w:t>s (out of pocket costs)</w:t>
      </w:r>
      <w:r w:rsidRPr="007F6199">
        <w:rPr>
          <w:i/>
          <w:color w:val="000000" w:themeColor="text1"/>
          <w:sz w:val="28"/>
          <w:szCs w:val="28"/>
        </w:rPr>
        <w:t xml:space="preserve"> needed to complete this collection</w:t>
      </w:r>
      <w:r>
        <w:rPr>
          <w:i/>
          <w:color w:val="000000" w:themeColor="text1"/>
          <w:sz w:val="28"/>
          <w:szCs w:val="28"/>
        </w:rPr>
        <w:t>.</w:t>
      </w:r>
    </w:p>
    <w:p w:rsidR="006D009E" w:rsidP="00BD5DBE" w:rsidRDefault="006D009E" w14:paraId="266EA3F8" w14:textId="3779B48D">
      <w:pPr>
        <w:pStyle w:val="ListParagraph"/>
        <w:ind w:left="360"/>
      </w:pPr>
      <w:r>
        <w:t>To properly request a validation, the applicant must submit proof of identity through a photocopy of the front and back of a valid government identification document c</w:t>
      </w:r>
      <w:r w:rsidR="008C305C">
        <w:t xml:space="preserve">ontaining his or her photograph, </w:t>
      </w:r>
      <w:r>
        <w:t>date of birth</w:t>
      </w:r>
      <w:r w:rsidR="008C305C">
        <w:t>, and signature</w:t>
      </w:r>
      <w:r>
        <w:t xml:space="preserve">. </w:t>
      </w:r>
    </w:p>
    <w:p w:rsidR="006D009E" w:rsidP="008C305C" w:rsidRDefault="006D009E" w14:paraId="7D953AB4" w14:textId="77777777">
      <w:pPr>
        <w:ind w:firstLine="360"/>
      </w:pPr>
      <w:r>
        <w:t xml:space="preserve">The request may be submitted via e-mail.  Therefore, there are no postage fees. </w:t>
      </w:r>
    </w:p>
    <w:p w:rsidR="00F12181" w:rsidP="00F12181" w:rsidRDefault="006D009E" w14:paraId="60FA14E2" w14:textId="77777777">
      <w:pPr>
        <w:ind w:firstLine="360"/>
      </w:pPr>
      <w:r>
        <w:t xml:space="preserve">The total annual cost burden for approximately </w:t>
      </w:r>
      <w:r w:rsidR="00A722DC">
        <w:t xml:space="preserve">150 </w:t>
      </w:r>
      <w:r>
        <w:t xml:space="preserve">applicants is $ </w:t>
      </w:r>
      <w:r w:rsidR="00215738">
        <w:t>42.00</w:t>
      </w:r>
      <w:r>
        <w:t>:</w:t>
      </w:r>
    </w:p>
    <w:tbl>
      <w:tblPr>
        <w:tblStyle w:val="TableGrid"/>
        <w:tblW w:w="8730" w:type="dxa"/>
        <w:tblInd w:w="320" w:type="dxa"/>
        <w:tblLayout w:type="fixed"/>
        <w:tblLook w:val="04A0" w:firstRow="1" w:lastRow="0" w:firstColumn="1" w:lastColumn="0" w:noHBand="0" w:noVBand="1"/>
      </w:tblPr>
      <w:tblGrid>
        <w:gridCol w:w="5310"/>
        <w:gridCol w:w="450"/>
        <w:gridCol w:w="900"/>
        <w:gridCol w:w="360"/>
        <w:gridCol w:w="1710"/>
      </w:tblGrid>
      <w:tr w:rsidRPr="00F84C95" w:rsidR="006D009E" w:rsidTr="008C305C" w14:paraId="7FF53A3A" w14:textId="77777777">
        <w:trPr>
          <w:trHeight w:val="305"/>
        </w:trPr>
        <w:tc>
          <w:tcPr>
            <w:tcW w:w="5310" w:type="dxa"/>
            <w:vAlign w:val="center"/>
          </w:tcPr>
          <w:p w:rsidR="006D009E" w:rsidP="009A7FCC" w:rsidRDefault="006D009E" w14:paraId="750007ED" w14:textId="77777777">
            <w:pPr>
              <w:pStyle w:val="BodyTextIndent"/>
              <w:tabs>
                <w:tab w:val="clear" w:pos="720"/>
              </w:tabs>
              <w:ind w:left="0"/>
              <w:jc w:val="left"/>
            </w:pPr>
            <w:r>
              <w:t xml:space="preserve">Proof of Identity - Black &amp; White Copy     </w:t>
            </w:r>
            <w:r w:rsidR="00A722DC">
              <w:t>150</w:t>
            </w:r>
          </w:p>
          <w:p w:rsidRPr="00F84C95" w:rsidR="006D009E" w:rsidP="00A722DC" w:rsidRDefault="006D009E" w14:paraId="1D3D0988" w14:textId="77777777">
            <w:pPr>
              <w:pStyle w:val="BodyTextIndent"/>
              <w:tabs>
                <w:tab w:val="clear" w:pos="720"/>
              </w:tabs>
              <w:ind w:left="0"/>
              <w:jc w:val="left"/>
            </w:pPr>
            <w:r>
              <w:t>(</w:t>
            </w:r>
            <w:r w:rsidRPr="00215738">
              <w:t>2 @ $0.</w:t>
            </w:r>
            <w:r w:rsidR="00A722DC">
              <w:t xml:space="preserve">14 </w:t>
            </w:r>
            <w:r>
              <w:t>each. The estimated cost of a black and white copy is based on a quote from FedEx Office.)</w:t>
            </w:r>
          </w:p>
        </w:tc>
        <w:tc>
          <w:tcPr>
            <w:tcW w:w="450" w:type="dxa"/>
            <w:vAlign w:val="center"/>
          </w:tcPr>
          <w:p w:rsidRPr="00F84C95" w:rsidR="006D009E" w:rsidP="009A7FCC" w:rsidRDefault="006D009E" w14:paraId="49A378C1" w14:textId="77777777">
            <w:pPr>
              <w:pStyle w:val="BodyTextIndent"/>
              <w:tabs>
                <w:tab w:val="clear" w:pos="720"/>
              </w:tabs>
              <w:ind w:left="0"/>
              <w:jc w:val="center"/>
            </w:pPr>
            <w:r>
              <w:t>x</w:t>
            </w:r>
          </w:p>
        </w:tc>
        <w:tc>
          <w:tcPr>
            <w:tcW w:w="900" w:type="dxa"/>
            <w:vAlign w:val="center"/>
          </w:tcPr>
          <w:p w:rsidRPr="00F84C95" w:rsidR="006D009E" w:rsidP="00215738" w:rsidRDefault="006D009E" w14:paraId="1F5C4F7E" w14:textId="77777777">
            <w:pPr>
              <w:pStyle w:val="BodyTextIndent"/>
              <w:tabs>
                <w:tab w:val="clear" w:pos="720"/>
              </w:tabs>
              <w:ind w:left="0"/>
              <w:jc w:val="center"/>
            </w:pPr>
            <w:r>
              <w:t>$ 0.</w:t>
            </w:r>
            <w:r w:rsidR="00215738">
              <w:t>28</w:t>
            </w:r>
          </w:p>
        </w:tc>
        <w:tc>
          <w:tcPr>
            <w:tcW w:w="360" w:type="dxa"/>
            <w:vAlign w:val="center"/>
          </w:tcPr>
          <w:p w:rsidRPr="00F84C95" w:rsidR="006D009E" w:rsidP="009A7FCC" w:rsidRDefault="006D009E" w14:paraId="33626446" w14:textId="77777777">
            <w:pPr>
              <w:pStyle w:val="BodyTextIndent"/>
              <w:tabs>
                <w:tab w:val="clear" w:pos="720"/>
              </w:tabs>
              <w:ind w:left="0"/>
              <w:jc w:val="center"/>
            </w:pPr>
            <w:r w:rsidRPr="00F84C95">
              <w:t>=</w:t>
            </w:r>
          </w:p>
        </w:tc>
        <w:tc>
          <w:tcPr>
            <w:tcW w:w="1710" w:type="dxa"/>
            <w:vAlign w:val="center"/>
          </w:tcPr>
          <w:p w:rsidRPr="00F84C95" w:rsidR="006D009E" w:rsidP="00A722DC" w:rsidRDefault="006D009E" w14:paraId="60ADA08D" w14:textId="77777777">
            <w:pPr>
              <w:pStyle w:val="BodyTextIndent"/>
              <w:tabs>
                <w:tab w:val="clear" w:pos="720"/>
              </w:tabs>
              <w:ind w:left="0"/>
              <w:jc w:val="center"/>
            </w:pPr>
            <w:r>
              <w:t xml:space="preserve">$ </w:t>
            </w:r>
            <w:r w:rsidR="00A722DC">
              <w:t>42.00</w:t>
            </w:r>
          </w:p>
        </w:tc>
      </w:tr>
      <w:tr w:rsidRPr="00CC61A0" w:rsidR="006D009E" w:rsidTr="008C305C" w14:paraId="209C55E5" w14:textId="77777777">
        <w:tc>
          <w:tcPr>
            <w:tcW w:w="5310" w:type="dxa"/>
            <w:vAlign w:val="center"/>
          </w:tcPr>
          <w:p w:rsidRPr="00CC61A0" w:rsidR="006D009E" w:rsidP="009A7FCC" w:rsidRDefault="006D009E" w14:paraId="7DC7D0AE" w14:textId="77777777">
            <w:pPr>
              <w:tabs>
                <w:tab w:val="left" w:pos="360"/>
              </w:tabs>
              <w:rPr>
                <w:b/>
              </w:rPr>
            </w:pPr>
            <w:r>
              <w:rPr>
                <w:b/>
              </w:rPr>
              <w:t>Estimated Annual Cost to Respondents</w:t>
            </w:r>
          </w:p>
        </w:tc>
        <w:tc>
          <w:tcPr>
            <w:tcW w:w="450" w:type="dxa"/>
            <w:vAlign w:val="center"/>
          </w:tcPr>
          <w:p w:rsidR="006D009E" w:rsidP="009A7FCC" w:rsidRDefault="006D009E" w14:paraId="759DAF19" w14:textId="77777777">
            <w:pPr>
              <w:tabs>
                <w:tab w:val="left" w:pos="360"/>
              </w:tabs>
              <w:jc w:val="center"/>
            </w:pPr>
          </w:p>
        </w:tc>
        <w:tc>
          <w:tcPr>
            <w:tcW w:w="900" w:type="dxa"/>
            <w:vAlign w:val="center"/>
          </w:tcPr>
          <w:p w:rsidR="006D009E" w:rsidP="009A7FCC" w:rsidRDefault="006D009E" w14:paraId="3D535715" w14:textId="77777777">
            <w:pPr>
              <w:tabs>
                <w:tab w:val="left" w:pos="360"/>
              </w:tabs>
              <w:jc w:val="center"/>
            </w:pPr>
          </w:p>
        </w:tc>
        <w:tc>
          <w:tcPr>
            <w:tcW w:w="360" w:type="dxa"/>
            <w:vAlign w:val="center"/>
          </w:tcPr>
          <w:p w:rsidR="006D009E" w:rsidP="009A7FCC" w:rsidRDefault="006D009E" w14:paraId="414083FD" w14:textId="77777777">
            <w:pPr>
              <w:tabs>
                <w:tab w:val="left" w:pos="360"/>
              </w:tabs>
              <w:jc w:val="center"/>
            </w:pPr>
          </w:p>
        </w:tc>
        <w:tc>
          <w:tcPr>
            <w:tcW w:w="1710" w:type="dxa"/>
            <w:vAlign w:val="center"/>
          </w:tcPr>
          <w:p w:rsidRPr="00CC61A0" w:rsidR="006D009E" w:rsidP="00A722DC" w:rsidRDefault="006D009E" w14:paraId="63146610" w14:textId="77777777">
            <w:pPr>
              <w:tabs>
                <w:tab w:val="left" w:pos="360"/>
              </w:tabs>
              <w:jc w:val="center"/>
              <w:rPr>
                <w:b/>
              </w:rPr>
            </w:pPr>
            <w:r w:rsidRPr="00CC61A0">
              <w:rPr>
                <w:b/>
              </w:rPr>
              <w:t>$</w:t>
            </w:r>
            <w:r>
              <w:rPr>
                <w:b/>
              </w:rPr>
              <w:t xml:space="preserve"> </w:t>
            </w:r>
            <w:r w:rsidR="00A722DC">
              <w:rPr>
                <w:b/>
              </w:rPr>
              <w:t>42.00</w:t>
            </w:r>
          </w:p>
        </w:tc>
      </w:tr>
    </w:tbl>
    <w:p w:rsidR="006D009E" w:rsidP="008C305C" w:rsidRDefault="006D009E" w14:paraId="2898031E" w14:textId="77777777">
      <w:pPr>
        <w:spacing w:after="0"/>
        <w:ind w:left="2160"/>
        <w:jc w:val="both"/>
        <w:rPr>
          <w:szCs w:val="24"/>
        </w:rPr>
      </w:pPr>
    </w:p>
    <w:p w:rsidRPr="008C305C" w:rsidR="006D009E" w:rsidP="008C305C" w:rsidRDefault="006D009E" w14:paraId="6ABC4FF7" w14:textId="6AB1C71B">
      <w:pPr>
        <w:pStyle w:val="ListParagraph"/>
        <w:spacing w:after="0"/>
        <w:ind w:left="360"/>
        <w:rPr>
          <w:szCs w:val="24"/>
        </w:rPr>
      </w:pPr>
      <w:r w:rsidRPr="008C305C">
        <w:rPr>
          <w:szCs w:val="24"/>
        </w:rPr>
        <w:t>If approved, the Department will send a letter certifying the respondent’s eligibility for travel to the restricted country or area.  The respondent must then complete and submit either a DS-11 or DS-82 passport application.  Based on current travel trends to the restricted country or area, The Department estimates that 90</w:t>
      </w:r>
      <w:r w:rsidR="00C072F3">
        <w:rPr>
          <w:szCs w:val="24"/>
        </w:rPr>
        <w:t xml:space="preserve"> percent</w:t>
      </w:r>
      <w:r w:rsidRPr="008C305C">
        <w:rPr>
          <w:szCs w:val="24"/>
        </w:rPr>
        <w:t xml:space="preserve"> of respondents will be eligible for the DS-82.  The remaining 10</w:t>
      </w:r>
      <w:r w:rsidR="00C072F3">
        <w:rPr>
          <w:szCs w:val="24"/>
        </w:rPr>
        <w:t xml:space="preserve"> percent</w:t>
      </w:r>
      <w:r w:rsidRPr="008C305C">
        <w:rPr>
          <w:szCs w:val="24"/>
        </w:rPr>
        <w:t xml:space="preserve"> will likely either be first-time applicants or otherwise not meet the requirements for the DS-82 and will therefore need to apply using a DS-11. </w:t>
      </w:r>
    </w:p>
    <w:p w:rsidR="006D009E" w:rsidP="008C305C" w:rsidRDefault="006D009E" w14:paraId="5554AE2A" w14:textId="77777777">
      <w:pPr>
        <w:spacing w:after="0"/>
        <w:ind w:left="2160"/>
        <w:rPr>
          <w:szCs w:val="24"/>
        </w:rPr>
      </w:pPr>
    </w:p>
    <w:p w:rsidR="00AE5585" w:rsidP="008C305C" w:rsidRDefault="006D009E" w14:paraId="2CAA6FA1" w14:textId="77777777">
      <w:pPr>
        <w:pStyle w:val="ListParagraph"/>
        <w:spacing w:after="0"/>
        <w:ind w:left="360"/>
        <w:rPr>
          <w:szCs w:val="24"/>
        </w:rPr>
      </w:pPr>
      <w:r w:rsidRPr="008C305C">
        <w:rPr>
          <w:szCs w:val="24"/>
        </w:rPr>
        <w:t>When applying with a DS-82 passport application, the applicant must provide a photograph that meets criteria specified in the instruction pages</w:t>
      </w:r>
      <w:r w:rsidR="00AE5585">
        <w:rPr>
          <w:szCs w:val="24"/>
        </w:rPr>
        <w:t xml:space="preserve">.  </w:t>
      </w:r>
      <w:r w:rsidRPr="008C305C">
        <w:rPr>
          <w:szCs w:val="24"/>
        </w:rPr>
        <w:t xml:space="preserve">The estimated cost of photographs is </w:t>
      </w:r>
      <w:r w:rsidRPr="001351C1">
        <w:rPr>
          <w:szCs w:val="24"/>
        </w:rPr>
        <w:t>$</w:t>
      </w:r>
      <w:r w:rsidR="001C26CB">
        <w:rPr>
          <w:szCs w:val="24"/>
        </w:rPr>
        <w:t>15</w:t>
      </w:r>
      <w:r w:rsidRPr="008C305C" w:rsidR="001C26CB">
        <w:rPr>
          <w:szCs w:val="24"/>
        </w:rPr>
        <w:t xml:space="preserve"> </w:t>
      </w:r>
      <w:r w:rsidRPr="008C305C">
        <w:rPr>
          <w:szCs w:val="24"/>
        </w:rPr>
        <w:t xml:space="preserve">a set based on a sampling </w:t>
      </w:r>
      <w:r w:rsidR="001C26CB">
        <w:rPr>
          <w:szCs w:val="24"/>
        </w:rPr>
        <w:t>of a small group of national companies who offer this service</w:t>
      </w:r>
      <w:r w:rsidR="00AE5585">
        <w:rPr>
          <w:szCs w:val="24"/>
        </w:rPr>
        <w:t xml:space="preserve">, with a total cost of </w:t>
      </w:r>
      <w:r w:rsidRPr="005809AC" w:rsidR="00AE5585">
        <w:rPr>
          <w:b/>
          <w:szCs w:val="24"/>
        </w:rPr>
        <w:t>$</w:t>
      </w:r>
      <w:r w:rsidRPr="005809AC" w:rsidR="001C26CB">
        <w:rPr>
          <w:b/>
          <w:szCs w:val="24"/>
        </w:rPr>
        <w:t>2,025</w:t>
      </w:r>
      <w:r w:rsidR="00AE5585">
        <w:rPr>
          <w:szCs w:val="24"/>
        </w:rPr>
        <w:t xml:space="preserve"> to the </w:t>
      </w:r>
      <w:r w:rsidR="001C26CB">
        <w:rPr>
          <w:szCs w:val="24"/>
        </w:rPr>
        <w:t xml:space="preserve">135 </w:t>
      </w:r>
      <w:r w:rsidR="00AE5585">
        <w:rPr>
          <w:szCs w:val="24"/>
        </w:rPr>
        <w:t>respondents.</w:t>
      </w:r>
      <w:r w:rsidRPr="008C305C">
        <w:rPr>
          <w:szCs w:val="24"/>
        </w:rPr>
        <w:t xml:space="preserve">  </w:t>
      </w:r>
    </w:p>
    <w:p w:rsidR="00AE5585" w:rsidP="008C305C" w:rsidRDefault="00AE5585" w14:paraId="21893C52" w14:textId="77777777">
      <w:pPr>
        <w:pStyle w:val="ListParagraph"/>
        <w:spacing w:after="0"/>
        <w:ind w:left="360"/>
        <w:rPr>
          <w:szCs w:val="24"/>
        </w:rPr>
      </w:pPr>
    </w:p>
    <w:p w:rsidR="00AE5585" w:rsidP="008C305C" w:rsidRDefault="006D009E" w14:paraId="28DBDE8C" w14:textId="4B59C133">
      <w:pPr>
        <w:pStyle w:val="ListParagraph"/>
        <w:spacing w:after="0"/>
        <w:ind w:left="360"/>
        <w:rPr>
          <w:szCs w:val="24"/>
        </w:rPr>
      </w:pPr>
      <w:r w:rsidRPr="008C305C">
        <w:rPr>
          <w:szCs w:val="24"/>
        </w:rPr>
        <w:t>DS-82 applications are submitted by mail and are accepted in-person.  Per information received from the United States Postal Service,</w:t>
      </w:r>
      <w:r w:rsidR="007C6F73">
        <w:rPr>
          <w:rStyle w:val="FootnoteReference"/>
          <w:szCs w:val="24"/>
        </w:rPr>
        <w:footnoteReference w:id="4"/>
      </w:r>
      <w:r w:rsidRPr="008C305C">
        <w:rPr>
          <w:szCs w:val="24"/>
        </w:rPr>
        <w:t xml:space="preserve"> the cost burden for postage is approximately </w:t>
      </w:r>
      <w:r w:rsidRPr="00016678">
        <w:rPr>
          <w:szCs w:val="24"/>
        </w:rPr>
        <w:t>$</w:t>
      </w:r>
      <w:r w:rsidRPr="00CF2166">
        <w:rPr>
          <w:szCs w:val="24"/>
        </w:rPr>
        <w:t xml:space="preserve">1.25 </w:t>
      </w:r>
      <w:r w:rsidRPr="008C305C">
        <w:rPr>
          <w:szCs w:val="24"/>
        </w:rPr>
        <w:t>per application</w:t>
      </w:r>
      <w:r w:rsidR="00AE5585">
        <w:rPr>
          <w:szCs w:val="24"/>
        </w:rPr>
        <w:t xml:space="preserve">, with a total cost of </w:t>
      </w:r>
      <w:r w:rsidRPr="005809AC" w:rsidR="00AE5585">
        <w:rPr>
          <w:b/>
          <w:szCs w:val="24"/>
        </w:rPr>
        <w:t>$</w:t>
      </w:r>
      <w:r w:rsidRPr="005809AC" w:rsidR="009226E3">
        <w:rPr>
          <w:b/>
          <w:szCs w:val="24"/>
        </w:rPr>
        <w:t>168.75</w:t>
      </w:r>
      <w:r w:rsidR="007C6F73">
        <w:rPr>
          <w:szCs w:val="24"/>
        </w:rPr>
        <w:t xml:space="preserve"> </w:t>
      </w:r>
      <w:r w:rsidR="00AE5585">
        <w:rPr>
          <w:szCs w:val="24"/>
        </w:rPr>
        <w:t xml:space="preserve">to the </w:t>
      </w:r>
      <w:r w:rsidR="001C26CB">
        <w:rPr>
          <w:szCs w:val="24"/>
        </w:rPr>
        <w:t xml:space="preserve">135 </w:t>
      </w:r>
      <w:r w:rsidR="00AE5585">
        <w:rPr>
          <w:szCs w:val="24"/>
        </w:rPr>
        <w:t>respondents</w:t>
      </w:r>
      <w:r w:rsidRPr="008C305C">
        <w:rPr>
          <w:szCs w:val="24"/>
        </w:rPr>
        <w:t xml:space="preserve">. </w:t>
      </w:r>
    </w:p>
    <w:p w:rsidR="00AE5585" w:rsidP="008C305C" w:rsidRDefault="00AE5585" w14:paraId="15F562A6" w14:textId="77777777">
      <w:pPr>
        <w:pStyle w:val="ListParagraph"/>
        <w:spacing w:after="0"/>
        <w:ind w:left="360"/>
        <w:rPr>
          <w:szCs w:val="24"/>
        </w:rPr>
      </w:pPr>
    </w:p>
    <w:p w:rsidR="006D009E" w:rsidP="00AE5585" w:rsidRDefault="006D009E" w14:paraId="01D64038" w14:textId="39F8A180">
      <w:pPr>
        <w:pStyle w:val="ListParagraph"/>
        <w:spacing w:after="0"/>
        <w:ind w:left="360"/>
        <w:rPr>
          <w:szCs w:val="24"/>
        </w:rPr>
      </w:pPr>
      <w:r w:rsidRPr="008C305C">
        <w:rPr>
          <w:szCs w:val="24"/>
        </w:rPr>
        <w:t xml:space="preserve">According to the Department, the majority of respondents mail their DS-82 application through their local USPS, which is estimated to be an average distance of approximately </w:t>
      </w:r>
      <w:r w:rsidR="00C072F3">
        <w:rPr>
          <w:szCs w:val="24"/>
        </w:rPr>
        <w:t>three</w:t>
      </w:r>
      <w:r w:rsidRPr="008C305C">
        <w:rPr>
          <w:szCs w:val="24"/>
        </w:rPr>
        <w:t xml:space="preserve"> miles one way and </w:t>
      </w:r>
      <w:r w:rsidR="00C072F3">
        <w:rPr>
          <w:szCs w:val="24"/>
        </w:rPr>
        <w:t>six</w:t>
      </w:r>
      <w:r w:rsidRPr="008C305C">
        <w:rPr>
          <w:szCs w:val="24"/>
        </w:rPr>
        <w:t xml:space="preserve"> miles round trip.  This distance is estimated to take an amount of five  minutes each way for a total of 10 minutes round trip. Also, to determine the travel cost to the respondent, the Department is factoring in the General Services Administration reimbursement rate</w:t>
      </w:r>
      <w:r w:rsidR="007C6F73">
        <w:rPr>
          <w:rStyle w:val="FootnoteReference"/>
          <w:szCs w:val="24"/>
        </w:rPr>
        <w:footnoteReference w:id="5"/>
      </w:r>
      <w:r w:rsidRPr="008C305C">
        <w:rPr>
          <w:szCs w:val="24"/>
        </w:rPr>
        <w:t xml:space="preserve"> of </w:t>
      </w:r>
      <w:r w:rsidRPr="001351C1">
        <w:rPr>
          <w:szCs w:val="24"/>
        </w:rPr>
        <w:t>$0.5</w:t>
      </w:r>
      <w:r w:rsidRPr="001351C1" w:rsidR="004D1469">
        <w:rPr>
          <w:szCs w:val="24"/>
        </w:rPr>
        <w:t>75</w:t>
      </w:r>
      <w:r w:rsidRPr="001351C1">
        <w:rPr>
          <w:szCs w:val="24"/>
        </w:rPr>
        <w:t xml:space="preserve"> </w:t>
      </w:r>
      <w:r w:rsidRPr="008C305C">
        <w:rPr>
          <w:szCs w:val="24"/>
        </w:rPr>
        <w:t xml:space="preserve">mile for privately owned automobiles use as of January 1, </w:t>
      </w:r>
      <w:r w:rsidRPr="008C305C" w:rsidR="001C26CB">
        <w:rPr>
          <w:szCs w:val="24"/>
        </w:rPr>
        <w:t>20</w:t>
      </w:r>
      <w:r w:rsidR="001C26CB">
        <w:rPr>
          <w:szCs w:val="24"/>
        </w:rPr>
        <w:t>20</w:t>
      </w:r>
      <w:r w:rsidRPr="008C305C">
        <w:rPr>
          <w:szCs w:val="24"/>
        </w:rPr>
        <w:t xml:space="preserve">. </w:t>
      </w:r>
      <w:r w:rsidRPr="00732E58">
        <w:rPr>
          <w:szCs w:val="24"/>
        </w:rPr>
        <w:t xml:space="preserve">Therefore, the cost to the respondents to travel this distance is estimated to be approximately </w:t>
      </w:r>
      <w:r w:rsidRPr="001351C1" w:rsidR="004D1469">
        <w:rPr>
          <w:b/>
          <w:szCs w:val="24"/>
        </w:rPr>
        <w:t>$</w:t>
      </w:r>
      <w:r w:rsidRPr="001351C1" w:rsidR="001C26CB">
        <w:rPr>
          <w:b/>
          <w:szCs w:val="24"/>
        </w:rPr>
        <w:t>465</w:t>
      </w:r>
      <w:r w:rsidR="001C26CB">
        <w:rPr>
          <w:b/>
          <w:szCs w:val="24"/>
        </w:rPr>
        <w:t>.75</w:t>
      </w:r>
      <w:r w:rsidR="00AE5585">
        <w:rPr>
          <w:szCs w:val="24"/>
        </w:rPr>
        <w:t>:</w:t>
      </w:r>
    </w:p>
    <w:p w:rsidRPr="00732E58" w:rsidR="00AE5585" w:rsidP="00AE5585" w:rsidRDefault="00AE5585" w14:paraId="136A4384" w14:textId="77777777">
      <w:pPr>
        <w:pStyle w:val="ListParagraph"/>
        <w:spacing w:after="0"/>
        <w:ind w:left="360"/>
        <w:rPr>
          <w:szCs w:val="24"/>
        </w:rPr>
      </w:pPr>
    </w:p>
    <w:p w:rsidRPr="00732E58" w:rsidR="006D009E" w:rsidP="00AE5585" w:rsidRDefault="001C26CB" w14:paraId="6EACE802" w14:textId="77777777">
      <w:pPr>
        <w:ind w:firstLine="720"/>
        <w:rPr>
          <w:szCs w:val="24"/>
        </w:rPr>
      </w:pPr>
      <w:r>
        <w:rPr>
          <w:szCs w:val="24"/>
        </w:rPr>
        <w:t>135</w:t>
      </w:r>
      <w:r w:rsidRPr="00732E58">
        <w:rPr>
          <w:szCs w:val="24"/>
        </w:rPr>
        <w:t xml:space="preserve"> </w:t>
      </w:r>
      <w:r w:rsidRPr="00732E58" w:rsidR="006D009E">
        <w:rPr>
          <w:szCs w:val="24"/>
        </w:rPr>
        <w:t xml:space="preserve">(number of respondents) x 6 (miles) x </w:t>
      </w:r>
      <w:r w:rsidRPr="004D1469" w:rsidR="006D009E">
        <w:rPr>
          <w:szCs w:val="24"/>
        </w:rPr>
        <w:t>$</w:t>
      </w:r>
      <w:r w:rsidRPr="000B1194" w:rsidR="006D009E">
        <w:rPr>
          <w:szCs w:val="24"/>
        </w:rPr>
        <w:t>0.5</w:t>
      </w:r>
      <w:r w:rsidRPr="000B1194" w:rsidR="004D1469">
        <w:rPr>
          <w:szCs w:val="24"/>
        </w:rPr>
        <w:t>75</w:t>
      </w:r>
      <w:r w:rsidRPr="00732E58" w:rsidR="006D009E">
        <w:rPr>
          <w:szCs w:val="24"/>
        </w:rPr>
        <w:t xml:space="preserve"> (miles) = </w:t>
      </w:r>
      <w:r w:rsidRPr="000B1194" w:rsidR="004D1469">
        <w:rPr>
          <w:b/>
          <w:szCs w:val="24"/>
        </w:rPr>
        <w:t>$</w:t>
      </w:r>
      <w:r>
        <w:rPr>
          <w:b/>
          <w:szCs w:val="24"/>
        </w:rPr>
        <w:t>465.75</w:t>
      </w:r>
      <w:r w:rsidRPr="00732E58" w:rsidR="006D009E">
        <w:rPr>
          <w:b/>
          <w:szCs w:val="24"/>
        </w:rPr>
        <w:t>.</w:t>
      </w:r>
    </w:p>
    <w:p w:rsidR="004E66B6" w:rsidP="00F12181" w:rsidRDefault="006D009E" w14:paraId="7A4D8963" w14:textId="77777777">
      <w:pPr>
        <w:spacing w:after="0"/>
        <w:ind w:left="360"/>
        <w:jc w:val="both"/>
        <w:rPr>
          <w:szCs w:val="24"/>
        </w:rPr>
      </w:pPr>
      <w:r w:rsidRPr="00732E58">
        <w:rPr>
          <w:szCs w:val="24"/>
        </w:rPr>
        <w:t xml:space="preserve">When combining all of the individual estimated cost burdens associated with Form DS-82, the total annual cost burden for approximately </w:t>
      </w:r>
      <w:r w:rsidR="001C26CB">
        <w:rPr>
          <w:szCs w:val="24"/>
        </w:rPr>
        <w:t>135</w:t>
      </w:r>
      <w:r w:rsidRPr="00732E58" w:rsidR="001C26CB">
        <w:rPr>
          <w:szCs w:val="24"/>
        </w:rPr>
        <w:t xml:space="preserve"> </w:t>
      </w:r>
      <w:r w:rsidRPr="00732E58">
        <w:rPr>
          <w:szCs w:val="24"/>
        </w:rPr>
        <w:t xml:space="preserve">applicants </w:t>
      </w:r>
      <w:r w:rsidRPr="001351C1">
        <w:rPr>
          <w:szCs w:val="24"/>
        </w:rPr>
        <w:t xml:space="preserve">is </w:t>
      </w:r>
      <w:r w:rsidRPr="001351C1">
        <w:rPr>
          <w:color w:val="000000"/>
          <w:szCs w:val="24"/>
        </w:rPr>
        <w:t>$</w:t>
      </w:r>
      <w:r w:rsidRPr="001351C1" w:rsidR="001C26CB">
        <w:rPr>
          <w:color w:val="000000"/>
          <w:szCs w:val="24"/>
        </w:rPr>
        <w:t>2</w:t>
      </w:r>
      <w:r w:rsidR="001C26CB">
        <w:rPr>
          <w:color w:val="000000"/>
          <w:szCs w:val="24"/>
        </w:rPr>
        <w:t>,</w:t>
      </w:r>
      <w:r w:rsidR="009226E3">
        <w:rPr>
          <w:color w:val="000000"/>
          <w:szCs w:val="24"/>
        </w:rPr>
        <w:t>659.50</w:t>
      </w:r>
      <w:r w:rsidRPr="00732E58">
        <w:rPr>
          <w:szCs w:val="24"/>
        </w:rPr>
        <w:t>.  A complete breakdown of the involved costs is outlined below.</w:t>
      </w:r>
    </w:p>
    <w:p w:rsidR="00F12181" w:rsidP="000B1194" w:rsidRDefault="00F12181" w14:paraId="0B9C9421" w14:textId="77777777">
      <w:pPr>
        <w:spacing w:after="0"/>
        <w:jc w:val="both"/>
        <w:rPr>
          <w:szCs w:val="24"/>
        </w:rPr>
      </w:pPr>
    </w:p>
    <w:p w:rsidRPr="00732E58" w:rsidR="006D009E" w:rsidP="008C305C" w:rsidRDefault="00AE5585" w14:paraId="10EB5E87" w14:textId="77777777">
      <w:pPr>
        <w:spacing w:after="0"/>
        <w:ind w:firstLine="360"/>
        <w:jc w:val="both"/>
        <w:rPr>
          <w:szCs w:val="24"/>
        </w:rPr>
      </w:pPr>
      <w:r>
        <w:rPr>
          <w:szCs w:val="24"/>
        </w:rPr>
        <w:t>T</w:t>
      </w:r>
      <w:r w:rsidRPr="00732E58" w:rsidR="006D009E">
        <w:rPr>
          <w:szCs w:val="24"/>
        </w:rPr>
        <w:t xml:space="preserve">he total cost to the </w:t>
      </w:r>
      <w:r w:rsidR="004E66B6">
        <w:rPr>
          <w:szCs w:val="24"/>
        </w:rPr>
        <w:t xml:space="preserve">DS-82 </w:t>
      </w:r>
      <w:r w:rsidRPr="00732E58" w:rsidR="006D009E">
        <w:rPr>
          <w:szCs w:val="24"/>
        </w:rPr>
        <w:t>respondents is as follows</w:t>
      </w:r>
      <w:r>
        <w:rPr>
          <w:szCs w:val="24"/>
        </w:rPr>
        <w:t xml:space="preserve"> (rounded to the nearest dollar)</w:t>
      </w:r>
      <w:r w:rsidRPr="00732E58" w:rsidR="006D009E">
        <w:rPr>
          <w:szCs w:val="24"/>
        </w:rPr>
        <w:t>:</w:t>
      </w:r>
    </w:p>
    <w:p w:rsidRPr="00732E58" w:rsidR="006D009E" w:rsidP="008C305C" w:rsidRDefault="006D009E" w14:paraId="30961EC9" w14:textId="77777777">
      <w:pPr>
        <w:tabs>
          <w:tab w:val="left" w:pos="360"/>
        </w:tabs>
        <w:spacing w:after="0"/>
        <w:ind w:left="2340"/>
        <w:jc w:val="both"/>
        <w:rPr>
          <w:szCs w:val="24"/>
        </w:rPr>
      </w:pPr>
    </w:p>
    <w:tbl>
      <w:tblPr>
        <w:tblStyle w:val="TableGrid"/>
        <w:tblW w:w="9049" w:type="dxa"/>
        <w:tblInd w:w="419" w:type="dxa"/>
        <w:tblLayout w:type="fixed"/>
        <w:tblLook w:val="04A0" w:firstRow="1" w:lastRow="0" w:firstColumn="1" w:lastColumn="0" w:noHBand="0" w:noVBand="1"/>
      </w:tblPr>
      <w:tblGrid>
        <w:gridCol w:w="3739"/>
        <w:gridCol w:w="729"/>
        <w:gridCol w:w="729"/>
        <w:gridCol w:w="509"/>
        <w:gridCol w:w="1018"/>
        <w:gridCol w:w="712"/>
        <w:gridCol w:w="1613"/>
      </w:tblGrid>
      <w:tr w:rsidRPr="00732E58" w:rsidR="00AE5585" w:rsidTr="00AE5585" w14:paraId="64B1DE5F" w14:textId="77777777">
        <w:trPr>
          <w:trHeight w:val="298"/>
        </w:trPr>
        <w:tc>
          <w:tcPr>
            <w:tcW w:w="3739" w:type="dxa"/>
          </w:tcPr>
          <w:p w:rsidRPr="00732E58" w:rsidR="00AE5585" w:rsidP="009A7FCC" w:rsidRDefault="00AE5585" w14:paraId="0A27D246" w14:textId="77777777">
            <w:pPr>
              <w:rPr>
                <w:szCs w:val="24"/>
              </w:rPr>
            </w:pPr>
            <w:r w:rsidRPr="00732E58">
              <w:rPr>
                <w:szCs w:val="24"/>
              </w:rPr>
              <w:t>(1)</w:t>
            </w:r>
            <w:r>
              <w:rPr>
                <w:szCs w:val="24"/>
              </w:rPr>
              <w:t xml:space="preserve"> </w:t>
            </w:r>
            <w:r w:rsidRPr="00732E58">
              <w:rPr>
                <w:szCs w:val="24"/>
              </w:rPr>
              <w:t>Passport Photo</w:t>
            </w:r>
          </w:p>
        </w:tc>
        <w:tc>
          <w:tcPr>
            <w:tcW w:w="729" w:type="dxa"/>
          </w:tcPr>
          <w:p w:rsidR="00AE5585" w:rsidP="00AE5585" w:rsidRDefault="00AA2A24" w14:paraId="34BA8552" w14:textId="300F39E4">
            <w:pPr>
              <w:jc w:val="center"/>
              <w:rPr>
                <w:szCs w:val="24"/>
              </w:rPr>
            </w:pPr>
            <w:r>
              <w:rPr>
                <w:szCs w:val="24"/>
              </w:rPr>
              <w:t>X</w:t>
            </w:r>
          </w:p>
        </w:tc>
        <w:tc>
          <w:tcPr>
            <w:tcW w:w="729" w:type="dxa"/>
          </w:tcPr>
          <w:p w:rsidRPr="00732E58" w:rsidR="00AE5585" w:rsidP="009A7FCC" w:rsidRDefault="001C26CB" w14:paraId="729975F9" w14:textId="77777777">
            <w:pPr>
              <w:rPr>
                <w:szCs w:val="24"/>
              </w:rPr>
            </w:pPr>
            <w:r>
              <w:rPr>
                <w:szCs w:val="24"/>
              </w:rPr>
              <w:t>135</w:t>
            </w:r>
          </w:p>
        </w:tc>
        <w:tc>
          <w:tcPr>
            <w:tcW w:w="509" w:type="dxa"/>
          </w:tcPr>
          <w:p w:rsidRPr="00732E58" w:rsidR="00AE5585" w:rsidP="00AE5585" w:rsidRDefault="00AE5585" w14:paraId="044FD3D6" w14:textId="77777777">
            <w:pPr>
              <w:jc w:val="center"/>
              <w:rPr>
                <w:szCs w:val="24"/>
              </w:rPr>
            </w:pPr>
            <w:r>
              <w:rPr>
                <w:szCs w:val="24"/>
              </w:rPr>
              <w:t>x</w:t>
            </w:r>
          </w:p>
        </w:tc>
        <w:tc>
          <w:tcPr>
            <w:tcW w:w="1018" w:type="dxa"/>
          </w:tcPr>
          <w:p w:rsidRPr="001351C1" w:rsidR="00AE5585" w:rsidP="001C26CB" w:rsidRDefault="00AE5585" w14:paraId="057E6E52" w14:textId="77777777">
            <w:pPr>
              <w:rPr>
                <w:szCs w:val="24"/>
              </w:rPr>
            </w:pPr>
            <w:r w:rsidRPr="001351C1">
              <w:rPr>
                <w:szCs w:val="24"/>
              </w:rPr>
              <w:t>$</w:t>
            </w:r>
            <w:r w:rsidRPr="000B1194" w:rsidR="001C26CB">
              <w:rPr>
                <w:szCs w:val="24"/>
              </w:rPr>
              <w:t>15.00</w:t>
            </w:r>
          </w:p>
        </w:tc>
        <w:tc>
          <w:tcPr>
            <w:tcW w:w="712" w:type="dxa"/>
          </w:tcPr>
          <w:p w:rsidRPr="00016678" w:rsidR="00AE5585" w:rsidP="009A7FCC" w:rsidRDefault="00AE5585" w14:paraId="5E5AEE65" w14:textId="77777777">
            <w:pPr>
              <w:rPr>
                <w:szCs w:val="24"/>
              </w:rPr>
            </w:pPr>
            <w:r w:rsidRPr="00016678">
              <w:rPr>
                <w:szCs w:val="24"/>
              </w:rPr>
              <w:t>=</w:t>
            </w:r>
          </w:p>
        </w:tc>
        <w:tc>
          <w:tcPr>
            <w:tcW w:w="1613" w:type="dxa"/>
          </w:tcPr>
          <w:p w:rsidRPr="001351C1" w:rsidR="00AE5585" w:rsidP="009226E3" w:rsidRDefault="00AE5585" w14:paraId="617871C8" w14:textId="77777777">
            <w:pPr>
              <w:rPr>
                <w:szCs w:val="24"/>
              </w:rPr>
            </w:pPr>
            <w:r w:rsidRPr="00016678">
              <w:rPr>
                <w:szCs w:val="24"/>
              </w:rPr>
              <w:t>$</w:t>
            </w:r>
            <w:r w:rsidRPr="000B1194" w:rsidR="009226E3">
              <w:rPr>
                <w:szCs w:val="24"/>
              </w:rPr>
              <w:t>2,025</w:t>
            </w:r>
          </w:p>
        </w:tc>
      </w:tr>
      <w:tr w:rsidRPr="00732E58" w:rsidR="00AE5585" w:rsidTr="00AE5585" w14:paraId="03D1DBB3" w14:textId="77777777">
        <w:trPr>
          <w:trHeight w:val="313"/>
        </w:trPr>
        <w:tc>
          <w:tcPr>
            <w:tcW w:w="3739" w:type="dxa"/>
          </w:tcPr>
          <w:p w:rsidRPr="00732E58" w:rsidR="00AE5585" w:rsidP="009A7FCC" w:rsidRDefault="00AE5585" w14:paraId="16ACBEC0" w14:textId="77777777">
            <w:pPr>
              <w:rPr>
                <w:szCs w:val="24"/>
              </w:rPr>
            </w:pPr>
            <w:r w:rsidRPr="00732E58">
              <w:rPr>
                <w:szCs w:val="24"/>
              </w:rPr>
              <w:t>(1)</w:t>
            </w:r>
            <w:r>
              <w:rPr>
                <w:szCs w:val="24"/>
              </w:rPr>
              <w:t xml:space="preserve"> </w:t>
            </w:r>
            <w:r w:rsidRPr="00732E58">
              <w:rPr>
                <w:szCs w:val="24"/>
              </w:rPr>
              <w:t>Postage</w:t>
            </w:r>
          </w:p>
        </w:tc>
        <w:tc>
          <w:tcPr>
            <w:tcW w:w="729" w:type="dxa"/>
          </w:tcPr>
          <w:p w:rsidR="00AE5585" w:rsidP="00AE5585" w:rsidRDefault="00AA2A24" w14:paraId="7C1E963A" w14:textId="1B4056EC">
            <w:pPr>
              <w:jc w:val="center"/>
              <w:rPr>
                <w:szCs w:val="24"/>
              </w:rPr>
            </w:pPr>
            <w:r>
              <w:rPr>
                <w:szCs w:val="24"/>
              </w:rPr>
              <w:t>X</w:t>
            </w:r>
          </w:p>
        </w:tc>
        <w:tc>
          <w:tcPr>
            <w:tcW w:w="729" w:type="dxa"/>
          </w:tcPr>
          <w:p w:rsidRPr="00732E58" w:rsidR="00AE5585" w:rsidP="009A7FCC" w:rsidRDefault="001C26CB" w14:paraId="3C761E0A" w14:textId="77777777">
            <w:pPr>
              <w:rPr>
                <w:szCs w:val="24"/>
              </w:rPr>
            </w:pPr>
            <w:r>
              <w:rPr>
                <w:szCs w:val="24"/>
              </w:rPr>
              <w:t>135</w:t>
            </w:r>
          </w:p>
        </w:tc>
        <w:tc>
          <w:tcPr>
            <w:tcW w:w="509" w:type="dxa"/>
          </w:tcPr>
          <w:p w:rsidRPr="00732E58" w:rsidR="00AE5585" w:rsidP="00AE5585" w:rsidRDefault="00AE5585" w14:paraId="1A6B3FED" w14:textId="77777777">
            <w:pPr>
              <w:jc w:val="center"/>
              <w:rPr>
                <w:szCs w:val="24"/>
              </w:rPr>
            </w:pPr>
            <w:r>
              <w:rPr>
                <w:szCs w:val="24"/>
              </w:rPr>
              <w:t>x</w:t>
            </w:r>
          </w:p>
        </w:tc>
        <w:tc>
          <w:tcPr>
            <w:tcW w:w="1018" w:type="dxa"/>
          </w:tcPr>
          <w:p w:rsidRPr="001351C1" w:rsidR="00AE5585" w:rsidP="009A7FCC" w:rsidRDefault="00AE5585" w14:paraId="1F8015DB" w14:textId="77777777">
            <w:pPr>
              <w:rPr>
                <w:szCs w:val="24"/>
              </w:rPr>
            </w:pPr>
            <w:r w:rsidRPr="001351C1">
              <w:rPr>
                <w:szCs w:val="24"/>
              </w:rPr>
              <w:t>$</w:t>
            </w:r>
            <w:r w:rsidRPr="00CF2166">
              <w:rPr>
                <w:szCs w:val="24"/>
              </w:rPr>
              <w:t>1.25</w:t>
            </w:r>
          </w:p>
        </w:tc>
        <w:tc>
          <w:tcPr>
            <w:tcW w:w="712" w:type="dxa"/>
          </w:tcPr>
          <w:p w:rsidRPr="00016678" w:rsidR="00AE5585" w:rsidP="009A7FCC" w:rsidRDefault="00AE5585" w14:paraId="0FD3333A" w14:textId="77777777">
            <w:pPr>
              <w:rPr>
                <w:szCs w:val="24"/>
              </w:rPr>
            </w:pPr>
            <w:r w:rsidRPr="00016678">
              <w:rPr>
                <w:szCs w:val="24"/>
              </w:rPr>
              <w:t>=</w:t>
            </w:r>
          </w:p>
        </w:tc>
        <w:tc>
          <w:tcPr>
            <w:tcW w:w="1613" w:type="dxa"/>
          </w:tcPr>
          <w:p w:rsidRPr="000B1194" w:rsidR="00AE5585" w:rsidP="009226E3" w:rsidRDefault="00AE5585" w14:paraId="3460E22E" w14:textId="77777777">
            <w:pPr>
              <w:rPr>
                <w:szCs w:val="24"/>
              </w:rPr>
            </w:pPr>
            <w:r w:rsidRPr="000B1194">
              <w:rPr>
                <w:szCs w:val="24"/>
              </w:rPr>
              <w:t>$</w:t>
            </w:r>
            <w:r w:rsidRPr="000B1194" w:rsidR="009226E3">
              <w:rPr>
                <w:szCs w:val="24"/>
              </w:rPr>
              <w:t>168.75</w:t>
            </w:r>
          </w:p>
        </w:tc>
      </w:tr>
      <w:tr w:rsidRPr="00732E58" w:rsidR="00AE5585" w:rsidTr="00AE5585" w14:paraId="4249F0D0" w14:textId="77777777">
        <w:trPr>
          <w:trHeight w:val="595"/>
        </w:trPr>
        <w:tc>
          <w:tcPr>
            <w:tcW w:w="3739" w:type="dxa"/>
          </w:tcPr>
          <w:p w:rsidRPr="00732E58" w:rsidR="00AE5585" w:rsidP="009A7FCC" w:rsidRDefault="00AE5585" w14:paraId="24E62577" w14:textId="77777777">
            <w:pPr>
              <w:tabs>
                <w:tab w:val="left" w:pos="360"/>
              </w:tabs>
              <w:rPr>
                <w:szCs w:val="24"/>
              </w:rPr>
            </w:pPr>
            <w:r>
              <w:rPr>
                <w:szCs w:val="24"/>
              </w:rPr>
              <w:t>(</w:t>
            </w:r>
            <w:r w:rsidRPr="00732E58">
              <w:rPr>
                <w:szCs w:val="24"/>
              </w:rPr>
              <w:t>6</w:t>
            </w:r>
            <w:r>
              <w:rPr>
                <w:szCs w:val="24"/>
              </w:rPr>
              <w:t>) M</w:t>
            </w:r>
            <w:r w:rsidRPr="00732E58">
              <w:rPr>
                <w:szCs w:val="24"/>
              </w:rPr>
              <w:t>iles – Average Travel Cost</w:t>
            </w:r>
          </w:p>
        </w:tc>
        <w:tc>
          <w:tcPr>
            <w:tcW w:w="729" w:type="dxa"/>
          </w:tcPr>
          <w:p w:rsidR="00AE5585" w:rsidP="00AE5585" w:rsidRDefault="00AA2A24" w14:paraId="2C380BFE" w14:textId="43A6B92E">
            <w:pPr>
              <w:tabs>
                <w:tab w:val="left" w:pos="360"/>
              </w:tabs>
              <w:jc w:val="center"/>
              <w:rPr>
                <w:szCs w:val="24"/>
              </w:rPr>
            </w:pPr>
            <w:r>
              <w:rPr>
                <w:szCs w:val="24"/>
              </w:rPr>
              <w:t>X</w:t>
            </w:r>
          </w:p>
        </w:tc>
        <w:tc>
          <w:tcPr>
            <w:tcW w:w="729" w:type="dxa"/>
          </w:tcPr>
          <w:p w:rsidRPr="00732E58" w:rsidR="00AE5585" w:rsidP="009A7FCC" w:rsidRDefault="001C26CB" w14:paraId="7D30C6DE" w14:textId="77777777">
            <w:pPr>
              <w:tabs>
                <w:tab w:val="left" w:pos="360"/>
              </w:tabs>
              <w:rPr>
                <w:szCs w:val="24"/>
              </w:rPr>
            </w:pPr>
            <w:r>
              <w:rPr>
                <w:szCs w:val="24"/>
              </w:rPr>
              <w:t>135</w:t>
            </w:r>
          </w:p>
        </w:tc>
        <w:tc>
          <w:tcPr>
            <w:tcW w:w="509" w:type="dxa"/>
          </w:tcPr>
          <w:p w:rsidRPr="00732E58" w:rsidR="00AE5585" w:rsidP="00AE5585" w:rsidRDefault="00AE5585" w14:paraId="534A2A4F" w14:textId="77777777">
            <w:pPr>
              <w:tabs>
                <w:tab w:val="left" w:pos="360"/>
              </w:tabs>
              <w:jc w:val="center"/>
              <w:rPr>
                <w:szCs w:val="24"/>
              </w:rPr>
            </w:pPr>
            <w:r>
              <w:rPr>
                <w:szCs w:val="24"/>
              </w:rPr>
              <w:t>x</w:t>
            </w:r>
          </w:p>
        </w:tc>
        <w:tc>
          <w:tcPr>
            <w:tcW w:w="1018" w:type="dxa"/>
          </w:tcPr>
          <w:p w:rsidRPr="000B1194" w:rsidR="00AE5585" w:rsidP="004D1469" w:rsidRDefault="00AE5585" w14:paraId="5F45F5AF" w14:textId="77777777">
            <w:pPr>
              <w:tabs>
                <w:tab w:val="left" w:pos="360"/>
              </w:tabs>
              <w:rPr>
                <w:szCs w:val="24"/>
                <w:highlight w:val="yellow"/>
              </w:rPr>
            </w:pPr>
            <w:r w:rsidRPr="001C26CB">
              <w:rPr>
                <w:szCs w:val="24"/>
              </w:rPr>
              <w:t>$0.5</w:t>
            </w:r>
            <w:r w:rsidRPr="000B1194" w:rsidR="004D1469">
              <w:rPr>
                <w:szCs w:val="24"/>
              </w:rPr>
              <w:t>75</w:t>
            </w:r>
          </w:p>
        </w:tc>
        <w:tc>
          <w:tcPr>
            <w:tcW w:w="712" w:type="dxa"/>
          </w:tcPr>
          <w:p w:rsidRPr="001351C1" w:rsidR="00AE5585" w:rsidP="009A7FCC" w:rsidRDefault="00AE5585" w14:paraId="19EF2460" w14:textId="77777777">
            <w:pPr>
              <w:tabs>
                <w:tab w:val="left" w:pos="360"/>
              </w:tabs>
              <w:rPr>
                <w:szCs w:val="24"/>
              </w:rPr>
            </w:pPr>
            <w:r w:rsidRPr="001351C1">
              <w:rPr>
                <w:szCs w:val="24"/>
              </w:rPr>
              <w:t>=</w:t>
            </w:r>
          </w:p>
        </w:tc>
        <w:tc>
          <w:tcPr>
            <w:tcW w:w="1613" w:type="dxa"/>
          </w:tcPr>
          <w:p w:rsidRPr="000B1194" w:rsidR="00AE5585" w:rsidP="009226E3" w:rsidRDefault="00AE5585" w14:paraId="06533CA3" w14:textId="77777777">
            <w:pPr>
              <w:tabs>
                <w:tab w:val="left" w:pos="360"/>
              </w:tabs>
              <w:rPr>
                <w:szCs w:val="24"/>
                <w:highlight w:val="yellow"/>
              </w:rPr>
            </w:pPr>
            <w:r w:rsidRPr="009226E3">
              <w:rPr>
                <w:szCs w:val="24"/>
              </w:rPr>
              <w:t>$</w:t>
            </w:r>
            <w:r w:rsidR="009226E3">
              <w:rPr>
                <w:szCs w:val="24"/>
              </w:rPr>
              <w:t>465.75</w:t>
            </w:r>
          </w:p>
        </w:tc>
      </w:tr>
      <w:tr w:rsidRPr="00732E58" w:rsidR="00AE5585" w:rsidTr="00AE5585" w14:paraId="679B60EA" w14:textId="77777777">
        <w:trPr>
          <w:trHeight w:val="313"/>
        </w:trPr>
        <w:tc>
          <w:tcPr>
            <w:tcW w:w="3739" w:type="dxa"/>
          </w:tcPr>
          <w:p w:rsidRPr="00732E58" w:rsidR="00AE5585" w:rsidP="009A7FCC" w:rsidRDefault="00AE5585" w14:paraId="29A82CDD" w14:textId="77777777">
            <w:pPr>
              <w:tabs>
                <w:tab w:val="left" w:pos="360"/>
              </w:tabs>
              <w:jc w:val="both"/>
              <w:rPr>
                <w:b/>
                <w:szCs w:val="24"/>
              </w:rPr>
            </w:pPr>
            <w:r w:rsidRPr="00732E58">
              <w:rPr>
                <w:b/>
                <w:szCs w:val="24"/>
              </w:rPr>
              <w:t>Total Cost to Respondent</w:t>
            </w:r>
            <w:r>
              <w:rPr>
                <w:b/>
                <w:szCs w:val="24"/>
              </w:rPr>
              <w:t>s</w:t>
            </w:r>
          </w:p>
        </w:tc>
        <w:tc>
          <w:tcPr>
            <w:tcW w:w="729" w:type="dxa"/>
          </w:tcPr>
          <w:p w:rsidRPr="00732E58" w:rsidR="00AE5585" w:rsidP="00AE5585" w:rsidRDefault="00AE5585" w14:paraId="33CDD0D6" w14:textId="77777777">
            <w:pPr>
              <w:tabs>
                <w:tab w:val="left" w:pos="360"/>
              </w:tabs>
              <w:jc w:val="center"/>
              <w:rPr>
                <w:szCs w:val="24"/>
              </w:rPr>
            </w:pPr>
          </w:p>
        </w:tc>
        <w:tc>
          <w:tcPr>
            <w:tcW w:w="729" w:type="dxa"/>
          </w:tcPr>
          <w:p w:rsidRPr="00732E58" w:rsidR="00AE5585" w:rsidP="009A7FCC" w:rsidRDefault="00AE5585" w14:paraId="79D15E35" w14:textId="77777777">
            <w:pPr>
              <w:tabs>
                <w:tab w:val="left" w:pos="360"/>
              </w:tabs>
              <w:jc w:val="both"/>
              <w:rPr>
                <w:szCs w:val="24"/>
              </w:rPr>
            </w:pPr>
          </w:p>
        </w:tc>
        <w:tc>
          <w:tcPr>
            <w:tcW w:w="509" w:type="dxa"/>
          </w:tcPr>
          <w:p w:rsidRPr="00732E58" w:rsidR="00AE5585" w:rsidP="00AE5585" w:rsidRDefault="00AE5585" w14:paraId="7018077E" w14:textId="77777777">
            <w:pPr>
              <w:tabs>
                <w:tab w:val="left" w:pos="360"/>
              </w:tabs>
              <w:jc w:val="center"/>
              <w:rPr>
                <w:szCs w:val="24"/>
              </w:rPr>
            </w:pPr>
          </w:p>
        </w:tc>
        <w:tc>
          <w:tcPr>
            <w:tcW w:w="1018" w:type="dxa"/>
          </w:tcPr>
          <w:p w:rsidRPr="000B1194" w:rsidR="00AE5585" w:rsidP="009A7FCC" w:rsidRDefault="00AE5585" w14:paraId="64E470DF" w14:textId="77777777">
            <w:pPr>
              <w:tabs>
                <w:tab w:val="left" w:pos="360"/>
              </w:tabs>
              <w:jc w:val="both"/>
              <w:rPr>
                <w:szCs w:val="24"/>
                <w:highlight w:val="yellow"/>
              </w:rPr>
            </w:pPr>
          </w:p>
        </w:tc>
        <w:tc>
          <w:tcPr>
            <w:tcW w:w="712" w:type="dxa"/>
          </w:tcPr>
          <w:p w:rsidRPr="00016678" w:rsidR="00AE5585" w:rsidP="009A7FCC" w:rsidRDefault="00AE5585" w14:paraId="2ACAFDD8" w14:textId="77777777">
            <w:pPr>
              <w:tabs>
                <w:tab w:val="left" w:pos="360"/>
              </w:tabs>
              <w:jc w:val="both"/>
              <w:rPr>
                <w:szCs w:val="24"/>
              </w:rPr>
            </w:pPr>
            <w:r w:rsidRPr="001351C1">
              <w:rPr>
                <w:szCs w:val="24"/>
              </w:rPr>
              <w:t>=</w:t>
            </w:r>
          </w:p>
        </w:tc>
        <w:tc>
          <w:tcPr>
            <w:tcW w:w="1613" w:type="dxa"/>
          </w:tcPr>
          <w:p w:rsidRPr="001351C1" w:rsidR="00AE5585" w:rsidP="009226E3" w:rsidRDefault="00AE5585" w14:paraId="48791159" w14:textId="77777777">
            <w:pPr>
              <w:tabs>
                <w:tab w:val="left" w:pos="360"/>
              </w:tabs>
              <w:rPr>
                <w:b/>
                <w:szCs w:val="24"/>
              </w:rPr>
            </w:pPr>
            <w:r w:rsidRPr="00016678">
              <w:rPr>
                <w:b/>
                <w:szCs w:val="24"/>
              </w:rPr>
              <w:t>$</w:t>
            </w:r>
            <w:r w:rsidRPr="000B1194" w:rsidR="009226E3">
              <w:rPr>
                <w:b/>
                <w:szCs w:val="24"/>
              </w:rPr>
              <w:t>2,659.50</w:t>
            </w:r>
          </w:p>
        </w:tc>
      </w:tr>
    </w:tbl>
    <w:p w:rsidR="006D009E" w:rsidP="000B1194" w:rsidRDefault="006D009E" w14:paraId="4EE1EC30" w14:textId="77777777"/>
    <w:p w:rsidR="006D009E" w:rsidP="008C305C" w:rsidRDefault="006D009E" w14:paraId="4C2EDEF4" w14:textId="77777777">
      <w:pPr>
        <w:pStyle w:val="ListParagraph"/>
        <w:ind w:left="360"/>
      </w:pPr>
      <w:r>
        <w:t>To properly submit a DS-11 passport application, an applicant must provide the following as specified on instruction page 1:</w:t>
      </w:r>
    </w:p>
    <w:p w:rsidR="006D009E" w:rsidP="008C305C" w:rsidRDefault="006D009E" w14:paraId="3D2C1799" w14:textId="77777777">
      <w:pPr>
        <w:ind w:left="720"/>
      </w:pPr>
      <w:r>
        <w:t xml:space="preserve">• Proof of U.S. citizenship/nationality - submit a photocopy of the front and (back if there is printed information) of U.S. citizenship evidence.  (The estimated cost of a black and white copy is based on a quote from FedEx Office.) </w:t>
      </w:r>
    </w:p>
    <w:p w:rsidR="006D009E" w:rsidP="008C305C" w:rsidRDefault="006D009E" w14:paraId="5F922411" w14:textId="34F4A837">
      <w:pPr>
        <w:ind w:left="720"/>
      </w:pPr>
      <w:r>
        <w:t xml:space="preserve">• Proof of identity - submit a photocopy of the front and back side of </w:t>
      </w:r>
      <w:r w:rsidR="00A233C2">
        <w:t xml:space="preserve">the </w:t>
      </w:r>
      <w:r>
        <w:t xml:space="preserve">original identification.  (The estimated cost of a black and white copy is based on a quote from FedEx Office.) </w:t>
      </w:r>
    </w:p>
    <w:p w:rsidR="006D009E" w:rsidP="004E66B6" w:rsidRDefault="006D009E" w14:paraId="047E9811" w14:textId="77777777">
      <w:pPr>
        <w:ind w:left="720"/>
      </w:pPr>
      <w:r>
        <w:t xml:space="preserve">• Submit a photograph that meets criteria specified in the instruction pages. (The estimated cost of photographs is based on a sampling </w:t>
      </w:r>
      <w:r w:rsidR="008E132D">
        <w:rPr>
          <w:szCs w:val="24"/>
        </w:rPr>
        <w:t>of a small group of national companies who offer this service</w:t>
      </w:r>
      <w:r>
        <w:t>.)</w:t>
      </w:r>
    </w:p>
    <w:p w:rsidR="006D009E" w:rsidP="008C305C" w:rsidRDefault="006D009E" w14:paraId="079C6945" w14:textId="77777777">
      <w:pPr>
        <w:pStyle w:val="ListParagraph"/>
        <w:ind w:left="360"/>
      </w:pPr>
      <w:r>
        <w:t>DS-11 applications are only accepted in-person.  Therefore, there are no postage fees.</w:t>
      </w:r>
    </w:p>
    <w:p w:rsidR="006D009E" w:rsidP="008C305C" w:rsidRDefault="006D009E" w14:paraId="167F2C2C" w14:textId="77777777">
      <w:pPr>
        <w:ind w:left="360"/>
      </w:pPr>
      <w:r>
        <w:t xml:space="preserve">When combining all of the individual estimated cost burdens associated with Form DS-11, the total annual cost burden for approximately </w:t>
      </w:r>
      <w:r w:rsidR="008E132D">
        <w:t xml:space="preserve">15 </w:t>
      </w:r>
      <w:r>
        <w:t xml:space="preserve">applicants is </w:t>
      </w:r>
      <w:r w:rsidRPr="00016678">
        <w:t>$</w:t>
      </w:r>
      <w:r w:rsidRPr="00016678" w:rsidR="008E132D">
        <w:t>231</w:t>
      </w:r>
      <w:r>
        <w:t xml:space="preserve">.  </w:t>
      </w:r>
    </w:p>
    <w:p w:rsidR="006D009E" w:rsidP="004E66B6" w:rsidRDefault="004E66B6" w14:paraId="27CE5EFD" w14:textId="77777777">
      <w:pPr>
        <w:ind w:firstLine="360"/>
      </w:pPr>
      <w:r w:rsidRPr="004E66B6">
        <w:t xml:space="preserve">The total cost to the </w:t>
      </w:r>
      <w:r>
        <w:t xml:space="preserve">DS-11 </w:t>
      </w:r>
      <w:r w:rsidRPr="004E66B6">
        <w:t xml:space="preserve">respondents is as follows </w:t>
      </w:r>
      <w:r>
        <w:t>(rounded to the nearest dollar)</w:t>
      </w:r>
      <w:r w:rsidR="006D009E">
        <w:t>:</w:t>
      </w:r>
    </w:p>
    <w:p w:rsidR="004E66B6" w:rsidP="004E66B6" w:rsidRDefault="004E66B6" w14:paraId="331EE2EF" w14:textId="77777777">
      <w:pPr>
        <w:ind w:firstLine="360"/>
      </w:pPr>
    </w:p>
    <w:tbl>
      <w:tblPr>
        <w:tblStyle w:val="TableGrid"/>
        <w:tblW w:w="9051" w:type="dxa"/>
        <w:tblInd w:w="327" w:type="dxa"/>
        <w:tblLayout w:type="fixed"/>
        <w:tblLook w:val="04A0" w:firstRow="1" w:lastRow="0" w:firstColumn="1" w:lastColumn="0" w:noHBand="0" w:noVBand="1"/>
      </w:tblPr>
      <w:tblGrid>
        <w:gridCol w:w="5091"/>
        <w:gridCol w:w="450"/>
        <w:gridCol w:w="669"/>
        <w:gridCol w:w="450"/>
        <w:gridCol w:w="900"/>
        <w:gridCol w:w="360"/>
        <w:gridCol w:w="1131"/>
      </w:tblGrid>
      <w:tr w:rsidRPr="00F84C95" w:rsidR="004E66B6" w:rsidTr="7B0E1B14" w14:paraId="047016A7" w14:textId="77777777">
        <w:tc>
          <w:tcPr>
            <w:tcW w:w="5091" w:type="dxa"/>
          </w:tcPr>
          <w:p w:rsidR="004E66B6" w:rsidP="004E66B6" w:rsidRDefault="004E66B6" w14:paraId="42F4A831" w14:textId="77777777">
            <w:pPr>
              <w:pStyle w:val="BodyTextIndent"/>
              <w:tabs>
                <w:tab w:val="clear" w:pos="720"/>
              </w:tabs>
              <w:ind w:left="0"/>
              <w:jc w:val="left"/>
            </w:pPr>
            <w:r>
              <w:t xml:space="preserve">(1) Proof of Citizenship - Black and White Copy </w:t>
            </w:r>
          </w:p>
        </w:tc>
        <w:tc>
          <w:tcPr>
            <w:tcW w:w="450" w:type="dxa"/>
          </w:tcPr>
          <w:p w:rsidR="004E66B6" w:rsidP="004E66B6" w:rsidRDefault="004E66B6" w14:paraId="3EE53093" w14:textId="77777777">
            <w:pPr>
              <w:pStyle w:val="BodyTextIndent"/>
              <w:tabs>
                <w:tab w:val="clear" w:pos="720"/>
              </w:tabs>
              <w:ind w:left="0"/>
              <w:jc w:val="center"/>
            </w:pPr>
            <w:r>
              <w:t>x</w:t>
            </w:r>
          </w:p>
        </w:tc>
        <w:tc>
          <w:tcPr>
            <w:tcW w:w="669" w:type="dxa"/>
          </w:tcPr>
          <w:p w:rsidR="004E66B6" w:rsidP="009A7FCC" w:rsidRDefault="008E132D" w14:paraId="798549E5" w14:textId="77777777">
            <w:pPr>
              <w:pStyle w:val="BodyTextIndent"/>
              <w:tabs>
                <w:tab w:val="clear" w:pos="720"/>
              </w:tabs>
              <w:ind w:left="0"/>
              <w:jc w:val="left"/>
            </w:pPr>
            <w:r>
              <w:t>15</w:t>
            </w:r>
          </w:p>
        </w:tc>
        <w:tc>
          <w:tcPr>
            <w:tcW w:w="450" w:type="dxa"/>
          </w:tcPr>
          <w:p w:rsidRPr="00F84C95" w:rsidR="004E66B6" w:rsidP="004E66B6" w:rsidRDefault="004E66B6" w14:paraId="0970D5DF" w14:textId="77777777">
            <w:pPr>
              <w:pStyle w:val="BodyTextIndent"/>
              <w:tabs>
                <w:tab w:val="clear" w:pos="720"/>
              </w:tabs>
              <w:ind w:left="0"/>
              <w:jc w:val="center"/>
            </w:pPr>
            <w:r>
              <w:t>x</w:t>
            </w:r>
          </w:p>
        </w:tc>
        <w:tc>
          <w:tcPr>
            <w:tcW w:w="900" w:type="dxa"/>
          </w:tcPr>
          <w:p w:rsidRPr="00016678" w:rsidR="004E66B6" w:rsidP="00016678" w:rsidRDefault="7B0E1B14" w14:paraId="48C99345" w14:textId="5BA36A45">
            <w:pPr>
              <w:pStyle w:val="BodyTextIndent"/>
              <w:tabs>
                <w:tab w:val="clear" w:pos="720"/>
              </w:tabs>
              <w:ind w:left="0"/>
              <w:jc w:val="left"/>
            </w:pPr>
            <w:r>
              <w:t>$0.14</w:t>
            </w:r>
          </w:p>
        </w:tc>
        <w:tc>
          <w:tcPr>
            <w:tcW w:w="360" w:type="dxa"/>
          </w:tcPr>
          <w:p w:rsidRPr="00016678" w:rsidR="004E66B6" w:rsidP="009A7FCC" w:rsidRDefault="004E66B6" w14:paraId="78238DF0" w14:textId="77777777">
            <w:pPr>
              <w:pStyle w:val="BodyTextIndent"/>
              <w:tabs>
                <w:tab w:val="clear" w:pos="720"/>
              </w:tabs>
              <w:ind w:left="0"/>
              <w:jc w:val="left"/>
            </w:pPr>
            <w:r w:rsidRPr="00016678">
              <w:t>=</w:t>
            </w:r>
          </w:p>
        </w:tc>
        <w:tc>
          <w:tcPr>
            <w:tcW w:w="1131" w:type="dxa"/>
          </w:tcPr>
          <w:p w:rsidRPr="00016678" w:rsidR="004E66B6" w:rsidP="008E132D" w:rsidRDefault="004E66B6" w14:paraId="07092228" w14:textId="77777777">
            <w:pPr>
              <w:pStyle w:val="BodyTextIndent"/>
              <w:tabs>
                <w:tab w:val="clear" w:pos="720"/>
              </w:tabs>
              <w:ind w:left="0"/>
              <w:jc w:val="left"/>
            </w:pPr>
            <w:r w:rsidRPr="00016678">
              <w:t>$</w:t>
            </w:r>
            <w:r w:rsidRPr="000B1194" w:rsidR="008E132D">
              <w:t>2</w:t>
            </w:r>
          </w:p>
        </w:tc>
      </w:tr>
      <w:tr w:rsidRPr="00F84C95" w:rsidR="004E66B6" w:rsidTr="7B0E1B14" w14:paraId="3B76CD29" w14:textId="77777777">
        <w:trPr>
          <w:trHeight w:val="305"/>
        </w:trPr>
        <w:tc>
          <w:tcPr>
            <w:tcW w:w="5091" w:type="dxa"/>
          </w:tcPr>
          <w:p w:rsidR="004E66B6" w:rsidP="004E66B6" w:rsidRDefault="004E66B6" w14:paraId="5B21A808" w14:textId="77777777">
            <w:pPr>
              <w:pStyle w:val="BodyTextIndent"/>
              <w:tabs>
                <w:tab w:val="clear" w:pos="720"/>
              </w:tabs>
              <w:ind w:left="0"/>
              <w:jc w:val="left"/>
            </w:pPr>
            <w:r>
              <w:t xml:space="preserve">(2) Proof of Identity - Black &amp; White Copy  </w:t>
            </w:r>
          </w:p>
          <w:p w:rsidRPr="00F84C95" w:rsidR="004E66B6" w:rsidP="00016678" w:rsidRDefault="004E66B6" w14:paraId="353830EB" w14:textId="77777777">
            <w:pPr>
              <w:pStyle w:val="BodyTextIndent"/>
              <w:tabs>
                <w:tab w:val="clear" w:pos="720"/>
              </w:tabs>
              <w:ind w:left="0"/>
              <w:jc w:val="left"/>
            </w:pPr>
            <w:r>
              <w:t>@ $0.</w:t>
            </w:r>
            <w:r w:rsidR="00016678">
              <w:t xml:space="preserve">14 </w:t>
            </w:r>
            <w:r>
              <w:t xml:space="preserve">each </w:t>
            </w:r>
          </w:p>
        </w:tc>
        <w:tc>
          <w:tcPr>
            <w:tcW w:w="450" w:type="dxa"/>
          </w:tcPr>
          <w:p w:rsidR="004E66B6" w:rsidP="004E66B6" w:rsidRDefault="004E66B6" w14:paraId="47B9846F" w14:textId="77777777">
            <w:pPr>
              <w:pStyle w:val="BodyTextIndent"/>
              <w:tabs>
                <w:tab w:val="clear" w:pos="720"/>
              </w:tabs>
              <w:ind w:left="0"/>
              <w:jc w:val="center"/>
            </w:pPr>
            <w:r>
              <w:t>x</w:t>
            </w:r>
          </w:p>
        </w:tc>
        <w:tc>
          <w:tcPr>
            <w:tcW w:w="669" w:type="dxa"/>
          </w:tcPr>
          <w:p w:rsidR="004E66B6" w:rsidP="009A7FCC" w:rsidRDefault="008E132D" w14:paraId="331A60BB" w14:textId="77777777">
            <w:pPr>
              <w:pStyle w:val="BodyTextIndent"/>
              <w:tabs>
                <w:tab w:val="clear" w:pos="720"/>
              </w:tabs>
              <w:ind w:left="0"/>
              <w:jc w:val="left"/>
            </w:pPr>
            <w:r>
              <w:t>15</w:t>
            </w:r>
          </w:p>
        </w:tc>
        <w:tc>
          <w:tcPr>
            <w:tcW w:w="450" w:type="dxa"/>
          </w:tcPr>
          <w:p w:rsidRPr="00F84C95" w:rsidR="004E66B6" w:rsidP="004E66B6" w:rsidRDefault="004E66B6" w14:paraId="15FDA793" w14:textId="77777777">
            <w:pPr>
              <w:pStyle w:val="BodyTextIndent"/>
              <w:tabs>
                <w:tab w:val="clear" w:pos="720"/>
              </w:tabs>
              <w:ind w:left="0"/>
              <w:jc w:val="center"/>
            </w:pPr>
            <w:r>
              <w:t>x</w:t>
            </w:r>
          </w:p>
        </w:tc>
        <w:tc>
          <w:tcPr>
            <w:tcW w:w="900" w:type="dxa"/>
          </w:tcPr>
          <w:p w:rsidRPr="00016678" w:rsidR="004E66B6" w:rsidP="00016678" w:rsidRDefault="7B0E1B14" w14:paraId="3F126A60" w14:textId="2730CCC2">
            <w:pPr>
              <w:pStyle w:val="BodyTextIndent"/>
              <w:tabs>
                <w:tab w:val="clear" w:pos="720"/>
              </w:tabs>
              <w:ind w:left="0"/>
              <w:jc w:val="left"/>
            </w:pPr>
            <w:r>
              <w:t>$0.28</w:t>
            </w:r>
          </w:p>
        </w:tc>
        <w:tc>
          <w:tcPr>
            <w:tcW w:w="360" w:type="dxa"/>
          </w:tcPr>
          <w:p w:rsidRPr="00016678" w:rsidR="004E66B6" w:rsidP="009A7FCC" w:rsidRDefault="004E66B6" w14:paraId="4087B2A7" w14:textId="77777777">
            <w:pPr>
              <w:pStyle w:val="BodyTextIndent"/>
              <w:tabs>
                <w:tab w:val="clear" w:pos="720"/>
              </w:tabs>
              <w:ind w:left="0"/>
              <w:jc w:val="left"/>
            </w:pPr>
            <w:r w:rsidRPr="00016678">
              <w:t>=</w:t>
            </w:r>
          </w:p>
        </w:tc>
        <w:tc>
          <w:tcPr>
            <w:tcW w:w="1131" w:type="dxa"/>
          </w:tcPr>
          <w:p w:rsidRPr="00016678" w:rsidR="004E66B6" w:rsidP="008E132D" w:rsidRDefault="004E66B6" w14:paraId="30DD78FA" w14:textId="77777777">
            <w:pPr>
              <w:pStyle w:val="BodyTextIndent"/>
              <w:tabs>
                <w:tab w:val="clear" w:pos="720"/>
              </w:tabs>
              <w:ind w:left="0"/>
              <w:jc w:val="left"/>
            </w:pPr>
            <w:r w:rsidRPr="00016678">
              <w:t>$</w:t>
            </w:r>
            <w:r w:rsidRPr="000B1194" w:rsidR="008E132D">
              <w:t>4</w:t>
            </w:r>
          </w:p>
        </w:tc>
      </w:tr>
      <w:tr w:rsidR="004E66B6" w:rsidTr="7B0E1B14" w14:paraId="14BAFEA7" w14:textId="77777777">
        <w:trPr>
          <w:trHeight w:val="521"/>
        </w:trPr>
        <w:tc>
          <w:tcPr>
            <w:tcW w:w="5091" w:type="dxa"/>
          </w:tcPr>
          <w:p w:rsidRPr="00F84C95" w:rsidR="004E66B6" w:rsidP="004E66B6" w:rsidRDefault="004E66B6" w14:paraId="57A97C87" w14:textId="77777777">
            <w:pPr>
              <w:pStyle w:val="BodyTextIndent"/>
              <w:tabs>
                <w:tab w:val="clear" w:pos="720"/>
              </w:tabs>
              <w:ind w:left="0"/>
              <w:jc w:val="left"/>
            </w:pPr>
            <w:r>
              <w:t xml:space="preserve">(1) Passport Photo </w:t>
            </w:r>
          </w:p>
        </w:tc>
        <w:tc>
          <w:tcPr>
            <w:tcW w:w="450" w:type="dxa"/>
          </w:tcPr>
          <w:p w:rsidR="004E66B6" w:rsidP="004E66B6" w:rsidRDefault="004E66B6" w14:paraId="1C1B30B2" w14:textId="77777777">
            <w:pPr>
              <w:pStyle w:val="BodyTextIndent"/>
              <w:tabs>
                <w:tab w:val="clear" w:pos="720"/>
              </w:tabs>
              <w:ind w:left="0"/>
              <w:jc w:val="center"/>
            </w:pPr>
            <w:r>
              <w:t>x</w:t>
            </w:r>
          </w:p>
        </w:tc>
        <w:tc>
          <w:tcPr>
            <w:tcW w:w="669" w:type="dxa"/>
          </w:tcPr>
          <w:p w:rsidR="004E66B6" w:rsidP="009A7FCC" w:rsidRDefault="008E132D" w14:paraId="5A27D47C" w14:textId="77777777">
            <w:pPr>
              <w:pStyle w:val="BodyTextIndent"/>
              <w:tabs>
                <w:tab w:val="clear" w:pos="720"/>
              </w:tabs>
              <w:ind w:left="0"/>
              <w:jc w:val="left"/>
            </w:pPr>
            <w:r>
              <w:t>15</w:t>
            </w:r>
          </w:p>
        </w:tc>
        <w:tc>
          <w:tcPr>
            <w:tcW w:w="450" w:type="dxa"/>
          </w:tcPr>
          <w:p w:rsidRPr="00F84C95" w:rsidR="004E66B6" w:rsidP="004E66B6" w:rsidRDefault="004E66B6" w14:paraId="450F7F40" w14:textId="77777777">
            <w:pPr>
              <w:pStyle w:val="BodyTextIndent"/>
              <w:tabs>
                <w:tab w:val="clear" w:pos="720"/>
              </w:tabs>
              <w:ind w:left="0"/>
              <w:jc w:val="center"/>
            </w:pPr>
            <w:r>
              <w:t>x</w:t>
            </w:r>
          </w:p>
        </w:tc>
        <w:tc>
          <w:tcPr>
            <w:tcW w:w="900" w:type="dxa"/>
          </w:tcPr>
          <w:p w:rsidRPr="00016678" w:rsidR="004E66B6" w:rsidP="008E132D" w:rsidRDefault="004E66B6" w14:paraId="7E918ACB" w14:textId="77777777">
            <w:pPr>
              <w:pStyle w:val="BodyTextIndent"/>
              <w:tabs>
                <w:tab w:val="clear" w:pos="720"/>
              </w:tabs>
              <w:ind w:left="0"/>
              <w:jc w:val="left"/>
            </w:pPr>
            <w:r w:rsidRPr="00016678">
              <w:t>$</w:t>
            </w:r>
            <w:r w:rsidRPr="000B1194" w:rsidR="008E132D">
              <w:t>15.00</w:t>
            </w:r>
          </w:p>
        </w:tc>
        <w:tc>
          <w:tcPr>
            <w:tcW w:w="360" w:type="dxa"/>
          </w:tcPr>
          <w:p w:rsidRPr="00016678" w:rsidR="004E66B6" w:rsidP="009A7FCC" w:rsidRDefault="004E66B6" w14:paraId="30869811" w14:textId="77777777">
            <w:pPr>
              <w:pStyle w:val="BodyTextIndent"/>
              <w:tabs>
                <w:tab w:val="clear" w:pos="720"/>
              </w:tabs>
              <w:ind w:left="0"/>
              <w:jc w:val="left"/>
            </w:pPr>
            <w:r w:rsidRPr="00016678">
              <w:t>=</w:t>
            </w:r>
          </w:p>
        </w:tc>
        <w:tc>
          <w:tcPr>
            <w:tcW w:w="1131" w:type="dxa"/>
          </w:tcPr>
          <w:p w:rsidRPr="00016678" w:rsidR="004E66B6" w:rsidP="008E132D" w:rsidRDefault="004E66B6" w14:paraId="368483A4" w14:textId="77777777">
            <w:pPr>
              <w:pStyle w:val="BodyTextIndent"/>
              <w:tabs>
                <w:tab w:val="clear" w:pos="720"/>
              </w:tabs>
              <w:ind w:left="0"/>
              <w:jc w:val="left"/>
            </w:pPr>
            <w:r w:rsidRPr="00016678">
              <w:t>$</w:t>
            </w:r>
            <w:r w:rsidRPr="000B1194" w:rsidR="008E132D">
              <w:t>225</w:t>
            </w:r>
          </w:p>
        </w:tc>
      </w:tr>
      <w:tr w:rsidRPr="00CC61A0" w:rsidR="004E66B6" w:rsidTr="7B0E1B14" w14:paraId="6DA4B548" w14:textId="77777777">
        <w:tc>
          <w:tcPr>
            <w:tcW w:w="5091" w:type="dxa"/>
          </w:tcPr>
          <w:p w:rsidRPr="00CC61A0" w:rsidR="004E66B6" w:rsidP="00664A2A" w:rsidRDefault="004E66B6" w14:paraId="64C7F880" w14:textId="77777777">
            <w:pPr>
              <w:tabs>
                <w:tab w:val="left" w:pos="360"/>
              </w:tabs>
              <w:rPr>
                <w:b/>
              </w:rPr>
            </w:pPr>
            <w:r w:rsidRPr="00CC61A0">
              <w:rPr>
                <w:b/>
              </w:rPr>
              <w:t>Total</w:t>
            </w:r>
            <w:r>
              <w:rPr>
                <w:b/>
              </w:rPr>
              <w:t xml:space="preserve"> Cost to Respondents </w:t>
            </w:r>
          </w:p>
        </w:tc>
        <w:tc>
          <w:tcPr>
            <w:tcW w:w="450" w:type="dxa"/>
          </w:tcPr>
          <w:p w:rsidR="004E66B6" w:rsidP="004E66B6" w:rsidRDefault="004E66B6" w14:paraId="66952A4D" w14:textId="77777777">
            <w:pPr>
              <w:tabs>
                <w:tab w:val="left" w:pos="360"/>
              </w:tabs>
              <w:jc w:val="center"/>
            </w:pPr>
          </w:p>
        </w:tc>
        <w:tc>
          <w:tcPr>
            <w:tcW w:w="669" w:type="dxa"/>
          </w:tcPr>
          <w:p w:rsidR="004E66B6" w:rsidP="009A7FCC" w:rsidRDefault="004E66B6" w14:paraId="0384CA15" w14:textId="77777777">
            <w:pPr>
              <w:tabs>
                <w:tab w:val="left" w:pos="360"/>
              </w:tabs>
            </w:pPr>
          </w:p>
        </w:tc>
        <w:tc>
          <w:tcPr>
            <w:tcW w:w="450" w:type="dxa"/>
          </w:tcPr>
          <w:p w:rsidR="004E66B6" w:rsidP="009A7FCC" w:rsidRDefault="004E66B6" w14:paraId="18492FA5" w14:textId="77777777">
            <w:pPr>
              <w:tabs>
                <w:tab w:val="left" w:pos="360"/>
              </w:tabs>
            </w:pPr>
          </w:p>
        </w:tc>
        <w:tc>
          <w:tcPr>
            <w:tcW w:w="900" w:type="dxa"/>
          </w:tcPr>
          <w:p w:rsidRPr="00016678" w:rsidR="004E66B6" w:rsidP="009A7FCC" w:rsidRDefault="004E66B6" w14:paraId="4AB58044" w14:textId="77777777">
            <w:pPr>
              <w:tabs>
                <w:tab w:val="left" w:pos="360"/>
              </w:tabs>
            </w:pPr>
          </w:p>
        </w:tc>
        <w:tc>
          <w:tcPr>
            <w:tcW w:w="360" w:type="dxa"/>
          </w:tcPr>
          <w:p w:rsidRPr="00016678" w:rsidR="004E66B6" w:rsidP="009A7FCC" w:rsidRDefault="004E66B6" w14:paraId="30069ACE" w14:textId="77777777">
            <w:pPr>
              <w:tabs>
                <w:tab w:val="left" w:pos="360"/>
              </w:tabs>
            </w:pPr>
          </w:p>
        </w:tc>
        <w:tc>
          <w:tcPr>
            <w:tcW w:w="1131" w:type="dxa"/>
          </w:tcPr>
          <w:p w:rsidRPr="00016678" w:rsidR="004E66B6" w:rsidP="008E132D" w:rsidRDefault="004E66B6" w14:paraId="086D8C1C" w14:textId="77777777">
            <w:pPr>
              <w:tabs>
                <w:tab w:val="left" w:pos="360"/>
              </w:tabs>
              <w:rPr>
                <w:b/>
              </w:rPr>
            </w:pPr>
            <w:r w:rsidRPr="00016678">
              <w:rPr>
                <w:b/>
              </w:rPr>
              <w:t>$</w:t>
            </w:r>
            <w:r w:rsidRPr="000B1194" w:rsidR="008E132D">
              <w:rPr>
                <w:b/>
              </w:rPr>
              <w:t>231</w:t>
            </w:r>
          </w:p>
        </w:tc>
      </w:tr>
    </w:tbl>
    <w:p w:rsidR="006D009E" w:rsidP="006D009E" w:rsidRDefault="006D009E" w14:paraId="62CB8450" w14:textId="77777777">
      <w:pPr>
        <w:rPr>
          <w:i/>
          <w:color w:val="000000" w:themeColor="text1"/>
          <w:sz w:val="28"/>
          <w:szCs w:val="28"/>
        </w:rPr>
      </w:pPr>
    </w:p>
    <w:p w:rsidRPr="00BD5DBE" w:rsidR="00BD5DBE" w:rsidP="034DB005" w:rsidRDefault="00AA2A24" w14:paraId="4D8ADD95" w14:textId="2B66DF3A">
      <w:pPr>
        <w:pStyle w:val="ListParagraph"/>
        <w:numPr>
          <w:ilvl w:val="0"/>
          <w:numId w:val="8"/>
        </w:numPr>
        <w:rPr>
          <w:rFonts w:asciiTheme="minorHAnsi" w:hAnsiTheme="minorHAnsi" w:eastAsiaTheme="minorEastAsia" w:cstheme="minorBidi"/>
          <w:szCs w:val="24"/>
        </w:rPr>
      </w:pPr>
      <w:r>
        <w:rPr>
          <w:i/>
          <w:color w:val="000000" w:themeColor="text1"/>
          <w:sz w:val="28"/>
          <w:szCs w:val="28"/>
        </w:rPr>
        <w:t>Describe the cost incurred by the Federal Government</w:t>
      </w:r>
      <w:r w:rsidRPr="007F6199">
        <w:rPr>
          <w:i/>
          <w:color w:val="000000" w:themeColor="text1"/>
          <w:sz w:val="28"/>
          <w:szCs w:val="28"/>
        </w:rPr>
        <w:t xml:space="preserve"> to complete this collection</w:t>
      </w:r>
      <w:r>
        <w:rPr>
          <w:i/>
          <w:color w:val="000000" w:themeColor="text1"/>
          <w:sz w:val="28"/>
          <w:szCs w:val="28"/>
        </w:rPr>
        <w:t>.</w:t>
      </w:r>
    </w:p>
    <w:p w:rsidR="006D009E" w:rsidP="00BD5DBE" w:rsidRDefault="034DB005" w14:paraId="349FE654" w14:textId="3386983B">
      <w:pPr>
        <w:pStyle w:val="ListParagraph"/>
        <w:ind w:left="360"/>
        <w:rPr>
          <w:rFonts w:asciiTheme="minorHAnsi" w:hAnsiTheme="minorHAnsi" w:eastAsiaTheme="minorEastAsia" w:cstheme="minorBidi"/>
          <w:szCs w:val="24"/>
        </w:rPr>
      </w:pPr>
      <w:r>
        <w:t>Instructions for validation applications are specified on the Department of State’s website, and no cost will be incurred on form development.  The estimated one-time cost to the federal government for publication of this information collection in the Federal Register is $755.00.  The estimated annual cost to the federal government of adjudicating the estimated 150 validation applications that will result from this collection of information is $27,379.50:</w:t>
      </w:r>
    </w:p>
    <w:p w:rsidR="00F12181" w:rsidP="00F12181" w:rsidRDefault="00F12181" w14:paraId="7553E241" w14:textId="77777777">
      <w:pPr>
        <w:pStyle w:val="ListParagraph"/>
        <w:ind w:left="360"/>
      </w:pPr>
    </w:p>
    <w:tbl>
      <w:tblPr>
        <w:tblStyle w:val="TableGrid"/>
        <w:tblW w:w="9360" w:type="dxa"/>
        <w:tblInd w:w="738" w:type="dxa"/>
        <w:tblLayout w:type="fixed"/>
        <w:tblLook w:val="04A0" w:firstRow="1" w:lastRow="0" w:firstColumn="1" w:lastColumn="0" w:noHBand="0" w:noVBand="1"/>
      </w:tblPr>
      <w:tblGrid>
        <w:gridCol w:w="3690"/>
        <w:gridCol w:w="360"/>
        <w:gridCol w:w="1350"/>
        <w:gridCol w:w="450"/>
        <w:gridCol w:w="1530"/>
        <w:gridCol w:w="540"/>
        <w:gridCol w:w="1440"/>
      </w:tblGrid>
      <w:tr w:rsidR="00C8115D" w:rsidTr="00C8115D" w14:paraId="27CCDBFA" w14:textId="77777777">
        <w:trPr>
          <w:cantSplit/>
        </w:trPr>
        <w:tc>
          <w:tcPr>
            <w:tcW w:w="3690" w:type="dxa"/>
            <w:vAlign w:val="center"/>
          </w:tcPr>
          <w:p w:rsidRPr="00036791" w:rsidR="00036791" w:rsidP="00C8115D" w:rsidRDefault="00036791" w14:paraId="2E1BCB3B" w14:textId="77777777">
            <w:pPr>
              <w:tabs>
                <w:tab w:val="left" w:pos="360"/>
              </w:tabs>
              <w:jc w:val="center"/>
              <w:rPr>
                <w:b/>
              </w:rPr>
            </w:pPr>
            <w:r w:rsidRPr="00036791">
              <w:rPr>
                <w:b/>
                <w:szCs w:val="24"/>
              </w:rPr>
              <w:t>Action</w:t>
            </w:r>
          </w:p>
        </w:tc>
        <w:tc>
          <w:tcPr>
            <w:tcW w:w="360" w:type="dxa"/>
            <w:vAlign w:val="center"/>
          </w:tcPr>
          <w:p w:rsidR="00036791" w:rsidP="00C8115D" w:rsidRDefault="00036791" w14:paraId="7B505465" w14:textId="77777777">
            <w:pPr>
              <w:tabs>
                <w:tab w:val="left" w:pos="360"/>
              </w:tabs>
              <w:jc w:val="center"/>
            </w:pPr>
          </w:p>
        </w:tc>
        <w:tc>
          <w:tcPr>
            <w:tcW w:w="1350" w:type="dxa"/>
            <w:vAlign w:val="center"/>
          </w:tcPr>
          <w:p w:rsidRPr="00C8115D" w:rsidR="00036791" w:rsidP="00C8115D" w:rsidRDefault="00036791" w14:paraId="53C2AF36" w14:textId="77777777">
            <w:pPr>
              <w:tabs>
                <w:tab w:val="left" w:pos="360"/>
              </w:tabs>
              <w:jc w:val="center"/>
              <w:rPr>
                <w:b/>
              </w:rPr>
            </w:pPr>
          </w:p>
          <w:p w:rsidRPr="00C8115D" w:rsidR="00036791" w:rsidP="00C8115D" w:rsidRDefault="00036791" w14:paraId="6EC882A8" w14:textId="59F5F21F">
            <w:pPr>
              <w:tabs>
                <w:tab w:val="left" w:pos="360"/>
              </w:tabs>
              <w:jc w:val="center"/>
              <w:rPr>
                <w:b/>
              </w:rPr>
            </w:pPr>
            <w:r w:rsidRPr="00C8115D">
              <w:rPr>
                <w:b/>
              </w:rPr>
              <w:t>Hourly Rate</w:t>
            </w:r>
            <w:r w:rsidR="003B27CF">
              <w:rPr>
                <w:rStyle w:val="FootnoteReference"/>
                <w:b/>
              </w:rPr>
              <w:footnoteReference w:id="6"/>
            </w:r>
          </w:p>
        </w:tc>
        <w:tc>
          <w:tcPr>
            <w:tcW w:w="450" w:type="dxa"/>
            <w:vAlign w:val="center"/>
          </w:tcPr>
          <w:p w:rsidRPr="00C8115D" w:rsidR="00036791" w:rsidP="00C8115D" w:rsidRDefault="00036791" w14:paraId="1D495148" w14:textId="77777777">
            <w:pPr>
              <w:tabs>
                <w:tab w:val="left" w:pos="360"/>
              </w:tabs>
              <w:jc w:val="center"/>
              <w:rPr>
                <w:b/>
              </w:rPr>
            </w:pPr>
          </w:p>
        </w:tc>
        <w:tc>
          <w:tcPr>
            <w:tcW w:w="1530" w:type="dxa"/>
            <w:vAlign w:val="center"/>
          </w:tcPr>
          <w:p w:rsidRPr="00C8115D" w:rsidR="00036791" w:rsidP="00C8115D" w:rsidRDefault="00036791" w14:paraId="20C00083" w14:textId="77777777">
            <w:pPr>
              <w:tabs>
                <w:tab w:val="left" w:pos="360"/>
              </w:tabs>
              <w:jc w:val="center"/>
              <w:rPr>
                <w:b/>
              </w:rPr>
            </w:pPr>
            <w:r w:rsidRPr="00C8115D">
              <w:rPr>
                <w:b/>
              </w:rPr>
              <w:t>Respondents</w:t>
            </w:r>
          </w:p>
        </w:tc>
        <w:tc>
          <w:tcPr>
            <w:tcW w:w="540" w:type="dxa"/>
            <w:vAlign w:val="center"/>
          </w:tcPr>
          <w:p w:rsidRPr="00C8115D" w:rsidR="00036791" w:rsidP="00C8115D" w:rsidRDefault="00036791" w14:paraId="00E074C4" w14:textId="77777777">
            <w:pPr>
              <w:tabs>
                <w:tab w:val="left" w:pos="360"/>
              </w:tabs>
              <w:jc w:val="center"/>
              <w:rPr>
                <w:b/>
              </w:rPr>
            </w:pPr>
          </w:p>
        </w:tc>
        <w:tc>
          <w:tcPr>
            <w:tcW w:w="1440" w:type="dxa"/>
            <w:vAlign w:val="center"/>
          </w:tcPr>
          <w:p w:rsidRPr="00C8115D" w:rsidR="00036791" w:rsidP="00C8115D" w:rsidRDefault="00036791" w14:paraId="3DEC2825" w14:textId="77777777">
            <w:pPr>
              <w:tabs>
                <w:tab w:val="left" w:pos="360"/>
              </w:tabs>
              <w:jc w:val="center"/>
              <w:rPr>
                <w:b/>
              </w:rPr>
            </w:pPr>
            <w:r w:rsidRPr="00C8115D">
              <w:rPr>
                <w:b/>
              </w:rPr>
              <w:t>Total</w:t>
            </w:r>
          </w:p>
        </w:tc>
      </w:tr>
      <w:tr w:rsidR="00C8115D" w:rsidTr="00C8115D" w14:paraId="3D19FFA0" w14:textId="77777777">
        <w:trPr>
          <w:cantSplit/>
        </w:trPr>
        <w:tc>
          <w:tcPr>
            <w:tcW w:w="3690" w:type="dxa"/>
            <w:vAlign w:val="center"/>
          </w:tcPr>
          <w:p w:rsidR="00036791" w:rsidP="00036791" w:rsidRDefault="00036791" w14:paraId="791FBE2A" w14:textId="77777777">
            <w:pPr>
              <w:tabs>
                <w:tab w:val="left" w:pos="360"/>
              </w:tabs>
            </w:pPr>
            <w:r>
              <w:t>(2) – Hours reviewing and drafting each request by GS-14/4 Attorney-Adviser</w:t>
            </w:r>
          </w:p>
        </w:tc>
        <w:tc>
          <w:tcPr>
            <w:tcW w:w="360" w:type="dxa"/>
            <w:vAlign w:val="center"/>
          </w:tcPr>
          <w:p w:rsidR="00036791" w:rsidP="00C8115D" w:rsidRDefault="00AA2A24" w14:paraId="51CF41E0" w14:textId="40533514">
            <w:pPr>
              <w:tabs>
                <w:tab w:val="left" w:pos="360"/>
              </w:tabs>
              <w:jc w:val="center"/>
            </w:pPr>
            <w:r>
              <w:t>X</w:t>
            </w:r>
          </w:p>
        </w:tc>
        <w:tc>
          <w:tcPr>
            <w:tcW w:w="1350" w:type="dxa"/>
            <w:vAlign w:val="center"/>
          </w:tcPr>
          <w:p w:rsidRPr="00016678" w:rsidR="00C8115D" w:rsidP="008E132D" w:rsidRDefault="00C8115D" w14:paraId="171F0884" w14:textId="77777777">
            <w:pPr>
              <w:tabs>
                <w:tab w:val="left" w:pos="360"/>
              </w:tabs>
              <w:jc w:val="center"/>
            </w:pPr>
            <w:r w:rsidRPr="00016678">
              <w:t>$</w:t>
            </w:r>
            <w:r w:rsidRPr="000B1194" w:rsidR="008E132D">
              <w:t>63.94</w:t>
            </w:r>
          </w:p>
        </w:tc>
        <w:tc>
          <w:tcPr>
            <w:tcW w:w="450" w:type="dxa"/>
            <w:vAlign w:val="center"/>
          </w:tcPr>
          <w:p w:rsidRPr="00B77A45" w:rsidR="00036791" w:rsidP="009A7FCC" w:rsidRDefault="00036791" w14:paraId="1C967723" w14:textId="77777777">
            <w:pPr>
              <w:tabs>
                <w:tab w:val="left" w:pos="360"/>
              </w:tabs>
              <w:jc w:val="center"/>
            </w:pPr>
            <w:r w:rsidRPr="00366545">
              <w:t>x</w:t>
            </w:r>
          </w:p>
        </w:tc>
        <w:tc>
          <w:tcPr>
            <w:tcW w:w="1530" w:type="dxa"/>
            <w:vAlign w:val="center"/>
          </w:tcPr>
          <w:p w:rsidRPr="00016678" w:rsidR="00036791" w:rsidP="009A7FCC" w:rsidRDefault="008E132D" w14:paraId="5365429F" w14:textId="77777777">
            <w:pPr>
              <w:tabs>
                <w:tab w:val="left" w:pos="360"/>
              </w:tabs>
              <w:jc w:val="center"/>
            </w:pPr>
            <w:r w:rsidRPr="00B77A45">
              <w:t>150</w:t>
            </w:r>
          </w:p>
        </w:tc>
        <w:tc>
          <w:tcPr>
            <w:tcW w:w="540" w:type="dxa"/>
            <w:vAlign w:val="center"/>
          </w:tcPr>
          <w:p w:rsidRPr="00016678" w:rsidR="00036791" w:rsidP="009A7FCC" w:rsidRDefault="00036791" w14:paraId="6EB99D7C" w14:textId="77777777">
            <w:pPr>
              <w:tabs>
                <w:tab w:val="left" w:pos="360"/>
              </w:tabs>
              <w:jc w:val="center"/>
            </w:pPr>
            <w:r w:rsidRPr="00016678">
              <w:t>=</w:t>
            </w:r>
          </w:p>
        </w:tc>
        <w:tc>
          <w:tcPr>
            <w:tcW w:w="1440" w:type="dxa"/>
            <w:vAlign w:val="center"/>
          </w:tcPr>
          <w:p w:rsidRPr="00016678" w:rsidR="00036791" w:rsidP="006B79A6" w:rsidRDefault="00036791" w14:paraId="61DB8213" w14:textId="77777777">
            <w:pPr>
              <w:tabs>
                <w:tab w:val="left" w:pos="360"/>
              </w:tabs>
              <w:jc w:val="center"/>
            </w:pPr>
            <w:r w:rsidRPr="00016678">
              <w:t xml:space="preserve">$ </w:t>
            </w:r>
            <w:r w:rsidRPr="000B1194" w:rsidR="006B79A6">
              <w:t>19,182.00</w:t>
            </w:r>
          </w:p>
        </w:tc>
      </w:tr>
      <w:tr w:rsidRPr="00CC61A0" w:rsidR="00C8115D" w:rsidTr="00C8115D" w14:paraId="06992CF9" w14:textId="77777777">
        <w:trPr>
          <w:cantSplit/>
        </w:trPr>
        <w:tc>
          <w:tcPr>
            <w:tcW w:w="3690" w:type="dxa"/>
            <w:vAlign w:val="center"/>
          </w:tcPr>
          <w:p w:rsidRPr="00036791" w:rsidR="00036791" w:rsidP="00036791" w:rsidRDefault="00036791" w14:paraId="2970661B" w14:textId="77777777">
            <w:pPr>
              <w:tabs>
                <w:tab w:val="left" w:pos="360"/>
              </w:tabs>
            </w:pPr>
            <w:r>
              <w:t>(1/2) – Hour clearing each request by GS-15/1 Branch Chief</w:t>
            </w:r>
          </w:p>
        </w:tc>
        <w:tc>
          <w:tcPr>
            <w:tcW w:w="360" w:type="dxa"/>
            <w:vAlign w:val="center"/>
          </w:tcPr>
          <w:p w:rsidR="00036791" w:rsidP="00C8115D" w:rsidRDefault="00AA2A24" w14:paraId="5809F080" w14:textId="6ADBC601">
            <w:pPr>
              <w:tabs>
                <w:tab w:val="left" w:pos="360"/>
              </w:tabs>
              <w:jc w:val="center"/>
            </w:pPr>
            <w:r>
              <w:t>X</w:t>
            </w:r>
          </w:p>
        </w:tc>
        <w:tc>
          <w:tcPr>
            <w:tcW w:w="1350" w:type="dxa"/>
            <w:vAlign w:val="center"/>
          </w:tcPr>
          <w:p w:rsidRPr="00016678" w:rsidR="00036791" w:rsidP="008E132D" w:rsidRDefault="00C8115D" w14:paraId="105C3E69" w14:textId="77777777">
            <w:pPr>
              <w:tabs>
                <w:tab w:val="left" w:pos="360"/>
              </w:tabs>
              <w:jc w:val="center"/>
            </w:pPr>
            <w:r w:rsidRPr="00016678">
              <w:t>$</w:t>
            </w:r>
            <w:r w:rsidRPr="000B1194" w:rsidR="008E132D">
              <w:t>68.38</w:t>
            </w:r>
          </w:p>
        </w:tc>
        <w:tc>
          <w:tcPr>
            <w:tcW w:w="450" w:type="dxa"/>
            <w:vAlign w:val="center"/>
          </w:tcPr>
          <w:p w:rsidRPr="00B77A45" w:rsidR="00036791" w:rsidP="009A7FCC" w:rsidRDefault="00036791" w14:paraId="3DD308CD" w14:textId="77777777">
            <w:pPr>
              <w:tabs>
                <w:tab w:val="left" w:pos="360"/>
              </w:tabs>
              <w:jc w:val="center"/>
            </w:pPr>
            <w:r w:rsidRPr="00366545">
              <w:t>x</w:t>
            </w:r>
          </w:p>
        </w:tc>
        <w:tc>
          <w:tcPr>
            <w:tcW w:w="1530" w:type="dxa"/>
            <w:vAlign w:val="center"/>
          </w:tcPr>
          <w:p w:rsidRPr="00016678" w:rsidR="00036791" w:rsidP="009A7FCC" w:rsidRDefault="008E132D" w14:paraId="64058553" w14:textId="77777777">
            <w:pPr>
              <w:tabs>
                <w:tab w:val="left" w:pos="360"/>
              </w:tabs>
              <w:jc w:val="center"/>
            </w:pPr>
            <w:r w:rsidRPr="00B77A45">
              <w:t>150</w:t>
            </w:r>
          </w:p>
        </w:tc>
        <w:tc>
          <w:tcPr>
            <w:tcW w:w="540" w:type="dxa"/>
            <w:vAlign w:val="center"/>
          </w:tcPr>
          <w:p w:rsidRPr="00016678" w:rsidR="00036791" w:rsidP="009A7FCC" w:rsidRDefault="00036791" w14:paraId="42D8ADB9" w14:textId="77777777">
            <w:pPr>
              <w:tabs>
                <w:tab w:val="left" w:pos="360"/>
              </w:tabs>
              <w:jc w:val="center"/>
            </w:pPr>
            <w:r w:rsidRPr="00016678">
              <w:t>=</w:t>
            </w:r>
          </w:p>
        </w:tc>
        <w:tc>
          <w:tcPr>
            <w:tcW w:w="1440" w:type="dxa"/>
            <w:vAlign w:val="center"/>
          </w:tcPr>
          <w:p w:rsidRPr="00016678" w:rsidR="00036791" w:rsidP="006B79A6" w:rsidRDefault="00036791" w14:paraId="0D8D739E" w14:textId="77777777">
            <w:pPr>
              <w:tabs>
                <w:tab w:val="left" w:pos="360"/>
              </w:tabs>
              <w:jc w:val="center"/>
            </w:pPr>
            <w:r w:rsidRPr="00016678">
              <w:t>$</w:t>
            </w:r>
            <w:r w:rsidRPr="000B1194" w:rsidR="006B79A6">
              <w:t>5,128.50</w:t>
            </w:r>
          </w:p>
        </w:tc>
      </w:tr>
      <w:tr w:rsidRPr="00CC61A0" w:rsidR="00C8115D" w:rsidTr="00C8115D" w14:paraId="3C2AD193" w14:textId="77777777">
        <w:trPr>
          <w:cantSplit/>
        </w:trPr>
        <w:tc>
          <w:tcPr>
            <w:tcW w:w="3690" w:type="dxa"/>
            <w:vAlign w:val="center"/>
          </w:tcPr>
          <w:p w:rsidR="00036791" w:rsidP="009A7FCC" w:rsidRDefault="00036791" w14:paraId="3D5F0541" w14:textId="77777777">
            <w:pPr>
              <w:tabs>
                <w:tab w:val="left" w:pos="360"/>
              </w:tabs>
            </w:pPr>
            <w:r>
              <w:t>(1/4) – Hour approving/denying each request by GS-15/10 Director</w:t>
            </w:r>
          </w:p>
        </w:tc>
        <w:tc>
          <w:tcPr>
            <w:tcW w:w="360" w:type="dxa"/>
            <w:vAlign w:val="center"/>
          </w:tcPr>
          <w:p w:rsidR="00036791" w:rsidP="00C8115D" w:rsidRDefault="00AA2A24" w14:paraId="01595C51" w14:textId="7789EF9E">
            <w:pPr>
              <w:tabs>
                <w:tab w:val="left" w:pos="360"/>
              </w:tabs>
              <w:jc w:val="center"/>
            </w:pPr>
            <w:r>
              <w:t>X</w:t>
            </w:r>
          </w:p>
        </w:tc>
        <w:tc>
          <w:tcPr>
            <w:tcW w:w="1350" w:type="dxa"/>
            <w:vAlign w:val="center"/>
          </w:tcPr>
          <w:p w:rsidRPr="00016678" w:rsidR="00036791" w:rsidP="008E132D" w:rsidRDefault="00C8115D" w14:paraId="5C3750C3" w14:textId="77777777">
            <w:pPr>
              <w:tabs>
                <w:tab w:val="left" w:pos="360"/>
              </w:tabs>
              <w:jc w:val="center"/>
            </w:pPr>
            <w:r w:rsidRPr="00016678">
              <w:t>$</w:t>
            </w:r>
            <w:r w:rsidRPr="000B1194" w:rsidR="008E132D">
              <w:t>81.84</w:t>
            </w:r>
          </w:p>
        </w:tc>
        <w:tc>
          <w:tcPr>
            <w:tcW w:w="450" w:type="dxa"/>
            <w:vAlign w:val="center"/>
          </w:tcPr>
          <w:p w:rsidRPr="00B77A45" w:rsidR="00036791" w:rsidP="009A7FCC" w:rsidRDefault="00036791" w14:paraId="512231AA" w14:textId="77777777">
            <w:pPr>
              <w:tabs>
                <w:tab w:val="left" w:pos="360"/>
              </w:tabs>
              <w:jc w:val="center"/>
            </w:pPr>
            <w:r w:rsidRPr="00366545">
              <w:t>x</w:t>
            </w:r>
          </w:p>
        </w:tc>
        <w:tc>
          <w:tcPr>
            <w:tcW w:w="1530" w:type="dxa"/>
            <w:vAlign w:val="center"/>
          </w:tcPr>
          <w:p w:rsidRPr="00016678" w:rsidR="00036791" w:rsidP="009A7FCC" w:rsidRDefault="008E132D" w14:paraId="27D8307C" w14:textId="77777777">
            <w:pPr>
              <w:tabs>
                <w:tab w:val="left" w:pos="360"/>
              </w:tabs>
              <w:jc w:val="center"/>
            </w:pPr>
            <w:r w:rsidRPr="00B77A45">
              <w:t>150</w:t>
            </w:r>
          </w:p>
        </w:tc>
        <w:tc>
          <w:tcPr>
            <w:tcW w:w="540" w:type="dxa"/>
            <w:vAlign w:val="center"/>
          </w:tcPr>
          <w:p w:rsidRPr="00016678" w:rsidR="00036791" w:rsidP="009A7FCC" w:rsidRDefault="00036791" w14:paraId="2BC8C3D7" w14:textId="77777777">
            <w:pPr>
              <w:tabs>
                <w:tab w:val="left" w:pos="360"/>
              </w:tabs>
              <w:jc w:val="center"/>
            </w:pPr>
            <w:r w:rsidRPr="00016678">
              <w:t>=</w:t>
            </w:r>
          </w:p>
        </w:tc>
        <w:tc>
          <w:tcPr>
            <w:tcW w:w="1440" w:type="dxa"/>
            <w:vAlign w:val="center"/>
          </w:tcPr>
          <w:p w:rsidRPr="00016678" w:rsidR="00036791" w:rsidP="006B79A6" w:rsidRDefault="00036791" w14:paraId="500DCAD3" w14:textId="77777777">
            <w:pPr>
              <w:tabs>
                <w:tab w:val="left" w:pos="360"/>
              </w:tabs>
              <w:jc w:val="center"/>
            </w:pPr>
            <w:r w:rsidRPr="00016678">
              <w:t>$</w:t>
            </w:r>
            <w:r w:rsidRPr="000B1194" w:rsidR="006B79A6">
              <w:t>3,069.00</w:t>
            </w:r>
          </w:p>
        </w:tc>
      </w:tr>
      <w:tr w:rsidRPr="00CC61A0" w:rsidR="00C8115D" w:rsidTr="00C8115D" w14:paraId="5BE4D34C" w14:textId="77777777">
        <w:trPr>
          <w:cantSplit/>
        </w:trPr>
        <w:tc>
          <w:tcPr>
            <w:tcW w:w="3690" w:type="dxa"/>
            <w:vAlign w:val="center"/>
          </w:tcPr>
          <w:p w:rsidRPr="00CC61A0" w:rsidR="00036791" w:rsidP="009A7FCC" w:rsidRDefault="00036791" w14:paraId="51B6D4D6" w14:textId="77777777">
            <w:pPr>
              <w:tabs>
                <w:tab w:val="left" w:pos="360"/>
              </w:tabs>
              <w:rPr>
                <w:b/>
              </w:rPr>
            </w:pPr>
            <w:r>
              <w:rPr>
                <w:b/>
              </w:rPr>
              <w:t>Estimated Annual Cost to Federal Government</w:t>
            </w:r>
          </w:p>
        </w:tc>
        <w:tc>
          <w:tcPr>
            <w:tcW w:w="360" w:type="dxa"/>
          </w:tcPr>
          <w:p w:rsidR="00036791" w:rsidP="009A7FCC" w:rsidRDefault="00036791" w14:paraId="6E0FE6D0" w14:textId="77777777">
            <w:pPr>
              <w:tabs>
                <w:tab w:val="left" w:pos="360"/>
              </w:tabs>
              <w:jc w:val="center"/>
            </w:pPr>
          </w:p>
        </w:tc>
        <w:tc>
          <w:tcPr>
            <w:tcW w:w="1350" w:type="dxa"/>
            <w:vAlign w:val="center"/>
          </w:tcPr>
          <w:p w:rsidRPr="00016678" w:rsidR="00036791" w:rsidP="00C8115D" w:rsidRDefault="00036791" w14:paraId="7316A7EE" w14:textId="77777777">
            <w:pPr>
              <w:tabs>
                <w:tab w:val="left" w:pos="360"/>
              </w:tabs>
              <w:jc w:val="center"/>
            </w:pPr>
          </w:p>
        </w:tc>
        <w:tc>
          <w:tcPr>
            <w:tcW w:w="450" w:type="dxa"/>
            <w:vAlign w:val="center"/>
          </w:tcPr>
          <w:p w:rsidRPr="00366545" w:rsidR="00036791" w:rsidP="009A7FCC" w:rsidRDefault="00036791" w14:paraId="473544BB" w14:textId="77777777">
            <w:pPr>
              <w:tabs>
                <w:tab w:val="left" w:pos="360"/>
              </w:tabs>
              <w:jc w:val="center"/>
            </w:pPr>
          </w:p>
        </w:tc>
        <w:tc>
          <w:tcPr>
            <w:tcW w:w="1530" w:type="dxa"/>
            <w:vAlign w:val="center"/>
          </w:tcPr>
          <w:p w:rsidRPr="00B77A45" w:rsidR="00036791" w:rsidP="009A7FCC" w:rsidRDefault="00036791" w14:paraId="619A89BB" w14:textId="77777777">
            <w:pPr>
              <w:tabs>
                <w:tab w:val="left" w:pos="360"/>
              </w:tabs>
              <w:jc w:val="center"/>
            </w:pPr>
          </w:p>
        </w:tc>
        <w:tc>
          <w:tcPr>
            <w:tcW w:w="540" w:type="dxa"/>
            <w:vAlign w:val="center"/>
          </w:tcPr>
          <w:p w:rsidRPr="00B77A45" w:rsidR="00036791" w:rsidP="009A7FCC" w:rsidRDefault="00036791" w14:paraId="00A2B5EF" w14:textId="77777777">
            <w:pPr>
              <w:tabs>
                <w:tab w:val="left" w:pos="360"/>
              </w:tabs>
              <w:jc w:val="center"/>
            </w:pPr>
          </w:p>
        </w:tc>
        <w:tc>
          <w:tcPr>
            <w:tcW w:w="1440" w:type="dxa"/>
            <w:vAlign w:val="center"/>
          </w:tcPr>
          <w:p w:rsidRPr="00016678" w:rsidR="00036791" w:rsidP="006B79A6" w:rsidRDefault="00036791" w14:paraId="7D2A53FC" w14:textId="77777777">
            <w:pPr>
              <w:tabs>
                <w:tab w:val="left" w:pos="360"/>
              </w:tabs>
              <w:jc w:val="center"/>
              <w:rPr>
                <w:b/>
              </w:rPr>
            </w:pPr>
            <w:r w:rsidRPr="00016678">
              <w:rPr>
                <w:b/>
              </w:rPr>
              <w:t xml:space="preserve">$ </w:t>
            </w:r>
            <w:r w:rsidRPr="000B1194" w:rsidR="006B79A6">
              <w:rPr>
                <w:b/>
              </w:rPr>
              <w:t>27,379.50</w:t>
            </w:r>
          </w:p>
        </w:tc>
      </w:tr>
    </w:tbl>
    <w:p w:rsidRPr="000B1194" w:rsidR="006D009E" w:rsidP="006D009E" w:rsidRDefault="00456587" w14:paraId="748AED70" w14:textId="4715869E">
      <w:pPr>
        <w:ind w:left="360"/>
        <w:rPr>
          <w:color w:val="000000" w:themeColor="text1"/>
          <w:szCs w:val="24"/>
        </w:rPr>
      </w:pPr>
      <w:r>
        <w:rPr>
          <w:i/>
          <w:color w:val="000000" w:themeColor="text1"/>
          <w:sz w:val="28"/>
          <w:szCs w:val="28"/>
        </w:rPr>
        <w:tab/>
      </w:r>
    </w:p>
    <w:p w:rsidRPr="00BD5DBE" w:rsidR="00BD5DBE" w:rsidP="00665FB4" w:rsidRDefault="00AA2A24" w14:paraId="7C6FDBE3" w14:textId="332BC739">
      <w:pPr>
        <w:numPr>
          <w:ilvl w:val="0"/>
          <w:numId w:val="10"/>
        </w:numPr>
        <w:contextualSpacing/>
        <w:rPr>
          <w:rFonts w:eastAsiaTheme="minorEastAsia"/>
        </w:rPr>
      </w:pPr>
      <w:r w:rsidRPr="007F6199">
        <w:rPr>
          <w:i/>
          <w:color w:val="000000" w:themeColor="text1"/>
          <w:sz w:val="28"/>
          <w:szCs w:val="28"/>
        </w:rPr>
        <w:t>Explain any changes/adjustments to this collection since the previous submission</w:t>
      </w:r>
    </w:p>
    <w:p w:rsidRPr="00665FB4" w:rsidR="009731F7" w:rsidP="00BD5DBE" w:rsidRDefault="001D2A0B" w14:paraId="10C3D1EF" w14:textId="63638846">
      <w:pPr>
        <w:ind w:left="360"/>
        <w:contextualSpacing/>
        <w:rPr>
          <w:rFonts w:eastAsiaTheme="minorEastAsia"/>
        </w:rPr>
      </w:pPr>
      <w:r w:rsidRPr="00665FB4">
        <w:t>The change</w:t>
      </w:r>
      <w:r w:rsidRPr="00665FB4" w:rsidR="007B0B44">
        <w:t xml:space="preserve"> reflected in this renewal</w:t>
      </w:r>
      <w:r w:rsidRPr="00665FB4" w:rsidR="009731F7">
        <w:t xml:space="preserve"> include</w:t>
      </w:r>
      <w:r w:rsidRPr="00665FB4" w:rsidR="00665FB4">
        <w:t xml:space="preserve">s permitting individuals to request a multiple-entry special validation for </w:t>
      </w:r>
      <w:r w:rsidRPr="00665FB4">
        <w:t xml:space="preserve">travel to a restricted area </w:t>
      </w:r>
      <w:r w:rsidRPr="00665FB4" w:rsidR="00665FB4">
        <w:t xml:space="preserve">on a U.S. passport </w:t>
      </w:r>
      <w:r w:rsidRPr="00665FB4">
        <w:t>within a one-year period, and corresponding revision of the estimated number of respondents in calculating costs.</w:t>
      </w:r>
      <w:r w:rsidRPr="00665FB4" w:rsidR="009731F7">
        <w:t xml:space="preserve"> </w:t>
      </w:r>
    </w:p>
    <w:p w:rsidRPr="00665FB4" w:rsidR="009731F7" w:rsidP="00665FB4" w:rsidRDefault="009731F7" w14:paraId="43597532" w14:textId="77777777">
      <w:pPr>
        <w:ind w:left="360"/>
        <w:contextualSpacing/>
      </w:pPr>
    </w:p>
    <w:p w:rsidRPr="00665FB4" w:rsidR="00C8115D" w:rsidP="00665FB4" w:rsidRDefault="009731F7" w14:paraId="3167E4A6" w14:textId="74E1736D">
      <w:pPr>
        <w:ind w:left="360"/>
        <w:contextualSpacing/>
        <w:rPr>
          <w:rFonts w:eastAsiaTheme="minorEastAsia"/>
        </w:rPr>
      </w:pPr>
      <w:r w:rsidRPr="00665FB4">
        <w:t>Additional requirements for multiple-entry validations posted on travel.state.gov include demonstrating that the work is in the national interest consistent with 22 C.F.R. §§ 51.63-51.64</w:t>
      </w:r>
      <w:r w:rsidRPr="00665FB4" w:rsidR="00665FB4">
        <w:t>;</w:t>
      </w:r>
      <w:r w:rsidRPr="00665FB4">
        <w:t xml:space="preserve"> that the organization has a well-established history of traveling to the DPRK to work on well-monitored projects with compelling humanitarian considerations</w:t>
      </w:r>
      <w:r w:rsidRPr="00665FB4" w:rsidR="00665FB4">
        <w:t>;</w:t>
      </w:r>
      <w:r w:rsidRPr="00665FB4">
        <w:t xml:space="preserve"> and the submission of draft itineraries and sufficient documentation showing that </w:t>
      </w:r>
      <w:r w:rsidRPr="00665FB4" w:rsidR="00665FB4">
        <w:t>the</w:t>
      </w:r>
      <w:r w:rsidRPr="00665FB4">
        <w:t xml:space="preserve"> humanitarian work requires </w:t>
      </w:r>
      <w:r w:rsidRPr="00665FB4" w:rsidR="00665FB4">
        <w:t>the individual</w:t>
      </w:r>
      <w:r w:rsidRPr="00665FB4">
        <w:t xml:space="preserve"> to make multiple trips to the DPRK in the next 365-day period.  </w:t>
      </w:r>
      <w:r w:rsidRPr="00665FB4" w:rsidR="00665FB4">
        <w:t>For those granted a multiple-entry special validation, t</w:t>
      </w:r>
      <w:r w:rsidRPr="00665FB4">
        <w:t xml:space="preserve">here is also </w:t>
      </w:r>
      <w:r w:rsidRPr="00665FB4" w:rsidR="0092387E">
        <w:t>the</w:t>
      </w:r>
      <w:r w:rsidRPr="00665FB4">
        <w:t xml:space="preserve"> requirement that the </w:t>
      </w:r>
      <w:r w:rsidRPr="00665FB4" w:rsidR="00665FB4">
        <w:t xml:space="preserve">traveler submit </w:t>
      </w:r>
      <w:r w:rsidRPr="00665FB4">
        <w:t>final itinerary detailing dates and purpose of travel at least 30 days prior to each trip</w:t>
      </w:r>
      <w:r w:rsidRPr="00665FB4" w:rsidR="0092387E">
        <w:t>.</w:t>
      </w:r>
      <w:r w:rsidRPr="00665FB4">
        <w:t xml:space="preserve"> </w:t>
      </w:r>
    </w:p>
    <w:p w:rsidRPr="00C8115D" w:rsidR="00C8115D" w:rsidP="00C8115D" w:rsidRDefault="00C8115D" w14:paraId="79BB88BF" w14:textId="77777777">
      <w:pPr>
        <w:pStyle w:val="ListParagraph"/>
        <w:ind w:left="360"/>
        <w:rPr>
          <w:i/>
          <w:color w:val="000000" w:themeColor="text1"/>
          <w:sz w:val="28"/>
          <w:szCs w:val="28"/>
        </w:rPr>
      </w:pPr>
    </w:p>
    <w:p w:rsidRPr="00BD5DBE" w:rsidR="00BD5DBE" w:rsidP="034DB005" w:rsidRDefault="00AA2A24" w14:paraId="2454AD49" w14:textId="3C54AFDB">
      <w:pPr>
        <w:pStyle w:val="ListParagraph"/>
        <w:numPr>
          <w:ilvl w:val="0"/>
          <w:numId w:val="8"/>
        </w:numPr>
        <w:rPr>
          <w:i/>
          <w:iCs/>
          <w:color w:val="000000" w:themeColor="text1"/>
          <w:sz w:val="28"/>
          <w:szCs w:val="28"/>
        </w:rPr>
      </w:pPr>
      <w:r w:rsidRPr="007F6199">
        <w:rPr>
          <w:i/>
          <w:color w:val="000000" w:themeColor="text1"/>
          <w:sz w:val="28"/>
          <w:szCs w:val="28"/>
        </w:rPr>
        <w:t>Specify if the data gathered by this collection will be published</w:t>
      </w:r>
      <w:r>
        <w:rPr>
          <w:i/>
          <w:color w:val="000000" w:themeColor="text1"/>
          <w:sz w:val="28"/>
          <w:szCs w:val="28"/>
        </w:rPr>
        <w:t>.</w:t>
      </w:r>
    </w:p>
    <w:p w:rsidRPr="00C8115D" w:rsidR="00C8115D" w:rsidP="00BD5DBE" w:rsidRDefault="034DB005" w14:paraId="2A79FC6D" w14:textId="1F7E3472">
      <w:pPr>
        <w:pStyle w:val="ListParagraph"/>
        <w:ind w:left="360"/>
        <w:rPr>
          <w:i/>
          <w:iCs/>
          <w:color w:val="000000" w:themeColor="text1"/>
          <w:sz w:val="28"/>
          <w:szCs w:val="28"/>
        </w:rPr>
      </w:pPr>
      <w:r>
        <w:t xml:space="preserve">Quantitative summaries of Department of State passport activities are published periodically on the Department of State website at www.travel.state.gov.  Such summaries do not involve the use of complex analytical techniques.  </w:t>
      </w:r>
    </w:p>
    <w:p w:rsidRPr="00C8115D" w:rsidR="00C8115D" w:rsidP="00C8115D" w:rsidRDefault="00C8115D" w14:paraId="24D5B0F3" w14:textId="77777777">
      <w:pPr>
        <w:pStyle w:val="ListParagraph"/>
        <w:rPr>
          <w:color w:val="000000" w:themeColor="text1"/>
          <w:szCs w:val="24"/>
        </w:rPr>
      </w:pPr>
    </w:p>
    <w:p w:rsidRPr="00AA2A24" w:rsidR="00AA2A24" w:rsidP="034DB005" w:rsidRDefault="00AA2A24" w14:paraId="359D8E0C" w14:textId="6CBCE819">
      <w:pPr>
        <w:pStyle w:val="ListParagraph"/>
        <w:numPr>
          <w:ilvl w:val="0"/>
          <w:numId w:val="8"/>
        </w:numPr>
        <w:rPr>
          <w:i/>
          <w:iCs/>
          <w:color w:val="000000" w:themeColor="text1"/>
          <w:sz w:val="28"/>
          <w:szCs w:val="28"/>
        </w:rPr>
      </w:pPr>
      <w:r>
        <w:rPr>
          <w:i/>
          <w:color w:val="000000" w:themeColor="text1"/>
          <w:sz w:val="28"/>
          <w:szCs w:val="28"/>
        </w:rPr>
        <w:t>If applicable, ex</w:t>
      </w:r>
      <w:r w:rsidRPr="007F6199">
        <w:rPr>
          <w:i/>
          <w:color w:val="000000" w:themeColor="text1"/>
          <w:sz w:val="28"/>
          <w:szCs w:val="28"/>
        </w:rPr>
        <w:t>plain the reason</w:t>
      </w:r>
      <w:r>
        <w:rPr>
          <w:i/>
          <w:color w:val="000000" w:themeColor="text1"/>
          <w:sz w:val="28"/>
          <w:szCs w:val="28"/>
        </w:rPr>
        <w:t>(</w:t>
      </w:r>
      <w:r w:rsidRPr="007F6199">
        <w:rPr>
          <w:i/>
          <w:color w:val="000000" w:themeColor="text1"/>
          <w:sz w:val="28"/>
          <w:szCs w:val="28"/>
        </w:rPr>
        <w:t>s</w:t>
      </w:r>
      <w:r>
        <w:rPr>
          <w:i/>
          <w:color w:val="000000" w:themeColor="text1"/>
          <w:sz w:val="28"/>
          <w:szCs w:val="28"/>
        </w:rPr>
        <w:t>)</w:t>
      </w:r>
      <w:r w:rsidRPr="007F6199">
        <w:rPr>
          <w:i/>
          <w:color w:val="000000" w:themeColor="text1"/>
          <w:sz w:val="28"/>
          <w:szCs w:val="28"/>
        </w:rPr>
        <w:t xml:space="preserve"> for seeking approval to not </w:t>
      </w:r>
      <w:r>
        <w:rPr>
          <w:i/>
          <w:color w:val="000000" w:themeColor="text1"/>
          <w:sz w:val="28"/>
          <w:szCs w:val="28"/>
        </w:rPr>
        <w:t>display the OMB expiration date.</w:t>
      </w:r>
    </w:p>
    <w:p w:rsidR="00AA2A24" w:rsidP="00B03CD8" w:rsidRDefault="00AA2A24" w14:paraId="2620FF7E" w14:textId="7E1BCD8B">
      <w:pPr>
        <w:pStyle w:val="ListParagraph"/>
        <w:ind w:left="360"/>
        <w:rPr>
          <w:i/>
          <w:color w:val="000000" w:themeColor="text1"/>
          <w:sz w:val="28"/>
          <w:szCs w:val="28"/>
        </w:rPr>
      </w:pPr>
      <w:r>
        <w:t xml:space="preserve">The Department of State may report to Congress regarding aggregate numbers of validation applications received and approved, but there are no plans to publish the results of this collection of information.  </w:t>
      </w:r>
    </w:p>
    <w:p w:rsidRPr="00B03CD8" w:rsidR="00AA2A24" w:rsidP="00B03CD8" w:rsidRDefault="00AA2A24" w14:paraId="3803056F" w14:textId="77777777">
      <w:pPr>
        <w:pStyle w:val="ListParagraph"/>
        <w:ind w:left="360"/>
        <w:rPr>
          <w:i/>
          <w:iCs/>
          <w:color w:val="000000" w:themeColor="text1"/>
          <w:sz w:val="28"/>
          <w:szCs w:val="28"/>
        </w:rPr>
      </w:pPr>
    </w:p>
    <w:p w:rsidRPr="00B03CD8" w:rsidR="00AA2A24" w:rsidP="034DB005" w:rsidRDefault="00AA2A24" w14:paraId="3DA5C4F8" w14:textId="1B8231CB">
      <w:pPr>
        <w:pStyle w:val="ListParagraph"/>
        <w:numPr>
          <w:ilvl w:val="0"/>
          <w:numId w:val="8"/>
        </w:numPr>
        <w:rPr>
          <w:i/>
          <w:iCs/>
          <w:color w:val="000000" w:themeColor="text1"/>
          <w:sz w:val="28"/>
          <w:szCs w:val="28"/>
        </w:rPr>
      </w:pPr>
      <w:r w:rsidRPr="007F6199">
        <w:rPr>
          <w:i/>
          <w:color w:val="000000" w:themeColor="text1"/>
          <w:sz w:val="28"/>
          <w:szCs w:val="28"/>
        </w:rPr>
        <w:t>Explain any exceptions to the OMB certification statement</w:t>
      </w:r>
      <w:r>
        <w:rPr>
          <w:i/>
          <w:color w:val="000000" w:themeColor="text1"/>
          <w:sz w:val="28"/>
          <w:szCs w:val="28"/>
        </w:rPr>
        <w:t xml:space="preserve"> below.</w:t>
      </w:r>
    </w:p>
    <w:p w:rsidRPr="00C8115D" w:rsidR="001551C6" w:rsidP="00B03CD8" w:rsidRDefault="034DB005" w14:paraId="34F21B77" w14:textId="2FC1ECCA">
      <w:pPr>
        <w:pStyle w:val="ListParagraph"/>
        <w:ind w:left="360"/>
        <w:rPr>
          <w:i/>
          <w:iCs/>
          <w:color w:val="000000" w:themeColor="text1"/>
          <w:sz w:val="28"/>
          <w:szCs w:val="28"/>
        </w:rPr>
      </w:pPr>
      <w:r w:rsidRPr="034DB005">
        <w:rPr>
          <w:color w:val="000000" w:themeColor="text1"/>
        </w:rPr>
        <w:t>The Department is not seeking exceptions to the certification statement</w:t>
      </w:r>
    </w:p>
    <w:p w:rsidR="001551C6" w:rsidP="001551C6" w:rsidRDefault="001551C6" w14:paraId="47147F1E" w14:textId="77777777">
      <w:pPr>
        <w:pStyle w:val="Heading1"/>
        <w:rPr>
          <w:b w:val="0"/>
        </w:rPr>
      </w:pPr>
    </w:p>
    <w:p w:rsidR="001551C6" w:rsidP="001551C6" w:rsidRDefault="001551C6" w14:paraId="785D8866" w14:textId="77777777">
      <w:pPr>
        <w:pStyle w:val="Heading1"/>
      </w:pPr>
      <w:r>
        <w:t>B.</w:t>
      </w:r>
      <w:r>
        <w:tab/>
        <w:t>COLLECTION OF INFORMATION EMPLOYING STATISTICAL METHODS</w:t>
      </w:r>
    </w:p>
    <w:p w:rsidRPr="00F31406" w:rsidR="001551C6" w:rsidP="006D009E" w:rsidRDefault="001551C6" w14:paraId="37469D7A" w14:textId="77777777">
      <w:pPr>
        <w:rPr>
          <w:color w:val="000000" w:themeColor="text1"/>
        </w:rPr>
      </w:pPr>
      <w:r>
        <w:t xml:space="preserve">This collection does not employ statistical methods. </w:t>
      </w:r>
    </w:p>
    <w:p w:rsidR="00B020B8" w:rsidRDefault="00B020B8" w14:paraId="2B1424DE" w14:textId="77777777"/>
    <w:p w:rsidR="00C32EFD" w:rsidP="00A17E33" w:rsidRDefault="00C32EFD" w14:paraId="35048BC2" w14:textId="0FF42361">
      <w:pPr>
        <w:spacing w:after="200" w:line="276" w:lineRule="auto"/>
      </w:pPr>
    </w:p>
    <w:sectPr w:rsidR="00C32EFD" w:rsidSect="00047D8D">
      <w:headerReference w:type="default"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47A1D" w14:textId="77777777" w:rsidR="006E09A7" w:rsidRDefault="006E09A7" w:rsidP="00DA61A2">
      <w:pPr>
        <w:spacing w:after="0"/>
      </w:pPr>
      <w:r>
        <w:separator/>
      </w:r>
    </w:p>
  </w:endnote>
  <w:endnote w:type="continuationSeparator" w:id="0">
    <w:p w14:paraId="2AD4F3AC" w14:textId="77777777" w:rsidR="006E09A7" w:rsidRDefault="006E09A7" w:rsidP="00DA61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00DFF" w14:textId="77777777" w:rsidR="00DA61A2" w:rsidRDefault="00DA61A2">
    <w:pPr>
      <w:pStyle w:val="Footer"/>
    </w:pPr>
    <w:r>
      <w:rPr>
        <w:noProof/>
      </w:rPr>
      <mc:AlternateContent>
        <mc:Choice Requires="wps">
          <w:drawing>
            <wp:anchor distT="0" distB="0" distL="114300" distR="114300" simplePos="0" relativeHeight="251659264" behindDoc="0" locked="0" layoutInCell="0" allowOverlap="1" wp14:anchorId="3DCB5311" wp14:editId="3C3E8539">
              <wp:simplePos x="0" y="0"/>
              <wp:positionH relativeFrom="page">
                <wp:posOffset>0</wp:posOffset>
              </wp:positionH>
              <wp:positionV relativeFrom="page">
                <wp:posOffset>9601200</wp:posOffset>
              </wp:positionV>
              <wp:extent cx="7772400" cy="266700"/>
              <wp:effectExtent l="0" t="0" r="0" b="0"/>
              <wp:wrapNone/>
              <wp:docPr id="1" name="MSIPCMf48e452cb0263095864dabd4" descr="{&quot;HashCode&quot;:-14458544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42E18C" w14:textId="32C4C91D" w:rsidR="00DA61A2" w:rsidRPr="00DA61A2" w:rsidRDefault="00EB4F41" w:rsidP="00DA61A2">
                          <w:pPr>
                            <w:spacing w:after="0"/>
                            <w:jc w:val="center"/>
                            <w:rPr>
                              <w:color w:val="000000"/>
                              <w:sz w:val="20"/>
                            </w:rPr>
                          </w:pPr>
                          <w:r>
                            <w:rPr>
                              <w:color w:val="000000"/>
                              <w:sz w:val="20"/>
                            </w:rPr>
                            <w:t>SENSITIVE BUT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CB5311" id="_x0000_t202" coordsize="21600,21600" o:spt="202" path="m,l,21600r21600,l21600,xe">
              <v:stroke joinstyle="miter"/>
              <v:path gradientshapeok="t" o:connecttype="rect"/>
            </v:shapetype>
            <v:shape id="MSIPCMf48e452cb0263095864dabd4" o:spid="_x0000_s1026" type="#_x0000_t202" alt="{&quot;HashCode&quot;:-1445854450,&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" o:allowincell="f" filled="f" stroked="f" strokeweight=".5pt">
              <v:textbox inset=",0,,0">
                <w:txbxContent>
                  <w:p w14:paraId="4242E18C" w14:textId="32C4C91D" w:rsidR="00DA61A2" w:rsidRPr="00DA61A2" w:rsidRDefault="00EB4F41" w:rsidP="00DA61A2">
                    <w:pPr>
                      <w:spacing w:after="0"/>
                      <w:jc w:val="center"/>
                      <w:rPr>
                        <w:color w:val="000000"/>
                        <w:sz w:val="20"/>
                      </w:rPr>
                    </w:pPr>
                    <w:r>
                      <w:rPr>
                        <w:color w:val="000000"/>
                        <w:sz w:val="20"/>
                      </w:rPr>
                      <w:t>SENSITIVE BUT 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1AB10" w14:textId="7D1F0D88" w:rsidR="00045E23" w:rsidRDefault="00045E23">
    <w:pPr>
      <w:pStyle w:val="Footer"/>
    </w:pPr>
    <w:r>
      <w:rPr>
        <w:noProof/>
      </w:rPr>
      <mc:AlternateContent>
        <mc:Choice Requires="wps">
          <w:drawing>
            <wp:anchor distT="0" distB="0" distL="114300" distR="114300" simplePos="0" relativeHeight="251660288" behindDoc="0" locked="0" layoutInCell="0" allowOverlap="1" wp14:anchorId="2B57282C" wp14:editId="04708698">
              <wp:simplePos x="0" y="0"/>
              <wp:positionH relativeFrom="page">
                <wp:posOffset>0</wp:posOffset>
              </wp:positionH>
              <wp:positionV relativeFrom="page">
                <wp:posOffset>9601200</wp:posOffset>
              </wp:positionV>
              <wp:extent cx="7772400" cy="266700"/>
              <wp:effectExtent l="0" t="0" r="0" b="0"/>
              <wp:wrapNone/>
              <wp:docPr id="2" name="MSIPCM7d55465b905b0af21e370dc1" descr="{&quot;HashCode&quot;:-14458544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7D3CD9" w14:textId="0045C1B4" w:rsidR="00045E23" w:rsidRPr="00045E23" w:rsidRDefault="00045E23" w:rsidP="00045E23">
                          <w:pPr>
                            <w:spacing w:after="0"/>
                            <w:jc w:val="center"/>
                            <w:rPr>
                              <w:color w:val="000000"/>
                              <w:sz w:val="20"/>
                            </w:rPr>
                          </w:pPr>
                          <w:r w:rsidRPr="00045E23">
                            <w:rPr>
                              <w:color w:val="000000"/>
                              <w:sz w:val="20"/>
                            </w:rPr>
                            <w:t>SENSITIVE BUT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57282C" id="_x0000_t202" coordsize="21600,21600" o:spt="202" path="m,l,21600r21600,l21600,xe">
              <v:stroke joinstyle="miter"/>
              <v:path gradientshapeok="t" o:connecttype="rect"/>
            </v:shapetype>
            <v:shape id="MSIPCM7d55465b905b0af21e370dc1" o:spid="_x0000_s1027" type="#_x0000_t202" alt="{&quot;HashCode&quot;:-1445854450,&quot;Height&quot;:792.0,&quot;Width&quot;:612.0,&quot;Placement&quot;:&quot;Footer&quot;,&quot;Index&quot;:&quot;FirstPage&quot;,&quot;Section&quot;:1,&quot;Top&quot;:0.0,&quot;Left&quot;:0.0}" style="position:absolute;margin-left:0;margin-top:756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" o:allowincell="f" filled="f" stroked="f" strokeweight=".5pt">
              <v:textbox inset=",0,,0">
                <w:txbxContent>
                  <w:p w14:paraId="707D3CD9" w14:textId="0045C1B4" w:rsidR="00045E23" w:rsidRPr="00045E23" w:rsidRDefault="00045E23" w:rsidP="00045E23">
                    <w:pPr>
                      <w:spacing w:after="0"/>
                      <w:jc w:val="center"/>
                      <w:rPr>
                        <w:color w:val="000000"/>
                        <w:sz w:val="20"/>
                      </w:rPr>
                    </w:pPr>
                    <w:r w:rsidRPr="00045E23">
                      <w:rPr>
                        <w:color w:val="000000"/>
                        <w:sz w:val="20"/>
                      </w:rPr>
                      <w:t>SENSITIVE BUT 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A8AE4" w14:textId="77777777" w:rsidR="006E09A7" w:rsidRDefault="006E09A7" w:rsidP="00DA61A2">
      <w:pPr>
        <w:spacing w:after="0"/>
      </w:pPr>
      <w:r>
        <w:separator/>
      </w:r>
    </w:p>
  </w:footnote>
  <w:footnote w:type="continuationSeparator" w:id="0">
    <w:p w14:paraId="186EF13E" w14:textId="77777777" w:rsidR="006E09A7" w:rsidRDefault="006E09A7" w:rsidP="00DA61A2">
      <w:pPr>
        <w:spacing w:after="0"/>
      </w:pPr>
      <w:r>
        <w:continuationSeparator/>
      </w:r>
    </w:p>
  </w:footnote>
  <w:footnote w:id="1">
    <w:p w14:paraId="6E970915" w14:textId="3817F0DE" w:rsidR="00537A89" w:rsidRDefault="00537A89">
      <w:pPr>
        <w:pStyle w:val="FootnoteText"/>
      </w:pPr>
      <w:r>
        <w:rPr>
          <w:rStyle w:val="FootnoteReference"/>
        </w:rPr>
        <w:footnoteRef/>
      </w:r>
      <w:r>
        <w:t xml:space="preserve"> Source: </w:t>
      </w:r>
      <w:r w:rsidRPr="00537A89">
        <w:t>https://www.bls.gov/oes/current/oes_nat.htm#00-0000</w:t>
      </w:r>
    </w:p>
  </w:footnote>
  <w:footnote w:id="2">
    <w:p w14:paraId="12662C95" w14:textId="0CAFD3F3" w:rsidR="007C6F73" w:rsidRDefault="007C6F73">
      <w:pPr>
        <w:pStyle w:val="FootnoteText"/>
      </w:pPr>
      <w:r>
        <w:rPr>
          <w:rStyle w:val="FootnoteReference"/>
        </w:rPr>
        <w:footnoteRef/>
      </w:r>
      <w:r>
        <w:t xml:space="preserve"> Source: </w:t>
      </w:r>
      <w:r w:rsidRPr="007C6F73">
        <w:t>https://www.bls.gov/oes/current/oes_nat.htm#00-0000</w:t>
      </w:r>
    </w:p>
  </w:footnote>
  <w:footnote w:id="3">
    <w:p w14:paraId="190343B6" w14:textId="657DF7D9" w:rsidR="007C6F73" w:rsidRDefault="007C6F73">
      <w:pPr>
        <w:pStyle w:val="FootnoteText"/>
      </w:pPr>
      <w:r>
        <w:rPr>
          <w:rStyle w:val="FootnoteReference"/>
        </w:rPr>
        <w:footnoteRef/>
      </w:r>
      <w:r>
        <w:t xml:space="preserve"> Source: </w:t>
      </w:r>
      <w:r w:rsidRPr="007C6F73">
        <w:t>https://www.bls.gov/oes/current/oes_nat.htm#00-0000</w:t>
      </w:r>
    </w:p>
  </w:footnote>
  <w:footnote w:id="4">
    <w:p w14:paraId="4D55B0A5" w14:textId="16378786" w:rsidR="007C6F73" w:rsidRDefault="007C6F73">
      <w:pPr>
        <w:pStyle w:val="FootnoteText"/>
      </w:pPr>
      <w:r>
        <w:rPr>
          <w:rStyle w:val="FootnoteReference"/>
        </w:rPr>
        <w:footnoteRef/>
      </w:r>
      <w:r>
        <w:t xml:space="preserve"> Source: </w:t>
      </w:r>
      <w:r w:rsidRPr="007C6F73">
        <w:t>https://postcalc.usps.com/</w:t>
      </w:r>
    </w:p>
  </w:footnote>
  <w:footnote w:id="5">
    <w:p w14:paraId="68104280" w14:textId="6F6C0F68" w:rsidR="007C6F73" w:rsidRDefault="007C6F73">
      <w:pPr>
        <w:pStyle w:val="FootnoteText"/>
      </w:pPr>
      <w:r>
        <w:rPr>
          <w:rStyle w:val="FootnoteReference"/>
        </w:rPr>
        <w:footnoteRef/>
      </w:r>
      <w:r>
        <w:t xml:space="preserve"> Source: </w:t>
      </w:r>
      <w:r w:rsidRPr="007C6F73">
        <w:t>https:/</w:t>
      </w:r>
      <w:r>
        <w:t>/www.gsa.gov/travel-resources</w:t>
      </w:r>
    </w:p>
  </w:footnote>
  <w:footnote w:id="6">
    <w:p w14:paraId="4B567BAF" w14:textId="492A7A21" w:rsidR="003B27CF" w:rsidRDefault="003B27CF">
      <w:pPr>
        <w:pStyle w:val="FootnoteText"/>
      </w:pPr>
      <w:r>
        <w:rPr>
          <w:rStyle w:val="FootnoteReference"/>
        </w:rPr>
        <w:footnoteRef/>
      </w:r>
      <w:r>
        <w:t xml:space="preserve"> Source: </w:t>
      </w:r>
      <w:r w:rsidRPr="003B27CF">
        <w:t>https://www.opm.gov/policy-data-oversight/pay-leave/salaries-wages/salary-tables/20Tables/html/DCB_h.aspx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861623"/>
      <w:docPartObj>
        <w:docPartGallery w:val="Page Numbers (Top of Page)"/>
        <w:docPartUnique/>
      </w:docPartObj>
    </w:sdtPr>
    <w:sdtEndPr>
      <w:rPr>
        <w:noProof/>
      </w:rPr>
    </w:sdtEndPr>
    <w:sdtContent>
      <w:p w14:paraId="47FA7BDD" w14:textId="576EE524" w:rsidR="00871FA4" w:rsidRDefault="00871FA4">
        <w:pPr>
          <w:pStyle w:val="Header"/>
          <w:jc w:val="center"/>
        </w:pPr>
        <w:r>
          <w:fldChar w:fldCharType="begin"/>
        </w:r>
        <w:r>
          <w:instrText xml:space="preserve"> PAGE   \* MERGEFORMAT </w:instrText>
        </w:r>
        <w:r>
          <w:fldChar w:fldCharType="separate"/>
        </w:r>
        <w:r w:rsidR="001A7BF1">
          <w:rPr>
            <w:noProof/>
          </w:rPr>
          <w:t>2</w:t>
        </w:r>
        <w:r>
          <w:rPr>
            <w:noProof/>
          </w:rPr>
          <w:fldChar w:fldCharType="end"/>
        </w:r>
      </w:p>
    </w:sdtContent>
  </w:sdt>
  <w:p w14:paraId="64E34A16" w14:textId="77777777" w:rsidR="00871FA4" w:rsidRDefault="00871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ADA"/>
    <w:multiLevelType w:val="singleLevel"/>
    <w:tmpl w:val="0409000F"/>
    <w:lvl w:ilvl="0">
      <w:start w:val="1"/>
      <w:numFmt w:val="decimal"/>
      <w:lvlText w:val="%1."/>
      <w:lvlJc w:val="left"/>
      <w:pPr>
        <w:ind w:left="720" w:hanging="360"/>
      </w:pPr>
    </w:lvl>
  </w:abstractNum>
  <w:abstractNum w:abstractNumId="1" w15:restartNumberingAfterBreak="0">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8C6AAD"/>
    <w:multiLevelType w:val="hybridMultilevel"/>
    <w:tmpl w:val="E4483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C2671"/>
    <w:multiLevelType w:val="hybridMultilevel"/>
    <w:tmpl w:val="DFF09440"/>
    <w:lvl w:ilvl="0" w:tplc="BC080F28">
      <w:start w:val="1"/>
      <w:numFmt w:val="decimal"/>
      <w:lvlText w:val="%1."/>
      <w:lvlJc w:val="left"/>
      <w:pPr>
        <w:ind w:left="360" w:hanging="360"/>
      </w:pPr>
      <w:rPr>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1C0CDF"/>
    <w:multiLevelType w:val="hybridMultilevel"/>
    <w:tmpl w:val="79C8664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2860AD"/>
    <w:multiLevelType w:val="hybridMultilevel"/>
    <w:tmpl w:val="8788CB46"/>
    <w:lvl w:ilvl="0" w:tplc="49BE68C4">
      <w:start w:val="1"/>
      <w:numFmt w:val="decimal"/>
      <w:lvlText w:val="%1."/>
      <w:lvlJc w:val="left"/>
      <w:pPr>
        <w:ind w:left="360" w:hanging="360"/>
      </w:pPr>
      <w:rPr>
        <w:rFonts w:hint="default"/>
        <w:i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A72EB9"/>
    <w:multiLevelType w:val="hybridMultilevel"/>
    <w:tmpl w:val="39D2918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C51BB8"/>
    <w:multiLevelType w:val="hybridMultilevel"/>
    <w:tmpl w:val="563A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7"/>
  </w:num>
  <w:num w:numId="3">
    <w:abstractNumId w:val="9"/>
  </w:num>
  <w:num w:numId="4">
    <w:abstractNumId w:val="4"/>
  </w:num>
  <w:num w:numId="5">
    <w:abstractNumId w:val="1"/>
  </w:num>
  <w:num w:numId="6">
    <w:abstractNumId w:val="11"/>
  </w:num>
  <w:num w:numId="7">
    <w:abstractNumId w:val="2"/>
  </w:num>
  <w:num w:numId="8">
    <w:abstractNumId w:val="6"/>
  </w:num>
  <w:num w:numId="9">
    <w:abstractNumId w:val="3"/>
  </w:num>
  <w:num w:numId="10">
    <w:abstractNumId w:val="6"/>
  </w:num>
  <w:num w:numId="11">
    <w:abstractNumId w:val="10"/>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1C6"/>
    <w:rsid w:val="00016678"/>
    <w:rsid w:val="00017BC8"/>
    <w:rsid w:val="00036791"/>
    <w:rsid w:val="00045E23"/>
    <w:rsid w:val="00047D8D"/>
    <w:rsid w:val="00082326"/>
    <w:rsid w:val="00082CC0"/>
    <w:rsid w:val="00093DFE"/>
    <w:rsid w:val="000A0B99"/>
    <w:rsid w:val="000B1194"/>
    <w:rsid w:val="001241F9"/>
    <w:rsid w:val="001351C1"/>
    <w:rsid w:val="0015206E"/>
    <w:rsid w:val="00154EB4"/>
    <w:rsid w:val="001551C6"/>
    <w:rsid w:val="00166154"/>
    <w:rsid w:val="001A4478"/>
    <w:rsid w:val="001A7BF1"/>
    <w:rsid w:val="001C26CB"/>
    <w:rsid w:val="001D2192"/>
    <w:rsid w:val="001D24C8"/>
    <w:rsid w:val="001D2A0B"/>
    <w:rsid w:val="001F5B5E"/>
    <w:rsid w:val="00215738"/>
    <w:rsid w:val="002226B3"/>
    <w:rsid w:val="00256AE6"/>
    <w:rsid w:val="00262585"/>
    <w:rsid w:val="002C31DA"/>
    <w:rsid w:val="00302B87"/>
    <w:rsid w:val="00314A3E"/>
    <w:rsid w:val="0031591B"/>
    <w:rsid w:val="00332192"/>
    <w:rsid w:val="003340FD"/>
    <w:rsid w:val="00335308"/>
    <w:rsid w:val="003561FB"/>
    <w:rsid w:val="00360C57"/>
    <w:rsid w:val="00361E8E"/>
    <w:rsid w:val="00366545"/>
    <w:rsid w:val="003669D2"/>
    <w:rsid w:val="003867FF"/>
    <w:rsid w:val="00393FB3"/>
    <w:rsid w:val="00394A2C"/>
    <w:rsid w:val="003B1570"/>
    <w:rsid w:val="003B27CF"/>
    <w:rsid w:val="003F7BBF"/>
    <w:rsid w:val="00401494"/>
    <w:rsid w:val="0041615B"/>
    <w:rsid w:val="00456587"/>
    <w:rsid w:val="0047170E"/>
    <w:rsid w:val="004853D0"/>
    <w:rsid w:val="00485F8E"/>
    <w:rsid w:val="0048633B"/>
    <w:rsid w:val="004A7CA9"/>
    <w:rsid w:val="004B32D8"/>
    <w:rsid w:val="004B7C93"/>
    <w:rsid w:val="004C0071"/>
    <w:rsid w:val="004C0328"/>
    <w:rsid w:val="004C0F74"/>
    <w:rsid w:val="004D1469"/>
    <w:rsid w:val="004E66B6"/>
    <w:rsid w:val="004F3B97"/>
    <w:rsid w:val="004F53FC"/>
    <w:rsid w:val="0052655C"/>
    <w:rsid w:val="00532055"/>
    <w:rsid w:val="00537A89"/>
    <w:rsid w:val="005515B7"/>
    <w:rsid w:val="005809AC"/>
    <w:rsid w:val="0059577D"/>
    <w:rsid w:val="005A7099"/>
    <w:rsid w:val="005A7218"/>
    <w:rsid w:val="005D6647"/>
    <w:rsid w:val="00612DC6"/>
    <w:rsid w:val="006172FD"/>
    <w:rsid w:val="00622B2A"/>
    <w:rsid w:val="00644B2F"/>
    <w:rsid w:val="006557D7"/>
    <w:rsid w:val="00664A2A"/>
    <w:rsid w:val="00665FB4"/>
    <w:rsid w:val="00667F6F"/>
    <w:rsid w:val="00693DDC"/>
    <w:rsid w:val="006B79A6"/>
    <w:rsid w:val="006D009E"/>
    <w:rsid w:val="006D6649"/>
    <w:rsid w:val="006E09A7"/>
    <w:rsid w:val="00702889"/>
    <w:rsid w:val="0072735D"/>
    <w:rsid w:val="0076469E"/>
    <w:rsid w:val="007B0B44"/>
    <w:rsid w:val="007C6F73"/>
    <w:rsid w:val="007E5B96"/>
    <w:rsid w:val="00831AC0"/>
    <w:rsid w:val="008665A0"/>
    <w:rsid w:val="00871FA4"/>
    <w:rsid w:val="008733E8"/>
    <w:rsid w:val="0088349C"/>
    <w:rsid w:val="008B071E"/>
    <w:rsid w:val="008B691B"/>
    <w:rsid w:val="008C305C"/>
    <w:rsid w:val="008C65C3"/>
    <w:rsid w:val="008E132D"/>
    <w:rsid w:val="009226E3"/>
    <w:rsid w:val="0092387E"/>
    <w:rsid w:val="00930883"/>
    <w:rsid w:val="0096116E"/>
    <w:rsid w:val="009731F7"/>
    <w:rsid w:val="009752CF"/>
    <w:rsid w:val="009A36F0"/>
    <w:rsid w:val="009B3A32"/>
    <w:rsid w:val="009C31D1"/>
    <w:rsid w:val="009D660E"/>
    <w:rsid w:val="00A17E33"/>
    <w:rsid w:val="00A233C2"/>
    <w:rsid w:val="00A458A6"/>
    <w:rsid w:val="00A6006D"/>
    <w:rsid w:val="00A722DC"/>
    <w:rsid w:val="00A72A4E"/>
    <w:rsid w:val="00AA11BC"/>
    <w:rsid w:val="00AA2A24"/>
    <w:rsid w:val="00AD7DE9"/>
    <w:rsid w:val="00AE08E1"/>
    <w:rsid w:val="00AE43B1"/>
    <w:rsid w:val="00AE5585"/>
    <w:rsid w:val="00AE68A1"/>
    <w:rsid w:val="00AE7096"/>
    <w:rsid w:val="00B020B8"/>
    <w:rsid w:val="00B03CD8"/>
    <w:rsid w:val="00B075B1"/>
    <w:rsid w:val="00B42468"/>
    <w:rsid w:val="00B77A45"/>
    <w:rsid w:val="00B810E1"/>
    <w:rsid w:val="00B85B0E"/>
    <w:rsid w:val="00B91F38"/>
    <w:rsid w:val="00B974E6"/>
    <w:rsid w:val="00BD5DBE"/>
    <w:rsid w:val="00BE32F7"/>
    <w:rsid w:val="00C072F3"/>
    <w:rsid w:val="00C32EFD"/>
    <w:rsid w:val="00C337FE"/>
    <w:rsid w:val="00C52927"/>
    <w:rsid w:val="00C8115D"/>
    <w:rsid w:val="00CF2166"/>
    <w:rsid w:val="00D14E09"/>
    <w:rsid w:val="00D556C9"/>
    <w:rsid w:val="00D617FD"/>
    <w:rsid w:val="00D745FE"/>
    <w:rsid w:val="00D83CB3"/>
    <w:rsid w:val="00DA61A2"/>
    <w:rsid w:val="00DA760B"/>
    <w:rsid w:val="00DE673E"/>
    <w:rsid w:val="00E12F51"/>
    <w:rsid w:val="00E44BF8"/>
    <w:rsid w:val="00E4640F"/>
    <w:rsid w:val="00E55543"/>
    <w:rsid w:val="00E869B3"/>
    <w:rsid w:val="00EA7120"/>
    <w:rsid w:val="00EB4F41"/>
    <w:rsid w:val="00EC1B9D"/>
    <w:rsid w:val="00F12181"/>
    <w:rsid w:val="00FB54B0"/>
    <w:rsid w:val="00FF09F0"/>
    <w:rsid w:val="034DB005"/>
    <w:rsid w:val="7B0E1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A8C96"/>
  <w15:docId w15:val="{ECB85642-0C6D-400B-A8C0-AD1C5E9B1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CommentReference">
    <w:name w:val="annotation reference"/>
    <w:uiPriority w:val="99"/>
    <w:rsid w:val="002226B3"/>
    <w:rPr>
      <w:sz w:val="16"/>
      <w:szCs w:val="16"/>
    </w:rPr>
  </w:style>
  <w:style w:type="paragraph" w:styleId="CommentText">
    <w:name w:val="annotation text"/>
    <w:basedOn w:val="Normal"/>
    <w:link w:val="CommentTextChar"/>
    <w:uiPriority w:val="99"/>
    <w:rsid w:val="002226B3"/>
    <w:rPr>
      <w:sz w:val="20"/>
    </w:rPr>
  </w:style>
  <w:style w:type="character" w:customStyle="1" w:styleId="CommentTextChar">
    <w:name w:val="Comment Text Char"/>
    <w:basedOn w:val="DefaultParagraphFont"/>
    <w:link w:val="CommentText"/>
    <w:uiPriority w:val="99"/>
    <w:rsid w:val="002226B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226B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6B3"/>
    <w:rPr>
      <w:rFonts w:ascii="Tahoma" w:eastAsia="Times New Roman" w:hAnsi="Tahoma" w:cs="Tahoma"/>
      <w:sz w:val="16"/>
      <w:szCs w:val="16"/>
    </w:rPr>
  </w:style>
  <w:style w:type="paragraph" w:styleId="BodyTextIndent">
    <w:name w:val="Body Text Indent"/>
    <w:basedOn w:val="Normal"/>
    <w:link w:val="BodyTextIndentChar"/>
    <w:rsid w:val="006D009E"/>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6D009E"/>
    <w:rPr>
      <w:rFonts w:ascii="Times New Roman" w:eastAsia="Times New Roman" w:hAnsi="Times New Roman" w:cs="Times New Roman"/>
      <w:sz w:val="24"/>
      <w:szCs w:val="24"/>
    </w:rPr>
  </w:style>
  <w:style w:type="table" w:styleId="TableGrid">
    <w:name w:val="Table Grid"/>
    <w:basedOn w:val="TableNormal"/>
    <w:uiPriority w:val="59"/>
    <w:rsid w:val="006D0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61A2"/>
    <w:pPr>
      <w:tabs>
        <w:tab w:val="center" w:pos="4680"/>
        <w:tab w:val="right" w:pos="9360"/>
      </w:tabs>
      <w:spacing w:after="0"/>
    </w:pPr>
  </w:style>
  <w:style w:type="character" w:customStyle="1" w:styleId="HeaderChar">
    <w:name w:val="Header Char"/>
    <w:basedOn w:val="DefaultParagraphFont"/>
    <w:link w:val="Header"/>
    <w:uiPriority w:val="99"/>
    <w:rsid w:val="00DA61A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A61A2"/>
    <w:pPr>
      <w:tabs>
        <w:tab w:val="center" w:pos="4680"/>
        <w:tab w:val="right" w:pos="9360"/>
      </w:tabs>
      <w:spacing w:after="0"/>
    </w:pPr>
  </w:style>
  <w:style w:type="character" w:customStyle="1" w:styleId="FooterChar">
    <w:name w:val="Footer Char"/>
    <w:basedOn w:val="DefaultParagraphFont"/>
    <w:link w:val="Footer"/>
    <w:uiPriority w:val="99"/>
    <w:rsid w:val="00DA61A2"/>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BE32F7"/>
    <w:rPr>
      <w:b/>
      <w:bCs/>
    </w:rPr>
  </w:style>
  <w:style w:type="character" w:customStyle="1" w:styleId="CommentSubjectChar">
    <w:name w:val="Comment Subject Char"/>
    <w:basedOn w:val="CommentTextChar"/>
    <w:link w:val="CommentSubject"/>
    <w:uiPriority w:val="99"/>
    <w:semiHidden/>
    <w:rsid w:val="00BE32F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56587"/>
    <w:rPr>
      <w:color w:val="0000FF" w:themeColor="hyperlink"/>
      <w:u w:val="single"/>
    </w:rPr>
  </w:style>
  <w:style w:type="paragraph" w:styleId="FootnoteText">
    <w:name w:val="footnote text"/>
    <w:basedOn w:val="Normal"/>
    <w:link w:val="FootnoteTextChar"/>
    <w:uiPriority w:val="99"/>
    <w:semiHidden/>
    <w:unhideWhenUsed/>
    <w:rsid w:val="00537A89"/>
    <w:pPr>
      <w:spacing w:after="0"/>
    </w:pPr>
    <w:rPr>
      <w:sz w:val="20"/>
    </w:rPr>
  </w:style>
  <w:style w:type="character" w:customStyle="1" w:styleId="FootnoteTextChar">
    <w:name w:val="Footnote Text Char"/>
    <w:basedOn w:val="DefaultParagraphFont"/>
    <w:link w:val="FootnoteText"/>
    <w:uiPriority w:val="99"/>
    <w:semiHidden/>
    <w:rsid w:val="00537A8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7A89"/>
    <w:rPr>
      <w:vertAlign w:val="superscript"/>
    </w:rPr>
  </w:style>
  <w:style w:type="character" w:styleId="Strong">
    <w:name w:val="Strong"/>
    <w:basedOn w:val="DefaultParagraphFont"/>
    <w:uiPriority w:val="22"/>
    <w:qFormat/>
    <w:rsid w:val="00262585"/>
    <w:rPr>
      <w:b/>
      <w:bCs/>
    </w:rPr>
  </w:style>
  <w:style w:type="paragraph" w:customStyle="1" w:styleId="Default">
    <w:name w:val="Default"/>
    <w:rsid w:val="0070288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30072">
      <w:bodyDiv w:val="1"/>
      <w:marLeft w:val="0"/>
      <w:marRight w:val="0"/>
      <w:marTop w:val="0"/>
      <w:marBottom w:val="0"/>
      <w:divBdr>
        <w:top w:val="none" w:sz="0" w:space="0" w:color="auto"/>
        <w:left w:val="none" w:sz="0" w:space="0" w:color="auto"/>
        <w:bottom w:val="none" w:sz="0" w:space="0" w:color="auto"/>
        <w:right w:val="none" w:sz="0" w:space="0" w:color="auto"/>
      </w:divBdr>
    </w:div>
    <w:div w:id="1043092950">
      <w:bodyDiv w:val="1"/>
      <w:marLeft w:val="0"/>
      <w:marRight w:val="0"/>
      <w:marTop w:val="0"/>
      <w:marBottom w:val="0"/>
      <w:divBdr>
        <w:top w:val="none" w:sz="0" w:space="0" w:color="auto"/>
        <w:left w:val="none" w:sz="0" w:space="0" w:color="auto"/>
        <w:bottom w:val="none" w:sz="0" w:space="0" w:color="auto"/>
        <w:right w:val="none" w:sz="0" w:space="0" w:color="auto"/>
      </w:divBdr>
    </w:div>
    <w:div w:id="1552185387">
      <w:bodyDiv w:val="1"/>
      <w:marLeft w:val="0"/>
      <w:marRight w:val="0"/>
      <w:marTop w:val="0"/>
      <w:marBottom w:val="0"/>
      <w:divBdr>
        <w:top w:val="none" w:sz="0" w:space="0" w:color="auto"/>
        <w:left w:val="none" w:sz="0" w:space="0" w:color="auto"/>
        <w:bottom w:val="none" w:sz="0" w:space="0" w:color="auto"/>
        <w:right w:val="none" w:sz="0" w:space="0" w:color="auto"/>
      </w:divBdr>
    </w:div>
    <w:div w:id="214468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PTSpecialValidations@state.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4B01F029692041A7486645BF369C0F" ma:contentTypeVersion="8" ma:contentTypeDescription="Create a new document." ma:contentTypeScope="" ma:versionID="8f79f2a1bb54d6ec6eafceac36ae4300">
  <xsd:schema xmlns:xsd="http://www.w3.org/2001/XMLSchema" xmlns:xs="http://www.w3.org/2001/XMLSchema" xmlns:p="http://schemas.microsoft.com/office/2006/metadata/properties" xmlns:ns3="f9ed9578-d32b-44f4-833c-23a98eae8c72" xmlns:ns4="63cd4b08-1e1e-4154-b8f6-beaff3d9baa2" targetNamespace="http://schemas.microsoft.com/office/2006/metadata/properties" ma:root="true" ma:fieldsID="548dd65036e457b59cf0d6db5b3ed2ec" ns3:_="" ns4:_="">
    <xsd:import namespace="f9ed9578-d32b-44f4-833c-23a98eae8c72"/>
    <xsd:import namespace="63cd4b08-1e1e-4154-b8f6-beaff3d9baa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d9578-d32b-44f4-833c-23a98eae8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d4b08-1e1e-4154-b8f6-beaff3d9ba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1EE0F-CE06-42F1-81A3-F30A98D4B208}">
  <ds:schemaRefs>
    <ds:schemaRef ds:uri="f9ed9578-d32b-44f4-833c-23a98eae8c72"/>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63cd4b08-1e1e-4154-b8f6-beaff3d9baa2"/>
  </ds:schemaRefs>
</ds:datastoreItem>
</file>

<file path=customXml/itemProps2.xml><?xml version="1.0" encoding="utf-8"?>
<ds:datastoreItem xmlns:ds="http://schemas.openxmlformats.org/officeDocument/2006/customXml" ds:itemID="{375D155B-099C-442B-9C3D-58804F2A3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d9578-d32b-44f4-833c-23a98eae8c72"/>
    <ds:schemaRef ds:uri="63cd4b08-1e1e-4154-b8f6-beaff3d9b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DBF0B7-4735-4445-B3AA-0E5AD8A5172B}">
  <ds:schemaRefs>
    <ds:schemaRef ds:uri="http://schemas.microsoft.com/sharepoint/v3/contenttype/forms"/>
  </ds:schemaRefs>
</ds:datastoreItem>
</file>

<file path=customXml/itemProps4.xml><?xml version="1.0" encoding="utf-8"?>
<ds:datastoreItem xmlns:ds="http://schemas.openxmlformats.org/officeDocument/2006/customXml" ds:itemID="{2420A3EB-E20F-418A-894A-F86CBF4ED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3561</Words>
  <Characters>20300</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23814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Watkins, Pamela K</cp:lastModifiedBy>
  <cp:revision>2</cp:revision>
  <cp:lastPrinted>2020-12-11T15:31:00Z</cp:lastPrinted>
  <dcterms:created xsi:type="dcterms:W3CDTF">2021-01-04T16:04:00Z</dcterms:created>
  <dcterms:modified xsi:type="dcterms:W3CDTF">2021-01-04T16:04:00Z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0x010100AF4B01F029692041A7486645BF369C0F</vt:lpwstr>
  </property>
  <property fmtid="{D5CDD505-2E9C-101B-9397-08002B2CF9AE}" pid="3" name="MSIP_Label_0d3cdd76-ed86-4455-8be3-c27733367ace_Enabled">
    <vt:lpwstr>True</vt:lpwstr>
  </property>
  <property fmtid="{D5CDD505-2E9C-101B-9397-08002B2CF9AE}" pid="4" name="MSIP_Label_0d3cdd76-ed86-4455-8be3-c27733367ace_SiteId">
    <vt:lpwstr>66cf5074-5afe-48d1-a691-a12b2121f44b</vt:lpwstr>
  </property>
  <property fmtid="{D5CDD505-2E9C-101B-9397-08002B2CF9AE}" pid="5" name="MSIP_Label_0d3cdd76-ed86-4455-8be3-c27733367ace_Owner">
    <vt:lpwstr>PizzaKA@state.gov</vt:lpwstr>
  </property>
  <property fmtid="{D5CDD505-2E9C-101B-9397-08002B2CF9AE}" pid="6" name="MSIP_Label_0d3cdd76-ed86-4455-8be3-c27733367ace_SetDate">
    <vt:lpwstr>2020-05-18T15:54:45.4457505Z</vt:lpwstr>
  </property>
  <property fmtid="{D5CDD505-2E9C-101B-9397-08002B2CF9AE}" pid="7" name="MSIP_Label_0d3cdd76-ed86-4455-8be3-c27733367ace_Name">
    <vt:lpwstr>SBU</vt:lpwstr>
  </property>
  <property fmtid="{D5CDD505-2E9C-101B-9397-08002B2CF9AE}" pid="8" name="MSIP_Label_0d3cdd76-ed86-4455-8be3-c27733367ace_Application">
    <vt:lpwstr>Microsoft Azure Information Protection</vt:lpwstr>
  </property>
  <property fmtid="{D5CDD505-2E9C-101B-9397-08002B2CF9AE}" pid="9" name="MSIP_Label_0d3cdd76-ed86-4455-8be3-c27733367ace_ActionId">
    <vt:lpwstr>3057a733-120e-488a-9c6f-520ba2d476ff</vt:lpwstr>
  </property>
  <property fmtid="{D5CDD505-2E9C-101B-9397-08002B2CF9AE}" pid="10" name="MSIP_Label_0d3cdd76-ed86-4455-8be3-c27733367ace_Extended_MSFT_Method">
    <vt:lpwstr>Manual</vt:lpwstr>
  </property>
  <property fmtid="{D5CDD505-2E9C-101B-9397-08002B2CF9AE}" pid="11" name="Sensitivity">
    <vt:lpwstr>SBU</vt:lpwstr>
  </property>
</Properties>
</file>