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3B92" w:rsidR="006800B3" w:rsidRDefault="006800B3" w14:paraId="069836F5" w14:textId="77777777">
      <w:pPr>
        <w:jc w:val="center"/>
        <w:rPr>
          <w:rFonts w:ascii="Times New Roman" w:hAnsi="Times New Roman" w:cs="Times New Roman"/>
          <w:b/>
          <w:bCs/>
          <w:sz w:val="24"/>
          <w:szCs w:val="24"/>
        </w:rPr>
      </w:pPr>
      <w:r w:rsidRPr="000C3B92">
        <w:rPr>
          <w:rFonts w:ascii="Times New Roman" w:hAnsi="Times New Roman" w:cs="Times New Roman"/>
          <w:sz w:val="24"/>
          <w:szCs w:val="24"/>
          <w:lang w:val="en-CA"/>
        </w:rPr>
        <w:fldChar w:fldCharType="begin"/>
      </w:r>
      <w:r w:rsidRPr="000C3B92">
        <w:rPr>
          <w:rFonts w:ascii="Times New Roman" w:hAnsi="Times New Roman" w:cs="Times New Roman"/>
          <w:sz w:val="24"/>
          <w:szCs w:val="24"/>
          <w:lang w:val="en-CA"/>
        </w:rPr>
        <w:instrText xml:space="preserve"> SEQ CHAPTER \h \r 1</w:instrText>
      </w:r>
      <w:r w:rsidRPr="000C3B92">
        <w:rPr>
          <w:rFonts w:ascii="Times New Roman" w:hAnsi="Times New Roman" w:cs="Times New Roman"/>
          <w:sz w:val="24"/>
          <w:szCs w:val="24"/>
          <w:lang w:val="en-CA"/>
        </w:rPr>
        <w:fldChar w:fldCharType="end"/>
      </w:r>
      <w:r w:rsidRPr="000C3B92">
        <w:rPr>
          <w:rFonts w:ascii="Times New Roman" w:hAnsi="Times New Roman" w:cs="Times New Roman"/>
          <w:b/>
          <w:bCs/>
          <w:sz w:val="24"/>
          <w:szCs w:val="24"/>
        </w:rPr>
        <w:t>SUPPORTING STATEMENT</w:t>
      </w:r>
    </w:p>
    <w:p w:rsidRPr="000C3B92" w:rsidR="00860546" w:rsidRDefault="00860546" w14:paraId="18811106" w14:textId="77777777">
      <w:pPr>
        <w:jc w:val="center"/>
        <w:rPr>
          <w:rFonts w:ascii="Times New Roman" w:hAnsi="Times New Roman" w:cs="Times New Roman"/>
          <w:b/>
          <w:bCs/>
          <w:sz w:val="24"/>
          <w:szCs w:val="24"/>
        </w:rPr>
      </w:pPr>
      <w:r w:rsidRPr="000C3B92">
        <w:rPr>
          <w:rFonts w:ascii="Times New Roman" w:hAnsi="Times New Roman" w:cs="Times New Roman"/>
          <w:b/>
          <w:bCs/>
          <w:sz w:val="24"/>
          <w:szCs w:val="24"/>
        </w:rPr>
        <w:t>Internal Revenue Service</w:t>
      </w:r>
    </w:p>
    <w:p w:rsidRPr="000C3B92" w:rsidR="005D50B0" w:rsidRDefault="005566E0" w14:paraId="2C872BFC" w14:textId="66EEA7E4">
      <w:pPr>
        <w:jc w:val="center"/>
        <w:rPr>
          <w:rFonts w:ascii="Times New Roman" w:hAnsi="Times New Roman" w:cs="Times New Roman"/>
          <w:b/>
          <w:bCs/>
          <w:sz w:val="24"/>
          <w:szCs w:val="24"/>
        </w:rPr>
      </w:pPr>
      <w:r w:rsidRPr="000C3B92">
        <w:rPr>
          <w:rFonts w:ascii="Times New Roman" w:hAnsi="Times New Roman" w:cs="Times New Roman"/>
          <w:b/>
          <w:bCs/>
          <w:sz w:val="24"/>
          <w:szCs w:val="24"/>
        </w:rPr>
        <w:t xml:space="preserve"> TD 8743 </w:t>
      </w:r>
      <w:r w:rsidR="00CB125B">
        <w:rPr>
          <w:rFonts w:ascii="Times New Roman" w:hAnsi="Times New Roman" w:cs="Times New Roman"/>
          <w:b/>
          <w:bCs/>
          <w:sz w:val="24"/>
          <w:szCs w:val="24"/>
        </w:rPr>
        <w:t>(</w:t>
      </w:r>
      <w:r w:rsidRPr="000C3B92" w:rsidR="005D19A0">
        <w:rPr>
          <w:rFonts w:ascii="Times New Roman" w:hAnsi="Times New Roman" w:cs="Times New Roman"/>
          <w:b/>
          <w:bCs/>
          <w:sz w:val="24"/>
          <w:szCs w:val="24"/>
        </w:rPr>
        <w:t xml:space="preserve">Sale of Residence </w:t>
      </w:r>
      <w:r w:rsidRPr="000C3B92" w:rsidR="002A7CAB">
        <w:rPr>
          <w:rFonts w:ascii="Times New Roman" w:hAnsi="Times New Roman" w:cs="Times New Roman"/>
          <w:b/>
          <w:bCs/>
          <w:sz w:val="24"/>
          <w:szCs w:val="24"/>
        </w:rPr>
        <w:t>F</w:t>
      </w:r>
      <w:r w:rsidRPr="000C3B92" w:rsidR="005D19A0">
        <w:rPr>
          <w:rFonts w:ascii="Times New Roman" w:hAnsi="Times New Roman" w:cs="Times New Roman"/>
          <w:b/>
          <w:bCs/>
          <w:sz w:val="24"/>
          <w:szCs w:val="24"/>
        </w:rPr>
        <w:t>rom Qualified Personal Residence Trust</w:t>
      </w:r>
      <w:r w:rsidR="00CB125B">
        <w:rPr>
          <w:rFonts w:ascii="Times New Roman" w:hAnsi="Times New Roman" w:cs="Times New Roman"/>
          <w:b/>
          <w:bCs/>
          <w:sz w:val="24"/>
          <w:szCs w:val="24"/>
        </w:rPr>
        <w:t>)</w:t>
      </w:r>
    </w:p>
    <w:p w:rsidRPr="000C3B92" w:rsidR="005566E0" w:rsidP="005566E0" w:rsidRDefault="005566E0" w14:paraId="02406D2E" w14:textId="3A4DA200">
      <w:pPr>
        <w:jc w:val="center"/>
        <w:rPr>
          <w:rFonts w:ascii="Times New Roman" w:hAnsi="Times New Roman" w:cs="Times New Roman"/>
          <w:b/>
          <w:bCs/>
          <w:sz w:val="24"/>
          <w:szCs w:val="24"/>
        </w:rPr>
      </w:pPr>
      <w:r w:rsidRPr="000C3B92">
        <w:rPr>
          <w:rFonts w:ascii="Times New Roman" w:hAnsi="Times New Roman" w:cs="Times New Roman"/>
          <w:b/>
          <w:bCs/>
          <w:sz w:val="24"/>
          <w:szCs w:val="24"/>
        </w:rPr>
        <w:t>OMB #1545-1485</w:t>
      </w:r>
    </w:p>
    <w:p w:rsidR="005D50B0" w:rsidP="00106D04" w:rsidRDefault="005D50B0" w14:paraId="58AF351E" w14:textId="7CA9298A">
      <w:pPr>
        <w:jc w:val="center"/>
        <w:rPr>
          <w:rFonts w:ascii="CG Times" w:hAnsi="CG Times" w:cs="CG Times"/>
          <w:b/>
          <w:bCs/>
          <w:sz w:val="24"/>
          <w:szCs w:val="24"/>
        </w:rPr>
      </w:pPr>
    </w:p>
    <w:p w:rsidR="006800B3" w:rsidP="00AD6812" w:rsidRDefault="006800B3" w14:paraId="5495A02E" w14:textId="77777777">
      <w:pPr>
        <w:rPr>
          <w:rFonts w:ascii="CG Times" w:hAnsi="CG Times" w:cs="CG Times"/>
          <w:b/>
          <w:bCs/>
          <w:sz w:val="24"/>
          <w:szCs w:val="24"/>
        </w:rPr>
      </w:pPr>
    </w:p>
    <w:p w:rsidRPr="00CF4282" w:rsidR="006800B3" w:rsidRDefault="006800B3" w14:paraId="22755DDE"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CIRCUMSTANCES NECESSITATING COLLECTION OF INFORMATION</w:t>
      </w:r>
    </w:p>
    <w:p w:rsidRPr="00CF4282" w:rsidR="006800B3" w:rsidRDefault="006800B3" w14:paraId="0B9ED5BC" w14:textId="77777777">
      <w:pPr>
        <w:numPr>
          <w:ilvl w:val="12"/>
          <w:numId w:val="0"/>
        </w:numPr>
        <w:rPr>
          <w:rFonts w:ascii="Times New Roman" w:hAnsi="Times New Roman" w:cs="Times New Roman"/>
          <w:bCs/>
          <w:sz w:val="24"/>
          <w:szCs w:val="24"/>
        </w:rPr>
      </w:pPr>
    </w:p>
    <w:p w:rsidR="006800B3" w:rsidP="00A744FE" w:rsidRDefault="00AF2F89" w14:paraId="677A36BB" w14:textId="7EACA430">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Internal Revenue Code (IRC) </w:t>
      </w:r>
      <w:r w:rsidRPr="005D19A0" w:rsidR="005D19A0">
        <w:rPr>
          <w:rFonts w:ascii="Times New Roman" w:hAnsi="Times New Roman" w:cs="Times New Roman"/>
          <w:bCs/>
          <w:sz w:val="24"/>
          <w:szCs w:val="24"/>
        </w:rPr>
        <w:t xml:space="preserve">Section 2702(a)(3) provides special favorable valuation rules for valuing the gift of a personal residence trust. </w:t>
      </w:r>
      <w:r w:rsidR="00A744FE">
        <w:rPr>
          <w:rFonts w:ascii="Times New Roman" w:hAnsi="Times New Roman" w:cs="Times New Roman"/>
          <w:bCs/>
          <w:sz w:val="24"/>
          <w:szCs w:val="24"/>
        </w:rPr>
        <w:t>This s</w:t>
      </w:r>
      <w:r w:rsidRPr="005D19A0" w:rsidR="005D19A0">
        <w:rPr>
          <w:rFonts w:ascii="Times New Roman" w:hAnsi="Times New Roman" w:cs="Times New Roman"/>
          <w:bCs/>
          <w:sz w:val="24"/>
          <w:szCs w:val="24"/>
        </w:rPr>
        <w:t>ection</w:t>
      </w:r>
      <w:r w:rsidR="00A744FE">
        <w:rPr>
          <w:rFonts w:ascii="Times New Roman" w:hAnsi="Times New Roman" w:cs="Times New Roman"/>
          <w:bCs/>
          <w:sz w:val="24"/>
          <w:szCs w:val="24"/>
        </w:rPr>
        <w:t xml:space="preserve"> permits the reformation of a personal residence trust or a qualified personal residence trust </w:t>
      </w:r>
      <w:proofErr w:type="gramStart"/>
      <w:r w:rsidR="00A744FE">
        <w:rPr>
          <w:rFonts w:ascii="Times New Roman" w:hAnsi="Times New Roman" w:cs="Times New Roman"/>
          <w:bCs/>
          <w:sz w:val="24"/>
          <w:szCs w:val="24"/>
        </w:rPr>
        <w:t>in order to</w:t>
      </w:r>
      <w:proofErr w:type="gramEnd"/>
      <w:r w:rsidR="00A744FE">
        <w:rPr>
          <w:rFonts w:ascii="Times New Roman" w:hAnsi="Times New Roman" w:cs="Times New Roman"/>
          <w:bCs/>
          <w:sz w:val="24"/>
          <w:szCs w:val="24"/>
        </w:rPr>
        <w:t xml:space="preserve"> comply with the applicable requirements for such trusts. The final regulations also provide that the governing instruments of such trusts must prohibit the sale of a residence held in the trust to the grantor of the trust, the grantor’s spouse, or an entity controlled by the grantor of the grantor’s spouse. </w:t>
      </w:r>
      <w:r w:rsidRPr="00CF4282" w:rsidR="006800B3">
        <w:rPr>
          <w:rFonts w:ascii="Times New Roman" w:hAnsi="Times New Roman" w:cs="Times New Roman"/>
          <w:bCs/>
          <w:sz w:val="24"/>
          <w:szCs w:val="24"/>
        </w:rPr>
        <w:t>Th</w:t>
      </w:r>
      <w:r w:rsidR="00A744FE">
        <w:rPr>
          <w:rFonts w:ascii="Times New Roman" w:hAnsi="Times New Roman" w:cs="Times New Roman"/>
          <w:bCs/>
          <w:sz w:val="24"/>
          <w:szCs w:val="24"/>
        </w:rPr>
        <w:t>i</w:t>
      </w:r>
      <w:r w:rsidRPr="00CF4282" w:rsidR="006800B3">
        <w:rPr>
          <w:rFonts w:ascii="Times New Roman" w:hAnsi="Times New Roman" w:cs="Times New Roman"/>
          <w:bCs/>
          <w:sz w:val="24"/>
          <w:szCs w:val="24"/>
        </w:rPr>
        <w:t xml:space="preserve">s regulation </w:t>
      </w:r>
      <w:r w:rsidRPr="00CF4282" w:rsidR="00A744FE">
        <w:rPr>
          <w:rFonts w:ascii="Times New Roman" w:hAnsi="Times New Roman" w:cs="Times New Roman"/>
          <w:bCs/>
          <w:sz w:val="24"/>
          <w:szCs w:val="24"/>
        </w:rPr>
        <w:t>enables</w:t>
      </w:r>
      <w:r w:rsidRPr="00CF4282" w:rsidR="006800B3">
        <w:rPr>
          <w:rFonts w:ascii="Times New Roman" w:hAnsi="Times New Roman" w:cs="Times New Roman"/>
          <w:bCs/>
          <w:sz w:val="24"/>
          <w:szCs w:val="24"/>
        </w:rPr>
        <w:t xml:space="preserve"> taxpayers to take advantage of various benefits provided by the Internal Revenue Code.</w:t>
      </w:r>
    </w:p>
    <w:p w:rsidR="007D1DD8" w:rsidRDefault="007D1DD8" w14:paraId="56928EEE" w14:textId="77777777">
      <w:pPr>
        <w:numPr>
          <w:ilvl w:val="12"/>
          <w:numId w:val="0"/>
        </w:numPr>
        <w:ind w:left="720"/>
        <w:rPr>
          <w:rFonts w:ascii="Times New Roman" w:hAnsi="Times New Roman" w:cs="Times New Roman"/>
          <w:bCs/>
          <w:sz w:val="24"/>
          <w:szCs w:val="24"/>
        </w:rPr>
      </w:pPr>
    </w:p>
    <w:p w:rsidRPr="00CF4282" w:rsidR="006800B3" w:rsidRDefault="006800B3" w14:paraId="4F8228FC"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DATA</w:t>
      </w:r>
      <w:r w:rsidRPr="00CF4282">
        <w:rPr>
          <w:rFonts w:ascii="Times New Roman" w:hAnsi="Times New Roman" w:cs="Times New Roman"/>
          <w:b/>
          <w:bCs/>
        </w:rPr>
        <w:t xml:space="preserve"> </w:t>
      </w:r>
    </w:p>
    <w:p w:rsidRPr="00CF4282" w:rsidR="006800B3" w:rsidRDefault="006800B3" w14:paraId="4F6B344C" w14:textId="77777777">
      <w:pPr>
        <w:numPr>
          <w:ilvl w:val="12"/>
          <w:numId w:val="0"/>
        </w:numPr>
        <w:rPr>
          <w:rFonts w:ascii="Times New Roman" w:hAnsi="Times New Roman" w:cs="Times New Roman"/>
          <w:bCs/>
          <w:sz w:val="24"/>
          <w:szCs w:val="24"/>
        </w:rPr>
      </w:pPr>
    </w:p>
    <w:p w:rsidR="00E67A3A" w:rsidP="00E67A3A" w:rsidRDefault="00E67A3A" w14:paraId="59A8AFBD" w14:textId="72E04191">
      <w:pPr>
        <w:numPr>
          <w:ilvl w:val="12"/>
          <w:numId w:val="0"/>
        </w:numPr>
        <w:ind w:left="720"/>
        <w:rPr>
          <w:rFonts w:ascii="Times New Roman" w:hAnsi="Times New Roman" w:cs="Times New Roman"/>
          <w:bCs/>
          <w:sz w:val="24"/>
          <w:szCs w:val="24"/>
        </w:rPr>
      </w:pPr>
      <w:r w:rsidRPr="00E67A3A">
        <w:rPr>
          <w:rFonts w:ascii="Times New Roman" w:hAnsi="Times New Roman" w:cs="Times New Roman"/>
          <w:bCs/>
          <w:sz w:val="24"/>
          <w:szCs w:val="24"/>
        </w:rPr>
        <w:t xml:space="preserve">The information collected by the IRS </w:t>
      </w:r>
      <w:r>
        <w:rPr>
          <w:rFonts w:ascii="Times New Roman" w:hAnsi="Times New Roman" w:cs="Times New Roman"/>
          <w:bCs/>
          <w:sz w:val="24"/>
          <w:szCs w:val="24"/>
        </w:rPr>
        <w:t>is required to ensure the proper collection of the gift tax.</w:t>
      </w:r>
      <w:r w:rsidR="00692482">
        <w:rPr>
          <w:rFonts w:ascii="Times New Roman" w:hAnsi="Times New Roman" w:cs="Times New Roman"/>
          <w:bCs/>
          <w:sz w:val="24"/>
          <w:szCs w:val="24"/>
        </w:rPr>
        <w:t xml:space="preserve">  </w:t>
      </w:r>
      <w:r w:rsidRPr="00986415" w:rsidR="00692482">
        <w:rPr>
          <w:rFonts w:ascii="Times New Roman" w:hAnsi="Times New Roman" w:cs="Times New Roman"/>
          <w:bCs/>
          <w:sz w:val="24"/>
          <w:szCs w:val="24"/>
        </w:rPr>
        <w:t>The data will be used by the Internal Revenue Service and taxpayers to verify that the proper amount of tax is reported and excluded.</w:t>
      </w:r>
    </w:p>
    <w:p w:rsidR="00E67A3A" w:rsidP="00E67A3A" w:rsidRDefault="00E67A3A" w14:paraId="151924FC" w14:textId="77777777">
      <w:pPr>
        <w:numPr>
          <w:ilvl w:val="12"/>
          <w:numId w:val="0"/>
        </w:numPr>
        <w:ind w:left="720"/>
        <w:rPr>
          <w:rFonts w:ascii="Times New Roman" w:hAnsi="Times New Roman" w:cs="Times New Roman"/>
          <w:bCs/>
          <w:sz w:val="24"/>
          <w:szCs w:val="24"/>
        </w:rPr>
      </w:pPr>
    </w:p>
    <w:p w:rsidRPr="00CF4282" w:rsidR="006800B3" w:rsidRDefault="006800B3" w14:paraId="58284ED8" w14:textId="77777777">
      <w:pPr>
        <w:numPr>
          <w:ilvl w:val="12"/>
          <w:numId w:val="0"/>
        </w:numPr>
        <w:rPr>
          <w:rFonts w:ascii="Times New Roman" w:hAnsi="Times New Roman" w:cs="Times New Roman"/>
          <w:bCs/>
          <w:sz w:val="24"/>
          <w:szCs w:val="24"/>
        </w:rPr>
      </w:pPr>
    </w:p>
    <w:p w:rsidRPr="00CF4282" w:rsidR="006800B3" w:rsidRDefault="006800B3" w14:paraId="1D65A6E3"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USE OF IMPROVED INFORMATION TECHNOLOGY TO REDUCE BURDEN</w:t>
      </w:r>
    </w:p>
    <w:p w:rsidRPr="00CF4282" w:rsidR="006800B3" w:rsidRDefault="006800B3" w14:paraId="5FC013F3" w14:textId="77777777">
      <w:pPr>
        <w:numPr>
          <w:ilvl w:val="12"/>
          <w:numId w:val="0"/>
        </w:numPr>
        <w:rPr>
          <w:rFonts w:ascii="Times New Roman" w:hAnsi="Times New Roman" w:cs="Times New Roman"/>
          <w:bCs/>
          <w:sz w:val="24"/>
          <w:szCs w:val="24"/>
        </w:rPr>
      </w:pPr>
    </w:p>
    <w:p w:rsidRPr="00CF4282" w:rsidR="001B469B" w:rsidRDefault="001B469B" w14:paraId="75BE7C20" w14:textId="39022A1F">
      <w:pPr>
        <w:numPr>
          <w:ilvl w:val="12"/>
          <w:numId w:val="0"/>
        </w:numPr>
        <w:ind w:left="720"/>
        <w:rPr>
          <w:rFonts w:ascii="Times New Roman" w:hAnsi="Times New Roman" w:cs="Times New Roman"/>
          <w:bCs/>
          <w:sz w:val="24"/>
          <w:szCs w:val="24"/>
        </w:rPr>
      </w:pPr>
      <w:bookmarkStart w:name="_Hlk67316423" w:id="0"/>
      <w:r w:rsidRPr="001B469B">
        <w:rPr>
          <w:rFonts w:ascii="Times New Roman" w:hAnsi="Times New Roman" w:cs="Times New Roman"/>
          <w:bCs/>
          <w:sz w:val="24"/>
          <w:szCs w:val="24"/>
        </w:rPr>
        <w:t>IRS Publications, regulations, published guidance, e.g., revenue rulings and revenue procedures, notices, letters, and letter rulings are to be electronically enabled on an ‘as practicable’ basis in accordance with the IRS Reform and Restructuring Act of 1998.  The IRS has no plans to offer electronic enabling because this</w:t>
      </w:r>
      <w:r w:rsidR="007B393F">
        <w:rPr>
          <w:rFonts w:ascii="Times New Roman" w:hAnsi="Times New Roman" w:cs="Times New Roman"/>
          <w:bCs/>
          <w:sz w:val="24"/>
          <w:szCs w:val="24"/>
        </w:rPr>
        <w:t xml:space="preserve"> collection</w:t>
      </w:r>
      <w:r w:rsidRPr="001B469B">
        <w:rPr>
          <w:rFonts w:ascii="Times New Roman" w:hAnsi="Times New Roman" w:cs="Times New Roman"/>
          <w:bCs/>
          <w:sz w:val="24"/>
          <w:szCs w:val="24"/>
        </w:rPr>
        <w:t xml:space="preserve"> is</w:t>
      </w:r>
      <w:r w:rsidR="007B393F">
        <w:rPr>
          <w:rFonts w:ascii="Times New Roman" w:hAnsi="Times New Roman" w:cs="Times New Roman"/>
          <w:bCs/>
          <w:sz w:val="24"/>
          <w:szCs w:val="24"/>
        </w:rPr>
        <w:t xml:space="preserve"> a</w:t>
      </w:r>
      <w:r w:rsidRPr="001B469B">
        <w:rPr>
          <w:rFonts w:ascii="Times New Roman" w:hAnsi="Times New Roman" w:cs="Times New Roman"/>
          <w:bCs/>
          <w:sz w:val="24"/>
          <w:szCs w:val="24"/>
        </w:rPr>
        <w:t xml:space="preserve"> notification</w:t>
      </w:r>
      <w:r w:rsidR="007B393F">
        <w:rPr>
          <w:rFonts w:ascii="Times New Roman" w:hAnsi="Times New Roman" w:cs="Times New Roman"/>
          <w:bCs/>
          <w:sz w:val="24"/>
          <w:szCs w:val="24"/>
        </w:rPr>
        <w:t xml:space="preserve"> of</w:t>
      </w:r>
      <w:r w:rsidRPr="001B469B">
        <w:rPr>
          <w:rFonts w:ascii="Times New Roman" w:hAnsi="Times New Roman" w:cs="Times New Roman"/>
          <w:bCs/>
          <w:sz w:val="24"/>
          <w:szCs w:val="24"/>
        </w:rPr>
        <w:t xml:space="preserve"> </w:t>
      </w:r>
      <w:r w:rsidR="007B393F">
        <w:rPr>
          <w:rFonts w:ascii="Times New Roman" w:hAnsi="Times New Roman" w:cs="Times New Roman"/>
          <w:bCs/>
          <w:sz w:val="24"/>
          <w:szCs w:val="24"/>
        </w:rPr>
        <w:t>the rules for valuing the gift of a personal residence trust</w:t>
      </w:r>
      <w:r w:rsidRPr="001B469B">
        <w:rPr>
          <w:rFonts w:ascii="Times New Roman" w:hAnsi="Times New Roman" w:cs="Times New Roman"/>
          <w:bCs/>
          <w:sz w:val="24"/>
          <w:szCs w:val="24"/>
        </w:rPr>
        <w:t>.</w:t>
      </w:r>
    </w:p>
    <w:bookmarkEnd w:id="0"/>
    <w:p w:rsidRPr="00CF4282" w:rsidR="00C85D17" w:rsidRDefault="00C85D17" w14:paraId="793A7DA6" w14:textId="77777777">
      <w:pPr>
        <w:numPr>
          <w:ilvl w:val="12"/>
          <w:numId w:val="0"/>
        </w:numPr>
        <w:rPr>
          <w:rFonts w:ascii="Times New Roman" w:hAnsi="Times New Roman" w:cs="Times New Roman"/>
          <w:bCs/>
          <w:sz w:val="24"/>
          <w:szCs w:val="24"/>
        </w:rPr>
      </w:pPr>
    </w:p>
    <w:p w:rsidRPr="00CF4282" w:rsidR="006800B3" w:rsidRDefault="006800B3" w14:paraId="53F33739"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EFFORTS TO IDENTIFY DUPLICATION</w:t>
      </w:r>
    </w:p>
    <w:p w:rsidRPr="00CF4282" w:rsidR="006800B3" w:rsidRDefault="006800B3" w14:paraId="349A7188" w14:textId="77777777">
      <w:pPr>
        <w:numPr>
          <w:ilvl w:val="12"/>
          <w:numId w:val="0"/>
        </w:numPr>
        <w:rPr>
          <w:rFonts w:ascii="Times New Roman" w:hAnsi="Times New Roman" w:cs="Times New Roman"/>
          <w:bCs/>
          <w:sz w:val="24"/>
          <w:szCs w:val="24"/>
        </w:rPr>
      </w:pPr>
    </w:p>
    <w:p w:rsidRPr="00CF4282" w:rsidR="006800B3" w:rsidRDefault="005D2BBC" w14:paraId="2402307F"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 information obtained through this collection is unique and is not already available for use or adaptation from another source.</w:t>
      </w:r>
      <w:r w:rsidRPr="00CF4282" w:rsidR="006800B3">
        <w:rPr>
          <w:rFonts w:ascii="Times New Roman" w:hAnsi="Times New Roman" w:cs="Times New Roman"/>
          <w:bCs/>
          <w:sz w:val="24"/>
          <w:szCs w:val="24"/>
        </w:rPr>
        <w:t xml:space="preserve">  </w:t>
      </w:r>
    </w:p>
    <w:p w:rsidRPr="00CF4282" w:rsidR="006800B3" w:rsidRDefault="006800B3" w14:paraId="030B338F" w14:textId="77777777">
      <w:pPr>
        <w:numPr>
          <w:ilvl w:val="12"/>
          <w:numId w:val="0"/>
        </w:numPr>
        <w:rPr>
          <w:rFonts w:ascii="Times New Roman" w:hAnsi="Times New Roman" w:cs="Times New Roman"/>
          <w:bCs/>
          <w:sz w:val="24"/>
          <w:szCs w:val="24"/>
        </w:rPr>
      </w:pPr>
    </w:p>
    <w:p w:rsidRPr="00CF4282" w:rsidR="006800B3" w:rsidRDefault="006800B3" w14:paraId="5FC5A9F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METHODS TO MINIMIZE BURDEN ON SMALL BUSINESSES OR OTHER</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SMALL ENTITIES</w:t>
      </w:r>
    </w:p>
    <w:p w:rsidRPr="00CF4282" w:rsidR="006800B3" w:rsidRDefault="006800B3" w14:paraId="3D178C8E" w14:textId="77777777">
      <w:pPr>
        <w:numPr>
          <w:ilvl w:val="12"/>
          <w:numId w:val="0"/>
        </w:numPr>
        <w:rPr>
          <w:rFonts w:ascii="Times New Roman" w:hAnsi="Times New Roman" w:cs="Times New Roman"/>
          <w:bCs/>
          <w:sz w:val="24"/>
          <w:szCs w:val="24"/>
        </w:rPr>
      </w:pPr>
    </w:p>
    <w:p w:rsidRPr="00CF4282" w:rsidR="006800B3" w:rsidRDefault="000614DF" w14:paraId="4B780A2A" w14:textId="77777777">
      <w:pPr>
        <w:numPr>
          <w:ilvl w:val="12"/>
          <w:numId w:val="0"/>
        </w:numPr>
        <w:ind w:left="720"/>
        <w:rPr>
          <w:rFonts w:ascii="Times New Roman" w:hAnsi="Times New Roman" w:cs="Times New Roman"/>
          <w:bCs/>
          <w:sz w:val="24"/>
          <w:szCs w:val="24"/>
        </w:rPr>
      </w:pPr>
      <w:r w:rsidRPr="000614DF">
        <w:rPr>
          <w:rFonts w:ascii="Times New Roman" w:hAnsi="Times New Roman" w:cs="Times New Roman"/>
          <w:bCs/>
          <w:sz w:val="24"/>
          <w:szCs w:val="24"/>
        </w:rPr>
        <w:t xml:space="preserve">The collections of information in these regulations will not have a significant economic impact on a substantial number of small entities. </w:t>
      </w:r>
      <w:r w:rsidRPr="005D2BBC" w:rsidR="005D2BBC">
        <w:rPr>
          <w:rFonts w:ascii="Times New Roman" w:hAnsi="Times New Roman" w:cs="Times New Roman"/>
          <w:bCs/>
          <w:sz w:val="24"/>
          <w:szCs w:val="24"/>
        </w:rPr>
        <w:t xml:space="preserve">  </w:t>
      </w:r>
    </w:p>
    <w:p w:rsidR="006800B3" w:rsidRDefault="006800B3" w14:paraId="572ABA48" w14:textId="48AD604B">
      <w:pPr>
        <w:numPr>
          <w:ilvl w:val="12"/>
          <w:numId w:val="0"/>
        </w:numPr>
        <w:rPr>
          <w:rFonts w:ascii="Times New Roman" w:hAnsi="Times New Roman" w:cs="Times New Roman"/>
          <w:bCs/>
          <w:sz w:val="24"/>
          <w:szCs w:val="24"/>
        </w:rPr>
      </w:pPr>
    </w:p>
    <w:p w:rsidR="005566E0" w:rsidRDefault="005566E0" w14:paraId="3E53EA1F" w14:textId="34498F0A">
      <w:pPr>
        <w:numPr>
          <w:ilvl w:val="12"/>
          <w:numId w:val="0"/>
        </w:numPr>
        <w:rPr>
          <w:rFonts w:ascii="Times New Roman" w:hAnsi="Times New Roman" w:cs="Times New Roman"/>
          <w:bCs/>
          <w:sz w:val="24"/>
          <w:szCs w:val="24"/>
        </w:rPr>
      </w:pPr>
    </w:p>
    <w:p w:rsidR="005566E0" w:rsidRDefault="005566E0" w14:paraId="05013C11" w14:textId="1B6A0BF4">
      <w:pPr>
        <w:numPr>
          <w:ilvl w:val="12"/>
          <w:numId w:val="0"/>
        </w:numPr>
        <w:rPr>
          <w:rFonts w:ascii="Times New Roman" w:hAnsi="Times New Roman" w:cs="Times New Roman"/>
          <w:bCs/>
          <w:sz w:val="24"/>
          <w:szCs w:val="24"/>
        </w:rPr>
      </w:pPr>
    </w:p>
    <w:p w:rsidR="005566E0" w:rsidRDefault="005566E0" w14:paraId="4E5956D2" w14:textId="5464A58F">
      <w:pPr>
        <w:numPr>
          <w:ilvl w:val="12"/>
          <w:numId w:val="0"/>
        </w:numPr>
        <w:rPr>
          <w:rFonts w:ascii="Times New Roman" w:hAnsi="Times New Roman" w:cs="Times New Roman"/>
          <w:bCs/>
          <w:sz w:val="24"/>
          <w:szCs w:val="24"/>
        </w:rPr>
      </w:pPr>
    </w:p>
    <w:p w:rsidR="005566E0" w:rsidRDefault="005566E0" w14:paraId="34302EAD" w14:textId="377B6084">
      <w:pPr>
        <w:numPr>
          <w:ilvl w:val="12"/>
          <w:numId w:val="0"/>
        </w:numPr>
        <w:rPr>
          <w:rFonts w:ascii="Times New Roman" w:hAnsi="Times New Roman" w:cs="Times New Roman"/>
          <w:bCs/>
          <w:sz w:val="24"/>
          <w:szCs w:val="24"/>
        </w:rPr>
      </w:pPr>
    </w:p>
    <w:p w:rsidRPr="00CF4282" w:rsidR="005566E0" w:rsidRDefault="005566E0" w14:paraId="13326E3D" w14:textId="77777777">
      <w:pPr>
        <w:numPr>
          <w:ilvl w:val="12"/>
          <w:numId w:val="0"/>
        </w:numPr>
        <w:rPr>
          <w:rFonts w:ascii="Times New Roman" w:hAnsi="Times New Roman" w:cs="Times New Roman"/>
          <w:bCs/>
          <w:sz w:val="24"/>
          <w:szCs w:val="24"/>
        </w:rPr>
      </w:pPr>
    </w:p>
    <w:p w:rsidRPr="00CF4282" w:rsidR="006800B3" w:rsidRDefault="006800B3" w14:paraId="1D3951DF"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CONSEQUENCES OF LESS FREQUENT COLLECTION ON FEDERAL PROGRAMS OR POLICY ACTIVITIES</w:t>
      </w:r>
    </w:p>
    <w:p w:rsidR="006800B3" w:rsidP="005D2BBC" w:rsidRDefault="006800B3" w14:paraId="3B069933" w14:textId="77777777">
      <w:pPr>
        <w:numPr>
          <w:ilvl w:val="12"/>
          <w:numId w:val="0"/>
        </w:numPr>
        <w:ind w:left="720"/>
        <w:rPr>
          <w:rFonts w:ascii="Times New Roman" w:hAnsi="Times New Roman" w:cs="Times New Roman"/>
          <w:bCs/>
          <w:sz w:val="24"/>
          <w:szCs w:val="24"/>
        </w:rPr>
      </w:pPr>
    </w:p>
    <w:p w:rsidRPr="00CF4282" w:rsidR="005D2BBC" w:rsidP="005D2BBC" w:rsidRDefault="005D2BBC" w14:paraId="0730146B"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Consequences of less frequent collection on federal programs or policy activities would consist of decreased amount of taxes collected by the Service, inaccurate and untimely filing of tax returns, and an increase in tax violations.</w:t>
      </w:r>
    </w:p>
    <w:p w:rsidRPr="00CF4282" w:rsidR="006800B3" w:rsidRDefault="006800B3" w14:paraId="5A8C0D02" w14:textId="77777777">
      <w:pPr>
        <w:numPr>
          <w:ilvl w:val="12"/>
          <w:numId w:val="0"/>
        </w:numPr>
        <w:rPr>
          <w:rFonts w:ascii="Times New Roman" w:hAnsi="Times New Roman" w:cs="Times New Roman"/>
          <w:bCs/>
          <w:sz w:val="24"/>
          <w:szCs w:val="24"/>
        </w:rPr>
      </w:pPr>
    </w:p>
    <w:p w:rsidRPr="00CF4282" w:rsidR="006800B3" w:rsidRDefault="006800B3" w14:paraId="49DBF226"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SPECIAL CIRCUMSTANCES REQUIRING DATA COLLECTION TO BE</w:t>
      </w:r>
      <w:r w:rsidRPr="00CF4282" w:rsidR="00CF4282">
        <w:rPr>
          <w:rFonts w:ascii="Times New Roman" w:hAnsi="Times New Roman" w:cs="Times New Roman"/>
          <w:b/>
          <w:bCs/>
          <w:u w:val="single"/>
        </w:rPr>
        <w:t xml:space="preserve"> </w:t>
      </w:r>
      <w:r w:rsidRPr="00CF4282">
        <w:rPr>
          <w:rFonts w:ascii="Times New Roman" w:hAnsi="Times New Roman" w:cs="Times New Roman"/>
          <w:b/>
          <w:bCs/>
          <w:u w:val="single"/>
        </w:rPr>
        <w:t>INCONSISTENT WITH GUIDELINES IN 5 CFR 1320.5(d)(2)</w:t>
      </w:r>
    </w:p>
    <w:p w:rsidRPr="00CF4282" w:rsidR="006800B3" w:rsidRDefault="006800B3" w14:paraId="15E56F47" w14:textId="77777777">
      <w:pPr>
        <w:numPr>
          <w:ilvl w:val="12"/>
          <w:numId w:val="0"/>
        </w:numPr>
        <w:rPr>
          <w:rFonts w:ascii="Times New Roman" w:hAnsi="Times New Roman" w:cs="Times New Roman"/>
          <w:bCs/>
          <w:sz w:val="24"/>
          <w:szCs w:val="24"/>
        </w:rPr>
      </w:pPr>
    </w:p>
    <w:p w:rsidR="00C85D17" w:rsidRDefault="005D2BBC" w14:paraId="1DEAB79C" w14:textId="77777777">
      <w:pPr>
        <w:numPr>
          <w:ilvl w:val="12"/>
          <w:numId w:val="0"/>
        </w:numPr>
        <w:ind w:left="720"/>
        <w:rPr>
          <w:rFonts w:ascii="Times New Roman" w:hAnsi="Times New Roman" w:cs="Times New Roman"/>
          <w:bCs/>
          <w:sz w:val="24"/>
          <w:szCs w:val="24"/>
        </w:rPr>
      </w:pPr>
      <w:r w:rsidRPr="005D2BBC">
        <w:rPr>
          <w:rFonts w:ascii="Times New Roman" w:hAnsi="Times New Roman" w:cs="Times New Roman"/>
          <w:bCs/>
          <w:sz w:val="24"/>
          <w:szCs w:val="24"/>
        </w:rPr>
        <w:t>There are no special circumstances requiring data collection to be inconsistent with Guidelines in 5 CFR 1320.5(d)(2).</w:t>
      </w:r>
    </w:p>
    <w:p w:rsidRPr="00CF4282" w:rsidR="005D2BBC" w:rsidRDefault="005D2BBC" w14:paraId="509293B8" w14:textId="77777777">
      <w:pPr>
        <w:numPr>
          <w:ilvl w:val="12"/>
          <w:numId w:val="0"/>
        </w:numPr>
        <w:ind w:left="720"/>
        <w:rPr>
          <w:rFonts w:ascii="Times New Roman" w:hAnsi="Times New Roman" w:cs="Times New Roman"/>
          <w:bCs/>
          <w:sz w:val="24"/>
          <w:szCs w:val="24"/>
        </w:rPr>
      </w:pPr>
    </w:p>
    <w:p w:rsidRPr="00CF4282" w:rsidR="006800B3" w:rsidRDefault="006800B3" w14:paraId="2239CE97"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CONSULTATION WITH INDIVIDUALS OUTSIDE OF THE AGENCY ON</w:t>
      </w:r>
      <w:r w:rsidR="00CF4282">
        <w:rPr>
          <w:rFonts w:ascii="Times New Roman" w:hAnsi="Times New Roman" w:cs="Times New Roman"/>
          <w:b/>
          <w:bCs/>
          <w:u w:val="single"/>
        </w:rPr>
        <w:t xml:space="preserve"> </w:t>
      </w:r>
      <w:r w:rsidRPr="00CF4282">
        <w:rPr>
          <w:rFonts w:ascii="Times New Roman" w:hAnsi="Times New Roman" w:cs="Times New Roman"/>
          <w:b/>
          <w:bCs/>
          <w:u w:val="single"/>
        </w:rPr>
        <w:t>AVAILABILITY OF DATA, FREQUENCY OF COLLECTION, CLARITY OF INSTRUCTIONS AND FORMS, AND DATA ELEMENTS</w:t>
      </w:r>
    </w:p>
    <w:p w:rsidRPr="00CF4282" w:rsidR="006800B3" w:rsidRDefault="006800B3" w14:paraId="1EB73B0B" w14:textId="77777777">
      <w:pPr>
        <w:numPr>
          <w:ilvl w:val="12"/>
          <w:numId w:val="0"/>
        </w:numPr>
        <w:rPr>
          <w:rFonts w:ascii="Times New Roman" w:hAnsi="Times New Roman" w:cs="Times New Roman"/>
          <w:bCs/>
          <w:sz w:val="24"/>
          <w:szCs w:val="24"/>
        </w:rPr>
      </w:pPr>
    </w:p>
    <w:p w:rsidRPr="00CF4282" w:rsidR="006800B3" w:rsidRDefault="005566E0" w14:paraId="7660D3B5" w14:textId="5BDFDAE1">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In response to the Federal Register notice dated December 15, 2020 (85 FR 81284), </w:t>
      </w:r>
      <w:r w:rsidR="009E0E4B">
        <w:rPr>
          <w:rFonts w:ascii="Times New Roman" w:hAnsi="Times New Roman" w:cs="Times New Roman"/>
          <w:bCs/>
          <w:sz w:val="24"/>
          <w:szCs w:val="24"/>
        </w:rPr>
        <w:t xml:space="preserve">IRS </w:t>
      </w:r>
      <w:r w:rsidRPr="00CF4282" w:rsidR="009E0E4B">
        <w:rPr>
          <w:rFonts w:ascii="Times New Roman" w:hAnsi="Times New Roman" w:cs="Times New Roman"/>
          <w:bCs/>
          <w:sz w:val="24"/>
          <w:szCs w:val="24"/>
        </w:rPr>
        <w:t>received</w:t>
      </w:r>
      <w:r w:rsidRPr="004A69FF" w:rsidR="006800B3">
        <w:rPr>
          <w:rFonts w:ascii="Times New Roman" w:hAnsi="Times New Roman" w:cs="Times New Roman"/>
          <w:bCs/>
          <w:sz w:val="24"/>
          <w:szCs w:val="24"/>
        </w:rPr>
        <w:t xml:space="preserve"> no comments during the comment period </w:t>
      </w:r>
      <w:r>
        <w:rPr>
          <w:rFonts w:ascii="Times New Roman" w:hAnsi="Times New Roman" w:cs="Times New Roman"/>
          <w:bCs/>
          <w:sz w:val="24"/>
          <w:szCs w:val="24"/>
        </w:rPr>
        <w:t>regarding TD 8743.</w:t>
      </w:r>
    </w:p>
    <w:p w:rsidRPr="00CF4282" w:rsidR="006800B3" w:rsidRDefault="006800B3" w14:paraId="7BA6C83A" w14:textId="77777777">
      <w:pPr>
        <w:numPr>
          <w:ilvl w:val="12"/>
          <w:numId w:val="0"/>
        </w:numPr>
        <w:rPr>
          <w:rFonts w:ascii="Times New Roman" w:hAnsi="Times New Roman" w:cs="Times New Roman"/>
          <w:bCs/>
          <w:sz w:val="24"/>
          <w:szCs w:val="24"/>
        </w:rPr>
      </w:pPr>
    </w:p>
    <w:p w:rsidRPr="00CF4282" w:rsidR="006800B3" w:rsidRDefault="006800B3" w14:paraId="485C547A"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EXPLANATION OF DECISION TO PROVIDE ANY PAYMENT OR GIFT TO</w:t>
      </w:r>
      <w:r w:rsidRPr="00CF4282">
        <w:rPr>
          <w:rFonts w:ascii="Times New Roman" w:hAnsi="Times New Roman" w:cs="Times New Roman"/>
          <w:b/>
          <w:bCs/>
        </w:rPr>
        <w:t xml:space="preserve">     </w:t>
      </w:r>
      <w:r w:rsidRPr="00CF4282">
        <w:rPr>
          <w:rFonts w:ascii="Times New Roman" w:hAnsi="Times New Roman" w:cs="Times New Roman"/>
          <w:b/>
          <w:bCs/>
          <w:u w:val="single"/>
        </w:rPr>
        <w:t>RESPONDENTS</w:t>
      </w:r>
    </w:p>
    <w:p w:rsidRPr="00CF4282" w:rsidR="006800B3" w:rsidRDefault="006800B3" w14:paraId="1921AC75" w14:textId="77777777">
      <w:pPr>
        <w:numPr>
          <w:ilvl w:val="12"/>
          <w:numId w:val="0"/>
        </w:numPr>
        <w:rPr>
          <w:rFonts w:ascii="Times New Roman" w:hAnsi="Times New Roman" w:cs="Times New Roman"/>
          <w:bCs/>
          <w:sz w:val="24"/>
          <w:szCs w:val="24"/>
        </w:rPr>
      </w:pPr>
    </w:p>
    <w:p w:rsidRPr="009C3A60" w:rsidR="005D2BBC" w:rsidP="005D2BBC" w:rsidRDefault="005D2BBC" w14:paraId="3BE1B9B4" w14:textId="77777777">
      <w:pPr>
        <w:ind w:left="720"/>
        <w:rPr>
          <w:rFonts w:ascii="Times New Roman" w:hAnsi="Times New Roman" w:cs="Times New Roman"/>
          <w:bCs/>
          <w:sz w:val="24"/>
          <w:szCs w:val="24"/>
        </w:rPr>
      </w:pPr>
      <w:r w:rsidRPr="009C3A60">
        <w:rPr>
          <w:rFonts w:ascii="Times New Roman" w:hAnsi="Times New Roman" w:cs="Times New Roman"/>
          <w:bCs/>
          <w:sz w:val="24"/>
          <w:szCs w:val="24"/>
        </w:rPr>
        <w:t>No payment or gift has been provided to any respondents.</w:t>
      </w:r>
    </w:p>
    <w:p w:rsidRPr="00CF4282" w:rsidR="006800B3" w:rsidRDefault="006800B3" w14:paraId="5D9E06E1" w14:textId="77777777">
      <w:pPr>
        <w:numPr>
          <w:ilvl w:val="12"/>
          <w:numId w:val="0"/>
        </w:numPr>
        <w:rPr>
          <w:rFonts w:ascii="Times New Roman" w:hAnsi="Times New Roman" w:cs="Times New Roman"/>
          <w:bCs/>
          <w:sz w:val="24"/>
          <w:szCs w:val="24"/>
        </w:rPr>
      </w:pPr>
    </w:p>
    <w:p w:rsidRPr="00CF4282" w:rsidR="006800B3" w:rsidRDefault="006800B3" w14:paraId="127AD370" w14:textId="77777777">
      <w:pPr>
        <w:pStyle w:val="Level1"/>
        <w:numPr>
          <w:ilvl w:val="0"/>
          <w:numId w:val="1"/>
        </w:numPr>
        <w:tabs>
          <w:tab w:val="left" w:pos="720"/>
        </w:tabs>
        <w:ind w:left="720" w:hanging="720"/>
        <w:jc w:val="left"/>
        <w:rPr>
          <w:rFonts w:ascii="Times New Roman" w:hAnsi="Times New Roman" w:cs="Times New Roman"/>
          <w:b/>
          <w:bCs/>
        </w:rPr>
      </w:pPr>
      <w:r w:rsidRPr="00CF4282">
        <w:rPr>
          <w:rFonts w:ascii="Times New Roman" w:hAnsi="Times New Roman" w:cs="Times New Roman"/>
          <w:b/>
          <w:bCs/>
          <w:u w:val="single"/>
        </w:rPr>
        <w:t>ASSURANCE OF CONFIDENTIALITY OF RESPONSES</w:t>
      </w:r>
    </w:p>
    <w:p w:rsidRPr="00CF4282" w:rsidR="006800B3" w:rsidRDefault="006800B3" w14:paraId="0D0E202B" w14:textId="77777777">
      <w:pPr>
        <w:numPr>
          <w:ilvl w:val="12"/>
          <w:numId w:val="0"/>
        </w:numPr>
        <w:rPr>
          <w:rFonts w:ascii="Times New Roman" w:hAnsi="Times New Roman" w:cs="Times New Roman"/>
          <w:bCs/>
          <w:sz w:val="24"/>
          <w:szCs w:val="24"/>
        </w:rPr>
      </w:pPr>
    </w:p>
    <w:p w:rsidRPr="00CF4282" w:rsidR="006800B3" w:rsidRDefault="006800B3" w14:paraId="71F4D91A" w14:textId="77777777">
      <w:pPr>
        <w:numPr>
          <w:ilvl w:val="12"/>
          <w:numId w:val="0"/>
        </w:numPr>
        <w:ind w:left="720"/>
        <w:rPr>
          <w:rFonts w:ascii="Times New Roman" w:hAnsi="Times New Roman" w:cs="Times New Roman"/>
          <w:bCs/>
          <w:sz w:val="24"/>
          <w:szCs w:val="24"/>
        </w:rPr>
      </w:pPr>
      <w:r w:rsidRPr="00CF4282">
        <w:rPr>
          <w:rFonts w:ascii="Times New Roman" w:hAnsi="Times New Roman" w:cs="Times New Roman"/>
          <w:bCs/>
          <w:sz w:val="24"/>
          <w:szCs w:val="24"/>
        </w:rPr>
        <w:t>Generally, tax returns and tax return information are confidential as required by 26 USC 6103.</w:t>
      </w:r>
    </w:p>
    <w:p w:rsidRPr="00CF4282" w:rsidR="006800B3" w:rsidRDefault="006800B3" w14:paraId="59399F39" w14:textId="77777777">
      <w:pPr>
        <w:numPr>
          <w:ilvl w:val="12"/>
          <w:numId w:val="0"/>
        </w:numPr>
        <w:rPr>
          <w:rFonts w:ascii="Times New Roman" w:hAnsi="Times New Roman" w:cs="Times New Roman"/>
          <w:bCs/>
          <w:sz w:val="24"/>
          <w:szCs w:val="24"/>
        </w:rPr>
      </w:pPr>
    </w:p>
    <w:p w:rsidRPr="00CF4282" w:rsidR="006800B3" w:rsidRDefault="006800B3" w14:paraId="129E3363" w14:textId="77777777">
      <w:pPr>
        <w:pStyle w:val="Level1"/>
        <w:numPr>
          <w:ilvl w:val="0"/>
          <w:numId w:val="1"/>
        </w:numPr>
        <w:tabs>
          <w:tab w:val="left" w:pos="720"/>
        </w:tabs>
        <w:ind w:left="720" w:hanging="720"/>
        <w:jc w:val="left"/>
        <w:rPr>
          <w:rFonts w:ascii="Times New Roman" w:hAnsi="Times New Roman" w:cs="Times New Roman"/>
          <w:b/>
          <w:bCs/>
          <w:u w:val="single"/>
        </w:rPr>
      </w:pPr>
      <w:r w:rsidRPr="00CF4282">
        <w:rPr>
          <w:rFonts w:ascii="Times New Roman" w:hAnsi="Times New Roman" w:cs="Times New Roman"/>
          <w:b/>
          <w:bCs/>
          <w:u w:val="single"/>
        </w:rPr>
        <w:t>JUSTIFICATION OF SENSITIVE QUESTIONS</w:t>
      </w:r>
    </w:p>
    <w:p w:rsidRPr="00CF4282" w:rsidR="006800B3" w:rsidRDefault="006800B3" w14:paraId="5A262319" w14:textId="77777777">
      <w:pPr>
        <w:numPr>
          <w:ilvl w:val="12"/>
          <w:numId w:val="0"/>
        </w:numPr>
        <w:rPr>
          <w:rFonts w:ascii="Times New Roman" w:hAnsi="Times New Roman" w:cs="Times New Roman"/>
          <w:bCs/>
          <w:sz w:val="24"/>
          <w:szCs w:val="24"/>
          <w:u w:val="single"/>
        </w:rPr>
      </w:pPr>
    </w:p>
    <w:p w:rsidRPr="0029015D" w:rsidR="0029015D" w:rsidP="0029015D" w:rsidRDefault="0029015D" w14:paraId="1751D38D" w14:textId="77777777">
      <w:pPr>
        <w:numPr>
          <w:ilvl w:val="12"/>
          <w:numId w:val="0"/>
        </w:numPr>
        <w:ind w:left="720"/>
        <w:rPr>
          <w:rFonts w:ascii="Times New Roman" w:hAnsi="Times New Roman" w:cs="Times New Roman"/>
          <w:bCs/>
          <w:sz w:val="24"/>
          <w:szCs w:val="24"/>
        </w:rPr>
      </w:pPr>
      <w:r w:rsidRPr="0029015D">
        <w:rPr>
          <w:rFonts w:ascii="Times New Roman" w:hAnsi="Times New Roman" w:cs="Times New Roman"/>
          <w:bCs/>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29015D">
          <w:rPr>
            <w:rStyle w:val="Hyperlink"/>
            <w:rFonts w:ascii="Times New Roman" w:hAnsi="Times New Roman" w:cs="Times New Roman"/>
            <w:bCs/>
            <w:sz w:val="24"/>
            <w:szCs w:val="24"/>
          </w:rPr>
          <w:t>https://www.irs.gov/uac/Privacy-Impact-Assessments-PIA</w:t>
        </w:r>
      </w:hyperlink>
      <w:r w:rsidRPr="0029015D">
        <w:rPr>
          <w:rFonts w:ascii="Times New Roman" w:hAnsi="Times New Roman" w:cs="Times New Roman"/>
          <w:bCs/>
          <w:sz w:val="24"/>
          <w:szCs w:val="24"/>
        </w:rPr>
        <w:t>.</w:t>
      </w:r>
    </w:p>
    <w:p w:rsidRPr="0029015D" w:rsidR="0029015D" w:rsidP="0029015D" w:rsidRDefault="0029015D" w14:paraId="392D897C" w14:textId="77777777">
      <w:pPr>
        <w:numPr>
          <w:ilvl w:val="12"/>
          <w:numId w:val="0"/>
        </w:numPr>
        <w:ind w:left="720"/>
        <w:rPr>
          <w:rFonts w:ascii="Times New Roman" w:hAnsi="Times New Roman" w:cs="Times New Roman"/>
          <w:bCs/>
          <w:sz w:val="24"/>
          <w:szCs w:val="24"/>
        </w:rPr>
      </w:pPr>
    </w:p>
    <w:p w:rsidR="0029015D" w:rsidP="0029015D" w:rsidRDefault="0029015D" w14:paraId="23003BE8" w14:textId="4CE91F7E">
      <w:pPr>
        <w:numPr>
          <w:ilvl w:val="12"/>
          <w:numId w:val="0"/>
        </w:numPr>
        <w:ind w:left="720"/>
        <w:rPr>
          <w:rFonts w:ascii="Times New Roman" w:hAnsi="Times New Roman" w:cs="Times New Roman"/>
          <w:bCs/>
          <w:sz w:val="24"/>
          <w:szCs w:val="24"/>
        </w:rPr>
      </w:pPr>
      <w:r w:rsidRPr="0029015D">
        <w:rPr>
          <w:rFonts w:ascii="Times New Roman" w:hAnsi="Times New Roman" w:cs="Times New Roman"/>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29015D" w:rsidP="0029015D" w:rsidRDefault="0029015D" w14:paraId="2669F15A" w14:textId="6F937F30">
      <w:pPr>
        <w:numPr>
          <w:ilvl w:val="12"/>
          <w:numId w:val="0"/>
        </w:numPr>
        <w:ind w:left="720"/>
        <w:rPr>
          <w:rFonts w:ascii="Times New Roman" w:hAnsi="Times New Roman" w:cs="Times New Roman"/>
          <w:bCs/>
          <w:sz w:val="24"/>
          <w:szCs w:val="24"/>
        </w:rPr>
      </w:pPr>
    </w:p>
    <w:p w:rsidRPr="0029015D" w:rsidR="0029015D" w:rsidP="0029015D" w:rsidRDefault="0029015D" w14:paraId="08833626" w14:textId="77777777">
      <w:pPr>
        <w:numPr>
          <w:ilvl w:val="12"/>
          <w:numId w:val="0"/>
        </w:numPr>
        <w:ind w:left="720"/>
        <w:rPr>
          <w:rFonts w:ascii="Times New Roman" w:hAnsi="Times New Roman" w:cs="Times New Roman"/>
          <w:bCs/>
          <w:sz w:val="24"/>
          <w:szCs w:val="24"/>
        </w:rPr>
      </w:pPr>
    </w:p>
    <w:p w:rsidRPr="00CF4282" w:rsidR="006800B3" w:rsidRDefault="006800B3" w14:paraId="73A6E15E" w14:textId="77777777">
      <w:pPr>
        <w:numPr>
          <w:ilvl w:val="12"/>
          <w:numId w:val="0"/>
        </w:numPr>
        <w:rPr>
          <w:rFonts w:ascii="Times New Roman" w:hAnsi="Times New Roman" w:cs="Times New Roman"/>
          <w:bCs/>
          <w:sz w:val="24"/>
          <w:szCs w:val="24"/>
        </w:rPr>
      </w:pPr>
    </w:p>
    <w:p w:rsidR="006800B3" w:rsidRDefault="006800B3" w14:paraId="6420D84B" w14:textId="77777777">
      <w:pPr>
        <w:pStyle w:val="Level1"/>
        <w:numPr>
          <w:ilvl w:val="0"/>
          <w:numId w:val="1"/>
        </w:numPr>
        <w:tabs>
          <w:tab w:val="left" w:pos="720"/>
        </w:tabs>
        <w:ind w:left="720" w:hanging="720"/>
        <w:jc w:val="left"/>
        <w:rPr>
          <w:rFonts w:ascii="CG Times" w:hAnsi="CG Times" w:cs="CG Times"/>
          <w:b/>
          <w:bCs/>
          <w:u w:val="single"/>
        </w:rPr>
      </w:pPr>
      <w:r>
        <w:rPr>
          <w:rFonts w:ascii="CG Times" w:hAnsi="CG Times" w:cs="CG Times"/>
          <w:b/>
          <w:bCs/>
          <w:u w:val="single"/>
        </w:rPr>
        <w:t>ESTIMATED BURDEN OF INFORMATION COLLECTION</w:t>
      </w:r>
    </w:p>
    <w:p w:rsidR="006800B3" w:rsidRDefault="006800B3" w14:paraId="5B16ACE8" w14:textId="77777777">
      <w:pPr>
        <w:numPr>
          <w:ilvl w:val="12"/>
          <w:numId w:val="0"/>
        </w:numPr>
        <w:rPr>
          <w:rFonts w:ascii="CG Times" w:hAnsi="CG Times" w:cs="CG Times"/>
          <w:b/>
          <w:bCs/>
          <w:sz w:val="24"/>
          <w:szCs w:val="24"/>
          <w:u w:val="single"/>
        </w:rPr>
      </w:pPr>
    </w:p>
    <w:p w:rsidR="006066A6" w:rsidP="00EE6DBA" w:rsidRDefault="00CF4282" w14:paraId="0FF41D32" w14:textId="23388C27">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ab/>
      </w:r>
      <w:r w:rsidRPr="00EE6DBA" w:rsidR="00EE6DBA">
        <w:rPr>
          <w:rFonts w:ascii="Times New Roman" w:hAnsi="Times New Roman" w:cs="Times New Roman"/>
          <w:sz w:val="24"/>
          <w:szCs w:val="24"/>
        </w:rPr>
        <w:t>Under §25.2702</w:t>
      </w:r>
      <w:r w:rsidR="0019672A">
        <w:rPr>
          <w:rFonts w:ascii="Times New Roman" w:hAnsi="Times New Roman" w:cs="Times New Roman"/>
          <w:sz w:val="24"/>
          <w:szCs w:val="24"/>
        </w:rPr>
        <w:t>-</w:t>
      </w:r>
      <w:r w:rsidRPr="00EE6DBA" w:rsidR="00EE6DBA">
        <w:rPr>
          <w:rFonts w:ascii="Times New Roman" w:hAnsi="Times New Roman" w:cs="Times New Roman"/>
          <w:sz w:val="24"/>
          <w:szCs w:val="24"/>
        </w:rPr>
        <w:t xml:space="preserve">5(a)(2), a </w:t>
      </w:r>
      <w:r w:rsidRPr="00EE6DBA" w:rsidR="0071499F">
        <w:rPr>
          <w:rFonts w:ascii="Times New Roman" w:hAnsi="Times New Roman" w:cs="Times New Roman"/>
          <w:sz w:val="24"/>
          <w:szCs w:val="24"/>
        </w:rPr>
        <w:t>non-conforming</w:t>
      </w:r>
      <w:r w:rsidRPr="00EE6DBA" w:rsidR="00EE6DBA">
        <w:rPr>
          <w:rFonts w:ascii="Times New Roman" w:hAnsi="Times New Roman" w:cs="Times New Roman"/>
          <w:sz w:val="24"/>
          <w:szCs w:val="24"/>
        </w:rPr>
        <w:t xml:space="preserve"> trust will be deemed to qualify under the regulations, if a statement is filed with the gift tax return reporting the transfer that a reformation proceeding has been commenced to reform the instrument.  We estimate that 100 grantors will spend an average of .25 hours preparing the statement.  The burden for this requirement is 25 hours.</w:t>
      </w:r>
    </w:p>
    <w:p w:rsidR="0071499F" w:rsidP="00EE6DBA" w:rsidRDefault="0071499F" w14:paraId="2310C3A2" w14:textId="593713CC">
      <w:pPr>
        <w:tabs>
          <w:tab w:val="left" w:pos="720"/>
        </w:tabs>
        <w:ind w:left="720" w:hanging="720"/>
        <w:rPr>
          <w:rFonts w:ascii="Times New Roman" w:hAnsi="Times New Roman" w:cs="Times New Roman"/>
          <w:sz w:val="24"/>
          <w:szCs w:val="24"/>
        </w:rPr>
      </w:pPr>
    </w:p>
    <w:p w:rsidR="0071499F" w:rsidP="00383B19" w:rsidRDefault="0071499F" w14:paraId="552DE7BB" w14:textId="42DD824F">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ab/>
      </w:r>
      <w:r w:rsidRPr="0071499F">
        <w:rPr>
          <w:rFonts w:ascii="Times New Roman" w:hAnsi="Times New Roman" w:cs="Times New Roman"/>
          <w:sz w:val="24"/>
          <w:szCs w:val="24"/>
        </w:rPr>
        <w:t>Under §25.2702</w:t>
      </w:r>
      <w:r w:rsidR="0019672A">
        <w:rPr>
          <w:rFonts w:ascii="Times New Roman" w:hAnsi="Times New Roman" w:cs="Times New Roman"/>
          <w:sz w:val="24"/>
          <w:szCs w:val="24"/>
        </w:rPr>
        <w:t>-</w:t>
      </w:r>
      <w:r w:rsidRPr="0071499F">
        <w:rPr>
          <w:rFonts w:ascii="Times New Roman" w:hAnsi="Times New Roman" w:cs="Times New Roman"/>
          <w:sz w:val="24"/>
          <w:szCs w:val="24"/>
        </w:rPr>
        <w:t>5(a)(2), a trust that does not comply with one or more of the regulatory requirements for qualification as a personal residence trust or a qualified personal residence trust, will be treated as satisfying those requirements if the taxpayer reforms the trust. We estimate that 200 taxpayers will spend an average of 3 hours reforming their trust agreement. The reporting b</w:t>
      </w:r>
      <w:r w:rsidR="00383B19">
        <w:rPr>
          <w:rFonts w:ascii="Times New Roman" w:hAnsi="Times New Roman" w:cs="Times New Roman"/>
          <w:sz w:val="24"/>
          <w:szCs w:val="24"/>
        </w:rPr>
        <w:t>urden for this requirement is 600</w:t>
      </w:r>
      <w:r w:rsidRPr="0071499F">
        <w:rPr>
          <w:rFonts w:ascii="Times New Roman" w:hAnsi="Times New Roman" w:cs="Times New Roman"/>
          <w:sz w:val="24"/>
          <w:szCs w:val="24"/>
        </w:rPr>
        <w:t xml:space="preserve"> hours.</w:t>
      </w:r>
    </w:p>
    <w:p w:rsidRPr="00DE7FDF" w:rsidR="00EE6DBA" w:rsidP="00EE6DBA" w:rsidRDefault="00EE6DBA" w14:paraId="28429923" w14:textId="77777777">
      <w:pPr>
        <w:tabs>
          <w:tab w:val="left" w:pos="720"/>
        </w:tabs>
        <w:ind w:left="720" w:hanging="720"/>
        <w:rPr>
          <w:rFonts w:ascii="Times New Roman" w:hAnsi="Times New Roman" w:cs="Times New Roman"/>
          <w:bCs/>
          <w:sz w:val="24"/>
          <w:szCs w:val="24"/>
        </w:rPr>
      </w:pPr>
    </w:p>
    <w:p w:rsidR="00E35C57" w:rsidP="00383B19" w:rsidRDefault="006066A6" w14:paraId="1DF99EDF" w14:textId="77777777">
      <w:pPr>
        <w:numPr>
          <w:ilvl w:val="12"/>
          <w:numId w:val="0"/>
        </w:numPr>
        <w:tabs>
          <w:tab w:val="left" w:pos="720"/>
        </w:tabs>
        <w:ind w:left="720" w:hanging="720"/>
        <w:rPr>
          <w:rFonts w:ascii="Times New Roman" w:hAnsi="Times New Roman" w:cs="Times New Roman"/>
          <w:bCs/>
          <w:sz w:val="24"/>
          <w:szCs w:val="24"/>
        </w:rPr>
      </w:pPr>
      <w:r w:rsidRPr="00DE7FDF">
        <w:rPr>
          <w:rFonts w:ascii="Times New Roman" w:hAnsi="Times New Roman" w:cs="Times New Roman"/>
          <w:bCs/>
          <w:sz w:val="24"/>
          <w:szCs w:val="24"/>
        </w:rPr>
        <w:tab/>
      </w:r>
      <w:r w:rsidR="00DE7FDF">
        <w:rPr>
          <w:rFonts w:ascii="Times New Roman" w:hAnsi="Times New Roman" w:cs="Times New Roman"/>
          <w:bCs/>
          <w:sz w:val="24"/>
          <w:szCs w:val="24"/>
        </w:rPr>
        <w:t>Burden associated with specific elections are identified on the attached burden table and the total burden identified is:</w:t>
      </w:r>
    </w:p>
    <w:p w:rsidRPr="007B1C36" w:rsidR="00986415" w:rsidP="00986415" w:rsidRDefault="00E35C57" w14:paraId="0C508B9C" w14:textId="77777777">
      <w:pPr>
        <w:numPr>
          <w:ilvl w:val="12"/>
          <w:numId w:val="0"/>
        </w:numPr>
        <w:tabs>
          <w:tab w:val="left" w:pos="720"/>
        </w:tabs>
        <w:ind w:left="720" w:hanging="720"/>
        <w:rPr>
          <w:rFonts w:ascii="Arial Narrow" w:hAnsi="Arial Narrow"/>
          <w:sz w:val="18"/>
          <w:szCs w:val="18"/>
        </w:rPr>
      </w:pPr>
      <w:r>
        <w:rPr>
          <w:rFonts w:ascii="Times New Roman" w:hAnsi="Times New Roman" w:cs="Times New Roman"/>
          <w:bCs/>
          <w:sz w:val="24"/>
          <w:szCs w:val="24"/>
        </w:rPr>
        <w:tab/>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4"/>
        <w:gridCol w:w="1615"/>
        <w:gridCol w:w="1562"/>
        <w:gridCol w:w="1497"/>
        <w:gridCol w:w="1443"/>
        <w:gridCol w:w="1181"/>
      </w:tblGrid>
      <w:tr w:rsidRPr="007B1C36" w:rsidR="00106D04" w:rsidTr="00996D1F" w14:paraId="5965D5D4" w14:textId="77777777">
        <w:tc>
          <w:tcPr>
            <w:tcW w:w="1224" w:type="dxa"/>
          </w:tcPr>
          <w:p w:rsidRPr="007B1C36" w:rsidR="00106D04" w:rsidP="001A684B" w:rsidRDefault="00106D04" w14:paraId="090894CD" w14:textId="77777777">
            <w:pPr>
              <w:numPr>
                <w:ilvl w:val="12"/>
                <w:numId w:val="0"/>
              </w:numPr>
              <w:jc w:val="center"/>
              <w:rPr>
                <w:rFonts w:ascii="Arial Narrow" w:hAnsi="Arial Narrow" w:cs="Times New Roman"/>
                <w:bCs/>
                <w:sz w:val="18"/>
                <w:szCs w:val="18"/>
              </w:rPr>
            </w:pPr>
          </w:p>
          <w:p w:rsidRPr="007B1C36" w:rsidR="00106D04" w:rsidP="001A684B" w:rsidRDefault="00106D04" w14:paraId="294127A2"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Authority</w:t>
            </w:r>
          </w:p>
        </w:tc>
        <w:tc>
          <w:tcPr>
            <w:tcW w:w="1615" w:type="dxa"/>
            <w:shd w:val="clear" w:color="auto" w:fill="auto"/>
            <w:vAlign w:val="center"/>
          </w:tcPr>
          <w:p w:rsidRPr="007B1C36" w:rsidR="00106D04" w:rsidP="001A684B" w:rsidRDefault="00106D04" w14:paraId="439A3D4E"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 Respondents</w:t>
            </w:r>
          </w:p>
        </w:tc>
        <w:tc>
          <w:tcPr>
            <w:tcW w:w="1562" w:type="dxa"/>
            <w:shd w:val="clear" w:color="auto" w:fill="auto"/>
            <w:vAlign w:val="center"/>
          </w:tcPr>
          <w:p w:rsidRPr="007B1C36" w:rsidR="00106D04" w:rsidP="001A684B" w:rsidRDefault="00106D04" w14:paraId="0F2EAFCE"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 Responses Per Respondent</w:t>
            </w:r>
          </w:p>
        </w:tc>
        <w:tc>
          <w:tcPr>
            <w:tcW w:w="1497" w:type="dxa"/>
            <w:shd w:val="clear" w:color="auto" w:fill="auto"/>
            <w:vAlign w:val="center"/>
          </w:tcPr>
          <w:p w:rsidRPr="007B1C36" w:rsidR="00106D04" w:rsidP="001A684B" w:rsidRDefault="00106D04" w14:paraId="0D1B3CD8"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Total Annual Responses</w:t>
            </w:r>
          </w:p>
        </w:tc>
        <w:tc>
          <w:tcPr>
            <w:tcW w:w="1443" w:type="dxa"/>
            <w:shd w:val="clear" w:color="auto" w:fill="auto"/>
            <w:vAlign w:val="center"/>
          </w:tcPr>
          <w:p w:rsidRPr="007B1C36" w:rsidR="00106D04" w:rsidP="001A684B" w:rsidRDefault="00106D04" w14:paraId="68F9D720"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Hours Per Response</w:t>
            </w:r>
          </w:p>
        </w:tc>
        <w:tc>
          <w:tcPr>
            <w:tcW w:w="1181" w:type="dxa"/>
            <w:shd w:val="clear" w:color="auto" w:fill="auto"/>
            <w:vAlign w:val="center"/>
          </w:tcPr>
          <w:p w:rsidRPr="007B1C36" w:rsidR="00106D04" w:rsidP="001A684B" w:rsidRDefault="00106D04" w14:paraId="53BECA5B"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Total Burden</w:t>
            </w:r>
          </w:p>
        </w:tc>
      </w:tr>
      <w:tr w:rsidRPr="007B1C36" w:rsidR="00106D04" w:rsidTr="00996D1F" w14:paraId="6F3B6588" w14:textId="77777777">
        <w:trPr>
          <w:trHeight w:val="557"/>
        </w:trPr>
        <w:tc>
          <w:tcPr>
            <w:tcW w:w="1224" w:type="dxa"/>
          </w:tcPr>
          <w:p w:rsidRPr="007B1C36" w:rsidR="00106D04" w:rsidP="001A684B" w:rsidRDefault="00106D04" w14:paraId="32C91EE0" w14:textId="77777777">
            <w:pPr>
              <w:numPr>
                <w:ilvl w:val="12"/>
                <w:numId w:val="0"/>
              </w:numPr>
              <w:jc w:val="center"/>
              <w:rPr>
                <w:rFonts w:ascii="Arial Narrow" w:hAnsi="Arial Narrow" w:cs="Times New Roman"/>
                <w:bCs/>
                <w:sz w:val="18"/>
                <w:szCs w:val="18"/>
              </w:rPr>
            </w:pPr>
          </w:p>
          <w:p w:rsidRPr="007B1C36" w:rsidR="00106D04" w:rsidP="001A684B" w:rsidRDefault="00106D04" w14:paraId="68B250B0" w14:textId="44B55A02">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IRC § 2702</w:t>
            </w:r>
            <w:r w:rsidR="0029015D">
              <w:rPr>
                <w:rFonts w:ascii="Arial Narrow" w:hAnsi="Arial Narrow" w:cs="Times New Roman"/>
                <w:bCs/>
                <w:sz w:val="18"/>
                <w:szCs w:val="18"/>
              </w:rPr>
              <w:t>(a)(3)</w:t>
            </w:r>
          </w:p>
        </w:tc>
        <w:tc>
          <w:tcPr>
            <w:tcW w:w="1615" w:type="dxa"/>
            <w:shd w:val="clear" w:color="auto" w:fill="auto"/>
            <w:vAlign w:val="center"/>
          </w:tcPr>
          <w:p w:rsidRPr="007B1C36" w:rsidR="00106D04" w:rsidP="001A684B" w:rsidRDefault="00106D04" w14:paraId="1BCE5D8F"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100</w:t>
            </w:r>
          </w:p>
        </w:tc>
        <w:tc>
          <w:tcPr>
            <w:tcW w:w="1562" w:type="dxa"/>
            <w:shd w:val="clear" w:color="auto" w:fill="auto"/>
            <w:vAlign w:val="center"/>
          </w:tcPr>
          <w:p w:rsidRPr="007B1C36" w:rsidR="00106D04" w:rsidP="001A684B" w:rsidRDefault="00106D04" w14:paraId="56E806D2"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1</w:t>
            </w:r>
          </w:p>
        </w:tc>
        <w:tc>
          <w:tcPr>
            <w:tcW w:w="1497" w:type="dxa"/>
            <w:shd w:val="clear" w:color="auto" w:fill="auto"/>
            <w:vAlign w:val="center"/>
          </w:tcPr>
          <w:p w:rsidRPr="007B1C36" w:rsidR="00106D04" w:rsidP="001A684B" w:rsidRDefault="00106D04" w14:paraId="1E5A9842"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100</w:t>
            </w:r>
          </w:p>
        </w:tc>
        <w:tc>
          <w:tcPr>
            <w:tcW w:w="1443" w:type="dxa"/>
            <w:shd w:val="clear" w:color="auto" w:fill="auto"/>
            <w:vAlign w:val="center"/>
          </w:tcPr>
          <w:p w:rsidRPr="007B1C36" w:rsidR="00106D04" w:rsidP="001A684B" w:rsidRDefault="00106D04" w14:paraId="148FDA05"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.25</w:t>
            </w:r>
          </w:p>
        </w:tc>
        <w:tc>
          <w:tcPr>
            <w:tcW w:w="1181" w:type="dxa"/>
            <w:shd w:val="clear" w:color="auto" w:fill="auto"/>
            <w:vAlign w:val="center"/>
          </w:tcPr>
          <w:p w:rsidRPr="007B1C36" w:rsidR="00106D04" w:rsidP="001A684B" w:rsidRDefault="00106D04" w14:paraId="6DABB493"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25</w:t>
            </w:r>
          </w:p>
        </w:tc>
      </w:tr>
      <w:tr w:rsidRPr="007B1C36" w:rsidR="00106D04" w:rsidTr="00996D1F" w14:paraId="78B51FCC" w14:textId="77777777">
        <w:trPr>
          <w:trHeight w:val="557"/>
        </w:trPr>
        <w:tc>
          <w:tcPr>
            <w:tcW w:w="1224" w:type="dxa"/>
          </w:tcPr>
          <w:p w:rsidRPr="007B1C36" w:rsidR="00106D04" w:rsidP="001A684B" w:rsidRDefault="00996D1F" w14:paraId="7550B73E" w14:textId="7FB5F580">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IRC § 2702</w:t>
            </w:r>
            <w:r>
              <w:rPr>
                <w:rFonts w:ascii="Arial Narrow" w:hAnsi="Arial Narrow" w:cs="Times New Roman"/>
                <w:bCs/>
                <w:sz w:val="18"/>
                <w:szCs w:val="18"/>
              </w:rPr>
              <w:t>(a)(3)</w:t>
            </w:r>
          </w:p>
        </w:tc>
        <w:tc>
          <w:tcPr>
            <w:tcW w:w="1615" w:type="dxa"/>
            <w:shd w:val="clear" w:color="auto" w:fill="auto"/>
            <w:vAlign w:val="center"/>
          </w:tcPr>
          <w:p w:rsidRPr="007B1C36" w:rsidR="00106D04" w:rsidP="001A684B" w:rsidRDefault="00106D04" w14:paraId="3492C0DB"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200</w:t>
            </w:r>
          </w:p>
        </w:tc>
        <w:tc>
          <w:tcPr>
            <w:tcW w:w="1562" w:type="dxa"/>
            <w:shd w:val="clear" w:color="auto" w:fill="auto"/>
            <w:vAlign w:val="center"/>
          </w:tcPr>
          <w:p w:rsidRPr="007B1C36" w:rsidR="00106D04" w:rsidP="001A684B" w:rsidRDefault="00106D04" w14:paraId="7CFD6ACB"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1</w:t>
            </w:r>
          </w:p>
        </w:tc>
        <w:tc>
          <w:tcPr>
            <w:tcW w:w="1497" w:type="dxa"/>
            <w:shd w:val="clear" w:color="auto" w:fill="auto"/>
            <w:vAlign w:val="center"/>
          </w:tcPr>
          <w:p w:rsidRPr="007B1C36" w:rsidR="00106D04" w:rsidP="001A684B" w:rsidRDefault="00106D04" w14:paraId="20F6FAC3"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200</w:t>
            </w:r>
          </w:p>
        </w:tc>
        <w:tc>
          <w:tcPr>
            <w:tcW w:w="1443" w:type="dxa"/>
            <w:shd w:val="clear" w:color="auto" w:fill="auto"/>
            <w:vAlign w:val="center"/>
          </w:tcPr>
          <w:p w:rsidRPr="007B1C36" w:rsidR="00106D04" w:rsidP="001A684B" w:rsidRDefault="00106D04" w14:paraId="3DFEDEFC"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3.0</w:t>
            </w:r>
          </w:p>
        </w:tc>
        <w:tc>
          <w:tcPr>
            <w:tcW w:w="1181" w:type="dxa"/>
            <w:shd w:val="clear" w:color="auto" w:fill="auto"/>
            <w:vAlign w:val="center"/>
          </w:tcPr>
          <w:p w:rsidRPr="007B1C36" w:rsidR="00106D04" w:rsidP="001A684B" w:rsidRDefault="00106D04" w14:paraId="75BD42B5" w14:textId="77777777">
            <w:pPr>
              <w:numPr>
                <w:ilvl w:val="12"/>
                <w:numId w:val="0"/>
              </w:numPr>
              <w:jc w:val="center"/>
              <w:rPr>
                <w:rFonts w:ascii="Arial Narrow" w:hAnsi="Arial Narrow" w:cs="Times New Roman"/>
                <w:bCs/>
                <w:sz w:val="18"/>
                <w:szCs w:val="18"/>
              </w:rPr>
            </w:pPr>
            <w:r w:rsidRPr="007B1C36">
              <w:rPr>
                <w:rFonts w:ascii="Arial Narrow" w:hAnsi="Arial Narrow" w:cs="Times New Roman"/>
                <w:bCs/>
                <w:sz w:val="18"/>
                <w:szCs w:val="18"/>
              </w:rPr>
              <w:t>600</w:t>
            </w:r>
          </w:p>
        </w:tc>
      </w:tr>
      <w:tr w:rsidRPr="007B1C36" w:rsidR="00996D1F" w:rsidTr="00996D1F" w14:paraId="2C5B0712" w14:textId="77777777">
        <w:trPr>
          <w:trHeight w:val="557"/>
        </w:trPr>
        <w:tc>
          <w:tcPr>
            <w:tcW w:w="1224" w:type="dxa"/>
            <w:vAlign w:val="bottom"/>
          </w:tcPr>
          <w:p w:rsidRPr="00996D1F" w:rsidR="00996D1F" w:rsidP="00996D1F" w:rsidRDefault="00996D1F" w14:paraId="4C8F33CB" w14:textId="6B8DA19A">
            <w:pPr>
              <w:numPr>
                <w:ilvl w:val="12"/>
                <w:numId w:val="0"/>
              </w:numPr>
              <w:jc w:val="center"/>
              <w:rPr>
                <w:rFonts w:ascii="Arial" w:hAnsi="Arial" w:cs="Arial"/>
                <w:bCs/>
                <w:sz w:val="18"/>
                <w:szCs w:val="18"/>
              </w:rPr>
            </w:pPr>
            <w:r>
              <w:rPr>
                <w:rFonts w:ascii="Arial" w:hAnsi="Arial" w:cs="Arial"/>
                <w:sz w:val="18"/>
                <w:szCs w:val="18"/>
              </w:rPr>
              <w:t>Totals</w:t>
            </w:r>
          </w:p>
        </w:tc>
        <w:tc>
          <w:tcPr>
            <w:tcW w:w="1615" w:type="dxa"/>
            <w:shd w:val="clear" w:color="auto" w:fill="auto"/>
            <w:vAlign w:val="center"/>
          </w:tcPr>
          <w:p w:rsidRPr="007B1C36" w:rsidR="00996D1F" w:rsidP="00996D1F" w:rsidRDefault="00996D1F" w14:paraId="2CC2C46B" w14:textId="69BD265F">
            <w:pPr>
              <w:numPr>
                <w:ilvl w:val="12"/>
                <w:numId w:val="0"/>
              </w:numPr>
              <w:jc w:val="center"/>
              <w:rPr>
                <w:rFonts w:ascii="Arial Narrow" w:hAnsi="Arial Narrow" w:cs="Times New Roman"/>
                <w:bCs/>
                <w:sz w:val="18"/>
                <w:szCs w:val="18"/>
              </w:rPr>
            </w:pPr>
            <w:r>
              <w:rPr>
                <w:rFonts w:ascii="Arial Narrow" w:hAnsi="Arial Narrow" w:cs="Times New Roman"/>
                <w:bCs/>
                <w:sz w:val="18"/>
                <w:szCs w:val="18"/>
              </w:rPr>
              <w:t>300</w:t>
            </w:r>
          </w:p>
        </w:tc>
        <w:tc>
          <w:tcPr>
            <w:tcW w:w="1562" w:type="dxa"/>
            <w:shd w:val="clear" w:color="auto" w:fill="auto"/>
            <w:vAlign w:val="center"/>
          </w:tcPr>
          <w:p w:rsidRPr="007B1C36" w:rsidR="00996D1F" w:rsidP="00996D1F" w:rsidRDefault="00996D1F" w14:paraId="46F61643" w14:textId="77777777">
            <w:pPr>
              <w:numPr>
                <w:ilvl w:val="12"/>
                <w:numId w:val="0"/>
              </w:numPr>
              <w:jc w:val="center"/>
              <w:rPr>
                <w:rFonts w:ascii="Arial Narrow" w:hAnsi="Arial Narrow" w:cs="Times New Roman"/>
                <w:bCs/>
                <w:sz w:val="18"/>
                <w:szCs w:val="18"/>
              </w:rPr>
            </w:pPr>
          </w:p>
        </w:tc>
        <w:tc>
          <w:tcPr>
            <w:tcW w:w="1497" w:type="dxa"/>
            <w:shd w:val="clear" w:color="auto" w:fill="auto"/>
            <w:vAlign w:val="center"/>
          </w:tcPr>
          <w:p w:rsidRPr="007B1C36" w:rsidR="00996D1F" w:rsidP="00996D1F" w:rsidRDefault="00996D1F" w14:paraId="69C0D690" w14:textId="2EB1EEB5">
            <w:pPr>
              <w:numPr>
                <w:ilvl w:val="12"/>
                <w:numId w:val="0"/>
              </w:numPr>
              <w:jc w:val="center"/>
              <w:rPr>
                <w:rFonts w:ascii="Arial Narrow" w:hAnsi="Arial Narrow" w:cs="Times New Roman"/>
                <w:bCs/>
                <w:sz w:val="18"/>
                <w:szCs w:val="18"/>
              </w:rPr>
            </w:pPr>
            <w:r>
              <w:rPr>
                <w:rFonts w:ascii="Arial Narrow" w:hAnsi="Arial Narrow" w:cs="Times New Roman"/>
                <w:bCs/>
                <w:sz w:val="18"/>
                <w:szCs w:val="18"/>
              </w:rPr>
              <w:t>300</w:t>
            </w:r>
          </w:p>
        </w:tc>
        <w:tc>
          <w:tcPr>
            <w:tcW w:w="1443" w:type="dxa"/>
            <w:shd w:val="clear" w:color="auto" w:fill="auto"/>
            <w:vAlign w:val="center"/>
          </w:tcPr>
          <w:p w:rsidRPr="007B1C36" w:rsidR="00996D1F" w:rsidP="00996D1F" w:rsidRDefault="00996D1F" w14:paraId="25F4446E" w14:textId="77777777">
            <w:pPr>
              <w:numPr>
                <w:ilvl w:val="12"/>
                <w:numId w:val="0"/>
              </w:numPr>
              <w:jc w:val="center"/>
              <w:rPr>
                <w:rFonts w:ascii="Arial Narrow" w:hAnsi="Arial Narrow" w:cs="Times New Roman"/>
                <w:bCs/>
                <w:sz w:val="18"/>
                <w:szCs w:val="18"/>
              </w:rPr>
            </w:pPr>
          </w:p>
        </w:tc>
        <w:tc>
          <w:tcPr>
            <w:tcW w:w="1181" w:type="dxa"/>
            <w:shd w:val="clear" w:color="auto" w:fill="auto"/>
            <w:vAlign w:val="center"/>
          </w:tcPr>
          <w:p w:rsidRPr="007B1C36" w:rsidR="00996D1F" w:rsidP="00996D1F" w:rsidRDefault="00996D1F" w14:paraId="26F1FBF1" w14:textId="67BD6433">
            <w:pPr>
              <w:numPr>
                <w:ilvl w:val="12"/>
                <w:numId w:val="0"/>
              </w:numPr>
              <w:jc w:val="center"/>
              <w:rPr>
                <w:rFonts w:ascii="Arial Narrow" w:hAnsi="Arial Narrow" w:cs="Times New Roman"/>
                <w:bCs/>
                <w:sz w:val="18"/>
                <w:szCs w:val="18"/>
              </w:rPr>
            </w:pPr>
            <w:r>
              <w:rPr>
                <w:rFonts w:ascii="Arial Narrow" w:hAnsi="Arial Narrow" w:cs="Times New Roman"/>
                <w:bCs/>
                <w:sz w:val="18"/>
                <w:szCs w:val="18"/>
              </w:rPr>
              <w:t>625</w:t>
            </w:r>
          </w:p>
        </w:tc>
      </w:tr>
    </w:tbl>
    <w:p w:rsidR="000C3B92" w:rsidRDefault="000C3B92" w14:paraId="1BB9D9F0" w14:textId="690AD1DC">
      <w:pPr>
        <w:numPr>
          <w:ilvl w:val="12"/>
          <w:numId w:val="0"/>
        </w:numPr>
        <w:ind w:left="720"/>
        <w:rPr>
          <w:rFonts w:ascii="CG Times" w:hAnsi="CG Times" w:cs="CG Times"/>
          <w:bCs/>
          <w:sz w:val="24"/>
          <w:szCs w:val="24"/>
        </w:rPr>
      </w:pPr>
    </w:p>
    <w:p w:rsidR="0029015D" w:rsidP="0029015D" w:rsidRDefault="0029015D" w14:paraId="40AB5A63" w14:textId="3832DA36">
      <w:pPr>
        <w:numPr>
          <w:ilvl w:val="12"/>
          <w:numId w:val="0"/>
        </w:numPr>
        <w:ind w:left="720"/>
        <w:rPr>
          <w:rFonts w:ascii="CG Times" w:hAnsi="CG Times" w:cs="CG Times"/>
          <w:bCs/>
          <w:sz w:val="24"/>
          <w:szCs w:val="24"/>
        </w:rPr>
      </w:pPr>
      <w:bookmarkStart w:name="_Hlk65079402" w:id="1"/>
      <w:r w:rsidRPr="0029015D">
        <w:rPr>
          <w:rFonts w:ascii="CG Times" w:hAnsi="CG Times" w:cs="CG Times"/>
          <w:bCs/>
          <w:sz w:val="24"/>
          <w:szCs w:val="24"/>
        </w:rPr>
        <w:t>The following regulations impose no additional burden.  Please continue to assign OMB number 1545-14</w:t>
      </w:r>
      <w:r>
        <w:rPr>
          <w:rFonts w:ascii="CG Times" w:hAnsi="CG Times" w:cs="CG Times"/>
          <w:bCs/>
          <w:sz w:val="24"/>
          <w:szCs w:val="24"/>
        </w:rPr>
        <w:t>85</w:t>
      </w:r>
      <w:r w:rsidRPr="0029015D">
        <w:rPr>
          <w:rFonts w:ascii="CG Times" w:hAnsi="CG Times" w:cs="CG Times"/>
          <w:bCs/>
          <w:sz w:val="24"/>
          <w:szCs w:val="24"/>
        </w:rPr>
        <w:t xml:space="preserve"> to these regulations.</w:t>
      </w:r>
    </w:p>
    <w:p w:rsidR="0029015D" w:rsidP="0029015D" w:rsidRDefault="0029015D" w14:paraId="11EA0AF5" w14:textId="1E6C3A8F">
      <w:pPr>
        <w:numPr>
          <w:ilvl w:val="12"/>
          <w:numId w:val="0"/>
        </w:numPr>
        <w:ind w:left="720"/>
        <w:rPr>
          <w:rFonts w:ascii="CG Times" w:hAnsi="CG Times" w:cs="CG Times"/>
          <w:bCs/>
          <w:sz w:val="24"/>
          <w:szCs w:val="24"/>
        </w:rPr>
      </w:pPr>
    </w:p>
    <w:tbl>
      <w:tblPr>
        <w:tblStyle w:val="TableGrid"/>
        <w:tblW w:w="0" w:type="auto"/>
        <w:tblInd w:w="720" w:type="dxa"/>
        <w:tblLook w:val="04A0" w:firstRow="1" w:lastRow="0" w:firstColumn="1" w:lastColumn="0" w:noHBand="0" w:noVBand="1"/>
      </w:tblPr>
      <w:tblGrid>
        <w:gridCol w:w="4309"/>
        <w:gridCol w:w="4321"/>
      </w:tblGrid>
      <w:tr w:rsidR="0029015D" w:rsidTr="0029015D" w14:paraId="1B880B1D" w14:textId="77777777">
        <w:tc>
          <w:tcPr>
            <w:tcW w:w="4675" w:type="dxa"/>
          </w:tcPr>
          <w:p w:rsidR="0029015D" w:rsidP="0029015D" w:rsidRDefault="0029015D" w14:paraId="30DBB507" w14:textId="26EEC71B">
            <w:pPr>
              <w:numPr>
                <w:ilvl w:val="12"/>
                <w:numId w:val="0"/>
              </w:numPr>
              <w:rPr>
                <w:rFonts w:ascii="CG Times" w:hAnsi="CG Times" w:cs="CG Times"/>
                <w:bCs/>
                <w:sz w:val="24"/>
                <w:szCs w:val="24"/>
              </w:rPr>
            </w:pPr>
            <w:r>
              <w:rPr>
                <w:rFonts w:ascii="CG Times" w:hAnsi="CG Times" w:cs="CG Times"/>
                <w:bCs/>
                <w:sz w:val="24"/>
                <w:szCs w:val="24"/>
              </w:rPr>
              <w:t>25.2702</w:t>
            </w:r>
            <w:r w:rsidR="0019672A">
              <w:rPr>
                <w:rFonts w:ascii="CG Times" w:hAnsi="CG Times" w:cs="CG Times"/>
                <w:bCs/>
                <w:sz w:val="24"/>
                <w:szCs w:val="24"/>
              </w:rPr>
              <w:t>-</w:t>
            </w:r>
            <w:r>
              <w:rPr>
                <w:rFonts w:ascii="CG Times" w:hAnsi="CG Times" w:cs="CG Times"/>
                <w:bCs/>
                <w:sz w:val="24"/>
                <w:szCs w:val="24"/>
              </w:rPr>
              <w:t>5(a)(2)</w:t>
            </w:r>
          </w:p>
        </w:tc>
        <w:tc>
          <w:tcPr>
            <w:tcW w:w="4675" w:type="dxa"/>
          </w:tcPr>
          <w:p w:rsidR="0029015D" w:rsidP="0029015D" w:rsidRDefault="001B469B" w14:paraId="77BCA80E" w14:textId="1FB334A1">
            <w:pPr>
              <w:numPr>
                <w:ilvl w:val="12"/>
                <w:numId w:val="0"/>
              </w:numPr>
              <w:rPr>
                <w:rFonts w:ascii="CG Times" w:hAnsi="CG Times" w:cs="CG Times"/>
                <w:bCs/>
                <w:sz w:val="24"/>
                <w:szCs w:val="24"/>
              </w:rPr>
            </w:pPr>
            <w:r>
              <w:rPr>
                <w:rFonts w:ascii="CG Times" w:hAnsi="CG Times" w:cs="CG Times"/>
                <w:bCs/>
                <w:sz w:val="24"/>
                <w:szCs w:val="24"/>
              </w:rPr>
              <w:t>301.7701-3</w:t>
            </w:r>
          </w:p>
        </w:tc>
      </w:tr>
    </w:tbl>
    <w:p w:rsidRPr="0029015D" w:rsidR="0029015D" w:rsidP="0029015D" w:rsidRDefault="0029015D" w14:paraId="390F3DEA" w14:textId="77777777">
      <w:pPr>
        <w:numPr>
          <w:ilvl w:val="12"/>
          <w:numId w:val="0"/>
        </w:numPr>
        <w:ind w:left="720"/>
        <w:rPr>
          <w:rFonts w:ascii="CG Times" w:hAnsi="CG Times" w:cs="CG Times"/>
          <w:bCs/>
          <w:sz w:val="24"/>
          <w:szCs w:val="24"/>
        </w:rPr>
      </w:pPr>
    </w:p>
    <w:bookmarkEnd w:id="1"/>
    <w:p w:rsidR="0029015D" w:rsidRDefault="0029015D" w14:paraId="5F21C38E" w14:textId="2D58083C">
      <w:pPr>
        <w:numPr>
          <w:ilvl w:val="12"/>
          <w:numId w:val="0"/>
        </w:numPr>
        <w:ind w:left="720"/>
        <w:rPr>
          <w:rFonts w:ascii="CG Times" w:hAnsi="CG Times" w:cs="CG Times"/>
          <w:bCs/>
          <w:sz w:val="24"/>
          <w:szCs w:val="24"/>
        </w:rPr>
      </w:pPr>
    </w:p>
    <w:p w:rsidRPr="00CF4282" w:rsidR="006800B3" w:rsidRDefault="006800B3" w14:paraId="31546B98"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TOTAL ANNUAL COST BURDEN TO RESPONDENTS</w:t>
      </w:r>
    </w:p>
    <w:p w:rsidRPr="00CF4282" w:rsidR="006800B3" w:rsidRDefault="006800B3" w14:paraId="0EB0732C" w14:textId="77777777">
      <w:pPr>
        <w:numPr>
          <w:ilvl w:val="12"/>
          <w:numId w:val="0"/>
        </w:numPr>
        <w:rPr>
          <w:rFonts w:ascii="CG Times" w:hAnsi="CG Times" w:cs="CG Times"/>
          <w:bCs/>
          <w:sz w:val="24"/>
          <w:szCs w:val="24"/>
        </w:rPr>
      </w:pPr>
    </w:p>
    <w:p w:rsidRPr="000C3B92" w:rsidR="009B10E4" w:rsidP="009B10E4" w:rsidRDefault="009B10E4" w14:paraId="223F275E" w14:textId="77777777">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4282" w:rsidR="006800B3" w:rsidRDefault="006800B3" w14:paraId="6BD60674" w14:textId="77777777">
      <w:pPr>
        <w:numPr>
          <w:ilvl w:val="12"/>
          <w:numId w:val="0"/>
        </w:numPr>
        <w:rPr>
          <w:rFonts w:ascii="CG Times" w:hAnsi="CG Times" w:cs="CG Times"/>
          <w:bCs/>
          <w:sz w:val="24"/>
          <w:szCs w:val="24"/>
        </w:rPr>
      </w:pPr>
    </w:p>
    <w:p w:rsidRPr="00CF4282" w:rsidR="006800B3" w:rsidRDefault="006800B3" w14:paraId="0CC29105" w14:textId="77777777">
      <w:pPr>
        <w:pStyle w:val="Level1"/>
        <w:numPr>
          <w:ilvl w:val="0"/>
          <w:numId w:val="1"/>
        </w:numPr>
        <w:tabs>
          <w:tab w:val="left" w:pos="720"/>
        </w:tabs>
        <w:ind w:left="720" w:hanging="720"/>
        <w:jc w:val="left"/>
        <w:rPr>
          <w:rFonts w:ascii="CG Times" w:hAnsi="CG Times" w:cs="CG Times"/>
          <w:b/>
          <w:bCs/>
        </w:rPr>
      </w:pPr>
      <w:r w:rsidRPr="00CF4282">
        <w:rPr>
          <w:rFonts w:ascii="CG Times" w:hAnsi="CG Times" w:cs="CG Times"/>
          <w:b/>
          <w:bCs/>
          <w:u w:val="single"/>
        </w:rPr>
        <w:t>ESTIMATED ANNUALIZED COST TO THE FEDERAL GOVERNMENT</w:t>
      </w:r>
    </w:p>
    <w:p w:rsidRPr="00CF4282" w:rsidR="006800B3" w:rsidRDefault="006800B3" w14:paraId="1F42307B" w14:textId="77777777">
      <w:pPr>
        <w:numPr>
          <w:ilvl w:val="12"/>
          <w:numId w:val="0"/>
        </w:numPr>
        <w:rPr>
          <w:rFonts w:ascii="CG Times" w:hAnsi="CG Times" w:cs="CG Times"/>
          <w:bCs/>
          <w:sz w:val="24"/>
          <w:szCs w:val="24"/>
        </w:rPr>
      </w:pPr>
    </w:p>
    <w:p w:rsidRPr="000C3B92" w:rsidR="009B10E4" w:rsidP="009B10E4" w:rsidRDefault="009B10E4" w14:paraId="494A92FC" w14:textId="77777777">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4282" w:rsidR="006800B3" w:rsidRDefault="006800B3" w14:paraId="4CF59F25" w14:textId="77777777">
      <w:pPr>
        <w:numPr>
          <w:ilvl w:val="12"/>
          <w:numId w:val="0"/>
        </w:numPr>
        <w:rPr>
          <w:rFonts w:ascii="CG Times" w:hAnsi="CG Times" w:cs="CG Times"/>
          <w:bCs/>
          <w:sz w:val="24"/>
          <w:szCs w:val="24"/>
        </w:rPr>
      </w:pPr>
    </w:p>
    <w:p w:rsidR="006800B3" w:rsidRDefault="006800B3" w14:paraId="05E720DE"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lastRenderedPageBreak/>
        <w:t>REASONS FOR CHANGE IN BURDEN</w:t>
      </w:r>
    </w:p>
    <w:p w:rsidR="006800B3" w:rsidRDefault="006800B3" w14:paraId="0EE490A2" w14:textId="77777777">
      <w:pPr>
        <w:numPr>
          <w:ilvl w:val="12"/>
          <w:numId w:val="0"/>
        </w:numPr>
        <w:rPr>
          <w:rFonts w:ascii="CG Times" w:hAnsi="CG Times" w:cs="CG Times"/>
          <w:b/>
          <w:bCs/>
          <w:sz w:val="24"/>
          <w:szCs w:val="24"/>
        </w:rPr>
      </w:pPr>
    </w:p>
    <w:p w:rsidRPr="000C3B92" w:rsidR="00407C3E" w:rsidP="0071499F" w:rsidRDefault="0071499F" w14:paraId="718D623A" w14:textId="051AC69F">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 xml:space="preserve">There is no change in the paperwork burden previously approved by OMB.  </w:t>
      </w:r>
      <w:r w:rsidRPr="000C3B92" w:rsidR="005566E0">
        <w:rPr>
          <w:rFonts w:ascii="Times New Roman" w:hAnsi="Times New Roman" w:cs="Times New Roman"/>
          <w:bCs/>
          <w:sz w:val="24"/>
          <w:szCs w:val="24"/>
        </w:rPr>
        <w:t>IRS is</w:t>
      </w:r>
      <w:r w:rsidRPr="000C3B92">
        <w:rPr>
          <w:rFonts w:ascii="Times New Roman" w:hAnsi="Times New Roman" w:cs="Times New Roman"/>
          <w:bCs/>
          <w:sz w:val="24"/>
          <w:szCs w:val="24"/>
        </w:rPr>
        <w:t xml:space="preserve"> making this submission to renew the OMB approval.</w:t>
      </w:r>
      <w:r w:rsidRPr="000C3B92" w:rsidR="00407C3E">
        <w:rPr>
          <w:rFonts w:ascii="Times New Roman" w:hAnsi="Times New Roman" w:cs="Times New Roman"/>
          <w:bCs/>
          <w:sz w:val="24"/>
          <w:szCs w:val="24"/>
        </w:rPr>
        <w:t xml:space="preserve"> </w:t>
      </w:r>
    </w:p>
    <w:p w:rsidR="00F274D1" w:rsidP="00CA761D" w:rsidRDefault="00F274D1" w14:paraId="57FE40EE" w14:textId="77777777">
      <w:pPr>
        <w:numPr>
          <w:ilvl w:val="12"/>
          <w:numId w:val="0"/>
        </w:numPr>
        <w:ind w:left="720"/>
        <w:rPr>
          <w:rFonts w:ascii="CG Times" w:hAnsi="CG Times" w:cs="CG Times"/>
          <w:bCs/>
          <w:color w:val="FF0000"/>
          <w:sz w:val="24"/>
          <w:szCs w:val="24"/>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BE1790" w:rsidR="00BE1790" w:rsidTr="00F815E3" w14:paraId="22CD0F47"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BE1790" w:rsidR="00BE1790" w:rsidP="00BE1790" w:rsidRDefault="00BE1790" w14:paraId="500DE006"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BE1790" w:rsidP="00BE1790" w:rsidRDefault="00BE1790" w14:paraId="3F581FCB"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BE1790" w:rsidP="00BE1790" w:rsidRDefault="00BE1790" w14:paraId="32C891E1"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BE1790" w:rsidP="00BE1790" w:rsidRDefault="00BE1790" w14:paraId="53912420"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BE1790" w:rsidP="00BE1790" w:rsidRDefault="00BE1790" w14:paraId="0223D318"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BE1790" w:rsidP="00BE1790" w:rsidRDefault="00BE1790" w14:paraId="3365EFAD"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BE1790" w:rsidP="00BE1790" w:rsidRDefault="00BE1790" w14:paraId="68A87CEA"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Previously Approved</w:t>
            </w:r>
          </w:p>
        </w:tc>
      </w:tr>
      <w:tr w:rsidRPr="00BE1790" w:rsidR="00BE1790" w:rsidTr="00F815E3" w14:paraId="63430D31" w14:textId="77777777">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2FCFCA58"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51926A9C"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Pr>
                <w:rFonts w:ascii="Arial Narrow" w:hAnsi="Arial Narrow" w:cs="Arial"/>
                <w:color w:val="000000"/>
                <w:sz w:val="18"/>
                <w:szCs w:val="18"/>
              </w:rPr>
              <w:t>300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7910B7F0"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116D6727"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2D1B0B7A"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019405AA"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26AA0308"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Pr>
                <w:rFonts w:ascii="Arial Narrow" w:hAnsi="Arial Narrow" w:cs="Arial"/>
                <w:color w:val="000000"/>
                <w:sz w:val="18"/>
                <w:szCs w:val="18"/>
              </w:rPr>
              <w:t>300</w:t>
            </w:r>
          </w:p>
        </w:tc>
      </w:tr>
      <w:tr w:rsidRPr="00BE1790" w:rsidR="00BE1790" w:rsidTr="00F815E3" w14:paraId="6A0AC62C" w14:textId="77777777">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1E5DFA7D"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Annual Time Burden (Hr)</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165F5BF0"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Pr>
                <w:rFonts w:ascii="Arial Narrow" w:hAnsi="Arial Narrow" w:cs="Arial"/>
                <w:color w:val="000000"/>
                <w:sz w:val="18"/>
                <w:szCs w:val="18"/>
              </w:rPr>
              <w:t>625</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6356C773"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132E68A3"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7670F13B"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65E3513A"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BE1790" w:rsidP="00BE1790" w:rsidRDefault="00BE1790" w14:paraId="5CB01461" w14:textId="77777777">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  625</w:t>
            </w:r>
          </w:p>
        </w:tc>
      </w:tr>
    </w:tbl>
    <w:p w:rsidRPr="00CA761D" w:rsidR="000C3B92" w:rsidP="00CA761D" w:rsidRDefault="000C3B92" w14:paraId="19AE6636" w14:textId="77777777">
      <w:pPr>
        <w:numPr>
          <w:ilvl w:val="12"/>
          <w:numId w:val="0"/>
        </w:numPr>
        <w:ind w:left="720"/>
        <w:rPr>
          <w:rFonts w:ascii="CG Times" w:hAnsi="CG Times" w:cs="CG Times"/>
          <w:bCs/>
          <w:color w:val="FF0000"/>
          <w:sz w:val="24"/>
          <w:szCs w:val="24"/>
        </w:rPr>
      </w:pPr>
    </w:p>
    <w:p w:rsidR="006800B3" w:rsidRDefault="006800B3" w14:paraId="459D2834"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PLANS FOR TABULATION, STATISTICAL ANALYSIS AND PUBLICATION</w:t>
      </w:r>
    </w:p>
    <w:p w:rsidRPr="00CF4282" w:rsidR="006800B3" w:rsidRDefault="006800B3" w14:paraId="391C2324" w14:textId="77777777">
      <w:pPr>
        <w:numPr>
          <w:ilvl w:val="12"/>
          <w:numId w:val="0"/>
        </w:numPr>
        <w:rPr>
          <w:rFonts w:ascii="CG Times" w:hAnsi="CG Times" w:cs="CG Times"/>
          <w:bCs/>
          <w:sz w:val="24"/>
          <w:szCs w:val="24"/>
        </w:rPr>
      </w:pPr>
    </w:p>
    <w:p w:rsidRPr="000C3B92" w:rsidR="006800B3" w:rsidP="005D2BBC" w:rsidRDefault="005D2BBC" w14:paraId="077CE42A" w14:textId="77777777">
      <w:pPr>
        <w:ind w:left="720"/>
        <w:rPr>
          <w:rFonts w:ascii="Times New Roman" w:hAnsi="Times New Roman" w:cs="Times New Roman"/>
          <w:sz w:val="24"/>
          <w:szCs w:val="24"/>
        </w:rPr>
      </w:pPr>
      <w:r w:rsidRPr="000C3B92">
        <w:rPr>
          <w:rFonts w:ascii="Times New Roman" w:hAnsi="Times New Roman" w:cs="Times New Roman"/>
          <w:sz w:val="24"/>
          <w:szCs w:val="24"/>
        </w:rPr>
        <w:t>There are no plans for tabulation, statistical analysis and publication.</w:t>
      </w:r>
    </w:p>
    <w:p w:rsidR="006800B3" w:rsidRDefault="006800B3" w14:paraId="5D49C8B1" w14:textId="77CAE3E0">
      <w:pPr>
        <w:numPr>
          <w:ilvl w:val="12"/>
          <w:numId w:val="0"/>
        </w:numPr>
        <w:rPr>
          <w:rFonts w:ascii="CG Times" w:hAnsi="CG Times" w:cs="CG Times"/>
          <w:bCs/>
          <w:sz w:val="24"/>
          <w:szCs w:val="24"/>
        </w:rPr>
      </w:pPr>
    </w:p>
    <w:p w:rsidRPr="00CF4282" w:rsidR="007B1C36" w:rsidRDefault="007B1C36" w14:paraId="3D950415" w14:textId="77777777">
      <w:pPr>
        <w:numPr>
          <w:ilvl w:val="12"/>
          <w:numId w:val="0"/>
        </w:numPr>
        <w:rPr>
          <w:rFonts w:ascii="CG Times" w:hAnsi="CG Times" w:cs="CG Times"/>
          <w:bCs/>
          <w:sz w:val="24"/>
          <w:szCs w:val="24"/>
        </w:rPr>
      </w:pPr>
    </w:p>
    <w:p w:rsidR="006800B3" w:rsidRDefault="006800B3" w14:paraId="72A5194C"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REASONS WHY DISPLAYING THE OMB EXPIRATION DATE IS</w:t>
      </w:r>
      <w:r w:rsidR="00CF4282">
        <w:rPr>
          <w:rFonts w:ascii="CG Times" w:hAnsi="CG Times" w:cs="CG Times"/>
          <w:b/>
          <w:bCs/>
          <w:u w:val="single"/>
        </w:rPr>
        <w:t xml:space="preserve"> </w:t>
      </w:r>
      <w:r>
        <w:rPr>
          <w:rFonts w:ascii="CG Times" w:hAnsi="CG Times" w:cs="CG Times"/>
          <w:b/>
          <w:bCs/>
          <w:u w:val="single"/>
        </w:rPr>
        <w:t>INAPPROPRIATE</w:t>
      </w:r>
    </w:p>
    <w:p w:rsidRPr="00CF4282" w:rsidR="006800B3" w:rsidRDefault="006800B3" w14:paraId="42C86122" w14:textId="77777777">
      <w:pPr>
        <w:numPr>
          <w:ilvl w:val="12"/>
          <w:numId w:val="0"/>
        </w:numPr>
        <w:rPr>
          <w:rFonts w:ascii="CG Times" w:hAnsi="CG Times" w:cs="CG Times"/>
          <w:bCs/>
          <w:sz w:val="24"/>
          <w:szCs w:val="24"/>
        </w:rPr>
      </w:pPr>
    </w:p>
    <w:p w:rsidRPr="000C3B92" w:rsidR="006800B3" w:rsidRDefault="00106D04" w14:paraId="1C433E2E" w14:textId="77777777">
      <w:pPr>
        <w:numPr>
          <w:ilvl w:val="12"/>
          <w:numId w:val="0"/>
        </w:numPr>
        <w:ind w:left="720"/>
        <w:rPr>
          <w:rFonts w:ascii="Times New Roman" w:hAnsi="Times New Roman" w:cs="Times New Roman"/>
          <w:bCs/>
          <w:sz w:val="24"/>
          <w:szCs w:val="24"/>
        </w:rPr>
      </w:pPr>
      <w:r w:rsidRPr="000C3B92">
        <w:rPr>
          <w:rFonts w:ascii="Times New Roman" w:hAnsi="Times New Roman" w:cs="Times New Roman"/>
          <w:bCs/>
          <w:sz w:val="24"/>
          <w:szCs w:val="24"/>
        </w:rPr>
        <w:t>IRS</w:t>
      </w:r>
      <w:r w:rsidRPr="000C3B92" w:rsidR="006800B3">
        <w:rPr>
          <w:rFonts w:ascii="Times New Roman" w:hAnsi="Times New Roman" w:cs="Times New Roman"/>
          <w:bCs/>
          <w:sz w:val="24"/>
          <w:szCs w:val="24"/>
        </w:rPr>
        <w:t xml:space="preserve"> believe</w:t>
      </w:r>
      <w:r w:rsidRPr="000C3B92">
        <w:rPr>
          <w:rFonts w:ascii="Times New Roman" w:hAnsi="Times New Roman" w:cs="Times New Roman"/>
          <w:bCs/>
          <w:sz w:val="24"/>
          <w:szCs w:val="24"/>
        </w:rPr>
        <w:t>s</w:t>
      </w:r>
      <w:r w:rsidRPr="000C3B92" w:rsidR="006800B3">
        <w:rPr>
          <w:rFonts w:ascii="Times New Roman" w:hAnsi="Times New Roman" w:cs="Times New Roman"/>
          <w:bCs/>
          <w:sz w:val="24"/>
          <w:szCs w:val="24"/>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CF4282" w:rsidR="006800B3" w:rsidRDefault="006800B3" w14:paraId="5AB5229B" w14:textId="77777777">
      <w:pPr>
        <w:numPr>
          <w:ilvl w:val="12"/>
          <w:numId w:val="0"/>
        </w:numPr>
        <w:rPr>
          <w:rFonts w:ascii="CG Times" w:hAnsi="CG Times" w:cs="CG Times"/>
          <w:bCs/>
          <w:sz w:val="24"/>
          <w:szCs w:val="24"/>
        </w:rPr>
      </w:pPr>
    </w:p>
    <w:p w:rsidR="006800B3" w:rsidRDefault="006800B3" w14:paraId="71FD817A" w14:textId="77777777">
      <w:pPr>
        <w:pStyle w:val="Level1"/>
        <w:numPr>
          <w:ilvl w:val="0"/>
          <w:numId w:val="1"/>
        </w:numPr>
        <w:tabs>
          <w:tab w:val="left" w:pos="720"/>
        </w:tabs>
        <w:ind w:left="720" w:hanging="720"/>
        <w:jc w:val="left"/>
        <w:rPr>
          <w:rFonts w:ascii="CG Times" w:hAnsi="CG Times" w:cs="CG Times"/>
          <w:b/>
          <w:bCs/>
        </w:rPr>
      </w:pPr>
      <w:r>
        <w:rPr>
          <w:rFonts w:ascii="CG Times" w:hAnsi="CG Times" w:cs="CG Times"/>
          <w:b/>
          <w:bCs/>
          <w:u w:val="single"/>
        </w:rPr>
        <w:t>EXCEPTIONS TO THE CERTIFICATION STATEMENT ON OMB FORM 83-I</w:t>
      </w:r>
    </w:p>
    <w:p w:rsidRPr="00CF4282" w:rsidR="006800B3" w:rsidRDefault="006800B3" w14:paraId="255D181D" w14:textId="77777777">
      <w:pPr>
        <w:numPr>
          <w:ilvl w:val="12"/>
          <w:numId w:val="0"/>
        </w:numPr>
        <w:rPr>
          <w:rFonts w:ascii="CG Times" w:hAnsi="CG Times" w:cs="CG Times"/>
          <w:bCs/>
          <w:sz w:val="24"/>
          <w:szCs w:val="24"/>
        </w:rPr>
      </w:pPr>
    </w:p>
    <w:p w:rsidRPr="007B1C36" w:rsidR="00C85D17" w:rsidP="00C85D17" w:rsidRDefault="005D2BBC" w14:paraId="7F72CE7F" w14:textId="215F20CE">
      <w:pPr>
        <w:numPr>
          <w:ilvl w:val="12"/>
          <w:numId w:val="0"/>
        </w:numPr>
        <w:ind w:left="720"/>
        <w:rPr>
          <w:rFonts w:ascii="Times New Roman" w:hAnsi="Times New Roman" w:cs="Times New Roman"/>
          <w:bCs/>
          <w:sz w:val="24"/>
          <w:szCs w:val="24"/>
        </w:rPr>
      </w:pPr>
      <w:r w:rsidRPr="007B1C36">
        <w:rPr>
          <w:rFonts w:ascii="Times New Roman" w:hAnsi="Times New Roman" w:cs="Times New Roman"/>
          <w:bCs/>
          <w:sz w:val="24"/>
          <w:szCs w:val="24"/>
        </w:rPr>
        <w:t>There are no exceptions to the certification statement</w:t>
      </w:r>
      <w:r w:rsidR="00CB125B">
        <w:rPr>
          <w:rFonts w:ascii="Times New Roman" w:hAnsi="Times New Roman" w:cs="Times New Roman"/>
          <w:bCs/>
          <w:sz w:val="24"/>
          <w:szCs w:val="24"/>
        </w:rPr>
        <w:t xml:space="preserve"> for this collection</w:t>
      </w:r>
      <w:r w:rsidRPr="007B1C36">
        <w:rPr>
          <w:rFonts w:ascii="Times New Roman" w:hAnsi="Times New Roman" w:cs="Times New Roman"/>
          <w:bCs/>
          <w:sz w:val="24"/>
          <w:szCs w:val="24"/>
        </w:rPr>
        <w:t>.</w:t>
      </w:r>
    </w:p>
    <w:p w:rsidRPr="007B1C36" w:rsidR="005D2BBC" w:rsidP="00C85D17" w:rsidRDefault="005D2BBC" w14:paraId="7268E6A7" w14:textId="77777777">
      <w:pPr>
        <w:numPr>
          <w:ilvl w:val="12"/>
          <w:numId w:val="0"/>
        </w:numPr>
        <w:ind w:left="720"/>
        <w:rPr>
          <w:rFonts w:ascii="Times New Roman" w:hAnsi="Times New Roman" w:cs="Times New Roman"/>
          <w:bCs/>
          <w:sz w:val="24"/>
          <w:szCs w:val="24"/>
        </w:rPr>
      </w:pPr>
    </w:p>
    <w:p w:rsidR="00CB125B" w:rsidP="00C85D17" w:rsidRDefault="006800B3" w14:paraId="0F3E435A" w14:textId="77777777">
      <w:pPr>
        <w:numPr>
          <w:ilvl w:val="12"/>
          <w:numId w:val="0"/>
        </w:numPr>
        <w:ind w:left="720"/>
        <w:rPr>
          <w:rFonts w:ascii="Times New Roman" w:hAnsi="Times New Roman" w:cs="Times New Roman"/>
          <w:bCs/>
          <w:sz w:val="24"/>
          <w:szCs w:val="24"/>
        </w:rPr>
      </w:pPr>
      <w:r w:rsidRPr="007B1C36">
        <w:rPr>
          <w:rFonts w:ascii="Times New Roman" w:hAnsi="Times New Roman" w:cs="Times New Roman"/>
          <w:b/>
          <w:bCs/>
          <w:sz w:val="24"/>
          <w:szCs w:val="24"/>
          <w:u w:val="single"/>
        </w:rPr>
        <w:t>Note</w:t>
      </w:r>
      <w:r w:rsidRPr="007B1C36">
        <w:rPr>
          <w:rFonts w:ascii="Times New Roman" w:hAnsi="Times New Roman" w:cs="Times New Roman"/>
          <w:bCs/>
          <w:sz w:val="24"/>
          <w:szCs w:val="24"/>
          <w:u w:val="single"/>
        </w:rPr>
        <w:t>:</w:t>
      </w:r>
      <w:r w:rsidRPr="007B1C36" w:rsidR="00CF4282">
        <w:rPr>
          <w:rFonts w:ascii="Times New Roman" w:hAnsi="Times New Roman" w:cs="Times New Roman"/>
          <w:bCs/>
          <w:sz w:val="24"/>
          <w:szCs w:val="24"/>
        </w:rPr>
        <w:tab/>
      </w:r>
      <w:r w:rsidRPr="007B1C36">
        <w:rPr>
          <w:rFonts w:ascii="Times New Roman" w:hAnsi="Times New Roman" w:cs="Times New Roman"/>
          <w:bCs/>
          <w:sz w:val="24"/>
          <w:szCs w:val="24"/>
        </w:rPr>
        <w:t xml:space="preserve">The following paragraph applies to </w:t>
      </w:r>
      <w:proofErr w:type="gramStart"/>
      <w:r w:rsidRPr="007B1C36" w:rsidR="0071499F">
        <w:rPr>
          <w:rFonts w:ascii="Times New Roman" w:hAnsi="Times New Roman" w:cs="Times New Roman"/>
          <w:bCs/>
          <w:sz w:val="24"/>
          <w:szCs w:val="24"/>
        </w:rPr>
        <w:t>all of</w:t>
      </w:r>
      <w:proofErr w:type="gramEnd"/>
      <w:r w:rsidRPr="007B1C36">
        <w:rPr>
          <w:rFonts w:ascii="Times New Roman" w:hAnsi="Times New Roman" w:cs="Times New Roman"/>
          <w:bCs/>
          <w:sz w:val="24"/>
          <w:szCs w:val="24"/>
        </w:rPr>
        <w:t xml:space="preserve"> the collections of information in this </w:t>
      </w:r>
      <w:r w:rsidR="00CB125B">
        <w:rPr>
          <w:rFonts w:ascii="Times New Roman" w:hAnsi="Times New Roman" w:cs="Times New Roman"/>
          <w:bCs/>
          <w:sz w:val="24"/>
          <w:szCs w:val="24"/>
        </w:rPr>
        <w:t xml:space="preserve"> </w:t>
      </w:r>
    </w:p>
    <w:p w:rsidRPr="007B1C36" w:rsidR="006800B3" w:rsidP="00C85D17" w:rsidRDefault="00CB125B" w14:paraId="3D659313" w14:textId="320C08E0">
      <w:pPr>
        <w:numPr>
          <w:ilvl w:val="12"/>
          <w:numId w:val="0"/>
        </w:numPr>
        <w:ind w:left="720"/>
        <w:rPr>
          <w:rFonts w:ascii="Times New Roman" w:hAnsi="Times New Roman" w:cs="Times New Roman"/>
          <w:bCs/>
          <w:sz w:val="24"/>
          <w:szCs w:val="24"/>
        </w:rPr>
      </w:pPr>
      <w:r w:rsidRPr="00CB125B">
        <w:rPr>
          <w:rFonts w:ascii="Times New Roman" w:hAnsi="Times New Roman" w:cs="Times New Roman"/>
          <w:b/>
          <w:bCs/>
          <w:sz w:val="24"/>
          <w:szCs w:val="24"/>
        </w:rPr>
        <w:t xml:space="preserve">            </w:t>
      </w:r>
      <w:r w:rsidRPr="00CB125B">
        <w:rPr>
          <w:rFonts w:ascii="Times New Roman" w:hAnsi="Times New Roman" w:cs="Times New Roman"/>
          <w:bCs/>
          <w:sz w:val="24"/>
          <w:szCs w:val="24"/>
        </w:rPr>
        <w:t xml:space="preserve"> </w:t>
      </w:r>
      <w:r w:rsidRPr="007B1C36" w:rsidR="006800B3">
        <w:rPr>
          <w:rFonts w:ascii="Times New Roman" w:hAnsi="Times New Roman" w:cs="Times New Roman"/>
          <w:bCs/>
          <w:sz w:val="24"/>
          <w:szCs w:val="24"/>
        </w:rPr>
        <w:t>submission:</w:t>
      </w:r>
    </w:p>
    <w:p w:rsidRPr="007B1C36" w:rsidR="006800B3" w:rsidP="00CF4282" w:rsidRDefault="006800B3" w14:paraId="7CC803DC" w14:textId="77777777">
      <w:pPr>
        <w:numPr>
          <w:ilvl w:val="12"/>
          <w:numId w:val="0"/>
        </w:numPr>
        <w:tabs>
          <w:tab w:val="left" w:pos="720"/>
        </w:tabs>
        <w:ind w:left="720" w:hanging="720"/>
        <w:rPr>
          <w:rFonts w:ascii="Times New Roman" w:hAnsi="Times New Roman" w:cs="Times New Roman"/>
          <w:bCs/>
          <w:sz w:val="24"/>
          <w:szCs w:val="24"/>
        </w:rPr>
      </w:pPr>
    </w:p>
    <w:p w:rsidRPr="007B1C36" w:rsidR="006800B3" w:rsidP="00E4027B" w:rsidRDefault="006800B3" w14:paraId="20490576" w14:textId="77777777">
      <w:pPr>
        <w:numPr>
          <w:ilvl w:val="12"/>
          <w:numId w:val="0"/>
        </w:numPr>
        <w:tabs>
          <w:tab w:val="left" w:pos="720"/>
        </w:tabs>
        <w:ind w:left="720" w:hanging="720"/>
        <w:rPr>
          <w:rFonts w:ascii="Times New Roman" w:hAnsi="Times New Roman" w:cs="Times New Roman"/>
          <w:bCs/>
          <w:sz w:val="24"/>
          <w:szCs w:val="24"/>
        </w:rPr>
      </w:pPr>
      <w:r w:rsidRPr="007B1C36">
        <w:rPr>
          <w:rFonts w:ascii="Times New Roman" w:hAnsi="Times New Roman" w:cs="Times New Roman"/>
          <w:bCs/>
          <w:sz w:val="24"/>
          <w:szCs w:val="24"/>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7B1C36" w:rsidR="006800B3" w:rsidSect="00BA2C90">
      <w:footerReference w:type="default" r:id="rId8"/>
      <w:footerReference w:type="firs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00AD0" w14:textId="77777777" w:rsidR="00FD7469" w:rsidRDefault="00FD7469">
      <w:r>
        <w:separator/>
      </w:r>
    </w:p>
  </w:endnote>
  <w:endnote w:type="continuationSeparator" w:id="0">
    <w:p w14:paraId="7FFED03A" w14:textId="77777777" w:rsidR="00FD7469" w:rsidRDefault="00FD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altName w:val="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3BC79"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207E6D">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787FC"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207E6D">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647A4" w14:textId="77777777" w:rsidR="00FD7469" w:rsidRDefault="00FD7469">
      <w:r>
        <w:separator/>
      </w:r>
    </w:p>
  </w:footnote>
  <w:footnote w:type="continuationSeparator" w:id="0">
    <w:p w14:paraId="059DC8CA" w14:textId="77777777" w:rsidR="00FD7469" w:rsidRDefault="00FD7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3"/>
    <w:rsid w:val="000614DF"/>
    <w:rsid w:val="00084BCA"/>
    <w:rsid w:val="00093193"/>
    <w:rsid w:val="000B0845"/>
    <w:rsid w:val="000C3B92"/>
    <w:rsid w:val="000E32B3"/>
    <w:rsid w:val="00106719"/>
    <w:rsid w:val="00106D04"/>
    <w:rsid w:val="00112826"/>
    <w:rsid w:val="00113979"/>
    <w:rsid w:val="00117AD4"/>
    <w:rsid w:val="00157F7F"/>
    <w:rsid w:val="001949C5"/>
    <w:rsid w:val="0019672A"/>
    <w:rsid w:val="001970F3"/>
    <w:rsid w:val="001A684B"/>
    <w:rsid w:val="001B469B"/>
    <w:rsid w:val="001B75D1"/>
    <w:rsid w:val="001B7848"/>
    <w:rsid w:val="001D04BB"/>
    <w:rsid w:val="00207E6D"/>
    <w:rsid w:val="00212475"/>
    <w:rsid w:val="00215197"/>
    <w:rsid w:val="00220BC9"/>
    <w:rsid w:val="0029015D"/>
    <w:rsid w:val="002A5B2C"/>
    <w:rsid w:val="002A7CAB"/>
    <w:rsid w:val="002B12DD"/>
    <w:rsid w:val="002D732E"/>
    <w:rsid w:val="003365FB"/>
    <w:rsid w:val="00352058"/>
    <w:rsid w:val="00383B19"/>
    <w:rsid w:val="0038489A"/>
    <w:rsid w:val="00407C3E"/>
    <w:rsid w:val="00497AD0"/>
    <w:rsid w:val="004A69FF"/>
    <w:rsid w:val="004B6245"/>
    <w:rsid w:val="00536294"/>
    <w:rsid w:val="005566E0"/>
    <w:rsid w:val="00574522"/>
    <w:rsid w:val="00590A7A"/>
    <w:rsid w:val="005D19A0"/>
    <w:rsid w:val="005D2BBC"/>
    <w:rsid w:val="005D50B0"/>
    <w:rsid w:val="006066A6"/>
    <w:rsid w:val="00632F99"/>
    <w:rsid w:val="006563CD"/>
    <w:rsid w:val="006800B3"/>
    <w:rsid w:val="00681C29"/>
    <w:rsid w:val="00682228"/>
    <w:rsid w:val="00692482"/>
    <w:rsid w:val="006945B1"/>
    <w:rsid w:val="006D3734"/>
    <w:rsid w:val="006E0226"/>
    <w:rsid w:val="0071499F"/>
    <w:rsid w:val="007856B4"/>
    <w:rsid w:val="007B1C36"/>
    <w:rsid w:val="007B393F"/>
    <w:rsid w:val="007D1DD8"/>
    <w:rsid w:val="00801631"/>
    <w:rsid w:val="00835F07"/>
    <w:rsid w:val="00860546"/>
    <w:rsid w:val="00860633"/>
    <w:rsid w:val="0086510D"/>
    <w:rsid w:val="008A76BA"/>
    <w:rsid w:val="008C22E7"/>
    <w:rsid w:val="00904766"/>
    <w:rsid w:val="00935712"/>
    <w:rsid w:val="00937A21"/>
    <w:rsid w:val="00955CE6"/>
    <w:rsid w:val="00964FA0"/>
    <w:rsid w:val="00986415"/>
    <w:rsid w:val="00996D1F"/>
    <w:rsid w:val="009A35A3"/>
    <w:rsid w:val="009B10E4"/>
    <w:rsid w:val="009C3A60"/>
    <w:rsid w:val="009E0E4B"/>
    <w:rsid w:val="00A2211E"/>
    <w:rsid w:val="00A26956"/>
    <w:rsid w:val="00A744FE"/>
    <w:rsid w:val="00AD6812"/>
    <w:rsid w:val="00AE0870"/>
    <w:rsid w:val="00AE6613"/>
    <w:rsid w:val="00AF2F89"/>
    <w:rsid w:val="00B23D25"/>
    <w:rsid w:val="00B2718D"/>
    <w:rsid w:val="00B60223"/>
    <w:rsid w:val="00B71437"/>
    <w:rsid w:val="00BA2C90"/>
    <w:rsid w:val="00BC3496"/>
    <w:rsid w:val="00BC3D59"/>
    <w:rsid w:val="00BD0D33"/>
    <w:rsid w:val="00BE1790"/>
    <w:rsid w:val="00C10404"/>
    <w:rsid w:val="00C3006B"/>
    <w:rsid w:val="00C80B26"/>
    <w:rsid w:val="00C85D17"/>
    <w:rsid w:val="00CA761D"/>
    <w:rsid w:val="00CB125B"/>
    <w:rsid w:val="00CF4282"/>
    <w:rsid w:val="00D1195E"/>
    <w:rsid w:val="00D66034"/>
    <w:rsid w:val="00D84488"/>
    <w:rsid w:val="00D91A1C"/>
    <w:rsid w:val="00D97201"/>
    <w:rsid w:val="00DE7FDF"/>
    <w:rsid w:val="00DF6CAE"/>
    <w:rsid w:val="00E21AC6"/>
    <w:rsid w:val="00E35C57"/>
    <w:rsid w:val="00E4027B"/>
    <w:rsid w:val="00E67A3A"/>
    <w:rsid w:val="00E806A6"/>
    <w:rsid w:val="00E824F6"/>
    <w:rsid w:val="00EA4C42"/>
    <w:rsid w:val="00EA624A"/>
    <w:rsid w:val="00EC4525"/>
    <w:rsid w:val="00EE4F74"/>
    <w:rsid w:val="00EE6DBA"/>
    <w:rsid w:val="00F05271"/>
    <w:rsid w:val="00F13F91"/>
    <w:rsid w:val="00F25BCD"/>
    <w:rsid w:val="00F274D1"/>
    <w:rsid w:val="00F5552D"/>
    <w:rsid w:val="00F6665F"/>
    <w:rsid w:val="00F815E3"/>
    <w:rsid w:val="00F92CE6"/>
    <w:rsid w:val="00FD7469"/>
    <w:rsid w:val="00FE3BEF"/>
    <w:rsid w:val="00FF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0A4CB"/>
  <w14:defaultImageDpi w14:val="0"/>
  <w15:chartTrackingRefBased/>
  <w15:docId w15:val="{E4C512FD-AFBD-4183-8458-C5FB193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 w:type="character" w:styleId="Hyperlink">
    <w:name w:val="Hyperlink"/>
    <w:basedOn w:val="DefaultParagraphFont"/>
    <w:uiPriority w:val="99"/>
    <w:unhideWhenUsed/>
    <w:rsid w:val="0029015D"/>
    <w:rPr>
      <w:color w:val="0563C1" w:themeColor="hyperlink"/>
      <w:u w:val="single"/>
    </w:rPr>
  </w:style>
  <w:style w:type="character" w:styleId="UnresolvedMention">
    <w:name w:val="Unresolved Mention"/>
    <w:basedOn w:val="DefaultParagraphFont"/>
    <w:uiPriority w:val="99"/>
    <w:semiHidden/>
    <w:unhideWhenUsed/>
    <w:rsid w:val="0029015D"/>
    <w:rPr>
      <w:color w:val="605E5C"/>
      <w:shd w:val="clear" w:color="auto" w:fill="E1DFDD"/>
    </w:rPr>
  </w:style>
  <w:style w:type="character" w:styleId="FollowedHyperlink">
    <w:name w:val="FollowedHyperlink"/>
    <w:basedOn w:val="DefaultParagraphFont"/>
    <w:uiPriority w:val="99"/>
    <w:semiHidden/>
    <w:unhideWhenUsed/>
    <w:rsid w:val="002901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437872260">
      <w:bodyDiv w:val="1"/>
      <w:marLeft w:val="0"/>
      <w:marRight w:val="0"/>
      <w:marTop w:val="0"/>
      <w:marBottom w:val="0"/>
      <w:divBdr>
        <w:top w:val="none" w:sz="0" w:space="0" w:color="auto"/>
        <w:left w:val="none" w:sz="0" w:space="0" w:color="auto"/>
        <w:bottom w:val="none" w:sz="0" w:space="0" w:color="auto"/>
        <w:right w:val="none" w:sz="0" w:space="0" w:color="auto"/>
      </w:divBdr>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1541551192">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CASava00</dc:creator>
  <cp:keywords/>
  <cp:lastModifiedBy>Adams Paul D</cp:lastModifiedBy>
  <cp:revision>2</cp:revision>
  <cp:lastPrinted>2014-01-27T21:39:00Z</cp:lastPrinted>
  <dcterms:created xsi:type="dcterms:W3CDTF">2021-03-22T19:56:00Z</dcterms:created>
  <dcterms:modified xsi:type="dcterms:W3CDTF">2021-03-22T19:56:00Z</dcterms:modified>
</cp:coreProperties>
</file>