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E6027" w:rsidR="00E9076D" w:rsidP="00E9076D" w:rsidRDefault="007E2EEB" w14:paraId="3F3610AA" w14:textId="77777777">
      <w:pPr>
        <w:tabs>
          <w:tab w:val="center" w:pos="4680"/>
        </w:tabs>
        <w:rPr>
          <w:rFonts w:ascii="Times New Roman" w:hAnsi="Times New Roman"/>
          <w:b/>
          <w:bCs/>
        </w:rPr>
      </w:pPr>
      <w:r w:rsidRPr="00DE6027">
        <w:rPr>
          <w:rFonts w:ascii="Times New Roman" w:hAnsi="Times New Roman"/>
          <w:b/>
          <w:bCs/>
        </w:rPr>
        <w:tab/>
      </w:r>
      <w:r w:rsidRPr="00DE6027" w:rsidR="00E9076D">
        <w:rPr>
          <w:rFonts w:ascii="Times New Roman" w:hAnsi="Times New Roman"/>
          <w:b/>
          <w:bCs/>
        </w:rPr>
        <w:t>SUPPORTING STATEMENT</w:t>
      </w:r>
    </w:p>
    <w:p w:rsidRPr="00DE6027" w:rsidR="00E9076D" w:rsidP="00E9076D" w:rsidRDefault="00E9076D" w14:paraId="182A13CA" w14:textId="71217218">
      <w:pPr>
        <w:tabs>
          <w:tab w:val="center" w:pos="4680"/>
        </w:tabs>
        <w:jc w:val="center"/>
        <w:rPr>
          <w:rFonts w:ascii="Times New Roman" w:hAnsi="Times New Roman"/>
          <w:b/>
          <w:bCs/>
        </w:rPr>
      </w:pPr>
      <w:r w:rsidRPr="00DE6027">
        <w:rPr>
          <w:rFonts w:ascii="Times New Roman" w:hAnsi="Times New Roman"/>
          <w:b/>
          <w:bCs/>
        </w:rPr>
        <w:t>Internal Revenue Service</w:t>
      </w:r>
    </w:p>
    <w:p w:rsidR="009501AC" w:rsidP="00E9076D" w:rsidRDefault="00DE6027" w14:paraId="2145F18B" w14:textId="2B22FDC1">
      <w:pPr>
        <w:tabs>
          <w:tab w:val="center" w:pos="4680"/>
        </w:tabs>
        <w:jc w:val="center"/>
        <w:rPr>
          <w:rFonts w:ascii="Times New Roman" w:hAnsi="Times New Roman"/>
          <w:b/>
          <w:bCs/>
        </w:rPr>
      </w:pPr>
      <w:r w:rsidRPr="00DE6027">
        <w:rPr>
          <w:rFonts w:ascii="Times New Roman" w:hAnsi="Times New Roman"/>
          <w:b/>
          <w:bCs/>
        </w:rPr>
        <w:t xml:space="preserve">Form 8833, </w:t>
      </w:r>
      <w:r w:rsidRPr="00DE6027" w:rsidR="009501AC">
        <w:rPr>
          <w:rFonts w:ascii="Times New Roman" w:hAnsi="Times New Roman"/>
          <w:b/>
          <w:bCs/>
        </w:rPr>
        <w:t>Treaty-Based Return Position Disclosure Under Section 6114 or 7701(b)</w:t>
      </w:r>
    </w:p>
    <w:p w:rsidRPr="00DE6027" w:rsidR="00DE6027" w:rsidP="00E9076D" w:rsidRDefault="00DE6027" w14:paraId="786D927A" w14:textId="40A078F6">
      <w:pPr>
        <w:tabs>
          <w:tab w:val="center" w:pos="4680"/>
        </w:tabs>
        <w:jc w:val="center"/>
        <w:rPr>
          <w:rFonts w:ascii="Times New Roman" w:hAnsi="Times New Roman"/>
          <w:b/>
          <w:bCs/>
        </w:rPr>
      </w:pPr>
      <w:r>
        <w:rPr>
          <w:rFonts w:ascii="Times New Roman" w:hAnsi="Times New Roman"/>
          <w:b/>
          <w:bCs/>
        </w:rPr>
        <w:t>Rev. Proc. 2010-19, Deemed Disposition By Canadian Emigrants Basis Adjustment</w:t>
      </w:r>
    </w:p>
    <w:p w:rsidRPr="00DE6027" w:rsidR="00E9076D" w:rsidP="00E9076D" w:rsidRDefault="00E9076D" w14:paraId="06045ACF" w14:textId="1EB680A3">
      <w:pPr>
        <w:tabs>
          <w:tab w:val="center" w:pos="4680"/>
        </w:tabs>
        <w:jc w:val="center"/>
        <w:rPr>
          <w:rFonts w:ascii="Times New Roman" w:hAnsi="Times New Roman"/>
          <w:b/>
          <w:bCs/>
        </w:rPr>
      </w:pPr>
      <w:r w:rsidRPr="00DE6027">
        <w:rPr>
          <w:rFonts w:ascii="Times New Roman" w:hAnsi="Times New Roman"/>
          <w:b/>
          <w:bCs/>
        </w:rPr>
        <w:t xml:space="preserve">OMB </w:t>
      </w:r>
      <w:r w:rsidR="00E4759D">
        <w:rPr>
          <w:rFonts w:ascii="Times New Roman" w:hAnsi="Times New Roman"/>
          <w:b/>
          <w:bCs/>
        </w:rPr>
        <w:t xml:space="preserve">Control </w:t>
      </w:r>
      <w:r w:rsidRPr="00DE6027">
        <w:rPr>
          <w:rFonts w:ascii="Times New Roman" w:hAnsi="Times New Roman"/>
          <w:b/>
          <w:bCs/>
        </w:rPr>
        <w:t>Number 1545-1</w:t>
      </w:r>
      <w:r w:rsidRPr="00DE6027" w:rsidR="009501AC">
        <w:rPr>
          <w:rFonts w:ascii="Times New Roman" w:hAnsi="Times New Roman"/>
          <w:b/>
          <w:bCs/>
        </w:rPr>
        <w:t>354</w:t>
      </w:r>
    </w:p>
    <w:p w:rsidRPr="00DE6027" w:rsidR="007E2EEB" w:rsidRDefault="007E2EEB" w14:paraId="701C6ABF" w14:textId="77777777">
      <w:pPr>
        <w:rPr>
          <w:rFonts w:ascii="Times New Roman" w:hAnsi="Times New Roman"/>
          <w:b/>
          <w:bCs/>
        </w:rPr>
      </w:pPr>
    </w:p>
    <w:p w:rsidRPr="00DE6027" w:rsidR="007E2EEB" w:rsidRDefault="007E2EEB" w14:paraId="0D382065" w14:textId="77777777">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CIRCUMSTANCES NECESSITATING COLLECTION OF INFORMATION</w:t>
      </w:r>
      <w:r w:rsidRPr="00DE6027" w:rsidR="009501AC">
        <w:rPr>
          <w:rFonts w:ascii="Times New Roman" w:hAnsi="Times New Roman"/>
          <w:b/>
          <w:u w:val="single"/>
        </w:rPr>
        <w:t xml:space="preserve"> </w:t>
      </w:r>
    </w:p>
    <w:p w:rsidRPr="00DE6027" w:rsidR="009501AC" w:rsidP="009501AC" w:rsidRDefault="009501AC" w14:paraId="3D3F71AC" w14:textId="77777777">
      <w:pPr>
        <w:pStyle w:val="Level1"/>
        <w:numPr>
          <w:ilvl w:val="0"/>
          <w:numId w:val="0"/>
        </w:numPr>
        <w:tabs>
          <w:tab w:val="left" w:pos="-1440"/>
        </w:tabs>
        <w:ind w:left="720" w:hanging="720"/>
        <w:rPr>
          <w:rFonts w:ascii="Times New Roman" w:hAnsi="Times New Roman"/>
          <w:b/>
          <w:u w:val="single"/>
        </w:rPr>
      </w:pPr>
    </w:p>
    <w:p w:rsidRPr="00DE6027" w:rsidR="00E4759D" w:rsidP="000C39E1" w:rsidRDefault="00DE6027" w14:paraId="5F32731B" w14:textId="678B7C3E">
      <w:pPr>
        <w:widowControl/>
        <w:ind w:left="720"/>
        <w:rPr>
          <w:rFonts w:ascii="Times New Roman" w:hAnsi="Times New Roman"/>
        </w:rPr>
      </w:pPr>
      <w:r>
        <w:rPr>
          <w:rFonts w:ascii="Times New Roman" w:hAnsi="Times New Roman"/>
        </w:rPr>
        <w:t>Internal Revenue Code</w:t>
      </w:r>
      <w:r w:rsidR="00E4759D">
        <w:rPr>
          <w:rFonts w:ascii="Times New Roman" w:hAnsi="Times New Roman"/>
        </w:rPr>
        <w:t xml:space="preserve"> (IRC) Section 7701</w:t>
      </w:r>
      <w:r w:rsidR="000C39E1">
        <w:rPr>
          <w:rFonts w:ascii="Times New Roman" w:hAnsi="Times New Roman"/>
        </w:rPr>
        <w:t xml:space="preserve">(b) defines what constitutes both a resident and nonresident alien.  </w:t>
      </w:r>
      <w:r w:rsidR="00E4759D">
        <w:rPr>
          <w:rFonts w:ascii="Times New Roman" w:hAnsi="Times New Roman"/>
        </w:rPr>
        <w:t>IRC Section 611</w:t>
      </w:r>
      <w:r w:rsidR="000C39E1">
        <w:rPr>
          <w:rFonts w:ascii="Times New Roman" w:hAnsi="Times New Roman"/>
        </w:rPr>
        <w:t>4</w:t>
      </w:r>
      <w:r w:rsidR="00C53611">
        <w:rPr>
          <w:rFonts w:ascii="Times New Roman" w:hAnsi="Times New Roman"/>
        </w:rPr>
        <w:t xml:space="preserve"> ad</w:t>
      </w:r>
      <w:r w:rsidR="006B34E6">
        <w:rPr>
          <w:rFonts w:ascii="Times New Roman" w:hAnsi="Times New Roman"/>
        </w:rPr>
        <w:t>dresses when a taxpayer takes the position that a treaty of the United States overrules an internal revenue law.</w:t>
      </w:r>
    </w:p>
    <w:p w:rsidR="00DE6027" w:rsidP="00FF03FE" w:rsidRDefault="00DE6027" w14:paraId="62D96520" w14:textId="77777777">
      <w:pPr>
        <w:widowControl/>
        <w:ind w:left="720"/>
        <w:rPr>
          <w:rFonts w:ascii="Times New Roman" w:hAnsi="Times New Roman"/>
          <w:b/>
          <w:bCs/>
        </w:rPr>
      </w:pPr>
    </w:p>
    <w:p w:rsidRPr="00DE6027" w:rsidR="009501AC" w:rsidP="00FF03FE" w:rsidRDefault="009501AC" w14:paraId="45F8A90D" w14:textId="4FB4B6E6">
      <w:pPr>
        <w:widowControl/>
        <w:ind w:left="720"/>
        <w:rPr>
          <w:rFonts w:ascii="Times New Roman" w:hAnsi="Times New Roman"/>
        </w:rPr>
      </w:pPr>
      <w:r w:rsidRPr="000C39E1">
        <w:rPr>
          <w:rFonts w:ascii="Times New Roman" w:hAnsi="Times New Roman"/>
        </w:rPr>
        <w:t>Revenue Procedure 2010-19</w:t>
      </w:r>
      <w:r w:rsidRPr="00DE6027">
        <w:rPr>
          <w:rFonts w:ascii="Times New Roman" w:hAnsi="Times New Roman"/>
        </w:rPr>
        <w:t xml:space="preserve"> provides guidance for individuals who emigrate from Canada and wish to make an election for U.S. federal income tax purposes. Article XIII(7) of the U.S-Canada Income Tax Treaty (the “Treaty”), as amended by the 2007 Protocol, provides for an election to any individual who emigrates from Canada to the United States, without</w:t>
      </w:r>
      <w:r w:rsidRPr="00DE6027" w:rsidR="00FF03FE">
        <w:rPr>
          <w:rFonts w:ascii="Times New Roman" w:hAnsi="Times New Roman"/>
        </w:rPr>
        <w:t xml:space="preserve"> </w:t>
      </w:r>
      <w:r w:rsidRPr="00DE6027">
        <w:rPr>
          <w:rFonts w:ascii="Times New Roman" w:hAnsi="Times New Roman"/>
        </w:rPr>
        <w:t>regard to whether the individual is a U.S. citizen immediately before ceasing to be a resident of Canada (or would otherwise have been subject to U.S. tax on an actual disposition of property).  If the individual is not subject to U.S. tax at that time, the effect of the election is to give the individual an adjusted basis for U.S. tax purposes equal to the fair market value of the property as of the date of the deemed alienation in Canada,</w:t>
      </w:r>
      <w:r w:rsidRPr="00DE6027" w:rsidR="00FF03FE">
        <w:rPr>
          <w:rFonts w:ascii="Times New Roman" w:hAnsi="Times New Roman"/>
        </w:rPr>
        <w:t xml:space="preserve"> </w:t>
      </w:r>
      <w:r w:rsidRPr="00DE6027">
        <w:rPr>
          <w:rFonts w:ascii="Times New Roman" w:hAnsi="Times New Roman"/>
        </w:rPr>
        <w:t>with the result that only post-emigration gain will be subject to U.S. tax when there is an actual alienation.  If the Canadian resident is also a U.S. citizen at the time of his emigration from Canada, or the Canadian resident would be subject to taxation in the United States on a disposition</w:t>
      </w:r>
      <w:r w:rsidRPr="00DE6027" w:rsidR="00FF03FE">
        <w:rPr>
          <w:rFonts w:ascii="Times New Roman" w:hAnsi="Times New Roman"/>
        </w:rPr>
        <w:t xml:space="preserve"> </w:t>
      </w:r>
      <w:r w:rsidRPr="00DE6027">
        <w:rPr>
          <w:rFonts w:ascii="Times New Roman" w:hAnsi="Times New Roman"/>
        </w:rPr>
        <w:t>of the property, then the rule allows the U.S. citizen to accelerate the tax</w:t>
      </w:r>
      <w:r w:rsidRPr="00DE6027" w:rsidR="00FF03FE">
        <w:rPr>
          <w:rFonts w:ascii="Times New Roman" w:hAnsi="Times New Roman"/>
        </w:rPr>
        <w:t xml:space="preserve"> </w:t>
      </w:r>
      <w:r w:rsidRPr="00DE6027">
        <w:rPr>
          <w:rFonts w:ascii="Times New Roman" w:hAnsi="Times New Roman"/>
        </w:rPr>
        <w:t>under U.S. tax law and allows tax credits to be used to avoid double</w:t>
      </w:r>
      <w:r w:rsidRPr="00DE6027" w:rsidR="00FF03FE">
        <w:rPr>
          <w:rFonts w:ascii="Times New Roman" w:hAnsi="Times New Roman"/>
        </w:rPr>
        <w:t xml:space="preserve"> </w:t>
      </w:r>
      <w:r w:rsidRPr="00DE6027">
        <w:rPr>
          <w:rFonts w:ascii="Times New Roman" w:hAnsi="Times New Roman"/>
        </w:rPr>
        <w:t xml:space="preserve">taxation.  </w:t>
      </w:r>
    </w:p>
    <w:p w:rsidRPr="00DE6027" w:rsidR="009501AC" w:rsidP="009501AC" w:rsidRDefault="009501AC" w14:paraId="6F7A4231" w14:textId="77777777">
      <w:pPr>
        <w:widowControl/>
        <w:autoSpaceDE/>
        <w:autoSpaceDN/>
        <w:adjustRightInd/>
        <w:ind w:left="720"/>
        <w:jc w:val="both"/>
        <w:rPr>
          <w:rFonts w:ascii="Times New Roman" w:hAnsi="Times New Roman"/>
        </w:rPr>
      </w:pPr>
    </w:p>
    <w:p w:rsidR="00E4759D" w:rsidP="00E4759D" w:rsidRDefault="009501AC" w14:paraId="2490C8D5" w14:textId="77777777">
      <w:pPr>
        <w:widowControl/>
        <w:autoSpaceDE/>
        <w:autoSpaceDN/>
        <w:adjustRightInd/>
        <w:ind w:left="720"/>
        <w:jc w:val="both"/>
        <w:rPr>
          <w:rFonts w:ascii="Times New Roman" w:hAnsi="Times New Roman"/>
        </w:rPr>
      </w:pPr>
      <w:r w:rsidRPr="00DE6027">
        <w:rPr>
          <w:rFonts w:ascii="Times New Roman" w:hAnsi="Times New Roman"/>
        </w:rPr>
        <w:t>In order to take advantage of this election, this revenue procedure provides that the individual must attach documentation establishing the fair market value of the property at the time of the deemed alienation in Canada and confirming that built in gain (or loss if permitted) was recognized for Canadian tax purposes in the taxable year of the deemed alienation.  The individual must also retain copies of this documentation, along with Form 8833, until the property is disposed of.</w:t>
      </w:r>
    </w:p>
    <w:p w:rsidR="00E4759D" w:rsidP="00E4759D" w:rsidRDefault="00E4759D" w14:paraId="6BDE4936" w14:textId="77777777">
      <w:pPr>
        <w:widowControl/>
        <w:autoSpaceDE/>
        <w:autoSpaceDN/>
        <w:adjustRightInd/>
        <w:ind w:left="720"/>
        <w:jc w:val="both"/>
        <w:rPr>
          <w:rFonts w:ascii="Times New Roman" w:hAnsi="Times New Roman"/>
        </w:rPr>
      </w:pPr>
    </w:p>
    <w:p w:rsidRPr="00E4759D" w:rsidR="00E4759D" w:rsidP="00E4759D" w:rsidRDefault="00E4759D" w14:paraId="6704C9D5" w14:textId="76D8C666">
      <w:pPr>
        <w:widowControl/>
        <w:autoSpaceDE/>
        <w:autoSpaceDN/>
        <w:adjustRightInd/>
        <w:ind w:left="720"/>
        <w:jc w:val="both"/>
        <w:rPr>
          <w:rFonts w:ascii="Times New Roman" w:hAnsi="Times New Roman"/>
        </w:rPr>
      </w:pPr>
      <w:r>
        <w:rPr>
          <w:rFonts w:ascii="Times New Roman" w:hAnsi="Times New Roman"/>
        </w:rPr>
        <w:t>Form 8833,</w:t>
      </w:r>
      <w:r w:rsidRPr="00E4759D">
        <w:rPr>
          <w:rFonts w:ascii="Times New Roman" w:hAnsi="Times New Roman"/>
        </w:rPr>
        <w:t xml:space="preserve"> </w:t>
      </w:r>
      <w:r w:rsidRPr="00E4759D">
        <w:rPr>
          <w:rFonts w:ascii="Times New Roman" w:hAnsi="Times New Roman"/>
        </w:rPr>
        <w:t>Treaty-Based Return Position Disclosure Under Section 6114 or 7701(b)</w:t>
      </w:r>
      <w:r>
        <w:rPr>
          <w:rFonts w:ascii="Times New Roman" w:hAnsi="Times New Roman"/>
        </w:rPr>
        <w:t xml:space="preserve">, is filed </w:t>
      </w:r>
      <w:r w:rsidR="00BA769C">
        <w:rPr>
          <w:rFonts w:ascii="Times New Roman" w:hAnsi="Times New Roman"/>
        </w:rPr>
        <w:t>to make the treaty-based return position disclosure.</w:t>
      </w:r>
    </w:p>
    <w:p w:rsidRPr="00DE6027" w:rsidR="00E4759D" w:rsidP="009501AC" w:rsidRDefault="00E4759D" w14:paraId="65544519" w14:textId="3DBFDF59">
      <w:pPr>
        <w:widowControl/>
        <w:autoSpaceDE/>
        <w:autoSpaceDN/>
        <w:adjustRightInd/>
        <w:ind w:left="720"/>
        <w:jc w:val="both"/>
        <w:rPr>
          <w:rFonts w:ascii="Times New Roman" w:hAnsi="Times New Roman"/>
        </w:rPr>
      </w:pPr>
    </w:p>
    <w:p w:rsidRPr="00DE6027" w:rsidR="00E9076D" w:rsidP="009501AC" w:rsidRDefault="009501AC" w14:paraId="7EDC9AA9" w14:textId="77777777">
      <w:pPr>
        <w:pStyle w:val="Level1"/>
        <w:numPr>
          <w:ilvl w:val="0"/>
          <w:numId w:val="0"/>
        </w:numPr>
        <w:tabs>
          <w:tab w:val="left" w:pos="-1440"/>
        </w:tabs>
        <w:ind w:left="720" w:hanging="720"/>
        <w:jc w:val="both"/>
        <w:rPr>
          <w:rFonts w:ascii="Times New Roman" w:hAnsi="Times New Roman"/>
          <w:b/>
          <w:u w:val="single"/>
        </w:rPr>
      </w:pPr>
      <w:r w:rsidRPr="00DE6027">
        <w:rPr>
          <w:rFonts w:ascii="Times New Roman" w:hAnsi="Times New Roman"/>
          <w:b/>
        </w:rPr>
        <w:t xml:space="preserve"> </w:t>
      </w:r>
    </w:p>
    <w:p w:rsidRPr="00DE6027" w:rsidR="007E2EEB" w:rsidRDefault="007E2EEB" w14:paraId="7026406D" w14:textId="77777777">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USE OF DATA</w:t>
      </w:r>
      <w:r w:rsidRPr="00DE6027">
        <w:rPr>
          <w:rFonts w:ascii="Times New Roman" w:hAnsi="Times New Roman"/>
          <w:b/>
        </w:rPr>
        <w:t xml:space="preserve">              </w:t>
      </w:r>
    </w:p>
    <w:p w:rsidRPr="00DE6027" w:rsidR="007E2EEB" w:rsidRDefault="007E2EEB" w14:paraId="06827955" w14:textId="77777777">
      <w:pPr>
        <w:rPr>
          <w:rFonts w:ascii="Times New Roman" w:hAnsi="Times New Roman"/>
        </w:rPr>
      </w:pPr>
    </w:p>
    <w:p w:rsidRPr="00DE6027" w:rsidR="00FF03FE" w:rsidP="00FF03FE" w:rsidRDefault="006A33A4" w14:paraId="56755C5D" w14:textId="4CBA10D6">
      <w:pPr>
        <w:ind w:left="720"/>
        <w:rPr>
          <w:rFonts w:ascii="Times New Roman" w:hAnsi="Times New Roman"/>
        </w:rPr>
      </w:pPr>
      <w:r w:rsidRPr="006A33A4">
        <w:rPr>
          <w:rFonts w:ascii="Times New Roman" w:hAnsi="Times New Roman"/>
        </w:rPr>
        <w:t>The data supplied on Form 8</w:t>
      </w:r>
      <w:r>
        <w:rPr>
          <w:rFonts w:ascii="Times New Roman" w:hAnsi="Times New Roman"/>
        </w:rPr>
        <w:t>833</w:t>
      </w:r>
      <w:r w:rsidRPr="006A33A4">
        <w:rPr>
          <w:rFonts w:ascii="Times New Roman" w:hAnsi="Times New Roman"/>
        </w:rPr>
        <w:t xml:space="preserve"> is used to </w:t>
      </w:r>
      <w:r>
        <w:rPr>
          <w:rFonts w:ascii="Times New Roman" w:hAnsi="Times New Roman"/>
        </w:rPr>
        <w:t>verify</w:t>
      </w:r>
      <w:r w:rsidR="00D81DFB">
        <w:rPr>
          <w:rFonts w:ascii="Times New Roman" w:hAnsi="Times New Roman"/>
        </w:rPr>
        <w:t xml:space="preserve"> the election of a treaty-based return position disclosure.  </w:t>
      </w:r>
      <w:r w:rsidRPr="00DE6027" w:rsidR="00FF03FE">
        <w:rPr>
          <w:rFonts w:ascii="Times New Roman" w:hAnsi="Times New Roman"/>
        </w:rPr>
        <w:t xml:space="preserve">Regarding Revenue Procedure 2010-19, the Service will use the information for audit purposes to confirm that such individual taxpayer, upon making the </w:t>
      </w:r>
      <w:r w:rsidRPr="00DE6027" w:rsidR="00FF03FE">
        <w:rPr>
          <w:rFonts w:ascii="Times New Roman" w:hAnsi="Times New Roman"/>
        </w:rPr>
        <w:lastRenderedPageBreak/>
        <w:t xml:space="preserve">election provided in this revenue procedure, can get the appropriate adjustment to basis for U.S. tax purposes and can take advantage of foreign tax credits that may be available under the Code and the Treaty.   </w:t>
      </w:r>
    </w:p>
    <w:p w:rsidRPr="00DE6027" w:rsidR="007E2EEB" w:rsidRDefault="007E2EEB" w14:paraId="6F65353F" w14:textId="77777777">
      <w:pPr>
        <w:rPr>
          <w:rFonts w:ascii="Times New Roman" w:hAnsi="Times New Roman"/>
        </w:rPr>
      </w:pPr>
      <w:r w:rsidRPr="00DE6027">
        <w:rPr>
          <w:rFonts w:ascii="Times New Roman" w:hAnsi="Times New Roman"/>
        </w:rPr>
        <w:t xml:space="preserve">                   </w:t>
      </w:r>
    </w:p>
    <w:p w:rsidRPr="00DE6027" w:rsidR="007E2EEB" w:rsidRDefault="007E2EEB" w14:paraId="18B8AD72" w14:textId="77777777">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USE OF IMPROVED INFORMATION TECHNOLOGY TO REDUCE BURDEN</w:t>
      </w:r>
    </w:p>
    <w:p w:rsidRPr="00DE6027" w:rsidR="007E2EEB" w:rsidRDefault="007E2EEB" w14:paraId="7FE2B61E" w14:textId="77777777">
      <w:pPr>
        <w:rPr>
          <w:rFonts w:ascii="Times New Roman" w:hAnsi="Times New Roman"/>
        </w:rPr>
      </w:pPr>
    </w:p>
    <w:p w:rsidRPr="00DE6027" w:rsidR="007E2EEB" w:rsidRDefault="00032799" w14:paraId="37719695" w14:textId="70FE3B62">
      <w:pPr>
        <w:ind w:left="720"/>
        <w:rPr>
          <w:rFonts w:ascii="Times New Roman" w:hAnsi="Times New Roman"/>
        </w:rPr>
      </w:pPr>
      <w:r>
        <w:rPr>
          <w:rFonts w:ascii="Times New Roman" w:hAnsi="Times New Roman"/>
        </w:rPr>
        <w:t>E</w:t>
      </w:r>
      <w:r w:rsidRPr="00DE6027" w:rsidR="00FF03FE">
        <w:rPr>
          <w:rFonts w:ascii="Times New Roman" w:hAnsi="Times New Roman"/>
        </w:rPr>
        <w:t>lectron</w:t>
      </w:r>
      <w:r>
        <w:rPr>
          <w:rFonts w:ascii="Times New Roman" w:hAnsi="Times New Roman"/>
        </w:rPr>
        <w:t>ic filing of Form 8833 is currently available.</w:t>
      </w:r>
    </w:p>
    <w:p w:rsidRPr="00DE6027" w:rsidR="007E2EEB" w:rsidRDefault="007E2EEB" w14:paraId="1BAAAB5F" w14:textId="77777777">
      <w:pPr>
        <w:rPr>
          <w:rFonts w:ascii="Times New Roman" w:hAnsi="Times New Roman"/>
        </w:rPr>
      </w:pPr>
    </w:p>
    <w:p w:rsidRPr="00DE6027" w:rsidR="007E2EEB" w:rsidRDefault="007E2EEB" w14:paraId="7D7D1BCC" w14:textId="77777777">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EFFORTS TO IDENTIFY DUPLICATION</w:t>
      </w:r>
    </w:p>
    <w:p w:rsidRPr="00DE6027" w:rsidR="007E2EEB" w:rsidRDefault="007E2EEB" w14:paraId="43A05B78" w14:textId="77777777">
      <w:pPr>
        <w:rPr>
          <w:rFonts w:ascii="Times New Roman" w:hAnsi="Times New Roman"/>
        </w:rPr>
      </w:pPr>
    </w:p>
    <w:p w:rsidRPr="00DE6027" w:rsidR="007E2EEB" w:rsidP="00715FFF" w:rsidRDefault="00715FFF" w14:paraId="79E1D5E5" w14:textId="77777777">
      <w:pPr>
        <w:ind w:left="720"/>
        <w:rPr>
          <w:rFonts w:ascii="Times New Roman" w:hAnsi="Times New Roman"/>
        </w:rPr>
      </w:pPr>
      <w:r w:rsidRPr="00DE6027">
        <w:rPr>
          <w:rFonts w:ascii="Times New Roman" w:hAnsi="Times New Roman"/>
        </w:rPr>
        <w:t>The information obtained through this collection is unique and is not already available or use or adaption from another source.</w:t>
      </w:r>
      <w:r w:rsidRPr="00DE6027" w:rsidR="007E2EEB">
        <w:rPr>
          <w:rFonts w:ascii="Times New Roman" w:hAnsi="Times New Roman"/>
        </w:rPr>
        <w:t xml:space="preserve">  </w:t>
      </w:r>
    </w:p>
    <w:p w:rsidRPr="00DE6027" w:rsidR="007E2EEB" w:rsidRDefault="007E2EEB" w14:paraId="564B9C3D" w14:textId="77777777">
      <w:pPr>
        <w:rPr>
          <w:rFonts w:ascii="Times New Roman" w:hAnsi="Times New Roman"/>
        </w:rPr>
      </w:pPr>
    </w:p>
    <w:p w:rsidRPr="00DE6027" w:rsidR="007E2EEB" w:rsidRDefault="007E2EEB" w14:paraId="2DB5A26F" w14:textId="77777777">
      <w:pPr>
        <w:pStyle w:val="Level1"/>
        <w:numPr>
          <w:ilvl w:val="0"/>
          <w:numId w:val="1"/>
        </w:numPr>
        <w:tabs>
          <w:tab w:val="left" w:pos="-1440"/>
          <w:tab w:val="num" w:pos="720"/>
        </w:tabs>
        <w:rPr>
          <w:rFonts w:ascii="Times New Roman" w:hAnsi="Times New Roman"/>
          <w:b/>
        </w:rPr>
      </w:pPr>
      <w:r w:rsidRPr="00DE6027">
        <w:rPr>
          <w:rFonts w:ascii="Times New Roman" w:hAnsi="Times New Roman"/>
          <w:b/>
          <w:u w:val="single"/>
        </w:rPr>
        <w:t>METHODS TO MINIMIZE BURDEN ON SMALL BUSINESSES OR OTHER</w:t>
      </w:r>
      <w:r w:rsidRPr="00DE6027" w:rsidR="00715FFF">
        <w:rPr>
          <w:rFonts w:ascii="Times New Roman" w:hAnsi="Times New Roman"/>
          <w:b/>
          <w:u w:val="single"/>
        </w:rPr>
        <w:t xml:space="preserve"> </w:t>
      </w:r>
      <w:r w:rsidRPr="00DE6027">
        <w:rPr>
          <w:rFonts w:ascii="Times New Roman" w:hAnsi="Times New Roman"/>
          <w:b/>
          <w:u w:val="single"/>
        </w:rPr>
        <w:t>SMALL ENTITIES</w:t>
      </w:r>
    </w:p>
    <w:p w:rsidRPr="00DE6027" w:rsidR="007E2EEB" w:rsidRDefault="007E2EEB" w14:paraId="2C2540BC" w14:textId="77777777">
      <w:pPr>
        <w:rPr>
          <w:rFonts w:ascii="Times New Roman" w:hAnsi="Times New Roman"/>
        </w:rPr>
      </w:pPr>
    </w:p>
    <w:p w:rsidRPr="009244E2" w:rsidR="009244E2" w:rsidP="009244E2" w:rsidRDefault="009244E2" w14:paraId="14D3E65C" w14:textId="39763C5D">
      <w:pPr>
        <w:ind w:left="720"/>
        <w:rPr>
          <w:rFonts w:ascii="Times New Roman" w:hAnsi="Times New Roman"/>
        </w:rPr>
      </w:pPr>
      <w:bookmarkStart w:name="_Hlk68185366" w:id="0"/>
      <w:r w:rsidRPr="009244E2">
        <w:rPr>
          <w:rFonts w:ascii="Times New Roman" w:hAnsi="Times New Roman"/>
        </w:rPr>
        <w:t>The IRS proactively works with both internal and external stakeholders to minimize the burden on small businesses, while maintaining tax compliance. The Agency also seeks input regarding the burden estimates from the public via notices and tax product instructions. Th</w:t>
      </w:r>
      <w:r w:rsidR="00EB392C">
        <w:rPr>
          <w:rFonts w:ascii="Times New Roman" w:hAnsi="Times New Roman"/>
        </w:rPr>
        <w:t>is</w:t>
      </w:r>
      <w:r w:rsidRPr="009244E2">
        <w:rPr>
          <w:rFonts w:ascii="Times New Roman" w:hAnsi="Times New Roman"/>
        </w:rPr>
        <w:t xml:space="preserve"> form can be filed electronically, which further reduces any burden to small businesses. </w:t>
      </w:r>
    </w:p>
    <w:bookmarkEnd w:id="0"/>
    <w:p w:rsidRPr="00DE6027" w:rsidR="005649AE" w:rsidRDefault="005649AE" w14:paraId="786DE91E" w14:textId="77777777">
      <w:pPr>
        <w:ind w:left="720"/>
        <w:rPr>
          <w:rFonts w:ascii="Times New Roman" w:hAnsi="Times New Roman"/>
        </w:rPr>
      </w:pPr>
    </w:p>
    <w:p w:rsidRPr="00DE6027" w:rsidR="007E2EEB" w:rsidRDefault="007E2EEB" w14:paraId="2B95206E" w14:textId="77777777">
      <w:pPr>
        <w:tabs>
          <w:tab w:val="left" w:pos="-1440"/>
        </w:tabs>
        <w:ind w:left="720" w:hanging="720"/>
        <w:rPr>
          <w:rFonts w:ascii="Times New Roman" w:hAnsi="Times New Roman"/>
        </w:rPr>
      </w:pPr>
      <w:r w:rsidRPr="00DE6027">
        <w:rPr>
          <w:rFonts w:ascii="Times New Roman" w:hAnsi="Times New Roman"/>
        </w:rPr>
        <w:t xml:space="preserve">6. </w:t>
      </w:r>
      <w:r w:rsidRPr="00DE6027">
        <w:rPr>
          <w:rFonts w:ascii="Times New Roman" w:hAnsi="Times New Roman"/>
        </w:rPr>
        <w:tab/>
      </w:r>
      <w:r w:rsidRPr="00DE6027">
        <w:rPr>
          <w:rFonts w:ascii="Times New Roman" w:hAnsi="Times New Roman"/>
          <w:b/>
          <w:u w:val="single"/>
        </w:rPr>
        <w:t>CONSEQUENCES OF LESS FREQUENT COLLECTION ON FEDERAL PROGRAMS OR POLICY ACTIVITIES</w:t>
      </w:r>
    </w:p>
    <w:p w:rsidRPr="00DE6027" w:rsidR="007E2EEB" w:rsidRDefault="007E2EEB" w14:paraId="1309F19B" w14:textId="77777777">
      <w:pPr>
        <w:rPr>
          <w:rFonts w:ascii="Times New Roman" w:hAnsi="Times New Roman"/>
        </w:rPr>
      </w:pPr>
    </w:p>
    <w:p w:rsidRPr="00DE6027" w:rsidR="007E2EEB" w:rsidRDefault="00473D0D" w14:paraId="7F869262" w14:textId="77777777">
      <w:pPr>
        <w:ind w:left="720"/>
        <w:rPr>
          <w:rFonts w:ascii="Times New Roman" w:hAnsi="Times New Roman"/>
        </w:rPr>
      </w:pPr>
      <w:r w:rsidRPr="00DE6027">
        <w:rPr>
          <w:rFonts w:ascii="Times New Roman" w:hAnsi="Times New Roman"/>
        </w:rPr>
        <w:t xml:space="preserve">The information required is needed to verify compliance with Section </w:t>
      </w:r>
      <w:r w:rsidRPr="00DE6027" w:rsidR="00FF03FE">
        <w:rPr>
          <w:rFonts w:ascii="Times New Roman" w:hAnsi="Times New Roman"/>
        </w:rPr>
        <w:t>6114 or 7701(b)</w:t>
      </w:r>
      <w:r w:rsidRPr="00DE6027" w:rsidR="00044F37">
        <w:rPr>
          <w:rFonts w:ascii="Times New Roman" w:hAnsi="Times New Roman"/>
        </w:rPr>
        <w:t xml:space="preserve"> of the Internal Revenue Code</w:t>
      </w:r>
      <w:r w:rsidRPr="00DE6027">
        <w:rPr>
          <w:rFonts w:ascii="Times New Roman" w:hAnsi="Times New Roman"/>
        </w:rPr>
        <w:t xml:space="preserve"> of the </w:t>
      </w:r>
      <w:r w:rsidRPr="00DE6027" w:rsidR="00293354">
        <w:rPr>
          <w:rFonts w:ascii="Times New Roman" w:hAnsi="Times New Roman"/>
        </w:rPr>
        <w:t>Treasury Regulations</w:t>
      </w:r>
      <w:r w:rsidRPr="00DE6027">
        <w:rPr>
          <w:rFonts w:ascii="Times New Roman" w:hAnsi="Times New Roman"/>
        </w:rPr>
        <w:t xml:space="preserve">. </w:t>
      </w:r>
      <w:r w:rsidRPr="00DE6027" w:rsidR="00293354">
        <w:rPr>
          <w:rFonts w:ascii="Times New Roman" w:hAnsi="Times New Roman"/>
        </w:rPr>
        <w:t xml:space="preserve">A less </w:t>
      </w:r>
      <w:r w:rsidRPr="00DE6027">
        <w:rPr>
          <w:rFonts w:ascii="Times New Roman" w:hAnsi="Times New Roman"/>
        </w:rPr>
        <w:t>frequent collection of taxes and tax information could adversely affect the government’s effectiveness and would reduce the oversight of the public in ensuring compliance with Internal Revenue Code</w:t>
      </w:r>
      <w:r w:rsidRPr="00DE6027" w:rsidR="00293354">
        <w:rPr>
          <w:rFonts w:ascii="Times New Roman" w:hAnsi="Times New Roman"/>
        </w:rPr>
        <w:t xml:space="preserve"> and hinder the IRS from meeting its mission</w:t>
      </w:r>
      <w:r w:rsidRPr="00DE6027">
        <w:rPr>
          <w:rFonts w:ascii="Times New Roman" w:hAnsi="Times New Roman"/>
        </w:rPr>
        <w:t>.</w:t>
      </w:r>
    </w:p>
    <w:p w:rsidRPr="00DE6027" w:rsidR="007E2EEB" w:rsidRDefault="007E2EEB" w14:paraId="68AAB9F4" w14:textId="77777777">
      <w:pPr>
        <w:rPr>
          <w:rFonts w:ascii="Times New Roman" w:hAnsi="Times New Roman"/>
        </w:rPr>
      </w:pPr>
    </w:p>
    <w:p w:rsidRPr="00DE6027" w:rsidR="007E2EEB" w:rsidRDefault="007E2EEB" w14:paraId="78ACA552" w14:textId="77777777">
      <w:pPr>
        <w:pStyle w:val="Level1"/>
        <w:numPr>
          <w:ilvl w:val="0"/>
          <w:numId w:val="2"/>
        </w:numPr>
        <w:tabs>
          <w:tab w:val="left" w:pos="-1440"/>
          <w:tab w:val="num" w:pos="720"/>
        </w:tabs>
        <w:rPr>
          <w:rFonts w:ascii="Times New Roman" w:hAnsi="Times New Roman"/>
          <w:b/>
        </w:rPr>
      </w:pPr>
      <w:r w:rsidRPr="00DE6027">
        <w:rPr>
          <w:rFonts w:ascii="Times New Roman" w:hAnsi="Times New Roman"/>
          <w:b/>
          <w:u w:val="single"/>
        </w:rPr>
        <w:t>SPECIAL CIRCUMSTANCES REQUIRING DATA COLLECTION TO BE</w:t>
      </w:r>
      <w:r w:rsidRPr="00DE6027" w:rsidR="00473D0D">
        <w:rPr>
          <w:rFonts w:ascii="Times New Roman" w:hAnsi="Times New Roman"/>
          <w:b/>
          <w:u w:val="single"/>
        </w:rPr>
        <w:t xml:space="preserve"> </w:t>
      </w:r>
      <w:r w:rsidRPr="00DE6027">
        <w:rPr>
          <w:rFonts w:ascii="Times New Roman" w:hAnsi="Times New Roman"/>
          <w:b/>
          <w:u w:val="single"/>
        </w:rPr>
        <w:t>INCONSISTENT WITH GUIDELINES IN 5 CFR 1320.5(d)(2)</w:t>
      </w:r>
    </w:p>
    <w:p w:rsidRPr="00DE6027" w:rsidR="007E2EEB" w:rsidRDefault="007E2EEB" w14:paraId="124F3945" w14:textId="77777777">
      <w:pPr>
        <w:rPr>
          <w:rFonts w:ascii="Times New Roman" w:hAnsi="Times New Roman"/>
        </w:rPr>
      </w:pPr>
    </w:p>
    <w:p w:rsidRPr="00DE6027" w:rsidR="007E2EEB" w:rsidRDefault="00473D0D" w14:paraId="0454D6EC" w14:textId="77777777">
      <w:pPr>
        <w:ind w:left="720"/>
        <w:rPr>
          <w:rFonts w:ascii="Times New Roman" w:hAnsi="Times New Roman"/>
        </w:rPr>
      </w:pPr>
      <w:r w:rsidRPr="00DE6027">
        <w:rPr>
          <w:rFonts w:ascii="Times New Roman" w:hAnsi="Times New Roman"/>
        </w:rPr>
        <w:t>There are no special circumstances requiring data collection to be inconsistent with Guidelines in 5 CFR 1320.5(d)(2).</w:t>
      </w:r>
    </w:p>
    <w:p w:rsidRPr="00DE6027" w:rsidR="007E2EEB" w:rsidRDefault="007E2EEB" w14:paraId="45C5E0D1" w14:textId="77777777">
      <w:pPr>
        <w:rPr>
          <w:rFonts w:ascii="Times New Roman" w:hAnsi="Times New Roman"/>
        </w:rPr>
      </w:pPr>
    </w:p>
    <w:p w:rsidRPr="00DE6027" w:rsidR="007E2EEB" w:rsidP="00AF1AEA" w:rsidRDefault="00F26675" w14:paraId="534E9DE6" w14:textId="77777777">
      <w:pPr>
        <w:ind w:left="720" w:hanging="720"/>
        <w:rPr>
          <w:rFonts w:ascii="Times New Roman" w:hAnsi="Times New Roman"/>
          <w:b/>
        </w:rPr>
      </w:pPr>
      <w:r w:rsidRPr="00DE6027">
        <w:rPr>
          <w:rFonts w:ascii="Times New Roman" w:hAnsi="Times New Roman"/>
          <w:b/>
        </w:rPr>
        <w:t>8.</w:t>
      </w:r>
      <w:r w:rsidRPr="00DE6027">
        <w:rPr>
          <w:rFonts w:ascii="Times New Roman" w:hAnsi="Times New Roman"/>
          <w:b/>
        </w:rPr>
        <w:tab/>
      </w:r>
      <w:r w:rsidRPr="00DE6027" w:rsidR="007E2EEB">
        <w:rPr>
          <w:rFonts w:ascii="Times New Roman" w:hAnsi="Times New Roman"/>
          <w:b/>
          <w:u w:val="single"/>
        </w:rPr>
        <w:t>CONSULTATION WITH INDIVIDUALS OUTSIDE OF THE AGENCY ON</w:t>
      </w:r>
      <w:r w:rsidRPr="00DE6027" w:rsidR="00473D0D">
        <w:rPr>
          <w:rFonts w:ascii="Times New Roman" w:hAnsi="Times New Roman"/>
          <w:b/>
          <w:u w:val="single"/>
        </w:rPr>
        <w:t xml:space="preserve"> </w:t>
      </w:r>
      <w:r w:rsidRPr="00DE6027" w:rsidR="007E2EEB">
        <w:rPr>
          <w:rFonts w:ascii="Times New Roman" w:hAnsi="Times New Roman"/>
          <w:b/>
          <w:u w:val="single"/>
        </w:rPr>
        <w:t>AVAILABILITY OF DATA, FREQUENCY OF COLLECTION, CLARITY OF INSTRUCTIONS AND FORMS, AND DATA ELEMENTS</w:t>
      </w:r>
    </w:p>
    <w:p w:rsidRPr="00DE6027" w:rsidR="007E2EEB" w:rsidRDefault="007E2EEB" w14:paraId="0A0C5095" w14:textId="77777777">
      <w:pPr>
        <w:rPr>
          <w:rFonts w:ascii="Times New Roman" w:hAnsi="Times New Roman"/>
        </w:rPr>
      </w:pPr>
    </w:p>
    <w:p w:rsidRPr="00DE6027" w:rsidR="007E2EEB" w:rsidRDefault="00044F37" w14:paraId="157C174F" w14:textId="52CA198B">
      <w:pPr>
        <w:ind w:left="720"/>
        <w:rPr>
          <w:rFonts w:ascii="Times New Roman" w:hAnsi="Times New Roman"/>
        </w:rPr>
      </w:pPr>
      <w:r w:rsidRPr="00DE6027">
        <w:rPr>
          <w:rFonts w:ascii="Times New Roman" w:hAnsi="Times New Roman"/>
        </w:rPr>
        <w:t xml:space="preserve">In response to the Federal Register notice dated </w:t>
      </w:r>
      <w:r w:rsidRPr="00DE6027" w:rsidR="004267DD">
        <w:rPr>
          <w:rFonts w:ascii="Times New Roman" w:hAnsi="Times New Roman"/>
        </w:rPr>
        <w:t>January 26</w:t>
      </w:r>
      <w:r w:rsidRPr="00DE6027" w:rsidR="00FF03FE">
        <w:rPr>
          <w:rFonts w:ascii="Times New Roman" w:hAnsi="Times New Roman"/>
        </w:rPr>
        <w:t>, 20</w:t>
      </w:r>
      <w:r w:rsidRPr="00DE6027" w:rsidR="004267DD">
        <w:rPr>
          <w:rFonts w:ascii="Times New Roman" w:hAnsi="Times New Roman"/>
        </w:rPr>
        <w:t>21</w:t>
      </w:r>
      <w:r w:rsidRPr="00DE6027">
        <w:rPr>
          <w:rFonts w:ascii="Times New Roman" w:hAnsi="Times New Roman"/>
        </w:rPr>
        <w:t xml:space="preserve"> (8</w:t>
      </w:r>
      <w:r w:rsidRPr="00DE6027" w:rsidR="004267DD">
        <w:rPr>
          <w:rFonts w:ascii="Times New Roman" w:hAnsi="Times New Roman"/>
        </w:rPr>
        <w:t>6</w:t>
      </w:r>
      <w:r w:rsidRPr="00DE6027">
        <w:rPr>
          <w:rFonts w:ascii="Times New Roman" w:hAnsi="Times New Roman"/>
        </w:rPr>
        <w:t xml:space="preserve"> FR </w:t>
      </w:r>
      <w:r w:rsidRPr="00DE6027" w:rsidR="004267DD">
        <w:rPr>
          <w:rFonts w:ascii="Times New Roman" w:hAnsi="Times New Roman"/>
        </w:rPr>
        <w:t>6970</w:t>
      </w:r>
      <w:r w:rsidRPr="00DE6027">
        <w:rPr>
          <w:rFonts w:ascii="Times New Roman" w:hAnsi="Times New Roman"/>
        </w:rPr>
        <w:t xml:space="preserve">), we received no comments during the comment period regarding these regulations. </w:t>
      </w:r>
      <w:r w:rsidRPr="00DE6027" w:rsidR="007E2EEB">
        <w:rPr>
          <w:rFonts w:ascii="Times New Roman" w:hAnsi="Times New Roman"/>
        </w:rPr>
        <w:t xml:space="preserve"> </w:t>
      </w:r>
    </w:p>
    <w:p w:rsidRPr="00DE6027" w:rsidR="007E2EEB" w:rsidRDefault="007E2EEB" w14:paraId="5496E77F" w14:textId="77777777">
      <w:pPr>
        <w:tabs>
          <w:tab w:val="center" w:pos="4680"/>
        </w:tabs>
        <w:rPr>
          <w:rFonts w:ascii="Times New Roman" w:hAnsi="Times New Roman"/>
        </w:rPr>
      </w:pPr>
    </w:p>
    <w:p w:rsidRPr="00F23831" w:rsidR="00F23831" w:rsidP="00AF1AEA" w:rsidRDefault="007E2EEB" w14:paraId="48CBF3E3" w14:textId="5265D009">
      <w:pPr>
        <w:pStyle w:val="Level1"/>
        <w:numPr>
          <w:ilvl w:val="0"/>
          <w:numId w:val="4"/>
        </w:numPr>
        <w:tabs>
          <w:tab w:val="left" w:pos="-1440"/>
        </w:tabs>
        <w:rPr>
          <w:rFonts w:ascii="Times New Roman" w:hAnsi="Times New Roman"/>
          <w:b/>
        </w:rPr>
      </w:pPr>
      <w:r w:rsidRPr="00DE6027">
        <w:rPr>
          <w:rFonts w:ascii="Times New Roman" w:hAnsi="Times New Roman"/>
          <w:b/>
          <w:u w:val="single"/>
        </w:rPr>
        <w:lastRenderedPageBreak/>
        <w:t>EXPLANATION OF DECISION TO PROVIDE ANY PAYMENT OR GIFT TO</w:t>
      </w:r>
    </w:p>
    <w:p w:rsidRPr="00DE6027" w:rsidR="007E2EEB" w:rsidP="00F23831" w:rsidRDefault="00F23831" w14:paraId="3C3BDD03" w14:textId="18C749C7">
      <w:pPr>
        <w:pStyle w:val="Level1"/>
        <w:numPr>
          <w:ilvl w:val="0"/>
          <w:numId w:val="0"/>
        </w:numPr>
        <w:tabs>
          <w:tab w:val="left" w:pos="-1440"/>
        </w:tabs>
        <w:rPr>
          <w:rFonts w:ascii="Times New Roman" w:hAnsi="Times New Roman"/>
          <w:b/>
        </w:rPr>
      </w:pPr>
      <w:r w:rsidRPr="00F23831">
        <w:rPr>
          <w:rFonts w:ascii="Times New Roman" w:hAnsi="Times New Roman"/>
          <w:b/>
        </w:rPr>
        <w:tab/>
      </w:r>
      <w:r w:rsidRPr="00DE6027" w:rsidR="007E2EEB">
        <w:rPr>
          <w:rFonts w:ascii="Times New Roman" w:hAnsi="Times New Roman"/>
          <w:b/>
          <w:u w:val="single"/>
        </w:rPr>
        <w:t>RESPONDENTS</w:t>
      </w:r>
    </w:p>
    <w:p w:rsidRPr="00DE6027" w:rsidR="007E2EEB" w:rsidRDefault="007E2EEB" w14:paraId="5F9A88D1" w14:textId="77777777">
      <w:pPr>
        <w:rPr>
          <w:rFonts w:ascii="Times New Roman" w:hAnsi="Times New Roman"/>
        </w:rPr>
      </w:pPr>
    </w:p>
    <w:p w:rsidR="006E6E53" w:rsidP="006E6E53" w:rsidRDefault="006E6E53" w14:paraId="467F93C4" w14:textId="07F68B4A">
      <w:pPr>
        <w:ind w:left="720"/>
        <w:rPr>
          <w:rFonts w:ascii="Times New Roman" w:hAnsi="Times New Roman"/>
        </w:rPr>
      </w:pPr>
      <w:r w:rsidRPr="00DE6027">
        <w:rPr>
          <w:rFonts w:ascii="Times New Roman" w:hAnsi="Times New Roman"/>
        </w:rPr>
        <w:t>No payment or gift has been provided to any respondents.</w:t>
      </w:r>
    </w:p>
    <w:p w:rsidRPr="00DE6027" w:rsidR="00EB392C" w:rsidP="006E6E53" w:rsidRDefault="00EB392C" w14:paraId="184A3EA6" w14:textId="77777777">
      <w:pPr>
        <w:ind w:left="720"/>
        <w:rPr>
          <w:rFonts w:ascii="Times New Roman" w:hAnsi="Times New Roman"/>
        </w:rPr>
      </w:pPr>
    </w:p>
    <w:p w:rsidRPr="00DE6027" w:rsidR="007E2EEB" w:rsidP="00AF1AEA" w:rsidRDefault="007E2EEB" w14:paraId="735345C3" w14:textId="77777777">
      <w:pPr>
        <w:pStyle w:val="Level1"/>
        <w:numPr>
          <w:ilvl w:val="0"/>
          <w:numId w:val="4"/>
        </w:numPr>
        <w:tabs>
          <w:tab w:val="left" w:pos="-1440"/>
        </w:tabs>
        <w:rPr>
          <w:rFonts w:ascii="Times New Roman" w:hAnsi="Times New Roman"/>
          <w:b/>
        </w:rPr>
      </w:pPr>
      <w:r w:rsidRPr="00DE6027">
        <w:rPr>
          <w:rFonts w:ascii="Times New Roman" w:hAnsi="Times New Roman"/>
          <w:b/>
          <w:u w:val="single"/>
        </w:rPr>
        <w:t>ASSURANCE OF CONFIDENTIALITY OF RESPONSES</w:t>
      </w:r>
    </w:p>
    <w:p w:rsidRPr="00DE6027" w:rsidR="007E2EEB" w:rsidRDefault="007E2EEB" w14:paraId="5CA83E6D" w14:textId="77777777">
      <w:pPr>
        <w:rPr>
          <w:rFonts w:ascii="Times New Roman" w:hAnsi="Times New Roman"/>
        </w:rPr>
      </w:pPr>
    </w:p>
    <w:p w:rsidRPr="00DE6027" w:rsidR="007E2EEB" w:rsidRDefault="007E2EEB" w14:paraId="3D6FCDB7" w14:textId="77777777">
      <w:pPr>
        <w:ind w:left="720"/>
        <w:rPr>
          <w:rFonts w:ascii="Times New Roman" w:hAnsi="Times New Roman"/>
        </w:rPr>
      </w:pPr>
      <w:r w:rsidRPr="00DE6027">
        <w:rPr>
          <w:rFonts w:ascii="Times New Roman" w:hAnsi="Times New Roman"/>
        </w:rPr>
        <w:t>Generally, tax returns and tax return information are confidential as required by 26 USC 6103.</w:t>
      </w:r>
    </w:p>
    <w:p w:rsidRPr="00DE6027" w:rsidR="007E2EEB" w:rsidRDefault="007E2EEB" w14:paraId="0533B176" w14:textId="77777777">
      <w:pPr>
        <w:rPr>
          <w:rFonts w:ascii="Times New Roman" w:hAnsi="Times New Roman"/>
        </w:rPr>
      </w:pPr>
    </w:p>
    <w:p w:rsidRPr="00DE6027" w:rsidR="007E2EEB" w:rsidP="00AF1AEA" w:rsidRDefault="007E2EEB" w14:paraId="2B2BB663" w14:textId="77777777">
      <w:pPr>
        <w:pStyle w:val="Level1"/>
        <w:numPr>
          <w:ilvl w:val="0"/>
          <w:numId w:val="4"/>
        </w:numPr>
        <w:tabs>
          <w:tab w:val="left" w:pos="-1440"/>
        </w:tabs>
        <w:rPr>
          <w:rFonts w:ascii="Times New Roman" w:hAnsi="Times New Roman"/>
          <w:b/>
          <w:u w:val="single"/>
        </w:rPr>
      </w:pPr>
      <w:r w:rsidRPr="00DE6027">
        <w:rPr>
          <w:rFonts w:ascii="Times New Roman" w:hAnsi="Times New Roman"/>
          <w:b/>
          <w:u w:val="single"/>
        </w:rPr>
        <w:t>JUSTIFICATION OF SENSITIVE QUESTIONS</w:t>
      </w:r>
    </w:p>
    <w:p w:rsidRPr="00DE6027" w:rsidR="007E2EEB" w:rsidRDefault="007E2EEB" w14:paraId="4700C87C" w14:textId="77777777">
      <w:pPr>
        <w:rPr>
          <w:rFonts w:ascii="Times New Roman" w:hAnsi="Times New Roman"/>
          <w:u w:val="single"/>
        </w:rPr>
      </w:pPr>
    </w:p>
    <w:p w:rsidRPr="00DE6027" w:rsidR="00044F37" w:rsidP="00F63BDE" w:rsidRDefault="00044F37" w14:paraId="041812B2" w14:textId="77777777">
      <w:pPr>
        <w:ind w:left="720"/>
        <w:rPr>
          <w:rFonts w:ascii="Times New Roman" w:hAnsi="Times New Roman"/>
        </w:rPr>
      </w:pPr>
      <w:r w:rsidRPr="00DE6027">
        <w:rPr>
          <w:rFonts w:ascii="Times New Roman" w:hAnsi="Times New Roman"/>
        </w:rPr>
        <w:t>A privacy impact assessment (PIA) has been conducted for information collected under this request as part of the “</w:t>
      </w:r>
      <w:r w:rsidRPr="00DE6027" w:rsidR="00F63BDE">
        <w:rPr>
          <w:rFonts w:ascii="Times New Roman" w:hAnsi="Times New Roman"/>
        </w:rPr>
        <w:t xml:space="preserve">Individual Master File (IMF)” </w:t>
      </w:r>
      <w:r w:rsidRPr="00DE6027">
        <w:rPr>
          <w:rFonts w:ascii="Times New Roman" w:hAnsi="Times New Roman"/>
        </w:rPr>
        <w:t>and a Privacy Act System of Records notice (SORN) has been issued for these systems under</w:t>
      </w:r>
      <w:r w:rsidRPr="00DE6027" w:rsidR="0012358F">
        <w:rPr>
          <w:rFonts w:ascii="Times New Roman" w:hAnsi="Times New Roman"/>
        </w:rPr>
        <w:t xml:space="preserve"> </w:t>
      </w:r>
      <w:r w:rsidRPr="00DE6027" w:rsidR="00F63BDE">
        <w:rPr>
          <w:rFonts w:ascii="Times New Roman" w:hAnsi="Times New Roman"/>
        </w:rPr>
        <w:t>Treas/IRS 24.030</w:t>
      </w:r>
      <w:r w:rsidRPr="00DE6027" w:rsidR="0012358F">
        <w:rPr>
          <w:rFonts w:ascii="Times New Roman" w:hAnsi="Times New Roman"/>
        </w:rPr>
        <w:t xml:space="preserve"> -</w:t>
      </w:r>
      <w:r w:rsidRPr="00DE6027" w:rsidR="00F63BDE">
        <w:rPr>
          <w:rFonts w:ascii="Times New Roman" w:hAnsi="Times New Roman"/>
        </w:rPr>
        <w:t xml:space="preserve"> Individual Master File.</w:t>
      </w:r>
      <w:r w:rsidRPr="00DE6027">
        <w:rPr>
          <w:rFonts w:ascii="Times New Roman" w:hAnsi="Times New Roman"/>
        </w:rPr>
        <w:t xml:space="preserve"> The Internal Revenue Service PIAs can be found at </w:t>
      </w:r>
    </w:p>
    <w:p w:rsidRPr="00DE6027" w:rsidR="00044F37" w:rsidP="00044F37" w:rsidRDefault="00F578D5" w14:paraId="2A91DB61" w14:textId="77777777">
      <w:pPr>
        <w:ind w:left="720"/>
        <w:rPr>
          <w:rFonts w:ascii="Times New Roman" w:hAnsi="Times New Roman"/>
        </w:rPr>
      </w:pPr>
      <w:hyperlink w:history="1" r:id="rId8">
        <w:r w:rsidRPr="00DE6027" w:rsidR="00044F37">
          <w:rPr>
            <w:rStyle w:val="Hyperlink"/>
            <w:rFonts w:ascii="Times New Roman" w:hAnsi="Times New Roman"/>
          </w:rPr>
          <w:t>https://www.irs.gov/uac/Privacy-Impact-Assessments-PIA</w:t>
        </w:r>
      </w:hyperlink>
    </w:p>
    <w:p w:rsidRPr="00DE6027" w:rsidR="00044F37" w:rsidP="00044F37" w:rsidRDefault="00044F37" w14:paraId="3899F23A" w14:textId="77777777">
      <w:pPr>
        <w:ind w:left="720"/>
        <w:rPr>
          <w:rFonts w:ascii="Times New Roman" w:hAnsi="Times New Roman"/>
        </w:rPr>
      </w:pPr>
    </w:p>
    <w:p w:rsidRPr="00DE6027" w:rsidR="007E2EEB" w:rsidP="00044F37" w:rsidRDefault="00044F37" w14:paraId="04EE7AAF" w14:textId="77777777">
      <w:pPr>
        <w:ind w:left="720"/>
        <w:rPr>
          <w:rFonts w:ascii="Times New Roman" w:hAnsi="Times New Roman"/>
        </w:rPr>
      </w:pPr>
      <w:r w:rsidRPr="00DE602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DE6027" w:rsidR="003A5A1A" w:rsidP="00044F37" w:rsidRDefault="003A5A1A" w14:paraId="4BE5365C" w14:textId="77777777">
      <w:pPr>
        <w:ind w:left="720"/>
        <w:rPr>
          <w:rFonts w:ascii="Times New Roman" w:hAnsi="Times New Roman"/>
        </w:rPr>
      </w:pPr>
    </w:p>
    <w:p w:rsidRPr="00DE6027" w:rsidR="003A5A1A" w:rsidP="00044F37" w:rsidRDefault="003A5A1A" w14:paraId="33633666" w14:textId="77777777">
      <w:pPr>
        <w:ind w:left="720"/>
        <w:rPr>
          <w:rFonts w:ascii="Times New Roman" w:hAnsi="Times New Roman"/>
        </w:rPr>
      </w:pPr>
      <w:r w:rsidRPr="00DE6027">
        <w:rPr>
          <w:rFonts w:ascii="Times New Roman" w:hAnsi="Times New Roman"/>
        </w:rPr>
        <w:t>This Form is an attachment to the Federal tax return.  The Privacy Act statement associated with this Form is listed in the Federal tax return instructions.</w:t>
      </w:r>
    </w:p>
    <w:p w:rsidRPr="00DE6027" w:rsidR="007E2EEB" w:rsidRDefault="007E2EEB" w14:paraId="002AABC5" w14:textId="77777777">
      <w:pPr>
        <w:ind w:left="720"/>
        <w:rPr>
          <w:rFonts w:ascii="Times New Roman" w:hAnsi="Times New Roman"/>
        </w:rPr>
      </w:pPr>
    </w:p>
    <w:p w:rsidRPr="00DE6027" w:rsidR="007E2EEB" w:rsidP="00AF1AEA" w:rsidRDefault="007E2EEB" w14:paraId="000C4756" w14:textId="77777777">
      <w:pPr>
        <w:pStyle w:val="Level1"/>
        <w:numPr>
          <w:ilvl w:val="0"/>
          <w:numId w:val="4"/>
        </w:numPr>
        <w:tabs>
          <w:tab w:val="left" w:pos="-1440"/>
        </w:tabs>
        <w:rPr>
          <w:rFonts w:ascii="Times New Roman" w:hAnsi="Times New Roman"/>
          <w:b/>
          <w:u w:val="single"/>
        </w:rPr>
      </w:pPr>
      <w:r w:rsidRPr="00DE6027">
        <w:rPr>
          <w:rFonts w:ascii="Times New Roman" w:hAnsi="Times New Roman"/>
          <w:b/>
          <w:u w:val="single"/>
        </w:rPr>
        <w:t>ESTIMATED BURDEN OF INFORMATION COLLECTION</w:t>
      </w:r>
    </w:p>
    <w:p w:rsidRPr="00DE6027" w:rsidR="000A4339" w:rsidP="000A4339" w:rsidRDefault="000A4339" w14:paraId="72196C82" w14:textId="77777777">
      <w:pPr>
        <w:pStyle w:val="Level1"/>
        <w:numPr>
          <w:ilvl w:val="0"/>
          <w:numId w:val="0"/>
        </w:numPr>
        <w:tabs>
          <w:tab w:val="left" w:pos="-1440"/>
        </w:tabs>
        <w:ind w:left="720" w:hanging="720"/>
        <w:rPr>
          <w:rFonts w:ascii="Times New Roman" w:hAnsi="Times New Roman"/>
          <w:b/>
          <w:u w:val="single"/>
        </w:rPr>
      </w:pPr>
    </w:p>
    <w:p w:rsidR="00863823" w:rsidP="00817DB4" w:rsidRDefault="000A4339" w14:paraId="445AB249" w14:textId="4F3A8024">
      <w:pPr>
        <w:pStyle w:val="Level1"/>
        <w:numPr>
          <w:ilvl w:val="0"/>
          <w:numId w:val="0"/>
        </w:numPr>
        <w:tabs>
          <w:tab w:val="left" w:pos="-1440"/>
        </w:tabs>
        <w:ind w:left="720" w:hanging="720"/>
        <w:rPr>
          <w:rFonts w:ascii="Times New Roman" w:hAnsi="Times New Roman"/>
          <w:bCs/>
        </w:rPr>
      </w:pPr>
      <w:r w:rsidRPr="00DE6027">
        <w:rPr>
          <w:rFonts w:ascii="Times New Roman" w:hAnsi="Times New Roman"/>
        </w:rPr>
        <w:t xml:space="preserve">           </w:t>
      </w:r>
      <w:r w:rsidR="00817DB4">
        <w:rPr>
          <w:rFonts w:ascii="Times New Roman" w:hAnsi="Times New Roman"/>
        </w:rPr>
        <w:t xml:space="preserve"> </w:t>
      </w:r>
      <w:r w:rsidR="00817DB4">
        <w:rPr>
          <w:rFonts w:ascii="Times New Roman" w:hAnsi="Times New Roman"/>
          <w:bCs/>
        </w:rPr>
        <w:t>Rev. Proc. 2010-19 will relieve double taxation with respect to property that is subject to Canadian departure tax under Canada’s deemed disposition rules.</w:t>
      </w:r>
      <w:r w:rsidRPr="00863823" w:rsidR="00863823">
        <w:rPr>
          <w:rFonts w:ascii="Times New Roman" w:hAnsi="Times New Roman"/>
          <w:bCs/>
        </w:rPr>
        <w:t xml:space="preserve">  We estimate that </w:t>
      </w:r>
      <w:r w:rsidRPr="00817DB4" w:rsidR="00817DB4">
        <w:rPr>
          <w:rFonts w:ascii="Times New Roman" w:hAnsi="Times New Roman"/>
          <w:bCs/>
        </w:rPr>
        <w:t>100</w:t>
      </w:r>
      <w:r w:rsidRPr="00863823" w:rsidR="00863823">
        <w:rPr>
          <w:rFonts w:ascii="Times New Roman" w:hAnsi="Times New Roman"/>
          <w:bCs/>
        </w:rPr>
        <w:t xml:space="preserve"> </w:t>
      </w:r>
      <w:r w:rsidRPr="00817DB4" w:rsidR="00817DB4">
        <w:rPr>
          <w:rFonts w:ascii="Times New Roman" w:hAnsi="Times New Roman"/>
          <w:bCs/>
        </w:rPr>
        <w:t>respondents</w:t>
      </w:r>
      <w:r w:rsidRPr="00863823" w:rsidR="00863823">
        <w:rPr>
          <w:rFonts w:ascii="Times New Roman" w:hAnsi="Times New Roman"/>
          <w:bCs/>
        </w:rPr>
        <w:t xml:space="preserve"> will make such </w:t>
      </w:r>
      <w:r w:rsidRPr="00817DB4" w:rsidR="00817DB4">
        <w:rPr>
          <w:rFonts w:ascii="Times New Roman" w:hAnsi="Times New Roman"/>
          <w:bCs/>
        </w:rPr>
        <w:t>election</w:t>
      </w:r>
      <w:r w:rsidRPr="00863823" w:rsidR="00863823">
        <w:rPr>
          <w:rFonts w:ascii="Times New Roman" w:hAnsi="Times New Roman"/>
          <w:bCs/>
        </w:rPr>
        <w:t xml:space="preserve"> annually.  The estimated burden per respondent wi</w:t>
      </w:r>
      <w:r w:rsidRPr="00817DB4" w:rsidR="00817DB4">
        <w:rPr>
          <w:rFonts w:ascii="Times New Roman" w:hAnsi="Times New Roman"/>
          <w:bCs/>
        </w:rPr>
        <w:t>ll average 1</w:t>
      </w:r>
      <w:r w:rsidRPr="00863823" w:rsidR="00863823">
        <w:rPr>
          <w:rFonts w:ascii="Times New Roman" w:hAnsi="Times New Roman"/>
          <w:bCs/>
        </w:rPr>
        <w:t xml:space="preserve"> hour for an estimated total annual burden of 100 hours.</w:t>
      </w:r>
    </w:p>
    <w:p w:rsidR="00817DB4" w:rsidP="00863823" w:rsidRDefault="00817DB4" w14:paraId="62999579" w14:textId="390839CB">
      <w:pPr>
        <w:pStyle w:val="Level1"/>
        <w:numPr>
          <w:ilvl w:val="0"/>
          <w:numId w:val="0"/>
        </w:numPr>
        <w:tabs>
          <w:tab w:val="left" w:pos="-1440"/>
        </w:tabs>
        <w:ind w:left="720"/>
        <w:rPr>
          <w:rFonts w:ascii="Times New Roman" w:hAnsi="Times New Roman"/>
          <w:bCs/>
        </w:rPr>
      </w:pPr>
    </w:p>
    <w:p w:rsidR="00817DB4" w:rsidP="00817DB4" w:rsidRDefault="00817DB4" w14:paraId="36ABF311" w14:textId="2B40CABE">
      <w:pPr>
        <w:pStyle w:val="Level1"/>
        <w:numPr>
          <w:ilvl w:val="0"/>
          <w:numId w:val="0"/>
        </w:numPr>
        <w:tabs>
          <w:tab w:val="left" w:pos="-1440"/>
        </w:tabs>
        <w:ind w:left="720"/>
        <w:rPr>
          <w:rFonts w:ascii="Times New Roman" w:hAnsi="Times New Roman"/>
        </w:rPr>
      </w:pPr>
      <w:r w:rsidRPr="00EB392C">
        <w:rPr>
          <w:rFonts w:ascii="Times New Roman" w:hAnsi="Times New Roman"/>
        </w:rPr>
        <w:t xml:space="preserve">The time needed to complete, and file </w:t>
      </w:r>
      <w:r>
        <w:rPr>
          <w:rFonts w:ascii="Times New Roman" w:hAnsi="Times New Roman"/>
        </w:rPr>
        <w:t>F</w:t>
      </w:r>
      <w:r w:rsidRPr="00EB392C">
        <w:rPr>
          <w:rFonts w:ascii="Times New Roman" w:hAnsi="Times New Roman"/>
        </w:rPr>
        <w:t>orm</w:t>
      </w:r>
      <w:r>
        <w:rPr>
          <w:rFonts w:ascii="Times New Roman" w:hAnsi="Times New Roman"/>
        </w:rPr>
        <w:t xml:space="preserve"> 8833</w:t>
      </w:r>
      <w:r w:rsidRPr="00EB392C">
        <w:rPr>
          <w:rFonts w:ascii="Times New Roman" w:hAnsi="Times New Roman"/>
        </w:rPr>
        <w:t xml:space="preserve"> will vary depending on individual circumstances. The estimated burden for individual taxpayers filing this form is approved under OMB control number 1545-0074 and the estimated burden for business filers is approved under 1545-0123, and are included in the estimates shown in the instructions for their individual or business income tax return. </w:t>
      </w:r>
      <w:r w:rsidRPr="00817DB4">
        <w:rPr>
          <w:rFonts w:ascii="Times New Roman" w:hAnsi="Times New Roman"/>
        </w:rPr>
        <w:t xml:space="preserve">It is anticipated that there will be </w:t>
      </w:r>
      <w:r>
        <w:rPr>
          <w:rFonts w:ascii="Times New Roman" w:hAnsi="Times New Roman"/>
        </w:rPr>
        <w:t>4</w:t>
      </w:r>
      <w:r w:rsidRPr="00817DB4">
        <w:rPr>
          <w:rFonts w:ascii="Times New Roman" w:hAnsi="Times New Roman"/>
        </w:rPr>
        <w:t>,</w:t>
      </w:r>
      <w:r>
        <w:rPr>
          <w:rFonts w:ascii="Times New Roman" w:hAnsi="Times New Roman"/>
        </w:rPr>
        <w:t>0</w:t>
      </w:r>
      <w:r w:rsidRPr="00817DB4">
        <w:rPr>
          <w:rFonts w:ascii="Times New Roman" w:hAnsi="Times New Roman"/>
        </w:rPr>
        <w:t>00 respondents that respond with a</w:t>
      </w:r>
      <w:r w:rsidR="007546B0">
        <w:rPr>
          <w:rFonts w:ascii="Times New Roman" w:hAnsi="Times New Roman"/>
        </w:rPr>
        <w:t>n average</w:t>
      </w:r>
      <w:r w:rsidRPr="00817DB4">
        <w:rPr>
          <w:rFonts w:ascii="Times New Roman" w:hAnsi="Times New Roman"/>
        </w:rPr>
        <w:t xml:space="preserve"> response time of </w:t>
      </w:r>
      <w:r w:rsidR="007546B0">
        <w:rPr>
          <w:rFonts w:ascii="Times New Roman" w:hAnsi="Times New Roman"/>
        </w:rPr>
        <w:t>6</w:t>
      </w:r>
      <w:r w:rsidRPr="00817DB4">
        <w:rPr>
          <w:rFonts w:ascii="Times New Roman" w:hAnsi="Times New Roman"/>
        </w:rPr>
        <w:t xml:space="preserve"> hours, 2</w:t>
      </w:r>
      <w:r w:rsidR="007546B0">
        <w:rPr>
          <w:rFonts w:ascii="Times New Roman" w:hAnsi="Times New Roman"/>
        </w:rPr>
        <w:t>3</w:t>
      </w:r>
      <w:r w:rsidRPr="00817DB4">
        <w:rPr>
          <w:rFonts w:ascii="Times New Roman" w:hAnsi="Times New Roman"/>
        </w:rPr>
        <w:t xml:space="preserve"> minutes</w:t>
      </w:r>
      <w:r w:rsidR="007546B0">
        <w:rPr>
          <w:rFonts w:ascii="Times New Roman" w:hAnsi="Times New Roman"/>
        </w:rPr>
        <w:t>,</w:t>
      </w:r>
      <w:r w:rsidRPr="00817DB4">
        <w:rPr>
          <w:rFonts w:ascii="Times New Roman" w:hAnsi="Times New Roman"/>
        </w:rPr>
        <w:t xml:space="preserve"> </w:t>
      </w:r>
      <w:r w:rsidR="007546B0">
        <w:rPr>
          <w:rFonts w:ascii="Times New Roman" w:hAnsi="Times New Roman"/>
        </w:rPr>
        <w:t xml:space="preserve">for a </w:t>
      </w:r>
      <w:r w:rsidRPr="00817DB4">
        <w:rPr>
          <w:rFonts w:ascii="Times New Roman" w:hAnsi="Times New Roman"/>
        </w:rPr>
        <w:t>total</w:t>
      </w:r>
      <w:r w:rsidR="007546B0">
        <w:rPr>
          <w:rFonts w:ascii="Times New Roman" w:hAnsi="Times New Roman"/>
        </w:rPr>
        <w:t xml:space="preserve"> burden of 2</w:t>
      </w:r>
      <w:r w:rsidRPr="00817DB4">
        <w:rPr>
          <w:rFonts w:ascii="Times New Roman" w:hAnsi="Times New Roman"/>
        </w:rPr>
        <w:t>5,6</w:t>
      </w:r>
      <w:r w:rsidR="007546B0">
        <w:rPr>
          <w:rFonts w:ascii="Times New Roman" w:hAnsi="Times New Roman"/>
        </w:rPr>
        <w:t>40</w:t>
      </w:r>
      <w:r w:rsidRPr="00817DB4">
        <w:rPr>
          <w:rFonts w:ascii="Times New Roman" w:hAnsi="Times New Roman"/>
        </w:rPr>
        <w:t xml:space="preserve"> hours.</w:t>
      </w:r>
    </w:p>
    <w:p w:rsidR="00817DB4" w:rsidP="00817DB4" w:rsidRDefault="00817DB4" w14:paraId="62806329" w14:textId="77777777">
      <w:pPr>
        <w:pStyle w:val="Level1"/>
        <w:numPr>
          <w:ilvl w:val="0"/>
          <w:numId w:val="0"/>
        </w:numPr>
        <w:tabs>
          <w:tab w:val="left" w:pos="-1440"/>
        </w:tabs>
        <w:ind w:left="720"/>
        <w:rPr>
          <w:rFonts w:ascii="Times New Roman" w:hAnsi="Times New Roman"/>
        </w:rPr>
      </w:pPr>
    </w:p>
    <w:p w:rsidR="00817DB4" w:rsidP="00817DB4" w:rsidRDefault="00817DB4" w14:paraId="471BD8BB" w14:textId="76BC9BF2">
      <w:pPr>
        <w:pStyle w:val="Level1"/>
        <w:numPr>
          <w:ilvl w:val="0"/>
          <w:numId w:val="0"/>
        </w:numPr>
        <w:tabs>
          <w:tab w:val="left" w:pos="-1440"/>
        </w:tabs>
        <w:ind w:left="720"/>
        <w:rPr>
          <w:rFonts w:ascii="Times New Roman" w:hAnsi="Times New Roman"/>
        </w:rPr>
      </w:pPr>
      <w:r w:rsidRPr="00EB392C">
        <w:rPr>
          <w:rFonts w:ascii="Times New Roman" w:hAnsi="Times New Roman"/>
        </w:rPr>
        <w:t>The burden</w:t>
      </w:r>
      <w:r w:rsidR="007546B0">
        <w:rPr>
          <w:rFonts w:ascii="Times New Roman" w:hAnsi="Times New Roman"/>
        </w:rPr>
        <w:t xml:space="preserve"> estimate is as follows:</w:t>
      </w:r>
    </w:p>
    <w:p w:rsidRPr="00863823" w:rsidR="00817DB4" w:rsidP="00863823" w:rsidRDefault="00817DB4" w14:paraId="0B9DFDBC" w14:textId="77777777">
      <w:pPr>
        <w:pStyle w:val="Level1"/>
        <w:numPr>
          <w:ilvl w:val="0"/>
          <w:numId w:val="0"/>
        </w:numPr>
        <w:tabs>
          <w:tab w:val="left" w:pos="-1440"/>
        </w:tabs>
        <w:ind w:left="720"/>
        <w:rPr>
          <w:rFonts w:ascii="Times New Roman" w:hAnsi="Times New Roman"/>
          <w:bCs/>
        </w:rPr>
      </w:pPr>
    </w:p>
    <w:p w:rsidRPr="00EB392C" w:rsidR="00863823" w:rsidP="00EB392C" w:rsidRDefault="00863823" w14:paraId="482EA698" w14:textId="77777777">
      <w:pPr>
        <w:pStyle w:val="Level1"/>
        <w:numPr>
          <w:ilvl w:val="0"/>
          <w:numId w:val="0"/>
        </w:numPr>
        <w:tabs>
          <w:tab w:val="left" w:pos="-1440"/>
        </w:tabs>
        <w:ind w:left="720"/>
        <w:rPr>
          <w:rFonts w:ascii="Times New Roman" w:hAnsi="Times New Roman"/>
        </w:rPr>
      </w:pPr>
    </w:p>
    <w:tbl>
      <w:tblPr>
        <w:tblW w:w="10185" w:type="dxa"/>
        <w:tblInd w:w="93" w:type="dxa"/>
        <w:tblLayout w:type="fixed"/>
        <w:tblLook w:val="04A0" w:firstRow="1" w:lastRow="0" w:firstColumn="1" w:lastColumn="0" w:noHBand="0" w:noVBand="1"/>
      </w:tblPr>
      <w:tblGrid>
        <w:gridCol w:w="1635"/>
        <w:gridCol w:w="1952"/>
        <w:gridCol w:w="1350"/>
        <w:gridCol w:w="1350"/>
        <w:gridCol w:w="1170"/>
        <w:gridCol w:w="1170"/>
        <w:gridCol w:w="1558"/>
      </w:tblGrid>
      <w:tr w:rsidRPr="00F23831" w:rsidR="006E6E53" w:rsidTr="007823EE" w14:paraId="13EB4324" w14:textId="77777777">
        <w:trPr>
          <w:trHeight w:val="675"/>
        </w:trPr>
        <w:tc>
          <w:tcPr>
            <w:tcW w:w="1635"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F23831" w:rsidR="006E6E53" w:rsidP="00AF1AEA" w:rsidRDefault="00F23831" w14:paraId="0D37BDE9" w14:textId="2E86DD3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lastRenderedPageBreak/>
              <w:t>Authority</w:t>
            </w:r>
          </w:p>
        </w:tc>
        <w:tc>
          <w:tcPr>
            <w:tcW w:w="1952" w:type="dxa"/>
            <w:tcBorders>
              <w:top w:val="single" w:color="auto" w:sz="8" w:space="0"/>
              <w:left w:val="nil"/>
              <w:bottom w:val="single" w:color="auto" w:sz="8" w:space="0"/>
              <w:right w:val="single" w:color="auto" w:sz="8" w:space="0"/>
            </w:tcBorders>
            <w:shd w:val="clear" w:color="auto" w:fill="auto"/>
            <w:noWrap/>
            <w:vAlign w:val="bottom"/>
            <w:hideMark/>
          </w:tcPr>
          <w:p w:rsidRPr="00F23831" w:rsidR="006E6E53" w:rsidP="00AF1AEA" w:rsidRDefault="005235D0" w14:paraId="2E7D531C"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Description</w:t>
            </w:r>
          </w:p>
        </w:tc>
        <w:tc>
          <w:tcPr>
            <w:tcW w:w="1350" w:type="dxa"/>
            <w:tcBorders>
              <w:top w:val="single" w:color="auto" w:sz="8" w:space="0"/>
              <w:left w:val="nil"/>
              <w:bottom w:val="single" w:color="auto" w:sz="8" w:space="0"/>
              <w:right w:val="single" w:color="auto" w:sz="8" w:space="0"/>
            </w:tcBorders>
            <w:shd w:val="clear" w:color="auto" w:fill="auto"/>
            <w:vAlign w:val="bottom"/>
            <w:hideMark/>
          </w:tcPr>
          <w:p w:rsidRPr="00F23831" w:rsidR="006E6E53" w:rsidP="00AF1AEA" w:rsidRDefault="006E6E53" w14:paraId="18EA2D3E" w14:textId="1D9AB7D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w:t>
            </w:r>
            <w:r w:rsidR="007823EE">
              <w:rPr>
                <w:rFonts w:ascii="Times New Roman" w:hAnsi="Times New Roman"/>
                <w:color w:val="000000"/>
                <w:sz w:val="22"/>
                <w:szCs w:val="22"/>
              </w:rPr>
              <w:t xml:space="preserve"> of </w:t>
            </w:r>
            <w:r w:rsidRPr="00F23831">
              <w:rPr>
                <w:rFonts w:ascii="Times New Roman" w:hAnsi="Times New Roman"/>
                <w:color w:val="000000"/>
                <w:sz w:val="22"/>
                <w:szCs w:val="22"/>
              </w:rPr>
              <w:t>Respondents</w:t>
            </w:r>
          </w:p>
        </w:tc>
        <w:tc>
          <w:tcPr>
            <w:tcW w:w="1350" w:type="dxa"/>
            <w:tcBorders>
              <w:top w:val="single" w:color="auto" w:sz="8" w:space="0"/>
              <w:left w:val="nil"/>
              <w:bottom w:val="single" w:color="auto" w:sz="8" w:space="0"/>
              <w:right w:val="single" w:color="auto" w:sz="8" w:space="0"/>
            </w:tcBorders>
            <w:shd w:val="clear" w:color="auto" w:fill="auto"/>
            <w:vAlign w:val="bottom"/>
            <w:hideMark/>
          </w:tcPr>
          <w:p w:rsidRPr="00F23831" w:rsidR="006E6E53" w:rsidP="00AF1AEA" w:rsidRDefault="006E6E53" w14:paraId="6AD675B8"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 Responses Per Respondent</w:t>
            </w:r>
          </w:p>
        </w:tc>
        <w:tc>
          <w:tcPr>
            <w:tcW w:w="1170" w:type="dxa"/>
            <w:tcBorders>
              <w:top w:val="single" w:color="auto" w:sz="8" w:space="0"/>
              <w:left w:val="nil"/>
              <w:bottom w:val="single" w:color="auto" w:sz="8" w:space="0"/>
              <w:right w:val="single" w:color="auto" w:sz="8" w:space="0"/>
            </w:tcBorders>
            <w:shd w:val="clear" w:color="auto" w:fill="auto"/>
            <w:vAlign w:val="bottom"/>
            <w:hideMark/>
          </w:tcPr>
          <w:p w:rsidRPr="00F23831" w:rsidR="006E6E53" w:rsidP="00AF1AEA" w:rsidRDefault="006E6E53" w14:paraId="406EF7A6" w14:textId="053B8618">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Annual Responses</w:t>
            </w:r>
          </w:p>
        </w:tc>
        <w:tc>
          <w:tcPr>
            <w:tcW w:w="1170" w:type="dxa"/>
            <w:tcBorders>
              <w:top w:val="single" w:color="auto" w:sz="8" w:space="0"/>
              <w:left w:val="nil"/>
              <w:bottom w:val="single" w:color="auto" w:sz="8" w:space="0"/>
              <w:right w:val="single" w:color="auto" w:sz="8" w:space="0"/>
            </w:tcBorders>
            <w:shd w:val="clear" w:color="auto" w:fill="auto"/>
            <w:vAlign w:val="bottom"/>
            <w:hideMark/>
          </w:tcPr>
          <w:p w:rsidRPr="00F23831" w:rsidR="006E6E53" w:rsidP="00AF1AEA" w:rsidRDefault="006E6E53" w14:paraId="7C1F730B"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Hours Per Response</w:t>
            </w:r>
          </w:p>
        </w:tc>
        <w:tc>
          <w:tcPr>
            <w:tcW w:w="1558" w:type="dxa"/>
            <w:tcBorders>
              <w:top w:val="single" w:color="auto" w:sz="8" w:space="0"/>
              <w:left w:val="nil"/>
              <w:bottom w:val="single" w:color="auto" w:sz="8" w:space="0"/>
              <w:right w:val="single" w:color="auto" w:sz="8" w:space="0"/>
            </w:tcBorders>
            <w:shd w:val="clear" w:color="auto" w:fill="auto"/>
            <w:vAlign w:val="bottom"/>
            <w:hideMark/>
          </w:tcPr>
          <w:p w:rsidRPr="00F23831" w:rsidR="006E6E53" w:rsidP="00AF1AEA" w:rsidRDefault="006E6E53" w14:paraId="5D8D61BC"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Total Burden</w:t>
            </w:r>
          </w:p>
        </w:tc>
      </w:tr>
      <w:tr w:rsidRPr="00F23831" w:rsidR="006E6E53" w:rsidTr="007823EE" w14:paraId="77DCE9AB" w14:textId="77777777">
        <w:trPr>
          <w:trHeight w:val="525"/>
        </w:trPr>
        <w:tc>
          <w:tcPr>
            <w:tcW w:w="1635" w:type="dxa"/>
            <w:tcBorders>
              <w:top w:val="nil"/>
              <w:left w:val="single" w:color="auto" w:sz="8" w:space="0"/>
              <w:bottom w:val="nil"/>
              <w:right w:val="single" w:color="auto" w:sz="8" w:space="0"/>
            </w:tcBorders>
            <w:shd w:val="clear" w:color="auto" w:fill="auto"/>
            <w:vAlign w:val="bottom"/>
            <w:hideMark/>
          </w:tcPr>
          <w:p w:rsidRPr="00F23831" w:rsidR="006E6E53" w:rsidP="00FB13EB" w:rsidRDefault="00BD6E4E" w14:paraId="437B6763" w14:textId="1A7EFF90">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IRC 6114 and IRC </w:t>
            </w:r>
            <w:r w:rsidR="007823EE">
              <w:rPr>
                <w:rFonts w:ascii="Times New Roman" w:hAnsi="Times New Roman"/>
                <w:color w:val="000000"/>
                <w:sz w:val="22"/>
                <w:szCs w:val="22"/>
              </w:rPr>
              <w:t>7701(b)</w:t>
            </w:r>
          </w:p>
        </w:tc>
        <w:tc>
          <w:tcPr>
            <w:tcW w:w="1952" w:type="dxa"/>
            <w:tcBorders>
              <w:top w:val="nil"/>
              <w:left w:val="nil"/>
              <w:bottom w:val="nil"/>
              <w:right w:val="single" w:color="auto" w:sz="8" w:space="0"/>
            </w:tcBorders>
            <w:shd w:val="clear" w:color="auto" w:fill="auto"/>
            <w:vAlign w:val="bottom"/>
            <w:hideMark/>
          </w:tcPr>
          <w:p w:rsidRPr="00F23831" w:rsidR="006E6E53" w:rsidP="007823EE" w:rsidRDefault="007823EE" w14:paraId="703A1A5A" w14:textId="5F612AB3">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Form 8833</w:t>
            </w:r>
          </w:p>
        </w:tc>
        <w:tc>
          <w:tcPr>
            <w:tcW w:w="1350" w:type="dxa"/>
            <w:tcBorders>
              <w:top w:val="nil"/>
              <w:left w:val="nil"/>
              <w:bottom w:val="nil"/>
              <w:right w:val="single" w:color="auto" w:sz="8" w:space="0"/>
            </w:tcBorders>
            <w:shd w:val="clear" w:color="auto" w:fill="auto"/>
            <w:noWrap/>
            <w:vAlign w:val="bottom"/>
            <w:hideMark/>
          </w:tcPr>
          <w:p w:rsidRPr="00F23831" w:rsidR="006E6E53" w:rsidP="00AF1AEA" w:rsidRDefault="004E668F" w14:paraId="0011E34A"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4,000</w:t>
            </w:r>
          </w:p>
        </w:tc>
        <w:tc>
          <w:tcPr>
            <w:tcW w:w="1350" w:type="dxa"/>
            <w:tcBorders>
              <w:top w:val="nil"/>
              <w:left w:val="nil"/>
              <w:bottom w:val="nil"/>
              <w:right w:val="single" w:color="auto" w:sz="8" w:space="0"/>
            </w:tcBorders>
            <w:shd w:val="clear" w:color="auto" w:fill="auto"/>
            <w:noWrap/>
            <w:vAlign w:val="bottom"/>
            <w:hideMark/>
          </w:tcPr>
          <w:p w:rsidRPr="00F23831" w:rsidR="006E6E53" w:rsidP="00AF1AEA" w:rsidRDefault="006E6E53" w14:paraId="49493346"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w:t>
            </w:r>
          </w:p>
        </w:tc>
        <w:tc>
          <w:tcPr>
            <w:tcW w:w="1170" w:type="dxa"/>
            <w:tcBorders>
              <w:top w:val="nil"/>
              <w:left w:val="nil"/>
              <w:bottom w:val="nil"/>
              <w:right w:val="single" w:color="auto" w:sz="8" w:space="0"/>
            </w:tcBorders>
            <w:shd w:val="clear" w:color="auto" w:fill="auto"/>
            <w:noWrap/>
            <w:vAlign w:val="bottom"/>
            <w:hideMark/>
          </w:tcPr>
          <w:p w:rsidRPr="00F23831" w:rsidR="006E6E53" w:rsidP="00AF1AEA" w:rsidRDefault="006E71BC" w14:paraId="1840D069"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4,000</w:t>
            </w:r>
          </w:p>
        </w:tc>
        <w:tc>
          <w:tcPr>
            <w:tcW w:w="1170" w:type="dxa"/>
            <w:tcBorders>
              <w:top w:val="nil"/>
              <w:left w:val="nil"/>
              <w:bottom w:val="nil"/>
              <w:right w:val="single" w:color="auto" w:sz="8" w:space="0"/>
            </w:tcBorders>
            <w:shd w:val="clear" w:color="auto" w:fill="auto"/>
            <w:noWrap/>
            <w:vAlign w:val="bottom"/>
            <w:hideMark/>
          </w:tcPr>
          <w:p w:rsidRPr="00F23831" w:rsidR="006E71BC" w:rsidP="00AF1AEA" w:rsidRDefault="006E71BC" w14:paraId="0988144E"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6 hrs.,</w:t>
            </w:r>
          </w:p>
          <w:p w:rsidRPr="00F23831" w:rsidR="006E6E53" w:rsidP="00AF1AEA" w:rsidRDefault="006E71BC" w14:paraId="447FA4BD"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 xml:space="preserve"> 23 min.</w:t>
            </w:r>
          </w:p>
        </w:tc>
        <w:tc>
          <w:tcPr>
            <w:tcW w:w="1558" w:type="dxa"/>
            <w:tcBorders>
              <w:top w:val="nil"/>
              <w:left w:val="nil"/>
              <w:bottom w:val="nil"/>
              <w:right w:val="single" w:color="auto" w:sz="8" w:space="0"/>
            </w:tcBorders>
            <w:shd w:val="clear" w:color="auto" w:fill="auto"/>
            <w:noWrap/>
            <w:vAlign w:val="bottom"/>
            <w:hideMark/>
          </w:tcPr>
          <w:p w:rsidRPr="00F23831" w:rsidR="006E6E53" w:rsidP="00AF1AEA" w:rsidRDefault="004E668F" w14:paraId="6FDFCD89"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25,640</w:t>
            </w:r>
          </w:p>
        </w:tc>
      </w:tr>
      <w:tr w:rsidRPr="00F23831" w:rsidR="006E6E53" w:rsidTr="007823EE" w14:paraId="710B5C6B"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bottom"/>
            <w:hideMark/>
          </w:tcPr>
          <w:p w:rsidRPr="00F23831" w:rsidR="006E6E53" w:rsidP="00FB13EB" w:rsidRDefault="00BD6E4E" w14:paraId="70FD2A59" w14:textId="7C8C14D1">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Article </w:t>
            </w:r>
            <w:r w:rsidR="007823EE">
              <w:rPr>
                <w:rFonts w:ascii="Times New Roman" w:hAnsi="Times New Roman"/>
                <w:color w:val="000000"/>
                <w:sz w:val="22"/>
                <w:szCs w:val="22"/>
              </w:rPr>
              <w:t>XIII (</w:t>
            </w:r>
            <w:r>
              <w:rPr>
                <w:rFonts w:ascii="Times New Roman" w:hAnsi="Times New Roman"/>
                <w:color w:val="000000"/>
                <w:sz w:val="22"/>
                <w:szCs w:val="22"/>
              </w:rPr>
              <w:t>7)</w:t>
            </w:r>
          </w:p>
        </w:tc>
        <w:tc>
          <w:tcPr>
            <w:tcW w:w="1952" w:type="dxa"/>
            <w:tcBorders>
              <w:top w:val="single" w:color="auto" w:sz="8" w:space="0"/>
              <w:left w:val="single" w:color="auto" w:sz="8" w:space="0"/>
              <w:bottom w:val="single" w:color="000000" w:sz="8" w:space="0"/>
              <w:right w:val="single" w:color="auto" w:sz="8" w:space="0"/>
            </w:tcBorders>
            <w:shd w:val="clear" w:color="auto" w:fill="auto"/>
            <w:vAlign w:val="bottom"/>
          </w:tcPr>
          <w:p w:rsidRPr="00F23831" w:rsidR="006E6E53" w:rsidP="007823EE" w:rsidRDefault="00BD6E4E" w14:paraId="3B4E8175" w14:textId="73E1A787">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Rev. Proc. 2010-19</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F23831" w:rsidR="006E6E53" w:rsidP="00AF1AEA" w:rsidRDefault="006E71BC" w14:paraId="4DC93959"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100</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F23831" w:rsidR="006E6E53" w:rsidP="00AF1AEA" w:rsidRDefault="006E6E53" w14:paraId="3BA9EEFD"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F23831" w:rsidR="006E6E53" w:rsidP="00AF1AEA" w:rsidRDefault="006E71BC" w14:paraId="014229B8"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100</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F23831" w:rsidR="006E6E53" w:rsidP="00AF1AEA" w:rsidRDefault="006E71BC" w14:paraId="62472819"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 hr.</w:t>
            </w:r>
          </w:p>
        </w:tc>
        <w:tc>
          <w:tcPr>
            <w:tcW w:w="1558" w:type="dxa"/>
            <w:tcBorders>
              <w:top w:val="single" w:color="auto" w:sz="8" w:space="0"/>
              <w:left w:val="nil"/>
              <w:bottom w:val="single" w:color="auto" w:sz="8" w:space="0"/>
              <w:right w:val="single" w:color="auto" w:sz="8" w:space="0"/>
            </w:tcBorders>
            <w:shd w:val="clear" w:color="auto" w:fill="auto"/>
            <w:noWrap/>
            <w:vAlign w:val="bottom"/>
            <w:hideMark/>
          </w:tcPr>
          <w:p w:rsidRPr="00F23831" w:rsidR="006E6E53" w:rsidP="00AF1AEA" w:rsidRDefault="006E71BC" w14:paraId="5EDA2006" w14:textId="77777777">
            <w:pPr>
              <w:keepNext/>
              <w:keepLines/>
              <w:autoSpaceDE/>
              <w:autoSpaceDN/>
              <w:adjustRightInd/>
              <w:jc w:val="center"/>
              <w:rPr>
                <w:rFonts w:ascii="Times New Roman" w:hAnsi="Times New Roman"/>
                <w:color w:val="000000"/>
                <w:sz w:val="22"/>
                <w:szCs w:val="22"/>
              </w:rPr>
            </w:pPr>
            <w:r w:rsidRPr="00F23831">
              <w:rPr>
                <w:rFonts w:ascii="Times New Roman" w:hAnsi="Times New Roman"/>
                <w:color w:val="000000"/>
                <w:sz w:val="22"/>
                <w:szCs w:val="22"/>
              </w:rPr>
              <w:t>100</w:t>
            </w:r>
          </w:p>
        </w:tc>
      </w:tr>
      <w:tr w:rsidRPr="00F23831" w:rsidR="00BD6E4E" w:rsidTr="007823EE" w14:paraId="33553968"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bottom"/>
          </w:tcPr>
          <w:p w:rsidRPr="00F23831" w:rsidR="00BD6E4E" w:rsidP="00FB13EB" w:rsidRDefault="00BD6E4E" w14:paraId="6A2951F9" w14:textId="11476548">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Totals</w:t>
            </w:r>
          </w:p>
        </w:tc>
        <w:tc>
          <w:tcPr>
            <w:tcW w:w="1952" w:type="dxa"/>
            <w:tcBorders>
              <w:top w:val="single" w:color="auto" w:sz="8" w:space="0"/>
              <w:left w:val="single" w:color="auto" w:sz="8" w:space="0"/>
              <w:bottom w:val="single" w:color="000000" w:sz="8" w:space="0"/>
              <w:right w:val="single" w:color="auto" w:sz="8" w:space="0"/>
            </w:tcBorders>
            <w:shd w:val="clear" w:color="auto" w:fill="auto"/>
            <w:vAlign w:val="bottom"/>
          </w:tcPr>
          <w:p w:rsidR="00BD6E4E" w:rsidP="00AF1AEA" w:rsidRDefault="00BD6E4E" w14:paraId="4E3AA66E" w14:textId="77777777">
            <w:pPr>
              <w:keepNext/>
              <w:keepLines/>
              <w:autoSpaceDE/>
              <w:autoSpaceDN/>
              <w:adjustRightInd/>
              <w:rPr>
                <w:rFonts w:ascii="Times New Roman" w:hAnsi="Times New Roman"/>
                <w:color w:val="000000"/>
                <w:sz w:val="22"/>
                <w:szCs w:val="22"/>
              </w:rPr>
            </w:pPr>
          </w:p>
        </w:tc>
        <w:tc>
          <w:tcPr>
            <w:tcW w:w="1350" w:type="dxa"/>
            <w:tcBorders>
              <w:top w:val="single" w:color="auto" w:sz="8" w:space="0"/>
              <w:left w:val="nil"/>
              <w:bottom w:val="single" w:color="auto" w:sz="8" w:space="0"/>
              <w:right w:val="single" w:color="auto" w:sz="8" w:space="0"/>
            </w:tcBorders>
            <w:shd w:val="clear" w:color="auto" w:fill="auto"/>
            <w:noWrap/>
            <w:vAlign w:val="bottom"/>
          </w:tcPr>
          <w:p w:rsidRPr="00F23831" w:rsidR="00BD6E4E" w:rsidP="00AF1AEA" w:rsidRDefault="007823EE" w14:paraId="3B0FB628" w14:textId="73188105">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4,100</w:t>
            </w:r>
          </w:p>
        </w:tc>
        <w:tc>
          <w:tcPr>
            <w:tcW w:w="1350" w:type="dxa"/>
            <w:tcBorders>
              <w:top w:val="single" w:color="auto" w:sz="8" w:space="0"/>
              <w:left w:val="nil"/>
              <w:bottom w:val="single" w:color="auto" w:sz="8" w:space="0"/>
              <w:right w:val="single" w:color="auto" w:sz="8" w:space="0"/>
            </w:tcBorders>
            <w:shd w:val="clear" w:color="auto" w:fill="auto"/>
            <w:noWrap/>
            <w:vAlign w:val="bottom"/>
          </w:tcPr>
          <w:p w:rsidRPr="00F23831" w:rsidR="00BD6E4E" w:rsidP="00AF1AEA" w:rsidRDefault="00BD6E4E" w14:paraId="64CC0175" w14:textId="77777777">
            <w:pPr>
              <w:keepNext/>
              <w:keepLines/>
              <w:autoSpaceDE/>
              <w:autoSpaceDN/>
              <w:adjustRightInd/>
              <w:jc w:val="center"/>
              <w:rPr>
                <w:rFonts w:ascii="Times New Roman" w:hAnsi="Times New Roman"/>
                <w:color w:val="000000"/>
                <w:sz w:val="22"/>
                <w:szCs w:val="22"/>
              </w:rPr>
            </w:pPr>
          </w:p>
        </w:tc>
        <w:tc>
          <w:tcPr>
            <w:tcW w:w="1170" w:type="dxa"/>
            <w:tcBorders>
              <w:top w:val="single" w:color="auto" w:sz="8" w:space="0"/>
              <w:left w:val="nil"/>
              <w:bottom w:val="single" w:color="auto" w:sz="8" w:space="0"/>
              <w:right w:val="single" w:color="auto" w:sz="8" w:space="0"/>
            </w:tcBorders>
            <w:shd w:val="clear" w:color="auto" w:fill="auto"/>
            <w:noWrap/>
            <w:vAlign w:val="bottom"/>
          </w:tcPr>
          <w:p w:rsidRPr="00F23831" w:rsidR="00BD6E4E" w:rsidP="00AF1AEA" w:rsidRDefault="007823EE" w14:paraId="0160D90C" w14:textId="2FECFF1C">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4,100</w:t>
            </w:r>
          </w:p>
        </w:tc>
        <w:tc>
          <w:tcPr>
            <w:tcW w:w="1170" w:type="dxa"/>
            <w:tcBorders>
              <w:top w:val="single" w:color="auto" w:sz="8" w:space="0"/>
              <w:left w:val="nil"/>
              <w:bottom w:val="single" w:color="auto" w:sz="8" w:space="0"/>
              <w:right w:val="single" w:color="auto" w:sz="8" w:space="0"/>
            </w:tcBorders>
            <w:shd w:val="clear" w:color="auto" w:fill="auto"/>
            <w:noWrap/>
            <w:vAlign w:val="bottom"/>
          </w:tcPr>
          <w:p w:rsidRPr="00F23831" w:rsidR="00BD6E4E" w:rsidP="00AF1AEA" w:rsidRDefault="00BD6E4E" w14:paraId="7B735847" w14:textId="77777777">
            <w:pPr>
              <w:keepNext/>
              <w:keepLines/>
              <w:autoSpaceDE/>
              <w:autoSpaceDN/>
              <w:adjustRightInd/>
              <w:jc w:val="center"/>
              <w:rPr>
                <w:rFonts w:ascii="Times New Roman" w:hAnsi="Times New Roman"/>
                <w:color w:val="000000"/>
                <w:sz w:val="22"/>
                <w:szCs w:val="22"/>
              </w:rPr>
            </w:pPr>
          </w:p>
        </w:tc>
        <w:tc>
          <w:tcPr>
            <w:tcW w:w="1558" w:type="dxa"/>
            <w:tcBorders>
              <w:top w:val="single" w:color="auto" w:sz="8" w:space="0"/>
              <w:left w:val="nil"/>
              <w:bottom w:val="single" w:color="auto" w:sz="8" w:space="0"/>
              <w:right w:val="single" w:color="auto" w:sz="8" w:space="0"/>
            </w:tcBorders>
            <w:shd w:val="clear" w:color="auto" w:fill="auto"/>
            <w:noWrap/>
            <w:vAlign w:val="bottom"/>
          </w:tcPr>
          <w:p w:rsidRPr="00F23831" w:rsidR="00BD6E4E" w:rsidP="00AF1AEA" w:rsidRDefault="007823EE" w14:paraId="130EA178" w14:textId="7F247A76">
            <w:pPr>
              <w:keepNext/>
              <w:keepLines/>
              <w:autoSpaceDE/>
              <w:autoSpaceDN/>
              <w:adjustRightInd/>
              <w:jc w:val="center"/>
              <w:rPr>
                <w:rFonts w:ascii="Times New Roman" w:hAnsi="Times New Roman"/>
                <w:color w:val="000000"/>
                <w:sz w:val="22"/>
                <w:szCs w:val="22"/>
              </w:rPr>
            </w:pPr>
            <w:r>
              <w:rPr>
                <w:rFonts w:ascii="Times New Roman" w:hAnsi="Times New Roman"/>
                <w:color w:val="000000"/>
                <w:sz w:val="22"/>
                <w:szCs w:val="22"/>
              </w:rPr>
              <w:t>25,740</w:t>
            </w:r>
          </w:p>
        </w:tc>
      </w:tr>
    </w:tbl>
    <w:p w:rsidR="00BA769C" w:rsidRDefault="00D46069" w14:paraId="37BABD02" w14:textId="77777777">
      <w:pPr>
        <w:rPr>
          <w:rFonts w:ascii="Times New Roman" w:hAnsi="Times New Roman"/>
        </w:rPr>
      </w:pPr>
      <w:r w:rsidRPr="00DE6027">
        <w:rPr>
          <w:rFonts w:ascii="Times New Roman" w:hAnsi="Times New Roman"/>
        </w:rPr>
        <w:t xml:space="preserve">                                                             </w:t>
      </w:r>
    </w:p>
    <w:p w:rsidRPr="00DE6027" w:rsidR="007E2EEB" w:rsidRDefault="00D46069" w14:paraId="3F8F3238" w14:textId="672154E0">
      <w:pPr>
        <w:rPr>
          <w:rFonts w:ascii="Times New Roman" w:hAnsi="Times New Roman"/>
        </w:rPr>
      </w:pPr>
      <w:r w:rsidRPr="00DE6027">
        <w:rPr>
          <w:rFonts w:ascii="Times New Roman" w:hAnsi="Times New Roman"/>
        </w:rPr>
        <w:t xml:space="preserve">            </w:t>
      </w:r>
      <w:r w:rsidRPr="00DE6027" w:rsidR="007E2EEB">
        <w:rPr>
          <w:rFonts w:ascii="Times New Roman" w:hAnsi="Times New Roman"/>
        </w:rPr>
        <w:t xml:space="preserve">     </w:t>
      </w:r>
    </w:p>
    <w:p w:rsidRPr="00DE6027" w:rsidR="007E2EEB" w:rsidP="00AF1AEA" w:rsidRDefault="007E2EEB" w14:paraId="7386670F" w14:textId="77777777">
      <w:pPr>
        <w:pStyle w:val="Level1"/>
        <w:numPr>
          <w:ilvl w:val="0"/>
          <w:numId w:val="4"/>
        </w:numPr>
        <w:tabs>
          <w:tab w:val="left" w:pos="-1440"/>
        </w:tabs>
        <w:rPr>
          <w:rFonts w:ascii="Times New Roman" w:hAnsi="Times New Roman"/>
          <w:b/>
        </w:rPr>
      </w:pPr>
      <w:r w:rsidRPr="00DE6027">
        <w:rPr>
          <w:rFonts w:ascii="Times New Roman" w:hAnsi="Times New Roman"/>
          <w:b/>
          <w:u w:val="single"/>
        </w:rPr>
        <w:t>ESTIMATED TOTAL ANNUAL COST BURDEN TO RESPONDENTS</w:t>
      </w:r>
    </w:p>
    <w:p w:rsidRPr="00DE6027" w:rsidR="007E2EEB" w:rsidRDefault="007E2EEB" w14:paraId="062C9227" w14:textId="77777777">
      <w:pPr>
        <w:rPr>
          <w:rFonts w:ascii="Times New Roman" w:hAnsi="Times New Roman"/>
          <w:b/>
        </w:rPr>
      </w:pPr>
    </w:p>
    <w:p w:rsidRPr="00DE6027" w:rsidR="00F26675" w:rsidP="00F26675" w:rsidRDefault="00F26675" w14:paraId="76EFA4A0" w14:textId="77777777">
      <w:pPr>
        <w:ind w:left="720"/>
        <w:rPr>
          <w:rFonts w:ascii="Times New Roman" w:hAnsi="Times New Roman"/>
        </w:rPr>
      </w:pPr>
      <w:r w:rsidRPr="00DE6027">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E6027" w:rsidR="00D46069" w:rsidP="00F26675" w:rsidRDefault="00D46069" w14:paraId="628B92BF" w14:textId="77777777">
      <w:pPr>
        <w:ind w:left="720"/>
        <w:rPr>
          <w:rFonts w:ascii="Times New Roman" w:hAnsi="Times New Roman"/>
        </w:rPr>
      </w:pPr>
    </w:p>
    <w:p w:rsidRPr="00DE6027" w:rsidR="007E2EEB" w:rsidRDefault="007E2EEB" w14:paraId="1F8996B6" w14:textId="77777777">
      <w:pPr>
        <w:tabs>
          <w:tab w:val="left" w:pos="-1440"/>
        </w:tabs>
        <w:ind w:left="720" w:hanging="720"/>
        <w:rPr>
          <w:rFonts w:ascii="Times New Roman" w:hAnsi="Times New Roman"/>
        </w:rPr>
      </w:pPr>
      <w:r w:rsidRPr="00DE6027">
        <w:rPr>
          <w:rFonts w:ascii="Times New Roman" w:hAnsi="Times New Roman"/>
          <w:b/>
        </w:rPr>
        <w:t>14.</w:t>
      </w:r>
      <w:r w:rsidRPr="00DE6027">
        <w:rPr>
          <w:rFonts w:ascii="Times New Roman" w:hAnsi="Times New Roman"/>
        </w:rPr>
        <w:tab/>
      </w:r>
      <w:r w:rsidRPr="00DE6027">
        <w:rPr>
          <w:rFonts w:ascii="Times New Roman" w:hAnsi="Times New Roman"/>
          <w:b/>
          <w:u w:val="single"/>
        </w:rPr>
        <w:t>ESTIMATED ANNUALIZED COST TO THE FEDERAL GOVERNMENT</w:t>
      </w:r>
    </w:p>
    <w:p w:rsidRPr="00DE6027" w:rsidR="007E2EEB" w:rsidRDefault="007E2EEB" w14:paraId="7C67781D" w14:textId="77777777">
      <w:pPr>
        <w:rPr>
          <w:rFonts w:ascii="Times New Roman" w:hAnsi="Times New Roman"/>
        </w:rPr>
      </w:pPr>
    </w:p>
    <w:p w:rsidRPr="00DE6027" w:rsidR="00F26675" w:rsidP="00F26675" w:rsidRDefault="00F26675" w14:paraId="2877F2FD" w14:textId="4380A248">
      <w:pPr>
        <w:ind w:left="720"/>
        <w:rPr>
          <w:rFonts w:ascii="Times New Roman" w:hAnsi="Times New Roman"/>
        </w:rPr>
      </w:pPr>
      <w:r w:rsidRPr="00DE6027">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DE6027" w:rsidR="0012358F">
        <w:rPr>
          <w:rFonts w:ascii="Times New Roman" w:hAnsi="Times New Roman"/>
        </w:rPr>
        <w:t xml:space="preserve"> At the present time, the IRS estimates an annual cost of $</w:t>
      </w:r>
      <w:r w:rsidRPr="00DE6027" w:rsidR="00AD65C6">
        <w:rPr>
          <w:rFonts w:ascii="Times New Roman" w:hAnsi="Times New Roman"/>
        </w:rPr>
        <w:t>11,847</w:t>
      </w:r>
      <w:r w:rsidRPr="00DE6027" w:rsidR="0012358F">
        <w:rPr>
          <w:rFonts w:ascii="Times New Roman" w:hAnsi="Times New Roman"/>
        </w:rPr>
        <w:t>.</w:t>
      </w:r>
    </w:p>
    <w:p w:rsidRPr="00DE6027" w:rsidR="00AD65C6" w:rsidP="00F26675" w:rsidRDefault="00AD65C6" w14:paraId="5DC64A61" w14:textId="1B204FB8">
      <w:pPr>
        <w:ind w:left="720"/>
        <w:rPr>
          <w:rFonts w:ascii="Times New Roman" w:hAnsi="Times New Roman"/>
        </w:rPr>
      </w:pPr>
    </w:p>
    <w:tbl>
      <w:tblPr>
        <w:tblW w:w="908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2312"/>
      </w:tblGrid>
      <w:tr w:rsidRPr="00F23831" w:rsidR="00AD65C6" w:rsidTr="00713698" w14:paraId="6F5694B4"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Pr="00F23831" w:rsidR="00AD65C6" w:rsidRDefault="00AD65C6" w14:paraId="750F9E8B" w14:textId="77777777">
            <w:pPr>
              <w:keepNext/>
              <w:keepLines/>
              <w:jc w:val="center"/>
              <w:rPr>
                <w:rFonts w:ascii="Times New Roman" w:hAnsi="Times New Roman"/>
                <w:b/>
                <w:sz w:val="22"/>
                <w:szCs w:val="22"/>
                <w:u w:val="single"/>
              </w:rPr>
            </w:pPr>
            <w:r w:rsidRPr="00F23831">
              <w:rPr>
                <w:rFonts w:ascii="Times New Roman" w:hAnsi="Times New Roman"/>
                <w:b/>
                <w:sz w:val="22"/>
                <w:szCs w:val="22"/>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F23831" w:rsidR="00AD65C6" w:rsidRDefault="00AD65C6" w14:paraId="73422770" w14:textId="77777777">
            <w:pPr>
              <w:keepNext/>
              <w:keepLines/>
              <w:jc w:val="center"/>
              <w:rPr>
                <w:rFonts w:ascii="Times New Roman" w:hAnsi="Times New Roman"/>
                <w:b/>
                <w:sz w:val="22"/>
                <w:szCs w:val="22"/>
                <w:u w:val="single"/>
              </w:rPr>
            </w:pPr>
            <w:r w:rsidRPr="00F23831">
              <w:rPr>
                <w:rFonts w:ascii="Times New Roman" w:hAnsi="Times New Roman"/>
                <w:b/>
                <w:sz w:val="22"/>
                <w:szCs w:val="22"/>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Pr="00F23831" w:rsidR="00AD65C6" w:rsidRDefault="00AD65C6" w14:paraId="4BEFF816" w14:textId="77777777">
            <w:pPr>
              <w:keepNext/>
              <w:keepLines/>
              <w:jc w:val="center"/>
              <w:rPr>
                <w:rFonts w:ascii="Times New Roman" w:hAnsi="Times New Roman"/>
                <w:b/>
                <w:sz w:val="22"/>
                <w:szCs w:val="22"/>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Pr="00F23831" w:rsidR="00AD65C6" w:rsidRDefault="00AD65C6" w14:paraId="500D3C55" w14:textId="77777777">
            <w:pPr>
              <w:keepNext/>
              <w:keepLines/>
              <w:jc w:val="center"/>
              <w:rPr>
                <w:rFonts w:ascii="Times New Roman" w:hAnsi="Times New Roman"/>
                <w:b/>
                <w:sz w:val="22"/>
                <w:szCs w:val="22"/>
                <w:u w:val="single"/>
              </w:rPr>
            </w:pPr>
            <w:r w:rsidRPr="00F23831">
              <w:rPr>
                <w:rFonts w:ascii="Times New Roman" w:hAnsi="Times New Roman"/>
                <w:b/>
                <w:sz w:val="22"/>
                <w:szCs w:val="22"/>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Pr="00F23831" w:rsidR="00AD65C6" w:rsidRDefault="00AD65C6" w14:paraId="26D068A4" w14:textId="77777777">
            <w:pPr>
              <w:keepNext/>
              <w:keepLines/>
              <w:jc w:val="center"/>
              <w:rPr>
                <w:rFonts w:ascii="Times New Roman" w:hAnsi="Times New Roman"/>
                <w:b/>
                <w:sz w:val="22"/>
                <w:szCs w:val="22"/>
                <w:u w:val="single"/>
              </w:rPr>
            </w:pPr>
          </w:p>
        </w:tc>
        <w:tc>
          <w:tcPr>
            <w:tcW w:w="2312" w:type="dxa"/>
            <w:tcBorders>
              <w:top w:val="single" w:color="auto" w:sz="4" w:space="0"/>
              <w:left w:val="single" w:color="auto" w:sz="4" w:space="0"/>
              <w:bottom w:val="single" w:color="auto" w:sz="4" w:space="0"/>
              <w:right w:val="single" w:color="auto" w:sz="4" w:space="0"/>
            </w:tcBorders>
            <w:vAlign w:val="bottom"/>
            <w:hideMark/>
          </w:tcPr>
          <w:p w:rsidRPr="00F23831" w:rsidR="00AD65C6" w:rsidRDefault="00AD65C6" w14:paraId="244B144D" w14:textId="77777777">
            <w:pPr>
              <w:keepNext/>
              <w:keepLines/>
              <w:jc w:val="center"/>
              <w:rPr>
                <w:rFonts w:ascii="Times New Roman" w:hAnsi="Times New Roman"/>
                <w:b/>
                <w:sz w:val="22"/>
                <w:szCs w:val="22"/>
                <w:u w:val="single"/>
              </w:rPr>
            </w:pPr>
            <w:r w:rsidRPr="00F23831">
              <w:rPr>
                <w:rFonts w:ascii="Times New Roman" w:hAnsi="Times New Roman"/>
                <w:b/>
                <w:sz w:val="22"/>
                <w:szCs w:val="22"/>
                <w:u w:val="single"/>
              </w:rPr>
              <w:t>Government Cost Estimate per Product</w:t>
            </w:r>
          </w:p>
        </w:tc>
      </w:tr>
      <w:tr w:rsidRPr="00F23831" w:rsidR="00AD65C6" w:rsidTr="00713698" w14:paraId="63E48EDF"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Pr="00F23831" w:rsidR="00AD65C6" w:rsidRDefault="00AD65C6" w14:paraId="6793A936" w14:textId="4E0CF3B9">
            <w:pPr>
              <w:keepNext/>
              <w:keepLines/>
              <w:numPr>
                <w:ilvl w:val="12"/>
                <w:numId w:val="0"/>
              </w:numPr>
              <w:rPr>
                <w:rFonts w:ascii="Times New Roman" w:hAnsi="Times New Roman"/>
                <w:sz w:val="22"/>
                <w:szCs w:val="22"/>
              </w:rPr>
            </w:pPr>
            <w:r w:rsidRPr="00F23831">
              <w:rPr>
                <w:rFonts w:ascii="Times New Roman" w:hAnsi="Times New Roman"/>
                <w:sz w:val="22"/>
                <w:szCs w:val="22"/>
              </w:rPr>
              <w:t>Form 8833</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F23831" w:rsidR="00AD65C6" w:rsidRDefault="00AD65C6" w14:paraId="26CF6525" w14:textId="7D1CED2B">
            <w:pPr>
              <w:keepNext/>
              <w:keepLines/>
              <w:jc w:val="center"/>
              <w:rPr>
                <w:rFonts w:ascii="Times New Roman" w:hAnsi="Times New Roman"/>
                <w:sz w:val="22"/>
                <w:szCs w:val="22"/>
              </w:rPr>
            </w:pPr>
            <w:r w:rsidRPr="00F23831">
              <w:rPr>
                <w:rFonts w:ascii="Times New Roman" w:hAnsi="Times New Roman"/>
                <w:sz w:val="22"/>
                <w:szCs w:val="22"/>
              </w:rPr>
              <w:t>$ 11,847</w:t>
            </w:r>
          </w:p>
        </w:tc>
        <w:tc>
          <w:tcPr>
            <w:tcW w:w="303" w:type="dxa"/>
            <w:tcBorders>
              <w:top w:val="single" w:color="auto" w:sz="4" w:space="0"/>
              <w:left w:val="single" w:color="auto" w:sz="4" w:space="0"/>
              <w:bottom w:val="single" w:color="auto" w:sz="4" w:space="0"/>
              <w:right w:val="single" w:color="auto" w:sz="4" w:space="0"/>
            </w:tcBorders>
          </w:tcPr>
          <w:p w:rsidRPr="00F23831" w:rsidR="00AD65C6" w:rsidRDefault="00AD65C6" w14:paraId="7D67FED3" w14:textId="77777777">
            <w:pPr>
              <w:keepNext/>
              <w:keepLines/>
              <w:jc w:val="center"/>
              <w:rPr>
                <w:rFonts w:ascii="Times New Roman" w:hAnsi="Times New Roman"/>
                <w:sz w:val="22"/>
                <w:szCs w:val="22"/>
              </w:rPr>
            </w:pPr>
          </w:p>
        </w:tc>
        <w:tc>
          <w:tcPr>
            <w:tcW w:w="1745" w:type="dxa"/>
            <w:tcBorders>
              <w:top w:val="single" w:color="auto" w:sz="4" w:space="0"/>
              <w:left w:val="single" w:color="auto" w:sz="4" w:space="0"/>
              <w:bottom w:val="single" w:color="auto" w:sz="4" w:space="0"/>
              <w:right w:val="single" w:color="auto" w:sz="4" w:space="0"/>
            </w:tcBorders>
            <w:hideMark/>
          </w:tcPr>
          <w:p w:rsidRPr="00F23831" w:rsidR="00AD65C6" w:rsidRDefault="00AD65C6" w14:paraId="19A7E24F" w14:textId="27FA5157">
            <w:pPr>
              <w:keepNext/>
              <w:keepLines/>
              <w:jc w:val="center"/>
              <w:rPr>
                <w:rFonts w:ascii="Times New Roman" w:hAnsi="Times New Roman"/>
                <w:sz w:val="22"/>
                <w:szCs w:val="22"/>
              </w:rPr>
            </w:pPr>
            <w:r w:rsidRPr="00F23831">
              <w:rPr>
                <w:rFonts w:ascii="Times New Roman" w:hAnsi="Times New Roman"/>
                <w:sz w:val="22"/>
                <w:szCs w:val="22"/>
              </w:rPr>
              <w:t>0</w:t>
            </w:r>
          </w:p>
        </w:tc>
        <w:tc>
          <w:tcPr>
            <w:tcW w:w="387" w:type="dxa"/>
            <w:tcBorders>
              <w:top w:val="single" w:color="auto" w:sz="4" w:space="0"/>
              <w:left w:val="single" w:color="auto" w:sz="4" w:space="0"/>
              <w:bottom w:val="single" w:color="auto" w:sz="4" w:space="0"/>
              <w:right w:val="single" w:color="auto" w:sz="4" w:space="0"/>
            </w:tcBorders>
          </w:tcPr>
          <w:p w:rsidRPr="00F23831" w:rsidR="00AD65C6" w:rsidRDefault="00AD65C6" w14:paraId="58A1BBB4" w14:textId="77777777">
            <w:pPr>
              <w:keepNext/>
              <w:keepLines/>
              <w:jc w:val="center"/>
              <w:rPr>
                <w:rFonts w:ascii="Times New Roman" w:hAnsi="Times New Roman"/>
                <w:sz w:val="22"/>
                <w:szCs w:val="22"/>
              </w:rPr>
            </w:pPr>
          </w:p>
        </w:tc>
        <w:tc>
          <w:tcPr>
            <w:tcW w:w="2312" w:type="dxa"/>
            <w:tcBorders>
              <w:top w:val="single" w:color="auto" w:sz="4" w:space="0"/>
              <w:left w:val="single" w:color="auto" w:sz="4" w:space="0"/>
              <w:bottom w:val="single" w:color="auto" w:sz="4" w:space="0"/>
              <w:right w:val="single" w:color="auto" w:sz="4" w:space="0"/>
            </w:tcBorders>
            <w:vAlign w:val="bottom"/>
            <w:hideMark/>
          </w:tcPr>
          <w:p w:rsidRPr="00F23831" w:rsidR="00AD65C6" w:rsidRDefault="00AD65C6" w14:paraId="4FAABB69" w14:textId="6D76D239">
            <w:pPr>
              <w:keepNext/>
              <w:keepLines/>
              <w:jc w:val="center"/>
              <w:rPr>
                <w:rFonts w:ascii="Times New Roman" w:hAnsi="Times New Roman"/>
                <w:sz w:val="22"/>
                <w:szCs w:val="22"/>
              </w:rPr>
            </w:pPr>
            <w:r w:rsidRPr="00F23831">
              <w:rPr>
                <w:rFonts w:ascii="Times New Roman" w:hAnsi="Times New Roman"/>
                <w:sz w:val="22"/>
                <w:szCs w:val="22"/>
              </w:rPr>
              <w:t>$11,847</w:t>
            </w:r>
          </w:p>
        </w:tc>
      </w:tr>
      <w:tr w:rsidRPr="00F23831" w:rsidR="00AD65C6" w:rsidTr="00713698" w14:paraId="7ADC1FD2" w14:textId="77777777">
        <w:tc>
          <w:tcPr>
            <w:tcW w:w="2358" w:type="dxa"/>
            <w:tcBorders>
              <w:top w:val="single" w:color="auto" w:sz="4" w:space="0"/>
              <w:left w:val="single" w:color="auto" w:sz="4" w:space="0"/>
              <w:bottom w:val="single" w:color="auto" w:sz="4" w:space="0"/>
              <w:right w:val="single" w:color="auto" w:sz="4" w:space="0"/>
            </w:tcBorders>
            <w:hideMark/>
          </w:tcPr>
          <w:p w:rsidRPr="00F23831" w:rsidR="00AD65C6" w:rsidRDefault="00AD65C6" w14:paraId="63C5D47F" w14:textId="77777777">
            <w:pPr>
              <w:keepNext/>
              <w:keepLines/>
              <w:rPr>
                <w:rFonts w:ascii="Times New Roman" w:hAnsi="Times New Roman"/>
                <w:b/>
                <w:sz w:val="22"/>
                <w:szCs w:val="22"/>
              </w:rPr>
            </w:pPr>
            <w:r w:rsidRPr="00F23831">
              <w:rPr>
                <w:rFonts w:ascii="Times New Roman" w:hAnsi="Times New Roman"/>
                <w:b/>
                <w:sz w:val="22"/>
                <w:szCs w:val="22"/>
              </w:rPr>
              <w:t>Grand Total</w:t>
            </w:r>
          </w:p>
        </w:tc>
        <w:tc>
          <w:tcPr>
            <w:tcW w:w="1980" w:type="dxa"/>
            <w:tcBorders>
              <w:top w:val="single" w:color="auto" w:sz="4" w:space="0"/>
              <w:left w:val="single" w:color="auto" w:sz="4" w:space="0"/>
              <w:bottom w:val="single" w:color="auto" w:sz="4" w:space="0"/>
              <w:right w:val="single" w:color="auto" w:sz="4" w:space="0"/>
            </w:tcBorders>
            <w:hideMark/>
          </w:tcPr>
          <w:p w:rsidRPr="00F23831" w:rsidR="00AD65C6" w:rsidRDefault="00AD65C6" w14:paraId="377609B8" w14:textId="0D337CB7">
            <w:pPr>
              <w:keepNext/>
              <w:keepLines/>
              <w:jc w:val="center"/>
              <w:rPr>
                <w:rFonts w:ascii="Times New Roman" w:hAnsi="Times New Roman"/>
                <w:b/>
                <w:sz w:val="22"/>
                <w:szCs w:val="22"/>
              </w:rPr>
            </w:pPr>
            <w:r w:rsidRPr="00F23831">
              <w:rPr>
                <w:rFonts w:ascii="Times New Roman" w:hAnsi="Times New Roman"/>
                <w:b/>
                <w:sz w:val="22"/>
                <w:szCs w:val="22"/>
              </w:rPr>
              <w:t>$11,847</w:t>
            </w:r>
          </w:p>
        </w:tc>
        <w:tc>
          <w:tcPr>
            <w:tcW w:w="303" w:type="dxa"/>
            <w:tcBorders>
              <w:top w:val="single" w:color="auto" w:sz="4" w:space="0"/>
              <w:left w:val="single" w:color="auto" w:sz="4" w:space="0"/>
              <w:bottom w:val="single" w:color="auto" w:sz="4" w:space="0"/>
              <w:right w:val="single" w:color="auto" w:sz="4" w:space="0"/>
            </w:tcBorders>
          </w:tcPr>
          <w:p w:rsidRPr="00F23831" w:rsidR="00AD65C6" w:rsidRDefault="00AD65C6" w14:paraId="465F9BCE" w14:textId="77777777">
            <w:pPr>
              <w:keepNext/>
              <w:keepLines/>
              <w:jc w:val="center"/>
              <w:rPr>
                <w:rFonts w:ascii="Times New Roman" w:hAnsi="Times New Roman"/>
                <w:b/>
                <w:sz w:val="22"/>
                <w:szCs w:val="22"/>
              </w:rPr>
            </w:pPr>
          </w:p>
        </w:tc>
        <w:tc>
          <w:tcPr>
            <w:tcW w:w="1745" w:type="dxa"/>
            <w:tcBorders>
              <w:top w:val="single" w:color="auto" w:sz="4" w:space="0"/>
              <w:left w:val="single" w:color="auto" w:sz="4" w:space="0"/>
              <w:bottom w:val="single" w:color="auto" w:sz="4" w:space="0"/>
              <w:right w:val="single" w:color="auto" w:sz="4" w:space="0"/>
            </w:tcBorders>
          </w:tcPr>
          <w:p w:rsidRPr="00F23831" w:rsidR="00AD65C6" w:rsidRDefault="00AD65C6" w14:paraId="5CE8FE02" w14:textId="77777777">
            <w:pPr>
              <w:keepNext/>
              <w:keepLines/>
              <w:jc w:val="center"/>
              <w:rPr>
                <w:rFonts w:ascii="Times New Roman" w:hAnsi="Times New Roman"/>
                <w:b/>
                <w:sz w:val="22"/>
                <w:szCs w:val="22"/>
              </w:rPr>
            </w:pPr>
          </w:p>
        </w:tc>
        <w:tc>
          <w:tcPr>
            <w:tcW w:w="387" w:type="dxa"/>
            <w:tcBorders>
              <w:top w:val="single" w:color="auto" w:sz="4" w:space="0"/>
              <w:left w:val="single" w:color="auto" w:sz="4" w:space="0"/>
              <w:bottom w:val="single" w:color="auto" w:sz="4" w:space="0"/>
              <w:right w:val="single" w:color="auto" w:sz="4" w:space="0"/>
            </w:tcBorders>
          </w:tcPr>
          <w:p w:rsidRPr="00F23831" w:rsidR="00AD65C6" w:rsidRDefault="00AD65C6" w14:paraId="71657A33" w14:textId="77777777">
            <w:pPr>
              <w:keepNext/>
              <w:keepLines/>
              <w:jc w:val="center"/>
              <w:rPr>
                <w:rFonts w:ascii="Times New Roman" w:hAnsi="Times New Roman"/>
                <w:b/>
                <w:sz w:val="22"/>
                <w:szCs w:val="22"/>
              </w:rPr>
            </w:pPr>
          </w:p>
        </w:tc>
        <w:tc>
          <w:tcPr>
            <w:tcW w:w="2312" w:type="dxa"/>
            <w:tcBorders>
              <w:top w:val="single" w:color="auto" w:sz="4" w:space="0"/>
              <w:left w:val="single" w:color="auto" w:sz="4" w:space="0"/>
              <w:bottom w:val="single" w:color="auto" w:sz="4" w:space="0"/>
              <w:right w:val="single" w:color="auto" w:sz="4" w:space="0"/>
            </w:tcBorders>
            <w:hideMark/>
          </w:tcPr>
          <w:p w:rsidRPr="00F23831" w:rsidR="00AD65C6" w:rsidRDefault="00AD65C6" w14:paraId="5D0DF0CF" w14:textId="5B450DD4">
            <w:pPr>
              <w:keepNext/>
              <w:keepLines/>
              <w:jc w:val="center"/>
              <w:rPr>
                <w:rFonts w:ascii="Times New Roman" w:hAnsi="Times New Roman"/>
                <w:b/>
                <w:sz w:val="22"/>
                <w:szCs w:val="22"/>
              </w:rPr>
            </w:pPr>
            <w:r w:rsidRPr="00F23831">
              <w:rPr>
                <w:rFonts w:ascii="Times New Roman" w:hAnsi="Times New Roman"/>
                <w:b/>
                <w:sz w:val="22"/>
                <w:szCs w:val="22"/>
              </w:rPr>
              <w:t>$11,847</w:t>
            </w:r>
          </w:p>
        </w:tc>
      </w:tr>
      <w:tr w:rsidRPr="00F23831" w:rsidR="00AD65C6" w:rsidTr="00713698" w14:paraId="2BC96563" w14:textId="77777777">
        <w:tc>
          <w:tcPr>
            <w:tcW w:w="9085" w:type="dxa"/>
            <w:gridSpan w:val="6"/>
            <w:tcBorders>
              <w:top w:val="single" w:color="auto" w:sz="4" w:space="0"/>
              <w:left w:val="single" w:color="auto" w:sz="4" w:space="0"/>
              <w:bottom w:val="single" w:color="auto" w:sz="4" w:space="0"/>
              <w:right w:val="single" w:color="auto" w:sz="4" w:space="0"/>
            </w:tcBorders>
            <w:hideMark/>
          </w:tcPr>
          <w:p w:rsidRPr="00713698" w:rsidR="00AD65C6" w:rsidRDefault="00AD65C6" w14:paraId="69BDA755" w14:textId="27AF0640">
            <w:pPr>
              <w:keepNext/>
              <w:keepLines/>
              <w:rPr>
                <w:rFonts w:ascii="Times New Roman" w:hAnsi="Times New Roman"/>
                <w:sz w:val="20"/>
                <w:szCs w:val="20"/>
              </w:rPr>
            </w:pPr>
            <w:r w:rsidRPr="00713698">
              <w:rPr>
                <w:rFonts w:ascii="Times New Roman" w:hAnsi="Times New Roman"/>
                <w:sz w:val="20"/>
                <w:szCs w:val="20"/>
              </w:rPr>
              <w:t>Table costs are based on 20</w:t>
            </w:r>
            <w:r w:rsidRPr="00713698" w:rsidR="00F23831">
              <w:rPr>
                <w:rFonts w:ascii="Times New Roman" w:hAnsi="Times New Roman"/>
                <w:sz w:val="20"/>
                <w:szCs w:val="20"/>
              </w:rPr>
              <w:t>20</w:t>
            </w:r>
            <w:r w:rsidRPr="00713698">
              <w:rPr>
                <w:rFonts w:ascii="Times New Roman" w:hAnsi="Times New Roman"/>
                <w:sz w:val="20"/>
                <w:szCs w:val="20"/>
              </w:rPr>
              <w:t xml:space="preserve"> actuals obtained from IRS Chief Financial Office and Media and Publications</w:t>
            </w:r>
            <w:r w:rsidR="00713698">
              <w:rPr>
                <w:rFonts w:ascii="Times New Roman" w:hAnsi="Times New Roman"/>
                <w:sz w:val="20"/>
                <w:szCs w:val="20"/>
              </w:rPr>
              <w:t>.</w:t>
            </w:r>
          </w:p>
        </w:tc>
      </w:tr>
    </w:tbl>
    <w:p w:rsidR="007E2EEB" w:rsidRDefault="007E2EEB" w14:paraId="1CB19088" w14:textId="2981505F">
      <w:pPr>
        <w:rPr>
          <w:rFonts w:ascii="Times New Roman" w:hAnsi="Times New Roman"/>
        </w:rPr>
      </w:pPr>
    </w:p>
    <w:p w:rsidRPr="00DE6027" w:rsidR="00713698" w:rsidRDefault="00713698" w14:paraId="37D7D9EA" w14:textId="77777777">
      <w:pPr>
        <w:rPr>
          <w:rFonts w:ascii="Times New Roman" w:hAnsi="Times New Roman"/>
        </w:rPr>
      </w:pPr>
    </w:p>
    <w:p w:rsidRPr="00DE6027" w:rsidR="007E2EEB" w:rsidRDefault="007E2EEB" w14:paraId="630262DB" w14:textId="77777777">
      <w:pPr>
        <w:pStyle w:val="Level1"/>
        <w:tabs>
          <w:tab w:val="left" w:pos="-1440"/>
          <w:tab w:val="num" w:pos="720"/>
        </w:tabs>
        <w:rPr>
          <w:rFonts w:ascii="Times New Roman" w:hAnsi="Times New Roman"/>
          <w:b/>
        </w:rPr>
      </w:pPr>
      <w:r w:rsidRPr="00DE6027">
        <w:rPr>
          <w:rFonts w:ascii="Times New Roman" w:hAnsi="Times New Roman"/>
          <w:b/>
          <w:u w:val="single"/>
        </w:rPr>
        <w:t>REASONS FOR CHANGE IN BURDEN</w:t>
      </w:r>
    </w:p>
    <w:p w:rsidRPr="00DE6027" w:rsidR="007E2EEB" w:rsidRDefault="007E2EEB" w14:paraId="6D976743" w14:textId="77777777">
      <w:pPr>
        <w:rPr>
          <w:rFonts w:ascii="Times New Roman" w:hAnsi="Times New Roman"/>
        </w:rPr>
      </w:pPr>
    </w:p>
    <w:p w:rsidRPr="00DE6027" w:rsidR="007E2EEB" w:rsidRDefault="007E2EEB" w14:paraId="64617145" w14:textId="77777777">
      <w:pPr>
        <w:ind w:left="720"/>
        <w:rPr>
          <w:rFonts w:ascii="Times New Roman" w:hAnsi="Times New Roman"/>
        </w:rPr>
      </w:pPr>
      <w:r w:rsidRPr="00DE6027">
        <w:rPr>
          <w:rFonts w:ascii="Times New Roman" w:hAnsi="Times New Roman"/>
        </w:rPr>
        <w:t xml:space="preserve">There is no change in the paperwork burden previously approved by OMB.                </w:t>
      </w:r>
    </w:p>
    <w:p w:rsidRPr="00DE6027" w:rsidR="007E2EEB" w:rsidRDefault="007E2EEB" w14:paraId="09434EB1" w14:textId="77777777">
      <w:pPr>
        <w:rPr>
          <w:rFonts w:ascii="Times New Roman" w:hAnsi="Times New Roman"/>
        </w:rPr>
      </w:pPr>
      <w:r w:rsidRPr="00DE6027">
        <w:rPr>
          <w:rFonts w:ascii="Times New Roman" w:hAnsi="Times New Roman"/>
        </w:rPr>
        <w:t xml:space="preserve">     </w:t>
      </w:r>
    </w:p>
    <w:p w:rsidRPr="00DE6027" w:rsidR="007E2EEB" w:rsidRDefault="007E2EEB" w14:paraId="762EA1FB" w14:textId="77777777">
      <w:pPr>
        <w:pStyle w:val="Level1"/>
        <w:tabs>
          <w:tab w:val="left" w:pos="-1440"/>
          <w:tab w:val="num" w:pos="720"/>
        </w:tabs>
        <w:rPr>
          <w:rFonts w:ascii="Times New Roman" w:hAnsi="Times New Roman"/>
          <w:b/>
        </w:rPr>
      </w:pPr>
      <w:r w:rsidRPr="00DE6027">
        <w:rPr>
          <w:rFonts w:ascii="Times New Roman" w:hAnsi="Times New Roman"/>
          <w:b/>
          <w:u w:val="single"/>
        </w:rPr>
        <w:t>PLANS FOR TABULATION, STATISTICAL ANALYSIS AND PUBLICATION</w:t>
      </w:r>
    </w:p>
    <w:p w:rsidRPr="00DE6027" w:rsidR="007E2EEB" w:rsidRDefault="007E2EEB" w14:paraId="76091789" w14:textId="77777777">
      <w:pPr>
        <w:rPr>
          <w:rFonts w:ascii="Times New Roman" w:hAnsi="Times New Roman"/>
        </w:rPr>
      </w:pPr>
    </w:p>
    <w:p w:rsidRPr="00DE6027" w:rsidR="00D46069" w:rsidP="00D46069" w:rsidRDefault="00D46069" w14:paraId="55D8DEA0" w14:textId="77777777">
      <w:pPr>
        <w:ind w:left="720"/>
        <w:rPr>
          <w:rFonts w:ascii="Times New Roman" w:hAnsi="Times New Roman"/>
        </w:rPr>
      </w:pPr>
      <w:r w:rsidRPr="00DE6027">
        <w:rPr>
          <w:rFonts w:ascii="Times New Roman" w:hAnsi="Times New Roman"/>
        </w:rPr>
        <w:t>There are no plans for tabulation, statistical analysis, and publication.</w:t>
      </w:r>
    </w:p>
    <w:p w:rsidR="00D46069" w:rsidP="00D46069" w:rsidRDefault="00D46069" w14:paraId="7BE183B4" w14:textId="04C20240">
      <w:pPr>
        <w:rPr>
          <w:rFonts w:ascii="Times New Roman" w:hAnsi="Times New Roman"/>
        </w:rPr>
      </w:pPr>
    </w:p>
    <w:p w:rsidR="007546B0" w:rsidP="00D46069" w:rsidRDefault="007546B0" w14:paraId="21DD01CE" w14:textId="369B0A49">
      <w:pPr>
        <w:rPr>
          <w:rFonts w:ascii="Times New Roman" w:hAnsi="Times New Roman"/>
        </w:rPr>
      </w:pPr>
    </w:p>
    <w:p w:rsidR="007546B0" w:rsidP="00D46069" w:rsidRDefault="007546B0" w14:paraId="74E6732D" w14:textId="47DD6B53">
      <w:pPr>
        <w:rPr>
          <w:rFonts w:ascii="Times New Roman" w:hAnsi="Times New Roman"/>
        </w:rPr>
      </w:pPr>
    </w:p>
    <w:p w:rsidR="007546B0" w:rsidP="00D46069" w:rsidRDefault="007546B0" w14:paraId="146B313D" w14:textId="6F4C9BB8">
      <w:pPr>
        <w:rPr>
          <w:rFonts w:ascii="Times New Roman" w:hAnsi="Times New Roman"/>
        </w:rPr>
      </w:pPr>
    </w:p>
    <w:p w:rsidRPr="00DE6027" w:rsidR="007546B0" w:rsidP="00D46069" w:rsidRDefault="007546B0" w14:paraId="68FEC246" w14:textId="77777777">
      <w:pPr>
        <w:rPr>
          <w:rFonts w:ascii="Times New Roman" w:hAnsi="Times New Roman"/>
        </w:rPr>
      </w:pPr>
    </w:p>
    <w:p w:rsidRPr="00DE6027" w:rsidR="007E2EEB" w:rsidRDefault="007E2EEB" w14:paraId="15867998" w14:textId="77777777">
      <w:pPr>
        <w:pStyle w:val="Level1"/>
        <w:tabs>
          <w:tab w:val="left" w:pos="-1440"/>
          <w:tab w:val="num" w:pos="720"/>
        </w:tabs>
        <w:rPr>
          <w:rFonts w:ascii="Times New Roman" w:hAnsi="Times New Roman"/>
          <w:b/>
        </w:rPr>
      </w:pPr>
      <w:r w:rsidRPr="00DE6027">
        <w:rPr>
          <w:rFonts w:ascii="Times New Roman" w:hAnsi="Times New Roman"/>
          <w:b/>
          <w:u w:val="single"/>
        </w:rPr>
        <w:lastRenderedPageBreak/>
        <w:t>REASONS WHY DISPLAYING THE OMB EXPIRATION DATE IS</w:t>
      </w:r>
      <w:r w:rsidRPr="00DE6027" w:rsidR="00715FFF">
        <w:rPr>
          <w:rFonts w:ascii="Times New Roman" w:hAnsi="Times New Roman"/>
          <w:b/>
          <w:u w:val="single"/>
        </w:rPr>
        <w:t xml:space="preserve"> </w:t>
      </w:r>
      <w:r w:rsidRPr="00DE6027">
        <w:rPr>
          <w:rFonts w:ascii="Times New Roman" w:hAnsi="Times New Roman"/>
          <w:b/>
          <w:u w:val="single"/>
        </w:rPr>
        <w:t>INAPPROPRIATE</w:t>
      </w:r>
    </w:p>
    <w:p w:rsidRPr="00DE6027" w:rsidR="007E2EEB" w:rsidRDefault="007E2EEB" w14:paraId="62F37098" w14:textId="77777777">
      <w:pPr>
        <w:rPr>
          <w:rFonts w:ascii="Times New Roman" w:hAnsi="Times New Roman"/>
        </w:rPr>
      </w:pPr>
    </w:p>
    <w:p w:rsidRPr="00DE6027" w:rsidR="007E2EEB" w:rsidRDefault="004B6E0C" w14:paraId="30334FC9" w14:textId="77777777">
      <w:pPr>
        <w:ind w:left="720"/>
        <w:rPr>
          <w:rFonts w:ascii="Times New Roman" w:hAnsi="Times New Roman"/>
        </w:rPr>
      </w:pPr>
      <w:r w:rsidRPr="00DE6027">
        <w:rPr>
          <w:rFonts w:ascii="Times New Roman" w:hAnsi="Times New Roman"/>
        </w:rPr>
        <w:t>The IRS</w:t>
      </w:r>
      <w:r w:rsidRPr="00DE6027" w:rsidR="007E2EEB">
        <w:rPr>
          <w:rFonts w:ascii="Times New Roman" w:hAnsi="Times New Roman"/>
        </w:rPr>
        <w:t xml:space="preserve"> believe</w:t>
      </w:r>
      <w:r w:rsidRPr="00DE6027">
        <w:rPr>
          <w:rFonts w:ascii="Times New Roman" w:hAnsi="Times New Roman"/>
        </w:rPr>
        <w:t>s</w:t>
      </w:r>
      <w:r w:rsidRPr="00DE6027" w:rsidR="007E2EEB">
        <w:rPr>
          <w:rFonts w:ascii="Times New Roman" w:hAnsi="Times New Roman"/>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DE6027" w:rsidR="00F23831" w:rsidRDefault="00F23831" w14:paraId="24521473" w14:textId="77777777">
      <w:pPr>
        <w:ind w:left="720"/>
        <w:rPr>
          <w:rFonts w:ascii="Times New Roman" w:hAnsi="Times New Roman"/>
        </w:rPr>
      </w:pPr>
    </w:p>
    <w:p w:rsidRPr="00DE6027" w:rsidR="007E2EEB" w:rsidRDefault="007E2EEB" w14:paraId="408837AC" w14:textId="77777777">
      <w:pPr>
        <w:pStyle w:val="Level1"/>
        <w:tabs>
          <w:tab w:val="left" w:pos="-1440"/>
          <w:tab w:val="num" w:pos="720"/>
        </w:tabs>
        <w:rPr>
          <w:rFonts w:ascii="Times New Roman" w:hAnsi="Times New Roman"/>
          <w:b/>
        </w:rPr>
      </w:pPr>
      <w:r w:rsidRPr="00DE6027">
        <w:rPr>
          <w:rFonts w:ascii="Times New Roman" w:hAnsi="Times New Roman"/>
          <w:b/>
          <w:u w:val="single"/>
        </w:rPr>
        <w:t>EXCEPTIONS TO THE CERTIFICATION STATEMENT</w:t>
      </w:r>
    </w:p>
    <w:p w:rsidRPr="00DE6027" w:rsidR="007E2EEB" w:rsidRDefault="007E2EEB" w14:paraId="44CC927B" w14:textId="77777777">
      <w:pPr>
        <w:rPr>
          <w:rFonts w:ascii="Times New Roman" w:hAnsi="Times New Roman"/>
          <w:b/>
        </w:rPr>
      </w:pPr>
    </w:p>
    <w:p w:rsidRPr="00DE6027" w:rsidR="007E2EEB" w:rsidRDefault="00801A34" w14:paraId="771C6015" w14:textId="77777777">
      <w:pPr>
        <w:ind w:left="720"/>
        <w:rPr>
          <w:rFonts w:ascii="Times New Roman" w:hAnsi="Times New Roman"/>
        </w:rPr>
      </w:pPr>
      <w:r w:rsidRPr="00DE6027">
        <w:rPr>
          <w:rFonts w:ascii="Times New Roman" w:hAnsi="Times New Roman"/>
        </w:rPr>
        <w:t>There are no exceptions to the certification statement.</w:t>
      </w:r>
    </w:p>
    <w:p w:rsidRPr="00DE6027" w:rsidR="005C66C6" w:rsidRDefault="005C66C6" w14:paraId="6BC1245E" w14:textId="77777777">
      <w:pPr>
        <w:rPr>
          <w:rFonts w:ascii="Times New Roman" w:hAnsi="Times New Roman"/>
        </w:rPr>
      </w:pPr>
    </w:p>
    <w:p w:rsidRPr="00DE6027" w:rsidR="007E2EEB" w:rsidP="00F23831" w:rsidRDefault="007E2EEB" w14:paraId="6B9D1CC9" w14:textId="77777777">
      <w:pPr>
        <w:ind w:left="720"/>
        <w:rPr>
          <w:rFonts w:ascii="Times New Roman" w:hAnsi="Times New Roman"/>
        </w:rPr>
      </w:pPr>
      <w:r w:rsidRPr="00DE6027">
        <w:rPr>
          <w:rFonts w:ascii="Times New Roman" w:hAnsi="Times New Roman"/>
          <w:b/>
          <w:u w:val="single"/>
        </w:rPr>
        <w:t>Note:</w:t>
      </w:r>
      <w:r w:rsidRPr="00DE6027">
        <w:rPr>
          <w:rFonts w:ascii="Times New Roman" w:hAnsi="Times New Roman"/>
        </w:rPr>
        <w:t xml:space="preserve">   The following paragraph applies to </w:t>
      </w:r>
      <w:proofErr w:type="gramStart"/>
      <w:r w:rsidRPr="00DE6027">
        <w:rPr>
          <w:rFonts w:ascii="Times New Roman" w:hAnsi="Times New Roman"/>
        </w:rPr>
        <w:t>all of</w:t>
      </w:r>
      <w:proofErr w:type="gramEnd"/>
      <w:r w:rsidRPr="00DE6027">
        <w:rPr>
          <w:rFonts w:ascii="Times New Roman" w:hAnsi="Times New Roman"/>
        </w:rPr>
        <w:t xml:space="preserve"> the collections of information in this submission:</w:t>
      </w:r>
    </w:p>
    <w:p w:rsidRPr="00DE6027" w:rsidR="007E2EEB" w:rsidRDefault="007E2EEB" w14:paraId="056647EE" w14:textId="77777777">
      <w:pPr>
        <w:rPr>
          <w:rFonts w:ascii="Times New Roman" w:hAnsi="Times New Roman"/>
        </w:rPr>
      </w:pPr>
    </w:p>
    <w:p w:rsidRPr="00DE6027" w:rsidR="007E2EEB" w:rsidRDefault="007E2EEB" w14:paraId="3FE22125" w14:textId="77777777">
      <w:pPr>
        <w:rPr>
          <w:rFonts w:ascii="Times New Roman" w:hAnsi="Times New Roman"/>
        </w:rPr>
        <w:sectPr w:rsidRPr="00DE6027" w:rsidR="007E2EEB" w:rsidSect="005C66C6">
          <w:headerReference w:type="default" r:id="rId9"/>
          <w:footerReference w:type="default" r:id="rId10"/>
          <w:type w:val="continuous"/>
          <w:pgSz w:w="12240" w:h="15840"/>
          <w:pgMar w:top="1440" w:right="1440" w:bottom="864" w:left="1440" w:header="1440" w:footer="1440" w:gutter="0"/>
          <w:cols w:space="720"/>
          <w:noEndnote/>
        </w:sectPr>
      </w:pPr>
    </w:p>
    <w:p w:rsidRPr="00DE6027" w:rsidR="007E2EEB" w:rsidP="00F23831" w:rsidRDefault="007E2EEB" w14:paraId="611E5E4F" w14:textId="77777777">
      <w:pPr>
        <w:ind w:left="720"/>
        <w:rPr>
          <w:rFonts w:ascii="Times New Roman" w:hAnsi="Times New Roman"/>
        </w:rPr>
      </w:pPr>
      <w:r w:rsidRPr="00DE6027">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E6027">
        <w:rPr>
          <w:rFonts w:ascii="Times New Roman" w:hAnsi="Times New Roman"/>
        </w:rPr>
        <w:t>as long as</w:t>
      </w:r>
      <w:proofErr w:type="gramEnd"/>
      <w:r w:rsidRPr="00DE6027">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DE6027"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4165E" w14:textId="77777777" w:rsidR="00F578D5" w:rsidRDefault="00F578D5">
      <w:r>
        <w:separator/>
      </w:r>
    </w:p>
  </w:endnote>
  <w:endnote w:type="continuationSeparator" w:id="0">
    <w:p w14:paraId="1CC74EE5" w14:textId="77777777" w:rsidR="00F578D5" w:rsidRDefault="00F5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934429"/>
      <w:docPartObj>
        <w:docPartGallery w:val="Page Numbers (Bottom of Page)"/>
        <w:docPartUnique/>
      </w:docPartObj>
    </w:sdtPr>
    <w:sdtEndPr>
      <w:rPr>
        <w:noProof/>
      </w:rPr>
    </w:sdtEndPr>
    <w:sdtContent>
      <w:p w14:paraId="236D8A14" w14:textId="6D540A5A" w:rsidR="00DE6027" w:rsidRDefault="00DE60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5AB893" w14:textId="77777777" w:rsidR="00ED51E5" w:rsidRDefault="00ED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74E8B" w14:textId="77777777" w:rsidR="00F578D5" w:rsidRDefault="00F578D5">
      <w:r>
        <w:separator/>
      </w:r>
    </w:p>
  </w:footnote>
  <w:footnote w:type="continuationSeparator" w:id="0">
    <w:p w14:paraId="1AC71B77" w14:textId="77777777" w:rsidR="00F578D5" w:rsidRDefault="00F5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A052C"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32799"/>
    <w:rsid w:val="00044F37"/>
    <w:rsid w:val="000A4339"/>
    <w:rsid w:val="000A7FC1"/>
    <w:rsid w:val="000C39E1"/>
    <w:rsid w:val="001135E3"/>
    <w:rsid w:val="0012358F"/>
    <w:rsid w:val="001337C1"/>
    <w:rsid w:val="0014677E"/>
    <w:rsid w:val="00161268"/>
    <w:rsid w:val="00166349"/>
    <w:rsid w:val="001A6F7B"/>
    <w:rsid w:val="001B24BC"/>
    <w:rsid w:val="001C3D05"/>
    <w:rsid w:val="00202762"/>
    <w:rsid w:val="0023566C"/>
    <w:rsid w:val="00246391"/>
    <w:rsid w:val="00251ED2"/>
    <w:rsid w:val="00282B0F"/>
    <w:rsid w:val="00293354"/>
    <w:rsid w:val="002A243C"/>
    <w:rsid w:val="002B499E"/>
    <w:rsid w:val="002E4E20"/>
    <w:rsid w:val="002E56B9"/>
    <w:rsid w:val="002F1933"/>
    <w:rsid w:val="00305112"/>
    <w:rsid w:val="00305478"/>
    <w:rsid w:val="003127E4"/>
    <w:rsid w:val="003A5A1A"/>
    <w:rsid w:val="0040164F"/>
    <w:rsid w:val="004267DD"/>
    <w:rsid w:val="00427C16"/>
    <w:rsid w:val="00432631"/>
    <w:rsid w:val="00473D0D"/>
    <w:rsid w:val="004B6E0C"/>
    <w:rsid w:val="004D3707"/>
    <w:rsid w:val="004E668F"/>
    <w:rsid w:val="005011E6"/>
    <w:rsid w:val="0051280C"/>
    <w:rsid w:val="00517DF7"/>
    <w:rsid w:val="005235D0"/>
    <w:rsid w:val="00560E59"/>
    <w:rsid w:val="005649AE"/>
    <w:rsid w:val="005B3EEF"/>
    <w:rsid w:val="005C66C6"/>
    <w:rsid w:val="005D3DAB"/>
    <w:rsid w:val="005D6094"/>
    <w:rsid w:val="005D7415"/>
    <w:rsid w:val="006000C7"/>
    <w:rsid w:val="00630912"/>
    <w:rsid w:val="006368E6"/>
    <w:rsid w:val="006726A1"/>
    <w:rsid w:val="006A21C2"/>
    <w:rsid w:val="006A33A4"/>
    <w:rsid w:val="006B34E6"/>
    <w:rsid w:val="006E6E53"/>
    <w:rsid w:val="006E71BC"/>
    <w:rsid w:val="006F555E"/>
    <w:rsid w:val="00710044"/>
    <w:rsid w:val="00713698"/>
    <w:rsid w:val="00715FFF"/>
    <w:rsid w:val="007369BD"/>
    <w:rsid w:val="007546B0"/>
    <w:rsid w:val="00763B45"/>
    <w:rsid w:val="007823EE"/>
    <w:rsid w:val="007E2EEB"/>
    <w:rsid w:val="007F12A5"/>
    <w:rsid w:val="00801A34"/>
    <w:rsid w:val="00802986"/>
    <w:rsid w:val="00817DB4"/>
    <w:rsid w:val="00833904"/>
    <w:rsid w:val="00853C81"/>
    <w:rsid w:val="00863823"/>
    <w:rsid w:val="008723DC"/>
    <w:rsid w:val="00876C56"/>
    <w:rsid w:val="00894004"/>
    <w:rsid w:val="008A1CD6"/>
    <w:rsid w:val="008D1E10"/>
    <w:rsid w:val="00902FB3"/>
    <w:rsid w:val="009244E2"/>
    <w:rsid w:val="00933CA2"/>
    <w:rsid w:val="009501AC"/>
    <w:rsid w:val="009545DF"/>
    <w:rsid w:val="00972A93"/>
    <w:rsid w:val="009846A4"/>
    <w:rsid w:val="00995E2E"/>
    <w:rsid w:val="009978F9"/>
    <w:rsid w:val="00A0207E"/>
    <w:rsid w:val="00A70A0A"/>
    <w:rsid w:val="00AD65C6"/>
    <w:rsid w:val="00AF1AEA"/>
    <w:rsid w:val="00B07E63"/>
    <w:rsid w:val="00B34FA0"/>
    <w:rsid w:val="00B50ECF"/>
    <w:rsid w:val="00B65514"/>
    <w:rsid w:val="00BA436D"/>
    <w:rsid w:val="00BA769C"/>
    <w:rsid w:val="00BC0691"/>
    <w:rsid w:val="00BD6E4E"/>
    <w:rsid w:val="00C40223"/>
    <w:rsid w:val="00C47A0C"/>
    <w:rsid w:val="00C53611"/>
    <w:rsid w:val="00C9001B"/>
    <w:rsid w:val="00CA1998"/>
    <w:rsid w:val="00CA721C"/>
    <w:rsid w:val="00CB4537"/>
    <w:rsid w:val="00D357EB"/>
    <w:rsid w:val="00D46069"/>
    <w:rsid w:val="00D81DFB"/>
    <w:rsid w:val="00DC0C44"/>
    <w:rsid w:val="00DE6027"/>
    <w:rsid w:val="00E4759D"/>
    <w:rsid w:val="00E67DB8"/>
    <w:rsid w:val="00E9076D"/>
    <w:rsid w:val="00EB392C"/>
    <w:rsid w:val="00EC045C"/>
    <w:rsid w:val="00EC668E"/>
    <w:rsid w:val="00ED51E5"/>
    <w:rsid w:val="00F00DD1"/>
    <w:rsid w:val="00F23831"/>
    <w:rsid w:val="00F23C20"/>
    <w:rsid w:val="00F26675"/>
    <w:rsid w:val="00F4647C"/>
    <w:rsid w:val="00F578D5"/>
    <w:rsid w:val="00F63BDE"/>
    <w:rsid w:val="00F820B4"/>
    <w:rsid w:val="00FA1F7C"/>
    <w:rsid w:val="00FB13EB"/>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84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62138137">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D36B8-76DA-4BA3-8C8D-40230C58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9620</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2021-04-03T03:41:00Z</dcterms:created>
  <dcterms:modified xsi:type="dcterms:W3CDTF">2021-04-03T04:39:00Z</dcterms:modified>
</cp:coreProperties>
</file>