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3ABE" w:rsidR="009C3D5C" w:rsidP="0061160A" w:rsidRDefault="009C3D5C" w14:paraId="25CCCAA6" w14:textId="77777777">
      <w:pPr>
        <w:tabs>
          <w:tab w:val="center" w:pos="4680"/>
        </w:tabs>
        <w:jc w:val="center"/>
        <w:rPr>
          <w:rFonts w:ascii="Times New Roman" w:hAnsi="Times New Roman"/>
          <w:b/>
          <w:bCs/>
          <w:szCs w:val="24"/>
        </w:rPr>
      </w:pPr>
      <w:bookmarkStart w:name="_GoBack" w:id="0"/>
      <w:bookmarkEnd w:id="0"/>
      <w:r w:rsidRPr="00BD3ABE">
        <w:rPr>
          <w:rFonts w:ascii="Times New Roman" w:hAnsi="Times New Roman"/>
          <w:b/>
          <w:bCs/>
          <w:szCs w:val="24"/>
        </w:rPr>
        <w:t>Office of the Comptroller of the Currency</w:t>
      </w:r>
    </w:p>
    <w:p w:rsidRPr="00BD3ABE" w:rsidR="0066096F" w:rsidP="0061160A" w:rsidRDefault="0066096F" w14:paraId="3C870CC9" w14:textId="77777777">
      <w:pPr>
        <w:tabs>
          <w:tab w:val="center" w:pos="4680"/>
        </w:tabs>
        <w:jc w:val="center"/>
        <w:rPr>
          <w:rFonts w:ascii="Times New Roman" w:hAnsi="Times New Roman"/>
          <w:b/>
          <w:bCs/>
          <w:szCs w:val="24"/>
        </w:rPr>
      </w:pPr>
      <w:r w:rsidRPr="00BD3ABE">
        <w:rPr>
          <w:rFonts w:ascii="Times New Roman" w:hAnsi="Times New Roman"/>
          <w:b/>
          <w:bCs/>
          <w:szCs w:val="24"/>
        </w:rPr>
        <w:t>Supporting Statement</w:t>
      </w:r>
    </w:p>
    <w:p w:rsidRPr="00BD3ABE" w:rsidR="0066096F" w:rsidP="0061160A" w:rsidRDefault="0066096F" w14:paraId="240243A1" w14:textId="77777777">
      <w:pPr>
        <w:tabs>
          <w:tab w:val="center" w:pos="4680"/>
        </w:tabs>
        <w:jc w:val="center"/>
        <w:rPr>
          <w:rFonts w:ascii="Times New Roman" w:hAnsi="Times New Roman"/>
          <w:b/>
          <w:bCs/>
          <w:szCs w:val="24"/>
        </w:rPr>
      </w:pPr>
      <w:r w:rsidRPr="00BD3ABE">
        <w:rPr>
          <w:rFonts w:ascii="Times New Roman" w:hAnsi="Times New Roman"/>
          <w:b/>
          <w:bCs/>
          <w:szCs w:val="24"/>
        </w:rPr>
        <w:t xml:space="preserve">Fair Housing Home Loan Data System Regulation </w:t>
      </w:r>
    </w:p>
    <w:p w:rsidRPr="00BD3ABE" w:rsidR="009C3D5C" w:rsidP="0061160A" w:rsidRDefault="00B40E70" w14:paraId="05E92B58" w14:textId="77777777">
      <w:pPr>
        <w:tabs>
          <w:tab w:val="center" w:pos="4680"/>
        </w:tabs>
        <w:jc w:val="center"/>
        <w:rPr>
          <w:rFonts w:ascii="Times New Roman" w:hAnsi="Times New Roman"/>
          <w:b/>
          <w:bCs/>
          <w:szCs w:val="24"/>
        </w:rPr>
      </w:pPr>
      <w:r w:rsidRPr="00BD3ABE">
        <w:rPr>
          <w:rFonts w:ascii="Times New Roman" w:hAnsi="Times New Roman"/>
          <w:b/>
          <w:bCs/>
          <w:szCs w:val="24"/>
        </w:rPr>
        <w:t>OMB Control No.</w:t>
      </w:r>
      <w:r w:rsidRPr="00BD3ABE" w:rsidR="009C3D5C">
        <w:rPr>
          <w:rFonts w:ascii="Times New Roman" w:hAnsi="Times New Roman"/>
          <w:b/>
          <w:bCs/>
          <w:szCs w:val="24"/>
        </w:rPr>
        <w:t xml:space="preserve"> 1557-0159</w:t>
      </w:r>
    </w:p>
    <w:p w:rsidRPr="00BD3ABE" w:rsidR="0066096F" w:rsidP="0061160A" w:rsidRDefault="0066096F" w14:paraId="5D3076C1" w14:textId="77777777">
      <w:pPr>
        <w:rPr>
          <w:rFonts w:ascii="Times New Roman" w:hAnsi="Times New Roman"/>
          <w:b/>
          <w:bCs/>
          <w:szCs w:val="24"/>
        </w:rPr>
      </w:pPr>
    </w:p>
    <w:p w:rsidRPr="00BD3ABE" w:rsidR="008A4A4B" w:rsidP="0061160A" w:rsidRDefault="008A4A4B" w14:paraId="2748B543" w14:textId="77777777">
      <w:pPr>
        <w:rPr>
          <w:rFonts w:ascii="Times New Roman" w:hAnsi="Times New Roman"/>
          <w:szCs w:val="24"/>
        </w:rPr>
      </w:pPr>
    </w:p>
    <w:p w:rsidRPr="00BD3ABE" w:rsidR="0066096F" w:rsidP="0061160A" w:rsidRDefault="0066096F" w14:paraId="2B5E9B71" w14:textId="77777777">
      <w:pPr>
        <w:tabs>
          <w:tab w:val="left" w:pos="-1440"/>
        </w:tabs>
        <w:ind w:left="720" w:hanging="720"/>
        <w:rPr>
          <w:rFonts w:ascii="Times New Roman" w:hAnsi="Times New Roman"/>
          <w:b/>
          <w:szCs w:val="24"/>
        </w:rPr>
      </w:pPr>
      <w:r w:rsidRPr="00BD3ABE">
        <w:rPr>
          <w:rFonts w:ascii="Times New Roman" w:hAnsi="Times New Roman"/>
          <w:b/>
          <w:szCs w:val="24"/>
        </w:rPr>
        <w:t>A.</w:t>
      </w:r>
      <w:r w:rsidRPr="00BD3ABE">
        <w:rPr>
          <w:rFonts w:ascii="Times New Roman" w:hAnsi="Times New Roman"/>
          <w:b/>
          <w:szCs w:val="24"/>
        </w:rPr>
        <w:tab/>
        <w:t>Justification</w:t>
      </w:r>
    </w:p>
    <w:p w:rsidRPr="00BD3ABE" w:rsidR="0066096F" w:rsidP="0061160A" w:rsidRDefault="0066096F" w14:paraId="677DF831" w14:textId="77777777">
      <w:pPr>
        <w:pStyle w:val="Footer"/>
        <w:tabs>
          <w:tab w:val="clear" w:pos="4320"/>
          <w:tab w:val="clear" w:pos="8640"/>
        </w:tabs>
        <w:rPr>
          <w:rFonts w:ascii="Times New Roman" w:hAnsi="Times New Roman"/>
          <w:szCs w:val="24"/>
        </w:rPr>
      </w:pPr>
    </w:p>
    <w:p w:rsidRPr="00BD3ABE" w:rsidR="0066096F" w:rsidP="0061160A" w:rsidRDefault="0066096F" w14:paraId="66A76E34" w14:textId="77777777">
      <w:pPr>
        <w:tabs>
          <w:tab w:val="left" w:pos="-1440"/>
        </w:tabs>
        <w:ind w:left="720" w:hanging="720"/>
        <w:rPr>
          <w:rFonts w:ascii="Times New Roman" w:hAnsi="Times New Roman"/>
          <w:b/>
          <w:i/>
          <w:szCs w:val="24"/>
        </w:rPr>
      </w:pPr>
      <w:r w:rsidRPr="00BD3ABE">
        <w:rPr>
          <w:rFonts w:ascii="Times New Roman" w:hAnsi="Times New Roman"/>
          <w:b/>
          <w:i/>
          <w:szCs w:val="24"/>
        </w:rPr>
        <w:t>1.</w:t>
      </w:r>
      <w:r w:rsidRPr="00BD3ABE">
        <w:rPr>
          <w:rFonts w:ascii="Times New Roman" w:hAnsi="Times New Roman"/>
          <w:b/>
          <w:i/>
          <w:szCs w:val="24"/>
        </w:rPr>
        <w:tab/>
        <w:t>Circumstances that make the collection necessary:</w:t>
      </w:r>
    </w:p>
    <w:p w:rsidRPr="00BD3ABE" w:rsidR="0066096F" w:rsidP="0061160A" w:rsidRDefault="0066096F" w14:paraId="403BAB24" w14:textId="77777777">
      <w:pPr>
        <w:rPr>
          <w:rFonts w:ascii="Times New Roman" w:hAnsi="Times New Roman"/>
          <w:szCs w:val="24"/>
        </w:rPr>
      </w:pPr>
    </w:p>
    <w:p w:rsidRPr="00BD3ABE" w:rsidR="00B666CA" w:rsidP="00B666CA" w:rsidRDefault="00B666CA" w14:paraId="716E5F7B" w14:textId="0A0FAB59">
      <w:pPr>
        <w:keepNext/>
        <w:ind w:firstLine="720"/>
        <w:rPr>
          <w:rFonts w:ascii="Times New Roman" w:hAnsi="Times New Roman"/>
          <w:color w:val="000000"/>
          <w:szCs w:val="24"/>
        </w:rPr>
      </w:pPr>
      <w:r w:rsidRPr="00BD3ABE">
        <w:rPr>
          <w:rFonts w:ascii="Times New Roman" w:hAnsi="Times New Roman"/>
          <w:szCs w:val="24"/>
        </w:rPr>
        <w:t>Part 27 requires certain national banks to record certain information, and all national banks to retain certain information.</w:t>
      </w:r>
      <w:r w:rsidRPr="00BD3ABE" w:rsidR="005E698A">
        <w:rPr>
          <w:rStyle w:val="FootnoteReference"/>
          <w:rFonts w:ascii="Times New Roman" w:hAnsi="Times New Roman"/>
          <w:szCs w:val="24"/>
          <w:vertAlign w:val="superscript"/>
        </w:rPr>
        <w:footnoteReference w:id="2"/>
      </w:r>
      <w:r w:rsidRPr="00BD3ABE">
        <w:rPr>
          <w:rFonts w:ascii="Times New Roman" w:hAnsi="Times New Roman"/>
          <w:szCs w:val="24"/>
          <w:vertAlign w:val="superscript"/>
        </w:rPr>
        <w:t xml:space="preserve"> </w:t>
      </w:r>
      <w:r w:rsidRPr="00BD3ABE">
        <w:rPr>
          <w:rFonts w:ascii="Times New Roman" w:hAnsi="Times New Roman"/>
          <w:szCs w:val="24"/>
        </w:rPr>
        <w:t xml:space="preserve"> Specifically, national</w:t>
      </w:r>
      <w:r w:rsidRPr="00BD3ABE">
        <w:rPr>
          <w:rFonts w:ascii="Times New Roman" w:hAnsi="Times New Roman"/>
          <w:color w:val="000000"/>
          <w:szCs w:val="24"/>
        </w:rPr>
        <w:t xml:space="preserve"> banks must record certain home loan data if they: (1) are otherwise required to maintain and report data pursuant to Regulation C,</w:t>
      </w:r>
      <w:r w:rsidRPr="00BD3ABE">
        <w:rPr>
          <w:rStyle w:val="FootnoteReference"/>
          <w:rFonts w:ascii="Times New Roman" w:hAnsi="Times New Roman"/>
          <w:color w:val="000000"/>
          <w:szCs w:val="24"/>
          <w:vertAlign w:val="superscript"/>
        </w:rPr>
        <w:footnoteReference w:id="3"/>
      </w:r>
      <w:r w:rsidRPr="00BD3ABE">
        <w:rPr>
          <w:rFonts w:ascii="Times New Roman" w:hAnsi="Times New Roman"/>
          <w:color w:val="000000"/>
          <w:szCs w:val="24"/>
        </w:rPr>
        <w:t xml:space="preserve"> which implements the Home Mortgage Disclosure Act (HMDA),</w:t>
      </w:r>
      <w:r w:rsidRPr="00BD3ABE">
        <w:rPr>
          <w:rStyle w:val="FootnoteReference"/>
          <w:rFonts w:ascii="Times New Roman" w:hAnsi="Times New Roman"/>
          <w:color w:val="000000"/>
          <w:vertAlign w:val="superscript"/>
        </w:rPr>
        <w:footnoteReference w:id="4"/>
      </w:r>
      <w:r w:rsidRPr="00BD3ABE">
        <w:rPr>
          <w:rFonts w:ascii="Times New Roman" w:hAnsi="Times New Roman"/>
          <w:color w:val="000000"/>
          <w:szCs w:val="24"/>
        </w:rPr>
        <w:t xml:space="preserve"> in which case they are HMDA reporters, or (2) receive more than 50 home loan applications annually.  </w:t>
      </w:r>
      <w:r w:rsidRPr="00BD3ABE">
        <w:rPr>
          <w:rFonts w:ascii="Times New Roman" w:hAnsi="Times New Roman"/>
          <w:szCs w:val="24"/>
        </w:rPr>
        <w:t xml:space="preserve">Specifically, national banks that are HMDA reporters meet the part 27 requirement by recording HMDA data along with </w:t>
      </w:r>
      <w:r w:rsidRPr="00BD3ABE">
        <w:rPr>
          <w:rFonts w:ascii="Times New Roman" w:hAnsi="Times New Roman"/>
          <w:color w:val="000000"/>
          <w:szCs w:val="24"/>
        </w:rPr>
        <w:t>the reasons for denying any loan application</w:t>
      </w:r>
      <w:r w:rsidRPr="00BD3ABE">
        <w:rPr>
          <w:rFonts w:ascii="Times New Roman" w:hAnsi="Times New Roman"/>
          <w:szCs w:val="24"/>
        </w:rPr>
        <w:t xml:space="preserve"> </w:t>
      </w:r>
      <w:r w:rsidRPr="00BD3ABE">
        <w:rPr>
          <w:rFonts w:ascii="Times New Roman" w:hAnsi="Times New Roman"/>
          <w:color w:val="000000"/>
          <w:szCs w:val="24"/>
        </w:rPr>
        <w:t>on the HMDA Loan Application/Register (LAR).</w:t>
      </w:r>
      <w:r w:rsidRPr="00BD3ABE">
        <w:rPr>
          <w:rStyle w:val="FootnoteReference"/>
          <w:rFonts w:ascii="Times New Roman" w:hAnsi="Times New Roman"/>
          <w:color w:val="000000"/>
          <w:szCs w:val="24"/>
          <w:vertAlign w:val="superscript"/>
        </w:rPr>
        <w:footnoteReference w:id="5"/>
      </w:r>
      <w:r w:rsidRPr="00BD3ABE">
        <w:rPr>
          <w:rFonts w:ascii="Times New Roman" w:hAnsi="Times New Roman"/>
          <w:color w:val="000000"/>
          <w:szCs w:val="24"/>
          <w:vertAlign w:val="superscript"/>
        </w:rPr>
        <w:t xml:space="preserve"> </w:t>
      </w:r>
      <w:r w:rsidRPr="00BD3ABE">
        <w:rPr>
          <w:rFonts w:ascii="Times New Roman" w:hAnsi="Times New Roman"/>
          <w:color w:val="000000"/>
          <w:szCs w:val="24"/>
        </w:rPr>
        <w:t xml:space="preserve"> A national bank that is not a HMDA reporter but that receives more than 50 home loan applications annually must comply with part 27 by either: (1) recording and reporting HMDA data and denial reasons on the LAR as if they were a HMDA reporter,</w:t>
      </w:r>
      <w:r w:rsidRPr="00BD3ABE">
        <w:rPr>
          <w:rStyle w:val="FootnoteReference"/>
          <w:rFonts w:ascii="Times New Roman" w:hAnsi="Times New Roman"/>
          <w:color w:val="000000"/>
          <w:szCs w:val="24"/>
          <w:vertAlign w:val="superscript"/>
        </w:rPr>
        <w:footnoteReference w:id="6"/>
      </w:r>
      <w:r w:rsidRPr="00BD3ABE">
        <w:rPr>
          <w:rFonts w:ascii="Times New Roman" w:hAnsi="Times New Roman"/>
          <w:color w:val="000000"/>
          <w:szCs w:val="24"/>
          <w:vertAlign w:val="superscript"/>
        </w:rPr>
        <w:t xml:space="preserve"> </w:t>
      </w:r>
      <w:r w:rsidRPr="00BD3ABE">
        <w:rPr>
          <w:rFonts w:ascii="Times New Roman" w:hAnsi="Times New Roman"/>
          <w:color w:val="000000"/>
          <w:szCs w:val="24"/>
        </w:rPr>
        <w:t>or (2) recording and maintaining part 27-specified activity data relating to aggregate numbers of certain types of loans by geography and action taken.</w:t>
      </w:r>
      <w:r w:rsidRPr="00BD3ABE">
        <w:rPr>
          <w:rStyle w:val="FootnoteReference"/>
          <w:rFonts w:ascii="Times New Roman" w:hAnsi="Times New Roman"/>
          <w:color w:val="000000"/>
          <w:szCs w:val="24"/>
          <w:vertAlign w:val="superscript"/>
        </w:rPr>
        <w:footnoteReference w:id="7"/>
      </w:r>
      <w:r w:rsidRPr="00BD3ABE">
        <w:rPr>
          <w:rFonts w:ascii="Times New Roman" w:hAnsi="Times New Roman"/>
          <w:color w:val="000000"/>
          <w:szCs w:val="24"/>
          <w:vertAlign w:val="superscript"/>
        </w:rPr>
        <w:t xml:space="preserve"> </w:t>
      </w:r>
      <w:r w:rsidRPr="00BD3ABE">
        <w:rPr>
          <w:rFonts w:ascii="Times New Roman" w:hAnsi="Times New Roman"/>
          <w:color w:val="000000"/>
          <w:szCs w:val="24"/>
        </w:rPr>
        <w:t xml:space="preserve"> Part 27 also requires that all national banks, including those not subject to the recording requirements, maintain certain application and loan information in loan files.  It further provides that the OCC may require national banks to maintain and submit additional information if there is reason to believe that the bank engaged in discrimination.  </w:t>
      </w:r>
    </w:p>
    <w:p w:rsidRPr="00BD3ABE" w:rsidR="005E698A" w:rsidP="0061160A" w:rsidRDefault="005E698A" w14:paraId="2CCE9F15" w14:textId="77777777">
      <w:pPr>
        <w:ind w:firstLine="720"/>
        <w:rPr>
          <w:rFonts w:ascii="Times New Roman" w:hAnsi="Times New Roman"/>
          <w:szCs w:val="24"/>
        </w:rPr>
      </w:pPr>
    </w:p>
    <w:p w:rsidRPr="00BD3ABE" w:rsidR="0061160A" w:rsidP="0061160A" w:rsidRDefault="0061160A" w14:paraId="5C2FF4CF" w14:textId="2769A9AB">
      <w:pPr>
        <w:ind w:firstLine="720"/>
        <w:rPr>
          <w:rFonts w:ascii="Times New Roman" w:hAnsi="Times New Roman"/>
          <w:szCs w:val="24"/>
        </w:rPr>
      </w:pPr>
      <w:r w:rsidRPr="00BD3ABE">
        <w:rPr>
          <w:rFonts w:ascii="Times New Roman" w:hAnsi="Times New Roman"/>
          <w:szCs w:val="24"/>
        </w:rPr>
        <w:t xml:space="preserve">This information collection </w:t>
      </w:r>
      <w:r w:rsidRPr="00BD3ABE" w:rsidR="00A60510">
        <w:rPr>
          <w:rFonts w:ascii="Times New Roman" w:hAnsi="Times New Roman"/>
          <w:szCs w:val="24"/>
        </w:rPr>
        <w:t>support</w:t>
      </w:r>
      <w:r w:rsidRPr="00BD3ABE" w:rsidR="00A17299">
        <w:rPr>
          <w:rFonts w:ascii="Times New Roman" w:hAnsi="Times New Roman"/>
          <w:szCs w:val="24"/>
        </w:rPr>
        <w:t>s</w:t>
      </w:r>
      <w:r w:rsidRPr="00BD3ABE" w:rsidR="00A60510">
        <w:rPr>
          <w:rFonts w:ascii="Times New Roman" w:hAnsi="Times New Roman"/>
          <w:szCs w:val="24"/>
        </w:rPr>
        <w:t xml:space="preserve"> the OCC’s</w:t>
      </w:r>
      <w:r w:rsidRPr="00BD3ABE">
        <w:rPr>
          <w:rFonts w:ascii="Times New Roman" w:hAnsi="Times New Roman"/>
          <w:szCs w:val="24"/>
        </w:rPr>
        <w:t xml:space="preserve"> </w:t>
      </w:r>
      <w:r w:rsidRPr="00BD3ABE" w:rsidR="00F66534">
        <w:rPr>
          <w:rFonts w:ascii="Times New Roman" w:hAnsi="Times New Roman"/>
          <w:szCs w:val="24"/>
        </w:rPr>
        <w:t>fair lending supervision of national banks and federal savings associations</w:t>
      </w:r>
      <w:r w:rsidRPr="00BD3ABE" w:rsidR="00B666CA">
        <w:rPr>
          <w:rFonts w:ascii="Times New Roman" w:hAnsi="Times New Roman"/>
          <w:color w:val="000000"/>
          <w:szCs w:val="24"/>
        </w:rPr>
        <w:t xml:space="preserve">. </w:t>
      </w:r>
    </w:p>
    <w:p w:rsidRPr="00BD3ABE" w:rsidR="002E68AF" w:rsidP="0061160A" w:rsidRDefault="002E68AF" w14:paraId="36CF9F83" w14:textId="77777777">
      <w:pPr>
        <w:rPr>
          <w:rFonts w:ascii="Times New Roman" w:hAnsi="Times New Roman"/>
          <w:szCs w:val="24"/>
        </w:rPr>
      </w:pPr>
    </w:p>
    <w:p w:rsidRPr="00BD3ABE" w:rsidR="0066096F" w:rsidP="0061160A" w:rsidRDefault="0066096F" w14:paraId="56273729" w14:textId="77777777">
      <w:pPr>
        <w:tabs>
          <w:tab w:val="left" w:pos="-1440"/>
        </w:tabs>
        <w:ind w:left="720" w:hanging="720"/>
        <w:rPr>
          <w:rFonts w:ascii="Times New Roman" w:hAnsi="Times New Roman"/>
          <w:b/>
          <w:i/>
          <w:szCs w:val="24"/>
        </w:rPr>
      </w:pPr>
      <w:r w:rsidRPr="00BD3ABE">
        <w:rPr>
          <w:rFonts w:ascii="Times New Roman" w:hAnsi="Times New Roman"/>
          <w:b/>
          <w:i/>
          <w:szCs w:val="24"/>
        </w:rPr>
        <w:t>2.</w:t>
      </w:r>
      <w:r w:rsidRPr="00BD3ABE">
        <w:rPr>
          <w:rFonts w:ascii="Times New Roman" w:hAnsi="Times New Roman"/>
          <w:b/>
          <w:i/>
          <w:szCs w:val="24"/>
        </w:rPr>
        <w:tab/>
        <w:t>Use of the information:</w:t>
      </w:r>
    </w:p>
    <w:p w:rsidRPr="00BD3ABE" w:rsidR="0066096F" w:rsidP="0061160A" w:rsidRDefault="0066096F" w14:paraId="397C002E" w14:textId="77777777">
      <w:pPr>
        <w:rPr>
          <w:rFonts w:ascii="Times New Roman" w:hAnsi="Times New Roman"/>
          <w:szCs w:val="24"/>
        </w:rPr>
      </w:pPr>
    </w:p>
    <w:p w:rsidRPr="00BD3ABE" w:rsidR="00F02DF0" w:rsidP="005E698A" w:rsidRDefault="007B06A7" w14:paraId="0A770015" w14:textId="1E6D0E05">
      <w:pPr>
        <w:widowControl/>
        <w:rPr>
          <w:rFonts w:ascii="Times New Roman" w:hAnsi="Times New Roman"/>
          <w:snapToGrid/>
          <w:szCs w:val="24"/>
        </w:rPr>
      </w:pPr>
      <w:r w:rsidRPr="00BD3ABE">
        <w:rPr>
          <w:rFonts w:ascii="Times New Roman" w:hAnsi="Times New Roman"/>
          <w:snapToGrid/>
          <w:szCs w:val="24"/>
        </w:rPr>
        <w:lastRenderedPageBreak/>
        <w:t xml:space="preserve">The data collected pursuant to part 27 </w:t>
      </w:r>
      <w:r w:rsidR="00BD3ABE">
        <w:rPr>
          <w:rFonts w:ascii="Times New Roman" w:hAnsi="Times New Roman"/>
          <w:snapToGrid/>
          <w:szCs w:val="24"/>
        </w:rPr>
        <w:t xml:space="preserve">supports the OCC’s assessment of </w:t>
      </w:r>
      <w:r w:rsidRPr="00BD3ABE">
        <w:rPr>
          <w:rFonts w:ascii="Times New Roman" w:hAnsi="Times New Roman"/>
          <w:snapToGrid/>
          <w:szCs w:val="24"/>
        </w:rPr>
        <w:t>whether an institution treated applicants consistently and made credit decisions commensurate with the applicants’ qualifications and in compliance with the ECOA</w:t>
      </w:r>
      <w:r w:rsidRPr="00BD3ABE" w:rsidR="005E698A">
        <w:rPr>
          <w:rStyle w:val="FootnoteReference"/>
          <w:rFonts w:ascii="Times New Roman" w:hAnsi="Times New Roman"/>
          <w:snapToGrid/>
          <w:szCs w:val="24"/>
          <w:vertAlign w:val="superscript"/>
        </w:rPr>
        <w:footnoteReference w:id="8"/>
      </w:r>
      <w:r w:rsidRPr="00BD3ABE">
        <w:rPr>
          <w:rFonts w:ascii="Times New Roman" w:hAnsi="Times New Roman"/>
          <w:snapToGrid/>
          <w:szCs w:val="24"/>
        </w:rPr>
        <w:t xml:space="preserve"> and the Fair Housing Act.</w:t>
      </w:r>
      <w:r w:rsidRPr="00BD3ABE" w:rsidR="005E698A">
        <w:rPr>
          <w:rStyle w:val="FootnoteReference"/>
          <w:rFonts w:ascii="Times New Roman" w:hAnsi="Times New Roman"/>
          <w:snapToGrid/>
          <w:szCs w:val="24"/>
          <w:vertAlign w:val="superscript"/>
        </w:rPr>
        <w:footnoteReference w:id="9"/>
      </w:r>
    </w:p>
    <w:p w:rsidRPr="00BD3ABE" w:rsidR="0066096F" w:rsidP="005E698A" w:rsidRDefault="007B06A7" w14:paraId="2907D114" w14:textId="0DB9AE8A">
      <w:pPr>
        <w:widowControl/>
        <w:tabs>
          <w:tab w:val="left" w:pos="9360"/>
        </w:tabs>
        <w:ind w:right="360"/>
        <w:rPr>
          <w:rFonts w:ascii="Times New Roman" w:hAnsi="Times New Roman"/>
          <w:szCs w:val="24"/>
        </w:rPr>
      </w:pPr>
      <w:r w:rsidRPr="00BD3ABE">
        <w:rPr>
          <w:rFonts w:ascii="Times New Roman" w:hAnsi="Times New Roman"/>
          <w:snapToGrid/>
          <w:color w:val="000000"/>
          <w:szCs w:val="24"/>
        </w:rPr>
        <w:t xml:space="preserve">            </w:t>
      </w:r>
    </w:p>
    <w:p w:rsidRPr="00BD3ABE" w:rsidR="0066096F" w:rsidP="0061160A" w:rsidRDefault="0066096F" w14:paraId="2BECAE81" w14:textId="77777777">
      <w:pPr>
        <w:tabs>
          <w:tab w:val="left" w:pos="-1440"/>
        </w:tabs>
        <w:ind w:left="720" w:hanging="720"/>
        <w:rPr>
          <w:rFonts w:ascii="Times New Roman" w:hAnsi="Times New Roman"/>
          <w:b/>
          <w:i/>
          <w:szCs w:val="24"/>
        </w:rPr>
      </w:pPr>
      <w:r w:rsidRPr="00BD3ABE">
        <w:rPr>
          <w:rFonts w:ascii="Times New Roman" w:hAnsi="Times New Roman"/>
          <w:b/>
          <w:i/>
          <w:szCs w:val="24"/>
        </w:rPr>
        <w:t>3.</w:t>
      </w:r>
      <w:r w:rsidRPr="00BD3ABE">
        <w:rPr>
          <w:rFonts w:ascii="Times New Roman" w:hAnsi="Times New Roman"/>
          <w:b/>
          <w:i/>
          <w:szCs w:val="24"/>
        </w:rPr>
        <w:tab/>
        <w:t>Consideration of the use of information technology:</w:t>
      </w:r>
    </w:p>
    <w:p w:rsidRPr="00BD3ABE" w:rsidR="0066096F" w:rsidP="0061160A" w:rsidRDefault="0066096F" w14:paraId="31EF5438" w14:textId="77777777">
      <w:pPr>
        <w:rPr>
          <w:rFonts w:ascii="Times New Roman" w:hAnsi="Times New Roman"/>
          <w:szCs w:val="24"/>
        </w:rPr>
      </w:pPr>
    </w:p>
    <w:p w:rsidRPr="00BD3ABE" w:rsidR="0066096F" w:rsidP="0061160A" w:rsidRDefault="00DC23AC" w14:paraId="457EBB84" w14:textId="77777777">
      <w:pPr>
        <w:ind w:firstLine="720"/>
        <w:rPr>
          <w:rFonts w:ascii="Times New Roman" w:hAnsi="Times New Roman"/>
          <w:szCs w:val="24"/>
        </w:rPr>
      </w:pPr>
      <w:r w:rsidRPr="00BD3ABE">
        <w:rPr>
          <w:rFonts w:ascii="Times New Roman" w:hAnsi="Times New Roman"/>
          <w:szCs w:val="24"/>
        </w:rPr>
        <w:t>Institutions may use any information technology that allows them to meet the requirements of this collection.</w:t>
      </w:r>
    </w:p>
    <w:p w:rsidRPr="00BD3ABE" w:rsidR="0024422C" w:rsidP="0061160A" w:rsidRDefault="0024422C" w14:paraId="29EC8242" w14:textId="77777777">
      <w:pPr>
        <w:tabs>
          <w:tab w:val="left" w:pos="-1440"/>
        </w:tabs>
        <w:ind w:left="720" w:hanging="720"/>
        <w:rPr>
          <w:rFonts w:ascii="Times New Roman" w:hAnsi="Times New Roman"/>
          <w:szCs w:val="24"/>
        </w:rPr>
      </w:pPr>
    </w:p>
    <w:p w:rsidRPr="00BD3ABE" w:rsidR="0066096F" w:rsidP="0061160A" w:rsidRDefault="0066096F" w14:paraId="714DE681" w14:textId="77777777">
      <w:pPr>
        <w:tabs>
          <w:tab w:val="left" w:pos="-1440"/>
        </w:tabs>
        <w:ind w:left="720" w:hanging="720"/>
        <w:rPr>
          <w:rFonts w:ascii="Times New Roman" w:hAnsi="Times New Roman"/>
          <w:b/>
          <w:i/>
          <w:szCs w:val="24"/>
        </w:rPr>
      </w:pPr>
      <w:r w:rsidRPr="00BD3ABE">
        <w:rPr>
          <w:rFonts w:ascii="Times New Roman" w:hAnsi="Times New Roman"/>
          <w:b/>
          <w:i/>
          <w:szCs w:val="24"/>
        </w:rPr>
        <w:t>4.</w:t>
      </w:r>
      <w:r w:rsidRPr="00BD3ABE">
        <w:rPr>
          <w:rFonts w:ascii="Times New Roman" w:hAnsi="Times New Roman"/>
          <w:b/>
          <w:i/>
          <w:szCs w:val="24"/>
        </w:rPr>
        <w:tab/>
        <w:t>Efforts to identify duplication:</w:t>
      </w:r>
    </w:p>
    <w:p w:rsidRPr="00BD3ABE" w:rsidR="0066096F" w:rsidP="0061160A" w:rsidRDefault="0066096F" w14:paraId="5490DC79" w14:textId="77777777">
      <w:pPr>
        <w:rPr>
          <w:rFonts w:ascii="Times New Roman" w:hAnsi="Times New Roman"/>
          <w:szCs w:val="24"/>
        </w:rPr>
      </w:pPr>
    </w:p>
    <w:p w:rsidRPr="00BD3ABE" w:rsidR="0066096F" w:rsidP="0061160A" w:rsidRDefault="00A17299" w14:paraId="5466E04D" w14:textId="6594ECA5">
      <w:pPr>
        <w:ind w:firstLine="720"/>
        <w:rPr>
          <w:rFonts w:ascii="Times New Roman" w:hAnsi="Times New Roman"/>
          <w:szCs w:val="24"/>
        </w:rPr>
      </w:pPr>
      <w:r w:rsidRPr="00BD3ABE">
        <w:rPr>
          <w:rFonts w:ascii="Times New Roman" w:hAnsi="Times New Roman"/>
          <w:szCs w:val="24"/>
        </w:rPr>
        <w:t xml:space="preserve">The information can be found in other sources but not </w:t>
      </w:r>
      <w:r w:rsidRPr="00BD3ABE" w:rsidR="00721846">
        <w:rPr>
          <w:rFonts w:ascii="Times New Roman" w:hAnsi="Times New Roman"/>
          <w:szCs w:val="24"/>
        </w:rPr>
        <w:t xml:space="preserve">in the format set forth in Part 27.  </w:t>
      </w:r>
    </w:p>
    <w:p w:rsidRPr="00BD3ABE" w:rsidR="0066096F" w:rsidP="0061160A" w:rsidRDefault="0066096F" w14:paraId="09B7DBB8" w14:textId="77777777">
      <w:pPr>
        <w:rPr>
          <w:rFonts w:ascii="Times New Roman" w:hAnsi="Times New Roman"/>
          <w:szCs w:val="24"/>
        </w:rPr>
      </w:pPr>
    </w:p>
    <w:p w:rsidRPr="00BD3ABE" w:rsidR="009E4D49" w:rsidP="0061160A" w:rsidRDefault="009E4D49" w14:paraId="6D74CAFA" w14:textId="77777777">
      <w:pPr>
        <w:pStyle w:val="BodyText"/>
        <w:widowControl w:val="0"/>
        <w:ind w:left="100" w:right="861"/>
        <w:rPr>
          <w:rFonts w:ascii="Times New Roman" w:hAnsi="Times New Roman"/>
          <w:b/>
          <w:i/>
          <w:szCs w:val="24"/>
          <w:u w:val="none"/>
        </w:rPr>
      </w:pPr>
      <w:r w:rsidRPr="00BD3ABE">
        <w:rPr>
          <w:rFonts w:ascii="Times New Roman" w:hAnsi="Times New Roman"/>
          <w:b/>
          <w:bCs/>
          <w:i/>
          <w:iCs/>
          <w:szCs w:val="24"/>
          <w:u w:val="none"/>
        </w:rPr>
        <w:t>5.</w:t>
      </w:r>
      <w:r w:rsidRPr="00BD3ABE">
        <w:rPr>
          <w:rFonts w:ascii="Times New Roman" w:hAnsi="Times New Roman"/>
          <w:b/>
          <w:bCs/>
          <w:i/>
          <w:iCs/>
          <w:szCs w:val="24"/>
          <w:u w:val="none"/>
        </w:rPr>
        <w:tab/>
      </w:r>
      <w:r w:rsidRPr="00BD3ABE">
        <w:rPr>
          <w:rFonts w:ascii="Times New Roman" w:hAnsi="Times New Roman"/>
          <w:b/>
          <w:i/>
          <w:spacing w:val="-2"/>
          <w:szCs w:val="24"/>
          <w:u w:val="none"/>
        </w:rPr>
        <w:t>If</w:t>
      </w:r>
      <w:r w:rsidRPr="00BD3ABE">
        <w:rPr>
          <w:rFonts w:ascii="Times New Roman" w:hAnsi="Times New Roman"/>
          <w:b/>
          <w:i/>
          <w:spacing w:val="-8"/>
          <w:szCs w:val="24"/>
          <w:u w:val="none"/>
        </w:rPr>
        <w:t xml:space="preserve"> </w:t>
      </w:r>
      <w:r w:rsidRPr="00BD3ABE">
        <w:rPr>
          <w:rFonts w:ascii="Times New Roman" w:hAnsi="Times New Roman"/>
          <w:b/>
          <w:i/>
          <w:szCs w:val="24"/>
          <w:u w:val="none"/>
        </w:rPr>
        <w:t>the</w:t>
      </w:r>
      <w:r w:rsidRPr="00BD3ABE">
        <w:rPr>
          <w:rFonts w:ascii="Times New Roman" w:hAnsi="Times New Roman"/>
          <w:b/>
          <w:i/>
          <w:spacing w:val="-7"/>
          <w:szCs w:val="24"/>
          <w:u w:val="none"/>
        </w:rPr>
        <w:t xml:space="preserve"> </w:t>
      </w:r>
      <w:r w:rsidRPr="00BD3ABE">
        <w:rPr>
          <w:rFonts w:ascii="Times New Roman" w:hAnsi="Times New Roman"/>
          <w:b/>
          <w:i/>
          <w:spacing w:val="-1"/>
          <w:szCs w:val="24"/>
          <w:u w:val="none"/>
        </w:rPr>
        <w:t>collection</w:t>
      </w:r>
      <w:r w:rsidRPr="00BD3ABE">
        <w:rPr>
          <w:rFonts w:ascii="Times New Roman" w:hAnsi="Times New Roman"/>
          <w:b/>
          <w:i/>
          <w:spacing w:val="-7"/>
          <w:szCs w:val="24"/>
          <w:u w:val="none"/>
        </w:rPr>
        <w:t xml:space="preserve"> </w:t>
      </w:r>
      <w:r w:rsidRPr="00BD3ABE">
        <w:rPr>
          <w:rFonts w:ascii="Times New Roman" w:hAnsi="Times New Roman"/>
          <w:b/>
          <w:i/>
          <w:szCs w:val="24"/>
          <w:u w:val="none"/>
        </w:rPr>
        <w:t>of</w:t>
      </w:r>
      <w:r w:rsidRPr="00BD3ABE">
        <w:rPr>
          <w:rFonts w:ascii="Times New Roman" w:hAnsi="Times New Roman"/>
          <w:b/>
          <w:i/>
          <w:spacing w:val="-8"/>
          <w:szCs w:val="24"/>
          <w:u w:val="none"/>
        </w:rPr>
        <w:t xml:space="preserve"> </w:t>
      </w:r>
      <w:r w:rsidRPr="00BD3ABE">
        <w:rPr>
          <w:rFonts w:ascii="Times New Roman" w:hAnsi="Times New Roman"/>
          <w:b/>
          <w:i/>
          <w:spacing w:val="-1"/>
          <w:szCs w:val="24"/>
          <w:u w:val="none"/>
        </w:rPr>
        <w:t>information</w:t>
      </w:r>
      <w:r w:rsidRPr="00BD3ABE">
        <w:rPr>
          <w:rFonts w:ascii="Times New Roman" w:hAnsi="Times New Roman"/>
          <w:b/>
          <w:i/>
          <w:spacing w:val="-7"/>
          <w:szCs w:val="24"/>
          <w:u w:val="none"/>
        </w:rPr>
        <w:t xml:space="preserve"> </w:t>
      </w:r>
      <w:r w:rsidRPr="00BD3ABE">
        <w:rPr>
          <w:rFonts w:ascii="Times New Roman" w:hAnsi="Times New Roman"/>
          <w:b/>
          <w:i/>
          <w:spacing w:val="-1"/>
          <w:szCs w:val="24"/>
          <w:u w:val="none"/>
        </w:rPr>
        <w:t>impacts</w:t>
      </w:r>
      <w:r w:rsidRPr="00BD3ABE">
        <w:rPr>
          <w:rFonts w:ascii="Times New Roman" w:hAnsi="Times New Roman"/>
          <w:b/>
          <w:i/>
          <w:spacing w:val="-6"/>
          <w:szCs w:val="24"/>
          <w:u w:val="none"/>
        </w:rPr>
        <w:t xml:space="preserve"> </w:t>
      </w:r>
      <w:r w:rsidRPr="00BD3ABE">
        <w:rPr>
          <w:rFonts w:ascii="Times New Roman" w:hAnsi="Times New Roman"/>
          <w:b/>
          <w:i/>
          <w:spacing w:val="-1"/>
          <w:szCs w:val="24"/>
          <w:u w:val="none"/>
        </w:rPr>
        <w:t>small</w:t>
      </w:r>
      <w:r w:rsidRPr="00BD3ABE">
        <w:rPr>
          <w:rFonts w:ascii="Times New Roman" w:hAnsi="Times New Roman"/>
          <w:b/>
          <w:i/>
          <w:spacing w:val="-7"/>
          <w:szCs w:val="24"/>
          <w:u w:val="none"/>
        </w:rPr>
        <w:t xml:space="preserve"> </w:t>
      </w:r>
      <w:r w:rsidRPr="00BD3ABE">
        <w:rPr>
          <w:rFonts w:ascii="Times New Roman" w:hAnsi="Times New Roman"/>
          <w:b/>
          <w:i/>
          <w:spacing w:val="-1"/>
          <w:szCs w:val="24"/>
          <w:u w:val="none"/>
        </w:rPr>
        <w:t>businesses</w:t>
      </w:r>
      <w:r w:rsidRPr="00BD3ABE">
        <w:rPr>
          <w:rFonts w:ascii="Times New Roman" w:hAnsi="Times New Roman"/>
          <w:b/>
          <w:i/>
          <w:spacing w:val="-6"/>
          <w:szCs w:val="24"/>
          <w:u w:val="none"/>
        </w:rPr>
        <w:t xml:space="preserve"> </w:t>
      </w:r>
      <w:r w:rsidRPr="00BD3ABE">
        <w:rPr>
          <w:rFonts w:ascii="Times New Roman" w:hAnsi="Times New Roman"/>
          <w:b/>
          <w:i/>
          <w:szCs w:val="24"/>
          <w:u w:val="none"/>
        </w:rPr>
        <w:t>or</w:t>
      </w:r>
      <w:r w:rsidRPr="00BD3ABE">
        <w:rPr>
          <w:rFonts w:ascii="Times New Roman" w:hAnsi="Times New Roman"/>
          <w:b/>
          <w:i/>
          <w:spacing w:val="-8"/>
          <w:szCs w:val="24"/>
          <w:u w:val="none"/>
        </w:rPr>
        <w:t xml:space="preserve"> </w:t>
      </w:r>
      <w:r w:rsidRPr="00BD3ABE">
        <w:rPr>
          <w:rFonts w:ascii="Times New Roman" w:hAnsi="Times New Roman"/>
          <w:b/>
          <w:i/>
          <w:spacing w:val="1"/>
          <w:szCs w:val="24"/>
          <w:u w:val="none"/>
        </w:rPr>
        <w:t>other</w:t>
      </w:r>
      <w:r w:rsidRPr="00BD3ABE">
        <w:rPr>
          <w:rFonts w:ascii="Times New Roman" w:hAnsi="Times New Roman"/>
          <w:b/>
          <w:i/>
          <w:spacing w:val="-7"/>
          <w:szCs w:val="24"/>
          <w:u w:val="none"/>
        </w:rPr>
        <w:t xml:space="preserve"> </w:t>
      </w:r>
      <w:r w:rsidRPr="00BD3ABE">
        <w:rPr>
          <w:rFonts w:ascii="Times New Roman" w:hAnsi="Times New Roman"/>
          <w:b/>
          <w:i/>
          <w:spacing w:val="-1"/>
          <w:szCs w:val="24"/>
          <w:u w:val="none"/>
        </w:rPr>
        <w:t>small</w:t>
      </w:r>
      <w:r w:rsidRPr="00BD3ABE">
        <w:rPr>
          <w:rFonts w:ascii="Times New Roman" w:hAnsi="Times New Roman"/>
          <w:b/>
          <w:i/>
          <w:spacing w:val="-6"/>
          <w:szCs w:val="24"/>
          <w:u w:val="none"/>
        </w:rPr>
        <w:t xml:space="preserve"> </w:t>
      </w:r>
      <w:r w:rsidRPr="00BD3ABE">
        <w:rPr>
          <w:rFonts w:ascii="Times New Roman" w:hAnsi="Times New Roman"/>
          <w:b/>
          <w:i/>
          <w:szCs w:val="24"/>
          <w:u w:val="none"/>
        </w:rPr>
        <w:t>entities, describe</w:t>
      </w:r>
      <w:r w:rsidRPr="00BD3ABE">
        <w:rPr>
          <w:rFonts w:ascii="Times New Roman" w:hAnsi="Times New Roman"/>
          <w:b/>
          <w:i/>
          <w:spacing w:val="-7"/>
          <w:szCs w:val="24"/>
          <w:u w:val="none"/>
        </w:rPr>
        <w:t xml:space="preserve"> </w:t>
      </w:r>
      <w:r w:rsidRPr="00BD3ABE">
        <w:rPr>
          <w:rFonts w:ascii="Times New Roman" w:hAnsi="Times New Roman"/>
          <w:b/>
          <w:i/>
          <w:spacing w:val="1"/>
          <w:szCs w:val="24"/>
          <w:u w:val="none"/>
        </w:rPr>
        <w:t>any</w:t>
      </w:r>
      <w:r w:rsidRPr="00BD3ABE">
        <w:rPr>
          <w:rFonts w:ascii="Times New Roman" w:hAnsi="Times New Roman"/>
          <w:b/>
          <w:i/>
          <w:spacing w:val="-11"/>
          <w:szCs w:val="24"/>
          <w:u w:val="none"/>
        </w:rPr>
        <w:t xml:space="preserve"> </w:t>
      </w:r>
      <w:r w:rsidRPr="00BD3ABE">
        <w:rPr>
          <w:rFonts w:ascii="Times New Roman" w:hAnsi="Times New Roman"/>
          <w:b/>
          <w:i/>
          <w:spacing w:val="-1"/>
          <w:szCs w:val="24"/>
          <w:u w:val="none"/>
        </w:rPr>
        <w:t>methods</w:t>
      </w:r>
      <w:r w:rsidRPr="00BD3ABE">
        <w:rPr>
          <w:rFonts w:ascii="Times New Roman" w:hAnsi="Times New Roman"/>
          <w:b/>
          <w:i/>
          <w:spacing w:val="-8"/>
          <w:szCs w:val="24"/>
          <w:u w:val="none"/>
        </w:rPr>
        <w:t xml:space="preserve"> </w:t>
      </w:r>
      <w:r w:rsidRPr="00BD3ABE">
        <w:rPr>
          <w:rFonts w:ascii="Times New Roman" w:hAnsi="Times New Roman"/>
          <w:b/>
          <w:i/>
          <w:spacing w:val="-1"/>
          <w:szCs w:val="24"/>
          <w:u w:val="none"/>
        </w:rPr>
        <w:t>used</w:t>
      </w:r>
      <w:r w:rsidRPr="00BD3ABE">
        <w:rPr>
          <w:rFonts w:ascii="Times New Roman" w:hAnsi="Times New Roman"/>
          <w:b/>
          <w:i/>
          <w:spacing w:val="-8"/>
          <w:szCs w:val="24"/>
          <w:u w:val="none"/>
        </w:rPr>
        <w:t xml:space="preserve"> </w:t>
      </w:r>
      <w:r w:rsidRPr="00BD3ABE">
        <w:rPr>
          <w:rFonts w:ascii="Times New Roman" w:hAnsi="Times New Roman"/>
          <w:b/>
          <w:i/>
          <w:szCs w:val="24"/>
          <w:u w:val="none"/>
        </w:rPr>
        <w:t>to</w:t>
      </w:r>
      <w:r w:rsidRPr="00BD3ABE">
        <w:rPr>
          <w:rFonts w:ascii="Times New Roman" w:hAnsi="Times New Roman"/>
          <w:b/>
          <w:i/>
          <w:spacing w:val="-8"/>
          <w:szCs w:val="24"/>
          <w:u w:val="none"/>
        </w:rPr>
        <w:t xml:space="preserve"> </w:t>
      </w:r>
      <w:r w:rsidRPr="00BD3ABE">
        <w:rPr>
          <w:rFonts w:ascii="Times New Roman" w:hAnsi="Times New Roman"/>
          <w:b/>
          <w:i/>
          <w:szCs w:val="24"/>
          <w:u w:val="none"/>
        </w:rPr>
        <w:t>minimize</w:t>
      </w:r>
      <w:r w:rsidRPr="00BD3ABE">
        <w:rPr>
          <w:rFonts w:ascii="Times New Roman" w:hAnsi="Times New Roman"/>
          <w:b/>
          <w:i/>
          <w:spacing w:val="-8"/>
          <w:szCs w:val="24"/>
          <w:u w:val="none"/>
        </w:rPr>
        <w:t xml:space="preserve"> </w:t>
      </w:r>
      <w:r w:rsidRPr="00BD3ABE">
        <w:rPr>
          <w:rFonts w:ascii="Times New Roman" w:hAnsi="Times New Roman"/>
          <w:b/>
          <w:i/>
          <w:spacing w:val="-1"/>
          <w:szCs w:val="24"/>
          <w:u w:val="none"/>
        </w:rPr>
        <w:t>burden</w:t>
      </w:r>
      <w:r w:rsidRPr="00BD3ABE" w:rsidR="003F4581">
        <w:rPr>
          <w:rFonts w:ascii="Times New Roman" w:hAnsi="Times New Roman"/>
          <w:b/>
          <w:i/>
          <w:spacing w:val="-1"/>
          <w:szCs w:val="24"/>
          <w:u w:val="none"/>
        </w:rPr>
        <w:t>:</w:t>
      </w:r>
    </w:p>
    <w:p w:rsidRPr="00BD3ABE" w:rsidR="009E4D49" w:rsidP="0061160A" w:rsidRDefault="009E4D49" w14:paraId="349BCE4F" w14:textId="77777777">
      <w:pPr>
        <w:rPr>
          <w:rFonts w:ascii="Times New Roman" w:hAnsi="Times New Roman"/>
          <w:szCs w:val="24"/>
        </w:rPr>
      </w:pPr>
    </w:p>
    <w:p w:rsidRPr="00BD3ABE" w:rsidR="009E4D49" w:rsidP="0061160A" w:rsidRDefault="009E4D49" w14:paraId="58467F58" w14:textId="77777777">
      <w:pPr>
        <w:ind w:firstLine="720"/>
        <w:rPr>
          <w:rFonts w:ascii="Times New Roman" w:hAnsi="Times New Roman"/>
          <w:color w:val="000000"/>
          <w:szCs w:val="24"/>
        </w:rPr>
      </w:pPr>
      <w:r w:rsidRPr="00BD3ABE">
        <w:rPr>
          <w:rFonts w:ascii="Times New Roman" w:hAnsi="Times New Roman"/>
          <w:color w:val="000000"/>
          <w:szCs w:val="24"/>
        </w:rPr>
        <w:t>There are no alternatives that would result in lowering the burden on small institutions, while still accomplishing the purpose of the rule.</w:t>
      </w:r>
    </w:p>
    <w:p w:rsidRPr="00BD3ABE" w:rsidR="008A4A4B" w:rsidP="0061160A" w:rsidRDefault="008A4A4B" w14:paraId="23903A39" w14:textId="77777777">
      <w:pPr>
        <w:tabs>
          <w:tab w:val="left" w:pos="-1440"/>
        </w:tabs>
        <w:ind w:left="720" w:hanging="720"/>
        <w:rPr>
          <w:rFonts w:ascii="Times New Roman" w:hAnsi="Times New Roman"/>
          <w:szCs w:val="24"/>
        </w:rPr>
      </w:pPr>
    </w:p>
    <w:p w:rsidRPr="00BD3ABE" w:rsidR="0066096F" w:rsidP="0061160A" w:rsidRDefault="0066096F" w14:paraId="6F165BB8" w14:textId="77777777">
      <w:pPr>
        <w:tabs>
          <w:tab w:val="left" w:pos="-1440"/>
        </w:tabs>
        <w:ind w:left="720" w:hanging="720"/>
        <w:rPr>
          <w:rFonts w:ascii="Times New Roman" w:hAnsi="Times New Roman"/>
          <w:b/>
          <w:i/>
          <w:szCs w:val="24"/>
        </w:rPr>
      </w:pPr>
      <w:r w:rsidRPr="00BD3ABE">
        <w:rPr>
          <w:rFonts w:ascii="Times New Roman" w:hAnsi="Times New Roman"/>
          <w:b/>
          <w:i/>
          <w:szCs w:val="24"/>
        </w:rPr>
        <w:t>6.</w:t>
      </w:r>
      <w:r w:rsidRPr="00BD3ABE">
        <w:rPr>
          <w:rFonts w:ascii="Times New Roman" w:hAnsi="Times New Roman"/>
          <w:b/>
          <w:i/>
          <w:szCs w:val="24"/>
        </w:rPr>
        <w:tab/>
        <w:t>Consequences to the Federal program if the collection were conducted less frequently:</w:t>
      </w:r>
    </w:p>
    <w:p w:rsidRPr="00BD3ABE" w:rsidR="0066096F" w:rsidP="0061160A" w:rsidRDefault="0066096F" w14:paraId="47C998D4" w14:textId="77777777">
      <w:pPr>
        <w:rPr>
          <w:rFonts w:ascii="Times New Roman" w:hAnsi="Times New Roman"/>
          <w:szCs w:val="24"/>
        </w:rPr>
      </w:pPr>
    </w:p>
    <w:p w:rsidRPr="00BD3ABE" w:rsidR="0066096F" w:rsidP="0061160A" w:rsidRDefault="0066096F" w14:paraId="1BF8E7F1" w14:textId="77777777">
      <w:pPr>
        <w:ind w:firstLine="720"/>
        <w:rPr>
          <w:rFonts w:ascii="Times New Roman" w:hAnsi="Times New Roman"/>
          <w:szCs w:val="24"/>
        </w:rPr>
      </w:pPr>
      <w:r w:rsidRPr="00BD3ABE">
        <w:rPr>
          <w:rFonts w:ascii="Times New Roman" w:hAnsi="Times New Roman"/>
          <w:szCs w:val="24"/>
        </w:rPr>
        <w:t>The OCC requires reports only on an as-needed basis.  Less frequent collection would impair program effectiveness.</w:t>
      </w:r>
    </w:p>
    <w:p w:rsidRPr="00BD3ABE" w:rsidR="0066096F" w:rsidP="0061160A" w:rsidRDefault="0066096F" w14:paraId="36E6C3BF" w14:textId="77777777">
      <w:pPr>
        <w:rPr>
          <w:rFonts w:ascii="Times New Roman" w:hAnsi="Times New Roman"/>
          <w:szCs w:val="24"/>
        </w:rPr>
      </w:pPr>
    </w:p>
    <w:p w:rsidRPr="00BD3ABE" w:rsidR="0066096F" w:rsidP="0061160A" w:rsidRDefault="0066096F" w14:paraId="4DF03CE5" w14:textId="77777777">
      <w:pPr>
        <w:tabs>
          <w:tab w:val="left" w:pos="-1440"/>
        </w:tabs>
        <w:ind w:left="720" w:hanging="720"/>
        <w:rPr>
          <w:rFonts w:ascii="Times New Roman" w:hAnsi="Times New Roman"/>
          <w:b/>
          <w:i/>
          <w:szCs w:val="24"/>
        </w:rPr>
      </w:pPr>
      <w:r w:rsidRPr="00BD3ABE">
        <w:rPr>
          <w:rFonts w:ascii="Times New Roman" w:hAnsi="Times New Roman"/>
          <w:b/>
          <w:i/>
          <w:szCs w:val="24"/>
        </w:rPr>
        <w:t>7.</w:t>
      </w:r>
      <w:r w:rsidRPr="00BD3ABE">
        <w:rPr>
          <w:rFonts w:ascii="Times New Roman" w:hAnsi="Times New Roman"/>
          <w:b/>
          <w:i/>
          <w:szCs w:val="24"/>
        </w:rPr>
        <w:tab/>
        <w:t>Special circumstances necessitating coll</w:t>
      </w:r>
      <w:r w:rsidRPr="00BD3ABE" w:rsidR="00146A39">
        <w:rPr>
          <w:rFonts w:ascii="Times New Roman" w:hAnsi="Times New Roman"/>
          <w:b/>
          <w:i/>
          <w:szCs w:val="24"/>
        </w:rPr>
        <w:t>ection inconsistent with 5 CFR p</w:t>
      </w:r>
      <w:r w:rsidRPr="00BD3ABE">
        <w:rPr>
          <w:rFonts w:ascii="Times New Roman" w:hAnsi="Times New Roman"/>
          <w:b/>
          <w:i/>
          <w:szCs w:val="24"/>
        </w:rPr>
        <w:t>art 1320:</w:t>
      </w:r>
    </w:p>
    <w:p w:rsidRPr="00BD3ABE" w:rsidR="0066096F" w:rsidP="0061160A" w:rsidRDefault="0066096F" w14:paraId="145CF41C" w14:textId="77777777">
      <w:pPr>
        <w:rPr>
          <w:rFonts w:ascii="Times New Roman" w:hAnsi="Times New Roman"/>
          <w:szCs w:val="24"/>
        </w:rPr>
      </w:pPr>
    </w:p>
    <w:p w:rsidRPr="00BD3ABE" w:rsidR="0066096F" w:rsidP="0061160A" w:rsidRDefault="0066096F" w14:paraId="4D0DA49F" w14:textId="77777777">
      <w:pPr>
        <w:ind w:firstLine="720"/>
        <w:rPr>
          <w:rFonts w:ascii="Times New Roman" w:hAnsi="Times New Roman"/>
          <w:szCs w:val="24"/>
        </w:rPr>
      </w:pPr>
      <w:r w:rsidRPr="00BD3ABE">
        <w:rPr>
          <w:rFonts w:ascii="Times New Roman" w:hAnsi="Times New Roman"/>
          <w:szCs w:val="24"/>
        </w:rPr>
        <w:t>This information collection is conducted in a manner that is consistent with guidelines set forth in 5 CFR </w:t>
      </w:r>
      <w:r w:rsidRPr="00BD3ABE" w:rsidR="00146A39">
        <w:rPr>
          <w:rFonts w:ascii="Times New Roman" w:hAnsi="Times New Roman"/>
          <w:szCs w:val="24"/>
        </w:rPr>
        <w:t xml:space="preserve">part </w:t>
      </w:r>
      <w:r w:rsidRPr="00BD3ABE">
        <w:rPr>
          <w:rFonts w:ascii="Times New Roman" w:hAnsi="Times New Roman"/>
          <w:szCs w:val="24"/>
        </w:rPr>
        <w:t>1320.</w:t>
      </w:r>
    </w:p>
    <w:p w:rsidRPr="00BD3ABE" w:rsidR="0065511A" w:rsidP="00CB21D8" w:rsidRDefault="0065511A" w14:paraId="1F71486C" w14:textId="77777777">
      <w:pPr>
        <w:tabs>
          <w:tab w:val="left" w:pos="-1440"/>
        </w:tabs>
        <w:rPr>
          <w:rFonts w:ascii="Times New Roman" w:hAnsi="Times New Roman"/>
          <w:szCs w:val="24"/>
        </w:rPr>
      </w:pPr>
    </w:p>
    <w:p w:rsidRPr="00BD3ABE" w:rsidR="0066096F" w:rsidP="0061160A" w:rsidRDefault="0066096F" w14:paraId="57F416D9" w14:textId="77777777">
      <w:pPr>
        <w:tabs>
          <w:tab w:val="left" w:pos="-1440"/>
        </w:tabs>
        <w:ind w:left="720" w:hanging="720"/>
        <w:rPr>
          <w:rFonts w:ascii="Times New Roman" w:hAnsi="Times New Roman"/>
          <w:b/>
          <w:i/>
          <w:szCs w:val="24"/>
        </w:rPr>
      </w:pPr>
      <w:r w:rsidRPr="00BD3ABE">
        <w:rPr>
          <w:rFonts w:ascii="Times New Roman" w:hAnsi="Times New Roman"/>
          <w:b/>
          <w:i/>
          <w:szCs w:val="24"/>
        </w:rPr>
        <w:t>8.</w:t>
      </w:r>
      <w:r w:rsidRPr="00BD3ABE">
        <w:rPr>
          <w:rFonts w:ascii="Times New Roman" w:hAnsi="Times New Roman"/>
          <w:b/>
          <w:i/>
          <w:szCs w:val="24"/>
        </w:rPr>
        <w:tab/>
        <w:t>Efforts to consult with persons outside the agency:</w:t>
      </w:r>
    </w:p>
    <w:p w:rsidRPr="00BD3ABE" w:rsidR="0066096F" w:rsidP="0061160A" w:rsidRDefault="0066096F" w14:paraId="4A1D64D7" w14:textId="77777777">
      <w:pPr>
        <w:rPr>
          <w:rFonts w:ascii="Times New Roman" w:hAnsi="Times New Roman"/>
          <w:szCs w:val="24"/>
        </w:rPr>
      </w:pPr>
    </w:p>
    <w:p w:rsidRPr="00BD3ABE" w:rsidR="0066096F" w:rsidP="0061160A" w:rsidRDefault="003F4581" w14:paraId="64B2560F" w14:textId="49086EDC">
      <w:pPr>
        <w:ind w:firstLine="720"/>
        <w:rPr>
          <w:rFonts w:ascii="Times New Roman" w:hAnsi="Times New Roman"/>
          <w:szCs w:val="24"/>
        </w:rPr>
      </w:pPr>
      <w:r w:rsidRPr="00BD3ABE">
        <w:rPr>
          <w:rFonts w:ascii="Times New Roman" w:hAnsi="Times New Roman"/>
          <w:szCs w:val="24"/>
        </w:rPr>
        <w:t xml:space="preserve">The OCC issued a notice for 60 days of comment regarding </w:t>
      </w:r>
      <w:r w:rsidRPr="00BD3ABE" w:rsidR="00EB1A59">
        <w:rPr>
          <w:rFonts w:ascii="Times New Roman" w:hAnsi="Times New Roman"/>
          <w:szCs w:val="24"/>
        </w:rPr>
        <w:t>the renewal of</w:t>
      </w:r>
      <w:r w:rsidRPr="00BD3ABE" w:rsidR="00486367">
        <w:rPr>
          <w:rFonts w:ascii="Times New Roman" w:hAnsi="Times New Roman"/>
          <w:szCs w:val="24"/>
        </w:rPr>
        <w:t xml:space="preserve"> </w:t>
      </w:r>
      <w:r w:rsidRPr="00BD3ABE">
        <w:rPr>
          <w:rFonts w:ascii="Times New Roman" w:hAnsi="Times New Roman"/>
          <w:szCs w:val="24"/>
        </w:rPr>
        <w:t>this collection on</w:t>
      </w:r>
      <w:r w:rsidRPr="00BD3ABE" w:rsidR="0066096F">
        <w:rPr>
          <w:rFonts w:ascii="Times New Roman" w:hAnsi="Times New Roman"/>
          <w:szCs w:val="24"/>
        </w:rPr>
        <w:t xml:space="preserve"> </w:t>
      </w:r>
      <w:r w:rsidRPr="00BD3ABE" w:rsidR="006E58C0">
        <w:rPr>
          <w:rFonts w:ascii="Times New Roman" w:hAnsi="Times New Roman"/>
          <w:szCs w:val="24"/>
        </w:rPr>
        <w:t>November 5, 2020</w:t>
      </w:r>
      <w:r w:rsidRPr="00BD3ABE" w:rsidR="00AD66E4">
        <w:rPr>
          <w:rFonts w:ascii="Times New Roman" w:hAnsi="Times New Roman"/>
          <w:szCs w:val="24"/>
        </w:rPr>
        <w:t>,</w:t>
      </w:r>
      <w:r w:rsidRPr="00BD3ABE" w:rsidR="0066096F">
        <w:rPr>
          <w:rFonts w:ascii="Times New Roman" w:hAnsi="Times New Roman"/>
          <w:szCs w:val="24"/>
        </w:rPr>
        <w:t xml:space="preserve"> </w:t>
      </w:r>
      <w:r w:rsidRPr="00BD3ABE" w:rsidR="003E1862">
        <w:rPr>
          <w:rFonts w:ascii="Times New Roman" w:hAnsi="Times New Roman"/>
          <w:szCs w:val="24"/>
        </w:rPr>
        <w:t>8</w:t>
      </w:r>
      <w:r w:rsidRPr="00BD3ABE" w:rsidR="00EB1A59">
        <w:rPr>
          <w:rFonts w:ascii="Times New Roman" w:hAnsi="Times New Roman"/>
          <w:szCs w:val="24"/>
        </w:rPr>
        <w:t>5</w:t>
      </w:r>
      <w:r w:rsidRPr="00BD3ABE" w:rsidR="00962E44">
        <w:rPr>
          <w:rFonts w:ascii="Times New Roman" w:hAnsi="Times New Roman"/>
          <w:szCs w:val="24"/>
        </w:rPr>
        <w:t xml:space="preserve"> FR </w:t>
      </w:r>
      <w:r w:rsidRPr="00BD3ABE" w:rsidR="006E58C0">
        <w:rPr>
          <w:rFonts w:ascii="Times New Roman" w:hAnsi="Times New Roman"/>
          <w:szCs w:val="24"/>
        </w:rPr>
        <w:t>70711</w:t>
      </w:r>
      <w:r w:rsidRPr="00BD3ABE" w:rsidR="00962E44">
        <w:rPr>
          <w:rFonts w:ascii="Times New Roman" w:hAnsi="Times New Roman"/>
          <w:szCs w:val="24"/>
        </w:rPr>
        <w:t xml:space="preserve">.  </w:t>
      </w:r>
    </w:p>
    <w:p w:rsidRPr="00BD3ABE" w:rsidR="0066096F" w:rsidP="0061160A" w:rsidRDefault="0066096F" w14:paraId="289C6201" w14:textId="77777777">
      <w:pPr>
        <w:rPr>
          <w:rFonts w:ascii="Times New Roman" w:hAnsi="Times New Roman"/>
          <w:szCs w:val="24"/>
        </w:rPr>
      </w:pPr>
    </w:p>
    <w:p w:rsidRPr="00BD3ABE" w:rsidR="0066096F" w:rsidP="0061160A" w:rsidRDefault="0066096F" w14:paraId="12689110" w14:textId="77777777">
      <w:pPr>
        <w:rPr>
          <w:rFonts w:ascii="Times New Roman" w:hAnsi="Times New Roman"/>
          <w:b/>
          <w:i/>
          <w:szCs w:val="24"/>
        </w:rPr>
      </w:pPr>
      <w:r w:rsidRPr="00BD3ABE">
        <w:rPr>
          <w:rFonts w:ascii="Times New Roman" w:hAnsi="Times New Roman"/>
          <w:b/>
          <w:i/>
          <w:szCs w:val="24"/>
        </w:rPr>
        <w:t>9.</w:t>
      </w:r>
      <w:r w:rsidRPr="00BD3ABE">
        <w:rPr>
          <w:rFonts w:ascii="Times New Roman" w:hAnsi="Times New Roman"/>
          <w:b/>
          <w:i/>
          <w:szCs w:val="24"/>
        </w:rPr>
        <w:tab/>
        <w:t>Payment to respondents:</w:t>
      </w:r>
    </w:p>
    <w:p w:rsidRPr="00BD3ABE" w:rsidR="0066096F" w:rsidP="0061160A" w:rsidRDefault="0066096F" w14:paraId="5091DE57" w14:textId="77777777">
      <w:pPr>
        <w:rPr>
          <w:rFonts w:ascii="Times New Roman" w:hAnsi="Times New Roman"/>
          <w:szCs w:val="24"/>
          <w:u w:val="single"/>
        </w:rPr>
      </w:pPr>
    </w:p>
    <w:p w:rsidRPr="00BD3ABE" w:rsidR="0066096F" w:rsidP="0061160A" w:rsidRDefault="0066096F" w14:paraId="070B8D0B" w14:textId="77777777">
      <w:pPr>
        <w:ind w:firstLine="720"/>
        <w:rPr>
          <w:rFonts w:ascii="Times New Roman" w:hAnsi="Times New Roman"/>
          <w:szCs w:val="24"/>
        </w:rPr>
      </w:pPr>
      <w:r w:rsidRPr="00BD3ABE">
        <w:rPr>
          <w:rFonts w:ascii="Times New Roman" w:hAnsi="Times New Roman"/>
          <w:szCs w:val="24"/>
        </w:rPr>
        <w:t>There is no payment to respondents.</w:t>
      </w:r>
    </w:p>
    <w:p w:rsidRPr="00BD3ABE" w:rsidR="0066096F" w:rsidP="0061160A" w:rsidRDefault="0066096F" w14:paraId="612EA5E0" w14:textId="77777777">
      <w:pPr>
        <w:tabs>
          <w:tab w:val="left" w:pos="-1440"/>
        </w:tabs>
        <w:rPr>
          <w:rFonts w:ascii="Times New Roman" w:hAnsi="Times New Roman"/>
          <w:szCs w:val="24"/>
        </w:rPr>
      </w:pPr>
    </w:p>
    <w:p w:rsidRPr="00BD3ABE" w:rsidR="0066096F" w:rsidP="0061160A" w:rsidRDefault="0066096F" w14:paraId="559E7C22" w14:textId="77777777">
      <w:pPr>
        <w:tabs>
          <w:tab w:val="left" w:pos="-1440"/>
        </w:tabs>
        <w:ind w:left="720" w:hanging="720"/>
        <w:rPr>
          <w:rFonts w:ascii="Times New Roman" w:hAnsi="Times New Roman"/>
          <w:b/>
          <w:i/>
          <w:szCs w:val="24"/>
        </w:rPr>
      </w:pPr>
      <w:r w:rsidRPr="00BD3ABE">
        <w:rPr>
          <w:rFonts w:ascii="Times New Roman" w:hAnsi="Times New Roman"/>
          <w:b/>
          <w:i/>
          <w:szCs w:val="24"/>
        </w:rPr>
        <w:t>10.</w:t>
      </w:r>
      <w:r w:rsidRPr="00BD3ABE">
        <w:rPr>
          <w:rFonts w:ascii="Times New Roman" w:hAnsi="Times New Roman"/>
          <w:b/>
          <w:i/>
          <w:szCs w:val="24"/>
        </w:rPr>
        <w:tab/>
        <w:t>Any assurance of confidentiality:</w:t>
      </w:r>
    </w:p>
    <w:p w:rsidRPr="00BD3ABE" w:rsidR="0066096F" w:rsidP="0061160A" w:rsidRDefault="0066096F" w14:paraId="3C0D048F" w14:textId="77777777">
      <w:pPr>
        <w:rPr>
          <w:rFonts w:ascii="Times New Roman" w:hAnsi="Times New Roman"/>
          <w:szCs w:val="24"/>
        </w:rPr>
      </w:pPr>
    </w:p>
    <w:p w:rsidRPr="00BD3ABE" w:rsidR="0066096F" w:rsidP="0061160A" w:rsidRDefault="005D6486" w14:paraId="5A74C47B" w14:textId="77777777">
      <w:pPr>
        <w:ind w:firstLine="720"/>
        <w:rPr>
          <w:rFonts w:ascii="Times New Roman" w:hAnsi="Times New Roman"/>
          <w:szCs w:val="24"/>
        </w:rPr>
      </w:pPr>
      <w:r w:rsidRPr="00BD3ABE">
        <w:rPr>
          <w:rFonts w:ascii="Times New Roman" w:hAnsi="Times New Roman"/>
          <w:szCs w:val="24"/>
        </w:rPr>
        <w:t xml:space="preserve">The information collection is kept </w:t>
      </w:r>
      <w:r w:rsidRPr="00BD3ABE" w:rsidR="005628F5">
        <w:rPr>
          <w:rFonts w:ascii="Times New Roman" w:hAnsi="Times New Roman"/>
          <w:szCs w:val="24"/>
        </w:rPr>
        <w:t>private</w:t>
      </w:r>
      <w:r w:rsidRPr="00BD3ABE" w:rsidR="0047220D">
        <w:rPr>
          <w:rFonts w:ascii="Times New Roman" w:hAnsi="Times New Roman"/>
          <w:szCs w:val="24"/>
        </w:rPr>
        <w:t xml:space="preserve"> to the extent permitted by law.</w:t>
      </w:r>
    </w:p>
    <w:p w:rsidRPr="00BD3ABE" w:rsidR="0066096F" w:rsidP="0061160A" w:rsidRDefault="0066096F" w14:paraId="4CA2770D" w14:textId="77777777">
      <w:pPr>
        <w:rPr>
          <w:rFonts w:ascii="Times New Roman" w:hAnsi="Times New Roman"/>
          <w:szCs w:val="24"/>
        </w:rPr>
      </w:pPr>
    </w:p>
    <w:p w:rsidRPr="00BD3ABE" w:rsidR="0066096F" w:rsidP="0061160A" w:rsidRDefault="0066096F" w14:paraId="0FBE1BCC" w14:textId="77777777">
      <w:pPr>
        <w:tabs>
          <w:tab w:val="left" w:pos="-1440"/>
        </w:tabs>
        <w:ind w:left="720" w:hanging="720"/>
        <w:rPr>
          <w:rFonts w:ascii="Times New Roman" w:hAnsi="Times New Roman"/>
          <w:b/>
          <w:i/>
          <w:szCs w:val="24"/>
        </w:rPr>
      </w:pPr>
      <w:r w:rsidRPr="00BD3ABE">
        <w:rPr>
          <w:rFonts w:ascii="Times New Roman" w:hAnsi="Times New Roman"/>
          <w:b/>
          <w:i/>
          <w:szCs w:val="24"/>
        </w:rPr>
        <w:t>11.</w:t>
      </w:r>
      <w:r w:rsidRPr="00BD3ABE">
        <w:rPr>
          <w:rFonts w:ascii="Times New Roman" w:hAnsi="Times New Roman"/>
          <w:b/>
          <w:i/>
          <w:szCs w:val="24"/>
        </w:rPr>
        <w:tab/>
        <w:t>Justification for questions of a sensitive nature:</w:t>
      </w:r>
    </w:p>
    <w:p w:rsidRPr="00BD3ABE" w:rsidR="0066096F" w:rsidP="0061160A" w:rsidRDefault="0066096F" w14:paraId="0B3D0E12" w14:textId="77777777">
      <w:pPr>
        <w:tabs>
          <w:tab w:val="left" w:pos="-1440"/>
        </w:tabs>
        <w:ind w:left="720" w:hanging="720"/>
        <w:rPr>
          <w:rFonts w:ascii="Times New Roman" w:hAnsi="Times New Roman"/>
          <w:szCs w:val="24"/>
        </w:rPr>
      </w:pPr>
    </w:p>
    <w:p w:rsidRPr="00BD3ABE" w:rsidR="0066096F" w:rsidP="0061160A" w:rsidRDefault="0024422C" w14:paraId="40517B6A" w14:textId="6944E58C">
      <w:pPr>
        <w:ind w:firstLine="720"/>
        <w:rPr>
          <w:rFonts w:ascii="Times New Roman" w:hAnsi="Times New Roman"/>
          <w:szCs w:val="24"/>
        </w:rPr>
      </w:pPr>
      <w:r w:rsidRPr="00BD3ABE">
        <w:rPr>
          <w:rFonts w:ascii="Times New Roman" w:hAnsi="Times New Roman"/>
          <w:szCs w:val="24"/>
        </w:rPr>
        <w:t xml:space="preserve">No personally identifiable information is </w:t>
      </w:r>
      <w:r w:rsidRPr="00BD3ABE" w:rsidR="00721846">
        <w:rPr>
          <w:rFonts w:ascii="Times New Roman" w:hAnsi="Times New Roman"/>
          <w:szCs w:val="24"/>
        </w:rPr>
        <w:t>submitted to the OCC</w:t>
      </w:r>
      <w:r w:rsidRPr="00BD3ABE">
        <w:rPr>
          <w:rFonts w:ascii="Times New Roman" w:hAnsi="Times New Roman"/>
          <w:szCs w:val="24"/>
        </w:rPr>
        <w:t>.  However, q</w:t>
      </w:r>
      <w:r w:rsidRPr="00BD3ABE" w:rsidR="0066096F">
        <w:rPr>
          <w:rFonts w:ascii="Times New Roman" w:hAnsi="Times New Roman"/>
          <w:szCs w:val="24"/>
        </w:rPr>
        <w:t xml:space="preserve">uestions of a sensitive nature are included under the monitoring information requirement.  </w:t>
      </w:r>
      <w:r w:rsidRPr="00BD3ABE" w:rsidR="00CB21D8">
        <w:rPr>
          <w:rFonts w:ascii="Times New Roman" w:hAnsi="Times New Roman"/>
          <w:szCs w:val="24"/>
        </w:rPr>
        <w:t>For example, i</w:t>
      </w:r>
      <w:r w:rsidRPr="00BD3ABE" w:rsidR="00097ABF">
        <w:rPr>
          <w:rFonts w:ascii="Times New Roman" w:hAnsi="Times New Roman"/>
          <w:szCs w:val="24"/>
        </w:rPr>
        <w:t>nstitutions</w:t>
      </w:r>
      <w:r w:rsidRPr="00BD3ABE" w:rsidR="0066096F">
        <w:rPr>
          <w:rFonts w:ascii="Times New Roman" w:hAnsi="Times New Roman"/>
          <w:szCs w:val="24"/>
        </w:rPr>
        <w:t xml:space="preserve"> must ask applicants for home loans to indicate their sex and race/national origin.  If the applicant chooses not to furnish the information, the bank must note the applicant's race and sex bas</w:t>
      </w:r>
      <w:r w:rsidRPr="00BD3ABE" w:rsidR="00CE0786">
        <w:rPr>
          <w:rFonts w:ascii="Times New Roman" w:hAnsi="Times New Roman"/>
          <w:szCs w:val="24"/>
        </w:rPr>
        <w:t xml:space="preserve">ed on </w:t>
      </w:r>
      <w:r w:rsidRPr="00BD3ABE" w:rsidR="0066096F">
        <w:rPr>
          <w:rFonts w:ascii="Times New Roman" w:hAnsi="Times New Roman"/>
          <w:szCs w:val="24"/>
        </w:rPr>
        <w:t>visual observation or surname.</w:t>
      </w:r>
    </w:p>
    <w:p w:rsidRPr="00BD3ABE" w:rsidR="0024422C" w:rsidP="0061160A" w:rsidRDefault="0024422C" w14:paraId="10F8782A" w14:textId="77777777">
      <w:pPr>
        <w:rPr>
          <w:rFonts w:ascii="Times New Roman" w:hAnsi="Times New Roman"/>
          <w:szCs w:val="24"/>
        </w:rPr>
      </w:pPr>
    </w:p>
    <w:p w:rsidRPr="00BD3ABE" w:rsidR="0066096F" w:rsidP="0061160A" w:rsidRDefault="0066096F" w14:paraId="272690E4" w14:textId="77777777">
      <w:pPr>
        <w:ind w:firstLine="720"/>
        <w:rPr>
          <w:rFonts w:ascii="Times New Roman" w:hAnsi="Times New Roman"/>
          <w:szCs w:val="24"/>
        </w:rPr>
      </w:pPr>
      <w:r w:rsidRPr="00BD3ABE">
        <w:rPr>
          <w:rFonts w:ascii="Times New Roman" w:hAnsi="Times New Roman"/>
          <w:szCs w:val="24"/>
        </w:rPr>
        <w:t xml:space="preserve">The regulations are designed to </w:t>
      </w:r>
      <w:r w:rsidRPr="00BD3ABE" w:rsidR="00797193">
        <w:rPr>
          <w:rFonts w:ascii="Times New Roman" w:hAnsi="Times New Roman"/>
          <w:szCs w:val="24"/>
        </w:rPr>
        <w:t xml:space="preserve">identify </w:t>
      </w:r>
      <w:r w:rsidRPr="00BD3ABE">
        <w:rPr>
          <w:rFonts w:ascii="Times New Roman" w:hAnsi="Times New Roman"/>
          <w:szCs w:val="24"/>
        </w:rPr>
        <w:t xml:space="preserve">possible discriminatory practices.  Such discrimination would </w:t>
      </w:r>
      <w:r w:rsidRPr="00BD3ABE" w:rsidR="00435B05">
        <w:rPr>
          <w:rFonts w:ascii="Times New Roman" w:hAnsi="Times New Roman"/>
          <w:szCs w:val="24"/>
        </w:rPr>
        <w:t xml:space="preserve">tend to </w:t>
      </w:r>
      <w:r w:rsidRPr="00BD3ABE">
        <w:rPr>
          <w:rFonts w:ascii="Times New Roman" w:hAnsi="Times New Roman"/>
          <w:szCs w:val="24"/>
        </w:rPr>
        <w:t xml:space="preserve">occur </w:t>
      </w:r>
      <w:r w:rsidRPr="00BD3ABE" w:rsidR="00435B05">
        <w:rPr>
          <w:rFonts w:ascii="Times New Roman" w:hAnsi="Times New Roman"/>
          <w:szCs w:val="24"/>
        </w:rPr>
        <w:t xml:space="preserve">on how the lender perceives the applicant, rather than </w:t>
      </w:r>
      <w:r w:rsidRPr="00BD3ABE">
        <w:rPr>
          <w:rFonts w:ascii="Times New Roman" w:hAnsi="Times New Roman"/>
          <w:szCs w:val="24"/>
        </w:rPr>
        <w:t>how the applicant characterizes himself or herself.</w:t>
      </w:r>
    </w:p>
    <w:p w:rsidRPr="00BD3ABE" w:rsidR="0066096F" w:rsidP="0061160A" w:rsidRDefault="0066096F" w14:paraId="0D91460F" w14:textId="77777777">
      <w:pPr>
        <w:rPr>
          <w:rFonts w:ascii="Times New Roman" w:hAnsi="Times New Roman"/>
          <w:szCs w:val="24"/>
        </w:rPr>
      </w:pPr>
    </w:p>
    <w:p w:rsidRPr="00BD3ABE" w:rsidR="0066096F" w:rsidP="0061160A" w:rsidRDefault="00435B05" w14:paraId="19396F04" w14:textId="77777777">
      <w:pPr>
        <w:ind w:firstLine="720"/>
        <w:rPr>
          <w:rFonts w:ascii="Times New Roman" w:hAnsi="Times New Roman"/>
          <w:szCs w:val="24"/>
        </w:rPr>
      </w:pPr>
      <w:r w:rsidRPr="00BD3ABE">
        <w:rPr>
          <w:rFonts w:ascii="Times New Roman" w:hAnsi="Times New Roman"/>
          <w:szCs w:val="24"/>
        </w:rPr>
        <w:t xml:space="preserve">While an applicant’s color or sex may be </w:t>
      </w:r>
      <w:r w:rsidRPr="00BD3ABE" w:rsidR="0066096F">
        <w:rPr>
          <w:rFonts w:ascii="Times New Roman" w:hAnsi="Times New Roman"/>
          <w:szCs w:val="24"/>
        </w:rPr>
        <w:t xml:space="preserve">evident when </w:t>
      </w:r>
      <w:r w:rsidRPr="00BD3ABE">
        <w:rPr>
          <w:rFonts w:ascii="Times New Roman" w:hAnsi="Times New Roman"/>
          <w:szCs w:val="24"/>
        </w:rPr>
        <w:t>the</w:t>
      </w:r>
      <w:r w:rsidRPr="00BD3ABE" w:rsidR="00475D94">
        <w:rPr>
          <w:rFonts w:ascii="Times New Roman" w:hAnsi="Times New Roman"/>
          <w:szCs w:val="24"/>
        </w:rPr>
        <w:t>y come</w:t>
      </w:r>
      <w:r w:rsidRPr="00BD3ABE" w:rsidR="0066096F">
        <w:rPr>
          <w:rFonts w:ascii="Times New Roman" w:hAnsi="Times New Roman"/>
          <w:szCs w:val="24"/>
        </w:rPr>
        <w:t xml:space="preserve"> to inquire about an application</w:t>
      </w:r>
      <w:r w:rsidRPr="00BD3ABE">
        <w:rPr>
          <w:rFonts w:ascii="Times New Roman" w:hAnsi="Times New Roman"/>
          <w:szCs w:val="24"/>
        </w:rPr>
        <w:t xml:space="preserve">, </w:t>
      </w:r>
      <w:r w:rsidRPr="00BD3ABE" w:rsidR="0066096F">
        <w:rPr>
          <w:rFonts w:ascii="Times New Roman" w:hAnsi="Times New Roman"/>
          <w:szCs w:val="24"/>
        </w:rPr>
        <w:t>a practice of discrimination cannot be ascertained unless the examiner has the information on the applicant's race or sex.  Also, without this information in each file, corrective action for the class of persons who may have been discriminated against cannot be undertaken.</w:t>
      </w:r>
    </w:p>
    <w:p w:rsidRPr="00BD3ABE" w:rsidR="0066096F" w:rsidP="0061160A" w:rsidRDefault="0066096F" w14:paraId="4B649D75" w14:textId="77777777">
      <w:pPr>
        <w:rPr>
          <w:rFonts w:ascii="Times New Roman" w:hAnsi="Times New Roman"/>
          <w:szCs w:val="24"/>
        </w:rPr>
      </w:pPr>
    </w:p>
    <w:p w:rsidRPr="00BD3ABE" w:rsidR="0066096F" w:rsidP="0061160A" w:rsidRDefault="0066096F" w14:paraId="6DF96366" w14:textId="77777777">
      <w:pPr>
        <w:ind w:firstLine="720"/>
        <w:rPr>
          <w:rFonts w:ascii="Times New Roman" w:hAnsi="Times New Roman"/>
          <w:szCs w:val="24"/>
        </w:rPr>
      </w:pPr>
      <w:r w:rsidRPr="00BD3ABE">
        <w:rPr>
          <w:rFonts w:ascii="Times New Roman" w:hAnsi="Times New Roman"/>
          <w:szCs w:val="24"/>
        </w:rPr>
        <w:t xml:space="preserve">The collection by the </w:t>
      </w:r>
      <w:r w:rsidRPr="00BD3ABE" w:rsidR="00CF5A77">
        <w:rPr>
          <w:rFonts w:ascii="Times New Roman" w:hAnsi="Times New Roman"/>
          <w:szCs w:val="24"/>
        </w:rPr>
        <w:t>OCC</w:t>
      </w:r>
      <w:r w:rsidRPr="00BD3ABE">
        <w:rPr>
          <w:rFonts w:ascii="Times New Roman" w:hAnsi="Times New Roman"/>
          <w:szCs w:val="24"/>
        </w:rPr>
        <w:t xml:space="preserve"> of sex and race/national origin information is exempted under the supervisory agency provision of 12 U.S.C. 3413(b), which permits the examination by or disclosure to any such agency of financial reco</w:t>
      </w:r>
      <w:r w:rsidRPr="00BD3ABE" w:rsidR="003D0A41">
        <w:rPr>
          <w:rFonts w:ascii="Times New Roman" w:hAnsi="Times New Roman"/>
          <w:szCs w:val="24"/>
        </w:rPr>
        <w:t>rds or</w:t>
      </w:r>
      <w:r w:rsidRPr="00BD3ABE">
        <w:rPr>
          <w:rFonts w:ascii="Times New Roman" w:hAnsi="Times New Roman"/>
          <w:szCs w:val="24"/>
        </w:rPr>
        <w:t xml:space="preserve"> information in the exercise of its supervisory, regulatory</w:t>
      </w:r>
      <w:r w:rsidRPr="00BD3ABE" w:rsidR="00AD66E4">
        <w:rPr>
          <w:rFonts w:ascii="Times New Roman" w:hAnsi="Times New Roman"/>
          <w:szCs w:val="24"/>
        </w:rPr>
        <w:t>,</w:t>
      </w:r>
      <w:r w:rsidRPr="00BD3ABE">
        <w:rPr>
          <w:rFonts w:ascii="Times New Roman" w:hAnsi="Times New Roman"/>
          <w:szCs w:val="24"/>
        </w:rPr>
        <w:t xml:space="preserve"> or monetary functions.</w:t>
      </w:r>
    </w:p>
    <w:p w:rsidRPr="00BD3ABE" w:rsidR="00DC23AC" w:rsidP="0061160A" w:rsidRDefault="00DC23AC" w14:paraId="13672E5A" w14:textId="77777777">
      <w:pPr>
        <w:tabs>
          <w:tab w:val="left" w:pos="-1440"/>
        </w:tabs>
        <w:ind w:left="720" w:hanging="720"/>
        <w:rPr>
          <w:rFonts w:ascii="Times New Roman" w:hAnsi="Times New Roman"/>
          <w:szCs w:val="24"/>
        </w:rPr>
      </w:pPr>
    </w:p>
    <w:p w:rsidRPr="00BD3ABE" w:rsidR="0066096F" w:rsidP="0061160A" w:rsidRDefault="0066096F" w14:paraId="7869F48E" w14:textId="77777777">
      <w:pPr>
        <w:tabs>
          <w:tab w:val="left" w:pos="-1440"/>
        </w:tabs>
        <w:ind w:left="720" w:hanging="720"/>
        <w:rPr>
          <w:rFonts w:ascii="Times New Roman" w:hAnsi="Times New Roman"/>
          <w:b/>
          <w:i/>
          <w:szCs w:val="24"/>
        </w:rPr>
      </w:pPr>
      <w:r w:rsidRPr="00BD3ABE">
        <w:rPr>
          <w:rFonts w:ascii="Times New Roman" w:hAnsi="Times New Roman"/>
          <w:b/>
          <w:i/>
          <w:szCs w:val="24"/>
        </w:rPr>
        <w:t>12.</w:t>
      </w:r>
      <w:r w:rsidRPr="00BD3ABE">
        <w:rPr>
          <w:rFonts w:ascii="Times New Roman" w:hAnsi="Times New Roman"/>
          <w:b/>
          <w:i/>
          <w:szCs w:val="24"/>
        </w:rPr>
        <w:tab/>
        <w:t>Burden estimate:</w:t>
      </w:r>
    </w:p>
    <w:p w:rsidRPr="00BD3ABE" w:rsidR="001016B5" w:rsidP="0061160A" w:rsidRDefault="001016B5" w14:paraId="13D7DED4" w14:textId="77777777">
      <w:pPr>
        <w:rPr>
          <w:rFonts w:ascii="Times New Roman" w:hAnsi="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0"/>
        <w:gridCol w:w="2568"/>
        <w:gridCol w:w="1427"/>
        <w:gridCol w:w="1373"/>
        <w:gridCol w:w="1256"/>
        <w:gridCol w:w="950"/>
        <w:gridCol w:w="876"/>
      </w:tblGrid>
      <w:tr w:rsidRPr="00BD3ABE" w:rsidR="00944653" w:rsidTr="0024422C" w14:paraId="2B90D1FC" w14:textId="77777777">
        <w:trPr>
          <w:trHeight w:val="537"/>
          <w:tblHeader/>
        </w:trPr>
        <w:tc>
          <w:tcPr>
            <w:tcW w:w="87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D3ABE" w:rsidR="00944653" w:rsidP="0061160A" w:rsidRDefault="00944653" w14:paraId="5B8C2C94" w14:textId="77777777">
            <w:pPr>
              <w:jc w:val="center"/>
              <w:rPr>
                <w:rFonts w:ascii="Times New Roman" w:hAnsi="Times New Roman" w:eastAsia="Calibri"/>
                <w:sz w:val="20"/>
              </w:rPr>
            </w:pPr>
            <w:r w:rsidRPr="00BD3ABE">
              <w:rPr>
                <w:rFonts w:ascii="Times New Roman" w:hAnsi="Times New Roman" w:eastAsia="Calibri"/>
                <w:sz w:val="20"/>
              </w:rPr>
              <w:t>Section Number</w:t>
            </w:r>
          </w:p>
        </w:tc>
        <w:tc>
          <w:tcPr>
            <w:tcW w:w="256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D3ABE" w:rsidR="00944653" w:rsidP="0061160A" w:rsidRDefault="00944653" w14:paraId="2B970122" w14:textId="77777777">
            <w:pPr>
              <w:jc w:val="center"/>
              <w:rPr>
                <w:rFonts w:ascii="Times New Roman" w:hAnsi="Times New Roman" w:eastAsia="Calibri"/>
                <w:sz w:val="20"/>
              </w:rPr>
            </w:pPr>
            <w:r w:rsidRPr="00BD3ABE">
              <w:rPr>
                <w:rFonts w:ascii="Times New Roman" w:hAnsi="Times New Roman" w:eastAsia="Calibri"/>
                <w:sz w:val="20"/>
              </w:rPr>
              <w:t>Requirements</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D3ABE" w:rsidR="00944653" w:rsidP="0061160A" w:rsidRDefault="00944653" w14:paraId="5B13473F" w14:textId="77777777">
            <w:pPr>
              <w:jc w:val="center"/>
              <w:rPr>
                <w:rFonts w:ascii="Times New Roman" w:hAnsi="Times New Roman" w:eastAsia="Calibri"/>
                <w:sz w:val="20"/>
              </w:rPr>
            </w:pPr>
            <w:r w:rsidRPr="00BD3ABE">
              <w:rPr>
                <w:rFonts w:ascii="Times New Roman" w:hAnsi="Times New Roman" w:eastAsia="Calibri"/>
                <w:sz w:val="20"/>
              </w:rPr>
              <w:t>Type of Burden</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D3ABE" w:rsidR="00944653" w:rsidP="0061160A" w:rsidRDefault="00944653" w14:paraId="0DA12A2F" w14:textId="77777777">
            <w:pPr>
              <w:jc w:val="center"/>
              <w:rPr>
                <w:rFonts w:ascii="Times New Roman" w:hAnsi="Times New Roman" w:eastAsia="Calibri"/>
                <w:sz w:val="20"/>
              </w:rPr>
            </w:pPr>
            <w:r w:rsidRPr="00BD3ABE">
              <w:rPr>
                <w:rFonts w:ascii="Times New Roman" w:hAnsi="Times New Roman" w:eastAsia="Calibri"/>
                <w:sz w:val="20"/>
              </w:rPr>
              <w:t>Number of National Banks</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D3ABE" w:rsidR="007944A9" w:rsidP="0061160A" w:rsidRDefault="00944653" w14:paraId="7ADC0EEF" w14:textId="77777777">
            <w:pPr>
              <w:jc w:val="center"/>
              <w:rPr>
                <w:rFonts w:ascii="Times New Roman" w:hAnsi="Times New Roman" w:eastAsia="Calibri"/>
                <w:sz w:val="20"/>
              </w:rPr>
            </w:pPr>
            <w:r w:rsidRPr="00BD3ABE">
              <w:rPr>
                <w:rFonts w:ascii="Times New Roman" w:hAnsi="Times New Roman" w:eastAsia="Calibri"/>
                <w:sz w:val="20"/>
              </w:rPr>
              <w:t>Number of F</w:t>
            </w:r>
            <w:r w:rsidRPr="00BD3ABE" w:rsidR="007944A9">
              <w:rPr>
                <w:rFonts w:ascii="Times New Roman" w:hAnsi="Times New Roman" w:eastAsia="Calibri"/>
                <w:sz w:val="20"/>
              </w:rPr>
              <w:t xml:space="preserve">ederal </w:t>
            </w:r>
          </w:p>
          <w:p w:rsidRPr="00BD3ABE" w:rsidR="007944A9" w:rsidP="0061160A" w:rsidRDefault="007944A9" w14:paraId="6735DA10" w14:textId="77777777">
            <w:pPr>
              <w:jc w:val="center"/>
              <w:rPr>
                <w:rFonts w:ascii="Times New Roman" w:hAnsi="Times New Roman" w:eastAsia="Calibri"/>
                <w:sz w:val="20"/>
              </w:rPr>
            </w:pPr>
            <w:r w:rsidRPr="00BD3ABE">
              <w:rPr>
                <w:rFonts w:ascii="Times New Roman" w:hAnsi="Times New Roman" w:eastAsia="Calibri"/>
                <w:sz w:val="20"/>
              </w:rPr>
              <w:t>Savings</w:t>
            </w:r>
          </w:p>
          <w:p w:rsidRPr="00BD3ABE" w:rsidR="00944653" w:rsidP="0061160A" w:rsidRDefault="00944653" w14:paraId="17FB7FBE" w14:textId="77777777">
            <w:pPr>
              <w:jc w:val="center"/>
              <w:rPr>
                <w:rFonts w:ascii="Times New Roman" w:hAnsi="Times New Roman" w:eastAsia="Calibri"/>
                <w:sz w:val="20"/>
              </w:rPr>
            </w:pPr>
            <w:r w:rsidRPr="00BD3ABE">
              <w:rPr>
                <w:rFonts w:ascii="Times New Roman" w:hAnsi="Times New Roman" w:eastAsia="Calibri"/>
                <w:sz w:val="20"/>
              </w:rPr>
              <w:t>As</w:t>
            </w:r>
            <w:r w:rsidRPr="00BD3ABE" w:rsidR="007944A9">
              <w:rPr>
                <w:rFonts w:ascii="Times New Roman" w:hAnsi="Times New Roman" w:eastAsia="Calibri"/>
                <w:sz w:val="20"/>
              </w:rPr>
              <w:t>sociations</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D3ABE" w:rsidR="00944653" w:rsidP="0061160A" w:rsidRDefault="00944653" w14:paraId="26604D07" w14:textId="77777777">
            <w:pPr>
              <w:jc w:val="center"/>
              <w:rPr>
                <w:rFonts w:ascii="Times New Roman" w:hAnsi="Times New Roman" w:eastAsia="Calibri"/>
                <w:sz w:val="20"/>
              </w:rPr>
            </w:pPr>
            <w:r w:rsidRPr="00BD3ABE">
              <w:rPr>
                <w:rFonts w:ascii="Times New Roman" w:hAnsi="Times New Roman" w:eastAsia="Calibri"/>
                <w:sz w:val="20"/>
              </w:rPr>
              <w:t>Time Required to Comply</w:t>
            </w:r>
          </w:p>
        </w:tc>
        <w:tc>
          <w:tcPr>
            <w:tcW w:w="900" w:type="dxa"/>
            <w:tcBorders>
              <w:top w:val="single" w:color="auto" w:sz="4" w:space="0"/>
              <w:left w:val="single" w:color="auto" w:sz="4" w:space="0"/>
              <w:bottom w:val="single" w:color="auto" w:sz="4" w:space="0"/>
              <w:right w:val="single" w:color="auto" w:sz="4" w:space="0"/>
            </w:tcBorders>
            <w:shd w:val="clear" w:color="auto" w:fill="D9D9D9"/>
          </w:tcPr>
          <w:p w:rsidRPr="00BD3ABE" w:rsidR="00944653" w:rsidP="0061160A" w:rsidRDefault="00944653" w14:paraId="5777D770" w14:textId="77777777">
            <w:pPr>
              <w:jc w:val="center"/>
              <w:rPr>
                <w:rFonts w:ascii="Times New Roman" w:hAnsi="Times New Roman" w:eastAsia="Calibri"/>
                <w:sz w:val="20"/>
              </w:rPr>
            </w:pPr>
            <w:r w:rsidRPr="00BD3ABE">
              <w:rPr>
                <w:rFonts w:ascii="Times New Roman" w:hAnsi="Times New Roman" w:eastAsia="Calibri"/>
                <w:sz w:val="20"/>
              </w:rPr>
              <w:t>Totals</w:t>
            </w:r>
          </w:p>
        </w:tc>
      </w:tr>
      <w:tr w:rsidRPr="00BD3ABE" w:rsidR="00944653" w:rsidTr="008100E8" w14:paraId="0D2C44E7" w14:textId="77777777">
        <w:trPr>
          <w:trHeight w:val="537"/>
        </w:trPr>
        <w:tc>
          <w:tcPr>
            <w:tcW w:w="875"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6DD47268" w14:textId="77777777">
            <w:pPr>
              <w:jc w:val="right"/>
              <w:rPr>
                <w:rFonts w:ascii="Times New Roman" w:hAnsi="Times New Roman" w:eastAsia="Calibri"/>
                <w:sz w:val="20"/>
              </w:rPr>
            </w:pPr>
            <w:r w:rsidRPr="00BD3ABE">
              <w:rPr>
                <w:rFonts w:ascii="Times New Roman" w:hAnsi="Times New Roman" w:eastAsia="Calibri"/>
                <w:sz w:val="20"/>
              </w:rPr>
              <w:t>§27.3(a)</w:t>
            </w:r>
          </w:p>
          <w:p w:rsidRPr="00BD3ABE" w:rsidR="00132B28" w:rsidP="0061160A" w:rsidRDefault="00132B28" w14:paraId="0A35F306" w14:textId="77777777">
            <w:pPr>
              <w:jc w:val="center"/>
              <w:rPr>
                <w:rFonts w:ascii="Times New Roman" w:hAnsi="Times New Roman" w:eastAsia="Calibri"/>
                <w:sz w:val="20"/>
              </w:rPr>
            </w:pPr>
            <w:r w:rsidRPr="00BD3ABE">
              <w:rPr>
                <w:rFonts w:ascii="Times New Roman" w:hAnsi="Times New Roman" w:eastAsia="Calibri"/>
                <w:sz w:val="20"/>
              </w:rPr>
              <w:t>§ 128.6</w:t>
            </w:r>
          </w:p>
        </w:tc>
        <w:tc>
          <w:tcPr>
            <w:tcW w:w="2563"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52B8EEBE" w14:textId="77777777">
            <w:pPr>
              <w:rPr>
                <w:rFonts w:ascii="Times New Roman" w:hAnsi="Times New Roman" w:eastAsia="Calibri"/>
                <w:sz w:val="20"/>
              </w:rPr>
            </w:pPr>
            <w:r w:rsidRPr="00BD3ABE">
              <w:rPr>
                <w:rFonts w:ascii="Times New Roman" w:hAnsi="Times New Roman" w:eastAsia="Calibri"/>
                <w:sz w:val="20"/>
              </w:rPr>
              <w:t>Quarterly Recordkeeping:</w:t>
            </w:r>
          </w:p>
          <w:p w:rsidRPr="00BD3ABE" w:rsidR="00944653" w:rsidP="0061160A" w:rsidRDefault="00132B28" w14:paraId="1BABC664" w14:textId="77777777">
            <w:pPr>
              <w:pStyle w:val="ListParagraph"/>
              <w:numPr>
                <w:ilvl w:val="0"/>
                <w:numId w:val="1"/>
              </w:numPr>
              <w:spacing w:after="0" w:line="240" w:lineRule="auto"/>
              <w:rPr>
                <w:rFonts w:ascii="Times New Roman" w:hAnsi="Times New Roman"/>
                <w:sz w:val="20"/>
                <w:szCs w:val="20"/>
              </w:rPr>
            </w:pPr>
            <w:r w:rsidRPr="00BD3ABE">
              <w:rPr>
                <w:rFonts w:ascii="Times New Roman" w:hAnsi="Times New Roman"/>
                <w:sz w:val="20"/>
                <w:szCs w:val="20"/>
              </w:rPr>
              <w:t>Institutions</w:t>
            </w:r>
            <w:r w:rsidRPr="00BD3ABE" w:rsidR="00944653">
              <w:rPr>
                <w:rFonts w:ascii="Times New Roman" w:hAnsi="Times New Roman"/>
                <w:sz w:val="20"/>
                <w:szCs w:val="20"/>
              </w:rPr>
              <w:t xml:space="preserve"> required to collect home loan data under Reg C (12 CFR Part 1003) must use Form FR HMDA-LAR</w:t>
            </w:r>
          </w:p>
          <w:p w:rsidRPr="00BD3ABE" w:rsidR="00944653" w:rsidP="0061160A" w:rsidRDefault="00944653" w14:paraId="27E6BC3A" w14:textId="77777777">
            <w:pPr>
              <w:pStyle w:val="ListParagraph"/>
              <w:numPr>
                <w:ilvl w:val="0"/>
                <w:numId w:val="1"/>
              </w:numPr>
              <w:spacing w:after="0" w:line="240" w:lineRule="auto"/>
              <w:rPr>
                <w:rFonts w:ascii="Times New Roman" w:hAnsi="Times New Roman"/>
                <w:sz w:val="20"/>
                <w:szCs w:val="20"/>
              </w:rPr>
            </w:pPr>
            <w:r w:rsidRPr="00BD3ABE">
              <w:rPr>
                <w:rFonts w:ascii="Times New Roman" w:hAnsi="Times New Roman"/>
                <w:sz w:val="20"/>
                <w:szCs w:val="20"/>
              </w:rPr>
              <w:t>Maintain reasons for denial</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59CFC500" w14:textId="77777777">
            <w:pPr>
              <w:rPr>
                <w:rFonts w:ascii="Times New Roman" w:hAnsi="Times New Roman" w:eastAsia="Calibri"/>
                <w:sz w:val="20"/>
              </w:rPr>
            </w:pPr>
            <w:r w:rsidRPr="00BD3ABE">
              <w:rPr>
                <w:rFonts w:ascii="Times New Roman" w:hAnsi="Times New Roman" w:eastAsia="Calibri"/>
                <w:sz w:val="20"/>
              </w:rPr>
              <w:t>Recordkeeping</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AF51F3" w14:paraId="12C5793A" w14:textId="77777777">
            <w:pPr>
              <w:jc w:val="right"/>
              <w:rPr>
                <w:rFonts w:ascii="Times New Roman" w:hAnsi="Times New Roman" w:eastAsia="Calibri"/>
                <w:sz w:val="20"/>
              </w:rPr>
            </w:pPr>
            <w:r w:rsidRPr="00BD3ABE">
              <w:rPr>
                <w:rFonts w:ascii="Times New Roman" w:hAnsi="Times New Roman" w:eastAsia="Calibri"/>
                <w:sz w:val="20"/>
              </w:rPr>
              <w:t>480</w:t>
            </w:r>
          </w:p>
          <w:p w:rsidRPr="00BD3ABE" w:rsidR="00944653" w:rsidP="0061160A" w:rsidRDefault="00944653" w14:paraId="3CC872F2" w14:textId="77777777">
            <w:pPr>
              <w:jc w:val="right"/>
              <w:rPr>
                <w:rFonts w:ascii="Times New Roman" w:hAnsi="Times New Roman" w:eastAsia="Calibri"/>
                <w:sz w:val="20"/>
              </w:rPr>
            </w:pPr>
            <w:r w:rsidRPr="00BD3ABE">
              <w:rPr>
                <w:rFonts w:ascii="Times New Roman" w:hAnsi="Times New Roman" w:eastAsia="Calibri"/>
                <w:sz w:val="20"/>
              </w:rPr>
              <w:t>(all NB-HMDA Reporters)</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AF51F3" w14:paraId="70EE95B0" w14:textId="77777777">
            <w:pPr>
              <w:jc w:val="right"/>
              <w:rPr>
                <w:rFonts w:ascii="Times New Roman" w:hAnsi="Times New Roman" w:eastAsia="Calibri"/>
                <w:sz w:val="20"/>
              </w:rPr>
            </w:pPr>
            <w:r w:rsidRPr="00BD3ABE">
              <w:rPr>
                <w:rFonts w:ascii="Times New Roman" w:hAnsi="Times New Roman" w:eastAsia="Calibri"/>
                <w:sz w:val="20"/>
              </w:rPr>
              <w:t>222</w:t>
            </w:r>
          </w:p>
          <w:p w:rsidRPr="00BD3ABE" w:rsidR="00944653" w:rsidP="0061160A" w:rsidRDefault="00944653" w14:paraId="0BF170BC" w14:textId="77777777">
            <w:pPr>
              <w:ind w:right="224"/>
              <w:jc w:val="right"/>
              <w:rPr>
                <w:rFonts w:ascii="Times New Roman" w:hAnsi="Times New Roman" w:eastAsia="Calibri"/>
                <w:sz w:val="20"/>
              </w:rPr>
            </w:pPr>
            <w:r w:rsidRPr="00BD3ABE">
              <w:rPr>
                <w:rFonts w:ascii="Times New Roman" w:hAnsi="Times New Roman" w:eastAsia="Calibri"/>
                <w:sz w:val="20"/>
              </w:rPr>
              <w:t>(12</w:t>
            </w:r>
            <w:r w:rsidRPr="00BD3ABE" w:rsidR="00C35350">
              <w:rPr>
                <w:rFonts w:ascii="Times New Roman" w:hAnsi="Times New Roman" w:eastAsia="Calibri"/>
                <w:sz w:val="20"/>
              </w:rPr>
              <w:t xml:space="preserve"> </w:t>
            </w:r>
            <w:r w:rsidRPr="00BD3ABE" w:rsidR="00DD2D92">
              <w:rPr>
                <w:rFonts w:ascii="Times New Roman" w:hAnsi="Times New Roman" w:eastAsia="Calibri"/>
                <w:sz w:val="20"/>
              </w:rPr>
              <w:t>C</w:t>
            </w:r>
            <w:r w:rsidRPr="00BD3ABE">
              <w:rPr>
                <w:rFonts w:ascii="Times New Roman" w:hAnsi="Times New Roman" w:eastAsia="Calibri"/>
                <w:sz w:val="20"/>
              </w:rPr>
              <w:t>FR</w:t>
            </w:r>
            <w:r w:rsidRPr="00BD3ABE" w:rsidR="00DD2D92">
              <w:rPr>
                <w:rFonts w:ascii="Times New Roman" w:hAnsi="Times New Roman" w:eastAsia="Calibri"/>
                <w:sz w:val="20"/>
              </w:rPr>
              <w:t xml:space="preserve"> </w:t>
            </w:r>
            <w:r w:rsidRPr="00BD3ABE">
              <w:rPr>
                <w:rFonts w:ascii="Times New Roman" w:hAnsi="Times New Roman" w:eastAsia="Calibri"/>
                <w:sz w:val="20"/>
              </w:rPr>
              <w:t>1003)</w:t>
            </w:r>
          </w:p>
        </w:tc>
        <w:tc>
          <w:tcPr>
            <w:tcW w:w="90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487E9012" w14:textId="77777777">
            <w:pPr>
              <w:jc w:val="right"/>
              <w:rPr>
                <w:rFonts w:ascii="Times New Roman" w:hAnsi="Times New Roman" w:eastAsia="Calibri"/>
                <w:sz w:val="20"/>
              </w:rPr>
            </w:pPr>
            <w:r w:rsidRPr="00BD3ABE">
              <w:rPr>
                <w:rFonts w:ascii="Times New Roman" w:hAnsi="Times New Roman" w:eastAsia="Calibri"/>
                <w:sz w:val="20"/>
              </w:rP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13257B" w14:paraId="3A69F016" w14:textId="77777777">
            <w:pPr>
              <w:jc w:val="right"/>
              <w:rPr>
                <w:rFonts w:ascii="Times New Roman" w:hAnsi="Times New Roman" w:eastAsia="Calibri"/>
                <w:sz w:val="20"/>
              </w:rPr>
            </w:pPr>
            <w:r w:rsidRPr="00BD3ABE">
              <w:rPr>
                <w:rFonts w:ascii="Times New Roman" w:hAnsi="Times New Roman" w:eastAsia="Calibri"/>
                <w:sz w:val="20"/>
              </w:rPr>
              <w:t>2,808</w:t>
            </w:r>
          </w:p>
        </w:tc>
      </w:tr>
      <w:tr w:rsidRPr="00BD3ABE" w:rsidR="00944653" w:rsidTr="00F65AB8" w14:paraId="2EFD8640" w14:textId="77777777">
        <w:trPr>
          <w:trHeight w:val="1727"/>
        </w:trPr>
        <w:tc>
          <w:tcPr>
            <w:tcW w:w="875"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765BFB47" w14:textId="77777777">
            <w:pPr>
              <w:jc w:val="right"/>
              <w:rPr>
                <w:rFonts w:ascii="Times New Roman" w:hAnsi="Times New Roman" w:eastAsia="Calibri"/>
                <w:sz w:val="20"/>
              </w:rPr>
            </w:pPr>
            <w:r w:rsidRPr="00BD3ABE">
              <w:rPr>
                <w:rFonts w:ascii="Times New Roman" w:hAnsi="Times New Roman" w:eastAsia="Calibri"/>
                <w:sz w:val="20"/>
              </w:rPr>
              <w:lastRenderedPageBreak/>
              <w:t>§27.3(b)</w:t>
            </w:r>
          </w:p>
        </w:tc>
        <w:tc>
          <w:tcPr>
            <w:tcW w:w="2563"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41C3B6D3" w14:textId="77777777">
            <w:pPr>
              <w:rPr>
                <w:rFonts w:ascii="Times New Roman" w:hAnsi="Times New Roman" w:eastAsia="Calibri"/>
                <w:sz w:val="20"/>
              </w:rPr>
            </w:pPr>
            <w:r w:rsidRPr="00BD3ABE">
              <w:rPr>
                <w:rFonts w:ascii="Times New Roman" w:hAnsi="Times New Roman" w:eastAsia="Calibri"/>
                <w:sz w:val="20"/>
              </w:rPr>
              <w:t>Informational Required on Applications for Home Loans:</w:t>
            </w:r>
          </w:p>
          <w:p w:rsidRPr="00BD3ABE" w:rsidR="00944653" w:rsidP="0061160A" w:rsidRDefault="00944653" w14:paraId="0C498303" w14:textId="77777777">
            <w:pPr>
              <w:pStyle w:val="ListParagraph"/>
              <w:numPr>
                <w:ilvl w:val="0"/>
                <w:numId w:val="2"/>
              </w:numPr>
              <w:spacing w:after="0" w:line="240" w:lineRule="auto"/>
              <w:rPr>
                <w:rFonts w:ascii="Times New Roman" w:hAnsi="Times New Roman"/>
                <w:sz w:val="20"/>
                <w:szCs w:val="20"/>
              </w:rPr>
            </w:pPr>
            <w:r w:rsidRPr="00BD3ABE">
              <w:rPr>
                <w:rFonts w:ascii="Times New Roman" w:hAnsi="Times New Roman"/>
                <w:sz w:val="20"/>
                <w:szCs w:val="20"/>
              </w:rPr>
              <w:t>(b)(1) lists information to be obtained</w:t>
            </w:r>
          </w:p>
          <w:p w:rsidRPr="00BD3ABE" w:rsidR="00944653" w:rsidP="0061160A" w:rsidRDefault="00944653" w14:paraId="7B33D311" w14:textId="77777777">
            <w:pPr>
              <w:pStyle w:val="ListParagraph"/>
              <w:numPr>
                <w:ilvl w:val="0"/>
                <w:numId w:val="2"/>
              </w:numPr>
              <w:spacing w:after="0" w:line="240" w:lineRule="auto"/>
              <w:rPr>
                <w:rFonts w:ascii="Times New Roman" w:hAnsi="Times New Roman"/>
                <w:sz w:val="20"/>
                <w:szCs w:val="20"/>
              </w:rPr>
            </w:pPr>
            <w:r w:rsidRPr="00BD3ABE">
              <w:rPr>
                <w:rFonts w:ascii="Times New Roman" w:hAnsi="Times New Roman"/>
                <w:sz w:val="20"/>
                <w:szCs w:val="20"/>
              </w:rPr>
              <w:t>(b)(2):</w:t>
            </w:r>
          </w:p>
          <w:p w:rsidRPr="00BD3ABE" w:rsidR="00944653" w:rsidP="0061160A" w:rsidRDefault="00944653" w14:paraId="0E35303C" w14:textId="77777777">
            <w:pPr>
              <w:pStyle w:val="ListParagraph"/>
              <w:numPr>
                <w:ilvl w:val="1"/>
                <w:numId w:val="2"/>
              </w:numPr>
              <w:spacing w:after="0" w:line="240" w:lineRule="auto"/>
              <w:rPr>
                <w:rFonts w:ascii="Times New Roman" w:hAnsi="Times New Roman"/>
                <w:sz w:val="20"/>
                <w:szCs w:val="20"/>
              </w:rPr>
            </w:pPr>
            <w:r w:rsidRPr="00BD3ABE">
              <w:rPr>
                <w:rFonts w:ascii="Times New Roman" w:hAnsi="Times New Roman"/>
                <w:sz w:val="20"/>
                <w:szCs w:val="20"/>
              </w:rPr>
              <w:t>Lists disclosures to applicant</w:t>
            </w:r>
          </w:p>
          <w:p w:rsidRPr="00BD3ABE" w:rsidR="00944653" w:rsidP="0061160A" w:rsidRDefault="00944653" w14:paraId="2988276B" w14:textId="77777777">
            <w:pPr>
              <w:pStyle w:val="ListParagraph"/>
              <w:numPr>
                <w:ilvl w:val="1"/>
                <w:numId w:val="2"/>
              </w:numPr>
              <w:spacing w:after="0" w:line="240" w:lineRule="auto"/>
              <w:rPr>
                <w:rFonts w:ascii="Times New Roman" w:hAnsi="Times New Roman"/>
                <w:sz w:val="20"/>
                <w:szCs w:val="20"/>
              </w:rPr>
            </w:pPr>
            <w:r w:rsidRPr="00BD3ABE">
              <w:rPr>
                <w:rFonts w:ascii="Times New Roman" w:hAnsi="Times New Roman"/>
                <w:sz w:val="20"/>
                <w:szCs w:val="20"/>
              </w:rPr>
              <w:t>Allows for use of form in Appendix II</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675D017F" w14:textId="77777777">
            <w:pPr>
              <w:rPr>
                <w:rFonts w:ascii="Times New Roman" w:hAnsi="Times New Roman" w:eastAsia="Calibri"/>
                <w:sz w:val="20"/>
              </w:rPr>
            </w:pPr>
            <w:r w:rsidRPr="00BD3ABE">
              <w:rPr>
                <w:rFonts w:ascii="Times New Roman" w:hAnsi="Times New Roman" w:eastAsia="Calibri"/>
                <w:sz w:val="20"/>
              </w:rPr>
              <w:t>Recordkeeping</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13257B" w14:paraId="760F45DE" w14:textId="77777777">
            <w:pPr>
              <w:jc w:val="right"/>
              <w:rPr>
                <w:rFonts w:ascii="Times New Roman" w:hAnsi="Times New Roman" w:eastAsia="Calibri"/>
                <w:sz w:val="20"/>
              </w:rPr>
            </w:pPr>
            <w:r w:rsidRPr="00BD3ABE">
              <w:rPr>
                <w:rFonts w:ascii="Times New Roman" w:hAnsi="Times New Roman" w:eastAsia="Calibri"/>
                <w:sz w:val="20"/>
              </w:rPr>
              <w:t>947</w:t>
            </w:r>
          </w:p>
          <w:p w:rsidRPr="00BD3ABE" w:rsidR="00944653" w:rsidP="0061160A" w:rsidRDefault="00944653" w14:paraId="42F84298" w14:textId="77777777">
            <w:pPr>
              <w:jc w:val="right"/>
              <w:rPr>
                <w:rFonts w:ascii="Times New Roman" w:hAnsi="Times New Roman" w:eastAsia="Calibri"/>
                <w:sz w:val="20"/>
              </w:rPr>
            </w:pPr>
            <w:r w:rsidRPr="00BD3ABE">
              <w:rPr>
                <w:rFonts w:ascii="Times New Roman" w:hAnsi="Times New Roman" w:eastAsia="Calibri"/>
                <w:sz w:val="20"/>
              </w:rPr>
              <w:t>(all NBs-exclude Trusts and Credit Card Banks)</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491F9F41" w14:textId="77777777">
            <w:pPr>
              <w:jc w:val="right"/>
              <w:rPr>
                <w:rFonts w:ascii="Times New Roman" w:hAnsi="Times New Roman" w:eastAsia="Calibri"/>
                <w:sz w:val="20"/>
              </w:rPr>
            </w:pPr>
            <w:r w:rsidRPr="00BD3ABE">
              <w:rPr>
                <w:rFonts w:ascii="Times New Roman" w:hAnsi="Times New Roman" w:eastAsia="Calibri"/>
                <w:sz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5D2D58E1" w14:textId="77777777">
            <w:pPr>
              <w:jc w:val="right"/>
              <w:rPr>
                <w:rFonts w:ascii="Times New Roman" w:hAnsi="Times New Roman" w:eastAsia="Calibri"/>
                <w:sz w:val="20"/>
              </w:rPr>
            </w:pPr>
            <w:r w:rsidRPr="00BD3ABE">
              <w:rPr>
                <w:rFonts w:ascii="Times New Roman" w:hAnsi="Times New Roman" w:eastAsia="Calibri"/>
                <w:sz w:val="20"/>
              </w:rP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0854E2" w14:paraId="2FB78888" w14:textId="77777777">
            <w:pPr>
              <w:jc w:val="right"/>
              <w:rPr>
                <w:rFonts w:ascii="Times New Roman" w:hAnsi="Times New Roman" w:eastAsia="Calibri"/>
                <w:sz w:val="20"/>
              </w:rPr>
            </w:pPr>
            <w:r w:rsidRPr="00BD3ABE">
              <w:rPr>
                <w:rFonts w:ascii="Times New Roman" w:hAnsi="Times New Roman" w:eastAsia="Calibri"/>
                <w:sz w:val="20"/>
              </w:rPr>
              <w:t>3,788</w:t>
            </w:r>
          </w:p>
        </w:tc>
      </w:tr>
      <w:tr w:rsidRPr="00BD3ABE" w:rsidR="00944653" w:rsidTr="008100E8" w14:paraId="1F0956AC" w14:textId="77777777">
        <w:trPr>
          <w:trHeight w:val="537"/>
        </w:trPr>
        <w:tc>
          <w:tcPr>
            <w:tcW w:w="875"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4F140B9B" w14:textId="77777777">
            <w:pPr>
              <w:jc w:val="right"/>
              <w:rPr>
                <w:rFonts w:ascii="Times New Roman" w:hAnsi="Times New Roman" w:eastAsia="Calibri"/>
                <w:sz w:val="20"/>
              </w:rPr>
            </w:pPr>
            <w:r w:rsidRPr="00BD3ABE">
              <w:rPr>
                <w:rFonts w:ascii="Times New Roman" w:hAnsi="Times New Roman" w:eastAsia="Calibri"/>
                <w:sz w:val="20"/>
              </w:rPr>
              <w:t>§27.3(c)</w:t>
            </w:r>
          </w:p>
        </w:tc>
        <w:tc>
          <w:tcPr>
            <w:tcW w:w="2563"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4F0E28A7" w14:textId="77777777">
            <w:pPr>
              <w:rPr>
                <w:rFonts w:ascii="Times New Roman" w:hAnsi="Times New Roman" w:eastAsia="Calibri"/>
                <w:sz w:val="20"/>
              </w:rPr>
            </w:pPr>
            <w:r w:rsidRPr="00BD3ABE">
              <w:rPr>
                <w:rFonts w:ascii="Times New Roman" w:hAnsi="Times New Roman" w:eastAsia="Calibri"/>
                <w:sz w:val="20"/>
              </w:rPr>
              <w:t>Additional Information Required in the Loan File:</w:t>
            </w:r>
          </w:p>
          <w:p w:rsidRPr="00BD3ABE" w:rsidR="00944653" w:rsidP="0061160A" w:rsidRDefault="00944653" w14:paraId="6D3A655C" w14:textId="77777777">
            <w:pPr>
              <w:pStyle w:val="ListParagraph"/>
              <w:numPr>
                <w:ilvl w:val="0"/>
                <w:numId w:val="3"/>
              </w:numPr>
              <w:spacing w:after="0" w:line="240" w:lineRule="auto"/>
              <w:rPr>
                <w:rFonts w:ascii="Times New Roman" w:hAnsi="Times New Roman"/>
                <w:sz w:val="20"/>
                <w:szCs w:val="20"/>
              </w:rPr>
            </w:pPr>
            <w:r w:rsidRPr="00BD3ABE">
              <w:rPr>
                <w:rFonts w:ascii="Times New Roman" w:hAnsi="Times New Roman"/>
                <w:sz w:val="20"/>
                <w:szCs w:val="20"/>
              </w:rPr>
              <w:t>List of required files to be kept</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744F5A54" w14:textId="77777777">
            <w:pPr>
              <w:rPr>
                <w:rFonts w:ascii="Times New Roman" w:hAnsi="Times New Roman" w:eastAsia="Calibri"/>
                <w:sz w:val="20"/>
              </w:rPr>
            </w:pPr>
            <w:r w:rsidRPr="00BD3ABE">
              <w:rPr>
                <w:rFonts w:ascii="Times New Roman" w:hAnsi="Times New Roman" w:eastAsia="Calibri"/>
                <w:sz w:val="20"/>
              </w:rPr>
              <w:t>Recordkeeping</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13257B" w14:paraId="2349358A" w14:textId="77777777">
            <w:pPr>
              <w:jc w:val="right"/>
              <w:rPr>
                <w:rFonts w:ascii="Times New Roman" w:hAnsi="Times New Roman" w:eastAsia="Calibri"/>
                <w:sz w:val="20"/>
              </w:rPr>
            </w:pPr>
            <w:r w:rsidRPr="00BD3ABE">
              <w:rPr>
                <w:rFonts w:ascii="Times New Roman" w:hAnsi="Times New Roman" w:eastAsia="Calibri"/>
                <w:sz w:val="20"/>
              </w:rPr>
              <w:t>947</w:t>
            </w:r>
          </w:p>
          <w:p w:rsidRPr="00BD3ABE" w:rsidR="00944653" w:rsidP="0061160A" w:rsidRDefault="00944653" w14:paraId="4A97ADB3" w14:textId="77777777">
            <w:pPr>
              <w:jc w:val="right"/>
              <w:rPr>
                <w:rFonts w:ascii="Times New Roman" w:hAnsi="Times New Roman" w:eastAsia="Calibri"/>
                <w:sz w:val="20"/>
              </w:rPr>
            </w:pPr>
            <w:r w:rsidRPr="00BD3ABE">
              <w:rPr>
                <w:rFonts w:ascii="Times New Roman" w:hAnsi="Times New Roman" w:eastAsia="Calibri"/>
                <w:sz w:val="20"/>
              </w:rPr>
              <w:t>(all NBs-exc</w:t>
            </w:r>
            <w:r w:rsidRPr="00BD3ABE" w:rsidR="005D7054">
              <w:rPr>
                <w:rFonts w:ascii="Times New Roman" w:hAnsi="Times New Roman" w:eastAsia="Calibri"/>
                <w:sz w:val="20"/>
              </w:rPr>
              <w:t>l</w:t>
            </w:r>
            <w:r w:rsidRPr="00BD3ABE">
              <w:rPr>
                <w:rFonts w:ascii="Times New Roman" w:hAnsi="Times New Roman" w:eastAsia="Calibri"/>
                <w:sz w:val="20"/>
              </w:rPr>
              <w:t>ude Trusts and Credit Card Banks)</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37EF7934" w14:textId="77777777">
            <w:pPr>
              <w:jc w:val="right"/>
              <w:rPr>
                <w:rFonts w:ascii="Times New Roman" w:hAnsi="Times New Roman" w:eastAsia="Calibri"/>
                <w:sz w:val="20"/>
              </w:rPr>
            </w:pPr>
            <w:r w:rsidRPr="00BD3ABE">
              <w:rPr>
                <w:rFonts w:ascii="Times New Roman" w:hAnsi="Times New Roman" w:eastAsia="Calibri"/>
                <w:sz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79099D2C" w14:textId="77777777">
            <w:pPr>
              <w:jc w:val="right"/>
              <w:rPr>
                <w:rFonts w:ascii="Times New Roman" w:hAnsi="Times New Roman" w:eastAsia="Calibri"/>
                <w:sz w:val="20"/>
              </w:rPr>
            </w:pPr>
            <w:r w:rsidRPr="00BD3ABE">
              <w:rPr>
                <w:rFonts w:ascii="Times New Roman" w:hAnsi="Times New Roman" w:eastAsia="Calibri"/>
                <w:sz w:val="20"/>
              </w:rP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0854E2" w14:paraId="00DFA6A9" w14:textId="77777777">
            <w:pPr>
              <w:jc w:val="right"/>
              <w:rPr>
                <w:rFonts w:ascii="Times New Roman" w:hAnsi="Times New Roman" w:eastAsia="Calibri"/>
                <w:sz w:val="20"/>
              </w:rPr>
            </w:pPr>
            <w:r w:rsidRPr="00BD3ABE">
              <w:rPr>
                <w:rFonts w:ascii="Times New Roman" w:hAnsi="Times New Roman" w:eastAsia="Calibri"/>
                <w:sz w:val="20"/>
              </w:rPr>
              <w:t>3,788</w:t>
            </w:r>
          </w:p>
        </w:tc>
      </w:tr>
      <w:tr w:rsidRPr="00BD3ABE" w:rsidR="00944653" w:rsidTr="008100E8" w14:paraId="131F93E6" w14:textId="77777777">
        <w:trPr>
          <w:trHeight w:val="537"/>
        </w:trPr>
        <w:tc>
          <w:tcPr>
            <w:tcW w:w="875"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444EBD95" w14:textId="77777777">
            <w:pPr>
              <w:jc w:val="right"/>
              <w:rPr>
                <w:rFonts w:ascii="Times New Roman" w:hAnsi="Times New Roman" w:eastAsia="Calibri"/>
                <w:sz w:val="20"/>
              </w:rPr>
            </w:pPr>
            <w:r w:rsidRPr="00BD3ABE">
              <w:rPr>
                <w:rFonts w:ascii="Times New Roman" w:hAnsi="Times New Roman" w:eastAsia="Calibri"/>
                <w:sz w:val="20"/>
              </w:rPr>
              <w:t>§27.4</w:t>
            </w:r>
          </w:p>
        </w:tc>
        <w:tc>
          <w:tcPr>
            <w:tcW w:w="2563"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1BCBCBD8" w14:textId="77777777">
            <w:pPr>
              <w:rPr>
                <w:rFonts w:ascii="Times New Roman" w:hAnsi="Times New Roman" w:eastAsia="Calibri"/>
                <w:sz w:val="20"/>
              </w:rPr>
            </w:pPr>
            <w:r w:rsidRPr="00BD3ABE">
              <w:rPr>
                <w:rFonts w:ascii="Times New Roman" w:hAnsi="Times New Roman" w:eastAsia="Calibri"/>
                <w:sz w:val="20"/>
              </w:rPr>
              <w:t>Inquiry/Application Log:</w:t>
            </w:r>
          </w:p>
          <w:p w:rsidRPr="00BD3ABE" w:rsidR="00944653" w:rsidP="0061160A" w:rsidRDefault="00944653" w14:paraId="7457DD01" w14:textId="77777777">
            <w:pPr>
              <w:pStyle w:val="ListParagraph"/>
              <w:numPr>
                <w:ilvl w:val="0"/>
                <w:numId w:val="3"/>
              </w:numPr>
              <w:spacing w:after="0" w:line="240" w:lineRule="auto"/>
              <w:rPr>
                <w:rFonts w:ascii="Times New Roman" w:hAnsi="Times New Roman"/>
                <w:sz w:val="20"/>
                <w:szCs w:val="20"/>
              </w:rPr>
            </w:pPr>
            <w:r w:rsidRPr="00BD3ABE">
              <w:rPr>
                <w:rFonts w:ascii="Times New Roman" w:hAnsi="Times New Roman"/>
                <w:sz w:val="20"/>
                <w:szCs w:val="20"/>
              </w:rPr>
              <w:t>Requires use of log in Appendix III</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69C670C3" w14:textId="77777777">
            <w:pPr>
              <w:rPr>
                <w:rFonts w:ascii="Times New Roman" w:hAnsi="Times New Roman" w:eastAsia="Calibri"/>
                <w:sz w:val="20"/>
              </w:rPr>
            </w:pPr>
            <w:r w:rsidRPr="00BD3ABE">
              <w:rPr>
                <w:rFonts w:ascii="Times New Roman" w:hAnsi="Times New Roman" w:eastAsia="Calibri"/>
                <w:sz w:val="20"/>
              </w:rPr>
              <w:t>Recordkeeping</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13257B" w14:paraId="7CE0DD5A" w14:textId="77777777">
            <w:pPr>
              <w:jc w:val="right"/>
              <w:rPr>
                <w:rFonts w:ascii="Times New Roman" w:hAnsi="Times New Roman" w:eastAsia="Calibri"/>
                <w:sz w:val="20"/>
              </w:rPr>
            </w:pPr>
            <w:r w:rsidRPr="00BD3ABE">
              <w:rPr>
                <w:rFonts w:ascii="Times New Roman" w:hAnsi="Times New Roman" w:eastAsia="Calibri"/>
                <w:sz w:val="20"/>
              </w:rPr>
              <w:t xml:space="preserve">956 </w:t>
            </w:r>
            <w:r w:rsidRPr="00BD3ABE" w:rsidR="00944653">
              <w:rPr>
                <w:rFonts w:ascii="Times New Roman" w:hAnsi="Times New Roman" w:eastAsia="Calibri"/>
                <w:sz w:val="20"/>
              </w:rPr>
              <w:br/>
              <w:t>(all NBs-exclude Trusts)</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5998B0D7" w14:textId="77777777">
            <w:pPr>
              <w:jc w:val="right"/>
              <w:rPr>
                <w:rFonts w:ascii="Times New Roman" w:hAnsi="Times New Roman" w:eastAsia="Calibri"/>
                <w:sz w:val="20"/>
              </w:rPr>
            </w:pPr>
            <w:r w:rsidRPr="00BD3ABE">
              <w:rPr>
                <w:rFonts w:ascii="Times New Roman" w:hAnsi="Times New Roman" w:eastAsia="Calibri"/>
                <w:sz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51C51EB7" w14:textId="77777777">
            <w:pPr>
              <w:jc w:val="right"/>
              <w:rPr>
                <w:rFonts w:ascii="Times New Roman" w:hAnsi="Times New Roman" w:eastAsia="Calibri"/>
                <w:sz w:val="20"/>
              </w:rPr>
            </w:pPr>
            <w:r w:rsidRPr="00BD3ABE">
              <w:rPr>
                <w:rFonts w:ascii="Times New Roman" w:hAnsi="Times New Roman" w:eastAsia="Calibri"/>
                <w:sz w:val="20"/>
              </w:rP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0854E2" w14:paraId="123840EE" w14:textId="77777777">
            <w:pPr>
              <w:jc w:val="right"/>
              <w:rPr>
                <w:rFonts w:ascii="Times New Roman" w:hAnsi="Times New Roman" w:eastAsia="Calibri"/>
                <w:sz w:val="20"/>
              </w:rPr>
            </w:pPr>
            <w:r w:rsidRPr="00BD3ABE">
              <w:rPr>
                <w:rFonts w:ascii="Times New Roman" w:hAnsi="Times New Roman" w:eastAsia="Calibri"/>
                <w:sz w:val="20"/>
              </w:rPr>
              <w:t>3,824</w:t>
            </w:r>
          </w:p>
        </w:tc>
      </w:tr>
      <w:tr w:rsidRPr="00BD3ABE" w:rsidR="00944653" w:rsidTr="008100E8" w14:paraId="7F4ECBC2" w14:textId="77777777">
        <w:trPr>
          <w:trHeight w:val="537"/>
        </w:trPr>
        <w:tc>
          <w:tcPr>
            <w:tcW w:w="875"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3D79A331" w14:textId="77777777">
            <w:pPr>
              <w:jc w:val="right"/>
              <w:rPr>
                <w:rFonts w:ascii="Times New Roman" w:hAnsi="Times New Roman" w:eastAsia="Calibri"/>
                <w:sz w:val="20"/>
              </w:rPr>
            </w:pPr>
            <w:r w:rsidRPr="00BD3ABE">
              <w:rPr>
                <w:rFonts w:ascii="Times New Roman" w:hAnsi="Times New Roman" w:eastAsia="Calibri"/>
                <w:sz w:val="20"/>
              </w:rPr>
              <w:t>§27.5</w:t>
            </w:r>
          </w:p>
        </w:tc>
        <w:tc>
          <w:tcPr>
            <w:tcW w:w="2563"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7E7650F5" w14:textId="77777777">
            <w:pPr>
              <w:rPr>
                <w:rFonts w:ascii="Times New Roman" w:hAnsi="Times New Roman" w:eastAsia="Calibri"/>
                <w:sz w:val="20"/>
              </w:rPr>
            </w:pPr>
            <w:r w:rsidRPr="00BD3ABE">
              <w:rPr>
                <w:rFonts w:ascii="Times New Roman" w:hAnsi="Times New Roman" w:eastAsia="Calibri"/>
                <w:sz w:val="20"/>
              </w:rPr>
              <w:t>Record Retention Period:</w:t>
            </w:r>
          </w:p>
          <w:p w:rsidRPr="00BD3ABE" w:rsidR="00944653" w:rsidP="0061160A" w:rsidRDefault="00944653" w14:paraId="1C0CD61F" w14:textId="77777777">
            <w:pPr>
              <w:pStyle w:val="ListParagraph"/>
              <w:numPr>
                <w:ilvl w:val="0"/>
                <w:numId w:val="3"/>
              </w:numPr>
              <w:spacing w:after="0" w:line="240" w:lineRule="auto"/>
              <w:rPr>
                <w:rFonts w:ascii="Times New Roman" w:hAnsi="Times New Roman"/>
                <w:sz w:val="20"/>
                <w:szCs w:val="20"/>
              </w:rPr>
            </w:pPr>
            <w:r w:rsidRPr="00BD3ABE">
              <w:rPr>
                <w:rFonts w:ascii="Times New Roman" w:hAnsi="Times New Roman"/>
                <w:sz w:val="20"/>
                <w:szCs w:val="20"/>
              </w:rPr>
              <w:t>Bank must maintain information for 25 months after it notifies applicant of action taken on application, or after withdrawal of application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337F1457" w14:textId="77777777">
            <w:pPr>
              <w:rPr>
                <w:rFonts w:ascii="Times New Roman" w:hAnsi="Times New Roman" w:eastAsia="Calibri"/>
                <w:sz w:val="20"/>
              </w:rPr>
            </w:pPr>
            <w:r w:rsidRPr="00BD3ABE">
              <w:rPr>
                <w:rFonts w:ascii="Times New Roman" w:hAnsi="Times New Roman" w:eastAsia="Calibri"/>
                <w:sz w:val="20"/>
              </w:rPr>
              <w:t>Recordkeeping</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13257B" w14:paraId="2D3C2679" w14:textId="77777777">
            <w:pPr>
              <w:jc w:val="right"/>
              <w:rPr>
                <w:rFonts w:ascii="Times New Roman" w:hAnsi="Times New Roman" w:eastAsia="Calibri"/>
                <w:sz w:val="20"/>
              </w:rPr>
            </w:pPr>
            <w:r w:rsidRPr="00BD3ABE">
              <w:rPr>
                <w:rFonts w:ascii="Times New Roman" w:hAnsi="Times New Roman" w:eastAsia="Calibri"/>
                <w:sz w:val="20"/>
              </w:rPr>
              <w:t>947</w:t>
            </w:r>
          </w:p>
          <w:p w:rsidRPr="00BD3ABE" w:rsidR="00944653" w:rsidP="0061160A" w:rsidRDefault="00944653" w14:paraId="779CB3C4" w14:textId="77777777">
            <w:pPr>
              <w:jc w:val="right"/>
              <w:rPr>
                <w:rFonts w:ascii="Times New Roman" w:hAnsi="Times New Roman" w:eastAsia="Calibri"/>
                <w:sz w:val="20"/>
              </w:rPr>
            </w:pPr>
            <w:r w:rsidRPr="00BD3ABE">
              <w:rPr>
                <w:rFonts w:ascii="Times New Roman" w:hAnsi="Times New Roman" w:eastAsia="Calibri"/>
                <w:sz w:val="20"/>
              </w:rPr>
              <w:t>(all NBs-exclude Trusts and Credit Card Banks)</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51A94ECD" w14:textId="77777777">
            <w:pPr>
              <w:jc w:val="right"/>
              <w:rPr>
                <w:rFonts w:ascii="Times New Roman" w:hAnsi="Times New Roman" w:eastAsia="Calibri"/>
                <w:sz w:val="20"/>
              </w:rPr>
            </w:pPr>
            <w:r w:rsidRPr="00BD3ABE">
              <w:rPr>
                <w:rFonts w:ascii="Times New Roman" w:hAnsi="Times New Roman" w:eastAsia="Calibri"/>
                <w:sz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6740FE30" w14:textId="77777777">
            <w:pPr>
              <w:jc w:val="right"/>
              <w:rPr>
                <w:rFonts w:ascii="Times New Roman" w:hAnsi="Times New Roman" w:eastAsia="Calibri"/>
                <w:sz w:val="20"/>
              </w:rPr>
            </w:pPr>
            <w:r w:rsidRPr="00BD3ABE">
              <w:rPr>
                <w:rFonts w:ascii="Times New Roman" w:hAnsi="Times New Roman" w:eastAsia="Calibri"/>
                <w:sz w:val="20"/>
              </w:rP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0854E2" w14:paraId="436470F9" w14:textId="77777777">
            <w:pPr>
              <w:jc w:val="right"/>
              <w:rPr>
                <w:rFonts w:ascii="Times New Roman" w:hAnsi="Times New Roman" w:eastAsia="Calibri"/>
                <w:sz w:val="20"/>
              </w:rPr>
            </w:pPr>
            <w:r w:rsidRPr="00BD3ABE">
              <w:rPr>
                <w:rFonts w:ascii="Times New Roman" w:hAnsi="Times New Roman" w:eastAsia="Calibri"/>
                <w:sz w:val="20"/>
              </w:rPr>
              <w:t>3,788</w:t>
            </w:r>
          </w:p>
        </w:tc>
      </w:tr>
      <w:tr w:rsidRPr="00BD3ABE" w:rsidR="00944653" w:rsidTr="008100E8" w14:paraId="3E6EA4F0" w14:textId="77777777">
        <w:trPr>
          <w:trHeight w:val="537"/>
        </w:trPr>
        <w:tc>
          <w:tcPr>
            <w:tcW w:w="875"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0CEBC060" w14:textId="77777777">
            <w:pPr>
              <w:jc w:val="right"/>
              <w:rPr>
                <w:rFonts w:ascii="Times New Roman" w:hAnsi="Times New Roman" w:eastAsia="Calibri"/>
                <w:sz w:val="20"/>
              </w:rPr>
            </w:pPr>
            <w:r w:rsidRPr="00BD3ABE">
              <w:rPr>
                <w:rFonts w:ascii="Times New Roman" w:hAnsi="Times New Roman" w:eastAsia="Calibri"/>
                <w:sz w:val="20"/>
              </w:rPr>
              <w:t>§27.7</w:t>
            </w:r>
          </w:p>
        </w:tc>
        <w:tc>
          <w:tcPr>
            <w:tcW w:w="2563"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944653" w14:paraId="4B3FCFC2" w14:textId="77777777">
            <w:pPr>
              <w:rPr>
                <w:rFonts w:ascii="Times New Roman" w:hAnsi="Times New Roman" w:eastAsia="Calibri"/>
                <w:sz w:val="20"/>
              </w:rPr>
            </w:pPr>
            <w:r w:rsidRPr="00BD3ABE">
              <w:rPr>
                <w:rFonts w:ascii="Times New Roman" w:hAnsi="Times New Roman" w:eastAsia="Calibri"/>
                <w:sz w:val="20"/>
              </w:rPr>
              <w:t>Availability, Submission, and Use of Data:</w:t>
            </w:r>
          </w:p>
          <w:p w:rsidRPr="00BD3ABE" w:rsidR="00944653" w:rsidP="0061160A" w:rsidRDefault="00944653" w14:paraId="6A1217BF" w14:textId="77777777">
            <w:pPr>
              <w:pStyle w:val="ListParagraph"/>
              <w:numPr>
                <w:ilvl w:val="0"/>
                <w:numId w:val="3"/>
              </w:numPr>
              <w:spacing w:after="0" w:line="240" w:lineRule="auto"/>
              <w:rPr>
                <w:rFonts w:ascii="Times New Roman" w:hAnsi="Times New Roman"/>
                <w:sz w:val="20"/>
                <w:szCs w:val="20"/>
              </w:rPr>
            </w:pPr>
            <w:r w:rsidRPr="00BD3ABE">
              <w:rPr>
                <w:rFonts w:ascii="Times New Roman" w:hAnsi="Times New Roman"/>
                <w:sz w:val="20"/>
                <w:szCs w:val="20"/>
              </w:rPr>
              <w:t>OCC may request information maintained under §</w:t>
            </w:r>
            <w:r w:rsidRPr="00BD3ABE" w:rsidR="006E34D0">
              <w:rPr>
                <w:rFonts w:ascii="Times New Roman" w:hAnsi="Times New Roman"/>
                <w:sz w:val="20"/>
                <w:szCs w:val="20"/>
              </w:rPr>
              <w:t>§</w:t>
            </w:r>
            <w:r w:rsidRPr="00BD3ABE">
              <w:rPr>
                <w:rFonts w:ascii="Times New Roman" w:hAnsi="Times New Roman"/>
                <w:sz w:val="20"/>
                <w:szCs w:val="20"/>
              </w:rPr>
              <w:t xml:space="preserve">27.3(a)(2) </w:t>
            </w:r>
            <w:r w:rsidRPr="00BD3ABE" w:rsidR="00C6418D">
              <w:rPr>
                <w:rFonts w:ascii="Times New Roman" w:hAnsi="Times New Roman"/>
                <w:sz w:val="20"/>
                <w:szCs w:val="20"/>
              </w:rPr>
              <w:t xml:space="preserve">and 27.4 </w:t>
            </w:r>
            <w:r w:rsidRPr="00BD3ABE">
              <w:rPr>
                <w:rFonts w:ascii="Times New Roman" w:hAnsi="Times New Roman"/>
                <w:sz w:val="20"/>
                <w:szCs w:val="20"/>
              </w:rPr>
              <w:t>prior to exam; to be submitted using form in Appendix I</w:t>
            </w:r>
          </w:p>
          <w:p w:rsidRPr="00BD3ABE" w:rsidR="00944653" w:rsidP="0061160A" w:rsidRDefault="00944653" w14:paraId="5325E529" w14:textId="77777777">
            <w:pPr>
              <w:pStyle w:val="ListParagraph"/>
              <w:numPr>
                <w:ilvl w:val="0"/>
                <w:numId w:val="3"/>
              </w:numPr>
              <w:spacing w:after="0" w:line="240" w:lineRule="auto"/>
              <w:rPr>
                <w:rFonts w:ascii="Times New Roman" w:hAnsi="Times New Roman"/>
                <w:sz w:val="20"/>
                <w:szCs w:val="20"/>
              </w:rPr>
            </w:pPr>
            <w:r w:rsidRPr="00BD3ABE">
              <w:rPr>
                <w:rFonts w:ascii="Times New Roman" w:hAnsi="Times New Roman"/>
                <w:sz w:val="20"/>
                <w:szCs w:val="20"/>
              </w:rPr>
              <w:t xml:space="preserve">If statistical analysis is warranted, bank must submit form in </w:t>
            </w:r>
            <w:r w:rsidRPr="00BD3ABE">
              <w:rPr>
                <w:rFonts w:ascii="Times New Roman" w:hAnsi="Times New Roman"/>
                <w:sz w:val="20"/>
                <w:szCs w:val="20"/>
              </w:rPr>
              <w:lastRenderedPageBreak/>
              <w:t>Appendix IV</w:t>
            </w:r>
          </w:p>
          <w:p w:rsidRPr="00BD3ABE" w:rsidR="006E060A" w:rsidP="0061160A" w:rsidRDefault="006E060A" w14:paraId="6FD52983" w14:textId="77777777">
            <w:pPr>
              <w:widowControl/>
              <w:tabs>
                <w:tab w:val="left" w:pos="9360"/>
              </w:tabs>
              <w:ind w:left="720" w:right="360"/>
              <w:rPr>
                <w:rFonts w:ascii="Times New Roman" w:hAnsi="Times New Roman"/>
                <w:snapToGrid/>
                <w:sz w:val="20"/>
              </w:rPr>
            </w:pPr>
          </w:p>
          <w:p w:rsidRPr="00BD3ABE" w:rsidR="006E34D0" w:rsidP="0061160A" w:rsidRDefault="006E060A" w14:paraId="5FA67BB3" w14:textId="77777777">
            <w:pPr>
              <w:widowControl/>
              <w:tabs>
                <w:tab w:val="left" w:pos="9360"/>
              </w:tabs>
              <w:ind w:left="720" w:right="360"/>
              <w:rPr>
                <w:rFonts w:ascii="Times New Roman" w:hAnsi="Times New Roman"/>
                <w:sz w:val="20"/>
              </w:rPr>
            </w:pPr>
            <w:r w:rsidRPr="00BD3ABE">
              <w:rPr>
                <w:rFonts w:ascii="Times New Roman" w:hAnsi="Times New Roman"/>
                <w:snapToGrid/>
                <w:sz w:val="20"/>
              </w:rPr>
              <w:t>I</w:t>
            </w:r>
            <w:r w:rsidRPr="00BD3ABE" w:rsidR="006E34D0">
              <w:rPr>
                <w:rFonts w:ascii="Times New Roman" w:hAnsi="Times New Roman"/>
                <w:snapToGrid/>
                <w:sz w:val="20"/>
              </w:rPr>
              <w:t xml:space="preserve">f there is cause to believe that a bank is in noncompliance, </w:t>
            </w:r>
            <w:r w:rsidRPr="00BD3ABE">
              <w:rPr>
                <w:rFonts w:ascii="Times New Roman" w:hAnsi="Times New Roman"/>
                <w:snapToGrid/>
                <w:sz w:val="20"/>
              </w:rPr>
              <w:t xml:space="preserve">submission of </w:t>
            </w:r>
            <w:r w:rsidRPr="00BD3ABE" w:rsidR="006E34D0">
              <w:rPr>
                <w:rFonts w:ascii="Times New Roman" w:hAnsi="Times New Roman"/>
                <w:snapToGrid/>
                <w:sz w:val="20"/>
              </w:rPr>
              <w:t>additional Home Loan Data Submission Forms</w:t>
            </w:r>
            <w:r w:rsidRPr="00BD3ABE">
              <w:rPr>
                <w:rFonts w:ascii="Times New Roman" w:hAnsi="Times New Roman"/>
                <w:snapToGrid/>
                <w:sz w:val="20"/>
              </w:rPr>
              <w:t xml:space="preserve"> </w:t>
            </w:r>
            <w:r w:rsidRPr="00BD3ABE" w:rsidR="007B32D6">
              <w:rPr>
                <w:rFonts w:ascii="Times New Roman" w:hAnsi="Times New Roman"/>
                <w:snapToGrid/>
                <w:sz w:val="20"/>
              </w:rPr>
              <w:t>and</w:t>
            </w:r>
            <w:r w:rsidRPr="00BD3ABE" w:rsidR="006E34D0">
              <w:rPr>
                <w:rFonts w:ascii="Times New Roman" w:hAnsi="Times New Roman"/>
                <w:snapToGrid/>
                <w:sz w:val="20"/>
              </w:rPr>
              <w:t xml:space="preserve"> </w:t>
            </w:r>
            <w:r w:rsidRPr="00BD3ABE" w:rsidR="0028674B">
              <w:rPr>
                <w:rFonts w:ascii="Times New Roman" w:hAnsi="Times New Roman"/>
                <w:snapToGrid/>
                <w:sz w:val="20"/>
              </w:rPr>
              <w:t xml:space="preserve">submission of </w:t>
            </w:r>
            <w:proofErr w:type="gramStart"/>
            <w:r w:rsidRPr="00BD3ABE" w:rsidR="009F077B">
              <w:rPr>
                <w:rFonts w:ascii="Times New Roman" w:hAnsi="Times New Roman"/>
                <w:snapToGrid/>
                <w:sz w:val="20"/>
              </w:rPr>
              <w:t xml:space="preserve">information </w:t>
            </w:r>
            <w:r w:rsidRPr="00BD3ABE" w:rsidR="006E34D0">
              <w:rPr>
                <w:rFonts w:ascii="Times New Roman" w:hAnsi="Times New Roman"/>
                <w:snapToGrid/>
                <w:sz w:val="20"/>
              </w:rPr>
              <w:t xml:space="preserve"> under</w:t>
            </w:r>
            <w:proofErr w:type="gramEnd"/>
            <w:r w:rsidRPr="00BD3ABE" w:rsidR="006E34D0">
              <w:rPr>
                <w:rFonts w:ascii="Times New Roman" w:hAnsi="Times New Roman"/>
                <w:snapToGrid/>
                <w:sz w:val="20"/>
              </w:rPr>
              <w:t xml:space="preserve"> § 27.3(a) and Home Loan Data Submission Forms at more frequent intervals</w:t>
            </w:r>
            <w:r w:rsidRPr="00BD3ABE" w:rsidR="007B32D6">
              <w:rPr>
                <w:rFonts w:ascii="Times New Roman" w:hAnsi="Times New Roman"/>
                <w:snapToGrid/>
                <w:sz w:val="20"/>
              </w:rPr>
              <w:t xml:space="preserve"> may be required.</w:t>
            </w:r>
            <w:r w:rsidRPr="00BD3ABE" w:rsidR="007B32D6">
              <w:rPr>
                <w:rFonts w:ascii="Times New Roman" w:hAnsi="Times New Roman"/>
                <w:sz w:val="20"/>
              </w:rPr>
              <w:t xml:space="preserve"> </w:t>
            </w:r>
          </w:p>
          <w:p w:rsidRPr="00BD3ABE" w:rsidR="00944653" w:rsidP="0061160A" w:rsidRDefault="00944653" w14:paraId="10E47EA3" w14:textId="77777777">
            <w:pPr>
              <w:rPr>
                <w:rFonts w:ascii="Times New Roman" w:hAnsi="Times New Roman" w:eastAsia="Calibri"/>
                <w:sz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28DAE951" w14:textId="77777777">
            <w:pPr>
              <w:rPr>
                <w:rFonts w:ascii="Times New Roman" w:hAnsi="Times New Roman" w:eastAsia="Calibri"/>
                <w:sz w:val="20"/>
              </w:rPr>
            </w:pPr>
            <w:r w:rsidRPr="00BD3ABE">
              <w:rPr>
                <w:rFonts w:ascii="Times New Roman" w:hAnsi="Times New Roman" w:eastAsia="Calibri"/>
                <w:sz w:val="20"/>
              </w:rPr>
              <w:lastRenderedPageBreak/>
              <w:t>Reporting</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13257B" w14:paraId="71358172" w14:textId="77777777">
            <w:pPr>
              <w:jc w:val="right"/>
              <w:rPr>
                <w:rFonts w:ascii="Times New Roman" w:hAnsi="Times New Roman" w:eastAsia="Calibri"/>
                <w:sz w:val="20"/>
              </w:rPr>
            </w:pPr>
            <w:r w:rsidRPr="00BD3ABE">
              <w:rPr>
                <w:rFonts w:ascii="Times New Roman" w:hAnsi="Times New Roman" w:eastAsia="Calibri"/>
                <w:sz w:val="20"/>
              </w:rPr>
              <w:t>467</w:t>
            </w:r>
          </w:p>
          <w:p w:rsidRPr="00BD3ABE" w:rsidR="00944653" w:rsidP="0061160A" w:rsidRDefault="00944653" w14:paraId="2CB3D505" w14:textId="77777777">
            <w:pPr>
              <w:jc w:val="right"/>
              <w:rPr>
                <w:rFonts w:ascii="Times New Roman" w:hAnsi="Times New Roman" w:eastAsia="Calibri"/>
                <w:sz w:val="20"/>
              </w:rPr>
            </w:pPr>
            <w:r w:rsidRPr="00BD3ABE">
              <w:rPr>
                <w:rFonts w:ascii="Times New Roman" w:hAnsi="Times New Roman" w:eastAsia="Calibri"/>
                <w:sz w:val="20"/>
              </w:rPr>
              <w:t>(all NBs-Non-HMDA-exclude Trusts and Credit Card Banks)</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09FFFC28" w14:textId="77777777">
            <w:pPr>
              <w:jc w:val="right"/>
              <w:rPr>
                <w:rFonts w:ascii="Times New Roman" w:hAnsi="Times New Roman" w:eastAsia="Calibri"/>
                <w:sz w:val="20"/>
              </w:rPr>
            </w:pPr>
            <w:r w:rsidRPr="00BD3ABE">
              <w:rPr>
                <w:rFonts w:ascii="Times New Roman" w:hAnsi="Times New Roman" w:eastAsia="Calibri"/>
                <w:sz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hideMark/>
          </w:tcPr>
          <w:p w:rsidRPr="00BD3ABE" w:rsidR="00944653" w:rsidP="0061160A" w:rsidRDefault="00944653" w14:paraId="3C794E1E" w14:textId="77777777">
            <w:pPr>
              <w:jc w:val="right"/>
              <w:rPr>
                <w:rFonts w:ascii="Times New Roman" w:hAnsi="Times New Roman" w:eastAsia="Calibri"/>
                <w:sz w:val="20"/>
              </w:rPr>
            </w:pPr>
            <w:r w:rsidRPr="00BD3ABE">
              <w:rPr>
                <w:rFonts w:ascii="Times New Roman" w:hAnsi="Times New Roman" w:eastAsia="Calibri"/>
                <w:sz w:val="20"/>
              </w:rP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944653" w:rsidP="0061160A" w:rsidRDefault="000854E2" w14:paraId="14B6A899" w14:textId="77777777">
            <w:pPr>
              <w:jc w:val="right"/>
              <w:rPr>
                <w:rFonts w:ascii="Times New Roman" w:hAnsi="Times New Roman" w:eastAsia="Calibri"/>
                <w:sz w:val="20"/>
              </w:rPr>
            </w:pPr>
            <w:r w:rsidRPr="00BD3ABE">
              <w:rPr>
                <w:rFonts w:ascii="Times New Roman" w:hAnsi="Times New Roman" w:eastAsia="Calibri"/>
                <w:sz w:val="20"/>
              </w:rPr>
              <w:t>1,868</w:t>
            </w:r>
          </w:p>
        </w:tc>
      </w:tr>
      <w:tr w:rsidRPr="00BD3ABE" w:rsidR="00EA1FBA" w:rsidTr="008100E8" w14:paraId="1033DADB" w14:textId="77777777">
        <w:trPr>
          <w:trHeight w:val="537"/>
        </w:trPr>
        <w:tc>
          <w:tcPr>
            <w:tcW w:w="875" w:type="dxa"/>
            <w:tcBorders>
              <w:top w:val="single" w:color="auto" w:sz="4" w:space="0"/>
              <w:left w:val="single" w:color="auto" w:sz="4" w:space="0"/>
              <w:bottom w:val="single" w:color="auto" w:sz="4" w:space="0"/>
              <w:right w:val="single" w:color="auto" w:sz="4" w:space="0"/>
            </w:tcBorders>
            <w:shd w:val="clear" w:color="auto" w:fill="auto"/>
          </w:tcPr>
          <w:p w:rsidRPr="00BD3ABE" w:rsidR="00EA1FBA" w:rsidP="0061160A" w:rsidRDefault="00EA1FBA" w14:paraId="35BA5D3C" w14:textId="77777777">
            <w:pPr>
              <w:jc w:val="right"/>
              <w:rPr>
                <w:rFonts w:ascii="Times New Roman" w:hAnsi="Times New Roman" w:eastAsia="Calibri"/>
                <w:sz w:val="20"/>
              </w:rPr>
            </w:pPr>
          </w:p>
        </w:tc>
        <w:tc>
          <w:tcPr>
            <w:tcW w:w="2563" w:type="dxa"/>
            <w:tcBorders>
              <w:top w:val="single" w:color="auto" w:sz="4" w:space="0"/>
              <w:left w:val="single" w:color="auto" w:sz="4" w:space="0"/>
              <w:bottom w:val="single" w:color="auto" w:sz="4" w:space="0"/>
              <w:right w:val="single" w:color="auto" w:sz="4" w:space="0"/>
            </w:tcBorders>
            <w:shd w:val="clear" w:color="auto" w:fill="auto"/>
          </w:tcPr>
          <w:p w:rsidRPr="00BD3ABE" w:rsidR="00EA1FBA" w:rsidP="0061160A" w:rsidRDefault="00097ABF" w14:paraId="49979CAA" w14:textId="77777777">
            <w:pPr>
              <w:rPr>
                <w:rFonts w:ascii="Times New Roman" w:hAnsi="Times New Roman" w:eastAsia="Calibri"/>
                <w:sz w:val="20"/>
              </w:rPr>
            </w:pPr>
            <w:r w:rsidRPr="00BD3ABE">
              <w:rPr>
                <w:rFonts w:ascii="Times New Roman" w:hAnsi="Times New Roman" w:eastAsia="Calibri"/>
                <w:sz w:val="20"/>
              </w:rPr>
              <w:t>Totals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D3ABE" w:rsidR="00EA1FBA" w:rsidP="0061160A" w:rsidRDefault="00EA1FBA" w14:paraId="586205BD" w14:textId="77777777">
            <w:pPr>
              <w:rPr>
                <w:rFonts w:ascii="Times New Roman" w:hAnsi="Times New Roman" w:eastAsia="Calibri"/>
                <w:sz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D3ABE" w:rsidR="00EA1FBA" w:rsidP="0061160A" w:rsidRDefault="0013257B" w14:paraId="438317A6" w14:textId="77777777">
            <w:pPr>
              <w:jc w:val="right"/>
              <w:rPr>
                <w:rFonts w:ascii="Times New Roman" w:hAnsi="Times New Roman" w:eastAsia="Calibri"/>
                <w:sz w:val="20"/>
              </w:rPr>
            </w:pPr>
            <w:r w:rsidRPr="00BD3ABE">
              <w:rPr>
                <w:rFonts w:ascii="Times New Roman" w:hAnsi="Times New Roman" w:eastAsia="Calibri"/>
                <w:sz w:val="20"/>
              </w:rPr>
              <w:t>956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D3ABE" w:rsidR="00EA1FBA" w:rsidP="0061160A" w:rsidRDefault="0013257B" w14:paraId="172F1C0A" w14:textId="77777777">
            <w:pPr>
              <w:jc w:val="right"/>
              <w:rPr>
                <w:rFonts w:ascii="Times New Roman" w:hAnsi="Times New Roman" w:eastAsia="Calibri"/>
                <w:sz w:val="20"/>
              </w:rPr>
            </w:pPr>
            <w:r w:rsidRPr="00BD3ABE">
              <w:rPr>
                <w:rFonts w:ascii="Times New Roman" w:hAnsi="Times New Roman" w:eastAsia="Calibri"/>
                <w:sz w:val="20"/>
              </w:rPr>
              <w:t>222</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EA1FBA" w:rsidP="0061160A" w:rsidRDefault="00EA1FBA" w14:paraId="05537238" w14:textId="77777777">
            <w:pPr>
              <w:jc w:val="right"/>
              <w:rPr>
                <w:rFonts w:ascii="Times New Roman" w:hAnsi="Times New Roman" w:eastAsia="Calibri"/>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BD3ABE" w:rsidR="000854E2" w:rsidP="0061160A" w:rsidRDefault="000854E2" w14:paraId="6D5185DD" w14:textId="77777777">
            <w:pPr>
              <w:jc w:val="right"/>
              <w:rPr>
                <w:rFonts w:ascii="Times New Roman" w:hAnsi="Times New Roman" w:eastAsia="Calibri"/>
                <w:sz w:val="20"/>
              </w:rPr>
            </w:pPr>
            <w:r w:rsidRPr="00BD3ABE">
              <w:rPr>
                <w:rFonts w:ascii="Times New Roman" w:hAnsi="Times New Roman" w:eastAsia="Calibri"/>
                <w:sz w:val="20"/>
              </w:rPr>
              <w:t>19,864</w:t>
            </w:r>
          </w:p>
          <w:p w:rsidRPr="00BD3ABE" w:rsidR="00EA1FBA" w:rsidP="0061160A" w:rsidRDefault="00EA1FBA" w14:paraId="6B895FFA" w14:textId="77777777">
            <w:pPr>
              <w:rPr>
                <w:rFonts w:ascii="Times New Roman" w:hAnsi="Times New Roman" w:eastAsia="Calibri"/>
                <w:sz w:val="20"/>
              </w:rPr>
            </w:pPr>
          </w:p>
        </w:tc>
      </w:tr>
    </w:tbl>
    <w:p w:rsidRPr="00BD3ABE" w:rsidR="001016B5" w:rsidP="0061160A" w:rsidRDefault="001016B5" w14:paraId="305FBFBA" w14:textId="77777777">
      <w:pPr>
        <w:rPr>
          <w:rFonts w:ascii="Times New Roman" w:hAnsi="Times New Roman"/>
          <w:szCs w:val="24"/>
        </w:rPr>
      </w:pPr>
    </w:p>
    <w:p w:rsidRPr="00BD3ABE" w:rsidR="009C0292" w:rsidP="0061160A" w:rsidRDefault="009C0292" w14:paraId="644B16F0" w14:textId="77777777">
      <w:pPr>
        <w:rPr>
          <w:rFonts w:ascii="Times New Roman" w:hAnsi="Times New Roman"/>
          <w:b/>
          <w:szCs w:val="24"/>
        </w:rPr>
      </w:pPr>
      <w:r w:rsidRPr="00BD3ABE">
        <w:rPr>
          <w:rFonts w:ascii="Times New Roman" w:hAnsi="Times New Roman"/>
          <w:b/>
          <w:szCs w:val="24"/>
        </w:rPr>
        <w:t>Cost of Hour Burden:</w:t>
      </w:r>
    </w:p>
    <w:p w:rsidRPr="00BD3ABE" w:rsidR="009C0292" w:rsidP="0061160A" w:rsidRDefault="009C0292" w14:paraId="2FBBE342" w14:textId="77777777">
      <w:pPr>
        <w:rPr>
          <w:rFonts w:ascii="Times New Roman" w:hAnsi="Times New Roman"/>
          <w:b/>
          <w:szCs w:val="24"/>
        </w:rPr>
      </w:pPr>
    </w:p>
    <w:p w:rsidRPr="00BD3ABE" w:rsidR="009C0292" w:rsidP="0061160A" w:rsidRDefault="00F33425" w14:paraId="560A2E4C" w14:textId="5CD8A144">
      <w:pPr>
        <w:rPr>
          <w:rFonts w:ascii="Times New Roman" w:hAnsi="Times New Roman"/>
          <w:b/>
          <w:szCs w:val="24"/>
        </w:rPr>
      </w:pPr>
      <w:r w:rsidRPr="00BD3ABE">
        <w:rPr>
          <w:rFonts w:ascii="Times New Roman" w:hAnsi="Times New Roman"/>
          <w:b/>
          <w:szCs w:val="24"/>
        </w:rPr>
        <w:t>19,864</w:t>
      </w:r>
      <w:r w:rsidRPr="00BD3ABE" w:rsidR="00D20327">
        <w:rPr>
          <w:rFonts w:ascii="Times New Roman" w:hAnsi="Times New Roman"/>
          <w:b/>
          <w:szCs w:val="24"/>
        </w:rPr>
        <w:t xml:space="preserve"> x $11</w:t>
      </w:r>
      <w:r w:rsidRPr="00BD3ABE" w:rsidR="00271B64">
        <w:rPr>
          <w:rFonts w:ascii="Times New Roman" w:hAnsi="Times New Roman"/>
          <w:b/>
          <w:szCs w:val="24"/>
        </w:rPr>
        <w:t>5.19</w:t>
      </w:r>
      <w:r w:rsidRPr="00BD3ABE" w:rsidR="00ED5609">
        <w:rPr>
          <w:rFonts w:ascii="Times New Roman" w:hAnsi="Times New Roman"/>
          <w:b/>
          <w:szCs w:val="24"/>
        </w:rPr>
        <w:t xml:space="preserve"> = $</w:t>
      </w:r>
      <w:r w:rsidRPr="00BD3ABE" w:rsidR="00271B64">
        <w:rPr>
          <w:rFonts w:ascii="Times New Roman" w:hAnsi="Times New Roman"/>
          <w:b/>
          <w:szCs w:val="24"/>
        </w:rPr>
        <w:t>2,288,134.16</w:t>
      </w:r>
    </w:p>
    <w:p w:rsidRPr="00BD3ABE" w:rsidR="009C0292" w:rsidP="0061160A" w:rsidRDefault="009C0292" w14:paraId="5F9EF2D9" w14:textId="77777777">
      <w:pPr>
        <w:rPr>
          <w:rFonts w:ascii="Times New Roman" w:hAnsi="Times New Roman"/>
          <w:szCs w:val="24"/>
        </w:rPr>
      </w:pPr>
    </w:p>
    <w:p w:rsidRPr="00BD3ABE" w:rsidR="00271B64" w:rsidP="00271B64" w:rsidRDefault="00271B64" w14:paraId="6FD7557B" w14:textId="2536E4CC">
      <w:pPr>
        <w:rPr>
          <w:rFonts w:ascii="Times New Roman" w:hAnsi="Times New Roman"/>
          <w:szCs w:val="24"/>
        </w:rPr>
      </w:pPr>
      <w:r w:rsidRPr="00BD3ABE">
        <w:rPr>
          <w:rFonts w:ascii="Times New Roman" w:hAnsi="Times New Roman"/>
          <w:color w:val="000000"/>
          <w:szCs w:val="24"/>
        </w:rPr>
        <w:t>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BD3ABE" w:rsidR="00CB21D8" w:rsidP="0061160A" w:rsidRDefault="00CB21D8" w14:paraId="32F74A0B" w14:textId="77777777">
      <w:pPr>
        <w:rPr>
          <w:rFonts w:ascii="Times New Roman" w:hAnsi="Times New Roman"/>
          <w:szCs w:val="24"/>
        </w:rPr>
      </w:pPr>
    </w:p>
    <w:p w:rsidRPr="00BD3ABE" w:rsidR="0066096F" w:rsidP="0061160A" w:rsidRDefault="0066096F" w14:paraId="53E0534C" w14:textId="77777777">
      <w:pPr>
        <w:tabs>
          <w:tab w:val="left" w:pos="-1440"/>
        </w:tabs>
        <w:rPr>
          <w:rFonts w:ascii="Times New Roman" w:hAnsi="Times New Roman"/>
          <w:b/>
          <w:i/>
          <w:szCs w:val="24"/>
        </w:rPr>
      </w:pPr>
      <w:r w:rsidRPr="00BD3ABE">
        <w:rPr>
          <w:rFonts w:ascii="Times New Roman" w:hAnsi="Times New Roman"/>
          <w:b/>
          <w:i/>
          <w:szCs w:val="24"/>
        </w:rPr>
        <w:t>13.</w:t>
      </w:r>
      <w:r w:rsidRPr="00BD3ABE">
        <w:rPr>
          <w:rFonts w:ascii="Times New Roman" w:hAnsi="Times New Roman"/>
          <w:b/>
          <w:i/>
          <w:szCs w:val="24"/>
        </w:rPr>
        <w:tab/>
        <w:t>Estimate of the total annual cost to respondents (excluding the cost o</w:t>
      </w:r>
      <w:r w:rsidRPr="00BD3ABE" w:rsidR="004520E2">
        <w:rPr>
          <w:rFonts w:ascii="Times New Roman" w:hAnsi="Times New Roman"/>
          <w:b/>
          <w:i/>
          <w:szCs w:val="24"/>
        </w:rPr>
        <w:t>f any hour burden shown in Item</w:t>
      </w:r>
      <w:r w:rsidRPr="00BD3ABE">
        <w:rPr>
          <w:rFonts w:ascii="Times New Roman" w:hAnsi="Times New Roman"/>
          <w:b/>
          <w:i/>
          <w:szCs w:val="24"/>
        </w:rPr>
        <w:t xml:space="preserve"> 12):</w:t>
      </w:r>
    </w:p>
    <w:p w:rsidRPr="00BD3ABE" w:rsidR="0066096F" w:rsidP="0061160A" w:rsidRDefault="0066096F" w14:paraId="5FE87980" w14:textId="77777777">
      <w:pPr>
        <w:rPr>
          <w:rFonts w:ascii="Times New Roman" w:hAnsi="Times New Roman"/>
          <w:b/>
          <w:i/>
          <w:szCs w:val="24"/>
        </w:rPr>
      </w:pPr>
    </w:p>
    <w:p w:rsidRPr="00BD3ABE" w:rsidR="0066096F" w:rsidP="0061160A" w:rsidRDefault="00CE071C" w14:paraId="748A1D1B" w14:textId="77777777">
      <w:pPr>
        <w:ind w:firstLine="720"/>
        <w:rPr>
          <w:rFonts w:ascii="Times New Roman" w:hAnsi="Times New Roman"/>
          <w:szCs w:val="24"/>
        </w:rPr>
      </w:pPr>
      <w:r w:rsidRPr="00BD3ABE">
        <w:rPr>
          <w:rFonts w:ascii="Times New Roman" w:hAnsi="Times New Roman"/>
          <w:szCs w:val="24"/>
        </w:rPr>
        <w:t>Not applicable.</w:t>
      </w:r>
    </w:p>
    <w:p w:rsidRPr="00BD3ABE" w:rsidR="0066096F" w:rsidP="0061160A" w:rsidRDefault="0066096F" w14:paraId="718B8D71" w14:textId="77777777">
      <w:pPr>
        <w:rPr>
          <w:rFonts w:ascii="Times New Roman" w:hAnsi="Times New Roman"/>
          <w:szCs w:val="24"/>
        </w:rPr>
      </w:pPr>
    </w:p>
    <w:p w:rsidRPr="00BD3ABE" w:rsidR="0066096F" w:rsidP="0061160A" w:rsidRDefault="0066096F" w14:paraId="11BE12FA" w14:textId="77777777">
      <w:pPr>
        <w:rPr>
          <w:rFonts w:ascii="Times New Roman" w:hAnsi="Times New Roman"/>
          <w:b/>
          <w:i/>
          <w:szCs w:val="24"/>
        </w:rPr>
      </w:pPr>
      <w:r w:rsidRPr="00BD3ABE">
        <w:rPr>
          <w:rFonts w:ascii="Times New Roman" w:hAnsi="Times New Roman"/>
          <w:b/>
          <w:i/>
          <w:szCs w:val="24"/>
        </w:rPr>
        <w:t>14.</w:t>
      </w:r>
      <w:r w:rsidRPr="00BD3ABE">
        <w:rPr>
          <w:rFonts w:ascii="Times New Roman" w:hAnsi="Times New Roman"/>
          <w:b/>
          <w:i/>
          <w:szCs w:val="24"/>
        </w:rPr>
        <w:tab/>
        <w:t xml:space="preserve">Estimate of annualized cost to the </w:t>
      </w:r>
      <w:r w:rsidRPr="00BD3ABE" w:rsidR="000844E8">
        <w:rPr>
          <w:rFonts w:ascii="Times New Roman" w:hAnsi="Times New Roman"/>
          <w:b/>
          <w:i/>
          <w:szCs w:val="24"/>
        </w:rPr>
        <w:t>f</w:t>
      </w:r>
      <w:r w:rsidRPr="00BD3ABE">
        <w:rPr>
          <w:rFonts w:ascii="Times New Roman" w:hAnsi="Times New Roman"/>
          <w:b/>
          <w:i/>
          <w:szCs w:val="24"/>
        </w:rPr>
        <w:t>ederal government:</w:t>
      </w:r>
    </w:p>
    <w:p w:rsidRPr="00BD3ABE" w:rsidR="0066096F" w:rsidP="0061160A" w:rsidRDefault="0066096F" w14:paraId="43EABC17" w14:textId="77777777">
      <w:pPr>
        <w:rPr>
          <w:rFonts w:ascii="Times New Roman" w:hAnsi="Times New Roman"/>
          <w:szCs w:val="24"/>
        </w:rPr>
      </w:pPr>
    </w:p>
    <w:p w:rsidRPr="00BD3ABE" w:rsidR="0066096F" w:rsidP="0061160A" w:rsidRDefault="00097ABF" w14:paraId="1F3E8BD5" w14:textId="77777777">
      <w:pPr>
        <w:ind w:firstLine="720"/>
        <w:rPr>
          <w:rFonts w:ascii="Times New Roman" w:hAnsi="Times New Roman"/>
          <w:szCs w:val="24"/>
        </w:rPr>
      </w:pPr>
      <w:r w:rsidRPr="00BD3ABE">
        <w:rPr>
          <w:rFonts w:ascii="Times New Roman" w:hAnsi="Times New Roman"/>
          <w:szCs w:val="24"/>
        </w:rPr>
        <w:t>Not applicable.</w:t>
      </w:r>
    </w:p>
    <w:p w:rsidRPr="00BD3ABE" w:rsidR="007944A9" w:rsidP="0061160A" w:rsidRDefault="007944A9" w14:paraId="3D873D2D" w14:textId="77777777">
      <w:pPr>
        <w:tabs>
          <w:tab w:val="left" w:pos="-1440"/>
        </w:tabs>
        <w:ind w:left="720" w:hanging="720"/>
        <w:rPr>
          <w:rFonts w:ascii="Times New Roman" w:hAnsi="Times New Roman"/>
          <w:szCs w:val="24"/>
        </w:rPr>
      </w:pPr>
    </w:p>
    <w:p w:rsidRPr="00BD3ABE" w:rsidR="0066096F" w:rsidP="0061160A" w:rsidRDefault="0066096F" w14:paraId="0842B62D" w14:textId="77777777">
      <w:pPr>
        <w:tabs>
          <w:tab w:val="left" w:pos="-1440"/>
        </w:tabs>
        <w:ind w:left="720" w:hanging="720"/>
        <w:rPr>
          <w:rFonts w:ascii="Times New Roman" w:hAnsi="Times New Roman"/>
          <w:b/>
          <w:i/>
          <w:szCs w:val="24"/>
        </w:rPr>
      </w:pPr>
      <w:r w:rsidRPr="00BD3ABE">
        <w:rPr>
          <w:rFonts w:ascii="Times New Roman" w:hAnsi="Times New Roman"/>
          <w:b/>
          <w:i/>
          <w:szCs w:val="24"/>
        </w:rPr>
        <w:t>15.</w:t>
      </w:r>
      <w:r w:rsidRPr="00BD3ABE">
        <w:rPr>
          <w:rFonts w:ascii="Times New Roman" w:hAnsi="Times New Roman"/>
          <w:b/>
          <w:i/>
          <w:szCs w:val="24"/>
        </w:rPr>
        <w:tab/>
        <w:t>Changes in burden:</w:t>
      </w:r>
    </w:p>
    <w:p w:rsidRPr="00BD3ABE" w:rsidR="00B34524" w:rsidP="0061160A" w:rsidRDefault="00B34524" w14:paraId="02539320" w14:textId="77777777">
      <w:pPr>
        <w:rPr>
          <w:rFonts w:ascii="Times New Roman" w:hAnsi="Times New Roman"/>
          <w:szCs w:val="24"/>
        </w:rPr>
      </w:pPr>
      <w:bookmarkStart w:name="OLE_LINK1" w:id="1"/>
      <w:bookmarkStart w:name="OLE_LINK2" w:id="2"/>
    </w:p>
    <w:bookmarkEnd w:id="1"/>
    <w:bookmarkEnd w:id="2"/>
    <w:p w:rsidRPr="00BD3ABE" w:rsidR="00741B5B" w:rsidP="00271B64" w:rsidRDefault="004E5FE7" w14:paraId="5B3FDDA2" w14:textId="6884C932">
      <w:pPr>
        <w:rPr>
          <w:rFonts w:ascii="Times New Roman" w:hAnsi="Times New Roman"/>
          <w:szCs w:val="24"/>
        </w:rPr>
      </w:pPr>
      <w:r w:rsidRPr="00BD3ABE">
        <w:rPr>
          <w:rFonts w:ascii="Times New Roman" w:hAnsi="Times New Roman"/>
          <w:szCs w:val="24"/>
        </w:rPr>
        <w:t xml:space="preserve">            </w:t>
      </w:r>
      <w:r w:rsidRPr="00BD3ABE" w:rsidR="00271B64">
        <w:rPr>
          <w:rFonts w:ascii="Times New Roman" w:hAnsi="Times New Roman"/>
          <w:szCs w:val="24"/>
        </w:rPr>
        <w:t>None.</w:t>
      </w:r>
    </w:p>
    <w:p w:rsidRPr="00BD3ABE" w:rsidR="00B34524" w:rsidP="0061160A" w:rsidRDefault="00B34524" w14:paraId="3C2673BC" w14:textId="77777777">
      <w:pPr>
        <w:tabs>
          <w:tab w:val="left" w:pos="-1440"/>
        </w:tabs>
        <w:ind w:left="720" w:hanging="720"/>
        <w:rPr>
          <w:rFonts w:ascii="Times New Roman" w:hAnsi="Times New Roman"/>
          <w:szCs w:val="24"/>
        </w:rPr>
      </w:pPr>
    </w:p>
    <w:p w:rsidRPr="00BD3ABE" w:rsidR="0066096F" w:rsidP="0061160A" w:rsidRDefault="0066096F" w14:paraId="2A32C2A6" w14:textId="77777777">
      <w:pPr>
        <w:tabs>
          <w:tab w:val="left" w:pos="-1440"/>
        </w:tabs>
        <w:ind w:left="720" w:hanging="720"/>
        <w:rPr>
          <w:rFonts w:ascii="Times New Roman" w:hAnsi="Times New Roman"/>
          <w:b/>
          <w:i/>
          <w:szCs w:val="24"/>
        </w:rPr>
      </w:pPr>
      <w:r w:rsidRPr="00BD3ABE">
        <w:rPr>
          <w:rFonts w:ascii="Times New Roman" w:hAnsi="Times New Roman"/>
          <w:b/>
          <w:i/>
          <w:szCs w:val="24"/>
        </w:rPr>
        <w:t>16.</w:t>
      </w:r>
      <w:r w:rsidRPr="00BD3ABE">
        <w:rPr>
          <w:rFonts w:ascii="Times New Roman" w:hAnsi="Times New Roman"/>
          <w:b/>
          <w:i/>
          <w:szCs w:val="24"/>
        </w:rPr>
        <w:tab/>
        <w:t>Information regarding collections whose results are planned to be published for statistical use:</w:t>
      </w:r>
    </w:p>
    <w:p w:rsidRPr="00BD3ABE" w:rsidR="0066096F" w:rsidP="0061160A" w:rsidRDefault="0066096F" w14:paraId="78621B7D" w14:textId="77777777">
      <w:pPr>
        <w:rPr>
          <w:rFonts w:ascii="Times New Roman" w:hAnsi="Times New Roman"/>
          <w:b/>
          <w:i/>
          <w:szCs w:val="24"/>
        </w:rPr>
      </w:pPr>
    </w:p>
    <w:p w:rsidRPr="00BD3ABE" w:rsidR="0066096F" w:rsidP="0061160A" w:rsidRDefault="0066096F" w14:paraId="66C58BA9" w14:textId="77777777">
      <w:pPr>
        <w:ind w:firstLine="720"/>
        <w:rPr>
          <w:rFonts w:ascii="Times New Roman" w:hAnsi="Times New Roman"/>
          <w:szCs w:val="24"/>
        </w:rPr>
      </w:pPr>
      <w:r w:rsidRPr="00BD3ABE">
        <w:rPr>
          <w:rFonts w:ascii="Times New Roman" w:hAnsi="Times New Roman"/>
          <w:szCs w:val="24"/>
        </w:rPr>
        <w:t>Th</w:t>
      </w:r>
      <w:r w:rsidRPr="00BD3ABE" w:rsidR="00AA4DD4">
        <w:rPr>
          <w:rFonts w:ascii="Times New Roman" w:hAnsi="Times New Roman"/>
          <w:szCs w:val="24"/>
        </w:rPr>
        <w:t>ere are no plans to publish the</w:t>
      </w:r>
      <w:r w:rsidRPr="00BD3ABE">
        <w:rPr>
          <w:rFonts w:ascii="Times New Roman" w:hAnsi="Times New Roman"/>
          <w:szCs w:val="24"/>
        </w:rPr>
        <w:t xml:space="preserve"> information collected.</w:t>
      </w:r>
    </w:p>
    <w:p w:rsidRPr="00BD3ABE" w:rsidR="0066096F" w:rsidP="0061160A" w:rsidRDefault="0066096F" w14:paraId="438BB8F9" w14:textId="77777777">
      <w:pPr>
        <w:rPr>
          <w:rFonts w:ascii="Times New Roman" w:hAnsi="Times New Roman"/>
          <w:szCs w:val="24"/>
        </w:rPr>
      </w:pPr>
    </w:p>
    <w:p w:rsidRPr="00BD3ABE" w:rsidR="0066096F" w:rsidP="0061160A" w:rsidRDefault="0066096F" w14:paraId="6243F57B" w14:textId="77777777">
      <w:pPr>
        <w:rPr>
          <w:rFonts w:ascii="Times New Roman" w:hAnsi="Times New Roman"/>
          <w:b/>
          <w:i/>
          <w:szCs w:val="24"/>
        </w:rPr>
      </w:pPr>
      <w:r w:rsidRPr="00BD3ABE">
        <w:rPr>
          <w:rFonts w:ascii="Times New Roman" w:hAnsi="Times New Roman"/>
          <w:b/>
          <w:i/>
          <w:szCs w:val="24"/>
        </w:rPr>
        <w:t>17.</w:t>
      </w:r>
      <w:r w:rsidRPr="00BD3ABE">
        <w:rPr>
          <w:rFonts w:ascii="Times New Roman" w:hAnsi="Times New Roman"/>
          <w:b/>
          <w:i/>
          <w:szCs w:val="24"/>
        </w:rPr>
        <w:tab/>
        <w:t>Display of expiration date:</w:t>
      </w:r>
    </w:p>
    <w:p w:rsidRPr="00BD3ABE" w:rsidR="0066096F" w:rsidP="0061160A" w:rsidRDefault="0066096F" w14:paraId="642D6565" w14:textId="77777777">
      <w:pPr>
        <w:rPr>
          <w:rFonts w:ascii="Times New Roman" w:hAnsi="Times New Roman"/>
          <w:szCs w:val="24"/>
          <w:u w:val="single"/>
        </w:rPr>
      </w:pPr>
    </w:p>
    <w:p w:rsidRPr="00BD3ABE" w:rsidR="00F64964" w:rsidP="0061160A" w:rsidRDefault="0066096F" w14:paraId="3C97BB3E" w14:textId="77777777">
      <w:pPr>
        <w:ind w:firstLine="720"/>
        <w:rPr>
          <w:rFonts w:ascii="Times New Roman" w:hAnsi="Times New Roman"/>
          <w:szCs w:val="24"/>
        </w:rPr>
      </w:pPr>
      <w:r w:rsidRPr="00BD3ABE">
        <w:rPr>
          <w:rFonts w:ascii="Times New Roman" w:hAnsi="Times New Roman"/>
          <w:szCs w:val="24"/>
        </w:rPr>
        <w:t xml:space="preserve">Not applicable. </w:t>
      </w:r>
    </w:p>
    <w:p w:rsidRPr="00BD3ABE" w:rsidR="00F64964" w:rsidP="0061160A" w:rsidRDefault="00F64964" w14:paraId="23F7146A" w14:textId="77777777">
      <w:pPr>
        <w:rPr>
          <w:rFonts w:ascii="Times New Roman" w:hAnsi="Times New Roman"/>
          <w:szCs w:val="24"/>
        </w:rPr>
      </w:pPr>
    </w:p>
    <w:p w:rsidRPr="00BD3ABE" w:rsidR="0066096F" w:rsidP="0061160A" w:rsidRDefault="0066096F" w14:paraId="58D6E6A5" w14:textId="77777777">
      <w:pPr>
        <w:rPr>
          <w:rFonts w:ascii="Times New Roman" w:hAnsi="Times New Roman"/>
          <w:b/>
          <w:i/>
          <w:szCs w:val="24"/>
        </w:rPr>
      </w:pPr>
      <w:r w:rsidRPr="00BD3ABE">
        <w:rPr>
          <w:rFonts w:ascii="Times New Roman" w:hAnsi="Times New Roman"/>
          <w:b/>
          <w:i/>
          <w:szCs w:val="24"/>
        </w:rPr>
        <w:t>18.</w:t>
      </w:r>
      <w:r w:rsidRPr="00BD3ABE">
        <w:rPr>
          <w:rFonts w:ascii="Times New Roman" w:hAnsi="Times New Roman"/>
          <w:b/>
          <w:i/>
          <w:szCs w:val="24"/>
        </w:rPr>
        <w:tab/>
        <w:t>Exceptions to certification statement:</w:t>
      </w:r>
    </w:p>
    <w:p w:rsidRPr="00BD3ABE" w:rsidR="0066096F" w:rsidP="0061160A" w:rsidRDefault="0066096F" w14:paraId="475B345D" w14:textId="77777777">
      <w:pPr>
        <w:rPr>
          <w:rFonts w:ascii="Times New Roman" w:hAnsi="Times New Roman"/>
          <w:szCs w:val="24"/>
        </w:rPr>
      </w:pPr>
    </w:p>
    <w:p w:rsidRPr="00BD3ABE" w:rsidR="0066096F" w:rsidP="0061160A" w:rsidRDefault="0066096F" w14:paraId="10F4A742" w14:textId="77777777">
      <w:pPr>
        <w:ind w:firstLine="720"/>
        <w:rPr>
          <w:rFonts w:ascii="Times New Roman" w:hAnsi="Times New Roman"/>
          <w:szCs w:val="24"/>
        </w:rPr>
      </w:pPr>
      <w:r w:rsidRPr="00BD3ABE">
        <w:rPr>
          <w:rFonts w:ascii="Times New Roman" w:hAnsi="Times New Roman"/>
          <w:szCs w:val="24"/>
        </w:rPr>
        <w:t xml:space="preserve">Not applicable. </w:t>
      </w:r>
    </w:p>
    <w:p w:rsidRPr="00BD3ABE" w:rsidR="008A4A4B" w:rsidP="0061160A" w:rsidRDefault="008A4A4B" w14:paraId="14C14FCB" w14:textId="77777777">
      <w:pPr>
        <w:tabs>
          <w:tab w:val="left" w:pos="-1440"/>
        </w:tabs>
        <w:ind w:left="720" w:hanging="720"/>
        <w:rPr>
          <w:rFonts w:ascii="Times New Roman" w:hAnsi="Times New Roman"/>
          <w:szCs w:val="24"/>
        </w:rPr>
      </w:pPr>
    </w:p>
    <w:p w:rsidRPr="00BD3ABE" w:rsidR="0066096F" w:rsidP="0061160A" w:rsidRDefault="0066096F" w14:paraId="571ED6CB" w14:textId="77777777">
      <w:pPr>
        <w:tabs>
          <w:tab w:val="left" w:pos="-1440"/>
        </w:tabs>
        <w:ind w:left="720" w:hanging="720"/>
        <w:rPr>
          <w:rFonts w:ascii="Times New Roman" w:hAnsi="Times New Roman"/>
          <w:b/>
          <w:szCs w:val="24"/>
        </w:rPr>
      </w:pPr>
      <w:r w:rsidRPr="00BD3ABE">
        <w:rPr>
          <w:rFonts w:ascii="Times New Roman" w:hAnsi="Times New Roman"/>
          <w:b/>
          <w:szCs w:val="24"/>
        </w:rPr>
        <w:t>B.</w:t>
      </w:r>
      <w:r w:rsidRPr="00BD3ABE">
        <w:rPr>
          <w:rFonts w:ascii="Times New Roman" w:hAnsi="Times New Roman"/>
          <w:b/>
          <w:szCs w:val="24"/>
        </w:rPr>
        <w:tab/>
        <w:t>Collections of Information Employing Statistical Methods</w:t>
      </w:r>
    </w:p>
    <w:p w:rsidRPr="00BD3ABE" w:rsidR="0066096F" w:rsidP="0061160A" w:rsidRDefault="0066096F" w14:paraId="5522FE7D" w14:textId="77777777">
      <w:pPr>
        <w:rPr>
          <w:rFonts w:ascii="Times New Roman" w:hAnsi="Times New Roman"/>
          <w:szCs w:val="24"/>
          <w:u w:val="single"/>
        </w:rPr>
      </w:pPr>
    </w:p>
    <w:p w:rsidRPr="00BD3ABE" w:rsidR="0066096F" w:rsidP="0061160A" w:rsidRDefault="0066096F" w14:paraId="3A89EBF5" w14:textId="77777777">
      <w:pPr>
        <w:ind w:left="720"/>
        <w:rPr>
          <w:rFonts w:ascii="Times New Roman" w:hAnsi="Times New Roman"/>
          <w:szCs w:val="24"/>
        </w:rPr>
      </w:pPr>
      <w:r w:rsidRPr="00BD3ABE">
        <w:rPr>
          <w:rFonts w:ascii="Times New Roman" w:hAnsi="Times New Roman"/>
          <w:szCs w:val="24"/>
        </w:rPr>
        <w:t>Not applicable.</w:t>
      </w:r>
    </w:p>
    <w:p w:rsidRPr="00BD3ABE" w:rsidR="0066096F" w:rsidP="0061160A" w:rsidRDefault="0066096F" w14:paraId="582DFB15" w14:textId="77777777">
      <w:pPr>
        <w:rPr>
          <w:rFonts w:ascii="Times New Roman" w:hAnsi="Times New Roman"/>
          <w:szCs w:val="24"/>
        </w:rPr>
      </w:pPr>
    </w:p>
    <w:p w:rsidRPr="00BD3ABE" w:rsidR="0066096F" w:rsidP="0061160A" w:rsidRDefault="0066096F" w14:paraId="77062FBD" w14:textId="77777777">
      <w:pPr>
        <w:rPr>
          <w:rFonts w:ascii="Times New Roman" w:hAnsi="Times New Roman"/>
          <w:szCs w:val="24"/>
        </w:rPr>
      </w:pPr>
    </w:p>
    <w:sectPr w:rsidRPr="00BD3ABE" w:rsidR="0066096F">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BCF9" w14:textId="77777777" w:rsidR="00DE06FD" w:rsidRDefault="00DE06FD">
      <w:r>
        <w:separator/>
      </w:r>
    </w:p>
  </w:endnote>
  <w:endnote w:type="continuationSeparator" w:id="0">
    <w:p w14:paraId="11DC09EB" w14:textId="77777777" w:rsidR="00DE06FD" w:rsidRDefault="00DE06FD">
      <w:r>
        <w:continuationSeparator/>
      </w:r>
    </w:p>
  </w:endnote>
  <w:endnote w:type="continuationNotice" w:id="1">
    <w:p w14:paraId="4682F779" w14:textId="77777777" w:rsidR="00DE06FD" w:rsidRDefault="00DE0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207B" w14:textId="77777777"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D0F02B" w14:textId="77777777"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3CEF" w14:textId="77777777" w:rsidR="000A146E" w:rsidRDefault="000A146E">
    <w:pPr>
      <w:pStyle w:val="Footer"/>
      <w:jc w:val="center"/>
    </w:pPr>
  </w:p>
  <w:p w14:paraId="7DC46AE5" w14:textId="77777777" w:rsidR="000A146E" w:rsidRDefault="000A146E">
    <w:pPr>
      <w:pStyle w:val="Footer"/>
      <w:jc w:val="center"/>
    </w:pPr>
    <w:r>
      <w:fldChar w:fldCharType="begin"/>
    </w:r>
    <w:r>
      <w:instrText xml:space="preserve"> PAGE   \* MERGEFORMAT </w:instrText>
    </w:r>
    <w:r>
      <w:fldChar w:fldCharType="separate"/>
    </w:r>
    <w:r w:rsidR="00C04426">
      <w:rPr>
        <w:noProof/>
      </w:rPr>
      <w:t>2</w:t>
    </w:r>
    <w:r>
      <w:rPr>
        <w:noProof/>
      </w:rPr>
      <w:fldChar w:fldCharType="end"/>
    </w:r>
  </w:p>
  <w:p w14:paraId="7345DDBB" w14:textId="77777777" w:rsidR="008D3013" w:rsidRDefault="008D3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3D52" w14:textId="77777777" w:rsidR="00DE06FD" w:rsidRDefault="00DE06FD">
      <w:r>
        <w:separator/>
      </w:r>
    </w:p>
  </w:footnote>
  <w:footnote w:type="continuationSeparator" w:id="0">
    <w:p w14:paraId="369251FC" w14:textId="77777777" w:rsidR="00DE06FD" w:rsidRDefault="00DE06FD">
      <w:r>
        <w:continuationSeparator/>
      </w:r>
    </w:p>
  </w:footnote>
  <w:footnote w:type="continuationNotice" w:id="1">
    <w:p w14:paraId="4C02BA94" w14:textId="77777777" w:rsidR="00DE06FD" w:rsidRDefault="00DE06FD"/>
  </w:footnote>
  <w:footnote w:id="2">
    <w:p w14:paraId="20CC5749" w14:textId="6EB4CD67" w:rsidR="005E698A" w:rsidRPr="005E698A" w:rsidRDefault="005E698A">
      <w:pPr>
        <w:pStyle w:val="FootnoteText"/>
        <w:rPr>
          <w:color w:val="000000"/>
        </w:rPr>
      </w:pPr>
      <w:r w:rsidRPr="005E698A">
        <w:rPr>
          <w:rStyle w:val="FootnoteReference"/>
          <w:vertAlign w:val="superscript"/>
        </w:rPr>
        <w:footnoteRef/>
      </w:r>
      <w:r w:rsidRPr="005E698A">
        <w:rPr>
          <w:vertAlign w:val="superscript"/>
        </w:rPr>
        <w:t xml:space="preserve"> </w:t>
      </w:r>
      <w:r w:rsidRPr="005E698A">
        <w:rPr>
          <w:color w:val="000000"/>
        </w:rPr>
        <w:t xml:space="preserve">The OCC issued part 27 as part of a settlement agreement in a case in which the plaintiffs alleged that Federal agencies, including the OCC, were obligated to exercise supervisory and regulatory powers to prevent discrimination in home mortgage lending under Title VIII of the Civil Rights Act of 1968 (Fair Housing Act).  </w:t>
      </w:r>
      <w:r w:rsidRPr="005E698A">
        <w:rPr>
          <w:i/>
          <w:iCs/>
          <w:color w:val="000000"/>
        </w:rPr>
        <w:t>See</w:t>
      </w:r>
      <w:r w:rsidRPr="005E698A">
        <w:rPr>
          <w:color w:val="000000"/>
        </w:rPr>
        <w:t xml:space="preserve"> </w:t>
      </w:r>
      <w:r w:rsidRPr="005E698A">
        <w:rPr>
          <w:i/>
          <w:iCs/>
          <w:color w:val="000000"/>
        </w:rPr>
        <w:t>National Urban League, et al. v. Office of the Comptroller of the Currency, et al.,</w:t>
      </w:r>
      <w:r w:rsidRPr="005E698A">
        <w:rPr>
          <w:color w:val="000000"/>
        </w:rPr>
        <w:t xml:space="preserve"> 78 F.R.D. 543, 544 (D.D.C. May 3, 1978) (Defendants were the OCC, FRB, FDIC, and FHLBB).  For discussion of this case, </w:t>
      </w:r>
      <w:r w:rsidRPr="005E698A">
        <w:rPr>
          <w:i/>
          <w:color w:val="000000"/>
        </w:rPr>
        <w:t>see</w:t>
      </w:r>
      <w:r w:rsidRPr="005E698A">
        <w:rPr>
          <w:color w:val="000000"/>
        </w:rPr>
        <w:t xml:space="preserve"> 44 FR 63084, 63084 (Nov. 2, 1979).  </w:t>
      </w:r>
    </w:p>
    <w:p w14:paraId="2938E135" w14:textId="77777777" w:rsidR="005E698A" w:rsidRDefault="005E698A">
      <w:pPr>
        <w:pStyle w:val="FootnoteText"/>
      </w:pPr>
    </w:p>
  </w:footnote>
  <w:footnote w:id="3">
    <w:p w14:paraId="3251DE7B" w14:textId="77777777" w:rsidR="00B666CA" w:rsidRDefault="00B666CA" w:rsidP="00B666CA">
      <w:pPr>
        <w:pStyle w:val="FootnoteText"/>
      </w:pPr>
      <w:r>
        <w:rPr>
          <w:rStyle w:val="FootnoteReference"/>
          <w:vertAlign w:val="superscript"/>
        </w:rPr>
        <w:footnoteRef/>
      </w:r>
      <w:r>
        <w:t xml:space="preserve"> 12 CFR Part 1003. </w:t>
      </w:r>
    </w:p>
    <w:p w14:paraId="09D0E4A3" w14:textId="77777777" w:rsidR="00B666CA" w:rsidRDefault="00B666CA" w:rsidP="00B666CA">
      <w:pPr>
        <w:pStyle w:val="FootnoteText"/>
      </w:pPr>
    </w:p>
  </w:footnote>
  <w:footnote w:id="4">
    <w:p w14:paraId="2DDFED6D" w14:textId="77777777" w:rsidR="00B666CA" w:rsidRDefault="00B666CA" w:rsidP="00B666CA">
      <w:pPr>
        <w:pStyle w:val="FootnoteText"/>
      </w:pPr>
      <w:r>
        <w:rPr>
          <w:rStyle w:val="FootnoteReference"/>
          <w:vertAlign w:val="superscript"/>
        </w:rPr>
        <w:footnoteRef/>
      </w:r>
      <w:r>
        <w:t xml:space="preserve"> 12 U.S.C. 2801 et seq.</w:t>
      </w:r>
    </w:p>
    <w:p w14:paraId="02A42885" w14:textId="77777777" w:rsidR="00B666CA" w:rsidRDefault="00B666CA" w:rsidP="00B666CA">
      <w:pPr>
        <w:pStyle w:val="FootnoteText"/>
      </w:pPr>
    </w:p>
  </w:footnote>
  <w:footnote w:id="5">
    <w:p w14:paraId="334CC66A" w14:textId="77777777" w:rsidR="00B666CA" w:rsidRDefault="00B666CA" w:rsidP="00B666CA">
      <w:pPr>
        <w:pStyle w:val="FootnoteText"/>
      </w:pPr>
      <w:r>
        <w:rPr>
          <w:rStyle w:val="FootnoteReference"/>
          <w:vertAlign w:val="superscript"/>
        </w:rPr>
        <w:footnoteRef/>
      </w:r>
      <w:r>
        <w:t xml:space="preserve"> 12 CFR 27.3(a)(1)(i).</w:t>
      </w:r>
    </w:p>
    <w:p w14:paraId="23649751" w14:textId="77777777" w:rsidR="00B666CA" w:rsidRDefault="00B666CA" w:rsidP="00B666CA">
      <w:pPr>
        <w:pStyle w:val="FootnoteText"/>
      </w:pPr>
    </w:p>
  </w:footnote>
  <w:footnote w:id="6">
    <w:p w14:paraId="650DCADA" w14:textId="77777777" w:rsidR="00B666CA" w:rsidRDefault="00B666CA" w:rsidP="00B666CA">
      <w:pPr>
        <w:pStyle w:val="FootnoteText"/>
      </w:pPr>
      <w:r>
        <w:rPr>
          <w:rStyle w:val="FootnoteReference"/>
          <w:vertAlign w:val="superscript"/>
        </w:rPr>
        <w:footnoteRef/>
      </w:r>
      <w:r>
        <w:t xml:space="preserve"> 12 CFR 27.3(a)(5). </w:t>
      </w:r>
    </w:p>
    <w:p w14:paraId="5D2BF186" w14:textId="77777777" w:rsidR="00B666CA" w:rsidRDefault="00B666CA" w:rsidP="00B666CA">
      <w:pPr>
        <w:pStyle w:val="FootnoteText"/>
      </w:pPr>
    </w:p>
  </w:footnote>
  <w:footnote w:id="7">
    <w:p w14:paraId="79DD83D5" w14:textId="77777777" w:rsidR="00B666CA" w:rsidRDefault="00B666CA" w:rsidP="00B666CA">
      <w:pPr>
        <w:pStyle w:val="FootnoteText"/>
      </w:pPr>
      <w:r>
        <w:rPr>
          <w:rStyle w:val="FootnoteReference"/>
          <w:vertAlign w:val="superscript"/>
        </w:rPr>
        <w:footnoteRef/>
      </w:r>
      <w:r>
        <w:rPr>
          <w:vertAlign w:val="superscript"/>
        </w:rPr>
        <w:t xml:space="preserve"> </w:t>
      </w:r>
      <w:r>
        <w:t>12 CFR 27.3(a)(2).</w:t>
      </w:r>
    </w:p>
  </w:footnote>
  <w:footnote w:id="8">
    <w:p w14:paraId="3DF9C71D" w14:textId="77777777" w:rsidR="005E698A" w:rsidRPr="005E698A" w:rsidRDefault="005E698A" w:rsidP="005E698A">
      <w:pPr>
        <w:widowControl/>
        <w:rPr>
          <w:rFonts w:ascii="Times New Roman" w:hAnsi="Times New Roman"/>
          <w:snapToGrid/>
          <w:sz w:val="20"/>
        </w:rPr>
      </w:pPr>
      <w:r w:rsidRPr="005E698A">
        <w:rPr>
          <w:rStyle w:val="FootnoteReference"/>
          <w:rFonts w:ascii="Times New Roman" w:hAnsi="Times New Roman"/>
          <w:sz w:val="20"/>
          <w:vertAlign w:val="superscript"/>
        </w:rPr>
        <w:footnoteRef/>
      </w:r>
      <w:r w:rsidRPr="005E698A">
        <w:rPr>
          <w:rFonts w:ascii="Times New Roman" w:hAnsi="Times New Roman"/>
          <w:sz w:val="20"/>
        </w:rPr>
        <w:t xml:space="preserve"> 15 U.S.C. 1691 </w:t>
      </w:r>
      <w:r w:rsidRPr="005E698A">
        <w:rPr>
          <w:rFonts w:ascii="Times New Roman" w:hAnsi="Times New Roman"/>
          <w:sz w:val="20"/>
          <w:u w:val="single"/>
        </w:rPr>
        <w:t>et seq.</w:t>
      </w:r>
    </w:p>
    <w:p w14:paraId="73DF2B33" w14:textId="5400CE5E" w:rsidR="005E698A" w:rsidRPr="005E698A" w:rsidRDefault="005E698A">
      <w:pPr>
        <w:pStyle w:val="FootnoteText"/>
      </w:pPr>
    </w:p>
  </w:footnote>
  <w:footnote w:id="9">
    <w:p w14:paraId="3A63E315" w14:textId="77777777" w:rsidR="005E698A" w:rsidRPr="005E698A" w:rsidRDefault="005E698A" w:rsidP="005E698A">
      <w:pPr>
        <w:pStyle w:val="FootnoteText"/>
      </w:pPr>
      <w:r w:rsidRPr="005E698A">
        <w:rPr>
          <w:rStyle w:val="FootnoteReference"/>
          <w:vertAlign w:val="superscript"/>
        </w:rPr>
        <w:footnoteRef/>
      </w:r>
      <w:r w:rsidRPr="005E698A">
        <w:t xml:space="preserve"> 42 U.S.C. 3605.</w:t>
      </w:r>
    </w:p>
    <w:p w14:paraId="58C2F002" w14:textId="132CD7EA" w:rsidR="005E698A" w:rsidRDefault="005E69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DBB5" w14:textId="77777777" w:rsidR="008D3013" w:rsidRDefault="008D3013">
    <w:pPr>
      <w:framePr w:w="9361" w:wrap="notBeside" w:vAnchor="text" w:hAnchor="text" w:x="1" w:y="1"/>
    </w:pPr>
  </w:p>
  <w:p w14:paraId="4888ABF5" w14:textId="77777777" w:rsidR="008D3013" w:rsidRDefault="008D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601B"/>
    <w:multiLevelType w:val="hybridMultilevel"/>
    <w:tmpl w:val="49665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6A15A5"/>
    <w:multiLevelType w:val="hybridMultilevel"/>
    <w:tmpl w:val="12964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513E2"/>
    <w:multiLevelType w:val="hybridMultilevel"/>
    <w:tmpl w:val="DECE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FA656B"/>
    <w:multiLevelType w:val="hybridMultilevel"/>
    <w:tmpl w:val="FDE4B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685AA1"/>
    <w:multiLevelType w:val="hybridMultilevel"/>
    <w:tmpl w:val="A7E20736"/>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0223B1"/>
    <w:multiLevelType w:val="hybridMultilevel"/>
    <w:tmpl w:val="DE0E4D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F5E662F"/>
    <w:multiLevelType w:val="hybridMultilevel"/>
    <w:tmpl w:val="D0CA8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7330A0"/>
    <w:multiLevelType w:val="hybridMultilevel"/>
    <w:tmpl w:val="40628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7"/>
  </w:num>
  <w:num w:numId="5">
    <w:abstractNumId w:val="3"/>
  </w:num>
  <w:num w:numId="6">
    <w:abstractNumId w:val="7"/>
  </w:num>
  <w:num w:numId="7">
    <w:abstractNumId w:val="5"/>
  </w:num>
  <w:num w:numId="8">
    <w:abstractNumId w:val="9"/>
  </w:num>
  <w:num w:numId="9">
    <w:abstractNumId w:val="4"/>
  </w:num>
  <w:num w:numId="10">
    <w:abstractNumId w:val="8"/>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1" w:val="Empty"/>
    <w:docVar w:name="OLE_LINK2" w:val="Empty"/>
    <w:docVar w:name="OLE_LINK3" w:val="Empty"/>
    <w:docVar w:name="OLE_LINK4" w:val="Empty"/>
  </w:docVars>
  <w:rsids>
    <w:rsidRoot w:val="00D051A1"/>
    <w:rsid w:val="00006C0C"/>
    <w:rsid w:val="000150A6"/>
    <w:rsid w:val="000206B5"/>
    <w:rsid w:val="00023DED"/>
    <w:rsid w:val="00040C25"/>
    <w:rsid w:val="000425FE"/>
    <w:rsid w:val="00060D06"/>
    <w:rsid w:val="00066707"/>
    <w:rsid w:val="0007122B"/>
    <w:rsid w:val="000802FD"/>
    <w:rsid w:val="000844E8"/>
    <w:rsid w:val="000854E2"/>
    <w:rsid w:val="00095943"/>
    <w:rsid w:val="0009733C"/>
    <w:rsid w:val="00097ABF"/>
    <w:rsid w:val="000A146E"/>
    <w:rsid w:val="000A3DC6"/>
    <w:rsid w:val="000A51AB"/>
    <w:rsid w:val="000B0BD0"/>
    <w:rsid w:val="000B6396"/>
    <w:rsid w:val="000C1BE9"/>
    <w:rsid w:val="000C36CE"/>
    <w:rsid w:val="000C5B87"/>
    <w:rsid w:val="000D5BE9"/>
    <w:rsid w:val="000E01ED"/>
    <w:rsid w:val="000E5BD8"/>
    <w:rsid w:val="000F01AA"/>
    <w:rsid w:val="001016B5"/>
    <w:rsid w:val="00107DC8"/>
    <w:rsid w:val="0012007F"/>
    <w:rsid w:val="0013257B"/>
    <w:rsid w:val="00132B28"/>
    <w:rsid w:val="0014662A"/>
    <w:rsid w:val="00146A39"/>
    <w:rsid w:val="00153E35"/>
    <w:rsid w:val="00153FBB"/>
    <w:rsid w:val="001540B8"/>
    <w:rsid w:val="00162959"/>
    <w:rsid w:val="00167459"/>
    <w:rsid w:val="00175050"/>
    <w:rsid w:val="00175FA9"/>
    <w:rsid w:val="00176B6A"/>
    <w:rsid w:val="00183E56"/>
    <w:rsid w:val="00185ED6"/>
    <w:rsid w:val="001869E5"/>
    <w:rsid w:val="001A6ABF"/>
    <w:rsid w:val="001C1A2A"/>
    <w:rsid w:val="001C7526"/>
    <w:rsid w:val="00203F55"/>
    <w:rsid w:val="00205446"/>
    <w:rsid w:val="0021175A"/>
    <w:rsid w:val="002328F2"/>
    <w:rsid w:val="00233B1E"/>
    <w:rsid w:val="0023400D"/>
    <w:rsid w:val="002340C8"/>
    <w:rsid w:val="00236980"/>
    <w:rsid w:val="0024422C"/>
    <w:rsid w:val="002623F6"/>
    <w:rsid w:val="00264FAE"/>
    <w:rsid w:val="00271B64"/>
    <w:rsid w:val="0028674B"/>
    <w:rsid w:val="00292394"/>
    <w:rsid w:val="00292B0C"/>
    <w:rsid w:val="002A2C35"/>
    <w:rsid w:val="002C0CF3"/>
    <w:rsid w:val="002C42D9"/>
    <w:rsid w:val="002E68AF"/>
    <w:rsid w:val="0031223F"/>
    <w:rsid w:val="00340C31"/>
    <w:rsid w:val="00354D9C"/>
    <w:rsid w:val="00357AE8"/>
    <w:rsid w:val="0036319C"/>
    <w:rsid w:val="0037137C"/>
    <w:rsid w:val="003713E6"/>
    <w:rsid w:val="003724EE"/>
    <w:rsid w:val="003856C7"/>
    <w:rsid w:val="00386F65"/>
    <w:rsid w:val="003954D8"/>
    <w:rsid w:val="003A2111"/>
    <w:rsid w:val="003C6E04"/>
    <w:rsid w:val="003D0A41"/>
    <w:rsid w:val="003E1862"/>
    <w:rsid w:val="003E3D44"/>
    <w:rsid w:val="003F4581"/>
    <w:rsid w:val="003F7EF0"/>
    <w:rsid w:val="00407FA2"/>
    <w:rsid w:val="004166CE"/>
    <w:rsid w:val="00435B05"/>
    <w:rsid w:val="00447201"/>
    <w:rsid w:val="004520E2"/>
    <w:rsid w:val="00466F07"/>
    <w:rsid w:val="0047194A"/>
    <w:rsid w:val="0047220D"/>
    <w:rsid w:val="00472298"/>
    <w:rsid w:val="00475D94"/>
    <w:rsid w:val="00485CCF"/>
    <w:rsid w:val="00486367"/>
    <w:rsid w:val="00495352"/>
    <w:rsid w:val="004D68C3"/>
    <w:rsid w:val="004E0757"/>
    <w:rsid w:val="004E5FE7"/>
    <w:rsid w:val="004F0C35"/>
    <w:rsid w:val="004F2B0F"/>
    <w:rsid w:val="00505CDE"/>
    <w:rsid w:val="00512781"/>
    <w:rsid w:val="00540FC1"/>
    <w:rsid w:val="005628F5"/>
    <w:rsid w:val="00564A42"/>
    <w:rsid w:val="00573006"/>
    <w:rsid w:val="005761D7"/>
    <w:rsid w:val="00576EF9"/>
    <w:rsid w:val="00584CA6"/>
    <w:rsid w:val="005956A8"/>
    <w:rsid w:val="005B05CA"/>
    <w:rsid w:val="005C169B"/>
    <w:rsid w:val="005D4E3F"/>
    <w:rsid w:val="005D6486"/>
    <w:rsid w:val="005D7054"/>
    <w:rsid w:val="005E1B64"/>
    <w:rsid w:val="005E698A"/>
    <w:rsid w:val="005F119D"/>
    <w:rsid w:val="006055FD"/>
    <w:rsid w:val="0061160A"/>
    <w:rsid w:val="00613009"/>
    <w:rsid w:val="006200D5"/>
    <w:rsid w:val="00631E07"/>
    <w:rsid w:val="00643A5F"/>
    <w:rsid w:val="0065511A"/>
    <w:rsid w:val="0066096F"/>
    <w:rsid w:val="006627B8"/>
    <w:rsid w:val="00663B72"/>
    <w:rsid w:val="00664ED7"/>
    <w:rsid w:val="00681328"/>
    <w:rsid w:val="006B1010"/>
    <w:rsid w:val="006C7746"/>
    <w:rsid w:val="006D54FE"/>
    <w:rsid w:val="006D6392"/>
    <w:rsid w:val="006D7D17"/>
    <w:rsid w:val="006D7F0B"/>
    <w:rsid w:val="006E060A"/>
    <w:rsid w:val="006E34D0"/>
    <w:rsid w:val="006E58C0"/>
    <w:rsid w:val="006F23B2"/>
    <w:rsid w:val="006F33F5"/>
    <w:rsid w:val="006F3581"/>
    <w:rsid w:val="00721846"/>
    <w:rsid w:val="00726027"/>
    <w:rsid w:val="007340C5"/>
    <w:rsid w:val="00737442"/>
    <w:rsid w:val="00740ECF"/>
    <w:rsid w:val="00741B5B"/>
    <w:rsid w:val="00742921"/>
    <w:rsid w:val="00755A23"/>
    <w:rsid w:val="0077289B"/>
    <w:rsid w:val="00773BD8"/>
    <w:rsid w:val="00776832"/>
    <w:rsid w:val="00777288"/>
    <w:rsid w:val="007944A9"/>
    <w:rsid w:val="00797193"/>
    <w:rsid w:val="007B06A7"/>
    <w:rsid w:val="007B32D6"/>
    <w:rsid w:val="007B5A84"/>
    <w:rsid w:val="007D771E"/>
    <w:rsid w:val="00800DA2"/>
    <w:rsid w:val="008100E8"/>
    <w:rsid w:val="00830870"/>
    <w:rsid w:val="0084409A"/>
    <w:rsid w:val="00850BC8"/>
    <w:rsid w:val="00853452"/>
    <w:rsid w:val="0086288E"/>
    <w:rsid w:val="00874EEB"/>
    <w:rsid w:val="008856BB"/>
    <w:rsid w:val="008A4A4B"/>
    <w:rsid w:val="008B1382"/>
    <w:rsid w:val="008C1454"/>
    <w:rsid w:val="008D3013"/>
    <w:rsid w:val="008E73EE"/>
    <w:rsid w:val="008F1AF1"/>
    <w:rsid w:val="008F4DFF"/>
    <w:rsid w:val="008F5D4C"/>
    <w:rsid w:val="00900B71"/>
    <w:rsid w:val="00900CD3"/>
    <w:rsid w:val="009015D5"/>
    <w:rsid w:val="00916115"/>
    <w:rsid w:val="00920E1F"/>
    <w:rsid w:val="009212CF"/>
    <w:rsid w:val="00944653"/>
    <w:rsid w:val="00962E44"/>
    <w:rsid w:val="009959B2"/>
    <w:rsid w:val="009B2C5A"/>
    <w:rsid w:val="009B3FF7"/>
    <w:rsid w:val="009C0292"/>
    <w:rsid w:val="009C1387"/>
    <w:rsid w:val="009C3D5C"/>
    <w:rsid w:val="009C5782"/>
    <w:rsid w:val="009D07FB"/>
    <w:rsid w:val="009E4D49"/>
    <w:rsid w:val="009F077B"/>
    <w:rsid w:val="00A078B5"/>
    <w:rsid w:val="00A1401D"/>
    <w:rsid w:val="00A14102"/>
    <w:rsid w:val="00A17299"/>
    <w:rsid w:val="00A1770F"/>
    <w:rsid w:val="00A235C0"/>
    <w:rsid w:val="00A408F5"/>
    <w:rsid w:val="00A5335F"/>
    <w:rsid w:val="00A60510"/>
    <w:rsid w:val="00A62CF2"/>
    <w:rsid w:val="00A63779"/>
    <w:rsid w:val="00A63B0E"/>
    <w:rsid w:val="00A666BE"/>
    <w:rsid w:val="00A76008"/>
    <w:rsid w:val="00A835E7"/>
    <w:rsid w:val="00A90B03"/>
    <w:rsid w:val="00AA07D5"/>
    <w:rsid w:val="00AA4DD4"/>
    <w:rsid w:val="00AC5DBD"/>
    <w:rsid w:val="00AC5FC7"/>
    <w:rsid w:val="00AC6CF0"/>
    <w:rsid w:val="00AD404F"/>
    <w:rsid w:val="00AD66E4"/>
    <w:rsid w:val="00AF3216"/>
    <w:rsid w:val="00AF51F3"/>
    <w:rsid w:val="00B23D3B"/>
    <w:rsid w:val="00B26097"/>
    <w:rsid w:val="00B32EAB"/>
    <w:rsid w:val="00B34524"/>
    <w:rsid w:val="00B40E70"/>
    <w:rsid w:val="00B45BDE"/>
    <w:rsid w:val="00B666CA"/>
    <w:rsid w:val="00B83FA2"/>
    <w:rsid w:val="00B94C53"/>
    <w:rsid w:val="00BB11ED"/>
    <w:rsid w:val="00BB2D21"/>
    <w:rsid w:val="00BB602D"/>
    <w:rsid w:val="00BC0EDB"/>
    <w:rsid w:val="00BC2243"/>
    <w:rsid w:val="00BC2C99"/>
    <w:rsid w:val="00BC592D"/>
    <w:rsid w:val="00BD3ABE"/>
    <w:rsid w:val="00C04426"/>
    <w:rsid w:val="00C11EB4"/>
    <w:rsid w:val="00C135A0"/>
    <w:rsid w:val="00C35350"/>
    <w:rsid w:val="00C6418D"/>
    <w:rsid w:val="00C67A12"/>
    <w:rsid w:val="00C67B1E"/>
    <w:rsid w:val="00C74562"/>
    <w:rsid w:val="00C747D0"/>
    <w:rsid w:val="00C77C5A"/>
    <w:rsid w:val="00C80D67"/>
    <w:rsid w:val="00C86573"/>
    <w:rsid w:val="00C94841"/>
    <w:rsid w:val="00CA0BA7"/>
    <w:rsid w:val="00CA79C8"/>
    <w:rsid w:val="00CB21D8"/>
    <w:rsid w:val="00CC16A9"/>
    <w:rsid w:val="00CD16FE"/>
    <w:rsid w:val="00CD7398"/>
    <w:rsid w:val="00CE071C"/>
    <w:rsid w:val="00CE0786"/>
    <w:rsid w:val="00CF10BE"/>
    <w:rsid w:val="00CF51E2"/>
    <w:rsid w:val="00CF5A77"/>
    <w:rsid w:val="00CF66F5"/>
    <w:rsid w:val="00CF7ECA"/>
    <w:rsid w:val="00D051A1"/>
    <w:rsid w:val="00D15121"/>
    <w:rsid w:val="00D20327"/>
    <w:rsid w:val="00D45BB1"/>
    <w:rsid w:val="00D504B8"/>
    <w:rsid w:val="00D51620"/>
    <w:rsid w:val="00D54311"/>
    <w:rsid w:val="00D55C63"/>
    <w:rsid w:val="00D73BD9"/>
    <w:rsid w:val="00D74A72"/>
    <w:rsid w:val="00D85062"/>
    <w:rsid w:val="00DA0095"/>
    <w:rsid w:val="00DA6C31"/>
    <w:rsid w:val="00DB4B8B"/>
    <w:rsid w:val="00DB6B00"/>
    <w:rsid w:val="00DC23AC"/>
    <w:rsid w:val="00DC2467"/>
    <w:rsid w:val="00DD2D92"/>
    <w:rsid w:val="00DE06FD"/>
    <w:rsid w:val="00DF5C7E"/>
    <w:rsid w:val="00E164AF"/>
    <w:rsid w:val="00E34168"/>
    <w:rsid w:val="00E37603"/>
    <w:rsid w:val="00E5110C"/>
    <w:rsid w:val="00E5224C"/>
    <w:rsid w:val="00E6646E"/>
    <w:rsid w:val="00E7171A"/>
    <w:rsid w:val="00E7277D"/>
    <w:rsid w:val="00E73316"/>
    <w:rsid w:val="00E80707"/>
    <w:rsid w:val="00E82FF5"/>
    <w:rsid w:val="00E87103"/>
    <w:rsid w:val="00EA1FBA"/>
    <w:rsid w:val="00EB1A59"/>
    <w:rsid w:val="00ED1C5D"/>
    <w:rsid w:val="00ED5609"/>
    <w:rsid w:val="00F02DF0"/>
    <w:rsid w:val="00F050BD"/>
    <w:rsid w:val="00F33425"/>
    <w:rsid w:val="00F44CE8"/>
    <w:rsid w:val="00F50613"/>
    <w:rsid w:val="00F51041"/>
    <w:rsid w:val="00F529E8"/>
    <w:rsid w:val="00F53038"/>
    <w:rsid w:val="00F64964"/>
    <w:rsid w:val="00F65AB8"/>
    <w:rsid w:val="00F66534"/>
    <w:rsid w:val="00F73576"/>
    <w:rsid w:val="00F75496"/>
    <w:rsid w:val="00F9269D"/>
    <w:rsid w:val="00F93321"/>
    <w:rsid w:val="00FA0518"/>
    <w:rsid w:val="00FA4957"/>
    <w:rsid w:val="00FA78C8"/>
    <w:rsid w:val="00FB641E"/>
    <w:rsid w:val="00FC7D2F"/>
    <w:rsid w:val="00FF30C8"/>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965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6B1010"/>
    <w:pPr>
      <w:widowControl/>
    </w:pPr>
    <w:rPr>
      <w:rFonts w:ascii="Times New Roman" w:hAnsi="Times New Roman"/>
      <w:snapToGrid/>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paragraph" w:styleId="BodyText">
    <w:name w:val="Body Text"/>
    <w:basedOn w:val="Normal"/>
    <w:link w:val="BodyTextChar"/>
    <w:unhideWhenUsed/>
    <w:qFormat/>
    <w:rsid w:val="009E4D49"/>
    <w:pPr>
      <w:widowControl/>
    </w:pPr>
    <w:rPr>
      <w:rFonts w:ascii="Arial Narrow" w:hAnsi="Arial Narrow"/>
      <w:snapToGrid/>
      <w:u w:val="single"/>
    </w:rPr>
  </w:style>
  <w:style w:type="character" w:customStyle="1" w:styleId="BodyTextChar">
    <w:name w:val="Body Text Char"/>
    <w:link w:val="BodyText"/>
    <w:rsid w:val="009E4D49"/>
    <w:rPr>
      <w:rFonts w:ascii="Arial Narrow" w:hAnsi="Arial Narrow"/>
      <w:sz w:val="24"/>
      <w:u w:val="single"/>
    </w:rPr>
  </w:style>
  <w:style w:type="character" w:customStyle="1" w:styleId="FooterChar">
    <w:name w:val="Footer Char"/>
    <w:link w:val="Footer"/>
    <w:uiPriority w:val="99"/>
    <w:rsid w:val="000A146E"/>
    <w:rPr>
      <w:rFonts w:ascii="Courier" w:hAnsi="Courier"/>
      <w:snapToGrid w:val="0"/>
      <w:sz w:val="24"/>
    </w:rPr>
  </w:style>
  <w:style w:type="paragraph" w:styleId="BodyTextIndent3">
    <w:name w:val="Body Text Indent 3"/>
    <w:basedOn w:val="Normal"/>
    <w:link w:val="BodyTextIndent3Char"/>
    <w:rsid w:val="0061160A"/>
    <w:pPr>
      <w:widowControl/>
      <w:spacing w:after="120"/>
      <w:ind w:left="360"/>
    </w:pPr>
    <w:rPr>
      <w:rFonts w:ascii="Times New Roman" w:hAnsi="Times New Roman"/>
      <w:snapToGrid/>
      <w:sz w:val="16"/>
      <w:szCs w:val="16"/>
    </w:rPr>
  </w:style>
  <w:style w:type="character" w:customStyle="1" w:styleId="BodyTextIndent3Char">
    <w:name w:val="Body Text Indent 3 Char"/>
    <w:link w:val="BodyTextIndent3"/>
    <w:rsid w:val="0061160A"/>
    <w:rPr>
      <w:sz w:val="16"/>
      <w:szCs w:val="16"/>
    </w:rPr>
  </w:style>
  <w:style w:type="paragraph" w:styleId="Revision">
    <w:name w:val="Revision"/>
    <w:hidden/>
    <w:uiPriority w:val="99"/>
    <w:semiHidden/>
    <w:rsid w:val="00B666C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779">
      <w:bodyDiv w:val="1"/>
      <w:marLeft w:val="0"/>
      <w:marRight w:val="0"/>
      <w:marTop w:val="0"/>
      <w:marBottom w:val="0"/>
      <w:divBdr>
        <w:top w:val="none" w:sz="0" w:space="0" w:color="auto"/>
        <w:left w:val="none" w:sz="0" w:space="0" w:color="auto"/>
        <w:bottom w:val="none" w:sz="0" w:space="0" w:color="auto"/>
        <w:right w:val="none" w:sz="0" w:space="0" w:color="auto"/>
      </w:divBdr>
    </w:div>
    <w:div w:id="1158381130">
      <w:bodyDiv w:val="1"/>
      <w:marLeft w:val="0"/>
      <w:marRight w:val="0"/>
      <w:marTop w:val="0"/>
      <w:marBottom w:val="0"/>
      <w:divBdr>
        <w:top w:val="none" w:sz="0" w:space="0" w:color="auto"/>
        <w:left w:val="none" w:sz="0" w:space="0" w:color="auto"/>
        <w:bottom w:val="none" w:sz="0" w:space="0" w:color="auto"/>
        <w:right w:val="none" w:sz="0" w:space="0" w:color="auto"/>
      </w:divBdr>
    </w:div>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C015-90E2-40DB-92E2-D52C1274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7903</CharactersWithSpaces>
  <SharedDoc>false</SharedDoc>
  <HLinks>
    <vt:vector size="12" baseType="variant">
      <vt:variant>
        <vt:i4>2490413</vt:i4>
      </vt:variant>
      <vt:variant>
        <vt:i4>3</vt:i4>
      </vt:variant>
      <vt:variant>
        <vt:i4>0</vt:i4>
      </vt:variant>
      <vt:variant>
        <vt:i4>5</vt:i4>
      </vt:variant>
      <vt:variant>
        <vt:lpwstr>http://www.consumerfinance.gov/data-research/hmda/tech-preview</vt:lpwstr>
      </vt:variant>
      <vt:variant>
        <vt:lpwstr/>
      </vt:variant>
      <vt:variant>
        <vt:i4>2359296</vt:i4>
      </vt:variant>
      <vt:variant>
        <vt:i4>0</vt:i4>
      </vt:variant>
      <vt:variant>
        <vt:i4>0</vt:i4>
      </vt:variant>
      <vt:variant>
        <vt:i4>5</vt:i4>
      </vt:variant>
      <vt:variant>
        <vt:lpwstr>http://web2.westlaw.com/find/default.wl?DB=1000546&amp;DocName=12USCAS2801&amp;FindType=L&amp;AP=&amp;mt=Westlaw&amp;fn=_top&amp;sv=Split&amp;vr=2.0&amp;rs=WLW5.03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2021-01-13T13:15:00Z</dcterms:created>
  <dcterms:modified xsi:type="dcterms:W3CDTF">2021-01-13T13:15:00Z</dcterms:modified>
</cp:coreProperties>
</file>