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4FD6" w:rsidP="00CA4886" w:rsidRDefault="009A4FD6" w14:paraId="323385D6" w14:textId="77777777">
      <w:pPr>
        <w:jc w:val="center"/>
        <w:rPr>
          <w:b/>
        </w:rPr>
      </w:pPr>
      <w:r>
        <w:rPr>
          <w:b/>
        </w:rPr>
        <w:t>Supporting Statement for</w:t>
      </w:r>
    </w:p>
    <w:p w:rsidR="009A4FD6" w:rsidP="00CA4886" w:rsidRDefault="009A4FD6" w14:paraId="7DA22C51" w14:textId="77777777">
      <w:pPr>
        <w:jc w:val="center"/>
        <w:rPr>
          <w:b/>
        </w:rPr>
      </w:pPr>
      <w:r w:rsidRPr="00CA4886">
        <w:rPr>
          <w:b/>
        </w:rPr>
        <w:t>Fair Credit Reporting</w:t>
      </w:r>
      <w:r w:rsidR="00AD344B">
        <w:rPr>
          <w:b/>
        </w:rPr>
        <w:t xml:space="preserve">: </w:t>
      </w:r>
      <w:r w:rsidRPr="00CA4886">
        <w:rPr>
          <w:b/>
        </w:rPr>
        <w:t xml:space="preserve"> Affiliate Marketing Regulations</w:t>
      </w:r>
    </w:p>
    <w:p w:rsidR="005224AF" w:rsidP="005224AF" w:rsidRDefault="005224AF" w14:paraId="518B2DDD" w14:textId="77777777">
      <w:pPr>
        <w:jc w:val="center"/>
        <w:rPr>
          <w:b/>
        </w:rPr>
      </w:pPr>
      <w:r w:rsidRPr="00CA4886">
        <w:rPr>
          <w:b/>
        </w:rPr>
        <w:t>OMB Control No. 1557-0230</w:t>
      </w:r>
    </w:p>
    <w:p w:rsidR="00CA4886" w:rsidP="00CA4886" w:rsidRDefault="00CA4886" w14:paraId="636B5CA9" w14:textId="77777777">
      <w:pPr>
        <w:jc w:val="center"/>
        <w:rPr>
          <w:b/>
        </w:rPr>
      </w:pPr>
    </w:p>
    <w:p w:rsidR="0025115D" w:rsidP="00CA4886" w:rsidRDefault="0025115D" w14:paraId="28CEB662" w14:textId="77777777"/>
    <w:p w:rsidRPr="003C6163" w:rsidR="0025115D" w:rsidP="00701CC2" w:rsidRDefault="00701CC2" w14:paraId="1D37922A" w14:textId="77777777">
      <w:pPr>
        <w:rPr>
          <w:b/>
        </w:rPr>
      </w:pPr>
      <w:r w:rsidRPr="003C6163">
        <w:rPr>
          <w:b/>
        </w:rPr>
        <w:t xml:space="preserve">A.  </w:t>
      </w:r>
      <w:r w:rsidRPr="008A1B52" w:rsidR="0025115D">
        <w:rPr>
          <w:b/>
          <w:u w:val="single"/>
        </w:rPr>
        <w:t>Justification</w:t>
      </w:r>
      <w:r w:rsidRPr="003C6163" w:rsidR="003C6163">
        <w:rPr>
          <w:b/>
        </w:rPr>
        <w:t>.</w:t>
      </w:r>
    </w:p>
    <w:p w:rsidR="009F6566" w:rsidP="009F6566" w:rsidRDefault="009F6566" w14:paraId="77EF1073" w14:textId="77777777">
      <w:pPr>
        <w:ind w:left="360"/>
      </w:pPr>
    </w:p>
    <w:p w:rsidRPr="003C6163" w:rsidR="0025115D" w:rsidP="00701CC2" w:rsidRDefault="00701CC2" w14:paraId="2956F8A6" w14:textId="77777777">
      <w:pPr>
        <w:rPr>
          <w:b/>
          <w:i/>
        </w:rPr>
      </w:pPr>
      <w:r w:rsidRPr="003C6163">
        <w:rPr>
          <w:b/>
          <w:i/>
        </w:rPr>
        <w:t xml:space="preserve">1.  </w:t>
      </w:r>
      <w:r w:rsidRPr="003C6163" w:rsidR="0025115D">
        <w:rPr>
          <w:b/>
          <w:i/>
        </w:rPr>
        <w:t>Circumstances that make the collection necessary:</w:t>
      </w:r>
    </w:p>
    <w:p w:rsidR="0025115D" w:rsidP="0025115D" w:rsidRDefault="0025115D" w14:paraId="088DCF4D" w14:textId="77777777"/>
    <w:p w:rsidRPr="00544D9F" w:rsidR="004E23A1" w:rsidP="00544D9F" w:rsidRDefault="00442279" w14:paraId="43566C07" w14:textId="77777777">
      <w:pPr>
        <w:rPr>
          <w:rStyle w:val="documentbody1"/>
          <w:rFonts w:ascii="Times New Roman" w:hAnsi="Times New Roman"/>
        </w:rPr>
      </w:pPr>
      <w:r>
        <w:tab/>
      </w:r>
      <w:r w:rsidR="0025115D">
        <w:t xml:space="preserve">Section 214 of the </w:t>
      </w:r>
      <w:r w:rsidR="00276B09">
        <w:t>Fair and Accurate Credit Transactions Act of 2003 (</w:t>
      </w:r>
      <w:r w:rsidR="0025115D">
        <w:t>FACT Act</w:t>
      </w:r>
      <w:r w:rsidR="00276B09">
        <w:t>)</w:t>
      </w:r>
      <w:r w:rsidR="0025115D">
        <w:t>,</w:t>
      </w:r>
      <w:r w:rsidR="00B36793">
        <w:rPr>
          <w:rStyle w:val="FootnoteReference"/>
        </w:rPr>
        <w:footnoteReference w:id="1"/>
      </w:r>
      <w:r w:rsidR="0025115D">
        <w:t xml:space="preserve"> which add</w:t>
      </w:r>
      <w:r w:rsidR="0025688F">
        <w:t>ed</w:t>
      </w:r>
      <w:r w:rsidR="0025115D">
        <w:t xml:space="preserve"> section 624 to the</w:t>
      </w:r>
      <w:r w:rsidR="00834ECC">
        <w:t xml:space="preserve"> Fair Credit Reporting Act (</w:t>
      </w:r>
      <w:r w:rsidR="0025115D">
        <w:t>FCRA</w:t>
      </w:r>
      <w:r w:rsidR="00834ECC">
        <w:t>)</w:t>
      </w:r>
      <w:r w:rsidR="0025115D">
        <w:t>,</w:t>
      </w:r>
      <w:r w:rsidR="00834ECC">
        <w:rPr>
          <w:rStyle w:val="FootnoteReference"/>
        </w:rPr>
        <w:footnoteReference w:id="2"/>
      </w:r>
      <w:r w:rsidR="0025115D">
        <w:t xml:space="preserve"> </w:t>
      </w:r>
      <w:r w:rsidR="009F6566">
        <w:t xml:space="preserve">generally prohibits a person from using certain information received from an affiliate to </w:t>
      </w:r>
      <w:r w:rsidR="00FB6F24">
        <w:t xml:space="preserve">solicit a customer </w:t>
      </w:r>
      <w:r w:rsidR="009F6566">
        <w:t xml:space="preserve">for marketing purposes, unless the consumer is given notice and an opportunity and simple method to opt out of such solicitations.  </w:t>
      </w:r>
    </w:p>
    <w:p w:rsidR="0005034B" w:rsidP="0025115D" w:rsidRDefault="0005034B" w14:paraId="657B2514" w14:textId="77777777">
      <w:pPr>
        <w:ind w:left="720"/>
      </w:pPr>
    </w:p>
    <w:p w:rsidR="0005034B" w:rsidP="00701CC2" w:rsidRDefault="00701CC2" w14:paraId="404A569E" w14:textId="77777777">
      <w:pPr>
        <w:rPr>
          <w:b/>
          <w:i/>
        </w:rPr>
      </w:pPr>
      <w:r w:rsidRPr="003C6163">
        <w:rPr>
          <w:b/>
          <w:i/>
        </w:rPr>
        <w:t xml:space="preserve">2.  </w:t>
      </w:r>
      <w:r w:rsidRPr="003C6163" w:rsidR="0005034B">
        <w:rPr>
          <w:b/>
          <w:i/>
        </w:rPr>
        <w:t>Use of the information:</w:t>
      </w:r>
    </w:p>
    <w:p w:rsidR="0005034B" w:rsidP="0005034B" w:rsidRDefault="0005034B" w14:paraId="7EE9C9E1" w14:textId="77777777"/>
    <w:p w:rsidR="00824A30" w:rsidP="00701CC2" w:rsidRDefault="00442279" w14:paraId="69F2BED0" w14:textId="77777777">
      <w:r>
        <w:tab/>
      </w:r>
      <w:r w:rsidR="0005034B">
        <w:t xml:space="preserve">Financial institutions use the required notices to inform consumers about their rights under </w:t>
      </w:r>
      <w:r w:rsidR="00E502ED">
        <w:t xml:space="preserve">section 214 of </w:t>
      </w:r>
      <w:r w:rsidR="0005034B">
        <w:t xml:space="preserve">the FACT Act.  Consumers use the notices to decide if they want to receive solicitations </w:t>
      </w:r>
      <w:r w:rsidR="00B418CA">
        <w:t xml:space="preserve">for marketing purposes </w:t>
      </w:r>
      <w:r w:rsidR="0005034B">
        <w:t>or opt out</w:t>
      </w:r>
      <w:r w:rsidR="00FB6F24">
        <w:t xml:space="preserve"> of such solicitations</w:t>
      </w:r>
      <w:r w:rsidR="0005034B">
        <w:t xml:space="preserve">.  Financial institutions use </w:t>
      </w:r>
      <w:proofErr w:type="gramStart"/>
      <w:r w:rsidR="0005034B">
        <w:t>consumers’</w:t>
      </w:r>
      <w:proofErr w:type="gramEnd"/>
      <w:r w:rsidR="0005034B">
        <w:t xml:space="preserve"> opt</w:t>
      </w:r>
      <w:r w:rsidR="00343968">
        <w:t>-</w:t>
      </w:r>
      <w:r w:rsidR="0005034B">
        <w:t xml:space="preserve">out </w:t>
      </w:r>
      <w:r w:rsidR="00E502ED">
        <w:t>responses</w:t>
      </w:r>
      <w:r w:rsidR="0005034B">
        <w:t xml:space="preserve"> to determine </w:t>
      </w:r>
      <w:r w:rsidR="00E502ED">
        <w:t xml:space="preserve">the permissibility of making a solicitation </w:t>
      </w:r>
      <w:r w:rsidRPr="00824A30" w:rsidR="00E502ED">
        <w:t>for marketing purposes to consumers</w:t>
      </w:r>
      <w:r w:rsidRPr="00824A30" w:rsidR="0005034B">
        <w:t xml:space="preserve">.  </w:t>
      </w:r>
    </w:p>
    <w:p w:rsidR="00AD344B" w:rsidP="00AD344B" w:rsidRDefault="00AD344B" w14:paraId="208F17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D344B" w:rsidP="00AD344B" w:rsidRDefault="00AD344B" w14:paraId="2C982A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If a person receives certain consumer eligibility information from an affiliate, the person may not use that information to </w:t>
      </w:r>
      <w:r w:rsidR="00FB6F24">
        <w:t xml:space="preserve">solicit </w:t>
      </w:r>
      <w:r>
        <w:t>the consumer about its products or services, unless the consumer is given notice and a simple method to opt out of such use of the information, and the consumer does not opt out.  Exceptions include a person using eligibility information:  (1) to make solicitations to a consumer with whom the person has a pre-existing business relationship; (2) to perform services for another affiliate subject to certain conditions; (3) in response to a communication initiated by the consumer; or (4) to make a solicitation that has been authorized or requested by the consumer.  A consumer's affiliate marketing opt-out election must be effective for a period of at least five years.  Upon expiration of the opt-out period, the consumer must be given a renewal notice and an opportunity to renew the opt-out before information received from an affiliate may be used to make solicitations to the consumer.</w:t>
      </w:r>
    </w:p>
    <w:p w:rsidR="00AD344B" w:rsidP="00AD344B" w:rsidRDefault="00AD344B" w14:paraId="649E0960" w14:textId="77777777">
      <w:pPr>
        <w:pStyle w:val="HTMLPreformatted"/>
        <w:rPr>
          <w:rFonts w:ascii="Times New Roman" w:hAnsi="Times New Roman" w:cs="Times New Roman"/>
          <w:sz w:val="24"/>
          <w:szCs w:val="24"/>
        </w:rPr>
      </w:pPr>
    </w:p>
    <w:p w:rsidR="00AD344B" w:rsidP="00AD344B" w:rsidRDefault="00AD344B" w14:paraId="1DDA8EAE" w14:textId="77777777">
      <w:pPr>
        <w:spacing w:after="45"/>
        <w:ind w:right="72" w:firstLine="720"/>
      </w:pPr>
      <w:r>
        <w:t xml:space="preserve">Twelve CFR 1022.20-1022.27 require financial institutions to issue notices informing consumers about their rights under section 214 of the FACT Act.  Consumers use the notices to decide if they want to receive solicitations for marketing purposes or opt out.  Financial institutions use </w:t>
      </w:r>
      <w:proofErr w:type="gramStart"/>
      <w:r>
        <w:t>consumers’</w:t>
      </w:r>
      <w:proofErr w:type="gramEnd"/>
      <w:r>
        <w:t xml:space="preserve"> opt-out responses to determine the permissibility of making a solicitation for marketing purposes.  </w:t>
      </w:r>
    </w:p>
    <w:p w:rsidRPr="00824A30" w:rsidR="00AD344B" w:rsidP="00824A30" w:rsidRDefault="00AD344B" w14:paraId="64A064C7" w14:textId="77777777">
      <w:pPr>
        <w:pStyle w:val="HTMLPreformatted"/>
        <w:rPr>
          <w:rFonts w:ascii="Times New Roman" w:hAnsi="Times New Roman" w:cs="Times New Roman"/>
          <w:sz w:val="24"/>
          <w:szCs w:val="24"/>
        </w:rPr>
      </w:pPr>
    </w:p>
    <w:p w:rsidR="00572EA2" w:rsidP="00701CC2" w:rsidRDefault="00572EA2" w14:paraId="78470FA4" w14:textId="77777777"/>
    <w:p w:rsidR="00AD344B" w:rsidP="00701CC2" w:rsidRDefault="00AD344B" w14:paraId="592FEF40" w14:textId="77777777"/>
    <w:p w:rsidRPr="003C6163" w:rsidR="006B29C6" w:rsidP="00701CC2" w:rsidRDefault="00701CC2" w14:paraId="1EFA6104" w14:textId="77777777">
      <w:pPr>
        <w:rPr>
          <w:b/>
          <w:i/>
        </w:rPr>
      </w:pPr>
      <w:r w:rsidRPr="003C6163">
        <w:rPr>
          <w:b/>
          <w:i/>
        </w:rPr>
        <w:lastRenderedPageBreak/>
        <w:t xml:space="preserve">3.  </w:t>
      </w:r>
      <w:r w:rsidRPr="003C6163" w:rsidR="006B29C6">
        <w:rPr>
          <w:b/>
          <w:i/>
        </w:rPr>
        <w:t>Consideration of the use of improved technology:</w:t>
      </w:r>
    </w:p>
    <w:p w:rsidR="006B29C6" w:rsidP="006B29C6" w:rsidRDefault="006B29C6" w14:paraId="0668861D" w14:textId="77777777"/>
    <w:p w:rsidR="006B29C6" w:rsidP="00701CC2" w:rsidRDefault="00442279" w14:paraId="72EDA7BA" w14:textId="77777777">
      <w:r>
        <w:tab/>
      </w:r>
      <w:r w:rsidR="006B29C6">
        <w:t xml:space="preserve">National banks </w:t>
      </w:r>
      <w:r w:rsidR="00774B6E">
        <w:t xml:space="preserve">and </w:t>
      </w:r>
      <w:r w:rsidR="007D4609">
        <w:t xml:space="preserve">Federal </w:t>
      </w:r>
      <w:r w:rsidR="00774B6E">
        <w:t xml:space="preserve">savings associations </w:t>
      </w:r>
      <w:r w:rsidR="006B29C6">
        <w:t>may adopt any existing technology relevant to producing the notice, obtaining the consumer opt</w:t>
      </w:r>
      <w:r w:rsidR="00343968">
        <w:t>-</w:t>
      </w:r>
      <w:r w:rsidR="006B29C6">
        <w:t>out determination, and maintaining records of the notice and opt</w:t>
      </w:r>
      <w:r w:rsidR="00343968">
        <w:t>-</w:t>
      </w:r>
      <w:r w:rsidR="006B29C6">
        <w:t>out determination.</w:t>
      </w:r>
    </w:p>
    <w:p w:rsidR="006B29C6" w:rsidP="006B29C6" w:rsidRDefault="006B29C6" w14:paraId="22487652" w14:textId="77777777">
      <w:pPr>
        <w:ind w:left="1080"/>
      </w:pPr>
    </w:p>
    <w:p w:rsidRPr="003C6163" w:rsidR="006B29C6" w:rsidP="00701CC2" w:rsidRDefault="00701CC2" w14:paraId="50EFE30E" w14:textId="77777777">
      <w:pPr>
        <w:rPr>
          <w:b/>
          <w:i/>
        </w:rPr>
      </w:pPr>
      <w:r w:rsidRPr="003C6163">
        <w:rPr>
          <w:b/>
          <w:i/>
        </w:rPr>
        <w:t xml:space="preserve">4.  </w:t>
      </w:r>
      <w:r w:rsidRPr="003C6163" w:rsidR="006B29C6">
        <w:rPr>
          <w:b/>
          <w:i/>
        </w:rPr>
        <w:t>Efforts to duplication:</w:t>
      </w:r>
    </w:p>
    <w:p w:rsidR="006B29C6" w:rsidP="006B29C6" w:rsidRDefault="006B29C6" w14:paraId="1DE683ED" w14:textId="77777777"/>
    <w:p w:rsidR="006B29C6" w:rsidP="006B29C6" w:rsidRDefault="00442279" w14:paraId="2F5FEDE5" w14:textId="77777777">
      <w:r>
        <w:tab/>
      </w:r>
      <w:r w:rsidR="006B29C6">
        <w:t xml:space="preserve">There is no duplication.  This collection is unique in that it involves a notice specific to </w:t>
      </w:r>
      <w:r w:rsidR="00E502ED">
        <w:t xml:space="preserve">section 214 of </w:t>
      </w:r>
      <w:r w:rsidR="006B29C6">
        <w:t>the FACT Act and each involved consumer need</w:t>
      </w:r>
      <w:r w:rsidR="00B418CA">
        <w:t>s</w:t>
      </w:r>
      <w:r w:rsidR="006B29C6">
        <w:t xml:space="preserve"> </w:t>
      </w:r>
      <w:r w:rsidR="00B418CA">
        <w:t xml:space="preserve">to </w:t>
      </w:r>
      <w:r w:rsidR="006B29C6">
        <w:t>make one decision at five</w:t>
      </w:r>
      <w:r w:rsidR="00FB6F24">
        <w:t>-</w:t>
      </w:r>
      <w:r w:rsidR="006B29C6">
        <w:t>year intervals, or longer.</w:t>
      </w:r>
    </w:p>
    <w:p w:rsidR="00796171" w:rsidP="006B29C6" w:rsidRDefault="00796171" w14:paraId="0E363905" w14:textId="77777777"/>
    <w:p w:rsidR="00CC1576" w:rsidP="00CC1576" w:rsidRDefault="00CC1576" w14:paraId="51362B97"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CC1576" w:rsidP="00CC1576" w:rsidRDefault="00CC1576" w14:paraId="2633113B" w14:textId="77777777"/>
    <w:p w:rsidR="00CC1576" w:rsidP="00CC1576" w:rsidRDefault="008A1B52" w14:paraId="1028C1F4" w14:textId="77777777">
      <w:pPr>
        <w:rPr>
          <w:color w:val="000000"/>
        </w:rPr>
      </w:pPr>
      <w:r>
        <w:rPr>
          <w:color w:val="000000"/>
        </w:rPr>
        <w:t xml:space="preserve">            </w:t>
      </w:r>
      <w:r w:rsidR="00CC1576">
        <w:rPr>
          <w:color w:val="000000"/>
        </w:rPr>
        <w:t>There are no alternatives that would result in further lowering the burden on small institutions, while still accomplishing the purpose of the rule.</w:t>
      </w:r>
    </w:p>
    <w:p w:rsidR="003F25A8" w:rsidP="00796171" w:rsidRDefault="003F25A8" w14:paraId="06A565FE" w14:textId="77777777"/>
    <w:p w:rsidRPr="00CC1576" w:rsidR="006B49AF" w:rsidP="001669C2" w:rsidRDefault="001669C2" w14:paraId="1246652B" w14:textId="77777777">
      <w:pPr>
        <w:rPr>
          <w:b/>
          <w:i/>
        </w:rPr>
      </w:pPr>
      <w:r w:rsidRPr="00CC1576">
        <w:rPr>
          <w:b/>
          <w:i/>
        </w:rPr>
        <w:t xml:space="preserve">6.  </w:t>
      </w:r>
      <w:r w:rsidRPr="00CC1576" w:rsidR="006B49AF">
        <w:rPr>
          <w:b/>
          <w:i/>
        </w:rPr>
        <w:t>Consequences to the Federal program if the collection were conducted less frequently:</w:t>
      </w:r>
    </w:p>
    <w:p w:rsidR="006B49AF" w:rsidP="006B49AF" w:rsidRDefault="006B49AF" w14:paraId="31A3D653" w14:textId="77777777"/>
    <w:p w:rsidR="006B49AF" w:rsidP="006B49AF" w:rsidRDefault="00442279" w14:paraId="7561EE5D" w14:textId="77777777">
      <w:r>
        <w:tab/>
      </w:r>
      <w:r w:rsidR="006B49AF">
        <w:t xml:space="preserve">Less frequent collection would not comply with the requirements of </w:t>
      </w:r>
      <w:r w:rsidR="0097378E">
        <w:t xml:space="preserve">section 214 of </w:t>
      </w:r>
      <w:r w:rsidR="006B49AF">
        <w:t xml:space="preserve">the FACT Act. </w:t>
      </w:r>
    </w:p>
    <w:p w:rsidR="006B49AF" w:rsidP="006B49AF" w:rsidRDefault="006B49AF" w14:paraId="4902592D" w14:textId="77777777"/>
    <w:p w:rsidRPr="00CC1576" w:rsidR="006B49AF" w:rsidP="001669C2" w:rsidRDefault="001669C2" w14:paraId="7A23E2B2" w14:textId="77777777">
      <w:pPr>
        <w:rPr>
          <w:b/>
          <w:i/>
        </w:rPr>
      </w:pPr>
      <w:r w:rsidRPr="00CC1576">
        <w:rPr>
          <w:b/>
          <w:i/>
        </w:rPr>
        <w:t xml:space="preserve">7.  </w:t>
      </w:r>
      <w:r w:rsidRPr="00CC1576" w:rsidR="006B49AF">
        <w:rPr>
          <w:b/>
          <w:i/>
        </w:rPr>
        <w:t>Special circumstances necessitating collection in</w:t>
      </w:r>
      <w:r w:rsidRPr="00CC1576" w:rsidR="00EF5C23">
        <w:rPr>
          <w:b/>
          <w:i/>
        </w:rPr>
        <w:t>consistent with 5 CFR Part 1320:</w:t>
      </w:r>
    </w:p>
    <w:p w:rsidR="00EF5C23" w:rsidP="00EF5C23" w:rsidRDefault="00EF5C23" w14:paraId="4DBCAE37" w14:textId="77777777"/>
    <w:p w:rsidR="00EF5C23" w:rsidP="00EF5C23" w:rsidRDefault="00442279" w14:paraId="5A744F04" w14:textId="77777777">
      <w:r>
        <w:tab/>
      </w:r>
      <w:r w:rsidR="00EF5C23">
        <w:t>Not applicable.</w:t>
      </w:r>
    </w:p>
    <w:p w:rsidR="00EF5C23" w:rsidP="00EF5C23" w:rsidRDefault="00EF5C23" w14:paraId="3B0840E4" w14:textId="77777777"/>
    <w:p w:rsidRPr="00CC1576" w:rsidR="00EF5C23" w:rsidP="001669C2" w:rsidRDefault="001669C2" w14:paraId="46AE4F02" w14:textId="77777777">
      <w:pPr>
        <w:rPr>
          <w:b/>
          <w:i/>
        </w:rPr>
      </w:pPr>
      <w:r w:rsidRPr="00CC1576">
        <w:rPr>
          <w:b/>
          <w:i/>
        </w:rPr>
        <w:t xml:space="preserve">8.  </w:t>
      </w:r>
      <w:r w:rsidRPr="00CC1576" w:rsidR="00EF5C23">
        <w:rPr>
          <w:b/>
          <w:i/>
        </w:rPr>
        <w:t>Efforts to consult with persons outside the agency:</w:t>
      </w:r>
    </w:p>
    <w:p w:rsidR="00EF5C23" w:rsidP="00EF5C23" w:rsidRDefault="00EF5C23" w14:paraId="2819D3F3" w14:textId="77777777"/>
    <w:p w:rsidR="00EF5C23" w:rsidP="00442279" w:rsidRDefault="00442279" w14:paraId="01E4CB0D" w14:textId="77777777">
      <w:r>
        <w:tab/>
      </w:r>
      <w:r w:rsidR="00CC1576">
        <w:t xml:space="preserve">On </w:t>
      </w:r>
      <w:r w:rsidR="00663C89">
        <w:t>________ __</w:t>
      </w:r>
      <w:r w:rsidR="00CC1576">
        <w:t xml:space="preserve">, </w:t>
      </w:r>
      <w:r w:rsidR="00663C89">
        <w:t xml:space="preserve">2021, </w:t>
      </w:r>
      <w:r w:rsidR="00CC1576">
        <w:t>t</w:t>
      </w:r>
      <w:r>
        <w:t xml:space="preserve">he OCC </w:t>
      </w:r>
      <w:r w:rsidR="00CC1576">
        <w:t xml:space="preserve">issued a </w:t>
      </w:r>
      <w:r>
        <w:t xml:space="preserve">60-day </w:t>
      </w:r>
      <w:r w:rsidR="00CC1576">
        <w:t>n</w:t>
      </w:r>
      <w:r>
        <w:t xml:space="preserve">otice </w:t>
      </w:r>
      <w:r w:rsidR="00CC1576">
        <w:t>soliciting comment on the collection</w:t>
      </w:r>
      <w:r w:rsidR="00AD344B">
        <w:t>, 8</w:t>
      </w:r>
      <w:r w:rsidR="00663C89">
        <w:t>6</w:t>
      </w:r>
      <w:r w:rsidR="00AD344B">
        <w:t xml:space="preserve"> FR </w:t>
      </w:r>
      <w:r w:rsidR="00663C89">
        <w:t>_____</w:t>
      </w:r>
      <w:r>
        <w:t xml:space="preserve">.  </w:t>
      </w:r>
      <w:r w:rsidR="00663C89">
        <w:t>__</w:t>
      </w:r>
      <w:r>
        <w:t xml:space="preserve"> comments were received.</w:t>
      </w:r>
    </w:p>
    <w:p w:rsidR="00EF5C23" w:rsidP="00EF5C23" w:rsidRDefault="00EF5C23" w14:paraId="414E66EC" w14:textId="77777777"/>
    <w:p w:rsidRPr="00CC1576" w:rsidR="00EF5C23" w:rsidP="00FA65ED" w:rsidRDefault="00FA65ED" w14:paraId="77CF4439" w14:textId="77777777">
      <w:pPr>
        <w:rPr>
          <w:b/>
          <w:i/>
        </w:rPr>
      </w:pPr>
      <w:r w:rsidRPr="00CC1576">
        <w:rPr>
          <w:b/>
          <w:i/>
        </w:rPr>
        <w:t xml:space="preserve">9.  </w:t>
      </w:r>
      <w:r w:rsidRPr="00CC1576" w:rsidR="00EF5C23">
        <w:rPr>
          <w:b/>
          <w:i/>
        </w:rPr>
        <w:t>Payment to respondents:</w:t>
      </w:r>
    </w:p>
    <w:p w:rsidR="00EF5C23" w:rsidP="00EF5C23" w:rsidRDefault="00EF5C23" w14:paraId="65794367" w14:textId="77777777"/>
    <w:p w:rsidR="00EF5C23" w:rsidP="00EF5C23" w:rsidRDefault="00442279" w14:paraId="781BBAA1" w14:textId="77777777">
      <w:r>
        <w:tab/>
      </w:r>
      <w:r w:rsidR="00EF5C23">
        <w:t>None.</w:t>
      </w:r>
    </w:p>
    <w:p w:rsidR="00401D94" w:rsidP="00FA65ED" w:rsidRDefault="00401D94" w14:paraId="5AD3A820" w14:textId="77777777"/>
    <w:p w:rsidRPr="00CC1576" w:rsidR="00EF5C23" w:rsidP="00FA65ED" w:rsidRDefault="00FA65ED" w14:paraId="04E5B45D" w14:textId="77777777">
      <w:pPr>
        <w:rPr>
          <w:b/>
          <w:i/>
        </w:rPr>
      </w:pPr>
      <w:r w:rsidRPr="00CC1576">
        <w:rPr>
          <w:b/>
          <w:i/>
        </w:rPr>
        <w:t xml:space="preserve">10. </w:t>
      </w:r>
      <w:r w:rsidRPr="00CC1576" w:rsidR="00EF5C23">
        <w:rPr>
          <w:b/>
          <w:i/>
        </w:rPr>
        <w:t>Any assurance of confidentiality:</w:t>
      </w:r>
    </w:p>
    <w:p w:rsidR="00EF5C23" w:rsidP="00EF5C23" w:rsidRDefault="00EF5C23" w14:paraId="7B44F400" w14:textId="77777777"/>
    <w:p w:rsidR="00EF5C23" w:rsidP="00EF5C23" w:rsidRDefault="00442279" w14:paraId="1F51A840" w14:textId="77777777">
      <w:r>
        <w:tab/>
      </w:r>
      <w:r w:rsidR="00EF5C23">
        <w:t xml:space="preserve">No </w:t>
      </w:r>
      <w:r w:rsidR="00CC1576">
        <w:t>personally identifiable information is collected.</w:t>
      </w:r>
    </w:p>
    <w:p w:rsidR="00EF5C23" w:rsidP="00EF5C23" w:rsidRDefault="00EF5C23" w14:paraId="1AB069A8" w14:textId="77777777"/>
    <w:p w:rsidRPr="00CC1576" w:rsidR="00EF5C23" w:rsidP="00FA65ED" w:rsidRDefault="00FA65ED" w14:paraId="7CD213AA" w14:textId="77777777">
      <w:pPr>
        <w:rPr>
          <w:b/>
          <w:i/>
        </w:rPr>
      </w:pPr>
      <w:r w:rsidRPr="00CC1576">
        <w:rPr>
          <w:b/>
          <w:i/>
        </w:rPr>
        <w:t xml:space="preserve">11. </w:t>
      </w:r>
      <w:r w:rsidRPr="00CC1576" w:rsidR="00EF5C23">
        <w:rPr>
          <w:b/>
          <w:i/>
        </w:rPr>
        <w:t>Justification for questions of a sensitive nature:</w:t>
      </w:r>
    </w:p>
    <w:p w:rsidR="00EF5C23" w:rsidP="00EF5C23" w:rsidRDefault="00EF5C23" w14:paraId="22496575" w14:textId="77777777"/>
    <w:p w:rsidR="00EF5C23" w:rsidP="00EF5C23" w:rsidRDefault="00442279" w14:paraId="74C6075A" w14:textId="77777777">
      <w:r>
        <w:tab/>
      </w:r>
      <w:r w:rsidR="00EF5C23">
        <w:t>There are no questions of a sensitive nature.</w:t>
      </w:r>
    </w:p>
    <w:p w:rsidR="002140F3" w:rsidP="00EF5C23" w:rsidRDefault="002140F3" w14:paraId="6C14FD55" w14:textId="77777777"/>
    <w:p w:rsidR="00B9716B" w:rsidP="00FA65ED" w:rsidRDefault="00B9716B" w14:paraId="7C47869C" w14:textId="77777777">
      <w:pPr>
        <w:rPr>
          <w:b/>
          <w:i/>
        </w:rPr>
      </w:pPr>
    </w:p>
    <w:p w:rsidRPr="00CC1576" w:rsidR="002140F3" w:rsidP="00FA65ED" w:rsidRDefault="00FA65ED" w14:paraId="5F03FBB1" w14:textId="77777777">
      <w:pPr>
        <w:rPr>
          <w:b/>
          <w:i/>
        </w:rPr>
      </w:pPr>
      <w:r w:rsidRPr="00CC1576">
        <w:rPr>
          <w:b/>
          <w:i/>
        </w:rPr>
        <w:lastRenderedPageBreak/>
        <w:t xml:space="preserve">12. </w:t>
      </w:r>
      <w:r w:rsidRPr="00CC1576" w:rsidR="002140F3">
        <w:rPr>
          <w:b/>
          <w:i/>
        </w:rPr>
        <w:t>Burden estimate:</w:t>
      </w:r>
    </w:p>
    <w:p w:rsidR="00C95302" w:rsidP="00FA65ED" w:rsidRDefault="00C95302" w14:paraId="36DB9A3B" w14:textId="77777777"/>
    <w:p w:rsidR="00112787" w:rsidP="00112787" w:rsidRDefault="00112787" w14:paraId="21B8969D" w14:textId="77777777">
      <w:pPr>
        <w:pStyle w:val="Default"/>
        <w:rPr>
          <w:b/>
          <w:u w:val="single"/>
        </w:rPr>
      </w:pPr>
      <w:r>
        <w:rPr>
          <w:b/>
          <w:u w:val="single"/>
        </w:rPr>
        <w:t xml:space="preserve">Number of Respondents: </w:t>
      </w:r>
    </w:p>
    <w:p w:rsidR="00112787" w:rsidP="00A704BD" w:rsidRDefault="00112787" w14:paraId="4176BBF5" w14:textId="77777777">
      <w:pPr>
        <w:outlineLvl w:val="0"/>
      </w:pPr>
      <w:r>
        <w:tab/>
      </w:r>
    </w:p>
    <w:p w:rsidR="00643857" w:rsidP="00643857" w:rsidRDefault="009A5DA3" w14:paraId="03158551" w14:textId="77777777">
      <w:pPr>
        <w:pStyle w:val="FootnoteText"/>
        <w:ind w:left="1440" w:hanging="1440"/>
        <w:rPr>
          <w:sz w:val="24"/>
          <w:szCs w:val="24"/>
        </w:rPr>
      </w:pPr>
      <w:r>
        <w:rPr>
          <w:sz w:val="24"/>
          <w:szCs w:val="24"/>
        </w:rPr>
        <w:t>3</w:t>
      </w:r>
      <w:r w:rsidR="00B9716B">
        <w:rPr>
          <w:sz w:val="24"/>
          <w:szCs w:val="24"/>
        </w:rPr>
        <w:t>06</w:t>
      </w:r>
      <w:r w:rsidRPr="00643857" w:rsidR="00112787">
        <w:rPr>
          <w:sz w:val="24"/>
          <w:szCs w:val="24"/>
        </w:rPr>
        <w:t xml:space="preserve">   </w:t>
      </w:r>
      <w:r w:rsidR="00112787">
        <w:tab/>
      </w:r>
      <w:r w:rsidRPr="00643857" w:rsidR="00112787">
        <w:rPr>
          <w:sz w:val="24"/>
          <w:szCs w:val="24"/>
        </w:rPr>
        <w:t xml:space="preserve">Number of </w:t>
      </w:r>
      <w:r w:rsidR="00C56CC3">
        <w:rPr>
          <w:sz w:val="24"/>
          <w:szCs w:val="24"/>
        </w:rPr>
        <w:t>institutions</w:t>
      </w:r>
      <w:r w:rsidRPr="00643857" w:rsidR="00E367F4">
        <w:rPr>
          <w:sz w:val="24"/>
          <w:szCs w:val="24"/>
        </w:rPr>
        <w:t xml:space="preserve"> </w:t>
      </w:r>
      <w:r w:rsidRPr="00643857" w:rsidR="00112787">
        <w:rPr>
          <w:sz w:val="24"/>
          <w:szCs w:val="24"/>
        </w:rPr>
        <w:t>likely to produce either individual or consolidated opt out notices for consumers</w:t>
      </w:r>
      <w:r w:rsidRPr="00643857" w:rsidR="00643857">
        <w:rPr>
          <w:sz w:val="24"/>
          <w:szCs w:val="24"/>
        </w:rPr>
        <w:t xml:space="preserve"> (national banks, </w:t>
      </w:r>
      <w:r w:rsidR="007D4609">
        <w:rPr>
          <w:sz w:val="24"/>
          <w:szCs w:val="24"/>
        </w:rPr>
        <w:t xml:space="preserve">Federal </w:t>
      </w:r>
      <w:r w:rsidRPr="00643857" w:rsidR="00643857">
        <w:rPr>
          <w:sz w:val="24"/>
          <w:szCs w:val="24"/>
        </w:rPr>
        <w:t xml:space="preserve">savings associations, trust companies or foreign branches and agencies with a related U.S. organization) </w:t>
      </w:r>
    </w:p>
    <w:p w:rsidR="00C56CC3" w:rsidP="00643857" w:rsidRDefault="00C56CC3" w14:paraId="6BA829B3" w14:textId="77777777">
      <w:pPr>
        <w:pStyle w:val="FootnoteText"/>
        <w:ind w:left="1440" w:hanging="1440"/>
        <w:rPr>
          <w:sz w:val="24"/>
          <w:szCs w:val="24"/>
        </w:rPr>
      </w:pPr>
    </w:p>
    <w:p w:rsidR="00C56CC3" w:rsidP="00C56CC3" w:rsidRDefault="00C56CC3" w14:paraId="2D54977D" w14:textId="77777777">
      <w:pPr>
        <w:pStyle w:val="FootnoteText"/>
        <w:numPr>
          <w:ilvl w:val="0"/>
          <w:numId w:val="6"/>
        </w:numPr>
        <w:rPr>
          <w:sz w:val="24"/>
          <w:szCs w:val="24"/>
        </w:rPr>
      </w:pPr>
      <w:r>
        <w:rPr>
          <w:sz w:val="24"/>
          <w:szCs w:val="24"/>
        </w:rPr>
        <w:t>Includes 3 new institutions</w:t>
      </w:r>
    </w:p>
    <w:p w:rsidR="00254E11" w:rsidP="00C56CC3" w:rsidRDefault="00B9716B" w14:paraId="214470B3" w14:textId="77777777">
      <w:pPr>
        <w:pStyle w:val="FootnoteText"/>
        <w:numPr>
          <w:ilvl w:val="0"/>
          <w:numId w:val="6"/>
        </w:numPr>
        <w:rPr>
          <w:sz w:val="24"/>
          <w:szCs w:val="24"/>
        </w:rPr>
      </w:pPr>
      <w:r>
        <w:rPr>
          <w:sz w:val="24"/>
          <w:szCs w:val="24"/>
        </w:rPr>
        <w:t>107</w:t>
      </w:r>
      <w:r w:rsidR="00254E11">
        <w:rPr>
          <w:sz w:val="24"/>
          <w:szCs w:val="24"/>
        </w:rPr>
        <w:t xml:space="preserve"> do not send consolidated notices</w:t>
      </w:r>
    </w:p>
    <w:p w:rsidRPr="00643857" w:rsidR="00433218" w:rsidP="00C56CC3" w:rsidRDefault="00B9716B" w14:paraId="59A45825" w14:textId="77777777">
      <w:pPr>
        <w:pStyle w:val="FootnoteText"/>
        <w:numPr>
          <w:ilvl w:val="0"/>
          <w:numId w:val="6"/>
        </w:numPr>
        <w:rPr>
          <w:sz w:val="24"/>
          <w:szCs w:val="24"/>
        </w:rPr>
      </w:pPr>
      <w:r>
        <w:rPr>
          <w:sz w:val="24"/>
          <w:szCs w:val="24"/>
        </w:rPr>
        <w:t>199</w:t>
      </w:r>
      <w:r w:rsidR="00433218">
        <w:rPr>
          <w:sz w:val="24"/>
          <w:szCs w:val="24"/>
        </w:rPr>
        <w:t xml:space="preserve"> send consolidated notices</w:t>
      </w:r>
    </w:p>
    <w:p w:rsidR="00112787" w:rsidP="00643857" w:rsidRDefault="00112787" w14:paraId="10D66A79" w14:textId="77777777">
      <w:pPr>
        <w:ind w:left="90"/>
        <w:outlineLvl w:val="0"/>
      </w:pPr>
      <w:r>
        <w:t xml:space="preserve"> </w:t>
      </w:r>
      <w:r w:rsidR="004F41D1">
        <w:tab/>
      </w:r>
    </w:p>
    <w:p w:rsidR="00112787" w:rsidP="00112787" w:rsidRDefault="00B9716B" w14:paraId="0CBF4E12" w14:textId="77777777">
      <w:pPr>
        <w:outlineLvl w:val="0"/>
      </w:pPr>
      <w:r>
        <w:t>97,467</w:t>
      </w:r>
      <w:r>
        <w:tab/>
      </w:r>
      <w:r w:rsidR="00112787">
        <w:tab/>
        <w:t>Number of consumers opting out</w:t>
      </w:r>
    </w:p>
    <w:p w:rsidR="00E367F4" w:rsidP="00112787" w:rsidRDefault="00E367F4" w14:paraId="2222BF2A" w14:textId="77777777">
      <w:pPr>
        <w:outlineLvl w:val="0"/>
        <w:rPr>
          <w:sz w:val="18"/>
          <w:szCs w:val="18"/>
        </w:rPr>
      </w:pPr>
      <w:r>
        <w:tab/>
      </w:r>
      <w:r>
        <w:tab/>
      </w:r>
    </w:p>
    <w:p w:rsidR="00E367F4" w:rsidP="00643857" w:rsidRDefault="00B9716B" w14:paraId="2A0C71B2" w14:textId="77777777">
      <w:pPr>
        <w:numPr>
          <w:ilvl w:val="0"/>
          <w:numId w:val="5"/>
        </w:numPr>
        <w:outlineLvl w:val="0"/>
      </w:pPr>
      <w:r>
        <w:t>77,161</w:t>
      </w:r>
      <w:r w:rsidR="005C5762">
        <w:t xml:space="preserve"> existing consumers opting out</w:t>
      </w:r>
    </w:p>
    <w:p w:rsidRPr="00E367F4" w:rsidR="00643857" w:rsidP="00643857" w:rsidRDefault="00B9716B" w14:paraId="3A727F6C" w14:textId="77777777">
      <w:pPr>
        <w:numPr>
          <w:ilvl w:val="0"/>
          <w:numId w:val="5"/>
        </w:numPr>
        <w:outlineLvl w:val="0"/>
      </w:pPr>
      <w:r>
        <w:t>20,306</w:t>
      </w:r>
      <w:r w:rsidR="00643857">
        <w:t xml:space="preserve"> new consumers opting out</w:t>
      </w:r>
    </w:p>
    <w:p w:rsidR="00112787" w:rsidP="00112787" w:rsidRDefault="00112787" w14:paraId="558F3032" w14:textId="77777777">
      <w:pPr>
        <w:tabs>
          <w:tab w:val="left" w:pos="3150"/>
        </w:tabs>
        <w:outlineLvl w:val="0"/>
      </w:pPr>
      <w:r>
        <w:tab/>
      </w:r>
    </w:p>
    <w:p w:rsidRPr="00886594" w:rsidR="00112787" w:rsidP="00112787" w:rsidRDefault="00B9716B" w14:paraId="7138BF75" w14:textId="77777777">
      <w:pPr>
        <w:outlineLvl w:val="0"/>
        <w:rPr>
          <w:b/>
          <w:u w:val="single"/>
        </w:rPr>
      </w:pPr>
      <w:r>
        <w:rPr>
          <w:b/>
          <w:u w:val="single"/>
        </w:rPr>
        <w:t>97,773</w:t>
      </w:r>
      <w:r w:rsidRPr="00886594" w:rsidR="00112787">
        <w:rPr>
          <w:b/>
          <w:u w:val="single"/>
        </w:rPr>
        <w:tab/>
        <w:t>Total number of respondents</w:t>
      </w:r>
    </w:p>
    <w:p w:rsidR="00112787" w:rsidP="00112787" w:rsidRDefault="00112787" w14:paraId="2915EEC8" w14:textId="77777777">
      <w:pPr>
        <w:ind w:left="180"/>
        <w:outlineLvl w:val="0"/>
      </w:pPr>
    </w:p>
    <w:p w:rsidR="00112787" w:rsidP="00112787" w:rsidRDefault="004F41D1" w14:paraId="49762B20" w14:textId="77777777">
      <w:pPr>
        <w:rPr>
          <w:b/>
        </w:rPr>
      </w:pPr>
      <w:r>
        <w:rPr>
          <w:b/>
          <w:u w:val="single"/>
        </w:rPr>
        <w:t>Institution</w:t>
      </w:r>
      <w:r w:rsidR="00112787">
        <w:rPr>
          <w:b/>
          <w:u w:val="single"/>
        </w:rPr>
        <w:t xml:space="preserve"> Burden Hours</w:t>
      </w:r>
      <w:r w:rsidR="00112787">
        <w:rPr>
          <w:b/>
        </w:rPr>
        <w:t xml:space="preserve">:  </w:t>
      </w:r>
    </w:p>
    <w:p w:rsidR="00112787" w:rsidP="00112787" w:rsidRDefault="00112787" w14:paraId="55613481" w14:textId="77777777"/>
    <w:p w:rsidR="00112787" w:rsidP="00112787" w:rsidRDefault="00C56CC3" w14:paraId="0D281674" w14:textId="77777777">
      <w:r>
        <w:t>18</w:t>
      </w:r>
      <w:r w:rsidR="00112787">
        <w:tab/>
        <w:t xml:space="preserve">hours </w:t>
      </w:r>
      <w:r>
        <w:t xml:space="preserve">per </w:t>
      </w:r>
      <w:r w:rsidR="00112787">
        <w:t xml:space="preserve">newly chartered </w:t>
      </w:r>
      <w:r w:rsidR="004F41D1">
        <w:t>institution</w:t>
      </w:r>
      <w:r w:rsidR="00940C25">
        <w:t xml:space="preserve"> for set-up</w:t>
      </w:r>
      <w:r w:rsidR="00254E11">
        <w:t xml:space="preserve"> (3 x 18 = 54)</w:t>
      </w:r>
    </w:p>
    <w:p w:rsidR="00112787" w:rsidP="00112787" w:rsidRDefault="00112787" w14:paraId="55F20E98" w14:textId="77777777"/>
    <w:p w:rsidR="00112787" w:rsidP="00112787" w:rsidRDefault="00C56CC3" w14:paraId="4226CEBC" w14:textId="77777777">
      <w:r>
        <w:t>1</w:t>
      </w:r>
      <w:r>
        <w:tab/>
        <w:t>hour</w:t>
      </w:r>
      <w:r w:rsidR="00112787">
        <w:t xml:space="preserve"> </w:t>
      </w:r>
      <w:r>
        <w:t xml:space="preserve">per institution </w:t>
      </w:r>
      <w:r w:rsidR="00112787">
        <w:t xml:space="preserve">for </w:t>
      </w:r>
      <w:r w:rsidR="004F41D1">
        <w:t>institutions</w:t>
      </w:r>
      <w:r w:rsidR="00112787">
        <w:t xml:space="preserve"> sending consolidated opt out notices </w:t>
      </w:r>
    </w:p>
    <w:p w:rsidR="009A5DA3" w:rsidP="00112787" w:rsidRDefault="00B9716B" w14:paraId="65D5E341" w14:textId="77777777">
      <w:r>
        <w:tab/>
        <w:t>(199</w:t>
      </w:r>
      <w:r w:rsidR="009A5DA3">
        <w:t xml:space="preserve"> x 1 = 19</w:t>
      </w:r>
      <w:r>
        <w:t>9</w:t>
      </w:r>
      <w:r w:rsidR="009A5DA3">
        <w:t>)</w:t>
      </w:r>
    </w:p>
    <w:p w:rsidR="00112787" w:rsidP="00112787" w:rsidRDefault="00112787" w14:paraId="597C1019" w14:textId="77777777"/>
    <w:p w:rsidR="00254E11" w:rsidP="00254E11" w:rsidRDefault="00C56CC3" w14:paraId="078286F9" w14:textId="77777777">
      <w:pPr>
        <w:ind w:left="720" w:hanging="720"/>
      </w:pPr>
      <w:r>
        <w:t>2</w:t>
      </w:r>
      <w:r w:rsidR="00112787">
        <w:tab/>
        <w:t xml:space="preserve">hours </w:t>
      </w:r>
      <w:r>
        <w:t xml:space="preserve">per institution </w:t>
      </w:r>
      <w:r w:rsidR="00112787">
        <w:t xml:space="preserve">for </w:t>
      </w:r>
      <w:r w:rsidR="004F41D1">
        <w:t>institutions</w:t>
      </w:r>
      <w:r w:rsidR="00112787">
        <w:t xml:space="preserve"> not sending consolidated opt out notices </w:t>
      </w:r>
    </w:p>
    <w:p w:rsidR="00112787" w:rsidP="00254E11" w:rsidRDefault="00B9716B" w14:paraId="3580A38C" w14:textId="77777777">
      <w:pPr>
        <w:ind w:left="720"/>
      </w:pPr>
      <w:r>
        <w:t>(107 x 2 = 214</w:t>
      </w:r>
      <w:r w:rsidR="00254E11">
        <w:t>)</w:t>
      </w:r>
    </w:p>
    <w:p w:rsidR="00112787" w:rsidP="00112787" w:rsidRDefault="00112787" w14:paraId="230F0854" w14:textId="77777777">
      <w:pPr>
        <w:ind w:left="720" w:hanging="720"/>
      </w:pPr>
    </w:p>
    <w:p w:rsidR="00112787" w:rsidP="00112787" w:rsidRDefault="00940C25" w14:paraId="12BF4986" w14:textId="77777777">
      <w:pPr>
        <w:rPr>
          <w:b/>
          <w:u w:val="single"/>
        </w:rPr>
      </w:pPr>
      <w:r>
        <w:rPr>
          <w:b/>
          <w:u w:val="single"/>
        </w:rPr>
        <w:t>467</w:t>
      </w:r>
      <w:r w:rsidR="00112787">
        <w:rPr>
          <w:b/>
          <w:u w:val="single"/>
        </w:rPr>
        <w:tab/>
        <w:t xml:space="preserve">Total </w:t>
      </w:r>
      <w:r w:rsidR="0091765C">
        <w:rPr>
          <w:b/>
          <w:u w:val="single"/>
        </w:rPr>
        <w:t xml:space="preserve">Institution </w:t>
      </w:r>
      <w:r w:rsidR="00112787">
        <w:rPr>
          <w:b/>
          <w:u w:val="single"/>
        </w:rPr>
        <w:t>Burden Hours</w:t>
      </w:r>
      <w:r w:rsidR="00267FCC">
        <w:rPr>
          <w:b/>
          <w:u w:val="single"/>
        </w:rPr>
        <w:t xml:space="preserve"> </w:t>
      </w:r>
    </w:p>
    <w:p w:rsidR="00112787" w:rsidP="00112787" w:rsidRDefault="00112787" w14:paraId="4F744656" w14:textId="77777777">
      <w:pPr>
        <w:rPr>
          <w:b/>
          <w:u w:val="single"/>
        </w:rPr>
      </w:pPr>
    </w:p>
    <w:p w:rsidR="00112787" w:rsidP="00112787" w:rsidRDefault="00112787" w14:paraId="3ABB34F9" w14:textId="77777777">
      <w:pPr>
        <w:rPr>
          <w:b/>
          <w:u w:val="single"/>
        </w:rPr>
      </w:pPr>
      <w:r>
        <w:rPr>
          <w:b/>
          <w:u w:val="single"/>
        </w:rPr>
        <w:t>Consumer Burden Hours:</w:t>
      </w:r>
    </w:p>
    <w:p w:rsidR="00112787" w:rsidP="00112787" w:rsidRDefault="00112787" w14:paraId="3AEC053B" w14:textId="77777777"/>
    <w:p w:rsidR="00112787" w:rsidP="00112787" w:rsidRDefault="007E5F12" w14:paraId="0B917AEF" w14:textId="77777777">
      <w:pPr>
        <w:ind w:left="900" w:hanging="900"/>
      </w:pPr>
      <w:r>
        <w:t xml:space="preserve">5 minutes </w:t>
      </w:r>
      <w:r>
        <w:tab/>
        <w:t>Per existing consumer</w:t>
      </w:r>
      <w:r w:rsidR="009A5DA3">
        <w:t xml:space="preserve"> (</w:t>
      </w:r>
      <w:r w:rsidR="00B9716B">
        <w:t>77,161</w:t>
      </w:r>
      <w:r w:rsidR="009A5DA3">
        <w:t xml:space="preserve"> x 5 minutes = </w:t>
      </w:r>
      <w:r w:rsidR="00B9716B">
        <w:t>6,430</w:t>
      </w:r>
      <w:r w:rsidR="009A5DA3">
        <w:t xml:space="preserve"> hours)</w:t>
      </w:r>
    </w:p>
    <w:p w:rsidR="007E5F12" w:rsidP="00112787" w:rsidRDefault="007E5F12" w14:paraId="6725D5C6" w14:textId="77777777">
      <w:pPr>
        <w:ind w:left="900" w:hanging="900"/>
      </w:pPr>
      <w:r>
        <w:t xml:space="preserve">10 minutes </w:t>
      </w:r>
      <w:r>
        <w:tab/>
        <w:t>Per new consumer</w:t>
      </w:r>
      <w:r w:rsidR="00B9716B">
        <w:t xml:space="preserve"> (20,306 x 10 minutes = 3,384</w:t>
      </w:r>
      <w:r w:rsidR="00526AB9">
        <w:t xml:space="preserve"> hours)</w:t>
      </w:r>
    </w:p>
    <w:p w:rsidR="00112787" w:rsidP="00112787" w:rsidRDefault="00112787" w14:paraId="3186FA8D" w14:textId="77777777">
      <w:pPr>
        <w:ind w:left="720" w:hanging="720"/>
      </w:pPr>
    </w:p>
    <w:p w:rsidR="00112787" w:rsidP="00112787" w:rsidRDefault="00B9716B" w14:paraId="2246C319" w14:textId="77777777">
      <w:pPr>
        <w:ind w:left="720" w:hanging="720"/>
        <w:rPr>
          <w:b/>
          <w:u w:val="single"/>
        </w:rPr>
      </w:pPr>
      <w:r>
        <w:rPr>
          <w:b/>
          <w:u w:val="single"/>
        </w:rPr>
        <w:t>9,814</w:t>
      </w:r>
      <w:r w:rsidR="00112787">
        <w:rPr>
          <w:b/>
          <w:u w:val="single"/>
        </w:rPr>
        <w:tab/>
        <w:t xml:space="preserve">Total </w:t>
      </w:r>
      <w:r w:rsidR="0091765C">
        <w:rPr>
          <w:b/>
          <w:u w:val="single"/>
        </w:rPr>
        <w:t xml:space="preserve">Consumer </w:t>
      </w:r>
      <w:r w:rsidR="00112787">
        <w:rPr>
          <w:b/>
          <w:u w:val="single"/>
        </w:rPr>
        <w:t xml:space="preserve">Burden Hours </w:t>
      </w:r>
    </w:p>
    <w:p w:rsidR="00267FCC" w:rsidP="00112787" w:rsidRDefault="00267FCC" w14:paraId="0FB761B0" w14:textId="77777777">
      <w:pPr>
        <w:outlineLvl w:val="0"/>
        <w:rPr>
          <w:b/>
          <w:u w:val="single"/>
        </w:rPr>
      </w:pPr>
    </w:p>
    <w:p w:rsidR="00AE06DD" w:rsidP="00AE06DD" w:rsidRDefault="00B9716B" w14:paraId="092B5AFB" w14:textId="77777777">
      <w:pPr>
        <w:outlineLvl w:val="0"/>
        <w:rPr>
          <w:b/>
        </w:rPr>
      </w:pPr>
      <w:r>
        <w:rPr>
          <w:b/>
          <w:u w:val="single"/>
        </w:rPr>
        <w:t>10,281</w:t>
      </w:r>
      <w:r w:rsidR="009A5DA3">
        <w:rPr>
          <w:b/>
          <w:u w:val="single"/>
        </w:rPr>
        <w:t xml:space="preserve"> </w:t>
      </w:r>
      <w:r w:rsidR="00AE06DD">
        <w:rPr>
          <w:b/>
          <w:u w:val="single"/>
        </w:rPr>
        <w:t>Total burden hour</w:t>
      </w:r>
      <w:r w:rsidR="009A5DA3">
        <w:rPr>
          <w:b/>
          <w:u w:val="single"/>
        </w:rPr>
        <w:t>s</w:t>
      </w:r>
    </w:p>
    <w:p w:rsidR="00B845DF" w:rsidP="002140F3" w:rsidRDefault="00B845DF" w14:paraId="5F4E11F1" w14:textId="77777777"/>
    <w:p w:rsidR="009F4516" w:rsidP="002140F3" w:rsidRDefault="009F4516" w14:paraId="511344AF" w14:textId="77777777">
      <w:pPr>
        <w:rPr>
          <w:b/>
        </w:rPr>
      </w:pPr>
      <w:r>
        <w:rPr>
          <w:b/>
        </w:rPr>
        <w:t>Cost of Hour Burden:</w:t>
      </w:r>
    </w:p>
    <w:p w:rsidR="009F4516" w:rsidP="002140F3" w:rsidRDefault="009F4516" w14:paraId="6B3ECA42" w14:textId="77777777">
      <w:pPr>
        <w:rPr>
          <w:b/>
        </w:rPr>
      </w:pPr>
    </w:p>
    <w:p w:rsidR="009F4516" w:rsidP="002140F3" w:rsidRDefault="009F4516" w14:paraId="62E23A43" w14:textId="77777777">
      <w:pPr>
        <w:rPr>
          <w:b/>
        </w:rPr>
      </w:pPr>
      <w:r>
        <w:rPr>
          <w:b/>
        </w:rPr>
        <w:t>10,281 x $1</w:t>
      </w:r>
      <w:r w:rsidR="00F93F79">
        <w:rPr>
          <w:b/>
        </w:rPr>
        <w:t>15.19</w:t>
      </w:r>
      <w:r>
        <w:rPr>
          <w:b/>
        </w:rPr>
        <w:t xml:space="preserve"> = $ 1,1</w:t>
      </w:r>
      <w:r w:rsidR="00F05996">
        <w:rPr>
          <w:b/>
        </w:rPr>
        <w:t>84,268.</w:t>
      </w:r>
      <w:r w:rsidR="00F93F79">
        <w:rPr>
          <w:b/>
        </w:rPr>
        <w:t>39</w:t>
      </w:r>
    </w:p>
    <w:p w:rsidR="009F4516" w:rsidP="002140F3" w:rsidRDefault="009F4516" w14:paraId="1BE218F3" w14:textId="77777777">
      <w:pPr>
        <w:rPr>
          <w:b/>
        </w:rPr>
      </w:pPr>
    </w:p>
    <w:p w:rsidRPr="0064167F" w:rsidR="00BA50C4" w:rsidP="00BA50C4" w:rsidRDefault="00BA50C4" w14:paraId="4BE3D860" w14:textId="77777777">
      <w:r>
        <w:rPr>
          <w:color w:val="000000"/>
        </w:rPr>
        <w:lastRenderedPageBreak/>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9F4516" w:rsidR="009F4516" w:rsidP="002140F3" w:rsidRDefault="009F4516" w14:paraId="7EF0BA41" w14:textId="77777777">
      <w:pPr>
        <w:rPr>
          <w:b/>
        </w:rPr>
      </w:pPr>
    </w:p>
    <w:p w:rsidRPr="00CC1576" w:rsidR="0031511C" w:rsidP="00FA65ED" w:rsidRDefault="00FA65ED" w14:paraId="74265894" w14:textId="77777777">
      <w:pPr>
        <w:rPr>
          <w:b/>
          <w:i/>
        </w:rPr>
      </w:pPr>
      <w:r w:rsidRPr="00CC1576">
        <w:rPr>
          <w:b/>
          <w:i/>
        </w:rPr>
        <w:t xml:space="preserve">13. </w:t>
      </w:r>
      <w:r w:rsidRPr="00CC1576" w:rsidR="0031511C">
        <w:rPr>
          <w:b/>
          <w:i/>
        </w:rPr>
        <w:t>Estimates of annualized costs to respondents:</w:t>
      </w:r>
    </w:p>
    <w:p w:rsidR="00FA65ED" w:rsidP="00FA65ED" w:rsidRDefault="00FA65ED" w14:paraId="7E212777" w14:textId="77777777"/>
    <w:p w:rsidR="007F4DDA" w:rsidP="007F4DDA" w:rsidRDefault="00B9716B" w14:paraId="58F3EA41" w14:textId="77777777">
      <w:r>
        <w:tab/>
        <w:t>Not applicable.</w:t>
      </w:r>
    </w:p>
    <w:p w:rsidRPr="009F4516" w:rsidR="00940C25" w:rsidP="00FA65ED" w:rsidRDefault="009F4516" w14:paraId="206E9A5B" w14:textId="77777777">
      <w:pPr>
        <w:rPr>
          <w:b/>
        </w:rPr>
      </w:pPr>
      <w:r>
        <w:rPr>
          <w:b/>
        </w:rPr>
        <w:tab/>
      </w:r>
      <w:r>
        <w:rPr>
          <w:b/>
        </w:rPr>
        <w:tab/>
      </w:r>
      <w:r>
        <w:rPr>
          <w:b/>
        </w:rPr>
        <w:tab/>
      </w:r>
      <w:r>
        <w:rPr>
          <w:b/>
        </w:rPr>
        <w:tab/>
      </w:r>
      <w:r>
        <w:rPr>
          <w:b/>
        </w:rPr>
        <w:tab/>
      </w:r>
      <w:r>
        <w:rPr>
          <w:b/>
        </w:rPr>
        <w:tab/>
      </w:r>
      <w:r>
        <w:rPr>
          <w:b/>
        </w:rPr>
        <w:tab/>
      </w:r>
    </w:p>
    <w:p w:rsidRPr="00CC1576" w:rsidR="0031511C" w:rsidP="00FA65ED" w:rsidRDefault="00FA65ED" w14:paraId="4E244743" w14:textId="77777777">
      <w:pPr>
        <w:rPr>
          <w:b/>
          <w:i/>
        </w:rPr>
      </w:pPr>
      <w:r w:rsidRPr="00CC1576">
        <w:rPr>
          <w:b/>
          <w:i/>
        </w:rPr>
        <w:t xml:space="preserve">14. </w:t>
      </w:r>
      <w:r w:rsidRPr="00CC1576" w:rsidR="0031511C">
        <w:rPr>
          <w:b/>
          <w:i/>
        </w:rPr>
        <w:t>Estimate of annualized costs to the government:</w:t>
      </w:r>
    </w:p>
    <w:p w:rsidR="0031511C" w:rsidP="0031511C" w:rsidRDefault="0031511C" w14:paraId="60CEA3A3" w14:textId="77777777"/>
    <w:p w:rsidR="00FA65ED" w:rsidP="00B9716B" w:rsidRDefault="00FA65ED" w14:paraId="72689D4C" w14:textId="77777777">
      <w:pPr>
        <w:ind w:firstLine="720"/>
      </w:pPr>
      <w:r>
        <w:t>Not applicable.</w:t>
      </w:r>
    </w:p>
    <w:p w:rsidR="00FA65ED" w:rsidP="0031511C" w:rsidRDefault="00FA65ED" w14:paraId="32675AD4" w14:textId="77777777"/>
    <w:p w:rsidRPr="00CC1576" w:rsidR="0031511C" w:rsidP="00FA65ED" w:rsidRDefault="00FA65ED" w14:paraId="42145859" w14:textId="77777777">
      <w:pPr>
        <w:rPr>
          <w:b/>
          <w:i/>
        </w:rPr>
      </w:pPr>
      <w:r w:rsidRPr="00CC1576">
        <w:rPr>
          <w:b/>
          <w:i/>
        </w:rPr>
        <w:t xml:space="preserve">15. </w:t>
      </w:r>
      <w:r w:rsidRPr="00CC1576" w:rsidR="0031511C">
        <w:rPr>
          <w:b/>
          <w:i/>
        </w:rPr>
        <w:t>Changes in burden:</w:t>
      </w:r>
    </w:p>
    <w:p w:rsidR="008469A5" w:rsidP="00FA65ED" w:rsidRDefault="008469A5" w14:paraId="218E264D" w14:textId="77777777"/>
    <w:p w:rsidR="00986AFF" w:rsidP="00FA65ED" w:rsidRDefault="00986AFF" w14:paraId="656014E3" w14:textId="77777777">
      <w:r>
        <w:tab/>
        <w:t>No change in burden.</w:t>
      </w:r>
    </w:p>
    <w:p w:rsidR="0031511C" w:rsidP="0031511C" w:rsidRDefault="0031511C" w14:paraId="320E3C28" w14:textId="77777777"/>
    <w:p w:rsidRPr="00CC1576" w:rsidR="0031511C" w:rsidP="00FA65ED" w:rsidRDefault="00FA65ED" w14:paraId="67268F63" w14:textId="77777777">
      <w:pPr>
        <w:rPr>
          <w:b/>
          <w:i/>
        </w:rPr>
      </w:pPr>
      <w:r w:rsidRPr="00CC1576">
        <w:rPr>
          <w:b/>
          <w:i/>
        </w:rPr>
        <w:t xml:space="preserve">16. </w:t>
      </w:r>
      <w:r w:rsidRPr="00CC1576" w:rsidR="0031511C">
        <w:rPr>
          <w:b/>
          <w:i/>
        </w:rPr>
        <w:t>Information regarding collections whose results are planned to be published for statistical use:</w:t>
      </w:r>
    </w:p>
    <w:p w:rsidR="00FA65ED" w:rsidP="00FA65ED" w:rsidRDefault="00FA65ED" w14:paraId="4D57C665" w14:textId="77777777"/>
    <w:p w:rsidR="00FA65ED" w:rsidP="008A1B52" w:rsidRDefault="008A1B52" w14:paraId="3B62ED14" w14:textId="77777777">
      <w:pPr>
        <w:tabs>
          <w:tab w:val="left" w:pos="720"/>
        </w:tabs>
      </w:pPr>
      <w:r>
        <w:t xml:space="preserve">            </w:t>
      </w:r>
      <w:r w:rsidR="00FA65ED">
        <w:t>Not applicable.</w:t>
      </w:r>
    </w:p>
    <w:p w:rsidR="0031511C" w:rsidP="0031511C" w:rsidRDefault="0031511C" w14:paraId="5D2DF0AE" w14:textId="77777777"/>
    <w:p w:rsidRPr="00CC1576" w:rsidR="0031511C" w:rsidP="00FA65ED" w:rsidRDefault="00FA65ED" w14:paraId="467729F0" w14:textId="77777777">
      <w:pPr>
        <w:rPr>
          <w:b/>
          <w:i/>
        </w:rPr>
      </w:pPr>
      <w:r w:rsidRPr="00CC1576">
        <w:rPr>
          <w:b/>
          <w:i/>
        </w:rPr>
        <w:t xml:space="preserve">17. Request to </w:t>
      </w:r>
      <w:r w:rsidRPr="00CC1576" w:rsidR="00B515B6">
        <w:rPr>
          <w:b/>
          <w:i/>
        </w:rPr>
        <w:t>n</w:t>
      </w:r>
      <w:r w:rsidRPr="00CC1576">
        <w:rPr>
          <w:b/>
          <w:i/>
        </w:rPr>
        <w:t xml:space="preserve">ot </w:t>
      </w:r>
      <w:r w:rsidRPr="00CC1576" w:rsidR="00B515B6">
        <w:rPr>
          <w:b/>
          <w:i/>
        </w:rPr>
        <w:t>d</w:t>
      </w:r>
      <w:r w:rsidRPr="00CC1576" w:rsidR="0031511C">
        <w:rPr>
          <w:b/>
          <w:i/>
        </w:rPr>
        <w:t>isplay</w:t>
      </w:r>
      <w:r w:rsidRPr="00CC1576" w:rsidR="00B515B6">
        <w:rPr>
          <w:b/>
          <w:i/>
        </w:rPr>
        <w:t xml:space="preserve"> e</w:t>
      </w:r>
      <w:r w:rsidRPr="00CC1576" w:rsidR="0031511C">
        <w:rPr>
          <w:b/>
          <w:i/>
        </w:rPr>
        <w:t>xpiration date:</w:t>
      </w:r>
    </w:p>
    <w:p w:rsidR="00FA65ED" w:rsidP="00FA65ED" w:rsidRDefault="00FA65ED" w14:paraId="6490B726" w14:textId="77777777"/>
    <w:p w:rsidR="00FA65ED" w:rsidP="00FA65ED" w:rsidRDefault="008A1B52" w14:paraId="1ECF1A47" w14:textId="77777777">
      <w:r>
        <w:t xml:space="preserve">            </w:t>
      </w:r>
      <w:r w:rsidR="00FA65ED">
        <w:t>Not applicable.</w:t>
      </w:r>
    </w:p>
    <w:p w:rsidR="00454E81" w:rsidP="00FA65ED" w:rsidRDefault="00454E81" w14:paraId="0A2FD7BC" w14:textId="77777777"/>
    <w:p w:rsidRPr="00967F0C" w:rsidR="0031511C" w:rsidP="00FA65ED" w:rsidRDefault="00FA65ED" w14:paraId="6873F4C7" w14:textId="77777777">
      <w:pPr>
        <w:rPr>
          <w:b/>
          <w:i/>
        </w:rPr>
      </w:pPr>
      <w:r w:rsidRPr="00967F0C">
        <w:rPr>
          <w:b/>
          <w:i/>
        </w:rPr>
        <w:t xml:space="preserve">18. </w:t>
      </w:r>
      <w:r w:rsidRPr="00967F0C" w:rsidR="0031511C">
        <w:rPr>
          <w:b/>
          <w:i/>
        </w:rPr>
        <w:t>Exceptions to certification statement:</w:t>
      </w:r>
    </w:p>
    <w:p w:rsidR="00FA65ED" w:rsidP="00FA65ED" w:rsidRDefault="00FA65ED" w14:paraId="438259F3" w14:textId="77777777"/>
    <w:p w:rsidR="00FA65ED" w:rsidP="00FA65ED" w:rsidRDefault="008A1B52" w14:paraId="7AC18914" w14:textId="77777777">
      <w:r>
        <w:t xml:space="preserve">            </w:t>
      </w:r>
      <w:r w:rsidR="00FA65ED">
        <w:t>None.</w:t>
      </w:r>
    </w:p>
    <w:p w:rsidR="0031511C" w:rsidP="0031511C" w:rsidRDefault="0031511C" w14:paraId="6DB4C13E" w14:textId="77777777"/>
    <w:p w:rsidRPr="00967F0C" w:rsidR="0031511C" w:rsidP="00FA65ED" w:rsidRDefault="00FA65ED" w14:paraId="4A6666D4" w14:textId="77777777">
      <w:pPr>
        <w:rPr>
          <w:b/>
        </w:rPr>
      </w:pPr>
      <w:r w:rsidRPr="00967F0C">
        <w:rPr>
          <w:b/>
        </w:rPr>
        <w:t xml:space="preserve">B.  </w:t>
      </w:r>
      <w:r w:rsidRPr="008A1B52" w:rsidR="0031511C">
        <w:rPr>
          <w:b/>
          <w:u w:val="single"/>
        </w:rPr>
        <w:t>Collections of Information Employing Statistical Methods</w:t>
      </w:r>
      <w:r w:rsidRPr="00967F0C" w:rsidR="00967F0C">
        <w:rPr>
          <w:b/>
        </w:rPr>
        <w:t>.</w:t>
      </w:r>
    </w:p>
    <w:p w:rsidR="00FA65ED" w:rsidP="00FA65ED" w:rsidRDefault="00FA65ED" w14:paraId="55839DDE" w14:textId="77777777"/>
    <w:p w:rsidRPr="00CA4886" w:rsidR="0031511C" w:rsidP="00A35FD7" w:rsidRDefault="008A1B52" w14:paraId="354C3919" w14:textId="77777777">
      <w:r>
        <w:t xml:space="preserve">            </w:t>
      </w:r>
      <w:r w:rsidR="0031511C">
        <w:t>Not applicable.</w:t>
      </w:r>
    </w:p>
    <w:sectPr w:rsidRPr="00CA4886" w:rsidR="0031511C" w:rsidSect="00A03ED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1BABE" w14:textId="77777777" w:rsidR="00D51F88" w:rsidRDefault="00D51F88">
      <w:r>
        <w:separator/>
      </w:r>
    </w:p>
  </w:endnote>
  <w:endnote w:type="continuationSeparator" w:id="0">
    <w:p w14:paraId="6442BA96" w14:textId="77777777" w:rsidR="00D51F88" w:rsidRDefault="00D5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JJK N+ 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3886E" w14:textId="77777777" w:rsidR="00F365BD" w:rsidRDefault="00F365BD" w:rsidP="00BD0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B5D8A0" w14:textId="77777777" w:rsidR="00F365BD" w:rsidRDefault="00F3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4E08F" w14:textId="77777777" w:rsidR="00F365BD" w:rsidRDefault="00F365BD" w:rsidP="00BD0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E44">
      <w:rPr>
        <w:rStyle w:val="PageNumber"/>
        <w:noProof/>
      </w:rPr>
      <w:t>3</w:t>
    </w:r>
    <w:r>
      <w:rPr>
        <w:rStyle w:val="PageNumber"/>
      </w:rPr>
      <w:fldChar w:fldCharType="end"/>
    </w:r>
  </w:p>
  <w:p w14:paraId="63F7AB15" w14:textId="77777777" w:rsidR="00F365BD" w:rsidRDefault="00F3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739B1" w14:textId="77777777" w:rsidR="00D51F88" w:rsidRDefault="00D51F88">
      <w:r>
        <w:separator/>
      </w:r>
    </w:p>
  </w:footnote>
  <w:footnote w:type="continuationSeparator" w:id="0">
    <w:p w14:paraId="4E9848B1" w14:textId="77777777" w:rsidR="00D51F88" w:rsidRDefault="00D51F88">
      <w:r>
        <w:continuationSeparator/>
      </w:r>
    </w:p>
  </w:footnote>
  <w:footnote w:id="1">
    <w:p w14:paraId="19B51B78" w14:textId="77777777" w:rsidR="00B36793" w:rsidRDefault="00B36793">
      <w:pPr>
        <w:pStyle w:val="FootnoteText"/>
      </w:pPr>
      <w:r>
        <w:rPr>
          <w:rStyle w:val="FootnoteReference"/>
        </w:rPr>
        <w:footnoteRef/>
      </w:r>
      <w:r>
        <w:t xml:space="preserve"> </w:t>
      </w:r>
      <w:r w:rsidR="00F360BD">
        <w:t>Pub. L.</w:t>
      </w:r>
      <w:r>
        <w:t xml:space="preserve"> 108-159, 117 Stat. 1952 (December 4, 2003).</w:t>
      </w:r>
    </w:p>
  </w:footnote>
  <w:footnote w:id="2">
    <w:p w14:paraId="53EB94D9" w14:textId="77777777" w:rsidR="00834ECC" w:rsidRDefault="00834ECC">
      <w:pPr>
        <w:pStyle w:val="FootnoteText"/>
      </w:pPr>
      <w:r>
        <w:rPr>
          <w:rStyle w:val="FootnoteReference"/>
        </w:rPr>
        <w:footnoteRef/>
      </w:r>
      <w:r>
        <w:t xml:space="preserve"> 15 U.S.C. 1681 </w:t>
      </w:r>
      <w:r w:rsidRPr="00834ECC">
        <w:rPr>
          <w:i/>
        </w:rPr>
        <w:t>et seq.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612D"/>
    <w:multiLevelType w:val="hybridMultilevel"/>
    <w:tmpl w:val="81F8B078"/>
    <w:lvl w:ilvl="0" w:tplc="95A20F40">
      <w:start w:val="360"/>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2F901DD"/>
    <w:multiLevelType w:val="hybridMultilevel"/>
    <w:tmpl w:val="67129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7C381E"/>
    <w:multiLevelType w:val="hybridMultilevel"/>
    <w:tmpl w:val="2F7025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C503DA"/>
    <w:multiLevelType w:val="hybridMultilevel"/>
    <w:tmpl w:val="F0BAC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BE42EAD"/>
    <w:multiLevelType w:val="hybridMultilevel"/>
    <w:tmpl w:val="23224DAC"/>
    <w:lvl w:ilvl="0" w:tplc="8E8E7138">
      <w:start w:val="1"/>
      <w:numFmt w:val="upperLetter"/>
      <w:lvlText w:val="%1."/>
      <w:lvlJc w:val="left"/>
      <w:pPr>
        <w:tabs>
          <w:tab w:val="num" w:pos="1080"/>
        </w:tabs>
        <w:ind w:left="1080" w:hanging="720"/>
      </w:pPr>
      <w:rPr>
        <w:rFonts w:hint="default"/>
      </w:rPr>
    </w:lvl>
    <w:lvl w:ilvl="1" w:tplc="37E6D0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lvlOverride w:ilvl="0">
      <w:startOverride w:val="3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886"/>
    <w:rsid w:val="00002AB4"/>
    <w:rsid w:val="000472FB"/>
    <w:rsid w:val="0005034B"/>
    <w:rsid w:val="00055E44"/>
    <w:rsid w:val="00066194"/>
    <w:rsid w:val="000735BB"/>
    <w:rsid w:val="00084AD3"/>
    <w:rsid w:val="00090491"/>
    <w:rsid w:val="00090BDE"/>
    <w:rsid w:val="00093BBD"/>
    <w:rsid w:val="000B1B35"/>
    <w:rsid w:val="000D2F88"/>
    <w:rsid w:val="000D6F1F"/>
    <w:rsid w:val="000F1FD6"/>
    <w:rsid w:val="00110FE3"/>
    <w:rsid w:val="00112787"/>
    <w:rsid w:val="00116028"/>
    <w:rsid w:val="001438ED"/>
    <w:rsid w:val="00146FB2"/>
    <w:rsid w:val="001669C2"/>
    <w:rsid w:val="001B7601"/>
    <w:rsid w:val="001E64CA"/>
    <w:rsid w:val="002140F3"/>
    <w:rsid w:val="002154B8"/>
    <w:rsid w:val="002300CA"/>
    <w:rsid w:val="00231DEF"/>
    <w:rsid w:val="00232D09"/>
    <w:rsid w:val="00243188"/>
    <w:rsid w:val="0025115D"/>
    <w:rsid w:val="00254E11"/>
    <w:rsid w:val="0025688F"/>
    <w:rsid w:val="00267F5A"/>
    <w:rsid w:val="00267FCC"/>
    <w:rsid w:val="00276B09"/>
    <w:rsid w:val="0029200F"/>
    <w:rsid w:val="002A2AD4"/>
    <w:rsid w:val="002E28F3"/>
    <w:rsid w:val="002F0758"/>
    <w:rsid w:val="00300F6F"/>
    <w:rsid w:val="0031511C"/>
    <w:rsid w:val="003174B0"/>
    <w:rsid w:val="00343968"/>
    <w:rsid w:val="00353464"/>
    <w:rsid w:val="00366767"/>
    <w:rsid w:val="003A1A57"/>
    <w:rsid w:val="003C6163"/>
    <w:rsid w:val="003C6EF5"/>
    <w:rsid w:val="003C7F3C"/>
    <w:rsid w:val="003E2478"/>
    <w:rsid w:val="003F25A8"/>
    <w:rsid w:val="003F7797"/>
    <w:rsid w:val="00401D94"/>
    <w:rsid w:val="004132D2"/>
    <w:rsid w:val="00424E14"/>
    <w:rsid w:val="00433218"/>
    <w:rsid w:val="00442279"/>
    <w:rsid w:val="004428B9"/>
    <w:rsid w:val="004508B0"/>
    <w:rsid w:val="00454E81"/>
    <w:rsid w:val="00460AF5"/>
    <w:rsid w:val="00461D8C"/>
    <w:rsid w:val="0049254E"/>
    <w:rsid w:val="004D215E"/>
    <w:rsid w:val="004E23A1"/>
    <w:rsid w:val="004E3A56"/>
    <w:rsid w:val="004F41D1"/>
    <w:rsid w:val="005200C6"/>
    <w:rsid w:val="00520FCF"/>
    <w:rsid w:val="005224AF"/>
    <w:rsid w:val="00526AB9"/>
    <w:rsid w:val="005302D1"/>
    <w:rsid w:val="00541DD6"/>
    <w:rsid w:val="00544D9F"/>
    <w:rsid w:val="00555809"/>
    <w:rsid w:val="00572EA2"/>
    <w:rsid w:val="00582475"/>
    <w:rsid w:val="00583D59"/>
    <w:rsid w:val="00596A57"/>
    <w:rsid w:val="005A2841"/>
    <w:rsid w:val="005C5762"/>
    <w:rsid w:val="005D0297"/>
    <w:rsid w:val="005E5CD9"/>
    <w:rsid w:val="005E6E76"/>
    <w:rsid w:val="005F65D4"/>
    <w:rsid w:val="00602771"/>
    <w:rsid w:val="00604E49"/>
    <w:rsid w:val="006277B9"/>
    <w:rsid w:val="00633507"/>
    <w:rsid w:val="00643857"/>
    <w:rsid w:val="0065211E"/>
    <w:rsid w:val="00656371"/>
    <w:rsid w:val="00663C89"/>
    <w:rsid w:val="006908B1"/>
    <w:rsid w:val="00691A0B"/>
    <w:rsid w:val="00693BBC"/>
    <w:rsid w:val="006A06D3"/>
    <w:rsid w:val="006B29C6"/>
    <w:rsid w:val="006B49AF"/>
    <w:rsid w:val="006D1A2D"/>
    <w:rsid w:val="006D22C1"/>
    <w:rsid w:val="006E1A60"/>
    <w:rsid w:val="006E2949"/>
    <w:rsid w:val="006F12E0"/>
    <w:rsid w:val="006F19B9"/>
    <w:rsid w:val="00701CC2"/>
    <w:rsid w:val="00710237"/>
    <w:rsid w:val="00717C87"/>
    <w:rsid w:val="00722519"/>
    <w:rsid w:val="007539F0"/>
    <w:rsid w:val="00774B6E"/>
    <w:rsid w:val="00776A7A"/>
    <w:rsid w:val="00796171"/>
    <w:rsid w:val="007D4609"/>
    <w:rsid w:val="007D51D3"/>
    <w:rsid w:val="007E3817"/>
    <w:rsid w:val="007E5F12"/>
    <w:rsid w:val="007F0634"/>
    <w:rsid w:val="007F4DDA"/>
    <w:rsid w:val="007F60BF"/>
    <w:rsid w:val="007F61F9"/>
    <w:rsid w:val="00806E72"/>
    <w:rsid w:val="0082151E"/>
    <w:rsid w:val="00824A30"/>
    <w:rsid w:val="00824E14"/>
    <w:rsid w:val="00833B25"/>
    <w:rsid w:val="00834ECC"/>
    <w:rsid w:val="0084393D"/>
    <w:rsid w:val="00843C9C"/>
    <w:rsid w:val="008469A5"/>
    <w:rsid w:val="00846EE7"/>
    <w:rsid w:val="0085031F"/>
    <w:rsid w:val="00863DE9"/>
    <w:rsid w:val="00870FEA"/>
    <w:rsid w:val="00875B00"/>
    <w:rsid w:val="008836D5"/>
    <w:rsid w:val="00886594"/>
    <w:rsid w:val="00891BBA"/>
    <w:rsid w:val="00891BD5"/>
    <w:rsid w:val="008A1B52"/>
    <w:rsid w:val="008C5514"/>
    <w:rsid w:val="008D7F91"/>
    <w:rsid w:val="00912F20"/>
    <w:rsid w:val="00913AC3"/>
    <w:rsid w:val="00915FD3"/>
    <w:rsid w:val="0091765C"/>
    <w:rsid w:val="00934087"/>
    <w:rsid w:val="00940C25"/>
    <w:rsid w:val="00943EB1"/>
    <w:rsid w:val="00957F5B"/>
    <w:rsid w:val="00967F0C"/>
    <w:rsid w:val="0097378E"/>
    <w:rsid w:val="00986AFF"/>
    <w:rsid w:val="00994232"/>
    <w:rsid w:val="009951FE"/>
    <w:rsid w:val="00995EC4"/>
    <w:rsid w:val="00996C63"/>
    <w:rsid w:val="009A4FD6"/>
    <w:rsid w:val="009A5DA3"/>
    <w:rsid w:val="009A6830"/>
    <w:rsid w:val="009B594E"/>
    <w:rsid w:val="009C125F"/>
    <w:rsid w:val="009D481A"/>
    <w:rsid w:val="009D7BE4"/>
    <w:rsid w:val="009F4516"/>
    <w:rsid w:val="009F6566"/>
    <w:rsid w:val="00A00113"/>
    <w:rsid w:val="00A03EDD"/>
    <w:rsid w:val="00A35FD7"/>
    <w:rsid w:val="00A412C5"/>
    <w:rsid w:val="00A51309"/>
    <w:rsid w:val="00A704BD"/>
    <w:rsid w:val="00AA5E38"/>
    <w:rsid w:val="00AD344B"/>
    <w:rsid w:val="00AE06DD"/>
    <w:rsid w:val="00B00362"/>
    <w:rsid w:val="00B025F5"/>
    <w:rsid w:val="00B12BE7"/>
    <w:rsid w:val="00B178F5"/>
    <w:rsid w:val="00B36793"/>
    <w:rsid w:val="00B418CA"/>
    <w:rsid w:val="00B43499"/>
    <w:rsid w:val="00B46038"/>
    <w:rsid w:val="00B515B6"/>
    <w:rsid w:val="00B64759"/>
    <w:rsid w:val="00B74A54"/>
    <w:rsid w:val="00B83E06"/>
    <w:rsid w:val="00B845DF"/>
    <w:rsid w:val="00B9281B"/>
    <w:rsid w:val="00B9716B"/>
    <w:rsid w:val="00BA50C4"/>
    <w:rsid w:val="00BB304F"/>
    <w:rsid w:val="00BD0517"/>
    <w:rsid w:val="00BD4879"/>
    <w:rsid w:val="00C05658"/>
    <w:rsid w:val="00C335B2"/>
    <w:rsid w:val="00C56CC3"/>
    <w:rsid w:val="00C611B6"/>
    <w:rsid w:val="00C67C67"/>
    <w:rsid w:val="00C75EAB"/>
    <w:rsid w:val="00C95302"/>
    <w:rsid w:val="00CA4886"/>
    <w:rsid w:val="00CA7496"/>
    <w:rsid w:val="00CC1576"/>
    <w:rsid w:val="00CF5863"/>
    <w:rsid w:val="00D0277A"/>
    <w:rsid w:val="00D508A3"/>
    <w:rsid w:val="00D51F88"/>
    <w:rsid w:val="00D53363"/>
    <w:rsid w:val="00D67210"/>
    <w:rsid w:val="00D868AF"/>
    <w:rsid w:val="00DA3671"/>
    <w:rsid w:val="00DB1E1B"/>
    <w:rsid w:val="00DB6AC6"/>
    <w:rsid w:val="00DC3FDE"/>
    <w:rsid w:val="00DC638D"/>
    <w:rsid w:val="00DD25B6"/>
    <w:rsid w:val="00E14D2F"/>
    <w:rsid w:val="00E22234"/>
    <w:rsid w:val="00E31AA9"/>
    <w:rsid w:val="00E367F4"/>
    <w:rsid w:val="00E502ED"/>
    <w:rsid w:val="00E80FFE"/>
    <w:rsid w:val="00EB5639"/>
    <w:rsid w:val="00EE17A5"/>
    <w:rsid w:val="00EE2CEA"/>
    <w:rsid w:val="00EF5C23"/>
    <w:rsid w:val="00F05996"/>
    <w:rsid w:val="00F077D2"/>
    <w:rsid w:val="00F360BD"/>
    <w:rsid w:val="00F365BD"/>
    <w:rsid w:val="00F7195D"/>
    <w:rsid w:val="00F8161E"/>
    <w:rsid w:val="00F93F79"/>
    <w:rsid w:val="00FA65ED"/>
    <w:rsid w:val="00FB6F24"/>
    <w:rsid w:val="00FB71A6"/>
    <w:rsid w:val="00FD68DB"/>
    <w:rsid w:val="00FF4A15"/>
    <w:rsid w:val="00FF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B9FF98"/>
  <w15:chartTrackingRefBased/>
  <w15:docId w15:val="{35D35DF0-EE53-45D0-B866-9BF9B8DE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03EDD"/>
    <w:pPr>
      <w:tabs>
        <w:tab w:val="center" w:pos="4320"/>
        <w:tab w:val="right" w:pos="8640"/>
      </w:tabs>
    </w:pPr>
  </w:style>
  <w:style w:type="character" w:styleId="PageNumber">
    <w:name w:val="page number"/>
    <w:basedOn w:val="DefaultParagraphFont"/>
    <w:rsid w:val="00A03EDD"/>
  </w:style>
  <w:style w:type="paragraph" w:styleId="BalloonText">
    <w:name w:val="Balloon Text"/>
    <w:basedOn w:val="Normal"/>
    <w:semiHidden/>
    <w:rsid w:val="00B418CA"/>
    <w:rPr>
      <w:rFonts w:ascii="Tahoma" w:hAnsi="Tahoma" w:cs="Tahoma"/>
      <w:sz w:val="16"/>
      <w:szCs w:val="16"/>
    </w:rPr>
  </w:style>
  <w:style w:type="paragraph" w:styleId="EndnoteText">
    <w:name w:val="endnote text"/>
    <w:basedOn w:val="Normal"/>
    <w:link w:val="EndnoteTextChar"/>
    <w:rsid w:val="00B36793"/>
    <w:rPr>
      <w:sz w:val="20"/>
      <w:szCs w:val="20"/>
    </w:rPr>
  </w:style>
  <w:style w:type="character" w:customStyle="1" w:styleId="EndnoteTextChar">
    <w:name w:val="Endnote Text Char"/>
    <w:basedOn w:val="DefaultParagraphFont"/>
    <w:link w:val="EndnoteText"/>
    <w:rsid w:val="00B36793"/>
  </w:style>
  <w:style w:type="character" w:styleId="EndnoteReference">
    <w:name w:val="endnote reference"/>
    <w:rsid w:val="00B36793"/>
    <w:rPr>
      <w:vertAlign w:val="superscript"/>
    </w:rPr>
  </w:style>
  <w:style w:type="paragraph" w:styleId="FootnoteText">
    <w:name w:val="footnote text"/>
    <w:basedOn w:val="Normal"/>
    <w:link w:val="FootnoteTextChar"/>
    <w:rsid w:val="00B36793"/>
    <w:rPr>
      <w:sz w:val="20"/>
      <w:szCs w:val="20"/>
    </w:rPr>
  </w:style>
  <w:style w:type="character" w:customStyle="1" w:styleId="FootnoteTextChar">
    <w:name w:val="Footnote Text Char"/>
    <w:basedOn w:val="DefaultParagraphFont"/>
    <w:link w:val="FootnoteText"/>
    <w:rsid w:val="00B36793"/>
  </w:style>
  <w:style w:type="character" w:styleId="FootnoteReference">
    <w:name w:val="footnote reference"/>
    <w:rsid w:val="00B36793"/>
    <w:rPr>
      <w:vertAlign w:val="superscript"/>
    </w:rPr>
  </w:style>
  <w:style w:type="character" w:customStyle="1" w:styleId="documentbody1">
    <w:name w:val="documentbody1"/>
    <w:rsid w:val="00994232"/>
    <w:rPr>
      <w:rFonts w:ascii="Verdana" w:hAnsi="Verdana" w:hint="default"/>
    </w:rPr>
  </w:style>
  <w:style w:type="table" w:styleId="TableGrid">
    <w:name w:val="Table Grid"/>
    <w:basedOn w:val="TableNormal"/>
    <w:rsid w:val="00B8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12787"/>
    <w:rPr>
      <w:color w:val="0000FF"/>
      <w:u w:val="single"/>
    </w:rPr>
  </w:style>
  <w:style w:type="paragraph" w:customStyle="1" w:styleId="Default">
    <w:name w:val="Default"/>
    <w:rsid w:val="00112787"/>
    <w:pPr>
      <w:autoSpaceDE w:val="0"/>
      <w:autoSpaceDN w:val="0"/>
      <w:adjustRightInd w:val="0"/>
    </w:pPr>
    <w:rPr>
      <w:rFonts w:ascii="AHJJK N+ M Ionic" w:hAnsi="AHJJK N+ M Ionic" w:cs="AHJJK N+ M Ionic"/>
      <w:color w:val="000000"/>
      <w:sz w:val="24"/>
      <w:szCs w:val="24"/>
    </w:rPr>
  </w:style>
  <w:style w:type="paragraph" w:styleId="HTMLPreformatted">
    <w:name w:val="HTML Preformatted"/>
    <w:basedOn w:val="Normal"/>
    <w:link w:val="HTMLPreformattedChar"/>
    <w:uiPriority w:val="99"/>
    <w:unhideWhenUsed/>
    <w:rsid w:val="0082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24A30"/>
    <w:rPr>
      <w:rFonts w:ascii="Courier New" w:hAnsi="Courier New" w:cs="Courier New"/>
    </w:rPr>
  </w:style>
  <w:style w:type="paragraph" w:styleId="BodyText">
    <w:name w:val="Body Text"/>
    <w:basedOn w:val="Normal"/>
    <w:link w:val="BodyTextChar"/>
    <w:unhideWhenUsed/>
    <w:qFormat/>
    <w:rsid w:val="00CC1576"/>
    <w:rPr>
      <w:rFonts w:ascii="Arial Narrow" w:hAnsi="Arial Narrow"/>
      <w:szCs w:val="20"/>
      <w:u w:val="single"/>
    </w:rPr>
  </w:style>
  <w:style w:type="character" w:customStyle="1" w:styleId="BodyTextChar">
    <w:name w:val="Body Text Char"/>
    <w:link w:val="BodyText"/>
    <w:rsid w:val="00CC1576"/>
    <w:rPr>
      <w:rFonts w:ascii="Arial Narrow" w:hAnsi="Arial Narrow"/>
      <w:sz w:val="24"/>
      <w:u w:val="single"/>
    </w:rPr>
  </w:style>
  <w:style w:type="character" w:styleId="CommentReference">
    <w:name w:val="annotation reference"/>
    <w:rsid w:val="00CC1576"/>
    <w:rPr>
      <w:sz w:val="16"/>
      <w:szCs w:val="16"/>
    </w:rPr>
  </w:style>
  <w:style w:type="paragraph" w:styleId="CommentText">
    <w:name w:val="annotation text"/>
    <w:basedOn w:val="Normal"/>
    <w:link w:val="CommentTextChar"/>
    <w:rsid w:val="00CC1576"/>
    <w:rPr>
      <w:sz w:val="20"/>
      <w:szCs w:val="20"/>
    </w:rPr>
  </w:style>
  <w:style w:type="character" w:customStyle="1" w:styleId="CommentTextChar">
    <w:name w:val="Comment Text Char"/>
    <w:basedOn w:val="DefaultParagraphFont"/>
    <w:link w:val="CommentText"/>
    <w:rsid w:val="00CC1576"/>
  </w:style>
  <w:style w:type="paragraph" w:styleId="CommentSubject">
    <w:name w:val="annotation subject"/>
    <w:basedOn w:val="CommentText"/>
    <w:next w:val="CommentText"/>
    <w:link w:val="CommentSubjectChar"/>
    <w:rsid w:val="00CC1576"/>
    <w:rPr>
      <w:b/>
      <w:bCs/>
    </w:rPr>
  </w:style>
  <w:style w:type="character" w:customStyle="1" w:styleId="CommentSubjectChar">
    <w:name w:val="Comment Subject Char"/>
    <w:link w:val="CommentSubject"/>
    <w:rsid w:val="00CC1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532668">
      <w:bodyDiv w:val="1"/>
      <w:marLeft w:val="0"/>
      <w:marRight w:val="0"/>
      <w:marTop w:val="0"/>
      <w:marBottom w:val="0"/>
      <w:divBdr>
        <w:top w:val="none" w:sz="0" w:space="0" w:color="auto"/>
        <w:left w:val="none" w:sz="0" w:space="0" w:color="auto"/>
        <w:bottom w:val="none" w:sz="0" w:space="0" w:color="auto"/>
        <w:right w:val="none" w:sz="0" w:space="0" w:color="auto"/>
      </w:divBdr>
    </w:div>
    <w:div w:id="779420468">
      <w:bodyDiv w:val="1"/>
      <w:marLeft w:val="0"/>
      <w:marRight w:val="0"/>
      <w:marTop w:val="0"/>
      <w:marBottom w:val="0"/>
      <w:divBdr>
        <w:top w:val="none" w:sz="0" w:space="0" w:color="auto"/>
        <w:left w:val="none" w:sz="0" w:space="0" w:color="auto"/>
        <w:bottom w:val="none" w:sz="0" w:space="0" w:color="auto"/>
        <w:right w:val="none" w:sz="0" w:space="0" w:color="auto"/>
      </w:divBdr>
    </w:div>
    <w:div w:id="913009318">
      <w:bodyDiv w:val="1"/>
      <w:marLeft w:val="0"/>
      <w:marRight w:val="0"/>
      <w:marTop w:val="0"/>
      <w:marBottom w:val="0"/>
      <w:divBdr>
        <w:top w:val="none" w:sz="0" w:space="0" w:color="auto"/>
        <w:left w:val="none" w:sz="0" w:space="0" w:color="auto"/>
        <w:bottom w:val="none" w:sz="0" w:space="0" w:color="auto"/>
        <w:right w:val="none" w:sz="0" w:space="0" w:color="auto"/>
      </w:divBdr>
    </w:div>
    <w:div w:id="1334379447">
      <w:bodyDiv w:val="1"/>
      <w:marLeft w:val="0"/>
      <w:marRight w:val="0"/>
      <w:marTop w:val="0"/>
      <w:marBottom w:val="0"/>
      <w:divBdr>
        <w:top w:val="none" w:sz="0" w:space="0" w:color="auto"/>
        <w:left w:val="none" w:sz="0" w:space="0" w:color="auto"/>
        <w:bottom w:val="none" w:sz="0" w:space="0" w:color="auto"/>
        <w:right w:val="none" w:sz="0" w:space="0" w:color="auto"/>
      </w:divBdr>
    </w:div>
    <w:div w:id="18316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FD7A-5B7D-40D7-82E0-7665F42D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Fair Credit Reporting Affiliate Marketing Regulations</vt:lpstr>
    </vt:vector>
  </TitlesOfParts>
  <Company>OCC</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Credit Reporting Affiliate Marketing Regulations</dc:title>
  <dc:subject/>
  <dc:creator>Mary.Gottlieb</dc:creator>
  <cp:keywords/>
  <cp:lastModifiedBy>Gottlieb, Mary</cp:lastModifiedBy>
  <cp:revision>2</cp:revision>
  <cp:lastPrinted>2016-11-29T20:15:00Z</cp:lastPrinted>
  <dcterms:created xsi:type="dcterms:W3CDTF">2021-03-16T19:53:00Z</dcterms:created>
  <dcterms:modified xsi:type="dcterms:W3CDTF">2021-03-16T19:53:00Z</dcterms:modified>
</cp:coreProperties>
</file>