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15E8C" w:rsidP="00515E8C" w:rsidRDefault="00515E8C" w14:paraId="64065EBB" w14:textId="77777777">
      <w:pPr>
        <w:jc w:val="center"/>
        <w:rPr>
          <w:rFonts w:ascii="Times New Roman" w:hAnsi="Times New Roman"/>
          <w:b/>
        </w:rPr>
      </w:pPr>
      <w:r>
        <w:rPr>
          <w:rFonts w:ascii="Times New Roman" w:hAnsi="Times New Roman"/>
          <w:b/>
        </w:rPr>
        <w:t>Petition for Nonimmigrant Worker</w:t>
      </w:r>
    </w:p>
    <w:p w:rsidR="00515E8C" w:rsidP="00515E8C" w:rsidRDefault="00515E8C" w14:paraId="636D0519" w14:textId="77777777">
      <w:pPr>
        <w:jc w:val="center"/>
        <w:rPr>
          <w:rFonts w:ascii="Times New Roman" w:hAnsi="Times New Roman"/>
          <w:b/>
          <w:bCs/>
          <w:color w:val="FF0000"/>
        </w:rPr>
      </w:pPr>
      <w:r>
        <w:rPr>
          <w:rFonts w:ascii="Times New Roman" w:hAnsi="Times New Roman"/>
          <w:b/>
          <w:bCs/>
        </w:rPr>
        <w:t>OMB Control No.: 1615-0009</w:t>
      </w:r>
    </w:p>
    <w:p w:rsidR="00515E8C" w:rsidP="00515E8C" w:rsidRDefault="00515E8C" w14:paraId="68696FC3"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15E8C" w:rsidP="00515E8C" w:rsidRDefault="00512822" w14:paraId="6B523F2A" w14:textId="68F53E6B">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is (are) eligible for the nonimmigrant classification.  The statutory authority is section 101(a)(15), 103, 214(a),</w:t>
      </w:r>
      <w:r w:rsidDel="002648DB">
        <w:rPr>
          <w:rFonts w:ascii="Times New Roman" w:hAnsi="Times New Roman"/>
        </w:rPr>
        <w:t xml:space="preserve"> </w:t>
      </w:r>
      <w:r>
        <w:rPr>
          <w:rFonts w:ascii="Times New Roman" w:hAnsi="Times New Roman"/>
        </w:rPr>
        <w:t xml:space="preserve">214(c)(1); and 214(i), and 248 of the Immigration and Nationality Act (Act), codified at 8 U.S.C. 1101(a)(15), 1103, 8 U.S.C. 1184(a), 8 U.S.C. 1184(c)(1), </w:t>
      </w:r>
      <w:r w:rsidRPr="002648DB">
        <w:rPr>
          <w:rFonts w:ascii="Times New Roman" w:hAnsi="Times New Roman"/>
        </w:rPr>
        <w:t>8 U.S.C. 1184(i)</w:t>
      </w:r>
      <w:r>
        <w:rPr>
          <w:rFonts w:ascii="Times New Roman" w:hAnsi="Times New Roman"/>
        </w:rPr>
        <w:t>, and 8 U.S.C. 1258, and the regulatory authority is 8 CFR 214.1, 8 CFR 214.2(h)(1)(ii)(B), (h)(2)(i)(A), (h)(4), (h)(8) through (h)(19), 8 CFR 214.2</w:t>
      </w:r>
      <w:r w:rsidDel="0060085B">
        <w:rPr>
          <w:rFonts w:ascii="Times New Roman" w:hAnsi="Times New Roman"/>
        </w:rPr>
        <w:t>(</w:t>
      </w:r>
      <w:r>
        <w:rPr>
          <w:rFonts w:ascii="Times New Roman" w:hAnsi="Times New Roman"/>
        </w:rPr>
        <w:t>l</w:t>
      </w:r>
      <w:r w:rsidDel="0060085B">
        <w:rPr>
          <w:rFonts w:ascii="Times New Roman" w:hAnsi="Times New Roman"/>
        </w:rPr>
        <w:t>),</w:t>
      </w:r>
      <w:r>
        <w:rPr>
          <w:rFonts w:ascii="Times New Roman" w:hAnsi="Times New Roman"/>
        </w:rPr>
        <w:t xml:space="preserve"> (o) (p), (q), and </w:t>
      </w:r>
      <w:r w:rsidDel="0060085B">
        <w:rPr>
          <w:rFonts w:ascii="Times New Roman" w:hAnsi="Times New Roman"/>
        </w:rPr>
        <w:t>(</w:t>
      </w:r>
      <w:r>
        <w:rPr>
          <w:rFonts w:ascii="Times New Roman" w:hAnsi="Times New Roman"/>
        </w:rPr>
        <w:t>r), and 8 CFR 248.1.  A U.S. employer, or agent in some instances, may file a petition for nonimmigrant worker to employ foreign nationals under the following nonimmigrant classifications:  H-1B, H-2A, H-2B, H-3, L-1, O-1, O-2, P-1, P-2, P-3, P-1S, P-2S, P-3S, Q-1, or R-1 nonimmigrant worker.</w:t>
      </w:r>
    </w:p>
    <w:p w:rsidR="00512822" w:rsidP="00515E8C" w:rsidRDefault="00512822" w14:paraId="2368906D" w14:textId="77777777">
      <w:pPr>
        <w:ind w:left="720"/>
        <w:rPr>
          <w:rFonts w:ascii="Times New Roman" w:hAnsi="Times New Roman"/>
        </w:rPr>
      </w:pPr>
    </w:p>
    <w:p w:rsidR="00512822" w:rsidP="00512822" w:rsidRDefault="00512822" w14:paraId="046EB77B"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512822" w:rsidP="00512822" w:rsidRDefault="00512822" w14:paraId="268198AA"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512822" w:rsidP="00512822" w:rsidRDefault="00512822" w14:paraId="54CA8753"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lastRenderedPageBreak/>
        <w:t xml:space="preserve">adjudicate the nonimmigrant petition, and perform other functions related to administering and enforcing the immigrant and nationality laws. </w:t>
      </w:r>
    </w:p>
    <w:p w:rsidR="00515E8C" w:rsidP="00515E8C" w:rsidRDefault="00515E8C" w14:paraId="4E450991" w14:textId="498CE175">
      <w:pPr>
        <w:ind w:left="720"/>
        <w:rPr>
          <w:rFonts w:ascii="Times New Roman" w:hAnsi="Times New Roman"/>
        </w:rPr>
      </w:pPr>
    </w:p>
    <w:p w:rsidR="00512822" w:rsidP="00512822" w:rsidRDefault="00512822" w14:paraId="0FE53176" w14:textId="77777777">
      <w:pPr>
        <w:ind w:left="720"/>
        <w:rPr>
          <w:rFonts w:ascii="Times New Roman" w:hAnsi="Times New Roman"/>
        </w:rPr>
      </w:pPr>
      <w:r>
        <w:rPr>
          <w:rFonts w:ascii="Times New Roman" w:hAnsi="Times New Roman"/>
        </w:rPr>
        <w:t>DHS requires</w:t>
      </w:r>
      <w:r w:rsidDel="003F1609">
        <w:rPr>
          <w:rFonts w:ascii="Times New Roman" w:hAnsi="Times New Roman"/>
        </w:rPr>
        <w:t xml:space="preserve"> </w:t>
      </w:r>
      <w:r>
        <w:rPr>
          <w:rFonts w:ascii="Times New Roman" w:hAnsi="Times New Roman"/>
        </w:rPr>
        <w:t>most aliens seeking an extension of stay or change of status to demonstrate that they have not, since obtaining the nonimmigrant status they wish to extend or change, received public benefits, as defined in the Inadmissibility on Public Charge Grounds, final rule 84 FR 41292 (Aug. 14, 2019) final rule, for more than 12 months in the aggregate within any 36-month period unless the nonimmigrant classification that they seek to extend, or to which they seek to change, is exempt from the public charge ground of inadmissibility.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12822" w:rsidP="00512822" w:rsidRDefault="00512822" w14:paraId="5D434D62"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512822" w:rsidP="00512822" w:rsidRDefault="00512822" w14:paraId="79FC806A" w14:textId="77777777">
      <w:pPr>
        <w:ind w:left="720"/>
        <w:rPr>
          <w:rFonts w:ascii="Times New Roman" w:hAnsi="Times New Roman"/>
        </w:rPr>
      </w:pPr>
    </w:p>
    <w:p w:rsidR="00512822" w:rsidP="00512822" w:rsidRDefault="00512822" w14:paraId="66D75E36" w14:textId="77777777">
      <w:pPr>
        <w:ind w:left="720"/>
        <w:rPr>
          <w:rFonts w:ascii="Times New Roman" w:hAnsi="Times New Roman"/>
        </w:rPr>
      </w:pPr>
      <w:r>
        <w:rPr>
          <w:rFonts w:ascii="Times New Roman" w:hAnsi="Times New Roman"/>
        </w:rPr>
        <w:t xml:space="preserve">USCIS also uses the data to determine continued eligibility.  For example, the data collected is used in compliance reviews and other inspections </w:t>
      </w:r>
      <w:r w:rsidRPr="00710A04">
        <w:rPr>
          <w:rFonts w:ascii="Times New Roman" w:hAnsi="Times New Roman"/>
        </w:rPr>
        <w:t>to ensure that all program requirements are being met</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512822" w:rsidP="00512822" w:rsidRDefault="00512822" w14:paraId="6C05D01A"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12822" w:rsidP="00512822" w:rsidRDefault="00512822" w14:paraId="642F6823"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12822" w:rsidP="00512822" w:rsidRDefault="00512822" w14:paraId="0F1EA02E"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12822" w:rsidP="00512822" w:rsidRDefault="00512822" w14:paraId="573BE4DD"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512822" w:rsidP="00512822" w:rsidRDefault="00512822" w14:paraId="4557FCFD" w14:textId="62361DE7">
      <w:pPr>
        <w:tabs>
          <w:tab w:val="left" w:pos="-1440"/>
        </w:tabs>
        <w:ind w:left="720"/>
        <w:rPr>
          <w:rFonts w:ascii="Times New Roman" w:hAnsi="Times New Roman"/>
        </w:rPr>
      </w:pPr>
      <w:r>
        <w:rPr>
          <w:rFonts w:ascii="Times New Roman" w:hAnsi="Times New Roman"/>
        </w:rPr>
        <w:t xml:space="preserve">On </w:t>
      </w:r>
      <w:r w:rsidR="004F3013">
        <w:rPr>
          <w:rFonts w:ascii="Times New Roman" w:hAnsi="Times New Roman"/>
        </w:rPr>
        <w:t>November 2</w:t>
      </w:r>
      <w:r>
        <w:rPr>
          <w:rFonts w:ascii="Times New Roman" w:hAnsi="Times New Roman"/>
        </w:rPr>
        <w:t>, 2020, USCIS published a</w:t>
      </w:r>
      <w:r w:rsidR="00140227">
        <w:rPr>
          <w:rFonts w:ascii="Times New Roman" w:hAnsi="Times New Roman"/>
        </w:rPr>
        <w:t xml:space="preserve"> Notice of Proposed Rulemaking </w:t>
      </w:r>
      <w:r>
        <w:rPr>
          <w:rFonts w:ascii="Times New Roman" w:hAnsi="Times New Roman"/>
        </w:rPr>
        <w:t xml:space="preserve">at 85 FR </w:t>
      </w:r>
      <w:r w:rsidRPr="004F3013" w:rsidR="004F3013">
        <w:rPr>
          <w:rFonts w:ascii="Times New Roman" w:hAnsi="Times New Roman"/>
        </w:rPr>
        <w:t>69236</w:t>
      </w:r>
      <w:r w:rsidR="004F3013">
        <w:rPr>
          <w:rFonts w:ascii="Times New Roman" w:hAnsi="Times New Roman"/>
        </w:rPr>
        <w:t xml:space="preserve">.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515E8C" w:rsidP="00515E8C" w:rsidRDefault="00515E8C" w14:paraId="2DA0C16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15E8C" w:rsidP="00515E8C" w:rsidRDefault="00515E8C" w14:paraId="0B297CB2" w14:textId="77777777">
      <w:pPr>
        <w:tabs>
          <w:tab w:val="left" w:pos="-1440"/>
        </w:tabs>
        <w:ind w:left="720"/>
        <w:rPr>
          <w:rFonts w:ascii="Times New Roman" w:hAnsi="Times New Roman"/>
        </w:rPr>
      </w:pPr>
    </w:p>
    <w:p w:rsidR="00515E8C" w:rsidP="00515E8C" w:rsidRDefault="00515E8C" w14:paraId="51A1631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D21EB4" w:rsidR="00515E8C" w:rsidP="00515E8C" w:rsidRDefault="00515E8C" w14:paraId="3762A266" w14:textId="77777777">
      <w:pPr>
        <w:pStyle w:val="ListParagraph"/>
        <w:numPr>
          <w:ilvl w:val="0"/>
          <w:numId w:val="9"/>
        </w:numPr>
        <w:tabs>
          <w:tab w:val="left" w:pos="-1440"/>
        </w:tabs>
        <w:rPr>
          <w:rFonts w:ascii="Times New Roman" w:hAnsi="Times New Roman"/>
        </w:rPr>
      </w:pPr>
      <w:r w:rsidRPr="00D21EB4">
        <w:rPr>
          <w:rFonts w:ascii="Times New Roman" w:hAnsi="Times New Roman"/>
        </w:rPr>
        <w:t xml:space="preserve">DHS/USCIS/PIA-003 Integrated Digitization Document Management Program; and </w:t>
      </w:r>
    </w:p>
    <w:p w:rsidRPr="00D21EB4" w:rsidR="00515E8C" w:rsidP="00515E8C" w:rsidRDefault="00515E8C" w14:paraId="5DFCFC5E"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DHS/USCIS/PIA 016(a) Computer Linked Application Information Management System (CLAIMS 3) and Associated Systems.</w:t>
      </w:r>
    </w:p>
    <w:p w:rsidR="00515E8C" w:rsidP="00515E8C" w:rsidRDefault="00515E8C" w14:paraId="4D6A8FC5" w14:textId="77777777">
      <w:pPr>
        <w:tabs>
          <w:tab w:val="left" w:pos="-1440"/>
        </w:tabs>
        <w:ind w:left="720"/>
        <w:rPr>
          <w:rFonts w:ascii="Times New Roman" w:hAnsi="Times New Roman"/>
        </w:rPr>
      </w:pPr>
    </w:p>
    <w:p w:rsidR="00515E8C" w:rsidP="00515E8C" w:rsidRDefault="00515E8C" w14:paraId="0C1A4872"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D21EB4" w:rsidR="00515E8C" w:rsidP="00515E8C" w:rsidRDefault="00515E8C" w14:paraId="6759E2A7"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DHS/USCIS/ICE/CBP-001 Alien File, Index, and National File Tracking System of Records, September 18, 2017, 82 FR 43556;</w:t>
      </w:r>
    </w:p>
    <w:p w:rsidRPr="00D21EB4" w:rsidR="00515E8C" w:rsidP="00515E8C" w:rsidRDefault="00515E8C" w14:paraId="7E590512"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DHS/USCIS-007 Benefits Information System, October 19, 2016 81 FR 72069; and</w:t>
      </w:r>
    </w:p>
    <w:p w:rsidRPr="00515E8C" w:rsidR="00EC5F60" w:rsidP="00515E8C" w:rsidRDefault="00515E8C" w14:paraId="5E3A935B" w14:textId="064A0846">
      <w:pPr>
        <w:pStyle w:val="ListParagraph"/>
        <w:numPr>
          <w:ilvl w:val="0"/>
          <w:numId w:val="9"/>
        </w:numPr>
        <w:tabs>
          <w:tab w:val="left" w:pos="-1440"/>
        </w:tabs>
        <w:rPr>
          <w:rFonts w:ascii="Times New Roman" w:hAnsi="Times New Roman"/>
        </w:rPr>
      </w:pPr>
      <w:r w:rsidRPr="00D21EB4">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15E8C" w:rsidP="00515E8C" w:rsidRDefault="00515E8C" w14:paraId="779C7DD3" w14:textId="1A605860">
      <w:pPr>
        <w:tabs>
          <w:tab w:val="left" w:pos="-1440"/>
        </w:tabs>
        <w:ind w:left="720"/>
        <w:rPr>
          <w:rFonts w:ascii="Times New Roman" w:hAnsi="Times New Roman"/>
          <w:color w:val="FF0000"/>
        </w:rPr>
      </w:pPr>
      <w:r>
        <w:rPr>
          <w:rFonts w:ascii="Times New Roman" w:hAnsi="Times New Roman"/>
        </w:rPr>
        <w:t xml:space="preserve">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t>
      </w:r>
      <w:r w:rsidR="00512822">
        <w:rPr>
          <w:rFonts w:ascii="Times New Roman" w:hAnsi="Times New Roman"/>
        </w:rPr>
        <w:t>USCIS</w:t>
      </w:r>
      <w:r>
        <w:rPr>
          <w:rFonts w:ascii="Times New Roman" w:hAnsi="Times New Roman"/>
        </w:rPr>
        <w:t xml:space="preserve"> currently do</w:t>
      </w:r>
      <w:r w:rsidR="00512822">
        <w:rPr>
          <w:rFonts w:ascii="Times New Roman" w:hAnsi="Times New Roman"/>
        </w:rPr>
        <w:t>es</w:t>
      </w:r>
      <w:r>
        <w:rPr>
          <w:rFonts w:ascii="Times New Roman" w:hAnsi="Times New Roman"/>
        </w:rPr>
        <w:t xml:space="preserve"> not collect fingerprints for most I-129s (with the exception of a very limited number of filings from the CNMI), </w:t>
      </w:r>
      <w:r w:rsidR="00512822">
        <w:rPr>
          <w:rFonts w:ascii="Times New Roman" w:hAnsi="Times New Roman"/>
        </w:rPr>
        <w:t>information</w:t>
      </w:r>
      <w:r>
        <w:rPr>
          <w:rFonts w:ascii="Times New Roman" w:hAnsi="Times New Roman"/>
        </w:rPr>
        <w:t xml:space="preserve"> like the SSN</w:t>
      </w:r>
      <w:r w:rsidR="00512822">
        <w:rPr>
          <w:rFonts w:ascii="Times New Roman" w:hAnsi="Times New Roman"/>
        </w:rPr>
        <w:t xml:space="preserve"> may be the</w:t>
      </w:r>
      <w:r>
        <w:rPr>
          <w:rFonts w:ascii="Times New Roman" w:hAnsi="Times New Roman"/>
        </w:rPr>
        <w:t xml:space="preserve"> </w:t>
      </w:r>
      <w:r w:rsidR="00512822">
        <w:rPr>
          <w:rFonts w:ascii="Times New Roman" w:hAnsi="Times New Roman"/>
        </w:rPr>
        <w:t xml:space="preserve">best way </w:t>
      </w:r>
      <w:r>
        <w:rPr>
          <w:rFonts w:ascii="Times New Roman" w:hAnsi="Times New Roman"/>
        </w:rPr>
        <w:t>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lastRenderedPageBreak/>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3F98072C">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Pr="005154C0" w:rsidR="00515E8C" w:rsidTr="005154C0" w14:paraId="3B11E6A9" w14:textId="77777777">
        <w:trPr>
          <w:trHeight w:val="315"/>
        </w:trPr>
        <w:tc>
          <w:tcPr>
            <w:tcW w:w="134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154C0" w:rsidR="00515E8C" w:rsidP="005154C0" w:rsidRDefault="00515E8C" w14:paraId="11D81B49" w14:textId="77777777">
            <w:pPr>
              <w:widowControl/>
              <w:autoSpaceDE/>
              <w:autoSpaceDN/>
              <w:adjustRightInd/>
              <w:jc w:val="center"/>
              <w:rPr>
                <w:rFonts w:ascii="Times New Roman" w:hAnsi="Times New Roman"/>
                <w:color w:val="000000"/>
                <w:sz w:val="20"/>
                <w:szCs w:val="20"/>
              </w:rPr>
            </w:pPr>
          </w:p>
        </w:tc>
        <w:tc>
          <w:tcPr>
            <w:tcW w:w="1461"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A9B8129"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AB6B9D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3F05476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4891E8E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C (=</w:t>
            </w:r>
            <w:proofErr w:type="spellStart"/>
            <w:r w:rsidRPr="005154C0">
              <w:rPr>
                <w:rFonts w:ascii="Times New Roman" w:hAnsi="Times New Roman"/>
                <w:color w:val="000000"/>
                <w:sz w:val="20"/>
                <w:szCs w:val="20"/>
              </w:rPr>
              <w:t>AxB</w:t>
            </w:r>
            <w:proofErr w:type="spellEnd"/>
            <w:r w:rsidRPr="005154C0">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0A0CAA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538A1465"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E (=</w:t>
            </w:r>
            <w:proofErr w:type="spellStart"/>
            <w:r w:rsidRPr="005154C0">
              <w:rPr>
                <w:rFonts w:ascii="Times New Roman" w:hAnsi="Times New Roman"/>
                <w:color w:val="000000"/>
                <w:sz w:val="20"/>
                <w:szCs w:val="20"/>
              </w:rPr>
              <w:t>CxD</w:t>
            </w:r>
            <w:proofErr w:type="spellEnd"/>
            <w:r w:rsidRPr="005154C0">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733D505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123FF7CB"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w:t>
            </w:r>
            <w:proofErr w:type="spellStart"/>
            <w:r w:rsidRPr="005154C0">
              <w:rPr>
                <w:rFonts w:ascii="Times New Roman" w:hAnsi="Times New Roman"/>
                <w:color w:val="000000"/>
                <w:sz w:val="20"/>
                <w:szCs w:val="20"/>
              </w:rPr>
              <w:t>ExF</w:t>
            </w:r>
            <w:proofErr w:type="spellEnd"/>
            <w:r w:rsidRPr="005154C0">
              <w:rPr>
                <w:rFonts w:ascii="Times New Roman" w:hAnsi="Times New Roman"/>
                <w:color w:val="000000"/>
                <w:sz w:val="20"/>
                <w:szCs w:val="20"/>
              </w:rPr>
              <w:t>)</w:t>
            </w:r>
          </w:p>
        </w:tc>
      </w:tr>
      <w:tr w:rsidRPr="005154C0" w:rsidR="00515E8C" w:rsidTr="005154C0" w14:paraId="453D9E3C" w14:textId="77777777">
        <w:trPr>
          <w:trHeight w:val="1290"/>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E8C" w:rsidP="005154C0" w:rsidRDefault="00515E8C" w14:paraId="38CAB8E9"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Type of Respondent</w:t>
            </w:r>
          </w:p>
        </w:tc>
        <w:tc>
          <w:tcPr>
            <w:tcW w:w="1461"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5424A27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C7A086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Respondents</w:t>
            </w:r>
            <w:r w:rsidRPr="005154C0">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0A00D7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67323A3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0CF14175"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E68CC5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35731CB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C21516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Respondent Cost</w:t>
            </w:r>
          </w:p>
        </w:tc>
      </w:tr>
      <w:tr w:rsidRPr="005154C0" w:rsidR="005154C0" w:rsidTr="005154C0" w14:paraId="5DB71CE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4C0" w:rsidP="005154C0" w:rsidRDefault="005154C0" w14:paraId="67EC4341" w14:textId="77777777">
            <w:pPr>
              <w:widowControl/>
              <w:autoSpaceDE/>
              <w:autoSpaceDN/>
              <w:adjustRightInd/>
              <w:jc w:val="center"/>
              <w:rPr>
                <w:rFonts w:ascii="Times New Roman" w:hAnsi="Times New Roman"/>
                <w:color w:val="000000"/>
                <w:sz w:val="20"/>
                <w:szCs w:val="20"/>
              </w:rPr>
            </w:pPr>
            <w:bookmarkStart w:name="_Hlk42596801" w:id="0"/>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6DDCFE2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Petition for Nonimmigrant Worker (Form I-129)</w:t>
            </w:r>
            <w:r w:rsidRPr="005154C0">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52104EA7" w14:textId="006C8C1A">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56A646F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43FE4E7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4E0035" w14:paraId="0E1452E5" w14:textId="35AB820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3.09</w:t>
            </w:r>
          </w:p>
        </w:tc>
        <w:tc>
          <w:tcPr>
            <w:tcW w:w="1127"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4E0035" w14:paraId="3CBCC8C0" w14:textId="354BA264">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910,781</w:t>
            </w:r>
          </w:p>
        </w:tc>
        <w:tc>
          <w:tcPr>
            <w:tcW w:w="90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316E3203" w14:textId="011E78E0">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4E0035" w14:paraId="6B8162C5" w14:textId="4DBA1D75">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$49,947,208</w:t>
            </w:r>
          </w:p>
        </w:tc>
      </w:tr>
      <w:tr w:rsidRPr="005154C0" w:rsidR="005154C0" w:rsidTr="005154C0" w14:paraId="221BE7F5"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54DD5F3A"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B9B179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E-1/E-2 Classification Supplement to Form I-129</w:t>
            </w:r>
            <w:r w:rsidRPr="005154C0">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7E444A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B29D9B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91F34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D2FEF8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304A8A4" w14:textId="253A1CF2">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3,189</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4C687EC" w14:textId="787493AB">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595B99" w14:textId="4B9937FF">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$174,896</w:t>
            </w:r>
          </w:p>
        </w:tc>
      </w:tr>
      <w:tr w:rsidRPr="005154C0" w:rsidR="005154C0" w:rsidTr="005154C0" w14:paraId="544E6ED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239E60B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DF14DF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Trade Agreement Supplement to Form I-129</w:t>
            </w:r>
            <w:r w:rsidRPr="005154C0">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D48850B" w14:textId="2B85C72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24FD6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01AC69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E425F9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359BC35" w14:textId="2B915D4A">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2,048</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496185F" w14:textId="08AE0BFB">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31A331" w14:textId="5006124B">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$112,323</w:t>
            </w:r>
          </w:p>
        </w:tc>
      </w:tr>
      <w:tr w:rsidRPr="005154C0" w:rsidR="005154C0" w:rsidTr="005154C0" w14:paraId="56090049"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5FFFC284" w14:textId="77777777">
            <w:pPr>
              <w:widowControl/>
              <w:autoSpaceDE/>
              <w:autoSpaceDN/>
              <w:adjustRightInd/>
              <w:jc w:val="center"/>
              <w:rPr>
                <w:rFonts w:ascii="Times New Roman" w:hAnsi="Times New Roman"/>
                <w:bCs/>
                <w:color w:val="000000"/>
                <w:sz w:val="20"/>
                <w:szCs w:val="20"/>
              </w:rPr>
            </w:pPr>
            <w:bookmarkStart w:name="_Hlk42596809" w:id="1"/>
            <w:bookmarkEnd w:id="0"/>
            <w:r w:rsidRPr="005154C0">
              <w:rPr>
                <w:rFonts w:ascii="Times New Roman" w:hAnsi="Times New Roman"/>
                <w:bCs/>
                <w:color w:val="000000"/>
                <w:sz w:val="20"/>
                <w:szCs w:val="20"/>
              </w:rPr>
              <w:t>Business or other for-profit; Not-</w:t>
            </w:r>
            <w:r w:rsidRPr="005154C0">
              <w:rPr>
                <w:rFonts w:ascii="Times New Roman" w:hAnsi="Times New Roman"/>
                <w:bCs/>
                <w:color w:val="000000"/>
                <w:sz w:val="20"/>
                <w:szCs w:val="20"/>
              </w:rPr>
              <w:lastRenderedPageBreak/>
              <w: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D61E9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lastRenderedPageBreak/>
              <w:t xml:space="preserve">H Classification </w:t>
            </w:r>
            <w:r w:rsidRPr="005154C0">
              <w:rPr>
                <w:rFonts w:ascii="Times New Roman" w:hAnsi="Times New Roman"/>
                <w:bCs/>
                <w:color w:val="000000"/>
                <w:sz w:val="20"/>
                <w:szCs w:val="20"/>
              </w:rPr>
              <w:lastRenderedPageBreak/>
              <w:t>Supplement to Form I-129</w:t>
            </w:r>
            <w:r w:rsidRPr="005154C0">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E5F67A2" w14:textId="0AD8E95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D178C4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B6DD5F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B5371E" w14:textId="3E7BE733">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6107F6B" w14:textId="76C4C7D9">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192,582</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1F52016" w14:textId="6E8EFD2F">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53DCBB44" w14:textId="283BB60E">
            <w:pPr>
              <w:widowControl/>
              <w:autoSpaceDE/>
              <w:autoSpaceDN/>
              <w:adjustRightInd/>
              <w:jc w:val="center"/>
              <w:rPr>
                <w:rFonts w:ascii="Times New Roman" w:hAnsi="Times New Roman"/>
                <w:color w:val="000000"/>
                <w:sz w:val="20"/>
                <w:szCs w:val="20"/>
              </w:rPr>
            </w:pPr>
            <w:r w:rsidRPr="008B107A">
              <w:rPr>
                <w:rFonts w:ascii="Times New Roman" w:hAnsi="Times New Roman"/>
                <w:sz w:val="20"/>
                <w:szCs w:val="20"/>
              </w:rPr>
              <w:t>$10,561,197</w:t>
            </w:r>
          </w:p>
        </w:tc>
      </w:tr>
      <w:tr w:rsidRPr="005154C0" w:rsidR="005154C0" w:rsidTr="005154C0" w14:paraId="7E12309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325CCF8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92542C"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H-1B and H-1B1 Data Collection and Filing Fee Exemption Supplement</w:t>
            </w:r>
            <w:r w:rsidRPr="005154C0">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1B3E59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D7AAD6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65A944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BF6E4B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9B155F7" w14:textId="6E5530DA">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96,291</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33BA685" w14:textId="4465FA46">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700239" w14:textId="461A45B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$5,280,598</w:t>
            </w:r>
          </w:p>
        </w:tc>
      </w:tr>
      <w:tr w:rsidRPr="005154C0" w:rsidR="005154C0" w:rsidTr="005154C0" w14:paraId="7BE7467B"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1ADF735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959948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L Classification Supplement to Form I-129</w:t>
            </w:r>
            <w:r w:rsidRPr="005154C0">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CA39512" w14:textId="5094ECD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A9ABCD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4A594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84F808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D01F043" w14:textId="2C231959">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50,69</w:t>
            </w:r>
            <w:r w:rsidR="00573BDB">
              <w:rPr>
                <w:rFonts w:ascii="Times New Roman" w:hAnsi="Times New Roman"/>
                <w:sz w:val="20"/>
                <w:szCs w:val="20"/>
              </w:rPr>
              <w:t>4</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E6B2FE6" w14:textId="7472A085">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198A9B" w14:textId="78F1476E">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$2,780,034</w:t>
            </w:r>
          </w:p>
        </w:tc>
      </w:tr>
      <w:tr w:rsidRPr="005154C0" w:rsidR="005154C0" w:rsidTr="005154C0" w14:paraId="67095D5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7287C55B"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AB2AD2"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O and P Classifications Supplement to Form I-129</w:t>
            </w:r>
            <w:r w:rsidRPr="005154C0">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A969063" w14:textId="7C4E5CA6">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D2DCE2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49894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233E1C"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C127457" w14:textId="1EA50155">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22,710</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B0601FA" w14:textId="53143EBA">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0869B87" w14:textId="5B4E51E0">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$1,245,416</w:t>
            </w:r>
          </w:p>
        </w:tc>
      </w:tr>
      <w:tr w:rsidRPr="005154C0" w:rsidR="005154C0" w:rsidTr="005154C0" w14:paraId="39F568A8"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6D4F920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0A1D6D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Q-1 Classification Supplement to Form I-129</w:t>
            </w:r>
            <w:r w:rsidRPr="005154C0">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BBB7D8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CB56D8"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CF7C4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BE07C07"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E02DB28" w14:textId="1FA36901">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w:t>
            </w:r>
            <w:r w:rsidR="008B107A">
              <w:rPr>
                <w:rFonts w:ascii="Times New Roman" w:hAnsi="Times New Roman"/>
                <w:sz w:val="20"/>
                <w:szCs w:val="20"/>
              </w:rPr>
              <w:t>3</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E9E535E" w14:textId="367A4ED2">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AF0FBB6" w14:textId="66A7F595">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$2,890</w:t>
            </w:r>
          </w:p>
        </w:tc>
      </w:tr>
      <w:tr w:rsidRPr="005154C0" w:rsidR="005154C0" w:rsidTr="005154C0" w14:paraId="4E2F1662"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16BCD27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4E30C7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R-1 Classification Supplement to Form I-129</w:t>
            </w:r>
            <w:r w:rsidRPr="005154C0">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56277B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9787B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93D4D7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FD1C8F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E177371" w14:textId="537DBB30">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15,52</w:t>
            </w:r>
            <w:r w:rsidR="008B107A">
              <w:rPr>
                <w:rFonts w:ascii="Times New Roman" w:hAnsi="Times New Roman"/>
                <w:sz w:val="20"/>
                <w:szCs w:val="20"/>
              </w:rPr>
              <w:t>6</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4B46302" w14:textId="2DBD2DA1">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7471CF8" w14:textId="548554F5">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$851,440</w:t>
            </w:r>
          </w:p>
        </w:tc>
      </w:tr>
      <w:bookmarkEnd w:id="1"/>
      <w:tr w:rsidRPr="005154C0" w:rsidR="005154C0" w:rsidTr="008B107A" w14:paraId="56A1194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4C0" w:rsidP="005154C0" w:rsidRDefault="005154C0" w14:paraId="7F7A8198"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w:t>
            </w:r>
          </w:p>
        </w:tc>
        <w:tc>
          <w:tcPr>
            <w:tcW w:w="1461" w:type="dxa"/>
            <w:tcBorders>
              <w:top w:val="nil"/>
              <w:left w:val="nil"/>
              <w:bottom w:val="single" w:color="auto" w:sz="8" w:space="0"/>
              <w:right w:val="single" w:color="auto" w:sz="8" w:space="0"/>
            </w:tcBorders>
            <w:shd w:val="clear" w:color="000000" w:fill="000000"/>
            <w:vAlign w:val="center"/>
            <w:hideMark/>
          </w:tcPr>
          <w:p w:rsidRPr="005154C0" w:rsidR="005154C0" w:rsidP="005154C0" w:rsidRDefault="005154C0" w14:paraId="19CA95D0" w14:textId="77777777">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0BE20E21" w14:textId="07B732E0">
            <w:pPr>
              <w:widowControl/>
              <w:autoSpaceDE/>
              <w:autoSpaceDN/>
              <w:adjustRightInd/>
              <w:jc w:val="center"/>
              <w:rPr>
                <w:rFonts w:ascii="Times New Roman" w:hAnsi="Times New Roman"/>
                <w:b/>
                <w:color w:val="FF0000"/>
                <w:sz w:val="20"/>
                <w:szCs w:val="20"/>
              </w:rPr>
            </w:pPr>
            <w:r w:rsidRPr="008B107A">
              <w:rPr>
                <w:rFonts w:ascii="Times New Roman" w:hAnsi="Times New Roman"/>
                <w:b/>
                <w:sz w:val="20"/>
                <w:szCs w:val="20"/>
              </w:rPr>
              <w:t>294,751</w:t>
            </w:r>
          </w:p>
        </w:tc>
        <w:tc>
          <w:tcPr>
            <w:tcW w:w="1170" w:type="dxa"/>
            <w:tcBorders>
              <w:top w:val="nil"/>
              <w:left w:val="nil"/>
              <w:bottom w:val="single" w:color="auto" w:sz="8" w:space="0"/>
              <w:right w:val="single" w:color="auto" w:sz="8" w:space="0"/>
            </w:tcBorders>
            <w:shd w:val="clear" w:color="auto" w:fill="000000" w:themeFill="text1"/>
            <w:vAlign w:val="center"/>
          </w:tcPr>
          <w:p w:rsidRPr="005154C0" w:rsidR="005154C0" w:rsidP="005154C0" w:rsidRDefault="005154C0" w14:paraId="7A44B8FD" w14:textId="77777777">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3979BA2C" w14:textId="0778D148">
            <w:pPr>
              <w:widowControl/>
              <w:autoSpaceDE/>
              <w:autoSpaceDN/>
              <w:adjustRightInd/>
              <w:jc w:val="center"/>
              <w:rPr>
                <w:rFonts w:ascii="Times New Roman" w:hAnsi="Times New Roman"/>
                <w:b/>
                <w:bCs/>
                <w:color w:val="000000"/>
                <w:sz w:val="20"/>
                <w:szCs w:val="20"/>
              </w:rPr>
            </w:pPr>
            <w:r w:rsidRPr="008B107A">
              <w:rPr>
                <w:rFonts w:ascii="Times New Roman" w:hAnsi="Times New Roman"/>
                <w:b/>
                <w:bCs/>
                <w:sz w:val="20"/>
                <w:szCs w:val="20"/>
              </w:rPr>
              <w:t>562</w:t>
            </w:r>
            <w:r>
              <w:rPr>
                <w:rFonts w:ascii="Times New Roman" w:hAnsi="Times New Roman"/>
                <w:b/>
                <w:bCs/>
                <w:sz w:val="20"/>
                <w:szCs w:val="20"/>
              </w:rPr>
              <w:t>,</w:t>
            </w:r>
            <w:r w:rsidRPr="008B107A">
              <w:rPr>
                <w:rFonts w:ascii="Times New Roman" w:hAnsi="Times New Roman"/>
                <w:b/>
                <w:bCs/>
                <w:sz w:val="20"/>
                <w:szCs w:val="20"/>
              </w:rPr>
              <w:t>481</w:t>
            </w:r>
          </w:p>
        </w:tc>
        <w:tc>
          <w:tcPr>
            <w:tcW w:w="1080" w:type="dxa"/>
            <w:tcBorders>
              <w:top w:val="nil"/>
              <w:left w:val="nil"/>
              <w:bottom w:val="single" w:color="auto" w:sz="8" w:space="0"/>
              <w:right w:val="single" w:color="auto" w:sz="8" w:space="0"/>
            </w:tcBorders>
            <w:shd w:val="clear" w:color="000000" w:fill="000000"/>
            <w:vAlign w:val="center"/>
          </w:tcPr>
          <w:p w:rsidRPr="005154C0" w:rsidR="005154C0" w:rsidP="005154C0" w:rsidRDefault="005154C0" w14:paraId="0DE7F1FE" w14:textId="77777777">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4E0035" w14:paraId="163B661B" w14:textId="4AB0EBF3">
            <w:pPr>
              <w:widowControl/>
              <w:autoSpaceDE/>
              <w:autoSpaceDN/>
              <w:adjustRightInd/>
              <w:jc w:val="center"/>
              <w:rPr>
                <w:rFonts w:ascii="Times New Roman" w:hAnsi="Times New Roman"/>
                <w:b/>
                <w:color w:val="000000"/>
                <w:sz w:val="20"/>
                <w:szCs w:val="20"/>
              </w:rPr>
            </w:pPr>
            <w:r w:rsidRPr="004E0035">
              <w:rPr>
                <w:rFonts w:ascii="Times New Roman" w:hAnsi="Times New Roman"/>
                <w:b/>
                <w:color w:val="000000"/>
                <w:sz w:val="20"/>
                <w:szCs w:val="20"/>
              </w:rPr>
              <w:t>1,293,873</w:t>
            </w:r>
          </w:p>
        </w:tc>
        <w:tc>
          <w:tcPr>
            <w:tcW w:w="900" w:type="dxa"/>
            <w:tcBorders>
              <w:top w:val="nil"/>
              <w:left w:val="nil"/>
              <w:bottom w:val="single" w:color="auto" w:sz="8" w:space="0"/>
              <w:right w:val="single" w:color="auto" w:sz="8" w:space="0"/>
            </w:tcBorders>
            <w:shd w:val="clear" w:color="000000" w:fill="000000"/>
            <w:vAlign w:val="center"/>
          </w:tcPr>
          <w:p w:rsidRPr="005154C0" w:rsidR="005154C0" w:rsidP="005154C0" w:rsidRDefault="005154C0" w14:paraId="7FC8E28F" w14:textId="77777777">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tcPr>
          <w:p w:rsidRPr="008B107A" w:rsidR="005154C0" w:rsidP="005154C0" w:rsidRDefault="004E0035" w14:paraId="58A89676" w14:textId="49B68226">
            <w:pPr>
              <w:widowControl/>
              <w:autoSpaceDE/>
              <w:autoSpaceDN/>
              <w:adjustRightInd/>
              <w:jc w:val="center"/>
              <w:rPr>
                <w:rFonts w:ascii="Times New Roman" w:hAnsi="Times New Roman"/>
                <w:b/>
                <w:bCs/>
                <w:color w:val="000000"/>
                <w:sz w:val="20"/>
                <w:szCs w:val="20"/>
              </w:rPr>
            </w:pPr>
            <w:r w:rsidRPr="004E0035">
              <w:rPr>
                <w:rFonts w:ascii="Times New Roman" w:hAnsi="Times New Roman"/>
                <w:b/>
                <w:bCs/>
                <w:sz w:val="20"/>
                <w:szCs w:val="20"/>
              </w:rPr>
              <w:t>$70,956,002</w:t>
            </w:r>
          </w:p>
        </w:tc>
      </w:tr>
    </w:tbl>
    <w:p w:rsidR="009556EE" w:rsidP="00515E8C" w:rsidRDefault="009556EE" w14:paraId="3447BB81" w14:textId="77777777">
      <w:pPr>
        <w:jc w:val="both"/>
        <w:rPr>
          <w:i/>
          <w:iCs/>
          <w:sz w:val="20"/>
          <w:szCs w:val="20"/>
        </w:rPr>
      </w:pPr>
    </w:p>
    <w:p w:rsidRPr="00515E8C" w:rsidR="00515E8C" w:rsidP="00515E8C" w:rsidRDefault="00515E8C" w14:paraId="6B8F7EFC" w14:textId="492AC177">
      <w:pPr>
        <w:ind w:left="720"/>
        <w:jc w:val="both"/>
        <w:rPr>
          <w:rFonts w:ascii="Times New Roman" w:hAnsi="Times New Roman"/>
          <w:i/>
          <w:iCs/>
          <w:sz w:val="20"/>
          <w:szCs w:val="20"/>
        </w:rPr>
      </w:pPr>
      <w:bookmarkStart w:name="_Hlk39049463" w:id="2"/>
      <w:r>
        <w:rPr>
          <w:i/>
          <w:iCs/>
          <w:sz w:val="20"/>
          <w:szCs w:val="20"/>
        </w:rPr>
        <w:t xml:space="preserve">* </w:t>
      </w:r>
      <w:r>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bookmarkEnd w:id="2"/>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5D7BB3AC">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137BC" w:rsidP="001137BC" w:rsidRDefault="001137BC" w14:paraId="7BCFB255"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1137BC" w:rsidP="001137BC" w:rsidRDefault="001137BC" w14:paraId="69F96056" w14:textId="77777777">
      <w:pPr>
        <w:ind w:left="1440" w:hanging="720"/>
        <w:rPr>
          <w:rFonts w:ascii="Times New Roman" w:hAnsi="Times New Roman"/>
        </w:rPr>
      </w:pPr>
    </w:p>
    <w:p w:rsidRPr="000B00D2" w:rsidR="000D6A0C" w:rsidP="003D29D1" w:rsidRDefault="001137BC" w14:paraId="3C760F75" w14:textId="2FC5C149">
      <w:pPr>
        <w:ind w:left="720"/>
        <w:rPr>
          <w:rFonts w:ascii="Times New Roman" w:hAnsi="Times New Roman"/>
        </w:rPr>
      </w:pPr>
      <w:r w:rsidRPr="0092575E">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sidRPr="0092575E">
        <w:rPr>
          <w:rFonts w:ascii="Times New Roman" w:hAnsi="Times New Roman"/>
          <w:bCs/>
          <w:color w:val="000000"/>
        </w:rPr>
        <w:t>294,751</w:t>
      </w:r>
      <w:r w:rsidRPr="0092575E">
        <w:rPr>
          <w:rFonts w:ascii="Times New Roman" w:hAnsi="Times New Roman"/>
        </w:rPr>
        <w:t xml:space="preserve">) by the estimated cost per response ($239.80), which equals </w:t>
      </w:r>
      <w:r w:rsidRPr="0092575E">
        <w:rPr>
          <w:rFonts w:ascii="Times New Roman" w:hAnsi="Times New Roman"/>
          <w:b/>
        </w:rPr>
        <w:t>$70,681,290.</w:t>
      </w:r>
      <w:r w:rsidRPr="0092575E">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137BC" w:rsidP="001137BC" w:rsidRDefault="001137BC" w14:paraId="50378D36"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1137BC" w:rsidP="001137BC" w:rsidRDefault="001137BC" w14:paraId="7E31401B" w14:textId="77777777">
      <w:pPr>
        <w:tabs>
          <w:tab w:val="left" w:pos="-1440"/>
        </w:tabs>
        <w:ind w:left="720"/>
        <w:rPr>
          <w:rFonts w:ascii="Times New Roman" w:hAnsi="Times New Roman"/>
        </w:rPr>
      </w:pPr>
    </w:p>
    <w:p w:rsidR="001137BC" w:rsidP="001137BC" w:rsidRDefault="001137BC" w14:paraId="427556CD"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137BC" w:rsidP="001137BC" w:rsidRDefault="001137BC" w14:paraId="2A8FCE37" w14:textId="77777777">
      <w:pPr>
        <w:tabs>
          <w:tab w:val="left" w:pos="-1440"/>
        </w:tabs>
        <w:ind w:left="720"/>
        <w:rPr>
          <w:rFonts w:ascii="Times New Roman" w:hAnsi="Times New Roman"/>
        </w:rPr>
      </w:pPr>
    </w:p>
    <w:p w:rsidR="001137BC" w:rsidP="001137BC" w:rsidRDefault="001137BC" w14:paraId="69E6E25A"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sidRPr="00A57AB4">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1B6C26B2">
      <w:pPr>
        <w:tabs>
          <w:tab w:val="left" w:pos="-1440"/>
        </w:tabs>
        <w:ind w:left="720"/>
        <w:rPr>
          <w:rFonts w:ascii="Times New Roman" w:hAnsi="Times New Roman"/>
        </w:rPr>
      </w:pPr>
    </w:p>
    <w:p w:rsidRPr="00914A5D" w:rsidR="006411AC" w:rsidP="006411AC" w:rsidRDefault="006411AC" w14:paraId="1F15446F" w14:textId="5A28E8AA">
      <w:pPr>
        <w:tabs>
          <w:tab w:val="left" w:pos="-1440"/>
        </w:tabs>
        <w:ind w:left="720"/>
        <w:rPr>
          <w:rFonts w:ascii="Times New Roman" w:hAnsi="Times New Roman"/>
        </w:rPr>
      </w:pPr>
      <w:r w:rsidRPr="006411AC">
        <w:rPr>
          <w:rFonts w:ascii="Times New Roman" w:hAnsi="Times New Roman"/>
        </w:rPr>
        <w:t>As indicated in the rule, DHS estimates the costs and benefits of this proposed rule using the newly published Fee Schedule Final Rule, and related form changes, as the baseline. The Fee Schedule Fin</w:t>
      </w:r>
      <w:bookmarkStart w:name="_GoBack" w:id="3"/>
      <w:bookmarkEnd w:id="3"/>
      <w:r w:rsidRPr="006411AC">
        <w:rPr>
          <w:rFonts w:ascii="Times New Roman" w:hAnsi="Times New Roman"/>
        </w:rPr>
        <w:t>al Rule was scheduled to go into effect on October 2, 2020. On September 29, 2020, the U.S. District Court for the Northern District of California issued a nationwide injunction, which prevents DHS from implementing the Fee Schedule Final Rule. See, Immigrant Legal Resource Center v. Wolf, No. 4:20–cv–5883 (N.D. Cal. Sept. 29, 2020). In addition, on October 8, 2020, DHS was also preliminarily enjoined from implementing and enforcing the Fee Schedule Final Rule by the U.S. District Court for the District of Columbia, including by adopting any form changes associated with the rule. See, Northwest Immigrant Rights Project v. U.S. Citizenship and Immigration Servs., 1:19–cv–03283–RDM (D.D.C. Oct. 8, 2020). While DHS intends to vigorously defend these lawsuits and is not changing the economic baseline for this proposed rule as a result of the litigation, it is using the currently approved Form I–129, and not the form version associated with the enjoined</w:t>
      </w:r>
      <w:r>
        <w:rPr>
          <w:rFonts w:ascii="Times New Roman" w:hAnsi="Times New Roman"/>
        </w:rPr>
        <w:t xml:space="preserve"> </w:t>
      </w:r>
      <w:r w:rsidRPr="006411AC">
        <w:rPr>
          <w:rFonts w:ascii="Times New Roman" w:hAnsi="Times New Roman"/>
        </w:rPr>
        <w:t>Fee Schedule Final Rule for the purpose of seeking OMB approval of form changes associated with this proposed rule. Should DHS prevail in the Fee Schedule Final Rule litigation and be able to implement the form changes associated with that rule, DHS will comply with the Paperwork Reduction Act and seek approval of the information collection changes associated with this proposed rule, based on the version of the Form I–129 that is in effect at that time.</w:t>
      </w:r>
    </w:p>
    <w:tbl>
      <w:tblPr>
        <w:tblW w:w="10266" w:type="dxa"/>
        <w:tblInd w:w="93" w:type="dxa"/>
        <w:tblLook w:val="04A0" w:firstRow="1" w:lastRow="0" w:firstColumn="1" w:lastColumn="0" w:noHBand="0" w:noVBand="1"/>
      </w:tblPr>
      <w:tblGrid>
        <w:gridCol w:w="1816"/>
        <w:gridCol w:w="1513"/>
        <w:gridCol w:w="1513"/>
        <w:gridCol w:w="1282"/>
        <w:gridCol w:w="1430"/>
        <w:gridCol w:w="1430"/>
        <w:gridCol w:w="1282"/>
      </w:tblGrid>
      <w:tr w:rsidRPr="00920D27" w:rsidR="008A4764" w:rsidTr="00742D92"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42D92" w:rsidTr="00742D92"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42D92" w:rsidP="00742D92" w:rsidRDefault="00742D92" w14:paraId="04D276B2" w14:textId="3917B395">
            <w:pPr>
              <w:widowControl/>
              <w:autoSpaceDE/>
              <w:autoSpaceDN/>
              <w:adjustRightInd/>
              <w:jc w:val="center"/>
              <w:rPr>
                <w:rFonts w:ascii="Times New Roman" w:hAnsi="Times New Roman"/>
                <w:color w:val="000000"/>
              </w:rPr>
            </w:pPr>
            <w:r>
              <w:rPr>
                <w:rFonts w:ascii="Times New Roman" w:hAnsi="Times New Roman"/>
                <w:color w:val="000000"/>
              </w:rPr>
              <w:t>Form I-129</w:t>
            </w:r>
          </w:p>
        </w:tc>
        <w:tc>
          <w:tcPr>
            <w:tcW w:w="1513" w:type="dxa"/>
            <w:tcBorders>
              <w:top w:val="nil"/>
              <w:left w:val="nil"/>
              <w:bottom w:val="single" w:color="auto" w:sz="8" w:space="0"/>
              <w:right w:val="single" w:color="auto" w:sz="8" w:space="0"/>
            </w:tcBorders>
            <w:shd w:val="clear" w:color="auto" w:fill="auto"/>
            <w:hideMark/>
          </w:tcPr>
          <w:p w:rsidRPr="00742D92" w:rsidR="00742D92" w:rsidP="00742D92" w:rsidRDefault="00742D92" w14:paraId="1920505A" w14:textId="66FB7DCF">
            <w:pPr>
              <w:widowControl/>
              <w:autoSpaceDE/>
              <w:autoSpaceDN/>
              <w:adjustRightInd/>
              <w:jc w:val="center"/>
              <w:rPr>
                <w:rFonts w:ascii="Times New Roman" w:hAnsi="Times New Roman"/>
                <w:color w:val="000000"/>
              </w:rPr>
            </w:pPr>
            <w:r w:rsidRPr="00742D92">
              <w:rPr>
                <w:rFonts w:ascii="Times New Roman" w:hAnsi="Times New Roman"/>
              </w:rPr>
              <w:t>1,072,810</w:t>
            </w:r>
          </w:p>
        </w:tc>
        <w:tc>
          <w:tcPr>
            <w:tcW w:w="1513" w:type="dxa"/>
            <w:tcBorders>
              <w:top w:val="nil"/>
              <w:left w:val="nil"/>
              <w:bottom w:val="single" w:color="auto" w:sz="8" w:space="0"/>
              <w:right w:val="single" w:color="auto" w:sz="8" w:space="0"/>
            </w:tcBorders>
            <w:shd w:val="clear" w:color="auto" w:fill="auto"/>
            <w:hideMark/>
          </w:tcPr>
          <w:p w:rsidRPr="00742D92" w:rsidR="00742D92" w:rsidP="00742D92" w:rsidRDefault="00742D92" w14:paraId="07B73D54" w14:textId="4B06A911">
            <w:pPr>
              <w:widowControl/>
              <w:autoSpaceDE/>
              <w:autoSpaceDN/>
              <w:adjustRightInd/>
              <w:jc w:val="center"/>
              <w:rPr>
                <w:rFonts w:ascii="Times New Roman" w:hAnsi="Times New Roman"/>
                <w:color w:val="000000"/>
              </w:rPr>
            </w:pPr>
            <w:r w:rsidRPr="00742D92">
              <w:rPr>
                <w:rFonts w:ascii="Times New Roman" w:hAnsi="Times New Roman"/>
              </w:rPr>
              <w:t>1,293,873</w:t>
            </w:r>
          </w:p>
        </w:tc>
        <w:tc>
          <w:tcPr>
            <w:tcW w:w="1282" w:type="dxa"/>
            <w:tcBorders>
              <w:top w:val="nil"/>
              <w:left w:val="nil"/>
              <w:bottom w:val="single" w:color="auto" w:sz="8" w:space="0"/>
              <w:right w:val="single" w:color="auto" w:sz="8" w:space="0"/>
            </w:tcBorders>
            <w:shd w:val="clear" w:color="auto" w:fill="auto"/>
            <w:hideMark/>
          </w:tcPr>
          <w:p w:rsidRPr="00742D92" w:rsidR="00742D92" w:rsidP="00742D92" w:rsidRDefault="00742D92" w14:paraId="1BB86E93" w14:textId="22534F6E">
            <w:pPr>
              <w:widowControl/>
              <w:autoSpaceDE/>
              <w:autoSpaceDN/>
              <w:adjustRightInd/>
              <w:jc w:val="center"/>
              <w:rPr>
                <w:rFonts w:ascii="Times New Roman" w:hAnsi="Times New Roman"/>
                <w:color w:val="000000"/>
              </w:rPr>
            </w:pPr>
            <w:r w:rsidRPr="00742D92">
              <w:rPr>
                <w:rFonts w:ascii="Times New Roman" w:hAnsi="Times New Roman"/>
              </w:rPr>
              <w:t>221,063</w:t>
            </w: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67616E99" w14:textId="77777777">
            <w:pPr>
              <w:widowControl/>
              <w:autoSpaceDE/>
              <w:autoSpaceDN/>
              <w:adjustRightInd/>
              <w:jc w:val="center"/>
              <w:rPr>
                <w:rFonts w:ascii="Times New Roman" w:hAnsi="Times New Roman"/>
                <w:color w:val="000000"/>
              </w:rPr>
            </w:pPr>
          </w:p>
        </w:tc>
      </w:tr>
      <w:tr w:rsidRPr="00920D27" w:rsidR="00742D92" w:rsidTr="00742D92"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42D92" w:rsidP="00742D92" w:rsidRDefault="00742D92"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513"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1D0A10F3" w14:textId="52FD36D8">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1,072,810</w:t>
            </w:r>
          </w:p>
        </w:tc>
        <w:tc>
          <w:tcPr>
            <w:tcW w:w="1513"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2638F4CC" w14:textId="1601B52C">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1,293,873</w:t>
            </w:r>
          </w:p>
        </w:tc>
        <w:tc>
          <w:tcPr>
            <w:tcW w:w="1282"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72140AA0" w14:textId="6742CE1C">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221,063</w:t>
            </w: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742D92" w:rsidR="001A595D" w:rsidP="00914A5D" w:rsidRDefault="00742D92" w14:paraId="420EC6B5" w14:textId="7368C29D">
      <w:pPr>
        <w:tabs>
          <w:tab w:val="left" w:pos="-1440"/>
        </w:tabs>
        <w:ind w:left="720"/>
        <w:rPr>
          <w:rFonts w:ascii="Times New Roman" w:hAnsi="Times New Roman"/>
        </w:rPr>
      </w:pPr>
      <w:r>
        <w:rPr>
          <w:rFonts w:ascii="Times New Roman" w:hAnsi="Times New Roman"/>
        </w:rPr>
        <w:t xml:space="preserve">The estimated annual time burden for this information collection has increased as a result of the changes made by this NPRM. USCIS estimates that the time burden per response will increase by 0.25 hours. </w:t>
      </w:r>
    </w:p>
    <w:p w:rsidR="00B27061" w:rsidP="00914A5D" w:rsidRDefault="00B27061" w14:paraId="4BE9D8E8" w14:textId="77777777">
      <w:pPr>
        <w:ind w:left="720"/>
        <w:rPr>
          <w:rFonts w:ascii="Times New Roman" w:hAnsi="Times New Roman"/>
        </w:rPr>
      </w:pPr>
    </w:p>
    <w:tbl>
      <w:tblPr>
        <w:tblW w:w="10072" w:type="dxa"/>
        <w:tblInd w:w="93" w:type="dxa"/>
        <w:tblLook w:val="04A0" w:firstRow="1" w:lastRow="0" w:firstColumn="1" w:lastColumn="0" w:noHBand="0" w:noVBand="1"/>
      </w:tblPr>
      <w:tblGrid>
        <w:gridCol w:w="1816"/>
        <w:gridCol w:w="1416"/>
        <w:gridCol w:w="1416"/>
        <w:gridCol w:w="1282"/>
        <w:gridCol w:w="1430"/>
        <w:gridCol w:w="1430"/>
        <w:gridCol w:w="1282"/>
      </w:tblGrid>
      <w:tr w:rsidRPr="00920D27" w:rsidR="005B6129" w:rsidTr="00EA761A"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4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EA761A"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742D92" w14:paraId="3AADA981" w14:textId="2271B404">
            <w:pPr>
              <w:widowControl/>
              <w:autoSpaceDE/>
              <w:autoSpaceDN/>
              <w:adjustRightInd/>
              <w:jc w:val="center"/>
              <w:rPr>
                <w:rFonts w:ascii="Times New Roman" w:hAnsi="Times New Roman"/>
                <w:color w:val="000000"/>
              </w:rPr>
            </w:pPr>
            <w:r>
              <w:rPr>
                <w:rFonts w:ascii="Times New Roman" w:hAnsi="Times New Roman"/>
                <w:color w:val="000000"/>
              </w:rPr>
              <w:t>Form I-129</w:t>
            </w:r>
          </w:p>
        </w:tc>
        <w:tc>
          <w:tcPr>
            <w:tcW w:w="1416" w:type="dxa"/>
            <w:tcBorders>
              <w:top w:val="nil"/>
              <w:left w:val="nil"/>
              <w:bottom w:val="single" w:color="auto" w:sz="8" w:space="0"/>
              <w:right w:val="single" w:color="auto" w:sz="8" w:space="0"/>
            </w:tcBorders>
            <w:shd w:val="clear" w:color="auto" w:fill="auto"/>
            <w:vAlign w:val="center"/>
            <w:hideMark/>
          </w:tcPr>
          <w:p w:rsidRPr="00742D92" w:rsidR="005B6129" w:rsidP="00742D92" w:rsidRDefault="00742D92" w14:paraId="334C92E1" w14:textId="0F8645FA">
            <w:pPr>
              <w:widowControl/>
              <w:autoSpaceDE/>
              <w:autoSpaceDN/>
              <w:adjustRightInd/>
              <w:jc w:val="center"/>
              <w:rPr>
                <w:rFonts w:ascii="Times New Roman" w:hAnsi="Times New Roman"/>
                <w:color w:val="000000"/>
              </w:rPr>
            </w:pPr>
            <w:r w:rsidRPr="00742D92">
              <w:rPr>
                <w:rFonts w:ascii="Times New Roman" w:hAnsi="Times New Roman"/>
                <w:color w:val="000000"/>
              </w:rPr>
              <w:t>$70,681,290</w:t>
            </w:r>
          </w:p>
        </w:tc>
        <w:tc>
          <w:tcPr>
            <w:tcW w:w="1416" w:type="dxa"/>
            <w:tcBorders>
              <w:top w:val="nil"/>
              <w:left w:val="nil"/>
              <w:bottom w:val="single" w:color="auto" w:sz="8" w:space="0"/>
              <w:right w:val="single" w:color="auto" w:sz="8" w:space="0"/>
            </w:tcBorders>
            <w:shd w:val="clear" w:color="auto" w:fill="auto"/>
            <w:vAlign w:val="center"/>
            <w:hideMark/>
          </w:tcPr>
          <w:p w:rsidRPr="00742D92" w:rsidR="005B6129" w:rsidP="00742D92" w:rsidRDefault="00742D92" w14:paraId="1BAB937D" w14:textId="572B5138">
            <w:pPr>
              <w:widowControl/>
              <w:autoSpaceDE/>
              <w:autoSpaceDN/>
              <w:adjustRightInd/>
              <w:jc w:val="center"/>
              <w:rPr>
                <w:rFonts w:ascii="Times New Roman" w:hAnsi="Times New Roman"/>
                <w:color w:val="000000"/>
              </w:rPr>
            </w:pPr>
            <w:r w:rsidRPr="00742D92">
              <w:rPr>
                <w:rFonts w:ascii="Times New Roman" w:hAnsi="Times New Roman"/>
                <w:color w:val="000000"/>
              </w:rPr>
              <w:t>$70,681,290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742D92" w:rsidRDefault="00742D92" w14:paraId="2045DC68" w14:textId="2D9A9D9E">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3AC02AD" w14:textId="77777777">
            <w:pPr>
              <w:widowControl/>
              <w:autoSpaceDE/>
              <w:autoSpaceDN/>
              <w:adjustRightInd/>
              <w:jc w:val="center"/>
              <w:rPr>
                <w:rFonts w:ascii="Times New Roman" w:hAnsi="Times New Roman"/>
                <w:color w:val="000000"/>
              </w:rPr>
            </w:pPr>
          </w:p>
        </w:tc>
      </w:tr>
      <w:tr w:rsidRPr="00920D27" w:rsidR="00EA761A" w:rsidTr="00EA761A"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A761A" w:rsidP="00EA761A" w:rsidRDefault="00EA761A"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16"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0D7E9ECE" w14:textId="7E17B116">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$70,681,290</w:t>
            </w:r>
          </w:p>
        </w:tc>
        <w:tc>
          <w:tcPr>
            <w:tcW w:w="1416"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4D9F0E91" w14:textId="67279526">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$70,681,290</w:t>
            </w:r>
          </w:p>
        </w:tc>
        <w:tc>
          <w:tcPr>
            <w:tcW w:w="1282"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69FEA053" w14:textId="1816D3E3">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EA761A" w:rsidR="005B6129" w:rsidP="005B6129" w:rsidRDefault="00EA761A" w14:paraId="76BD35EE" w14:textId="086EE99C">
      <w:pPr>
        <w:tabs>
          <w:tab w:val="left" w:pos="-1440"/>
        </w:tabs>
        <w:ind w:left="720"/>
        <w:rPr>
          <w:rFonts w:ascii="Times New Roman" w:hAnsi="Times New Roman"/>
        </w:rPr>
      </w:pPr>
      <w:r>
        <w:rPr>
          <w:rFonts w:ascii="Times New Roman" w:hAnsi="Times New Roman"/>
        </w:rPr>
        <w:t xml:space="preserve">There is no change to the annual estimated cost burden for this information collection as a result of this NPRM.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7D53FF59" w14:textId="32616565" w:rsidR="00515E8C" w:rsidRPr="006823C5" w:rsidRDefault="00515E8C" w:rsidP="00515E8C">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1A7806E0"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09AC7780"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38711EDA"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66B95142"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6E6F366D" w14:textId="77777777" w:rsidR="005154C0" w:rsidRDefault="005154C0" w:rsidP="005154C0">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3B87F18D"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694A9519" w14:textId="77777777" w:rsidR="005154C0" w:rsidRPr="00904E97" w:rsidRDefault="005154C0" w:rsidP="005154C0">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6D46C8FB" w14:textId="77777777" w:rsidR="005154C0" w:rsidRPr="00904E97" w:rsidRDefault="005154C0" w:rsidP="005154C0">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4F992A69" w14:textId="77777777" w:rsidR="005154C0" w:rsidRDefault="005154C0" w:rsidP="005154C0">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38ADA313" w14:textId="77777777" w:rsidR="001137BC" w:rsidRDefault="001137BC" w:rsidP="001137BC">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64E2"/>
    <w:rsid w:val="000712DA"/>
    <w:rsid w:val="00080CE0"/>
    <w:rsid w:val="00093DB1"/>
    <w:rsid w:val="000A42FA"/>
    <w:rsid w:val="000B00D2"/>
    <w:rsid w:val="000C3216"/>
    <w:rsid w:val="000D6A0C"/>
    <w:rsid w:val="000F1A9A"/>
    <w:rsid w:val="0010769F"/>
    <w:rsid w:val="001137BC"/>
    <w:rsid w:val="0013276E"/>
    <w:rsid w:val="00140227"/>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3D29D1"/>
    <w:rsid w:val="00414F1D"/>
    <w:rsid w:val="00466975"/>
    <w:rsid w:val="00494557"/>
    <w:rsid w:val="004E0035"/>
    <w:rsid w:val="004F3013"/>
    <w:rsid w:val="004F3779"/>
    <w:rsid w:val="00512822"/>
    <w:rsid w:val="005154C0"/>
    <w:rsid w:val="00515E8C"/>
    <w:rsid w:val="00525E40"/>
    <w:rsid w:val="005423DD"/>
    <w:rsid w:val="0054585A"/>
    <w:rsid w:val="005543AD"/>
    <w:rsid w:val="00573BDB"/>
    <w:rsid w:val="00590B61"/>
    <w:rsid w:val="005B6129"/>
    <w:rsid w:val="005C146D"/>
    <w:rsid w:val="005C3DD7"/>
    <w:rsid w:val="00603702"/>
    <w:rsid w:val="006049A7"/>
    <w:rsid w:val="0063778A"/>
    <w:rsid w:val="006411AC"/>
    <w:rsid w:val="00662686"/>
    <w:rsid w:val="00663D52"/>
    <w:rsid w:val="006A0CC6"/>
    <w:rsid w:val="006B0B31"/>
    <w:rsid w:val="006B38F6"/>
    <w:rsid w:val="006C79B6"/>
    <w:rsid w:val="006E606E"/>
    <w:rsid w:val="006E6672"/>
    <w:rsid w:val="006F083F"/>
    <w:rsid w:val="00703B09"/>
    <w:rsid w:val="0071391D"/>
    <w:rsid w:val="007312F9"/>
    <w:rsid w:val="00742D92"/>
    <w:rsid w:val="00746A66"/>
    <w:rsid w:val="00765E88"/>
    <w:rsid w:val="00783EB2"/>
    <w:rsid w:val="00792B9D"/>
    <w:rsid w:val="007B32A5"/>
    <w:rsid w:val="007C03A1"/>
    <w:rsid w:val="007E6F17"/>
    <w:rsid w:val="007F5988"/>
    <w:rsid w:val="007F70DB"/>
    <w:rsid w:val="00807BA2"/>
    <w:rsid w:val="0081460B"/>
    <w:rsid w:val="008255EE"/>
    <w:rsid w:val="00833B6C"/>
    <w:rsid w:val="00847763"/>
    <w:rsid w:val="008A42B6"/>
    <w:rsid w:val="008A4764"/>
    <w:rsid w:val="008B107A"/>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05B8B"/>
    <w:rsid w:val="00A3466A"/>
    <w:rsid w:val="00A447D7"/>
    <w:rsid w:val="00A5237F"/>
    <w:rsid w:val="00A56B2D"/>
    <w:rsid w:val="00A847D1"/>
    <w:rsid w:val="00AF45F2"/>
    <w:rsid w:val="00AF696C"/>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6722F"/>
    <w:rsid w:val="00E77B24"/>
    <w:rsid w:val="00E85D6D"/>
    <w:rsid w:val="00E91139"/>
    <w:rsid w:val="00EA1FB2"/>
    <w:rsid w:val="00EA761A"/>
    <w:rsid w:val="00EC3504"/>
    <w:rsid w:val="00EC5F60"/>
    <w:rsid w:val="00ED4E0C"/>
    <w:rsid w:val="00F414F1"/>
    <w:rsid w:val="00F424E7"/>
    <w:rsid w:val="00F616FE"/>
    <w:rsid w:val="00F9140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unhideWhenUsed/>
    <w:rsid w:val="00515E8C"/>
    <w:rPr>
      <w:sz w:val="20"/>
      <w:szCs w:val="20"/>
    </w:rPr>
  </w:style>
  <w:style w:type="character" w:customStyle="1" w:styleId="FootnoteTextChar">
    <w:name w:val="Footnote Text Char"/>
    <w:basedOn w:val="DefaultParagraphFont"/>
    <w:link w:val="FootnoteText"/>
    <w:rsid w:val="00515E8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48665">
      <w:bodyDiv w:val="1"/>
      <w:marLeft w:val="0"/>
      <w:marRight w:val="0"/>
      <w:marTop w:val="0"/>
      <w:marBottom w:val="0"/>
      <w:divBdr>
        <w:top w:val="none" w:sz="0" w:space="0" w:color="auto"/>
        <w:left w:val="none" w:sz="0" w:space="0" w:color="auto"/>
        <w:bottom w:val="none" w:sz="0" w:space="0" w:color="auto"/>
        <w:right w:val="none" w:sz="0" w:space="0" w:color="auto"/>
      </w:divBdr>
    </w:div>
    <w:div w:id="25567316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12196756">
      <w:bodyDiv w:val="1"/>
      <w:marLeft w:val="0"/>
      <w:marRight w:val="0"/>
      <w:marTop w:val="0"/>
      <w:marBottom w:val="0"/>
      <w:divBdr>
        <w:top w:val="none" w:sz="0" w:space="0" w:color="auto"/>
        <w:left w:val="none" w:sz="0" w:space="0" w:color="auto"/>
        <w:bottom w:val="none" w:sz="0" w:space="0" w:color="auto"/>
        <w:right w:val="none" w:sz="0" w:space="0" w:color="auto"/>
      </w:divBdr>
    </w:div>
    <w:div w:id="760835885">
      <w:bodyDiv w:val="1"/>
      <w:marLeft w:val="0"/>
      <w:marRight w:val="0"/>
      <w:marTop w:val="0"/>
      <w:marBottom w:val="0"/>
      <w:divBdr>
        <w:top w:val="none" w:sz="0" w:space="0" w:color="auto"/>
        <w:left w:val="none" w:sz="0" w:space="0" w:color="auto"/>
        <w:bottom w:val="none" w:sz="0" w:space="0" w:color="auto"/>
        <w:right w:val="none" w:sz="0" w:space="0" w:color="auto"/>
      </w:divBdr>
    </w:div>
    <w:div w:id="7619515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3923560">
      <w:bodyDiv w:val="1"/>
      <w:marLeft w:val="0"/>
      <w:marRight w:val="0"/>
      <w:marTop w:val="0"/>
      <w:marBottom w:val="0"/>
      <w:divBdr>
        <w:top w:val="none" w:sz="0" w:space="0" w:color="auto"/>
        <w:left w:val="none" w:sz="0" w:space="0" w:color="auto"/>
        <w:bottom w:val="none" w:sz="0" w:space="0" w:color="auto"/>
        <w:right w:val="none" w:sz="0" w:space="0" w:color="auto"/>
      </w:divBdr>
    </w:div>
    <w:div w:id="1126044194">
      <w:bodyDiv w:val="1"/>
      <w:marLeft w:val="0"/>
      <w:marRight w:val="0"/>
      <w:marTop w:val="0"/>
      <w:marBottom w:val="0"/>
      <w:divBdr>
        <w:top w:val="none" w:sz="0" w:space="0" w:color="auto"/>
        <w:left w:val="none" w:sz="0" w:space="0" w:color="auto"/>
        <w:bottom w:val="none" w:sz="0" w:space="0" w:color="auto"/>
        <w:right w:val="none" w:sz="0" w:space="0" w:color="auto"/>
      </w:divBdr>
    </w:div>
    <w:div w:id="1153793504">
      <w:bodyDiv w:val="1"/>
      <w:marLeft w:val="0"/>
      <w:marRight w:val="0"/>
      <w:marTop w:val="0"/>
      <w:marBottom w:val="0"/>
      <w:divBdr>
        <w:top w:val="none" w:sz="0" w:space="0" w:color="auto"/>
        <w:left w:val="none" w:sz="0" w:space="0" w:color="auto"/>
        <w:bottom w:val="none" w:sz="0" w:space="0" w:color="auto"/>
        <w:right w:val="none" w:sz="0" w:space="0" w:color="auto"/>
      </w:divBdr>
    </w:div>
    <w:div w:id="116813360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67621074">
      <w:bodyDiv w:val="1"/>
      <w:marLeft w:val="0"/>
      <w:marRight w:val="0"/>
      <w:marTop w:val="0"/>
      <w:marBottom w:val="0"/>
      <w:divBdr>
        <w:top w:val="none" w:sz="0" w:space="0" w:color="auto"/>
        <w:left w:val="none" w:sz="0" w:space="0" w:color="auto"/>
        <w:bottom w:val="none" w:sz="0" w:space="0" w:color="auto"/>
        <w:right w:val="none" w:sz="0" w:space="0" w:color="auto"/>
      </w:divBdr>
    </w:div>
    <w:div w:id="148781915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6290866">
      <w:bodyDiv w:val="1"/>
      <w:marLeft w:val="0"/>
      <w:marRight w:val="0"/>
      <w:marTop w:val="0"/>
      <w:marBottom w:val="0"/>
      <w:divBdr>
        <w:top w:val="none" w:sz="0" w:space="0" w:color="auto"/>
        <w:left w:val="none" w:sz="0" w:space="0" w:color="auto"/>
        <w:bottom w:val="none" w:sz="0" w:space="0" w:color="auto"/>
        <w:right w:val="none" w:sz="0" w:space="0" w:color="auto"/>
      </w:divBdr>
    </w:div>
    <w:div w:id="1818762951">
      <w:bodyDiv w:val="1"/>
      <w:marLeft w:val="0"/>
      <w:marRight w:val="0"/>
      <w:marTop w:val="0"/>
      <w:marBottom w:val="0"/>
      <w:divBdr>
        <w:top w:val="none" w:sz="0" w:space="0" w:color="auto"/>
        <w:left w:val="none" w:sz="0" w:space="0" w:color="auto"/>
        <w:bottom w:val="none" w:sz="0" w:space="0" w:color="auto"/>
        <w:right w:val="none" w:sz="0" w:space="0" w:color="auto"/>
      </w:divBdr>
    </w:div>
    <w:div w:id="19211362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23948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2DE6-BE0B-4FFF-AFDB-9266854E6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BED51-30E9-4167-ABD5-967A0B484C3D}">
  <ds:schemaRefs>
    <ds:schemaRef ds:uri="http://schemas.microsoft.com/office/2006/metadata/properties"/>
    <ds:schemaRef ds:uri="http://purl.org/dc/dcmitype/"/>
    <ds:schemaRef ds:uri="http://schemas.microsoft.com/office/2006/documentManagement/types"/>
    <ds:schemaRef ds:uri="bf094c2b-8036-49e0-a2b2-a973ea273ca5"/>
    <ds:schemaRef ds:uri="http://purl.org/dc/elements/1.1/"/>
    <ds:schemaRef ds:uri="2589310c-5316-40b3-b68d-4735ac72f26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E5EEEB-63CB-4746-A2EA-BAC81C947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3658</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24267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2010-05-14T16:20:00Z</cp:lastPrinted>
  <dcterms:created xsi:type="dcterms:W3CDTF">2020-12-02T16:48:00Z</dcterms:created>
  <dcterms:modified xsi:type="dcterms:W3CDTF">2021-01-21T22:59:00Z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