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2E22" w:rsidR="001A69A7" w:rsidP="001A69A7" w:rsidRDefault="003C5386">
      <w:pPr>
        <w:pStyle w:val="Title"/>
        <w:ind w:firstLine="720"/>
        <w:jc w:val="right"/>
        <w:rPr>
          <w:sz w:val="28"/>
          <w:szCs w:val="28"/>
        </w:rPr>
      </w:pPr>
      <w:bookmarkStart w:name="_GoBack" w:id="0"/>
      <w:bookmarkEnd w:id="0"/>
      <w:r>
        <w:rPr>
          <w:sz w:val="28"/>
          <w:szCs w:val="28"/>
        </w:rPr>
        <w:t xml:space="preserve">January </w:t>
      </w:r>
      <w:r w:rsidR="003F3551">
        <w:rPr>
          <w:sz w:val="28"/>
          <w:szCs w:val="28"/>
        </w:rPr>
        <w:t>1</w:t>
      </w:r>
      <w:r w:rsidR="003E0963">
        <w:rPr>
          <w:sz w:val="28"/>
          <w:szCs w:val="28"/>
        </w:rPr>
        <w:t>4</w:t>
      </w:r>
      <w:r>
        <w:rPr>
          <w:sz w:val="28"/>
          <w:szCs w:val="28"/>
        </w:rPr>
        <w:t xml:space="preserve">, </w:t>
      </w:r>
      <w:r w:rsidRPr="00BA2E22" w:rsidR="00EB2642">
        <w:rPr>
          <w:sz w:val="28"/>
          <w:szCs w:val="28"/>
        </w:rPr>
        <w:t>20</w:t>
      </w:r>
      <w:r w:rsidRPr="00BA2E22" w:rsidR="00364F58">
        <w:rPr>
          <w:sz w:val="28"/>
          <w:szCs w:val="28"/>
        </w:rPr>
        <w:t>20</w:t>
      </w:r>
    </w:p>
    <w:p w:rsidRPr="00BA2E22" w:rsidR="001A69A7" w:rsidP="001A69A7" w:rsidRDefault="001A69A7">
      <w:pPr>
        <w:pStyle w:val="Title"/>
      </w:pPr>
    </w:p>
    <w:p w:rsidRPr="00BA2E22" w:rsidR="000A6018" w:rsidP="001A69A7" w:rsidRDefault="00842E74">
      <w:pPr>
        <w:pStyle w:val="Title"/>
      </w:pPr>
      <w:r w:rsidRPr="00BA2E22">
        <w:t xml:space="preserve">Supporting Statement for </w:t>
      </w:r>
    </w:p>
    <w:p w:rsidRPr="00BA2E22" w:rsidR="00842E74" w:rsidP="001A69A7" w:rsidRDefault="00842E74">
      <w:pPr>
        <w:pStyle w:val="Title"/>
        <w:rPr>
          <w:color w:val="FF0000"/>
          <w:sz w:val="28"/>
        </w:rPr>
      </w:pPr>
      <w:r w:rsidRPr="00BA2E22">
        <w:t>Paperwork Reduction Act Submissions</w:t>
      </w:r>
    </w:p>
    <w:p w:rsidRPr="00BA2E22" w:rsidR="00842E74" w:rsidRDefault="00842E74">
      <w:pPr>
        <w:tabs>
          <w:tab w:val="left" w:pos="-720"/>
        </w:tabs>
        <w:suppressAutoHyphens/>
        <w:rPr>
          <w:b/>
          <w:sz w:val="28"/>
        </w:rPr>
      </w:pPr>
    </w:p>
    <w:p w:rsidRPr="00BA2E22" w:rsidR="00842E74" w:rsidRDefault="00842E74">
      <w:pPr>
        <w:tabs>
          <w:tab w:val="left" w:pos="-720"/>
        </w:tabs>
        <w:suppressAutoHyphens/>
        <w:rPr>
          <w:b/>
          <w:sz w:val="28"/>
        </w:rPr>
      </w:pPr>
      <w:r w:rsidRPr="00BA2E22">
        <w:rPr>
          <w:b/>
          <w:sz w:val="28"/>
        </w:rPr>
        <w:t xml:space="preserve">OMB Control Number:  </w:t>
      </w:r>
      <w:r w:rsidRPr="00BA2E22" w:rsidR="00B36723">
        <w:rPr>
          <w:b/>
          <w:sz w:val="28"/>
        </w:rPr>
        <w:t>1660-0072</w:t>
      </w:r>
    </w:p>
    <w:p w:rsidRPr="00BA2E22" w:rsidR="00842E74" w:rsidRDefault="00842E74">
      <w:pPr>
        <w:tabs>
          <w:tab w:val="left" w:pos="-720"/>
        </w:tabs>
        <w:suppressAutoHyphens/>
        <w:rPr>
          <w:b/>
          <w:sz w:val="28"/>
        </w:rPr>
      </w:pPr>
    </w:p>
    <w:p w:rsidRPr="00BA2E22" w:rsidR="00842E74" w:rsidRDefault="00842E74">
      <w:pPr>
        <w:tabs>
          <w:tab w:val="left" w:pos="-720"/>
        </w:tabs>
        <w:suppressAutoHyphens/>
        <w:rPr>
          <w:b/>
          <w:sz w:val="28"/>
        </w:rPr>
      </w:pPr>
      <w:r w:rsidRPr="00BA2E22">
        <w:rPr>
          <w:b/>
          <w:sz w:val="28"/>
        </w:rPr>
        <w:t xml:space="preserve">Title:  </w:t>
      </w:r>
      <w:r w:rsidRPr="00BA2E22" w:rsidR="004B0FC2">
        <w:t>Mitigation Grant Programs</w:t>
      </w:r>
    </w:p>
    <w:p w:rsidRPr="00BA2E22" w:rsidR="00842E74" w:rsidRDefault="00842E74">
      <w:pPr>
        <w:tabs>
          <w:tab w:val="left" w:pos="-720"/>
        </w:tabs>
        <w:suppressAutoHyphens/>
        <w:rPr>
          <w:b/>
          <w:sz w:val="28"/>
        </w:rPr>
      </w:pPr>
    </w:p>
    <w:p w:rsidRPr="00BA2E22" w:rsidR="00842E74" w:rsidRDefault="00842E74">
      <w:pPr>
        <w:tabs>
          <w:tab w:val="left" w:pos="-720"/>
        </w:tabs>
        <w:suppressAutoHyphens/>
        <w:rPr>
          <w:sz w:val="28"/>
        </w:rPr>
      </w:pPr>
      <w:r w:rsidRPr="00BA2E22">
        <w:rPr>
          <w:b/>
          <w:sz w:val="28"/>
        </w:rPr>
        <w:t xml:space="preserve">Form Number(s):  </w:t>
      </w:r>
    </w:p>
    <w:p w:rsidRPr="00BA2E22" w:rsidR="00842E74" w:rsidRDefault="00842E74">
      <w:pPr>
        <w:tabs>
          <w:tab w:val="left" w:pos="-720"/>
        </w:tabs>
        <w:suppressAutoHyphens/>
      </w:pPr>
    </w:p>
    <w:p w:rsidRPr="00BA2E22" w:rsidR="00842E74" w:rsidRDefault="00842E74">
      <w:pPr>
        <w:pStyle w:val="Heading1"/>
      </w:pPr>
      <w:r w:rsidRPr="00BA2E22">
        <w:t>General Instructions</w:t>
      </w:r>
    </w:p>
    <w:p w:rsidRPr="00BA2E22" w:rsidR="00842E74" w:rsidRDefault="00842E74">
      <w:pPr>
        <w:tabs>
          <w:tab w:val="left" w:pos="-720"/>
        </w:tabs>
        <w:suppressAutoHyphens/>
      </w:pPr>
    </w:p>
    <w:p w:rsidRPr="00BA2E22" w:rsidR="00842E74" w:rsidRDefault="00842E74">
      <w:pPr>
        <w:tabs>
          <w:tab w:val="left" w:pos="-720"/>
        </w:tabs>
        <w:suppressAutoHyphens/>
      </w:pPr>
      <w:r w:rsidRPr="00BA2E22">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BA2E22" w:rsidR="00842E74" w:rsidRDefault="00842E74">
      <w:pPr>
        <w:tabs>
          <w:tab w:val="left" w:pos="-720"/>
        </w:tabs>
        <w:suppressAutoHyphens/>
      </w:pPr>
    </w:p>
    <w:p w:rsidRPr="00BA2E22" w:rsidR="00842E74" w:rsidRDefault="00842E74">
      <w:pPr>
        <w:pStyle w:val="Heading1"/>
      </w:pPr>
      <w:r w:rsidRPr="00BA2E22">
        <w:t>Specific Instructions</w:t>
      </w:r>
    </w:p>
    <w:p w:rsidRPr="00BA2E22" w:rsidR="00842E74" w:rsidRDefault="00842E74">
      <w:pPr>
        <w:tabs>
          <w:tab w:val="left" w:pos="-720"/>
        </w:tabs>
        <w:suppressAutoHyphens/>
      </w:pPr>
    </w:p>
    <w:p w:rsidRPr="00BA2E22" w:rsidR="00842E74" w:rsidRDefault="00842E74">
      <w:pPr>
        <w:pStyle w:val="Heading1"/>
        <w:rPr>
          <w:sz w:val="24"/>
        </w:rPr>
      </w:pPr>
      <w:r w:rsidRPr="00BA2E22">
        <w:t>A.  Justification</w:t>
      </w:r>
    </w:p>
    <w:p w:rsidRPr="00BA2E22" w:rsidR="00842E74" w:rsidRDefault="00842E74"/>
    <w:p w:rsidRPr="00BA2E22" w:rsidR="00232C69" w:rsidP="00232C69" w:rsidRDefault="0083138B">
      <w:pPr>
        <w:numPr>
          <w:ilvl w:val="0"/>
          <w:numId w:val="10"/>
        </w:numPr>
        <w:rPr>
          <w:b/>
          <w:bCs/>
        </w:rPr>
      </w:pPr>
      <w:r w:rsidRPr="00BA2E22">
        <w:rPr>
          <w:b/>
          <w:bCs/>
        </w:rPr>
        <w:fldChar w:fldCharType="begin"/>
      </w:r>
      <w:r w:rsidRPr="00BA2E22" w:rsidR="00842E74">
        <w:rPr>
          <w:b/>
          <w:bCs/>
        </w:rPr>
        <w:instrText>ADVANCE \R 0.95</w:instrText>
      </w:r>
      <w:r w:rsidRPr="00BA2E22">
        <w:rPr>
          <w:b/>
          <w:bCs/>
        </w:rPr>
        <w:fldChar w:fldCharType="end"/>
      </w:r>
      <w:r w:rsidRPr="00BA2E22" w:rsidR="00842E74">
        <w:rPr>
          <w:b/>
          <w:bCs/>
        </w:rPr>
        <w:t>Explain the circumstances that make the collection of information necessary</w:t>
      </w:r>
      <w:r w:rsidRPr="00BA2E22" w:rsidR="00842E74">
        <w:rPr>
          <w:b/>
          <w:bCs/>
          <w:color w:val="000000"/>
        </w:rPr>
        <w:t>.</w:t>
      </w:r>
      <w:r w:rsidRPr="00BA2E22" w:rsidR="00842E74">
        <w:rPr>
          <w:b/>
          <w:bCs/>
        </w:rPr>
        <w:t xml:space="preserve"> </w:t>
      </w:r>
    </w:p>
    <w:p w:rsidRPr="00BA2E22" w:rsidR="00842E74" w:rsidP="00232C69" w:rsidRDefault="00842E74">
      <w:pPr>
        <w:rPr>
          <w:b/>
          <w:bCs/>
          <w:color w:val="000000"/>
        </w:rPr>
      </w:pPr>
      <w:r w:rsidRPr="00BA2E22">
        <w:rPr>
          <w:b/>
          <w:bCs/>
        </w:rPr>
        <w:t>Identify any legal</w:t>
      </w:r>
      <w:r w:rsidRPr="00BA2E22" w:rsidR="006A4787">
        <w:rPr>
          <w:b/>
          <w:bCs/>
        </w:rPr>
        <w:t xml:space="preserve"> </w:t>
      </w:r>
      <w:r w:rsidRPr="00BA2E22">
        <w:rPr>
          <w:b/>
          <w:bCs/>
        </w:rPr>
        <w:t xml:space="preserve">or administrative requirements that necessitate the collection.  Attach a copy of the appropriate section of each statute and regulation mandating or authorizing the collection of information.  </w:t>
      </w:r>
      <w:r w:rsidRPr="00BA2E22">
        <w:rPr>
          <w:b/>
          <w:bCs/>
          <w:color w:val="000000"/>
        </w:rPr>
        <w:t xml:space="preserve">Provide a detailed description of the nature and source of the information to be collected.   </w:t>
      </w:r>
    </w:p>
    <w:p w:rsidRPr="00BA2E22" w:rsidR="0072212B" w:rsidP="0072212B" w:rsidRDefault="0072212B"/>
    <w:p w:rsidRPr="00BA2E22" w:rsidR="00D0417E" w:rsidP="00D0417E" w:rsidRDefault="00D0417E">
      <w:pPr>
        <w:pStyle w:val="BodyText"/>
        <w:shd w:val="clear" w:color="auto" w:fill="auto"/>
        <w:rPr>
          <w:sz w:val="24"/>
        </w:rPr>
      </w:pPr>
      <w:r w:rsidRPr="00BA2E22">
        <w:rPr>
          <w:sz w:val="24"/>
        </w:rPr>
        <w:t>This collection of information is necessary to implement</w:t>
      </w:r>
      <w:r w:rsidRPr="00BA2E22" w:rsidR="002D246A">
        <w:rPr>
          <w:sz w:val="24"/>
        </w:rPr>
        <w:t xml:space="preserve"> grants for</w:t>
      </w:r>
      <w:r w:rsidRPr="00BA2E22">
        <w:rPr>
          <w:sz w:val="24"/>
        </w:rPr>
        <w:t xml:space="preserve"> the Flood Mitigation</w:t>
      </w:r>
      <w:r w:rsidRPr="00BA2E22" w:rsidR="00FE0046">
        <w:rPr>
          <w:sz w:val="24"/>
        </w:rPr>
        <w:t xml:space="preserve"> Assistance (FMA) </w:t>
      </w:r>
      <w:r w:rsidRPr="00BA2E22">
        <w:rPr>
          <w:sz w:val="24"/>
        </w:rPr>
        <w:t xml:space="preserve">program and the </w:t>
      </w:r>
      <w:r w:rsidRPr="00BA2E22" w:rsidR="00364F58">
        <w:rPr>
          <w:sz w:val="24"/>
        </w:rPr>
        <w:t>Building Resilient Infrastructure and Communities</w:t>
      </w:r>
      <w:r w:rsidRPr="00BA2E22" w:rsidR="002D246A">
        <w:rPr>
          <w:sz w:val="24"/>
        </w:rPr>
        <w:t xml:space="preserve"> (</w:t>
      </w:r>
      <w:r w:rsidRPr="00BA2E22" w:rsidR="00364F58">
        <w:rPr>
          <w:sz w:val="24"/>
        </w:rPr>
        <w:t>BRIC</w:t>
      </w:r>
      <w:r w:rsidRPr="00BA2E22" w:rsidR="002D246A">
        <w:rPr>
          <w:sz w:val="24"/>
        </w:rPr>
        <w:t>) program.</w:t>
      </w:r>
    </w:p>
    <w:p w:rsidRPr="00BA2E22" w:rsidR="00C80B43" w:rsidP="00E27455" w:rsidRDefault="00C80B43">
      <w:pPr>
        <w:pStyle w:val="BodyText"/>
        <w:shd w:val="clear" w:color="auto" w:fill="auto"/>
        <w:rPr>
          <w:sz w:val="24"/>
        </w:rPr>
      </w:pPr>
    </w:p>
    <w:p w:rsidRPr="00BA2E22" w:rsidR="00E27455" w:rsidP="00E27455" w:rsidRDefault="00C950FE">
      <w:pPr>
        <w:pStyle w:val="BodyText"/>
        <w:shd w:val="clear" w:color="auto" w:fill="auto"/>
        <w:rPr>
          <w:sz w:val="24"/>
        </w:rPr>
      </w:pPr>
      <w:r w:rsidRPr="00BA2E22">
        <w:rPr>
          <w:sz w:val="24"/>
        </w:rPr>
        <w:t xml:space="preserve">The FMA program is </w:t>
      </w:r>
      <w:r w:rsidRPr="00BA2E22" w:rsidR="00E27455">
        <w:rPr>
          <w:sz w:val="24"/>
        </w:rPr>
        <w:t xml:space="preserve">authorized by </w:t>
      </w:r>
      <w:r w:rsidRPr="00BA2E22" w:rsidR="00343DAB">
        <w:rPr>
          <w:sz w:val="24"/>
        </w:rPr>
        <w:t xml:space="preserve">Section 1366 of the </w:t>
      </w:r>
      <w:r w:rsidRPr="00BA2E22" w:rsidR="00E27455">
        <w:rPr>
          <w:sz w:val="24"/>
        </w:rPr>
        <w:t xml:space="preserve">National Flood Insurance Act, 42 U.S.C. </w:t>
      </w:r>
      <w:r w:rsidRPr="00BA2E22" w:rsidR="007D1FB4">
        <w:rPr>
          <w:sz w:val="24"/>
        </w:rPr>
        <w:t xml:space="preserve">4104c, </w:t>
      </w:r>
      <w:r w:rsidRPr="00BA2E22" w:rsidR="00E27455">
        <w:rPr>
          <w:sz w:val="24"/>
        </w:rPr>
        <w:t>as amended</w:t>
      </w:r>
      <w:r w:rsidRPr="00BA2E22" w:rsidR="009A446C">
        <w:rPr>
          <w:sz w:val="24"/>
        </w:rPr>
        <w:t>.</w:t>
      </w:r>
      <w:r w:rsidRPr="00BA2E22" w:rsidR="00E27455">
        <w:rPr>
          <w:sz w:val="24"/>
        </w:rPr>
        <w:t xml:space="preserve"> The FMA program</w:t>
      </w:r>
      <w:r w:rsidRPr="00BA2E22" w:rsidR="00EC27FB">
        <w:rPr>
          <w:sz w:val="24"/>
        </w:rPr>
        <w:t>, under 44 CFR Part 7</w:t>
      </w:r>
      <w:r w:rsidRPr="00BA2E22" w:rsidR="00E16E36">
        <w:rPr>
          <w:sz w:val="24"/>
        </w:rPr>
        <w:t>9</w:t>
      </w:r>
      <w:r w:rsidRPr="00BA2E22" w:rsidR="00EC27FB">
        <w:rPr>
          <w:sz w:val="24"/>
        </w:rPr>
        <w:t xml:space="preserve">, </w:t>
      </w:r>
      <w:r w:rsidRPr="00BA2E22" w:rsidR="009A446C">
        <w:rPr>
          <w:sz w:val="24"/>
        </w:rPr>
        <w:t xml:space="preserve">provides funding for </w:t>
      </w:r>
      <w:r w:rsidRPr="00BA2E22" w:rsidR="00E27455">
        <w:rPr>
          <w:sz w:val="24"/>
        </w:rPr>
        <w:t>measures taken to reduce or eliminate the long-term risk of flood damage to buildings, manufactured homes, and other structu</w:t>
      </w:r>
      <w:r w:rsidRPr="007E15F6" w:rsidR="00E27455">
        <w:rPr>
          <w:sz w:val="24"/>
        </w:rPr>
        <w:t>res insur</w:t>
      </w:r>
      <w:r w:rsidRPr="007E15F6" w:rsidR="009A446C">
        <w:rPr>
          <w:sz w:val="24"/>
        </w:rPr>
        <w:t>ed</w:t>
      </w:r>
      <w:r w:rsidRPr="007E15F6" w:rsidR="00E27455">
        <w:rPr>
          <w:sz w:val="24"/>
        </w:rPr>
        <w:t xml:space="preserve"> under the National Flood Insurance Program (NFIP).</w:t>
      </w:r>
      <w:r w:rsidRPr="007E15F6" w:rsidR="00B722CD">
        <w:rPr>
          <w:sz w:val="24"/>
        </w:rPr>
        <w:t xml:space="preserve"> </w:t>
      </w:r>
      <w:r w:rsidR="006978C9">
        <w:rPr>
          <w:sz w:val="24"/>
        </w:rPr>
        <w:t xml:space="preserve"> </w:t>
      </w:r>
      <w:r w:rsidRPr="00495461" w:rsidR="00B722CD">
        <w:rPr>
          <w:sz w:val="24"/>
        </w:rPr>
        <w:t>The Biggert-Waters Flood Insurance Reform Act of 2012 eliminated the Repetitive Flood Claims</w:t>
      </w:r>
      <w:r w:rsidRPr="004041E7" w:rsidR="003C34EE">
        <w:rPr>
          <w:sz w:val="24"/>
        </w:rPr>
        <w:t xml:space="preserve"> (RFC)</w:t>
      </w:r>
      <w:r w:rsidRPr="004041E7" w:rsidR="00B722CD">
        <w:rPr>
          <w:sz w:val="24"/>
        </w:rPr>
        <w:t xml:space="preserve"> and Severe Repetitive Loss </w:t>
      </w:r>
      <w:r w:rsidRPr="004041E7" w:rsidR="003C34EE">
        <w:rPr>
          <w:sz w:val="24"/>
        </w:rPr>
        <w:t xml:space="preserve">(SRL) </w:t>
      </w:r>
      <w:r w:rsidRPr="004041E7" w:rsidR="00B722CD">
        <w:rPr>
          <w:sz w:val="24"/>
        </w:rPr>
        <w:t xml:space="preserve">programs </w:t>
      </w:r>
      <w:r w:rsidRPr="004041E7" w:rsidR="009118D8">
        <w:rPr>
          <w:sz w:val="24"/>
        </w:rPr>
        <w:t>and made significa</w:t>
      </w:r>
      <w:r w:rsidRPr="00C03D61" w:rsidR="009118D8">
        <w:rPr>
          <w:sz w:val="24"/>
        </w:rPr>
        <w:t>nt change</w:t>
      </w:r>
      <w:r w:rsidRPr="00FE1F2E" w:rsidR="009118D8">
        <w:rPr>
          <w:sz w:val="24"/>
        </w:rPr>
        <w:t xml:space="preserve">s to the FMA program.  Cost-share requirements were changed to allow more Federal funds for </w:t>
      </w:r>
      <w:r w:rsidRPr="00F11E32" w:rsidR="00E53BEA">
        <w:rPr>
          <w:sz w:val="24"/>
        </w:rPr>
        <w:t>properties</w:t>
      </w:r>
      <w:r w:rsidRPr="00F11E32" w:rsidR="009118D8">
        <w:rPr>
          <w:sz w:val="24"/>
        </w:rPr>
        <w:t xml:space="preserve"> with repetitive flood claims</w:t>
      </w:r>
      <w:r w:rsidRPr="00F11E32" w:rsidR="00F70739">
        <w:rPr>
          <w:sz w:val="24"/>
        </w:rPr>
        <w:t>.</w:t>
      </w:r>
      <w:r w:rsidRPr="00F11E32" w:rsidR="009118D8">
        <w:rPr>
          <w:sz w:val="24"/>
        </w:rPr>
        <w:t xml:space="preserve"> </w:t>
      </w:r>
    </w:p>
    <w:p w:rsidRPr="00BA2E22" w:rsidR="00A65881" w:rsidP="00D0417E" w:rsidRDefault="00A65881"/>
    <w:p w:rsidRPr="00BA2E22" w:rsidR="00A65881" w:rsidP="00A65881" w:rsidRDefault="00A65881">
      <w:r w:rsidRPr="00BA2E22">
        <w:t xml:space="preserve">The Building Resilient Infrastructure and Communities (BRIC) program </w:t>
      </w:r>
      <w:r w:rsidR="006978C9">
        <w:t>is</w:t>
      </w:r>
      <w:r w:rsidRPr="00BA2E22" w:rsidR="006978C9">
        <w:t xml:space="preserve"> </w:t>
      </w:r>
      <w:r w:rsidRPr="00BA2E22">
        <w:t>authorized by Section 203 of the Robert T. Stafford Disaster Relief and Emergency Assistance Act</w:t>
      </w:r>
      <w:r w:rsidR="006978C9">
        <w:t xml:space="preserve"> </w:t>
      </w:r>
      <w:r w:rsidRPr="00BA2E22">
        <w:t>(Stafford Act), as amended (Pub. L. No. 93-288) (42 U.S.C. § 5133)</w:t>
      </w:r>
      <w:r w:rsidR="006978C9">
        <w:t xml:space="preserve">.  </w:t>
      </w:r>
      <w:r w:rsidRPr="00BA2E22">
        <w:t xml:space="preserve">The BRIC program makes federal funds available to states, U.S territories, Indian tribal governments, and local communities for pre-disaster mitigation activities. </w:t>
      </w:r>
      <w:r w:rsidR="006978C9">
        <w:t xml:space="preserve"> </w:t>
      </w:r>
      <w:r w:rsidRPr="00BA2E22">
        <w:t>The guiding principles of the program are to (1) support state and local governments, tribes, and territories through capability and capacity-building to enable them to identify mitigation actions and implement projects that reduce risks posed by natural hazards; (2) encourage and enable innovation while allowing flexibility, consistency, and effectiveness; (3) promote partnerships and enable high-impact investments to reduce risk from natural hazards with a focus on critical services and facilities, public infrastructure, public safety, public health, and communities; (4) provide a significant opportunity to reduce future losses and minimize impacts on the Disaster Relief Fund; and (5) support the adoption and enforcement of building codes, standards, and policies that will protect the health, safety, and general welfare of the public, take into account future conditions, and have long-lasting impacts on community risk reduction, including for critical services and facilities and for future disaster costs.</w:t>
      </w:r>
    </w:p>
    <w:p w:rsidRPr="00BA2E22" w:rsidR="00A65881" w:rsidP="00A65881" w:rsidRDefault="00A65881"/>
    <w:p w:rsidRPr="00BA2E22" w:rsidR="00A65881" w:rsidP="00A65881" w:rsidRDefault="00A65881">
      <w:r w:rsidRPr="00BA2E22">
        <w:t xml:space="preserve">In accordance with </w:t>
      </w:r>
      <w:r w:rsidRPr="006978C9" w:rsidR="006978C9">
        <w:rPr>
          <w:rFonts w:eastAsia="Calibri"/>
        </w:rPr>
        <w:t>2 C.F.R. 200.203</w:t>
      </w:r>
      <w:r w:rsidRPr="00BA2E22">
        <w:t xml:space="preserve">, FEMA requires that all parties interested in receiving FEMA mitigation grants to </w:t>
      </w:r>
      <w:proofErr w:type="gramStart"/>
      <w:r w:rsidRPr="00BA2E22">
        <w:t>submit an application</w:t>
      </w:r>
      <w:proofErr w:type="gramEnd"/>
      <w:r w:rsidRPr="00BA2E22">
        <w:t xml:space="preserve"> package for grant assistance.  Applications and </w:t>
      </w:r>
      <w:proofErr w:type="spellStart"/>
      <w:r w:rsidRPr="00BA2E22">
        <w:t>subapplications</w:t>
      </w:r>
      <w:proofErr w:type="spellEnd"/>
      <w:r w:rsidRPr="00BA2E22">
        <w:t xml:space="preserve"> for the BRIC program are submitted via the FEMA </w:t>
      </w:r>
      <w:r w:rsidR="00312267">
        <w:t>Grants Outcome</w:t>
      </w:r>
      <w:r w:rsidR="007F4BD6">
        <w:t xml:space="preserve"> </w:t>
      </w:r>
      <w:r w:rsidR="00312267">
        <w:t>(</w:t>
      </w:r>
      <w:r w:rsidRPr="00BA2E22" w:rsidR="00312267">
        <w:t>G</w:t>
      </w:r>
      <w:r w:rsidR="00312267">
        <w:t>O)</w:t>
      </w:r>
      <w:r w:rsidRPr="00BA2E22" w:rsidR="00312267">
        <w:t xml:space="preserve"> </w:t>
      </w:r>
      <w:r w:rsidRPr="00BA2E22">
        <w:t xml:space="preserve">system. The FEMA </w:t>
      </w:r>
      <w:r w:rsidRPr="00BA2E22" w:rsidR="00312267">
        <w:t>G</w:t>
      </w:r>
      <w:r w:rsidR="00312267">
        <w:t>O</w:t>
      </w:r>
      <w:r w:rsidRPr="00BA2E22" w:rsidR="00312267">
        <w:t xml:space="preserve"> </w:t>
      </w:r>
      <w:r w:rsidRPr="00BA2E22">
        <w:t xml:space="preserve">system has been developed to meet the intent of the e-Government initiative, authorized by Public Law 106–107. </w:t>
      </w:r>
      <w:r w:rsidR="004041E7">
        <w:t xml:space="preserve"> </w:t>
      </w:r>
      <w:r w:rsidRPr="00BA2E22">
        <w:t xml:space="preserve">This initiative requires that all government agencies both streamline grant application processes and provide for the means to electronically create, review, and submit a grant application via the Internet.  </w:t>
      </w:r>
    </w:p>
    <w:p w:rsidRPr="00BA2E22" w:rsidR="00A65881" w:rsidP="00A65881" w:rsidRDefault="00A65881"/>
    <w:p w:rsidRPr="00BA2E22" w:rsidR="004B31EF" w:rsidP="004B31EF" w:rsidRDefault="004B31EF">
      <w:r w:rsidRPr="00BA2E22">
        <w:t>FEMA has posted the Fiscal Year 2020 (FY20) Hazard Mitigation Assistance (HMA) Notice of Funding Opportunities (NOFOs) for the Flood Mitigation Assistance (FMA) grant program and the new Building Resilient Infrastructure and Communities (BRIC) grant program.</w:t>
      </w:r>
    </w:p>
    <w:p w:rsidRPr="00BA2E22" w:rsidR="004B31EF" w:rsidP="004B31EF" w:rsidRDefault="004B31EF"/>
    <w:p w:rsidRPr="00BA2E22" w:rsidR="004B31EF" w:rsidP="004B31EF" w:rsidRDefault="006978C9">
      <w:r>
        <w:t>FMA and BRIC</w:t>
      </w:r>
      <w:r w:rsidRPr="00BA2E22" w:rsidR="004B31EF">
        <w:t xml:space="preserve"> provide </w:t>
      </w:r>
      <w:r>
        <w:t>S</w:t>
      </w:r>
      <w:r w:rsidRPr="00BA2E22" w:rsidR="004B31EF">
        <w:t xml:space="preserve">tates, local communities, </w:t>
      </w:r>
      <w:r>
        <w:t>T</w:t>
      </w:r>
      <w:r w:rsidRPr="00BA2E22" w:rsidR="004B31EF">
        <w:t xml:space="preserve">ribes and </w:t>
      </w:r>
      <w:r>
        <w:t>T</w:t>
      </w:r>
      <w:r w:rsidRPr="00BA2E22" w:rsidR="004B31EF">
        <w:t xml:space="preserve">erritories (SLTTs) funding for eligible mitigation </w:t>
      </w:r>
      <w:r w:rsidR="006019E6">
        <w:t xml:space="preserve">FMA’s highest priority is mitigating repetitive and severe repetitive loss properties.  Within that overall strategy, per the FMA FY20 NOFO, once </w:t>
      </w:r>
      <w:proofErr w:type="spellStart"/>
      <w:r w:rsidR="006019E6">
        <w:t>subapplications</w:t>
      </w:r>
      <w:proofErr w:type="spellEnd"/>
      <w:r w:rsidR="006019E6">
        <w:t xml:space="preserve"> are determined to be eligible and complete, </w:t>
      </w:r>
      <w:proofErr w:type="spellStart"/>
      <w:r w:rsidR="006019E6">
        <w:t>subapplications</w:t>
      </w:r>
      <w:proofErr w:type="spellEnd"/>
      <w:r w:rsidR="006019E6">
        <w:t xml:space="preserve"> for project scoping or community flood mitigation projects receive priority scoring.  With the remaining funds, other </w:t>
      </w:r>
      <w:proofErr w:type="spellStart"/>
      <w:r w:rsidR="006019E6">
        <w:t>subapplications</w:t>
      </w:r>
      <w:proofErr w:type="spellEnd"/>
      <w:r w:rsidR="006019E6">
        <w:t xml:space="preserve"> are prioritized for technical assistance, flood hazard mitigation planning, and flood hazard mitigation of individual properties based on the NFIP claims history meeting repetitive flood loss definitions and prioritization contained in the NOFO.  </w:t>
      </w:r>
      <w:r w:rsidRPr="00BA2E22" w:rsidR="004B31EF">
        <w:t xml:space="preserve">  </w:t>
      </w:r>
    </w:p>
    <w:p w:rsidRPr="00BA2E22" w:rsidR="004B31EF" w:rsidP="004B31EF" w:rsidRDefault="004B31EF"/>
    <w:p w:rsidRPr="00BA2E22" w:rsidR="004B31EF" w:rsidP="004B31EF" w:rsidRDefault="006019E6">
      <w:r>
        <w:t xml:space="preserve">For BRIC, </w:t>
      </w:r>
      <w:proofErr w:type="spellStart"/>
      <w:r>
        <w:t>s</w:t>
      </w:r>
      <w:r w:rsidRPr="00BA2E22" w:rsidR="004B31EF">
        <w:t>ubapplications</w:t>
      </w:r>
      <w:proofErr w:type="spellEnd"/>
      <w:r w:rsidRPr="00BA2E22" w:rsidR="004B31EF">
        <w:t xml:space="preserve"> submitted to the national competition that pass the eligibility and</w:t>
      </w:r>
    </w:p>
    <w:p w:rsidRPr="00BA2E22" w:rsidR="004B31EF" w:rsidP="004B31EF" w:rsidRDefault="004B31EF">
      <w:r w:rsidRPr="00BA2E22">
        <w:t>completeness programmatic review will be scored with technical evaluation</w:t>
      </w:r>
    </w:p>
    <w:p w:rsidRPr="00BA2E22" w:rsidR="004B31EF" w:rsidP="004B31EF" w:rsidRDefault="004B31EF">
      <w:r w:rsidRPr="00BA2E22">
        <w:lastRenderedPageBreak/>
        <w:t>criteria and may be scored with qualitative evaluation criteria, if applicable.</w:t>
      </w:r>
    </w:p>
    <w:p w:rsidRPr="00BA2E22" w:rsidR="004B31EF" w:rsidP="004B31EF" w:rsidRDefault="004B31EF">
      <w:r w:rsidRPr="00BA2E22">
        <w:t xml:space="preserve">If needed, based on the number of </w:t>
      </w:r>
      <w:proofErr w:type="spellStart"/>
      <w:r w:rsidRPr="00BA2E22">
        <w:t>subapplications</w:t>
      </w:r>
      <w:proofErr w:type="spellEnd"/>
      <w:r w:rsidRPr="00BA2E22">
        <w:t xml:space="preserve"> submitted to the BRIC</w:t>
      </w:r>
    </w:p>
    <w:p w:rsidRPr="00BA2E22" w:rsidR="004B31EF" w:rsidP="004B31EF" w:rsidRDefault="004B31EF">
      <w:r w:rsidRPr="00BA2E22">
        <w:t xml:space="preserve">program, FEMA will use the technical evaluation criteria scoring as a program priority screening tool for the qualitative evaluation review. </w:t>
      </w:r>
      <w:r w:rsidR="004041E7">
        <w:t xml:space="preserve"> </w:t>
      </w:r>
      <w:r w:rsidRPr="00BA2E22">
        <w:t xml:space="preserve">FEMA will send </w:t>
      </w:r>
      <w:proofErr w:type="spellStart"/>
      <w:r w:rsidRPr="00BA2E22">
        <w:t>subapplications</w:t>
      </w:r>
      <w:proofErr w:type="spellEnd"/>
      <w:r w:rsidRPr="00BA2E22">
        <w:t xml:space="preserve"> valued up to twice the amount of available funding to the BRIC qualitative evaluation panel.  FEMA will ensure that at least one eligible </w:t>
      </w:r>
      <w:proofErr w:type="spellStart"/>
      <w:r w:rsidRPr="00BA2E22">
        <w:t>subapplication</w:t>
      </w:r>
      <w:proofErr w:type="spellEnd"/>
      <w:r w:rsidRPr="00BA2E22">
        <w:t xml:space="preserve"> from each Applicant</w:t>
      </w:r>
    </w:p>
    <w:p w:rsidRPr="00BA2E22" w:rsidR="004B31EF" w:rsidP="004B31EF" w:rsidRDefault="004B31EF">
      <w:r w:rsidRPr="00BA2E22">
        <w:t xml:space="preserve">will be sent to the qualitative evaluation panel for review.  </w:t>
      </w:r>
    </w:p>
    <w:p w:rsidRPr="00BA2E22" w:rsidR="004B31EF" w:rsidP="004B31EF" w:rsidRDefault="004B31EF"/>
    <w:p w:rsidRPr="00BA2E22" w:rsidR="004B31EF" w:rsidP="004B31EF" w:rsidRDefault="004B31EF">
      <w:r w:rsidRPr="00BA2E22">
        <w:t>In order to increase transparency in decision-making while building capability and</w:t>
      </w:r>
    </w:p>
    <w:p w:rsidRPr="00BA2E22" w:rsidR="004B31EF" w:rsidP="004B31EF" w:rsidRDefault="004B31EF">
      <w:r w:rsidRPr="00BA2E22">
        <w:t>partnerships, FEMA will convene a National Review Panel to score</w:t>
      </w:r>
    </w:p>
    <w:p w:rsidRPr="00BA2E22" w:rsidR="004B31EF" w:rsidP="004B31EF" w:rsidRDefault="004B31EF">
      <w:proofErr w:type="spellStart"/>
      <w:r w:rsidRPr="00BA2E22">
        <w:t>subapplications</w:t>
      </w:r>
      <w:proofErr w:type="spellEnd"/>
      <w:r w:rsidRPr="00BA2E22">
        <w:t xml:space="preserve"> based on qualitative evaluation criteria. </w:t>
      </w:r>
      <w:r w:rsidR="00C94571">
        <w:t xml:space="preserve"> </w:t>
      </w:r>
      <w:r w:rsidRPr="00BA2E22">
        <w:t>The qualitative criteria</w:t>
      </w:r>
    </w:p>
    <w:p w:rsidRPr="00BA2E22" w:rsidR="004B31EF" w:rsidP="004B31EF" w:rsidRDefault="004B31EF">
      <w:r w:rsidRPr="00BA2E22">
        <w:t xml:space="preserve">are narrative submissions to allow </w:t>
      </w:r>
      <w:proofErr w:type="spellStart"/>
      <w:r w:rsidRPr="00BA2E22">
        <w:t>subapplicants</w:t>
      </w:r>
      <w:proofErr w:type="spellEnd"/>
      <w:r w:rsidRPr="00BA2E22">
        <w:t xml:space="preserve"> the flexibility to fully explain the</w:t>
      </w:r>
    </w:p>
    <w:p w:rsidRPr="00BA2E22" w:rsidR="004B31EF" w:rsidP="004B31EF" w:rsidRDefault="004B31EF">
      <w:r w:rsidRPr="00BA2E22">
        <w:t xml:space="preserve">strengths of the proposed project. </w:t>
      </w:r>
      <w:r w:rsidR="00C94571">
        <w:t xml:space="preserve"> </w:t>
      </w:r>
      <w:r w:rsidRPr="00BA2E22">
        <w:t>Qualitative evaluation criteria have graded</w:t>
      </w:r>
    </w:p>
    <w:p w:rsidRPr="00BA2E22" w:rsidR="004B31EF" w:rsidP="004B31EF" w:rsidRDefault="004B31EF">
      <w:r w:rsidRPr="00BA2E22">
        <w:t>scales of point scoring.</w:t>
      </w:r>
    </w:p>
    <w:p w:rsidRPr="00BA2E22" w:rsidR="004B31EF" w:rsidP="004B31EF" w:rsidRDefault="004B31EF"/>
    <w:p w:rsidRPr="00BA2E22" w:rsidR="004B31EF" w:rsidP="004B31EF" w:rsidRDefault="004B31EF">
      <w:r w:rsidRPr="00BA2E22">
        <w:t xml:space="preserve">The BRIC program will solicit volunteers from SLTTs </w:t>
      </w:r>
      <w:r w:rsidRPr="00BA2E22" w:rsidR="00FF1303">
        <w:t xml:space="preserve">(States, </w:t>
      </w:r>
      <w:r w:rsidR="006978C9">
        <w:t>l</w:t>
      </w:r>
      <w:r w:rsidRPr="00BA2E22" w:rsidR="00FF1303">
        <w:t>ocal</w:t>
      </w:r>
      <w:r w:rsidR="006978C9">
        <w:t xml:space="preserve"> communitie</w:t>
      </w:r>
      <w:r w:rsidRPr="00BA2E22" w:rsidR="00FF1303">
        <w:t xml:space="preserve">s, Tribes, Territories) </w:t>
      </w:r>
      <w:r w:rsidRPr="00BA2E22">
        <w:t>and OFAs</w:t>
      </w:r>
      <w:r w:rsidRPr="00BA2E22" w:rsidR="00FF1303">
        <w:t xml:space="preserve"> (Other Federal Agencies)</w:t>
      </w:r>
      <w:r w:rsidRPr="00BA2E22">
        <w:t xml:space="preserve">, to review applications that are routed to the qualitative panel reviews.  The volunteers will review, and score applications based on a pre-determined scoring </w:t>
      </w:r>
      <w:proofErr w:type="gramStart"/>
      <w:r w:rsidRPr="00BA2E22">
        <w:t>criteria</w:t>
      </w:r>
      <w:proofErr w:type="gramEnd"/>
      <w:r w:rsidRPr="00BA2E22">
        <w:t xml:space="preserve">.  </w:t>
      </w:r>
    </w:p>
    <w:p w:rsidRPr="00BA2E22" w:rsidR="00E27455" w:rsidP="00E27455" w:rsidRDefault="00E27455">
      <w:pPr>
        <w:rPr>
          <w:b/>
        </w:rPr>
      </w:pPr>
    </w:p>
    <w:p w:rsidRPr="00364F4C" w:rsidR="00842E74" w:rsidRDefault="0083138B">
      <w:pPr>
        <w:rPr>
          <w:b/>
          <w:bCs/>
          <w:color w:val="000000"/>
          <w:spacing w:val="-3"/>
        </w:rPr>
      </w:pPr>
      <w:r w:rsidRPr="00BA2E22">
        <w:rPr>
          <w:b/>
          <w:bCs/>
        </w:rPr>
        <w:fldChar w:fldCharType="begin"/>
      </w:r>
      <w:r w:rsidRPr="007F4BD6" w:rsidR="00842E74">
        <w:rPr>
          <w:b/>
          <w:bCs/>
        </w:rPr>
        <w:instrText>ADVANCE \R 0.95</w:instrText>
      </w:r>
      <w:r w:rsidRPr="007F4BD6">
        <w:rPr>
          <w:b/>
          <w:bCs/>
        </w:rPr>
        <w:fldChar w:fldCharType="end"/>
      </w:r>
      <w:r w:rsidRPr="00BA2E22" w:rsidR="00842E74">
        <w:rPr>
          <w:b/>
          <w:bCs/>
        </w:rPr>
        <w:t xml:space="preserve">2.  Indicate how, by whom, and for what purpose the information is to be used.  Except for a new collection, indicate the actual use the agency has made of the information received from the current collection. </w:t>
      </w:r>
      <w:r w:rsidRPr="00BA2E22" w:rsidR="00842E74">
        <w:rPr>
          <w:b/>
          <w:bCs/>
          <w:color w:val="0000FF"/>
        </w:rPr>
        <w:t xml:space="preserve"> </w:t>
      </w:r>
      <w:r w:rsidRPr="00BA2E22" w:rsidR="00842E74">
        <w:rPr>
          <w:b/>
          <w:bCs/>
          <w:color w:val="000000"/>
        </w:rPr>
        <w:t xml:space="preserve">Provide a detailed description </w:t>
      </w:r>
      <w:proofErr w:type="gramStart"/>
      <w:r w:rsidRPr="00BA2E22" w:rsidR="00842E74">
        <w:rPr>
          <w:b/>
          <w:bCs/>
          <w:color w:val="000000"/>
        </w:rPr>
        <w:t>of:</w:t>
      </w:r>
      <w:proofErr w:type="gramEnd"/>
      <w:r w:rsidRPr="00BA2E22" w:rsidR="00842E74">
        <w:rPr>
          <w:b/>
          <w:bCs/>
          <w:color w:val="000000"/>
        </w:rPr>
        <w:t xml:space="preserve"> how the information will be shared, if applicable, and for</w:t>
      </w:r>
      <w:r w:rsidRPr="007E15F6" w:rsidR="00842E74">
        <w:rPr>
          <w:b/>
          <w:bCs/>
          <w:color w:val="0000FF"/>
        </w:rPr>
        <w:t xml:space="preserve"> </w:t>
      </w:r>
      <w:r w:rsidRPr="007E15F6" w:rsidR="00842E74">
        <w:rPr>
          <w:b/>
          <w:bCs/>
          <w:color w:val="000000"/>
        </w:rPr>
        <w:t xml:space="preserve">what programmatic purpose.       </w:t>
      </w:r>
    </w:p>
    <w:p w:rsidR="00C94571" w:rsidP="00D439F8" w:rsidRDefault="00C94571">
      <w:pPr>
        <w:pStyle w:val="BodyText"/>
        <w:shd w:val="clear" w:color="auto" w:fill="auto"/>
        <w:rPr>
          <w:color w:val="000000"/>
          <w:sz w:val="24"/>
        </w:rPr>
      </w:pPr>
    </w:p>
    <w:p w:rsidRPr="00495461" w:rsidR="00C94571" w:rsidP="007F4BD6" w:rsidRDefault="00312267">
      <w:pPr>
        <w:rPr>
          <w:color w:val="000000"/>
        </w:rPr>
      </w:pPr>
      <w:r>
        <w:t xml:space="preserve">For FY20 for BRIC and FMA, </w:t>
      </w:r>
      <w:r w:rsidR="00C94571">
        <w:t xml:space="preserve">FEMA </w:t>
      </w:r>
      <w:r>
        <w:t>ha</w:t>
      </w:r>
      <w:r w:rsidR="00C94571">
        <w:t>s transition</w:t>
      </w:r>
      <w:r>
        <w:t>ed</w:t>
      </w:r>
      <w:r w:rsidR="00C94571">
        <w:t xml:space="preserve"> </w:t>
      </w:r>
      <w:r>
        <w:t xml:space="preserve">from using the electronic system, </w:t>
      </w:r>
      <w:proofErr w:type="spellStart"/>
      <w:r>
        <w:t>eGrants</w:t>
      </w:r>
      <w:proofErr w:type="spellEnd"/>
      <w:r>
        <w:t xml:space="preserve">, </w:t>
      </w:r>
      <w:r w:rsidR="00C94571">
        <w:t xml:space="preserve">to </w:t>
      </w:r>
      <w:r w:rsidRPr="00BA2E22" w:rsidR="00C94571">
        <w:t>the FEMA Grants Outcomes (FEMA GO)</w:t>
      </w:r>
      <w:r w:rsidR="00C94571">
        <w:t xml:space="preserve"> system</w:t>
      </w:r>
      <w:r w:rsidRPr="00BA2E22" w:rsidR="00C94571">
        <w:t xml:space="preserve">, </w:t>
      </w:r>
      <w:r w:rsidR="00C94571">
        <w:t>which</w:t>
      </w:r>
      <w:r w:rsidRPr="00BA2E22" w:rsidR="00C94571">
        <w:t xml:space="preserve"> is an intuitive, user-friendly, web-based application that allows eligible applicants and </w:t>
      </w:r>
      <w:proofErr w:type="spellStart"/>
      <w:r w:rsidRPr="00BA2E22" w:rsidR="00C94571">
        <w:t>subapplicants</w:t>
      </w:r>
      <w:proofErr w:type="spellEnd"/>
      <w:r w:rsidRPr="00BA2E22" w:rsidR="00C94571">
        <w:t xml:space="preserve"> to apply for Grants and Subgrants by using the Internet.  The previous </w:t>
      </w:r>
      <w:proofErr w:type="spellStart"/>
      <w:r>
        <w:t>e</w:t>
      </w:r>
      <w:r w:rsidRPr="00BA2E22" w:rsidR="00C94571">
        <w:t>Grants</w:t>
      </w:r>
      <w:proofErr w:type="spellEnd"/>
      <w:r w:rsidRPr="00BA2E22" w:rsidR="00C94571">
        <w:t xml:space="preserve"> system</w:t>
      </w:r>
      <w:r w:rsidR="00EF7222">
        <w:t>’s</w:t>
      </w:r>
      <w:r w:rsidRPr="00BA2E22" w:rsidR="00C94571">
        <w:t xml:space="preserve"> functionalities and business processes </w:t>
      </w:r>
      <w:r>
        <w:t>have been</w:t>
      </w:r>
      <w:r w:rsidRPr="00BA2E22" w:rsidR="00C94571">
        <w:t xml:space="preserve"> modernized and </w:t>
      </w:r>
      <w:r>
        <w:t>streamlined</w:t>
      </w:r>
      <w:r w:rsidRPr="00BA2E22" w:rsidR="00C94571">
        <w:t xml:space="preserve"> in FEMA GO</w:t>
      </w:r>
      <w:r>
        <w:t xml:space="preserve">. </w:t>
      </w:r>
      <w:r w:rsidRPr="00BA2E22" w:rsidR="00C94571">
        <w:t xml:space="preserve"> </w:t>
      </w:r>
    </w:p>
    <w:p w:rsidRPr="00495461" w:rsidR="00B13CCF" w:rsidP="00D439F8" w:rsidRDefault="00B13CCF">
      <w:pPr>
        <w:pStyle w:val="BodyText"/>
        <w:shd w:val="clear" w:color="auto" w:fill="auto"/>
        <w:rPr>
          <w:spacing w:val="-3"/>
          <w:sz w:val="24"/>
        </w:rPr>
      </w:pPr>
    </w:p>
    <w:p w:rsidRPr="006762A3" w:rsidR="007D1FB4" w:rsidP="007D1FB4" w:rsidRDefault="007D1FB4">
      <w:pPr>
        <w:pStyle w:val="BodyText"/>
        <w:shd w:val="clear" w:color="auto" w:fill="auto"/>
        <w:rPr>
          <w:spacing w:val="-3"/>
          <w:sz w:val="24"/>
        </w:rPr>
      </w:pPr>
      <w:r w:rsidRPr="004041E7">
        <w:rPr>
          <w:spacing w:val="-3"/>
          <w:sz w:val="24"/>
        </w:rPr>
        <w:t xml:space="preserve">The </w:t>
      </w:r>
      <w:r w:rsidRPr="004041E7">
        <w:rPr>
          <w:b/>
          <w:spacing w:val="-3"/>
          <w:sz w:val="24"/>
        </w:rPr>
        <w:t xml:space="preserve">Benefit Cost </w:t>
      </w:r>
      <w:r w:rsidRPr="004041E7" w:rsidR="00F869B0">
        <w:rPr>
          <w:b/>
          <w:spacing w:val="-3"/>
          <w:sz w:val="24"/>
        </w:rPr>
        <w:t>Determination</w:t>
      </w:r>
      <w:r w:rsidRPr="004041E7">
        <w:rPr>
          <w:spacing w:val="-3"/>
          <w:sz w:val="24"/>
        </w:rPr>
        <w:t xml:space="preserve"> is used to collect data to evaluate the proposed project’s cost effectiveness.  In short, mitigation projects must be cost effective to be eligible for </w:t>
      </w:r>
      <w:r w:rsidRPr="00C03D61" w:rsidR="003D26AC">
        <w:rPr>
          <w:spacing w:val="-3"/>
          <w:sz w:val="24"/>
        </w:rPr>
        <w:t>Hazard Mitigat</w:t>
      </w:r>
      <w:r w:rsidRPr="00FE1F2E" w:rsidR="003D26AC">
        <w:rPr>
          <w:spacing w:val="-3"/>
          <w:sz w:val="24"/>
        </w:rPr>
        <w:t>ion As</w:t>
      </w:r>
      <w:r w:rsidRPr="00F11E32" w:rsidR="003D26AC">
        <w:rPr>
          <w:spacing w:val="-3"/>
          <w:sz w:val="24"/>
        </w:rPr>
        <w:t>sistance, (</w:t>
      </w:r>
      <w:r w:rsidRPr="00F11E32">
        <w:rPr>
          <w:spacing w:val="-3"/>
          <w:sz w:val="24"/>
        </w:rPr>
        <w:t>HMA</w:t>
      </w:r>
      <w:r w:rsidRPr="00F11E32" w:rsidR="003D26AC">
        <w:rPr>
          <w:spacing w:val="-3"/>
          <w:sz w:val="24"/>
        </w:rPr>
        <w:t>)</w:t>
      </w:r>
      <w:r w:rsidRPr="00F11E32">
        <w:rPr>
          <w:spacing w:val="-3"/>
          <w:sz w:val="24"/>
        </w:rPr>
        <w:t xml:space="preserve"> funding as demonstrated by a FEMA-validated benefit cost analysis.  This cost effectiveness is based on a mix of the initial cost of the project and the life-expectancy of the proposed project as well as the </w:t>
      </w:r>
      <w:r w:rsidRPr="00F11E32" w:rsidR="009A446C">
        <w:rPr>
          <w:spacing w:val="-3"/>
          <w:sz w:val="24"/>
        </w:rPr>
        <w:t>losses expected to be avoi</w:t>
      </w:r>
      <w:r w:rsidRPr="00AA64ED" w:rsidR="009A446C">
        <w:rPr>
          <w:spacing w:val="-3"/>
          <w:sz w:val="24"/>
        </w:rPr>
        <w:t xml:space="preserve">ded </w:t>
      </w:r>
      <w:r w:rsidRPr="009B3FB2" w:rsidR="009A446C">
        <w:rPr>
          <w:spacing w:val="-3"/>
          <w:sz w:val="24"/>
        </w:rPr>
        <w:t>once the project is comp</w:t>
      </w:r>
      <w:r w:rsidRPr="006762A3" w:rsidR="009A446C">
        <w:rPr>
          <w:spacing w:val="-3"/>
          <w:sz w:val="24"/>
        </w:rPr>
        <w:t>lete (benefits).</w:t>
      </w:r>
      <w:r w:rsidRPr="006762A3">
        <w:rPr>
          <w:spacing w:val="-3"/>
          <w:sz w:val="24"/>
        </w:rPr>
        <w:t xml:space="preserve"> </w:t>
      </w:r>
    </w:p>
    <w:p w:rsidRPr="006762A3" w:rsidR="00086017" w:rsidP="00E27455" w:rsidRDefault="00086017">
      <w:pPr>
        <w:pStyle w:val="BodyText"/>
        <w:shd w:val="clear" w:color="auto" w:fill="auto"/>
        <w:rPr>
          <w:spacing w:val="-3"/>
          <w:sz w:val="24"/>
        </w:rPr>
      </w:pPr>
    </w:p>
    <w:p w:rsidRPr="006978C9" w:rsidR="005C2D76" w:rsidP="005C2D76" w:rsidRDefault="005C2D76">
      <w:pPr>
        <w:pStyle w:val="BodyText"/>
        <w:shd w:val="clear" w:color="auto" w:fill="auto"/>
        <w:rPr>
          <w:spacing w:val="-3"/>
          <w:sz w:val="24"/>
        </w:rPr>
      </w:pPr>
      <w:r w:rsidRPr="006762A3">
        <w:rPr>
          <w:spacing w:val="-3"/>
          <w:sz w:val="24"/>
        </w:rPr>
        <w:t xml:space="preserve">The </w:t>
      </w:r>
      <w:r w:rsidRPr="000D70DB">
        <w:rPr>
          <w:b/>
          <w:spacing w:val="-3"/>
          <w:sz w:val="24"/>
        </w:rPr>
        <w:t>Environmental Review</w:t>
      </w:r>
      <w:r w:rsidRPr="000D70DB">
        <w:rPr>
          <w:spacing w:val="-3"/>
          <w:sz w:val="24"/>
        </w:rPr>
        <w:t xml:space="preserve"> is used to</w:t>
      </w:r>
      <w:r w:rsidRPr="00F90563">
        <w:rPr>
          <w:spacing w:val="-3"/>
          <w:sz w:val="24"/>
        </w:rPr>
        <w:t xml:space="preserve"> collect informatio</w:t>
      </w:r>
      <w:r w:rsidRPr="001702A9">
        <w:rPr>
          <w:spacing w:val="-3"/>
          <w:sz w:val="24"/>
        </w:rPr>
        <w:t xml:space="preserve">n that is needed to ensure that a proposed project </w:t>
      </w:r>
      <w:proofErr w:type="gramStart"/>
      <w:r w:rsidRPr="001702A9">
        <w:rPr>
          <w:spacing w:val="-3"/>
          <w:sz w:val="24"/>
        </w:rPr>
        <w:t>is in compliance with</w:t>
      </w:r>
      <w:proofErr w:type="gramEnd"/>
      <w:r w:rsidRPr="001702A9">
        <w:rPr>
          <w:spacing w:val="-3"/>
          <w:sz w:val="24"/>
        </w:rPr>
        <w:t xml:space="preserve"> all necessary environmental and historic preservation regulations and laws.  </w:t>
      </w:r>
      <w:r w:rsidRPr="001702A9" w:rsidR="007D1FB4">
        <w:rPr>
          <w:spacing w:val="-3"/>
          <w:sz w:val="24"/>
        </w:rPr>
        <w:t>This info</w:t>
      </w:r>
      <w:r w:rsidRPr="006978C9" w:rsidR="007D1FB4">
        <w:rPr>
          <w:spacing w:val="-3"/>
          <w:sz w:val="24"/>
        </w:rPr>
        <w:t xml:space="preserve">rmation is collected to assure that </w:t>
      </w:r>
      <w:r w:rsidRPr="006978C9" w:rsidR="002437AD">
        <w:rPr>
          <w:spacing w:val="-3"/>
          <w:sz w:val="24"/>
        </w:rPr>
        <w:t>adverse project</w:t>
      </w:r>
      <w:r w:rsidRPr="006978C9" w:rsidR="007D1FB4">
        <w:rPr>
          <w:spacing w:val="-3"/>
          <w:sz w:val="24"/>
        </w:rPr>
        <w:t xml:space="preserve"> impact is minimized as much as possible.  For example, if a property is acquired and there is asbestos on the property, FEMA </w:t>
      </w:r>
      <w:proofErr w:type="gramStart"/>
      <w:r w:rsidRPr="006978C9" w:rsidR="007D1FB4">
        <w:rPr>
          <w:spacing w:val="-3"/>
          <w:sz w:val="24"/>
        </w:rPr>
        <w:t>has to</w:t>
      </w:r>
      <w:proofErr w:type="gramEnd"/>
      <w:r w:rsidRPr="006978C9" w:rsidR="007D1FB4">
        <w:rPr>
          <w:spacing w:val="-3"/>
          <w:sz w:val="24"/>
        </w:rPr>
        <w:t xml:space="preserve"> assure that it is disposed of according to regulations.  </w:t>
      </w:r>
    </w:p>
    <w:p w:rsidRPr="00C94571" w:rsidR="004D0B35" w:rsidP="005C2D76" w:rsidRDefault="004D0B35">
      <w:pPr>
        <w:pStyle w:val="BodyText"/>
        <w:shd w:val="clear" w:color="auto" w:fill="auto"/>
        <w:rPr>
          <w:color w:val="FF0000"/>
          <w:spacing w:val="-3"/>
          <w:sz w:val="24"/>
        </w:rPr>
      </w:pPr>
    </w:p>
    <w:p w:rsidR="00086017" w:rsidP="00E27455" w:rsidRDefault="005C2D76">
      <w:pPr>
        <w:pStyle w:val="BodyText"/>
        <w:shd w:val="clear" w:color="auto" w:fill="auto"/>
        <w:rPr>
          <w:sz w:val="24"/>
        </w:rPr>
      </w:pPr>
      <w:r w:rsidRPr="00C94571">
        <w:rPr>
          <w:spacing w:val="-3"/>
          <w:sz w:val="24"/>
        </w:rPr>
        <w:lastRenderedPageBreak/>
        <w:t xml:space="preserve">The </w:t>
      </w:r>
      <w:r w:rsidRPr="00C94571">
        <w:rPr>
          <w:b/>
          <w:spacing w:val="-3"/>
          <w:sz w:val="24"/>
        </w:rPr>
        <w:t>Project Narrative-Sub-grant Appli</w:t>
      </w:r>
      <w:r w:rsidRPr="00673384">
        <w:rPr>
          <w:b/>
          <w:spacing w:val="-3"/>
          <w:sz w:val="24"/>
        </w:rPr>
        <w:t>cation</w:t>
      </w:r>
      <w:r w:rsidRPr="00673384">
        <w:rPr>
          <w:spacing w:val="-3"/>
          <w:sz w:val="24"/>
        </w:rPr>
        <w:t xml:space="preserve"> is used to collect the information necessary for FEMA to assess the financial needs of the applicants as well as the projected benefits to be obtained from the use of grant funds for each of its mitigation grant programs. </w:t>
      </w:r>
      <w:r w:rsidRPr="00673384">
        <w:rPr>
          <w:sz w:val="24"/>
        </w:rPr>
        <w:t xml:space="preserve">The application provides FEMA information </w:t>
      </w:r>
      <w:r w:rsidRPr="00673384" w:rsidR="00B35EAD">
        <w:rPr>
          <w:sz w:val="24"/>
        </w:rPr>
        <w:t xml:space="preserve">on the scope and scale of the project </w:t>
      </w:r>
      <w:r w:rsidRPr="00673384">
        <w:rPr>
          <w:sz w:val="24"/>
        </w:rPr>
        <w:t>to determine whether the mitigation activity proposed for funding meets eligibility criteria.  In addition, the Applicant provides responses to FEMA to established questions which, combined with the activity eligibility criteria, will be used to objectively evaluate the merits of the application.</w:t>
      </w:r>
    </w:p>
    <w:p w:rsidR="00673384" w:rsidP="00E27455" w:rsidRDefault="00673384">
      <w:pPr>
        <w:pStyle w:val="BodyText"/>
        <w:shd w:val="clear" w:color="auto" w:fill="auto"/>
        <w:rPr>
          <w:sz w:val="24"/>
        </w:rPr>
      </w:pPr>
    </w:p>
    <w:p w:rsidRPr="00BA2E22" w:rsidR="00673384" w:rsidP="00673384" w:rsidRDefault="00673384">
      <w:r>
        <w:t xml:space="preserve">The </w:t>
      </w:r>
      <w:r w:rsidRPr="007F4BD6">
        <w:rPr>
          <w:b/>
          <w:bCs/>
        </w:rPr>
        <w:t>National Review Panel Solicitation</w:t>
      </w:r>
      <w:r>
        <w:t xml:space="preserve"> will be used a</w:t>
      </w:r>
      <w:r w:rsidRPr="00BA2E22">
        <w:t>s part of the BRIC application process</w:t>
      </w:r>
      <w:r>
        <w:t xml:space="preserve"> to solicit</w:t>
      </w:r>
      <w:r w:rsidRPr="00BA2E22">
        <w:t xml:space="preserve"> a qualitative panel of volunteers from SLTTs </w:t>
      </w:r>
      <w:r>
        <w:t>to</w:t>
      </w:r>
      <w:r w:rsidRPr="00BA2E22">
        <w:t xml:space="preserve"> review and score applications.  In order to increase transparency in decision-making while building capability and partnerships, FEMA will convene a National Review Panel to score </w:t>
      </w:r>
      <w:proofErr w:type="spellStart"/>
      <w:r w:rsidRPr="00BA2E22">
        <w:t>subapplications</w:t>
      </w:r>
      <w:proofErr w:type="spellEnd"/>
      <w:r w:rsidRPr="00BA2E22">
        <w:t xml:space="preserve"> based on qualitative evaluation criteria. </w:t>
      </w:r>
      <w:r>
        <w:t xml:space="preserve"> </w:t>
      </w:r>
      <w:r w:rsidRPr="00BA2E22">
        <w:t>The qualitative criteria</w:t>
      </w:r>
    </w:p>
    <w:p w:rsidRPr="00BA2E22" w:rsidR="00673384" w:rsidP="00673384" w:rsidRDefault="00673384">
      <w:r w:rsidRPr="00BA2E22">
        <w:t xml:space="preserve">are narrative submissions to allow </w:t>
      </w:r>
      <w:proofErr w:type="spellStart"/>
      <w:r w:rsidRPr="00BA2E22">
        <w:t>subapplicants</w:t>
      </w:r>
      <w:proofErr w:type="spellEnd"/>
      <w:r w:rsidRPr="00BA2E22">
        <w:t xml:space="preserve"> the flexibility to fully explain the</w:t>
      </w:r>
    </w:p>
    <w:p w:rsidRPr="00BA2E22" w:rsidR="00673384" w:rsidP="00673384" w:rsidRDefault="00673384">
      <w:r w:rsidRPr="00BA2E22">
        <w:t>strengths of the proposed project.  Qualitative evaluation criteria have graded</w:t>
      </w:r>
    </w:p>
    <w:p w:rsidRPr="00BA2E22" w:rsidR="00673384" w:rsidP="00673384" w:rsidRDefault="00673384">
      <w:r w:rsidRPr="00BA2E22">
        <w:t xml:space="preserve">scales of point scoring.  </w:t>
      </w:r>
      <w:proofErr w:type="spellStart"/>
      <w:r w:rsidRPr="00BA2E22">
        <w:t>Subapplications</w:t>
      </w:r>
      <w:proofErr w:type="spellEnd"/>
      <w:r w:rsidRPr="00BA2E22">
        <w:t xml:space="preserve"> submitted to the national competition that pass the eligibility and completeness programmatic review will be scored with technical evaluation criteria and may be scored with qualitative evaluation criteria, if applicable.</w:t>
      </w:r>
      <w:r>
        <w:t xml:space="preserve">  </w:t>
      </w:r>
      <w:r w:rsidRPr="00BA2E22">
        <w:t xml:space="preserve">In order to convene a qualitative panel, the BRIC program will put out a solicitation </w:t>
      </w:r>
      <w:r w:rsidR="001F566A">
        <w:t xml:space="preserve">consisting of </w:t>
      </w:r>
      <w:r w:rsidR="00CC308F">
        <w:t xml:space="preserve">eleven questions </w:t>
      </w:r>
      <w:r w:rsidR="001F566A">
        <w:t xml:space="preserve">in </w:t>
      </w:r>
      <w:r w:rsidR="00CC308F">
        <w:t>an</w:t>
      </w:r>
      <w:r w:rsidR="001F566A">
        <w:t xml:space="preserve"> “Expression of Interest</w:t>
      </w:r>
      <w:r w:rsidR="00CC308F">
        <w:t xml:space="preserve"> Form</w:t>
      </w:r>
      <w:r w:rsidR="001F566A">
        <w:t xml:space="preserve">” </w:t>
      </w:r>
      <w:r w:rsidRPr="00BA2E22">
        <w:t xml:space="preserve">to be able to collect responses from interested volunteers.  This will be done by </w:t>
      </w:r>
      <w:r>
        <w:t>adding</w:t>
      </w:r>
      <w:r w:rsidRPr="00BA2E22">
        <w:t xml:space="preserve"> a hyperlink on the FEMA BRIC website, and will allow the interested volunteers to respond to the expression of interest </w:t>
      </w:r>
      <w:r>
        <w:t>solicitation</w:t>
      </w:r>
      <w:r w:rsidRPr="00BA2E22">
        <w:t xml:space="preserve">.  After the solicitation period has ended, BRIC will </w:t>
      </w:r>
      <w:r w:rsidR="00CC308F">
        <w:t xml:space="preserve">select the </w:t>
      </w:r>
      <w:r w:rsidRPr="00BA2E22">
        <w:t xml:space="preserve">volunteers </w:t>
      </w:r>
      <w:r w:rsidR="00CC308F">
        <w:t>for the</w:t>
      </w:r>
      <w:r w:rsidRPr="00BA2E22">
        <w:t xml:space="preserve"> review panels</w:t>
      </w:r>
      <w:r w:rsidR="00CC308F">
        <w:t xml:space="preserve"> based on the</w:t>
      </w:r>
      <w:r w:rsidR="00EF7222">
        <w:t xml:space="preserve"> </w:t>
      </w:r>
      <w:r w:rsidR="00CC308F">
        <w:t>response</w:t>
      </w:r>
      <w:r w:rsidR="00EF7222">
        <w:t xml:space="preserve"> received</w:t>
      </w:r>
      <w:r w:rsidRPr="00BA2E22">
        <w:t xml:space="preserve">.  </w:t>
      </w:r>
    </w:p>
    <w:p w:rsidRPr="00BA2E22" w:rsidR="00673384" w:rsidP="00E27455" w:rsidRDefault="00673384">
      <w:pPr>
        <w:pStyle w:val="BodyText"/>
        <w:shd w:val="clear" w:color="auto" w:fill="auto"/>
        <w:rPr>
          <w:spacing w:val="-3"/>
          <w:sz w:val="24"/>
        </w:rPr>
      </w:pPr>
    </w:p>
    <w:p w:rsidRPr="00BA2E22" w:rsidR="00621688" w:rsidP="00621688" w:rsidRDefault="00621688">
      <w:pPr>
        <w:rPr>
          <w:rFonts w:eastAsia="Calibri"/>
          <w:b/>
          <w:bCs/>
        </w:rPr>
      </w:pPr>
      <w:r w:rsidRPr="00BA2E22">
        <w:rPr>
          <w:rFonts w:eastAsia="Calibri"/>
          <w:b/>
          <w:bCs/>
        </w:rPr>
        <w:t>Information from the following Standard Forms (SF) is collected within the sub-grant application.   Approval for the collection of this information is provided under a government-wide OMB control number used throughout the Federal government.</w:t>
      </w:r>
    </w:p>
    <w:p w:rsidRPr="00BA2E22" w:rsidR="00621688" w:rsidP="00621688" w:rsidRDefault="00621688">
      <w:pPr>
        <w:rPr>
          <w:rFonts w:eastAsia="Calibri"/>
        </w:rPr>
      </w:pPr>
    </w:p>
    <w:p w:rsidRPr="00495461" w:rsidR="00621688" w:rsidP="00621688" w:rsidRDefault="00621688">
      <w:pPr>
        <w:rPr>
          <w:rFonts w:eastAsia="Calibri"/>
          <w:b/>
          <w:bCs/>
        </w:rPr>
      </w:pPr>
      <w:r w:rsidRPr="007E15F6">
        <w:rPr>
          <w:rFonts w:eastAsia="Calibri"/>
          <w:b/>
        </w:rPr>
        <w:t>SF-424, Application for Federal Assistance,</w:t>
      </w:r>
      <w:r w:rsidRPr="00364F4C">
        <w:rPr>
          <w:rFonts w:eastAsia="Calibri"/>
        </w:rPr>
        <w:t xml:space="preserve"> is used by applicants as a required face-sheet for applications submitted for assistance. It is approved under OMB No. 4040-0004.</w:t>
      </w:r>
    </w:p>
    <w:p w:rsidRPr="00495461" w:rsidR="00621688" w:rsidP="00621688" w:rsidRDefault="00621688">
      <w:pPr>
        <w:rPr>
          <w:rFonts w:eastAsia="Calibri"/>
          <w:b/>
          <w:bCs/>
        </w:rPr>
      </w:pPr>
    </w:p>
    <w:p w:rsidRPr="00F11E32" w:rsidR="00621688" w:rsidP="00621688" w:rsidRDefault="00621688">
      <w:pPr>
        <w:rPr>
          <w:rFonts w:eastAsia="Calibri"/>
        </w:rPr>
      </w:pPr>
      <w:r w:rsidRPr="004041E7">
        <w:rPr>
          <w:rFonts w:eastAsia="Calibri"/>
          <w:b/>
          <w:bCs/>
        </w:rPr>
        <w:t>SF-424A, Budget Information for Non-construction</w:t>
      </w:r>
      <w:r w:rsidRPr="004041E7">
        <w:rPr>
          <w:rFonts w:eastAsia="Calibri"/>
        </w:rPr>
        <w:t xml:space="preserve"> </w:t>
      </w:r>
      <w:r w:rsidRPr="004041E7">
        <w:rPr>
          <w:rFonts w:eastAsia="Calibri"/>
          <w:b/>
        </w:rPr>
        <w:t>Programs</w:t>
      </w:r>
      <w:r w:rsidRPr="004041E7">
        <w:rPr>
          <w:rFonts w:eastAsia="Calibri"/>
        </w:rPr>
        <w:t>, is a standa</w:t>
      </w:r>
      <w:r w:rsidRPr="00C03D61">
        <w:rPr>
          <w:rFonts w:eastAsia="Calibri"/>
        </w:rPr>
        <w:t>rd form used by applicants to submit budget data when applying for a grant or cooperative agreement where the major purpose is not construction.  The infor</w:t>
      </w:r>
      <w:r w:rsidRPr="00FE1F2E">
        <w:rPr>
          <w:rFonts w:eastAsia="Calibri"/>
        </w:rPr>
        <w:t>mation</w:t>
      </w:r>
      <w:r w:rsidRPr="00F11E32">
        <w:rPr>
          <w:rFonts w:eastAsia="Calibri"/>
        </w:rPr>
        <w:t xml:space="preserve"> can include budget narrative that is used to relate items to program activities and to justify and explain budget items.  It is approved for use under OMB No. 4040-0006.</w:t>
      </w:r>
    </w:p>
    <w:p w:rsidRPr="00F11E32" w:rsidR="00621688" w:rsidP="00621688" w:rsidRDefault="00621688">
      <w:pPr>
        <w:rPr>
          <w:rFonts w:eastAsia="Calibri"/>
        </w:rPr>
      </w:pPr>
    </w:p>
    <w:p w:rsidRPr="006978C9" w:rsidR="00621688" w:rsidP="00621688" w:rsidRDefault="00621688">
      <w:pPr>
        <w:rPr>
          <w:rFonts w:eastAsia="Calibri"/>
        </w:rPr>
      </w:pPr>
      <w:r w:rsidRPr="00AA64ED">
        <w:rPr>
          <w:rFonts w:eastAsia="Calibri"/>
          <w:b/>
        </w:rPr>
        <w:t xml:space="preserve">SF-424B, Assurances for </w:t>
      </w:r>
      <w:r w:rsidRPr="00AA64ED" w:rsidR="00870C51">
        <w:rPr>
          <w:rFonts w:eastAsia="Calibri"/>
          <w:b/>
        </w:rPr>
        <w:t>Non-Construction</w:t>
      </w:r>
      <w:r w:rsidRPr="00AA64ED">
        <w:rPr>
          <w:rFonts w:eastAsia="Calibri"/>
          <w:b/>
        </w:rPr>
        <w:t xml:space="preserve"> Programs</w:t>
      </w:r>
      <w:r w:rsidRPr="009B3FB2">
        <w:rPr>
          <w:rFonts w:eastAsia="Calibri"/>
        </w:rPr>
        <w:t xml:space="preserve">, is a standard form used by </w:t>
      </w:r>
      <w:r w:rsidRPr="006762A3">
        <w:rPr>
          <w:rFonts w:eastAsia="Calibri"/>
        </w:rPr>
        <w:t>applicants to certify compli</w:t>
      </w:r>
      <w:r w:rsidRPr="000D70DB">
        <w:rPr>
          <w:rFonts w:eastAsia="Calibri"/>
        </w:rPr>
        <w:t>ance with import</w:t>
      </w:r>
      <w:r w:rsidRPr="00F90563">
        <w:rPr>
          <w:rFonts w:eastAsia="Calibri"/>
        </w:rPr>
        <w:t>ant Federal requirements when applying</w:t>
      </w:r>
      <w:r w:rsidRPr="001702A9">
        <w:rPr>
          <w:rFonts w:eastAsia="Calibri"/>
        </w:rPr>
        <w:t xml:space="preserve"> for a grant or coo</w:t>
      </w:r>
      <w:r w:rsidRPr="006978C9">
        <w:rPr>
          <w:rFonts w:eastAsia="Calibri"/>
        </w:rPr>
        <w:t>perative agreement where the major purpose is not construction.  It is approved for use under OMB No.4040-0007.</w:t>
      </w:r>
    </w:p>
    <w:p w:rsidRPr="006978C9" w:rsidR="00621688" w:rsidP="00621688" w:rsidRDefault="00621688">
      <w:pPr>
        <w:rPr>
          <w:rFonts w:eastAsia="Calibri"/>
        </w:rPr>
      </w:pPr>
    </w:p>
    <w:p w:rsidRPr="00C94571" w:rsidR="00621688" w:rsidP="00621688" w:rsidRDefault="00621688">
      <w:pPr>
        <w:rPr>
          <w:rFonts w:eastAsia="Calibri"/>
        </w:rPr>
      </w:pPr>
      <w:r w:rsidRPr="006978C9">
        <w:rPr>
          <w:rFonts w:eastAsia="Calibri"/>
          <w:b/>
          <w:bCs/>
        </w:rPr>
        <w:lastRenderedPageBreak/>
        <w:t>SF-424C, Budget Information for Construction</w:t>
      </w:r>
      <w:r w:rsidRPr="006978C9">
        <w:rPr>
          <w:rFonts w:eastAsia="Calibri"/>
        </w:rPr>
        <w:t xml:space="preserve"> </w:t>
      </w:r>
      <w:r w:rsidRPr="006978C9">
        <w:rPr>
          <w:rFonts w:eastAsia="Calibri"/>
          <w:b/>
        </w:rPr>
        <w:t>Programs</w:t>
      </w:r>
      <w:r w:rsidRPr="006978C9">
        <w:rPr>
          <w:rFonts w:eastAsia="Calibri"/>
        </w:rPr>
        <w:t>, is a standard form used by appl</w:t>
      </w:r>
      <w:r w:rsidRPr="00C94571">
        <w:rPr>
          <w:rFonts w:eastAsia="Calibri"/>
        </w:rPr>
        <w:t>icants to submit budget data when applying for a grant or cooperative agreement where the major purpose is construction.  The information can include budget narrative that is used to relate items to program activities and to justify and explain budget items.  It is approved for use under OMB No. 4040-0008.</w:t>
      </w:r>
    </w:p>
    <w:p w:rsidRPr="00C94571" w:rsidR="00621688" w:rsidP="00621688" w:rsidRDefault="00621688">
      <w:pPr>
        <w:rPr>
          <w:rFonts w:eastAsia="Calibri"/>
          <w:b/>
        </w:rPr>
      </w:pPr>
    </w:p>
    <w:p w:rsidRPr="00673384" w:rsidR="00621688" w:rsidP="00621688" w:rsidRDefault="00621688">
      <w:pPr>
        <w:rPr>
          <w:rFonts w:eastAsia="Calibri"/>
        </w:rPr>
      </w:pPr>
      <w:r w:rsidRPr="00673384">
        <w:rPr>
          <w:rFonts w:eastAsia="Calibri"/>
          <w:b/>
        </w:rPr>
        <w:t>SF-424D, Assurances for Construction Programs</w:t>
      </w:r>
      <w:r w:rsidRPr="00673384">
        <w:rPr>
          <w:rFonts w:eastAsia="Calibri"/>
        </w:rPr>
        <w:t>, is a standard form used by applicants to certify compliance with important Federal requirements when applying for a grant or cooperative agreement where the major purpose is construction.  It is approved for use under OMB No. 4040-0009.</w:t>
      </w:r>
    </w:p>
    <w:p w:rsidRPr="00673384" w:rsidR="00621688" w:rsidP="00621688" w:rsidRDefault="00621688">
      <w:pPr>
        <w:rPr>
          <w:rFonts w:eastAsia="Calibri"/>
          <w:b/>
          <w:bCs/>
        </w:rPr>
      </w:pPr>
    </w:p>
    <w:p w:rsidRPr="00602B31" w:rsidR="00621688" w:rsidP="00621688" w:rsidRDefault="00621688">
      <w:pPr>
        <w:rPr>
          <w:rFonts w:eastAsia="Calibri"/>
          <w:b/>
        </w:rPr>
      </w:pPr>
      <w:r w:rsidRPr="00673384">
        <w:rPr>
          <w:rFonts w:eastAsia="Calibri"/>
          <w:b/>
        </w:rPr>
        <w:t xml:space="preserve">SF-LLL, Disclosure of Lobbying Activities, </w:t>
      </w:r>
      <w:r w:rsidRPr="00673384">
        <w:rPr>
          <w:rFonts w:eastAsia="Calibri"/>
        </w:rPr>
        <w:t>is a standard form used by applicants as a required agreement to comply with all requirements of the awarding agency.  It is approv</w:t>
      </w:r>
      <w:r w:rsidRPr="00602B31">
        <w:rPr>
          <w:rFonts w:eastAsia="Calibri"/>
        </w:rPr>
        <w:t>ed for use under OMB No. 4040-0013.</w:t>
      </w:r>
    </w:p>
    <w:p w:rsidRPr="003C5386" w:rsidR="00621688" w:rsidP="00621688" w:rsidRDefault="00621688">
      <w:pPr>
        <w:rPr>
          <w:rFonts w:eastAsia="Calibri"/>
          <w:b/>
          <w:bCs/>
        </w:rPr>
      </w:pPr>
    </w:p>
    <w:p w:rsidRPr="003F3551" w:rsidR="00621688" w:rsidP="00621688" w:rsidRDefault="00621688">
      <w:pPr>
        <w:rPr>
          <w:rFonts w:eastAsia="Calibri"/>
          <w:b/>
          <w:bCs/>
        </w:rPr>
      </w:pPr>
      <w:r w:rsidRPr="003C5386">
        <w:rPr>
          <w:rFonts w:eastAsia="Calibri"/>
          <w:b/>
          <w:bCs/>
        </w:rPr>
        <w:t xml:space="preserve">The following Standard Forms are used post award outside of the </w:t>
      </w:r>
      <w:r w:rsidR="00312267">
        <w:rPr>
          <w:rFonts w:eastAsia="Calibri"/>
          <w:b/>
          <w:bCs/>
        </w:rPr>
        <w:t>FEMA GO</w:t>
      </w:r>
      <w:r w:rsidRPr="003C5386" w:rsidR="00312267">
        <w:rPr>
          <w:rFonts w:eastAsia="Calibri"/>
          <w:b/>
          <w:bCs/>
        </w:rPr>
        <w:t xml:space="preserve"> </w:t>
      </w:r>
      <w:r w:rsidRPr="003C5386">
        <w:rPr>
          <w:rFonts w:eastAsia="Calibri"/>
          <w:b/>
          <w:bCs/>
        </w:rPr>
        <w:t xml:space="preserve">system. Approval for use of these forms is provided under a government-wide OMB number used throughout </w:t>
      </w:r>
      <w:r w:rsidRPr="003F3551">
        <w:rPr>
          <w:rFonts w:eastAsia="Calibri"/>
          <w:b/>
          <w:bCs/>
        </w:rPr>
        <w:t>the Federal government.</w:t>
      </w:r>
    </w:p>
    <w:p w:rsidRPr="003F3551" w:rsidR="00621688" w:rsidP="00621688" w:rsidRDefault="00621688">
      <w:pPr>
        <w:rPr>
          <w:rFonts w:eastAsia="Calibri"/>
          <w:b/>
          <w:bCs/>
        </w:rPr>
      </w:pPr>
    </w:p>
    <w:p w:rsidRPr="006019E6" w:rsidR="00621688" w:rsidP="00621688" w:rsidRDefault="00621688">
      <w:pPr>
        <w:rPr>
          <w:rFonts w:eastAsia="Calibri"/>
        </w:rPr>
      </w:pPr>
      <w:r w:rsidRPr="003F3551">
        <w:rPr>
          <w:rFonts w:eastAsia="Calibri"/>
          <w:b/>
        </w:rPr>
        <w:t>SF-425/425A,</w:t>
      </w:r>
      <w:r w:rsidRPr="003F3551">
        <w:rPr>
          <w:rFonts w:eastAsia="Calibri"/>
        </w:rPr>
        <w:t xml:space="preserve"> </w:t>
      </w:r>
      <w:r w:rsidRPr="003F3551">
        <w:rPr>
          <w:rFonts w:eastAsia="Calibri"/>
          <w:b/>
        </w:rPr>
        <w:t>Federa</w:t>
      </w:r>
      <w:r w:rsidRPr="009E0B2D">
        <w:rPr>
          <w:rFonts w:eastAsia="Calibri"/>
          <w:b/>
        </w:rPr>
        <w:t>l Financial Report/Report Attachment,</w:t>
      </w:r>
      <w:r w:rsidRPr="009E0B2D">
        <w:rPr>
          <w:rFonts w:eastAsia="Calibri"/>
        </w:rPr>
        <w:t xml:space="preserve"> is a standard form used by Recipients to report the status of financial expenditures for FEMA grants awarded in the Payment and Reporting System (PARS); SF-425A is attached w</w:t>
      </w:r>
      <w:r w:rsidRPr="006019E6">
        <w:rPr>
          <w:rFonts w:eastAsia="Calibri"/>
        </w:rPr>
        <w:t xml:space="preserve">hen reporting multiple grants.   These forms are approved for use under OMB No. 4040-0014. </w:t>
      </w:r>
    </w:p>
    <w:p w:rsidRPr="006019E6" w:rsidR="00621688" w:rsidP="00621688" w:rsidRDefault="00621688">
      <w:pPr>
        <w:rPr>
          <w:rFonts w:eastAsia="Calibri"/>
        </w:rPr>
      </w:pPr>
    </w:p>
    <w:p w:rsidRPr="00312267" w:rsidR="00B13CCF" w:rsidP="006317CD" w:rsidRDefault="00621688">
      <w:r w:rsidRPr="006019E6">
        <w:rPr>
          <w:rFonts w:eastAsia="Calibri"/>
          <w:b/>
          <w:bCs/>
        </w:rPr>
        <w:t xml:space="preserve">SF-429, </w:t>
      </w:r>
      <w:r w:rsidRPr="00312267">
        <w:rPr>
          <w:rFonts w:eastAsia="Calibri"/>
          <w:b/>
          <w:bCs/>
        </w:rPr>
        <w:t>Real Property Status Report</w:t>
      </w:r>
      <w:r w:rsidRPr="00312267">
        <w:rPr>
          <w:rFonts w:eastAsia="Calibri"/>
        </w:rPr>
        <w:t>, is a standard form used by recipients to provide a listing of inventoried, non-expendable equipment purchased under a grant or cooperative agreement or Federally-owned equipment that is provided by the agency to be used by the recipient.  It is approved for use under OMB No. 4040-0016</w:t>
      </w:r>
      <w:r w:rsidRPr="00312267" w:rsidR="006317CD">
        <w:t>.</w:t>
      </w:r>
    </w:p>
    <w:p w:rsidRPr="00312267" w:rsidR="00E12409" w:rsidP="006317CD" w:rsidRDefault="00E12409"/>
    <w:p w:rsidRPr="00BA2E22" w:rsidR="007561BA" w:rsidP="006317CD" w:rsidRDefault="007561BA"/>
    <w:p w:rsidRPr="00870C51" w:rsidR="00842E74" w:rsidRDefault="0083138B">
      <w:pPr>
        <w:rPr>
          <w:b/>
          <w:bCs/>
        </w:rPr>
      </w:pPr>
      <w:r w:rsidRPr="00BA2E22">
        <w:rPr>
          <w:b/>
          <w:bCs/>
        </w:rPr>
        <w:fldChar w:fldCharType="begin"/>
      </w:r>
      <w:r w:rsidRPr="0076776B" w:rsidR="00842E74">
        <w:rPr>
          <w:b/>
          <w:bCs/>
        </w:rPr>
        <w:instrText>ADVANCE \R 0.95</w:instrText>
      </w:r>
      <w:r w:rsidRPr="0076776B">
        <w:rPr>
          <w:b/>
          <w:bCs/>
        </w:rPr>
        <w:fldChar w:fldCharType="end"/>
      </w:r>
      <w:r w:rsidRPr="00BA2E22"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Pr="00870C51" w:rsidR="00BF4DF2">
        <w:rPr>
          <w:b/>
          <w:bCs/>
        </w:rPr>
        <w:tab/>
      </w:r>
      <w:r w:rsidRPr="00870C51" w:rsidR="00842E74">
        <w:rPr>
          <w:b/>
          <w:bCs/>
        </w:rPr>
        <w:t>electronic submission of responses, and the basis for the decision for adopting this means of collection.  Also describe any consideration of using</w:t>
      </w:r>
      <w:r w:rsidRPr="00870C51" w:rsidR="006A4787">
        <w:rPr>
          <w:b/>
          <w:bCs/>
        </w:rPr>
        <w:t xml:space="preserve"> </w:t>
      </w:r>
      <w:r w:rsidRPr="00870C51" w:rsidR="00842E74">
        <w:rPr>
          <w:b/>
          <w:bCs/>
        </w:rPr>
        <w:t xml:space="preserve">information technology to reduce burden. </w:t>
      </w:r>
    </w:p>
    <w:p w:rsidRPr="00870C51" w:rsidR="00E27455" w:rsidRDefault="00E27455">
      <w:pPr>
        <w:rPr>
          <w:b/>
          <w:bCs/>
        </w:rPr>
      </w:pPr>
    </w:p>
    <w:p w:rsidRPr="006978C9" w:rsidR="00182F07" w:rsidP="00182F07" w:rsidRDefault="0041074F">
      <w:pPr>
        <w:pStyle w:val="BodyText"/>
        <w:shd w:val="clear" w:color="auto" w:fill="auto"/>
        <w:rPr>
          <w:sz w:val="24"/>
        </w:rPr>
      </w:pPr>
      <w:r w:rsidRPr="00870C51">
        <w:rPr>
          <w:sz w:val="24"/>
        </w:rPr>
        <w:t>G</w:t>
      </w:r>
      <w:r w:rsidRPr="00870C51" w:rsidR="00182F07">
        <w:rPr>
          <w:sz w:val="24"/>
        </w:rPr>
        <w:t xml:space="preserve">rant applications for the FMA program are submitted via </w:t>
      </w:r>
      <w:r w:rsidR="00312267">
        <w:rPr>
          <w:sz w:val="24"/>
        </w:rPr>
        <w:t>FEMA GO</w:t>
      </w:r>
      <w:r w:rsidRPr="00312267" w:rsidR="00182F07">
        <w:rPr>
          <w:sz w:val="24"/>
        </w:rPr>
        <w:t xml:space="preserve">.  </w:t>
      </w:r>
      <w:r w:rsidRPr="006978C9" w:rsidR="00182F07">
        <w:rPr>
          <w:sz w:val="24"/>
        </w:rPr>
        <w:t xml:space="preserve">The use of the </w:t>
      </w:r>
      <w:r w:rsidR="00312267">
        <w:rPr>
          <w:sz w:val="24"/>
        </w:rPr>
        <w:t>FEMA GO electronic</w:t>
      </w:r>
      <w:r w:rsidRPr="006978C9" w:rsidR="00312267">
        <w:rPr>
          <w:sz w:val="24"/>
        </w:rPr>
        <w:t xml:space="preserve"> </w:t>
      </w:r>
      <w:r w:rsidRPr="006978C9" w:rsidR="00182F07">
        <w:rPr>
          <w:sz w:val="24"/>
        </w:rPr>
        <w:t>system by respondents allows 100%</w:t>
      </w:r>
      <w:r w:rsidR="00312267">
        <w:rPr>
          <w:sz w:val="24"/>
        </w:rPr>
        <w:t xml:space="preserve"> percent </w:t>
      </w:r>
      <w:r w:rsidRPr="006978C9" w:rsidR="00182F07">
        <w:rPr>
          <w:sz w:val="24"/>
        </w:rPr>
        <w:t xml:space="preserve">of the information required to be submitted electronically. The individual FEMA Forms can be accessed at </w:t>
      </w:r>
      <w:r w:rsidRPr="006978C9" w:rsidR="006E34F4">
        <w:rPr>
          <w:sz w:val="24"/>
        </w:rPr>
        <w:t>http://www.fema.gov/forms/</w:t>
      </w:r>
      <w:r w:rsidRPr="006978C9" w:rsidR="00182F07">
        <w:rPr>
          <w:sz w:val="24"/>
        </w:rPr>
        <w:t xml:space="preserve">.  </w:t>
      </w:r>
    </w:p>
    <w:p w:rsidRPr="006978C9" w:rsidR="00182F07" w:rsidP="00182F07" w:rsidRDefault="00182F07">
      <w:pPr>
        <w:pStyle w:val="BodyText"/>
        <w:shd w:val="clear" w:color="auto" w:fill="auto"/>
        <w:rPr>
          <w:sz w:val="24"/>
        </w:rPr>
      </w:pPr>
    </w:p>
    <w:p w:rsidRPr="00BA2E22" w:rsidR="00BA2E22" w:rsidP="00BA2E22" w:rsidRDefault="00BA2E22">
      <w:pPr>
        <w:pStyle w:val="BodyText"/>
        <w:shd w:val="clear" w:color="auto" w:fill="auto"/>
        <w:rPr>
          <w:color w:val="1F497D"/>
          <w:sz w:val="22"/>
          <w:szCs w:val="22"/>
        </w:rPr>
      </w:pPr>
    </w:p>
    <w:p w:rsidRPr="00BA2E22" w:rsidR="00C76DDA" w:rsidP="007561BA" w:rsidRDefault="007561BA">
      <w:pPr>
        <w:pStyle w:val="BodyText"/>
        <w:shd w:val="clear" w:color="auto" w:fill="auto"/>
        <w:rPr>
          <w:sz w:val="24"/>
        </w:rPr>
      </w:pPr>
      <w:r w:rsidRPr="00BA2E22">
        <w:rPr>
          <w:sz w:val="24"/>
        </w:rPr>
        <w:t xml:space="preserve">Respondents can access FEMA GO through the Website https://go.fema.gov/.  New users may access the </w:t>
      </w:r>
      <w:r w:rsidRPr="00BA2E22" w:rsidR="00DA7057">
        <w:rPr>
          <w:sz w:val="24"/>
        </w:rPr>
        <w:t>FEMA GO</w:t>
      </w:r>
      <w:r w:rsidRPr="00BA2E22">
        <w:rPr>
          <w:sz w:val="24"/>
        </w:rPr>
        <w:t xml:space="preserve"> system by selecting the </w:t>
      </w:r>
      <w:r w:rsidRPr="00BA2E22" w:rsidR="00DA7057">
        <w:rPr>
          <w:sz w:val="24"/>
        </w:rPr>
        <w:t>create an account</w:t>
      </w:r>
      <w:r w:rsidRPr="00BA2E22">
        <w:rPr>
          <w:sz w:val="24"/>
        </w:rPr>
        <w:t xml:space="preserve"> button and then entering in the required information in order to be approved for a username and password. </w:t>
      </w:r>
      <w:r w:rsidRPr="00BA2E22" w:rsidR="00DA7057">
        <w:rPr>
          <w:sz w:val="24"/>
        </w:rPr>
        <w:t xml:space="preserve">Additional instructions on how to apply can be found at </w:t>
      </w:r>
      <w:hyperlink w:history="1" r:id="rId8">
        <w:r w:rsidRPr="00BA2E22" w:rsidR="00DA7057">
          <w:rPr>
            <w:rStyle w:val="Hyperlink"/>
            <w:sz w:val="24"/>
          </w:rPr>
          <w:t>https://www.fema.gov/grants/guidance-tools/fema-go/hazard-mitigation</w:t>
        </w:r>
        <w:r w:rsidRPr="00BA2E22" w:rsidR="00DA7057">
          <w:rPr>
            <w:rStyle w:val="Hyperlink"/>
            <w:sz w:val="24"/>
          </w:rPr>
          <w:t>-</w:t>
        </w:r>
        <w:r w:rsidRPr="00BA2E22" w:rsidR="00DA7057">
          <w:rPr>
            <w:rStyle w:val="Hyperlink"/>
            <w:sz w:val="24"/>
          </w:rPr>
          <w:t>assistance-grants</w:t>
        </w:r>
      </w:hyperlink>
      <w:r w:rsidRPr="00BA2E22" w:rsidR="00DA7057">
        <w:rPr>
          <w:sz w:val="24"/>
        </w:rPr>
        <w:t xml:space="preserve">. </w:t>
      </w:r>
    </w:p>
    <w:p w:rsidRPr="00BA2E22" w:rsidR="00BA2E22" w:rsidP="00BA2E22" w:rsidRDefault="00BA2E22">
      <w:pPr>
        <w:pStyle w:val="BodyText"/>
        <w:shd w:val="clear" w:color="auto" w:fill="auto"/>
      </w:pPr>
    </w:p>
    <w:p w:rsidRPr="00BA2E22" w:rsidR="00BA2E22" w:rsidP="00BA2E22" w:rsidRDefault="00BA2E22">
      <w:pPr>
        <w:pStyle w:val="BodyText"/>
        <w:shd w:val="clear" w:color="auto" w:fill="auto"/>
        <w:rPr>
          <w:sz w:val="24"/>
          <w:szCs w:val="22"/>
        </w:rPr>
      </w:pPr>
      <w:r w:rsidRPr="00BA2E22">
        <w:rPr>
          <w:sz w:val="24"/>
          <w:szCs w:val="22"/>
        </w:rPr>
        <w:t>FEMA Grants Outcomes (</w:t>
      </w:r>
      <w:r w:rsidR="00495461">
        <w:rPr>
          <w:sz w:val="24"/>
          <w:szCs w:val="22"/>
        </w:rPr>
        <w:t xml:space="preserve">FEMA </w:t>
      </w:r>
      <w:r w:rsidRPr="00BA2E22">
        <w:rPr>
          <w:sz w:val="24"/>
          <w:szCs w:val="22"/>
        </w:rPr>
        <w:t xml:space="preserve">GO) is the new system of record for grants within FEMA. The Grants Management Modernization (GMM) program office is developing FEMA GO using agile development methods, meaning the team ships software iteratively, rather than waiting for the entire system to be developed before launching. </w:t>
      </w:r>
    </w:p>
    <w:p w:rsidRPr="00BA2E22" w:rsidR="00BA2E22" w:rsidP="00BA2E22" w:rsidRDefault="00BA2E22">
      <w:pPr>
        <w:pStyle w:val="BodyText"/>
        <w:shd w:val="clear" w:color="auto" w:fill="auto"/>
        <w:rPr>
          <w:sz w:val="24"/>
        </w:rPr>
      </w:pPr>
    </w:p>
    <w:p w:rsidRPr="00BA2E22" w:rsidR="00BA2E22" w:rsidP="00BA2E22" w:rsidRDefault="00BA2E22">
      <w:pPr>
        <w:pStyle w:val="BodyText"/>
        <w:shd w:val="clear" w:color="auto" w:fill="auto"/>
        <w:rPr>
          <w:sz w:val="24"/>
        </w:rPr>
      </w:pPr>
      <w:r w:rsidRPr="00BA2E22">
        <w:rPr>
          <w:sz w:val="24"/>
        </w:rPr>
        <w:t xml:space="preserve">FEMA GO will be a single web-based application for all </w:t>
      </w:r>
      <w:proofErr w:type="gramStart"/>
      <w:r w:rsidRPr="00BA2E22">
        <w:rPr>
          <w:sz w:val="24"/>
        </w:rPr>
        <w:t>grants</w:t>
      </w:r>
      <w:proofErr w:type="gramEnd"/>
      <w:r w:rsidRPr="00BA2E22">
        <w:rPr>
          <w:sz w:val="24"/>
        </w:rPr>
        <w:t xml:space="preserve"> management within FEMA. It will streamline grant programs across the agency and reduce the burden for grant recipients. </w:t>
      </w:r>
    </w:p>
    <w:p w:rsidRPr="00BA2E22" w:rsidR="00BA2E22" w:rsidP="00BA2E22" w:rsidRDefault="00BA2E22">
      <w:pPr>
        <w:pStyle w:val="BodyText"/>
        <w:shd w:val="clear" w:color="auto" w:fill="auto"/>
        <w:rPr>
          <w:sz w:val="24"/>
        </w:rPr>
      </w:pPr>
    </w:p>
    <w:p w:rsidRPr="00BA2E22" w:rsidR="00BA2E22" w:rsidP="00BA2E22" w:rsidRDefault="00BA2E22">
      <w:pPr>
        <w:pStyle w:val="BodyText"/>
        <w:shd w:val="clear" w:color="auto" w:fill="auto"/>
        <w:rPr>
          <w:sz w:val="24"/>
        </w:rPr>
      </w:pPr>
      <w:r w:rsidRPr="00BA2E22">
        <w:rPr>
          <w:sz w:val="24"/>
        </w:rPr>
        <w:t xml:space="preserve">FEMA GO will enable the following burden reductions for the public: </w:t>
      </w:r>
    </w:p>
    <w:p w:rsidRPr="00BA2E22" w:rsidR="00BA2E22" w:rsidP="00BA2E22" w:rsidRDefault="00BA2E22">
      <w:pPr>
        <w:pStyle w:val="BodyText"/>
        <w:shd w:val="clear" w:color="auto" w:fill="auto"/>
        <w:rPr>
          <w:sz w:val="24"/>
        </w:rPr>
      </w:pPr>
      <w:r w:rsidRPr="00BA2E22">
        <w:rPr>
          <w:sz w:val="24"/>
        </w:rPr>
        <w:t>●</w:t>
      </w:r>
      <w:r w:rsidRPr="00BA2E22">
        <w:rPr>
          <w:sz w:val="24"/>
        </w:rPr>
        <w:tab/>
        <w:t>Information sharing across grant programs</w:t>
      </w:r>
    </w:p>
    <w:p w:rsidRPr="00BA2E22" w:rsidR="00BA2E22" w:rsidP="00BA2E22" w:rsidRDefault="00BA2E22">
      <w:pPr>
        <w:pStyle w:val="BodyText"/>
        <w:shd w:val="clear" w:color="auto" w:fill="auto"/>
        <w:rPr>
          <w:sz w:val="24"/>
        </w:rPr>
      </w:pPr>
      <w:r w:rsidRPr="00BA2E22">
        <w:rPr>
          <w:sz w:val="24"/>
        </w:rPr>
        <w:t>●</w:t>
      </w:r>
      <w:r w:rsidRPr="00BA2E22">
        <w:rPr>
          <w:sz w:val="24"/>
        </w:rPr>
        <w:tab/>
        <w:t>Pre-populating recipient information as appropriate</w:t>
      </w:r>
    </w:p>
    <w:p w:rsidRPr="00BA2E22" w:rsidR="00BA2E22" w:rsidP="00BA2E22" w:rsidRDefault="00BA2E22">
      <w:pPr>
        <w:pStyle w:val="BodyText"/>
        <w:shd w:val="clear" w:color="auto" w:fill="auto"/>
        <w:rPr>
          <w:sz w:val="24"/>
        </w:rPr>
      </w:pPr>
      <w:r w:rsidRPr="00BA2E22">
        <w:rPr>
          <w:sz w:val="24"/>
        </w:rPr>
        <w:t>●</w:t>
      </w:r>
      <w:r w:rsidRPr="00BA2E22">
        <w:rPr>
          <w:sz w:val="24"/>
        </w:rPr>
        <w:tab/>
        <w:t>Conditional logic so users only need to respond to questions relevant to them</w:t>
      </w:r>
    </w:p>
    <w:p w:rsidRPr="00BA2E22" w:rsidR="00BA2E22" w:rsidP="00C76DDA" w:rsidRDefault="00BA2E22">
      <w:pPr>
        <w:pStyle w:val="BodyText"/>
        <w:shd w:val="clear" w:color="auto" w:fill="auto"/>
        <w:rPr>
          <w:sz w:val="24"/>
        </w:rPr>
      </w:pPr>
      <w:r w:rsidRPr="00BA2E22">
        <w:rPr>
          <w:sz w:val="24"/>
        </w:rPr>
        <w:t>●</w:t>
      </w:r>
      <w:r w:rsidRPr="00BA2E22">
        <w:rPr>
          <w:sz w:val="24"/>
        </w:rPr>
        <w:tab/>
        <w:t>Algorithms that do financial calculations automatically</w:t>
      </w:r>
    </w:p>
    <w:p w:rsidRPr="00BA2E22" w:rsidR="00C76DDA" w:rsidP="00C76DDA" w:rsidRDefault="00C76DDA">
      <w:pPr>
        <w:pStyle w:val="BodyText"/>
        <w:shd w:val="clear" w:color="auto" w:fill="auto"/>
        <w:rPr>
          <w:sz w:val="24"/>
        </w:rPr>
      </w:pPr>
      <w:r w:rsidRPr="00BA2E22">
        <w:rPr>
          <w:sz w:val="24"/>
        </w:rPr>
        <w:t>●</w:t>
      </w:r>
      <w:r w:rsidRPr="00BA2E22">
        <w:rPr>
          <w:sz w:val="24"/>
        </w:rPr>
        <w:tab/>
        <w:t>Plain language questions that are easier to understand</w:t>
      </w:r>
    </w:p>
    <w:p w:rsidRPr="00BA2E22" w:rsidR="00DA7057" w:rsidP="007561BA" w:rsidRDefault="00DA7057">
      <w:pPr>
        <w:pStyle w:val="BodyText"/>
        <w:shd w:val="clear" w:color="auto" w:fill="auto"/>
        <w:rPr>
          <w:sz w:val="24"/>
        </w:rPr>
      </w:pPr>
    </w:p>
    <w:p w:rsidR="00B130DE" w:rsidP="00E27455" w:rsidRDefault="0083138B">
      <w:pPr>
        <w:keepNext/>
      </w:pPr>
      <w:r w:rsidRPr="00BA2E22">
        <w:fldChar w:fldCharType="begin"/>
      </w:r>
      <w:r w:rsidRPr="00870C51" w:rsidR="00842E74">
        <w:instrText>ADVANCE \R 0.95</w:instrText>
      </w:r>
      <w:r w:rsidRPr="00870C51">
        <w:fldChar w:fldCharType="end"/>
      </w:r>
      <w:r w:rsidR="00331756">
        <w:t>At present, while not all of FEMA has yet transitioned to FEMA GO, for FY20 FMA and BRIC, all applications will be submitted via FEMA GO.  FEMA GO is currently in operation and effective for FY20 FMA and BRIC.</w:t>
      </w:r>
    </w:p>
    <w:p w:rsidRPr="00BA2E22" w:rsidR="00331756" w:rsidP="00E27455" w:rsidRDefault="00331756">
      <w:pPr>
        <w:keepNext/>
      </w:pPr>
    </w:p>
    <w:p w:rsidRPr="00BA2E22" w:rsidR="00E41A43" w:rsidP="00E27455" w:rsidRDefault="00E41A43">
      <w:pPr>
        <w:keepNext/>
      </w:pPr>
      <w:r w:rsidRPr="00BA2E22">
        <w:rPr>
          <w:b/>
          <w:bCs/>
        </w:rPr>
        <w:t xml:space="preserve">4.  Describe efforts to identify duplication.   Show specifically why any similar information already available cannot be used or modified for use for the purposes described in Item 2 above.  </w:t>
      </w:r>
    </w:p>
    <w:p w:rsidRPr="00BA2E22" w:rsidR="00E41A43" w:rsidP="00E27455" w:rsidRDefault="00E41A43">
      <w:pPr>
        <w:keepNext/>
      </w:pPr>
    </w:p>
    <w:p w:rsidRPr="00BA2E22" w:rsidR="00E27455" w:rsidP="00E27455" w:rsidRDefault="004156D9">
      <w:pPr>
        <w:keepNext/>
      </w:pPr>
      <w:r w:rsidRPr="00BA2E22">
        <w:t xml:space="preserve">This information is not collected </w:t>
      </w:r>
      <w:r w:rsidRPr="00BA2E22" w:rsidR="00E41A43">
        <w:t xml:space="preserve">elsewhere </w:t>
      </w:r>
      <w:r w:rsidRPr="00BA2E22">
        <w:t>in any form, and therefore is not duplicated elsewhere.</w:t>
      </w:r>
    </w:p>
    <w:p w:rsidRPr="00BA2E22" w:rsidR="00DA7057" w:rsidP="00E27455" w:rsidRDefault="00DA7057">
      <w:pPr>
        <w:keepNext/>
      </w:pPr>
    </w:p>
    <w:p w:rsidRPr="00BA2E22" w:rsidR="004156D9" w:rsidP="00E27455" w:rsidRDefault="004156D9">
      <w:pPr>
        <w:keepNext/>
      </w:pPr>
    </w:p>
    <w:p w:rsidRPr="00870C51" w:rsidR="00842E74" w:rsidRDefault="00842E74">
      <w:pPr>
        <w:tabs>
          <w:tab w:val="left" w:pos="360"/>
        </w:tabs>
        <w:rPr>
          <w:b/>
          <w:bCs/>
        </w:rPr>
      </w:pPr>
      <w:r w:rsidRPr="00BA2E22">
        <w:rPr>
          <w:b/>
          <w:bCs/>
        </w:rPr>
        <w:t xml:space="preserve">5.  </w:t>
      </w:r>
      <w:r w:rsidRPr="00870C51" w:rsidR="00BF4DF2">
        <w:rPr>
          <w:b/>
          <w:bCs/>
        </w:rPr>
        <w:tab/>
      </w:r>
      <w:r w:rsidRPr="00870C51">
        <w:rPr>
          <w:b/>
          <w:bCs/>
        </w:rPr>
        <w:t>If the collection of information impacts small businesses or other small entities (Item 5 of OMB Form 83-I), describe any methods used to minimize.</w:t>
      </w:r>
    </w:p>
    <w:p w:rsidRPr="00870C51" w:rsidR="00B130DE" w:rsidP="00E27455" w:rsidRDefault="00B130DE"/>
    <w:p w:rsidRPr="00755CAC" w:rsidR="00E27455" w:rsidP="00E27455" w:rsidRDefault="004156D9">
      <w:r w:rsidRPr="00870C51">
        <w:t xml:space="preserve">This information collection </w:t>
      </w:r>
      <w:r w:rsidR="00CC308F">
        <w:t>has a minimal</w:t>
      </w:r>
      <w:r w:rsidRPr="00CC308F">
        <w:t xml:space="preserve"> impact on small businesses or other small entities.</w:t>
      </w:r>
      <w:r w:rsidRPr="00CC308F" w:rsidR="00E27455">
        <w:t xml:space="preserve"> </w:t>
      </w:r>
      <w:r w:rsidR="00331756">
        <w:t xml:space="preserve">Small businesses and “other small entities” are not defined or classified as </w:t>
      </w:r>
      <w:proofErr w:type="spellStart"/>
      <w:r w:rsidR="00331756">
        <w:t>subapplicants</w:t>
      </w:r>
      <w:proofErr w:type="spellEnd"/>
      <w:r w:rsidR="00331756">
        <w:t xml:space="preserve"> under BRIC or FMA.  Both programs award grant funds to states and local governments.  </w:t>
      </w:r>
      <w:r w:rsidR="00732CC8">
        <w:t xml:space="preserve">“Local governments” may apply as </w:t>
      </w:r>
      <w:proofErr w:type="spellStart"/>
      <w:r w:rsidR="00732CC8">
        <w:t>subapplicants</w:t>
      </w:r>
      <w:proofErr w:type="spellEnd"/>
      <w:r w:rsidR="00732CC8">
        <w:t xml:space="preserve"> under these programs.  </w:t>
      </w:r>
      <w:r w:rsidR="00331756">
        <w:t xml:space="preserve">Under BRIC, authorized under the Stafford Act, “local governments” has a specific definition per Section 102(6) of the Stafford Act.  </w:t>
      </w:r>
      <w:r w:rsidR="000B349F">
        <w:t xml:space="preserve">Under 42 U.S.C. 4104c which authorizes FMA, “communities” </w:t>
      </w:r>
      <w:r w:rsidR="00732CC8">
        <w:t xml:space="preserve">to whom subawards may be made is specifically defined.  By policy, communities and local governments are often used interchangeably under FMA.  While </w:t>
      </w:r>
      <w:proofErr w:type="spellStart"/>
      <w:r w:rsidR="00732CC8">
        <w:t>subapplicants</w:t>
      </w:r>
      <w:proofErr w:type="spellEnd"/>
      <w:r w:rsidR="00732CC8">
        <w:t xml:space="preserve"> may submit applications on behalf of small businesses or “small entities” [however they are defined], this information collection does not create any significant change how “small businesses” or “small entities” are treated under the two programs.  </w:t>
      </w:r>
      <w:r w:rsidR="00420655">
        <w:t>Consistent with past practice under FMA and BRIC’s predecessor, the Pre-Disaster Mitigation program (PDM), t</w:t>
      </w:r>
      <w:r w:rsidR="00732CC8">
        <w:t>he format of how grants are awarded to local governments or communities under BRIC and FMA</w:t>
      </w:r>
      <w:r w:rsidR="00420655">
        <w:t>,</w:t>
      </w:r>
      <w:r w:rsidR="00732CC8">
        <w:t xml:space="preserve"> and </w:t>
      </w:r>
      <w:r w:rsidR="00420655">
        <w:t>how</w:t>
      </w:r>
      <w:r w:rsidR="00732CC8">
        <w:t xml:space="preserve"> entities (small </w:t>
      </w:r>
      <w:r w:rsidR="00870C51">
        <w:t>businesses</w:t>
      </w:r>
      <w:r w:rsidR="00732CC8">
        <w:t xml:space="preserve"> or other kinds) </w:t>
      </w:r>
      <w:r w:rsidR="00420655">
        <w:t xml:space="preserve">receive funds from </w:t>
      </w:r>
      <w:proofErr w:type="spellStart"/>
      <w:r w:rsidR="00732CC8">
        <w:t>subapplicants</w:t>
      </w:r>
      <w:proofErr w:type="spellEnd"/>
      <w:r w:rsidR="00732CC8">
        <w:t xml:space="preserve"> </w:t>
      </w:r>
      <w:r w:rsidR="00420655">
        <w:t>who apply on their behalf</w:t>
      </w:r>
      <w:r w:rsidR="00CC308F">
        <w:t>,</w:t>
      </w:r>
      <w:r w:rsidR="00732CC8">
        <w:t xml:space="preserve"> is not </w:t>
      </w:r>
      <w:r w:rsidR="00CC308F">
        <w:t xml:space="preserve">significantly </w:t>
      </w:r>
      <w:r w:rsidR="00732CC8">
        <w:t xml:space="preserve">changed by this information collection.  </w:t>
      </w:r>
    </w:p>
    <w:p w:rsidRPr="00BA2E22" w:rsidR="00DA7057" w:rsidP="00E27455" w:rsidRDefault="00DA7057"/>
    <w:p w:rsidRPr="00BA2E22" w:rsidR="00842E74" w:rsidRDefault="00842E74">
      <w:pPr>
        <w:rPr>
          <w:spacing w:val="-3"/>
        </w:rPr>
      </w:pPr>
    </w:p>
    <w:p w:rsidRPr="00BA2E22" w:rsidR="00842E74" w:rsidRDefault="0083138B">
      <w:pPr>
        <w:rPr>
          <w:b/>
          <w:bCs/>
        </w:rPr>
      </w:pPr>
      <w:r w:rsidRPr="00BA2E22">
        <w:rPr>
          <w:b/>
          <w:bCs/>
        </w:rPr>
        <w:fldChar w:fldCharType="begin"/>
      </w:r>
      <w:r w:rsidRPr="0076776B" w:rsidR="00842E74">
        <w:rPr>
          <w:b/>
          <w:bCs/>
        </w:rPr>
        <w:instrText>ADVANCE \R 0.95</w:instrText>
      </w:r>
      <w:r w:rsidRPr="0076776B">
        <w:rPr>
          <w:b/>
          <w:bCs/>
        </w:rPr>
        <w:fldChar w:fldCharType="end"/>
      </w:r>
      <w:r w:rsidRPr="00BA2E22" w:rsidR="00842E74">
        <w:rPr>
          <w:b/>
          <w:bCs/>
        </w:rPr>
        <w:t xml:space="preserve">6.  Describe the consequence to Federal/FEMA program or policy activities if the collection of information is not </w:t>
      </w:r>
      <w:r w:rsidRPr="00BA2E22" w:rsidR="00870C51">
        <w:rPr>
          <w:b/>
          <w:bCs/>
        </w:rPr>
        <w:t>conducted or</w:t>
      </w:r>
      <w:r w:rsidRPr="00BA2E22" w:rsidR="00842E74">
        <w:rPr>
          <w:b/>
          <w:bCs/>
        </w:rPr>
        <w:t xml:space="preserve"> is conducted less frequently</w:t>
      </w:r>
      <w:r w:rsidRPr="00BA2E22" w:rsidR="009F46CE">
        <w:rPr>
          <w:b/>
          <w:bCs/>
        </w:rPr>
        <w:t xml:space="preserve"> </w:t>
      </w:r>
      <w:r w:rsidRPr="00BA2E22" w:rsidR="00842E74">
        <w:rPr>
          <w:b/>
          <w:bCs/>
        </w:rPr>
        <w:t xml:space="preserve">as well as any technical or legal obstacles to reducing burden.  </w:t>
      </w:r>
    </w:p>
    <w:p w:rsidRPr="00BA2E22" w:rsidR="00D5698B" w:rsidRDefault="00D5698B">
      <w:pPr>
        <w:rPr>
          <w:b/>
          <w:bCs/>
        </w:rPr>
      </w:pPr>
    </w:p>
    <w:p w:rsidRPr="00BA2E22" w:rsidR="00DA7057" w:rsidP="00E27455" w:rsidRDefault="00D5698B">
      <w:pPr>
        <w:rPr>
          <w:spacing w:val="-3"/>
        </w:rPr>
      </w:pPr>
      <w:r w:rsidRPr="00BA2E22">
        <w:t>Without this collection activity, FEMA will not be able to implement its mitigation grant programs that are set forth in legislation and implementing regulations.</w:t>
      </w:r>
    </w:p>
    <w:p w:rsidRPr="00BA2E22" w:rsidR="004156D9" w:rsidP="00E27455" w:rsidRDefault="004156D9">
      <w:pPr>
        <w:rPr>
          <w:spacing w:val="-3"/>
        </w:rPr>
      </w:pPr>
    </w:p>
    <w:p w:rsidRPr="00364F4C" w:rsidR="004156D9" w:rsidP="004156D9" w:rsidRDefault="004156D9">
      <w:pPr>
        <w:rPr>
          <w:b/>
          <w:bCs/>
          <w:color w:val="000000"/>
        </w:rPr>
      </w:pPr>
      <w:r w:rsidRPr="007E15F6">
        <w:rPr>
          <w:b/>
          <w:bCs/>
          <w:color w:val="000000"/>
        </w:rPr>
        <w:t xml:space="preserve">7.  </w:t>
      </w:r>
      <w:r w:rsidRPr="00364F4C">
        <w:rPr>
          <w:b/>
          <w:bCs/>
          <w:color w:val="000000"/>
        </w:rPr>
        <w:t>Explain any special circumstances that would cause an information collection to be conducted in a manner:</w:t>
      </w:r>
    </w:p>
    <w:p w:rsidRPr="00BA2E22" w:rsidR="00E27455" w:rsidRDefault="0083138B">
      <w:pPr>
        <w:rPr>
          <w:b/>
          <w:bCs/>
        </w:rPr>
      </w:pPr>
      <w:r w:rsidRPr="00BA2E22">
        <w:rPr>
          <w:b/>
          <w:bCs/>
        </w:rPr>
        <w:fldChar w:fldCharType="begin"/>
      </w:r>
      <w:r w:rsidRPr="00870C51" w:rsidR="00842E74">
        <w:rPr>
          <w:b/>
          <w:bCs/>
        </w:rPr>
        <w:instrText>ADVANCE \R 0.95</w:instrText>
      </w:r>
      <w:r w:rsidRPr="00870C51">
        <w:rPr>
          <w:b/>
          <w:bCs/>
        </w:rPr>
        <w:fldChar w:fldCharType="end"/>
      </w:r>
    </w:p>
    <w:p w:rsidRPr="00BA2E22" w:rsidR="001E0DB3" w:rsidP="001E0DB3" w:rsidRDefault="001E0DB3">
      <w:r w:rsidRPr="00BA2E22">
        <w:t>The special circumstances contained in item 7(a) thru (h) of this supporting statement are not applicable to this information collection.</w:t>
      </w:r>
    </w:p>
    <w:p w:rsidRPr="00BA2E22" w:rsidR="001E0DB3" w:rsidRDefault="001E0DB3">
      <w:pPr>
        <w:rPr>
          <w:b/>
          <w:bCs/>
        </w:rPr>
      </w:pPr>
    </w:p>
    <w:p w:rsidRPr="00BA2E22" w:rsidR="00E27455" w:rsidP="00E27455" w:rsidRDefault="00E27455">
      <w:pPr>
        <w:numPr>
          <w:ilvl w:val="0"/>
          <w:numId w:val="15"/>
        </w:numPr>
        <w:rPr>
          <w:b/>
          <w:bCs/>
        </w:rPr>
      </w:pPr>
      <w:r w:rsidRPr="00BA2E22">
        <w:rPr>
          <w:b/>
          <w:bCs/>
        </w:rPr>
        <w:t>Requiring respondents to report information to the agency more often</w:t>
      </w:r>
    </w:p>
    <w:p w:rsidRPr="00BA2E22" w:rsidR="00E27455" w:rsidP="00E27455" w:rsidRDefault="00E27455">
      <w:r w:rsidRPr="00BA2E22">
        <w:rPr>
          <w:b/>
          <w:bCs/>
        </w:rPr>
        <w:t xml:space="preserve"> than quarterly.</w:t>
      </w:r>
    </w:p>
    <w:p w:rsidRPr="00BA2E22" w:rsidR="00E27455" w:rsidP="00E27455" w:rsidRDefault="0083138B">
      <w:r w:rsidRPr="00BA2E22">
        <w:fldChar w:fldCharType="begin"/>
      </w:r>
      <w:r w:rsidRPr="00870C51" w:rsidR="00E27455">
        <w:instrText>ADVANCE \R 0.95</w:instrText>
      </w:r>
      <w:r w:rsidRPr="00870C51">
        <w:fldChar w:fldCharType="end"/>
      </w:r>
    </w:p>
    <w:p w:rsidRPr="00BA2E22" w:rsidR="00E27455" w:rsidP="00E27455" w:rsidRDefault="0083138B">
      <w:pPr>
        <w:rPr>
          <w:b/>
          <w:bCs/>
        </w:rPr>
      </w:pPr>
      <w:r w:rsidRPr="00BA2E22">
        <w:fldChar w:fldCharType="begin"/>
      </w:r>
      <w:r w:rsidRPr="00870C51" w:rsidR="00E27455">
        <w:instrText>ADVANCE \R 0.95</w:instrText>
      </w:r>
      <w:r w:rsidRPr="00870C51">
        <w:fldChar w:fldCharType="end"/>
      </w:r>
      <w:r w:rsidRPr="00BA2E22" w:rsidR="00E27455">
        <w:tab/>
      </w:r>
      <w:r w:rsidRPr="00BA2E22" w:rsidR="00E27455">
        <w:rPr>
          <w:b/>
          <w:bCs/>
        </w:rPr>
        <w:t>(b) Requiring respondents to prepare a written response to a collection of information in fewer than 30 days after receipt of it.</w:t>
      </w:r>
    </w:p>
    <w:p w:rsidRPr="00BA2E22" w:rsidR="00E27455" w:rsidP="00E27455" w:rsidRDefault="0083138B">
      <w:r w:rsidRPr="00BA2E22">
        <w:fldChar w:fldCharType="begin"/>
      </w:r>
      <w:r w:rsidRPr="00870C51" w:rsidR="00E27455">
        <w:instrText>ADVANCE \R 0.95</w:instrText>
      </w:r>
      <w:r w:rsidRPr="00870C51">
        <w:fldChar w:fldCharType="end"/>
      </w:r>
    </w:p>
    <w:p w:rsidRPr="00BA2E22" w:rsidR="00E27455" w:rsidP="00E27455" w:rsidRDefault="00981D8B">
      <w:pPr>
        <w:ind w:left="720"/>
        <w:rPr>
          <w:b/>
          <w:bCs/>
        </w:rPr>
      </w:pPr>
      <w:r w:rsidRPr="00BA2E22">
        <w:rPr>
          <w:b/>
        </w:rPr>
        <w:t xml:space="preserve"> </w:t>
      </w:r>
      <w:r w:rsidRPr="00BA2E22" w:rsidR="00E27455">
        <w:rPr>
          <w:b/>
        </w:rPr>
        <w:t xml:space="preserve">(c) </w:t>
      </w:r>
      <w:r w:rsidRPr="00BA2E22" w:rsidR="0083138B">
        <w:rPr>
          <w:b/>
        </w:rPr>
        <w:fldChar w:fldCharType="begin"/>
      </w:r>
      <w:r w:rsidRPr="00870C51" w:rsidR="00E27455">
        <w:rPr>
          <w:b/>
        </w:rPr>
        <w:instrText>ADVANCE \R 0.95</w:instrText>
      </w:r>
      <w:r w:rsidRPr="00870C51" w:rsidR="0083138B">
        <w:rPr>
          <w:b/>
        </w:rPr>
        <w:fldChar w:fldCharType="end"/>
      </w:r>
      <w:r w:rsidRPr="00BA2E22" w:rsidR="00E27455">
        <w:rPr>
          <w:b/>
        </w:rPr>
        <w:t>Requi</w:t>
      </w:r>
      <w:r w:rsidRPr="00BA2E22" w:rsidR="00E27455">
        <w:rPr>
          <w:b/>
          <w:bCs/>
        </w:rPr>
        <w:t xml:space="preserve">ring respondents to submit more than an original and two copies of </w:t>
      </w:r>
    </w:p>
    <w:p w:rsidRPr="00BA2E22" w:rsidR="00E27455" w:rsidP="00E27455" w:rsidRDefault="00E27455">
      <w:pPr>
        <w:rPr>
          <w:b/>
          <w:bCs/>
        </w:rPr>
      </w:pPr>
      <w:r w:rsidRPr="00BA2E22">
        <w:rPr>
          <w:b/>
          <w:bCs/>
        </w:rPr>
        <w:t>any document.</w:t>
      </w:r>
    </w:p>
    <w:p w:rsidRPr="00BA2E22" w:rsidR="00E27455" w:rsidP="00E27455" w:rsidRDefault="00E27455">
      <w:r w:rsidRPr="00BA2E22">
        <w:tab/>
      </w:r>
    </w:p>
    <w:p w:rsidRPr="00BA2E22" w:rsidR="00E27455" w:rsidP="00E27455" w:rsidRDefault="0083138B">
      <w:pPr>
        <w:rPr>
          <w:b/>
          <w:bCs/>
        </w:rPr>
      </w:pPr>
      <w:r w:rsidRPr="00BA2E22">
        <w:fldChar w:fldCharType="begin"/>
      </w:r>
      <w:r w:rsidRPr="00870C51" w:rsidR="00E27455">
        <w:instrText>ADVANCE \R 0.95</w:instrText>
      </w:r>
      <w:r w:rsidRPr="00870C51">
        <w:fldChar w:fldCharType="end"/>
      </w:r>
      <w:r w:rsidRPr="00BA2E22" w:rsidR="00E27455">
        <w:tab/>
      </w:r>
      <w:r w:rsidRPr="00BA2E22" w:rsidR="00E27455">
        <w:rPr>
          <w:b/>
          <w:bCs/>
        </w:rPr>
        <w:t>(d) Requiring respondents to retain records, other than health,</w:t>
      </w:r>
    </w:p>
    <w:p w:rsidRPr="00BA2E22" w:rsidR="00E27455" w:rsidP="00E27455" w:rsidRDefault="00E27455">
      <w:r w:rsidRPr="00BA2E22">
        <w:rPr>
          <w:b/>
          <w:bCs/>
        </w:rPr>
        <w:t>medical, government contract, grant-in-aid, or tax records for more than three years</w:t>
      </w:r>
      <w:r w:rsidRPr="00BA2E22">
        <w:t>.</w:t>
      </w:r>
    </w:p>
    <w:p w:rsidRPr="00BA2E22" w:rsidR="00981D8B" w:rsidP="00E27455" w:rsidRDefault="00981D8B"/>
    <w:p w:rsidRPr="00BA2E22" w:rsidR="00E27455" w:rsidP="00E27455" w:rsidRDefault="0083138B">
      <w:r w:rsidRPr="00BA2E22">
        <w:fldChar w:fldCharType="begin"/>
      </w:r>
      <w:r w:rsidRPr="00870C51" w:rsidR="00E27455">
        <w:instrText>ADVANCE \R 0.95</w:instrText>
      </w:r>
      <w:r w:rsidRPr="00870C51">
        <w:fldChar w:fldCharType="end"/>
      </w:r>
      <w:r w:rsidRPr="00870C51">
        <w:fldChar w:fldCharType="begin"/>
      </w:r>
      <w:r w:rsidRPr="00870C51" w:rsidR="00E27455">
        <w:instrText>ADVANCE \R 0.95</w:instrText>
      </w:r>
      <w:r w:rsidRPr="00870C51">
        <w:fldChar w:fldCharType="end"/>
      </w:r>
      <w:r w:rsidRPr="00BA2E22" w:rsidR="00E27455">
        <w:tab/>
      </w:r>
      <w:r w:rsidRPr="00BA2E22" w:rsidR="00E27455">
        <w:rPr>
          <w:b/>
          <w:bCs/>
        </w:rPr>
        <w:t>(e) In connection with a statistical survey, that is not designed to produce valid and reliable results that can be generalized to the universe of study</w:t>
      </w:r>
      <w:r w:rsidRPr="00BA2E22" w:rsidR="00E27455">
        <w:t>.</w:t>
      </w:r>
    </w:p>
    <w:p w:rsidRPr="00BA2E22" w:rsidR="00E27455" w:rsidP="00E27455" w:rsidRDefault="00E27455"/>
    <w:p w:rsidRPr="00BA2E22" w:rsidR="00E27455" w:rsidP="00E27455" w:rsidRDefault="0083138B">
      <w:pPr>
        <w:rPr>
          <w:b/>
          <w:bCs/>
        </w:rPr>
      </w:pPr>
      <w:r w:rsidRPr="00BA2E22">
        <w:fldChar w:fldCharType="begin"/>
      </w:r>
      <w:r w:rsidRPr="00870C51" w:rsidR="00E27455">
        <w:instrText>ADVANCE \R 0.95</w:instrText>
      </w:r>
      <w:r w:rsidRPr="00870C51">
        <w:fldChar w:fldCharType="end"/>
      </w:r>
      <w:r w:rsidRPr="00BA2E22" w:rsidR="00E27455">
        <w:tab/>
      </w:r>
      <w:r w:rsidRPr="00BA2E22" w:rsidR="00E27455">
        <w:rPr>
          <w:b/>
          <w:bCs/>
        </w:rPr>
        <w:t>(f) Requiring the use of a statistical data classification that has not been reviewed and approved by OMB.</w:t>
      </w:r>
    </w:p>
    <w:p w:rsidRPr="00BA2E22" w:rsidR="00E27455" w:rsidP="00E27455" w:rsidRDefault="00E27455"/>
    <w:p w:rsidRPr="00BA2E22" w:rsidR="00E27455" w:rsidP="00E27455" w:rsidRDefault="0083138B">
      <w:pPr>
        <w:rPr>
          <w:b/>
          <w:bCs/>
        </w:rPr>
      </w:pPr>
      <w:r w:rsidRPr="00BA2E22">
        <w:fldChar w:fldCharType="begin"/>
      </w:r>
      <w:r w:rsidRPr="00870C51" w:rsidR="00E27455">
        <w:instrText>ADVANCE \R 0.95</w:instrText>
      </w:r>
      <w:r w:rsidRPr="00870C51">
        <w:fldChar w:fldCharType="end"/>
      </w:r>
      <w:r w:rsidRPr="00BA2E22" w:rsidR="00E27455">
        <w:tab/>
      </w:r>
      <w:r w:rsidRPr="00BA2E22" w:rsidR="00E27455">
        <w:rPr>
          <w:b/>
          <w:bCs/>
        </w:rPr>
        <w:t>(g) That includes a pledge of confidentiality that is not supported by authority established in statute or regulation, that is not supported by</w:t>
      </w:r>
      <w:r w:rsidRPr="00BA2E22" w:rsidR="00E27455">
        <w:rPr>
          <w:b/>
          <w:bCs/>
        </w:rPr>
        <w:tab/>
        <w:t>disclosure and data security policies that are consistent with the pledge, or which unnecessarily impedes sharing of data with other</w:t>
      </w:r>
      <w:r w:rsidRPr="00BA2E22" w:rsidR="00E27455">
        <w:rPr>
          <w:b/>
          <w:bCs/>
        </w:rPr>
        <w:tab/>
        <w:t>agencies for compatible confidential use.</w:t>
      </w:r>
    </w:p>
    <w:p w:rsidRPr="00BA2E22" w:rsidR="00E27455" w:rsidP="00E27455" w:rsidRDefault="0083138B">
      <w:r w:rsidRPr="00BA2E22">
        <w:fldChar w:fldCharType="begin"/>
      </w:r>
      <w:r w:rsidRPr="00870C51" w:rsidR="00E27455">
        <w:instrText>ADVANCE \R 0.95</w:instrText>
      </w:r>
      <w:r w:rsidRPr="00870C51">
        <w:fldChar w:fldCharType="end"/>
      </w:r>
    </w:p>
    <w:p w:rsidRPr="00BA2E22" w:rsidR="00E27455" w:rsidP="00E27455" w:rsidRDefault="0083138B">
      <w:pPr>
        <w:rPr>
          <w:b/>
          <w:bCs/>
        </w:rPr>
      </w:pPr>
      <w:r w:rsidRPr="00BA2E22">
        <w:fldChar w:fldCharType="begin"/>
      </w:r>
      <w:r w:rsidRPr="00870C51" w:rsidR="00E27455">
        <w:instrText>ADVANCE \R 0.95</w:instrText>
      </w:r>
      <w:r w:rsidRPr="00870C51">
        <w:fldChar w:fldCharType="end"/>
      </w:r>
      <w:r w:rsidRPr="00BA2E22" w:rsidR="00E27455">
        <w:tab/>
      </w:r>
      <w:r w:rsidRPr="00BA2E22" w:rsidR="00E27455">
        <w:rPr>
          <w:b/>
          <w:bCs/>
        </w:rPr>
        <w:t>(h) Requiring respondents to submit proprietary trade secret, or other confidential information unless the agency can demonstrate that it has instituted procedures to protect the information’s confidentiality to the extent permitted by law.</w:t>
      </w:r>
    </w:p>
    <w:p w:rsidRPr="00BA2E22" w:rsidR="00981D8B" w:rsidRDefault="0083138B">
      <w:r w:rsidRPr="00BA2E22">
        <w:fldChar w:fldCharType="begin"/>
      </w:r>
      <w:r w:rsidRPr="00870C51" w:rsidR="00E27455">
        <w:instrText>ADVANCE \R 0.95</w:instrText>
      </w:r>
      <w:r w:rsidRPr="00870C51">
        <w:fldChar w:fldCharType="end"/>
      </w:r>
    </w:p>
    <w:p w:rsidRPr="00BA2E22" w:rsidR="00842E74" w:rsidRDefault="0083138B">
      <w:pPr>
        <w:rPr>
          <w:b/>
          <w:bCs/>
        </w:rPr>
      </w:pPr>
      <w:r w:rsidRPr="00BA2E22">
        <w:rPr>
          <w:b/>
          <w:bCs/>
        </w:rPr>
        <w:fldChar w:fldCharType="begin"/>
      </w:r>
      <w:r w:rsidRPr="00870C51" w:rsidR="00842E74">
        <w:rPr>
          <w:b/>
          <w:bCs/>
        </w:rPr>
        <w:instrText>ADVANCE \R 0.95</w:instrText>
      </w:r>
      <w:r w:rsidRPr="00870C51">
        <w:rPr>
          <w:b/>
          <w:bCs/>
        </w:rPr>
        <w:fldChar w:fldCharType="end"/>
      </w:r>
      <w:bookmarkStart w:name="_Hlk52445272" w:id="1"/>
      <w:r w:rsidRPr="00BA2E22" w:rsidR="00842E74">
        <w:rPr>
          <w:b/>
          <w:bCs/>
        </w:rPr>
        <w:t xml:space="preserve">8.  Federal Register Notice: </w:t>
      </w:r>
    </w:p>
    <w:p w:rsidRPr="00BA2E22" w:rsidR="00842E74" w:rsidRDefault="0083138B">
      <w:pPr>
        <w:rPr>
          <w:b/>
          <w:bCs/>
        </w:rPr>
      </w:pPr>
      <w:r w:rsidRPr="00BA2E22">
        <w:rPr>
          <w:b/>
          <w:bCs/>
        </w:rPr>
        <w:fldChar w:fldCharType="begin"/>
      </w:r>
      <w:r w:rsidRPr="00870C51" w:rsidR="00842E74">
        <w:rPr>
          <w:b/>
          <w:bCs/>
        </w:rPr>
        <w:instrText>ADVANCE \R 0.95</w:instrText>
      </w:r>
      <w:r w:rsidRPr="00870C51">
        <w:rPr>
          <w:b/>
          <w:bCs/>
        </w:rPr>
        <w:fldChar w:fldCharType="end"/>
      </w:r>
    </w:p>
    <w:p w:rsidRPr="00870C51" w:rsidR="00842E74" w:rsidRDefault="0083138B">
      <w:pPr>
        <w:rPr>
          <w:b/>
          <w:bCs/>
        </w:rPr>
      </w:pPr>
      <w:r w:rsidRPr="00BA2E22">
        <w:rPr>
          <w:b/>
          <w:bCs/>
        </w:rPr>
        <w:fldChar w:fldCharType="begin"/>
      </w:r>
      <w:r w:rsidRPr="00870C51" w:rsidR="00842E74">
        <w:rPr>
          <w:b/>
          <w:bCs/>
        </w:rPr>
        <w:instrText>ADVANCE \R 0.95</w:instrText>
      </w:r>
      <w:r w:rsidRPr="00870C51">
        <w:rPr>
          <w:b/>
          <w:bCs/>
        </w:rPr>
        <w:fldChar w:fldCharType="end"/>
      </w:r>
      <w:r w:rsidRPr="00BA2E22" w:rsidR="00842E74">
        <w:rPr>
          <w:b/>
          <w:bCs/>
        </w:rPr>
        <w:t xml:space="preserve">            a.   Provide a copy and identify the date and page number of </w:t>
      </w:r>
      <w:proofErr w:type="gramStart"/>
      <w:r w:rsidRPr="00BA2E22" w:rsidR="00842E74">
        <w:rPr>
          <w:b/>
          <w:bCs/>
        </w:rPr>
        <w:t>publication</w:t>
      </w:r>
      <w:proofErr w:type="gramEnd"/>
      <w:r w:rsidRPr="00BA2E22" w:rsidR="00842E74">
        <w:rPr>
          <w:b/>
          <w:bCs/>
        </w:rPr>
        <w:t xml:space="preserve"> in the Federal Register of the agency’s notice soliciting comments on the </w:t>
      </w:r>
      <w:r w:rsidRPr="00870C51" w:rsidR="00920A21">
        <w:rPr>
          <w:b/>
          <w:bCs/>
        </w:rPr>
        <w:tab/>
      </w:r>
      <w:r w:rsidRPr="00870C51" w:rsidR="00842E74">
        <w:rPr>
          <w:b/>
          <w:bCs/>
        </w:rPr>
        <w:t>information collection prior to submission to OMB.  Summarize public</w:t>
      </w:r>
      <w:r w:rsidRPr="00870C51" w:rsidR="00232C69">
        <w:rPr>
          <w:b/>
          <w:bCs/>
        </w:rPr>
        <w:t xml:space="preserve"> </w:t>
      </w:r>
      <w:r w:rsidRPr="00870C51" w:rsidR="00842E74">
        <w:rPr>
          <w:b/>
          <w:bCs/>
        </w:rPr>
        <w:t>comments received in response to that notice and describe actions taken by</w:t>
      </w:r>
      <w:r w:rsidRPr="00870C51" w:rsidR="00232C69">
        <w:rPr>
          <w:b/>
          <w:bCs/>
        </w:rPr>
        <w:t xml:space="preserve"> </w:t>
      </w:r>
      <w:r w:rsidRPr="00870C51" w:rsidR="00842E74">
        <w:rPr>
          <w:b/>
          <w:bCs/>
        </w:rPr>
        <w:t>the agency in response to these comments.  Specifically address comments</w:t>
      </w:r>
      <w:r w:rsidRPr="00870C51" w:rsidR="00232C69">
        <w:rPr>
          <w:b/>
          <w:bCs/>
        </w:rPr>
        <w:t xml:space="preserve"> </w:t>
      </w:r>
      <w:r w:rsidRPr="00870C51" w:rsidR="00842E74">
        <w:rPr>
          <w:b/>
          <w:bCs/>
        </w:rPr>
        <w:t>received on cost and hour burden.</w:t>
      </w:r>
    </w:p>
    <w:p w:rsidRPr="00BA2E22" w:rsidR="00842E74" w:rsidRDefault="0083138B">
      <w:r w:rsidRPr="00BA2E22">
        <w:fldChar w:fldCharType="begin"/>
      </w:r>
      <w:r w:rsidRPr="00870C51" w:rsidR="00842E74">
        <w:instrText>ADVANCE \R 0.95</w:instrText>
      </w:r>
      <w:r w:rsidRPr="00870C51">
        <w:fldChar w:fldCharType="end"/>
      </w:r>
    </w:p>
    <w:bookmarkEnd w:id="1"/>
    <w:p w:rsidRPr="00CC2A94" w:rsidR="00E83C29" w:rsidP="00E83C29" w:rsidRDefault="00E83C29">
      <w:pPr>
        <w:rPr>
          <w:b/>
          <w:bCs/>
        </w:rPr>
      </w:pPr>
      <w:r w:rsidRPr="00CC2A94">
        <w:t xml:space="preserve">A 60-day Federal Register Notice inviting public comments was published on October 27, 2020, 85 FR 68084.  </w:t>
      </w:r>
      <w:r w:rsidRPr="00CC2A94">
        <w:rPr>
          <w:b/>
          <w:bCs/>
        </w:rPr>
        <w:t xml:space="preserve">number of comments related to (state topic of comments) were received].  </w:t>
      </w:r>
    </w:p>
    <w:p w:rsidRPr="00CC2A94" w:rsidR="00E83C29" w:rsidP="00E83C29" w:rsidRDefault="00E83C29">
      <w:pPr>
        <w:pStyle w:val="Footer"/>
        <w:tabs>
          <w:tab w:val="clear" w:pos="4320"/>
          <w:tab w:val="clear" w:pos="8640"/>
        </w:tabs>
      </w:pPr>
    </w:p>
    <w:p w:rsidR="00CC2A94" w:rsidP="00CC2A94" w:rsidRDefault="00E83C29">
      <w:pPr>
        <w:rPr>
          <w:b/>
          <w:bCs/>
        </w:rPr>
      </w:pPr>
      <w:r w:rsidRPr="00CC2A94">
        <w:t xml:space="preserve">A 30-day Federal Register Notice inviting public comments was published on </w:t>
      </w:r>
      <w:r w:rsidRPr="00CC2A94" w:rsidR="00CC2A94">
        <w:t>January 7, 2021</w:t>
      </w:r>
      <w:r w:rsidRPr="00CC2A94">
        <w:t xml:space="preserve">, </w:t>
      </w:r>
      <w:r w:rsidRPr="00CC2A94" w:rsidR="00CC2A94">
        <w:t>86</w:t>
      </w:r>
      <w:r w:rsidRPr="00CC2A94">
        <w:t xml:space="preserve"> FR </w:t>
      </w:r>
      <w:r w:rsidRPr="00CC2A94" w:rsidR="00CC2A94">
        <w:t>1117</w:t>
      </w:r>
      <w:r w:rsidRPr="00CC2A94">
        <w:t xml:space="preserve">.  </w:t>
      </w:r>
      <w:r w:rsidRPr="00CC2A94" w:rsidR="00CC2A94">
        <w:rPr>
          <w:b/>
          <w:bCs/>
        </w:rPr>
        <w:t>Two</w:t>
      </w:r>
      <w:r w:rsidRPr="00CC2A94">
        <w:rPr>
          <w:b/>
          <w:bCs/>
        </w:rPr>
        <w:t xml:space="preserve"> comments related to (state topic of comments) were received].  </w:t>
      </w:r>
      <w:r w:rsidRPr="00CC2A94" w:rsidR="00CC2A94">
        <w:rPr>
          <w:b/>
          <w:bCs/>
        </w:rPr>
        <w:t xml:space="preserve">  </w:t>
      </w:r>
    </w:p>
    <w:p w:rsidR="00CC2A94" w:rsidP="00CC2A94" w:rsidRDefault="00CC2A94">
      <w:pPr>
        <w:rPr>
          <w:b/>
          <w:bCs/>
        </w:rPr>
      </w:pPr>
    </w:p>
    <w:p w:rsidR="00CC2A94" w:rsidP="00CC2A94" w:rsidRDefault="00D0147E">
      <w:pPr>
        <w:rPr>
          <w:sz w:val="22"/>
          <w:szCs w:val="22"/>
        </w:rPr>
      </w:pPr>
      <w:r>
        <w:t xml:space="preserve"> </w:t>
      </w:r>
      <w:r w:rsidRPr="00CC2A94" w:rsidR="00CC2A94">
        <w:t>This proposed information collection previously published in the Federal</w:t>
      </w:r>
      <w:r w:rsidR="00CC2A94">
        <w:t xml:space="preserve"> Register on October 27, 2020, at 85 FR 68084 with a 60-day public comment period.  The comment period closed on December 28, 2020.  FEMA received 2 </w:t>
      </w:r>
      <w:proofErr w:type="gramStart"/>
      <w:r w:rsidR="00CC2A94">
        <w:t>comments  via</w:t>
      </w:r>
      <w:proofErr w:type="gramEnd"/>
      <w:r w:rsidR="00CC2A94">
        <w:t xml:space="preserve"> www.regulations.gov in response to Information Collection 1660-0072.  A summary of each comment and FEMA’s response is provided below.</w:t>
      </w:r>
    </w:p>
    <w:p w:rsidR="00CC2A94" w:rsidP="00CC2A94" w:rsidRDefault="00CC2A94">
      <w:r>
        <w:t xml:space="preserve">Individual Citizen, Docket ID FEMA-2020-0035-0002  </w:t>
      </w:r>
    </w:p>
    <w:p w:rsidR="00CC2A94" w:rsidP="00CC2A94" w:rsidRDefault="00CC2A94">
      <w:r>
        <w:t xml:space="preserve">               This individual citizen posted two comments within one attachment.   The initial comment provided that because “community” is used in program descriptions, applications and </w:t>
      </w:r>
      <w:proofErr w:type="spellStart"/>
      <w:r>
        <w:t>subapplications</w:t>
      </w:r>
      <w:proofErr w:type="spellEnd"/>
      <w:r>
        <w:t xml:space="preserve"> submitted by SLTTs for BRIC and FMA grants should include the following information: “1) Evidence of public outreach and education on proposed mitigation activities; 2) Evidence of public comment on the proposed mitigation activities; 3) Evidence that public comments were addressed either by additional outreach/education within the community or incorporation into proposed mitigation/solution in the application/proposal; and 4) Evidence of community representation on the team that developed the application/sub-application.”  In response, while FEMA appreciates this comment, the Information Collection Request Federal Register notice was published to solicit feedback about the expression of interest form to solicit potential panelists for the BRIC application review process. </w:t>
      </w:r>
    </w:p>
    <w:p w:rsidRPr="006625E7" w:rsidR="00E83C29" w:rsidP="00CC2A94" w:rsidRDefault="00CC2A94">
      <w:r>
        <w:t>               The second comment seeks additional information about the makeup of the qualitative panel, the review process, and whether panelists will be compensated for their participation in the review process.  In response, BRIC applications and sub-applications will be reviewed for Eligibility and Completeness (E&amp;C) by FEMA’s respective regional offices.  During the E&amp;C review, projects that are submitted to the national competition will also be provided a technical score.  Technical scores are made up of 100 points, which are binary points.  After applications have gone through the E&amp;C review, they will be forwarded to the National Technical Review (NTR).  Projects that are marked as standard NTR during the E&amp;C review will be reviewed by contractors and issued an NTR memo.  Projects that are marked as decentralized will be reviewed by the regional office and issued an NTR memo.  After NTR has concluded, the projects that are submitted to the national competition will be sent to the qualitative panels.  During the qualitative panels, applications will be reviewed by States, Locals, Tribes, Territories (SLTTs) and other federal agencies and scored based on a gradient scale.  Qualitative scoring has a total of 100 possible points.  The scoring is made up of 6 criteria, all ranging in different point value.  For the qualitative panels, each application will be reviewed and scored by 3 volunteer panel members.  The panelists will not be compensated for their participation. </w:t>
      </w:r>
    </w:p>
    <w:p w:rsidRPr="00BA2E22" w:rsidR="00DA7057" w:rsidP="00CA7C19" w:rsidRDefault="00DA7057">
      <w:pPr>
        <w:pStyle w:val="Footer"/>
        <w:rPr>
          <w:color w:val="000000"/>
        </w:rPr>
      </w:pPr>
    </w:p>
    <w:p w:rsidRPr="00BA2E22" w:rsidR="006B0A61" w:rsidP="00CA7C19" w:rsidRDefault="006B0A61">
      <w:pPr>
        <w:pStyle w:val="Footer"/>
        <w:rPr>
          <w:color w:val="000000"/>
        </w:rPr>
      </w:pPr>
      <w:r w:rsidRPr="00BA2E22">
        <w:rPr>
          <w:rFonts w:eastAsia="Calibri"/>
          <w:b/>
          <w:bCs/>
          <w:color w:val="0000FF"/>
        </w:rPr>
        <w:t xml:space="preserve">  </w:t>
      </w:r>
    </w:p>
    <w:p w:rsidRPr="00BA2E22" w:rsidR="00842E74" w:rsidRDefault="0083138B">
      <w:pPr>
        <w:tabs>
          <w:tab w:val="left" w:pos="360"/>
        </w:tabs>
        <w:rPr>
          <w:b/>
          <w:bCs/>
        </w:rPr>
      </w:pPr>
      <w:r w:rsidRPr="00BA2E22">
        <w:fldChar w:fldCharType="begin"/>
      </w:r>
      <w:r w:rsidRPr="00870C51" w:rsidR="00842E74">
        <w:instrText>ADVANCE \R 0.95</w:instrText>
      </w:r>
      <w:r w:rsidRPr="00870C51">
        <w:fldChar w:fldCharType="end"/>
      </w:r>
      <w:r w:rsidRPr="00BA2E22" w:rsidR="00842E74">
        <w:tab/>
      </w:r>
      <w:r w:rsidRPr="00BA2E22" w:rsidR="00842E74">
        <w:tab/>
      </w:r>
      <w:r w:rsidRPr="00BA2E22" w:rsidR="00842E74">
        <w:rPr>
          <w:b/>
          <w:bCs/>
        </w:rPr>
        <w:t xml:space="preserve">b.  Describe efforts to consult with persons outside the agency to obtain their views on the availability of data, frequency of collection, the clarity of </w:t>
      </w:r>
      <w:r w:rsidRPr="00BA2E22" w:rsidR="00232C69">
        <w:rPr>
          <w:b/>
          <w:bCs/>
        </w:rPr>
        <w:t>ins</w:t>
      </w:r>
      <w:r w:rsidRPr="00BA2E22" w:rsidR="00842E74">
        <w:rPr>
          <w:b/>
          <w:bCs/>
        </w:rPr>
        <w:t>tructions and recordkeeping, disclosure, or reporting format (if any), and on the data elements to be recorded, disclosed, or reported.</w:t>
      </w:r>
    </w:p>
    <w:p w:rsidRPr="00BA2E22" w:rsidR="00372ED0" w:rsidRDefault="00372ED0">
      <w:pPr>
        <w:rPr>
          <w:color w:val="FF0000"/>
        </w:rPr>
      </w:pPr>
    </w:p>
    <w:p w:rsidRPr="00BA2E22" w:rsidR="00343DAB" w:rsidP="00343DAB" w:rsidRDefault="00343DAB">
      <w:pPr>
        <w:tabs>
          <w:tab w:val="left" w:pos="360"/>
        </w:tabs>
      </w:pPr>
      <w:r w:rsidRPr="00BA2E22">
        <w:t xml:space="preserve">FEMA </w:t>
      </w:r>
      <w:r w:rsidRPr="00BA2E22" w:rsidR="00F37572">
        <w:t xml:space="preserve">routinely consults with </w:t>
      </w:r>
      <w:r w:rsidRPr="00BA2E22">
        <w:t xml:space="preserve">State/local representatives and national organizations to discuss FEMA mitigation grant programs.  The timing of these discussions varies and is often conducted on an as needed basis. </w:t>
      </w:r>
      <w:r w:rsidR="00673384">
        <w:t xml:space="preserve"> </w:t>
      </w:r>
      <w:r w:rsidRPr="00BA2E22" w:rsidR="00F37572">
        <w:t xml:space="preserve">FEMA holds periodic conference calls with both the </w:t>
      </w:r>
      <w:r w:rsidRPr="00BA2E22">
        <w:t xml:space="preserve">National Emergency Management Association </w:t>
      </w:r>
      <w:r w:rsidRPr="00BA2E22" w:rsidR="00195D53">
        <w:t xml:space="preserve">(NEMA) </w:t>
      </w:r>
      <w:r w:rsidRPr="00BA2E22" w:rsidR="00F37572">
        <w:t xml:space="preserve">and the Association of State Floodplain Managers (ASFPM).  In addition, FEMA staff participates actively in annual conferences of both these </w:t>
      </w:r>
      <w:r w:rsidRPr="00BA2E22">
        <w:t>organizations</w:t>
      </w:r>
      <w:r w:rsidRPr="00BA2E22" w:rsidR="00F37572">
        <w:t>.</w:t>
      </w:r>
      <w:r w:rsidRPr="00BA2E22">
        <w:t xml:space="preserve">  </w:t>
      </w:r>
    </w:p>
    <w:p w:rsidRPr="00BA2E22" w:rsidR="00DA7057" w:rsidP="00343DAB" w:rsidRDefault="00DA7057">
      <w:pPr>
        <w:tabs>
          <w:tab w:val="left" w:pos="360"/>
        </w:tabs>
      </w:pPr>
    </w:p>
    <w:p w:rsidRPr="00BA2E22" w:rsidR="00E27455" w:rsidP="00E27455" w:rsidRDefault="00E27455">
      <w:pPr>
        <w:rPr>
          <w:color w:val="FF0000"/>
        </w:rPr>
      </w:pPr>
    </w:p>
    <w:p w:rsidRPr="00636A5A" w:rsidR="00E27455" w:rsidP="00E27455" w:rsidRDefault="00E27455">
      <w:pPr>
        <w:tabs>
          <w:tab w:val="left" w:pos="360"/>
        </w:tabs>
        <w:rPr>
          <w:b/>
          <w:bCs/>
        </w:rPr>
      </w:pPr>
      <w:r w:rsidRPr="00870C51">
        <w:rPr>
          <w:b/>
          <w:bCs/>
        </w:rPr>
        <w:tab/>
      </w:r>
      <w:r w:rsidRPr="00870C51">
        <w:rPr>
          <w:b/>
          <w:bCs/>
        </w:rPr>
        <w:tab/>
      </w:r>
      <w:r w:rsidRPr="00870C51" w:rsidR="00EB2642">
        <w:rPr>
          <w:b/>
          <w:bCs/>
        </w:rPr>
        <w:t xml:space="preserve">c. </w:t>
      </w:r>
      <w:r w:rsidRPr="00870C51">
        <w:rPr>
          <w:b/>
          <w:bCs/>
        </w:rPr>
        <w:t xml:space="preserve">Describe consultations with representatives of those from whom information is to be obtained or those who must compile records. </w:t>
      </w:r>
      <w:r w:rsidR="00673384">
        <w:rPr>
          <w:b/>
          <w:bCs/>
        </w:rPr>
        <w:t xml:space="preserve"> </w:t>
      </w:r>
      <w:r w:rsidRPr="00673384">
        <w:rPr>
          <w:b/>
          <w:bCs/>
        </w:rPr>
        <w:t>Consultation should occur at least once every three years, even if the collection of information activities is the same as in prior periods.</w:t>
      </w:r>
      <w:r w:rsidRPr="00636A5A">
        <w:rPr>
          <w:b/>
          <w:bCs/>
        </w:rPr>
        <w:t xml:space="preserve">  There may be circumstances that may preclude consultation in a specific situation. </w:t>
      </w:r>
      <w:r w:rsidR="00673384">
        <w:rPr>
          <w:b/>
          <w:bCs/>
        </w:rPr>
        <w:t xml:space="preserve"> </w:t>
      </w:r>
      <w:r w:rsidRPr="00673384">
        <w:rPr>
          <w:b/>
          <w:bCs/>
        </w:rPr>
        <w:t>T</w:t>
      </w:r>
      <w:r w:rsidRPr="00636A5A">
        <w:rPr>
          <w:b/>
          <w:bCs/>
        </w:rPr>
        <w:t>hese circumstances should be explained.</w:t>
      </w:r>
    </w:p>
    <w:p w:rsidRPr="00636A5A" w:rsidR="00E27455" w:rsidP="00E27455" w:rsidRDefault="00E27455">
      <w:pPr>
        <w:tabs>
          <w:tab w:val="left" w:pos="360"/>
        </w:tabs>
        <w:rPr>
          <w:b/>
          <w:bCs/>
        </w:rPr>
      </w:pPr>
    </w:p>
    <w:p w:rsidRPr="00673384" w:rsidR="00343DAB" w:rsidRDefault="00343DAB">
      <w:r w:rsidRPr="00636A5A">
        <w:t xml:space="preserve">FEMA </w:t>
      </w:r>
      <w:r w:rsidRPr="00636A5A" w:rsidR="00F37572">
        <w:t xml:space="preserve">headquarters and regional staff participate in annual meetings with State and local representatives to discuss updates to mitigation grant programs, including data collection </w:t>
      </w:r>
      <w:r w:rsidRPr="00636A5A" w:rsidR="004B6C88">
        <w:t>and</w:t>
      </w:r>
      <w:r w:rsidR="004B6C88">
        <w:t xml:space="preserve"> the change from </w:t>
      </w:r>
      <w:r w:rsidRPr="00636A5A" w:rsidR="00F37572">
        <w:t xml:space="preserve">use of the </w:t>
      </w:r>
      <w:proofErr w:type="spellStart"/>
      <w:r w:rsidRPr="00636A5A" w:rsidR="00F37572">
        <w:t>eGrants</w:t>
      </w:r>
      <w:proofErr w:type="spellEnd"/>
      <w:r w:rsidRPr="00636A5A" w:rsidR="00F37572">
        <w:t xml:space="preserve"> system</w:t>
      </w:r>
      <w:r w:rsidRPr="00636A5A" w:rsidR="00D5698B">
        <w:t xml:space="preserve"> </w:t>
      </w:r>
      <w:r w:rsidR="004B6C88">
        <w:t>to the</w:t>
      </w:r>
      <w:r w:rsidRPr="00636A5A" w:rsidR="004B6C88">
        <w:t xml:space="preserve"> </w:t>
      </w:r>
      <w:r w:rsidRPr="00636A5A" w:rsidR="00D5698B">
        <w:t>FEMA Go System</w:t>
      </w:r>
      <w:r w:rsidRPr="00673384" w:rsidR="00F37572">
        <w:t>.</w:t>
      </w:r>
      <w:r w:rsidRPr="00673384">
        <w:t xml:space="preserve">  Specifically, these stakeholders have contributed input into the development of the </w:t>
      </w:r>
      <w:proofErr w:type="spellStart"/>
      <w:r w:rsidRPr="00673384" w:rsidR="004B6C88">
        <w:t>e</w:t>
      </w:r>
      <w:r w:rsidR="004B6C88">
        <w:t>FEMA</w:t>
      </w:r>
      <w:proofErr w:type="spellEnd"/>
      <w:r w:rsidR="004B6C88">
        <w:t xml:space="preserve"> GO</w:t>
      </w:r>
      <w:r w:rsidRPr="00673384" w:rsidR="004B6C88">
        <w:t xml:space="preserve"> </w:t>
      </w:r>
      <w:r w:rsidRPr="00673384">
        <w:t>system</w:t>
      </w:r>
      <w:r w:rsidR="004B6C88">
        <w:t xml:space="preserve"> for FMA and BRIC</w:t>
      </w:r>
      <w:r w:rsidRPr="00673384">
        <w:t xml:space="preserve">. </w:t>
      </w:r>
    </w:p>
    <w:p w:rsidRPr="00673384" w:rsidR="0031707F" w:rsidRDefault="0031707F"/>
    <w:p w:rsidRPr="00BA2E22" w:rsidR="0031707F" w:rsidP="0031707F" w:rsidRDefault="0031707F">
      <w:r w:rsidRPr="00BA2E22">
        <w:t xml:space="preserve">In addition to the above, FEMA </w:t>
      </w:r>
      <w:r w:rsidR="00636A5A">
        <w:t>sought</w:t>
      </w:r>
      <w:r w:rsidRPr="00BA2E22" w:rsidR="00636A5A">
        <w:t xml:space="preserve"> </w:t>
      </w:r>
      <w:r w:rsidRPr="00BA2E22">
        <w:t>feedback from various stakeholders</w:t>
      </w:r>
      <w:r w:rsidR="00636A5A">
        <w:t xml:space="preserve"> on the implementation of BRIC</w:t>
      </w:r>
      <w:r w:rsidRPr="00BA2E22">
        <w:t xml:space="preserve"> by way of letters, emails, and through virtual and in-person engagements.  That feedback led to the addition of a qualitative criteria scoring</w:t>
      </w:r>
      <w:r w:rsidR="00636A5A">
        <w:t xml:space="preserve"> which FEMA will implement by convening </w:t>
      </w:r>
      <w:r w:rsidRPr="00BA2E22">
        <w:t>a panel.  This will:</w:t>
      </w:r>
      <w:r w:rsidR="00636A5A">
        <w:t xml:space="preserve"> </w:t>
      </w:r>
      <w:r w:rsidRPr="00BA2E22">
        <w:t>offer a more streamlined application process to address existing complexities, increase transparency regarding how and why final project decisions are made</w:t>
      </w:r>
      <w:r w:rsidR="00636A5A">
        <w:t>,</w:t>
      </w:r>
      <w:r w:rsidRPr="00BA2E22">
        <w:t xml:space="preserve"> and use a universal baseline grant application system for all programs and activities</w:t>
      </w:r>
      <w:r w:rsidR="00636A5A">
        <w:t xml:space="preserve"> under BRIC</w:t>
      </w:r>
      <w:r w:rsidRPr="00BA2E22">
        <w:t xml:space="preserve">. </w:t>
      </w:r>
    </w:p>
    <w:p w:rsidRPr="00BA2E22" w:rsidR="0031707F" w:rsidRDefault="0031707F"/>
    <w:p w:rsidRPr="00BA2E22" w:rsidR="00842E74" w:rsidRDefault="00842E74">
      <w:r w:rsidRPr="00BA2E22">
        <w:t xml:space="preserve">          </w:t>
      </w:r>
    </w:p>
    <w:p w:rsidRPr="00BA2E22" w:rsidR="00842E74" w:rsidP="00C313FA" w:rsidRDefault="0083138B">
      <w:pPr>
        <w:rPr>
          <w:b/>
          <w:bCs/>
        </w:rPr>
      </w:pPr>
      <w:r w:rsidRPr="00BA2E22">
        <w:rPr>
          <w:b/>
          <w:bCs/>
        </w:rPr>
        <w:fldChar w:fldCharType="begin"/>
      </w:r>
      <w:r w:rsidRPr="0076776B" w:rsidR="00842E74">
        <w:rPr>
          <w:b/>
          <w:bCs/>
        </w:rPr>
        <w:instrText>ADVANCE \R 0.95</w:instrText>
      </w:r>
      <w:r w:rsidRPr="0076776B">
        <w:rPr>
          <w:b/>
          <w:bCs/>
        </w:rPr>
        <w:fldChar w:fldCharType="end"/>
      </w:r>
      <w:r w:rsidRPr="00BA2E22" w:rsidR="00842E74">
        <w:rPr>
          <w:b/>
          <w:bCs/>
        </w:rPr>
        <w:t>9.  Explain any decision to provide any payment or gift to respondents, other than remuneration of contractors or grantees.</w:t>
      </w:r>
    </w:p>
    <w:p w:rsidRPr="00BA2E22" w:rsidR="006B1272" w:rsidP="00C313FA" w:rsidRDefault="006B1272">
      <w:pPr>
        <w:rPr>
          <w:b/>
          <w:bCs/>
        </w:rPr>
      </w:pPr>
    </w:p>
    <w:p w:rsidRPr="00BA2E22" w:rsidR="00981D8B" w:rsidP="00981D8B" w:rsidRDefault="00981D8B">
      <w:pPr>
        <w:rPr>
          <w:b/>
          <w:bCs/>
        </w:rPr>
      </w:pPr>
      <w:r w:rsidRPr="00BA2E22">
        <w:t>FEMA does not provide payments or gifts to respondents in exchange for a benefit sought</w:t>
      </w:r>
      <w:r w:rsidRPr="00BA2E22">
        <w:rPr>
          <w:b/>
          <w:bCs/>
        </w:rPr>
        <w:t>.</w:t>
      </w:r>
    </w:p>
    <w:p w:rsidRPr="00BA2E22" w:rsidR="00981D8B" w:rsidP="00981D8B" w:rsidRDefault="00981D8B">
      <w:pPr>
        <w:rPr>
          <w:b/>
          <w:bCs/>
        </w:rPr>
      </w:pPr>
    </w:p>
    <w:p w:rsidRPr="00BA2E22" w:rsidR="0031707F" w:rsidP="00981D8B" w:rsidRDefault="0031707F">
      <w:pPr>
        <w:rPr>
          <w:b/>
          <w:bCs/>
        </w:rPr>
      </w:pPr>
    </w:p>
    <w:p w:rsidRPr="00BA2E22" w:rsidR="00842E74" w:rsidP="00981D8B" w:rsidRDefault="00C313FA">
      <w:pPr>
        <w:rPr>
          <w:b/>
          <w:bCs/>
        </w:rPr>
      </w:pPr>
      <w:bookmarkStart w:name="_Hlk51315172" w:id="2"/>
      <w:r w:rsidRPr="00BA2E22">
        <w:rPr>
          <w:b/>
          <w:bCs/>
        </w:rPr>
        <w:t xml:space="preserve">10.  </w:t>
      </w:r>
      <w:r w:rsidRPr="00BA2E22" w:rsidR="00842E74">
        <w:rPr>
          <w:b/>
          <w:bCs/>
        </w:rPr>
        <w:t>Describe any assurance of confidentiality provided to respondents</w:t>
      </w:r>
      <w:r w:rsidRPr="00BA2E22" w:rsidR="0094233D">
        <w:rPr>
          <w:b/>
          <w:bCs/>
        </w:rPr>
        <w:t xml:space="preserve">. </w:t>
      </w:r>
      <w:r w:rsidRPr="00BA2E22" w:rsidR="00842E74">
        <w:rPr>
          <w:b/>
          <w:bCs/>
        </w:rPr>
        <w:t xml:space="preserve"> </w:t>
      </w:r>
      <w:r w:rsidRPr="00BA2E22" w:rsidR="0094233D">
        <w:rPr>
          <w:b/>
          <w:bCs/>
        </w:rPr>
        <w:t xml:space="preserve">Present </w:t>
      </w:r>
      <w:r w:rsidRPr="00BA2E22" w:rsidR="00842E74">
        <w:rPr>
          <w:b/>
          <w:bCs/>
        </w:rPr>
        <w:t xml:space="preserve">the basis for the assurance in statute, regulation, or agency policy.  </w:t>
      </w:r>
    </w:p>
    <w:p w:rsidR="006B0A61" w:rsidP="006B0A61" w:rsidRDefault="006B0A61">
      <w:pPr>
        <w:tabs>
          <w:tab w:val="left" w:pos="360"/>
        </w:tabs>
      </w:pPr>
      <w:r w:rsidRPr="00BA2E22">
        <w:t xml:space="preserve">A Privacy Threshold Analysis (PTA) was </w:t>
      </w:r>
      <w:r w:rsidR="00E4313E">
        <w:t>October 28, 2020</w:t>
      </w:r>
      <w:r w:rsidRPr="00364F4C">
        <w:t xml:space="preserve">. </w:t>
      </w:r>
      <w:r w:rsidR="00636A5A">
        <w:t xml:space="preserve"> </w:t>
      </w:r>
    </w:p>
    <w:p w:rsidR="00E4313E" w:rsidP="006B0A61" w:rsidRDefault="00E4313E">
      <w:pPr>
        <w:tabs>
          <w:tab w:val="left" w:pos="360"/>
        </w:tabs>
      </w:pPr>
    </w:p>
    <w:p w:rsidR="00E4313E" w:rsidP="006B0A61" w:rsidRDefault="00E4313E">
      <w:pPr>
        <w:tabs>
          <w:tab w:val="left" w:pos="360"/>
        </w:tabs>
      </w:pPr>
    </w:p>
    <w:p w:rsidR="00E4313E" w:rsidP="00E4313E" w:rsidRDefault="00E4313E">
      <w:pPr>
        <w:pStyle w:val="Default"/>
        <w:rPr>
          <w:b/>
          <w:bCs/>
          <w:color w:val="252525"/>
          <w:sz w:val="23"/>
          <w:szCs w:val="23"/>
        </w:rPr>
      </w:pPr>
    </w:p>
    <w:p w:rsidR="00E4313E" w:rsidP="00E4313E" w:rsidRDefault="00E4313E">
      <w:pPr>
        <w:pStyle w:val="Default"/>
      </w:pPr>
      <w:r>
        <w:rPr>
          <w:b/>
          <w:bCs/>
          <w:color w:val="252525"/>
          <w:sz w:val="23"/>
          <w:szCs w:val="23"/>
        </w:rPr>
        <w:t xml:space="preserve">System covered by existing SORN </w:t>
      </w:r>
      <w:r>
        <w:rPr>
          <w:sz w:val="23"/>
          <w:szCs w:val="23"/>
        </w:rPr>
        <w:t xml:space="preserve">DHS/FEMA-009 Hazard Mitigation Disaster Public Assistance and Disaster Loan Programs, March 24, 2014 79 FR 16015; DHS/ALL-004 General Information Technology Access Account Records System (GITAARS) November 27, 2012, 77 FR 70792 </w:t>
      </w:r>
    </w:p>
    <w:p w:rsidR="00E4313E" w:rsidP="006B0A61" w:rsidRDefault="00E4313E">
      <w:pPr>
        <w:tabs>
          <w:tab w:val="left" w:pos="360"/>
        </w:tabs>
      </w:pPr>
    </w:p>
    <w:p w:rsidRPr="00364F4C" w:rsidR="00E4313E" w:rsidP="006B0A61" w:rsidRDefault="00E4313E">
      <w:pPr>
        <w:tabs>
          <w:tab w:val="left" w:pos="360"/>
        </w:tabs>
      </w:pPr>
    </w:p>
    <w:p w:rsidRPr="00BA2E22" w:rsidR="006B0A61" w:rsidP="007735D9" w:rsidRDefault="006B0A61">
      <w:r w:rsidRPr="00495461">
        <w:t xml:space="preserve">There is no assurance of confidentiality in that </w:t>
      </w:r>
      <w:r w:rsidRPr="00755CAC">
        <w:t>the government will monitor all actions within their</w:t>
      </w:r>
      <w:r w:rsidRPr="004041E7">
        <w:t xml:space="preserve"> system (</w:t>
      </w:r>
      <w:r w:rsidRPr="004041E7" w:rsidR="003434C8">
        <w:t>FEMA G</w:t>
      </w:r>
      <w:r w:rsidR="004B6C88">
        <w:t>)</w:t>
      </w:r>
      <w:r w:rsidRPr="00BA2E22">
        <w:t>).  However, the Privacy Act does allow protection of the data, specifically, PII.</w:t>
      </w:r>
    </w:p>
    <w:p w:rsidRPr="00BA2E22" w:rsidR="003434C8" w:rsidP="007735D9" w:rsidRDefault="003434C8"/>
    <w:bookmarkEnd w:id="2"/>
    <w:p w:rsidRPr="00F11E32" w:rsidR="00842E74" w:rsidP="00C313FA" w:rsidRDefault="00842E74">
      <w:pPr>
        <w:tabs>
          <w:tab w:val="left" w:pos="360"/>
        </w:tabs>
        <w:rPr>
          <w:b/>
          <w:bCs/>
        </w:rPr>
      </w:pPr>
      <w:r w:rsidRPr="007E15F6">
        <w:rPr>
          <w:b/>
          <w:bCs/>
        </w:rPr>
        <w:t xml:space="preserve">11.  Provide additional justification for any question </w:t>
      </w:r>
      <w:r w:rsidRPr="00364F4C" w:rsidR="000E0572">
        <w:rPr>
          <w:b/>
          <w:bCs/>
        </w:rPr>
        <w:t>of</w:t>
      </w:r>
      <w:r w:rsidRPr="00364F4C">
        <w:rPr>
          <w:b/>
          <w:bCs/>
        </w:rPr>
        <w:t xml:space="preserve"> </w:t>
      </w:r>
      <w:r w:rsidRPr="00364F4C" w:rsidR="000E0572">
        <w:rPr>
          <w:b/>
          <w:bCs/>
        </w:rPr>
        <w:t xml:space="preserve">a </w:t>
      </w:r>
      <w:r w:rsidRPr="00495461">
        <w:rPr>
          <w:b/>
          <w:bCs/>
        </w:rPr>
        <w:t xml:space="preserve">sensitive </w:t>
      </w:r>
      <w:r w:rsidRPr="00495461" w:rsidR="000E0572">
        <w:rPr>
          <w:b/>
          <w:bCs/>
        </w:rPr>
        <w:t>nature</w:t>
      </w:r>
      <w:r w:rsidRPr="00495461">
        <w:rPr>
          <w:b/>
          <w:bCs/>
        </w:rPr>
        <w:t xml:space="preserve"> </w:t>
      </w:r>
      <w:r w:rsidRPr="00495461" w:rsidR="000E0572">
        <w:rPr>
          <w:b/>
          <w:bCs/>
        </w:rPr>
        <w:t>(</w:t>
      </w:r>
      <w:r w:rsidRPr="00755CAC">
        <w:rPr>
          <w:b/>
          <w:bCs/>
        </w:rPr>
        <w:t>such as sexual behavior and attitudes, rel</w:t>
      </w:r>
      <w:r w:rsidRPr="004041E7">
        <w:rPr>
          <w:b/>
          <w:bCs/>
        </w:rPr>
        <w:t>igious beliefs and other matters that are commonly considered private</w:t>
      </w:r>
      <w:r w:rsidRPr="00C03D61" w:rsidR="000E0572">
        <w:rPr>
          <w:b/>
          <w:bCs/>
        </w:rPr>
        <w:t>)</w:t>
      </w:r>
      <w:r w:rsidRPr="00FE1F2E">
        <w:rPr>
          <w:b/>
          <w:bCs/>
        </w:rPr>
        <w:t>.  This justification should include the reasons why the agency considers the questions necessary, the specific uses to be made of th</w:t>
      </w:r>
      <w:r w:rsidRPr="00F11E32">
        <w:rPr>
          <w:b/>
          <w:bCs/>
        </w:rPr>
        <w:t xml:space="preserve">e information, the explanation to be given to persons from whom the information is requested, and any steps to be taken to obtain their consent. </w:t>
      </w:r>
    </w:p>
    <w:p w:rsidRPr="00F11E32" w:rsidR="006B1272" w:rsidP="00C313FA" w:rsidRDefault="006B1272">
      <w:pPr>
        <w:tabs>
          <w:tab w:val="left" w:pos="360"/>
        </w:tabs>
        <w:rPr>
          <w:b/>
          <w:bCs/>
        </w:rPr>
      </w:pPr>
    </w:p>
    <w:p w:rsidRPr="00F11E32" w:rsidR="006B1272" w:rsidP="006B1272" w:rsidRDefault="00A44D9E">
      <w:r w:rsidRPr="00F11E32">
        <w:t>There are no questions of sensitive nature.</w:t>
      </w:r>
    </w:p>
    <w:p w:rsidRPr="00F11E32" w:rsidR="0031707F" w:rsidP="006B1272" w:rsidRDefault="0031707F"/>
    <w:p w:rsidRPr="00BA2E22" w:rsidR="00842E74" w:rsidRDefault="00842E74"/>
    <w:p w:rsidRPr="00BA2E22" w:rsidR="00842E74" w:rsidRDefault="0083138B">
      <w:pPr>
        <w:rPr>
          <w:b/>
          <w:bCs/>
        </w:rPr>
      </w:pPr>
      <w:r w:rsidRPr="00BA2E22">
        <w:rPr>
          <w:b/>
          <w:bCs/>
        </w:rPr>
        <w:fldChar w:fldCharType="begin"/>
      </w:r>
      <w:r w:rsidRPr="0076776B" w:rsidR="00842E74">
        <w:rPr>
          <w:b/>
          <w:bCs/>
        </w:rPr>
        <w:instrText>ADVANCE \R 0.95</w:instrText>
      </w:r>
      <w:r w:rsidRPr="0076776B">
        <w:rPr>
          <w:b/>
          <w:bCs/>
        </w:rPr>
        <w:fldChar w:fldCharType="end"/>
      </w:r>
      <w:r w:rsidRPr="0076776B">
        <w:rPr>
          <w:b/>
          <w:bCs/>
        </w:rPr>
        <w:fldChar w:fldCharType="begin"/>
      </w:r>
      <w:r w:rsidRPr="0076776B" w:rsidR="00842E74">
        <w:rPr>
          <w:b/>
          <w:bCs/>
        </w:rPr>
        <w:instrText>ADVANCE \R 0.95</w:instrText>
      </w:r>
      <w:r w:rsidRPr="0076776B">
        <w:rPr>
          <w:b/>
          <w:bCs/>
        </w:rPr>
        <w:fldChar w:fldCharType="end"/>
      </w:r>
      <w:r w:rsidRPr="00BA2E22" w:rsidR="00842E74">
        <w:rPr>
          <w:b/>
          <w:bCs/>
        </w:rPr>
        <w:t xml:space="preserve"> 12. </w:t>
      </w:r>
      <w:r w:rsidRPr="00BA2E22" w:rsidR="00763992">
        <w:rPr>
          <w:b/>
          <w:bCs/>
        </w:rPr>
        <w:t xml:space="preserve"> </w:t>
      </w:r>
      <w:r w:rsidRPr="00BA2E22" w:rsidR="00842E74">
        <w:rPr>
          <w:b/>
          <w:bCs/>
        </w:rPr>
        <w:t>Provide estimates of the hour burden of the collection of information.  The statement should:</w:t>
      </w:r>
    </w:p>
    <w:p w:rsidRPr="00BA2E22" w:rsidR="00842E74" w:rsidRDefault="0083138B">
      <w:pPr>
        <w:rPr>
          <w:b/>
          <w:bCs/>
          <w:color w:val="FF0000"/>
        </w:rPr>
      </w:pPr>
      <w:r w:rsidRPr="00BA2E22">
        <w:rPr>
          <w:b/>
          <w:bCs/>
        </w:rPr>
        <w:fldChar w:fldCharType="begin"/>
      </w:r>
      <w:r w:rsidRPr="0076776B" w:rsidR="00842E74">
        <w:rPr>
          <w:b/>
          <w:bCs/>
        </w:rPr>
        <w:instrText>ADVANCE \R 0.95</w:instrText>
      </w:r>
      <w:r w:rsidRPr="0076776B">
        <w:rPr>
          <w:b/>
          <w:bCs/>
        </w:rPr>
        <w:fldChar w:fldCharType="end"/>
      </w:r>
      <w:r w:rsidRPr="00BA2E22" w:rsidR="00842E74">
        <w:rPr>
          <w:b/>
          <w:bCs/>
        </w:rPr>
        <w:t xml:space="preserve">                                             </w:t>
      </w:r>
    </w:p>
    <w:p w:rsidRPr="0076776B" w:rsidR="00842E74" w:rsidRDefault="0083138B">
      <w:pPr>
        <w:rPr>
          <w:b/>
          <w:bCs/>
        </w:rPr>
      </w:pPr>
      <w:r w:rsidRPr="00BA2E22">
        <w:rPr>
          <w:b/>
          <w:bCs/>
        </w:rPr>
        <w:fldChar w:fldCharType="begin"/>
      </w:r>
      <w:r w:rsidRPr="0076776B" w:rsidR="00842E74">
        <w:rPr>
          <w:b/>
          <w:bCs/>
        </w:rPr>
        <w:instrText>ADVANCE \R 0.95</w:instrText>
      </w:r>
      <w:r w:rsidRPr="0076776B">
        <w:rPr>
          <w:b/>
          <w:bCs/>
        </w:rPr>
        <w:fldChar w:fldCharType="end"/>
      </w:r>
      <w:r w:rsidRPr="00BA2E22" w:rsidR="00920A21">
        <w:rPr>
          <w:b/>
          <w:bCs/>
        </w:rPr>
        <w:tab/>
      </w:r>
      <w:r w:rsidRPr="00BA2E22" w:rsidR="00A5022A">
        <w:rPr>
          <w:b/>
          <w:bCs/>
        </w:rPr>
        <w:t xml:space="preserve">a. </w:t>
      </w:r>
      <w:r w:rsidRPr="00BA2E22" w:rsidR="00842E74">
        <w:rPr>
          <w:b/>
          <w:bCs/>
        </w:rPr>
        <w:t>Indicate the number of respondents, frequency of response, annual hour burden, and an explanation of how the burden was estimated</w:t>
      </w:r>
      <w:r w:rsidRPr="00BA2E22" w:rsidR="00FD6C8B">
        <w:rPr>
          <w:b/>
          <w:bCs/>
        </w:rPr>
        <w:t xml:space="preserve"> for each collection instrument (separately list each instrument and describe information as requested)</w:t>
      </w:r>
      <w:r w:rsidRPr="00BA2E22" w:rsidR="00842E74">
        <w:rPr>
          <w:b/>
          <w:bCs/>
        </w:rPr>
        <w:t>.  Unless</w:t>
      </w:r>
      <w:r w:rsidRPr="0076776B" w:rsidR="00920A21">
        <w:rPr>
          <w:b/>
          <w:bCs/>
        </w:rPr>
        <w:tab/>
      </w:r>
      <w:r w:rsidRPr="0076776B" w:rsidR="00842E74">
        <w:rPr>
          <w:b/>
          <w:bCs/>
        </w:rPr>
        <w:t>directed to do so, agencies should not conduct special surveys to obtain</w:t>
      </w:r>
      <w:r w:rsidRPr="0076776B" w:rsidR="00232C69">
        <w:rPr>
          <w:b/>
          <w:bCs/>
        </w:rPr>
        <w:t xml:space="preserve"> </w:t>
      </w:r>
      <w:r w:rsidRPr="0076776B" w:rsidR="00842E74">
        <w:rPr>
          <w:b/>
          <w:bCs/>
        </w:rPr>
        <w:t xml:space="preserve">information on which to base hour burden </w:t>
      </w:r>
      <w:r w:rsidRPr="0076776B" w:rsidR="00763992">
        <w:rPr>
          <w:b/>
          <w:bCs/>
        </w:rPr>
        <w:t>estimates.  Consultation with a</w:t>
      </w:r>
      <w:r w:rsidRPr="0076776B" w:rsidR="00FD6C8B">
        <w:rPr>
          <w:b/>
          <w:bCs/>
        </w:rPr>
        <w:t xml:space="preserve"> </w:t>
      </w:r>
      <w:r w:rsidRPr="0076776B" w:rsidR="00842E74">
        <w:rPr>
          <w:b/>
          <w:bCs/>
        </w:rPr>
        <w:t>sample (fewer than 10) of potential respondents is desired.  If the hour</w:t>
      </w:r>
      <w:r w:rsidRPr="0076776B" w:rsidR="00920A21">
        <w:rPr>
          <w:b/>
          <w:bCs/>
        </w:rPr>
        <w:tab/>
      </w:r>
      <w:r w:rsidRPr="0076776B" w:rsidR="00842E74">
        <w:rPr>
          <w:b/>
          <w:bCs/>
        </w:rPr>
        <w:t>burden on respondents is expected to vary widely because of differences in</w:t>
      </w:r>
      <w:r w:rsidRPr="0076776B" w:rsidR="00232C69">
        <w:rPr>
          <w:b/>
          <w:bCs/>
        </w:rPr>
        <w:t xml:space="preserve"> </w:t>
      </w:r>
      <w:r w:rsidRPr="0076776B" w:rsidR="00842E74">
        <w:rPr>
          <w:b/>
          <w:bCs/>
        </w:rPr>
        <w:t>activity, size, or complexity, show the range of estimated hour burden, and explain the reasons for the variance.  Generally, estimates should not include</w:t>
      </w:r>
      <w:r w:rsidRPr="0076776B" w:rsidR="00232C69">
        <w:rPr>
          <w:b/>
          <w:bCs/>
        </w:rPr>
        <w:t xml:space="preserve"> </w:t>
      </w:r>
      <w:r w:rsidRPr="0076776B" w:rsidR="00842E74">
        <w:rPr>
          <w:b/>
          <w:bCs/>
        </w:rPr>
        <w:t>burden hours for customary and usual business practices.</w:t>
      </w:r>
    </w:p>
    <w:p w:rsidRPr="0076776B" w:rsidR="006B1272" w:rsidRDefault="006B1272">
      <w:pPr>
        <w:rPr>
          <w:b/>
          <w:bCs/>
        </w:rPr>
      </w:pPr>
    </w:p>
    <w:p w:rsidRPr="00F11E32" w:rsidR="004B1DE3" w:rsidRDefault="00D97D6D">
      <w:r w:rsidRPr="0076776B">
        <w:rPr>
          <w:bCs/>
        </w:rPr>
        <w:t>The</w:t>
      </w:r>
      <w:r w:rsidR="00F11E32">
        <w:rPr>
          <w:bCs/>
        </w:rPr>
        <w:t xml:space="preserve">re are 56 respondents for each of the forms within the </w:t>
      </w:r>
      <w:r w:rsidRPr="00F11E32" w:rsidR="004E547B">
        <w:rPr>
          <w:bCs/>
        </w:rPr>
        <w:t>two</w:t>
      </w:r>
      <w:r w:rsidRPr="00F11E32">
        <w:rPr>
          <w:bCs/>
        </w:rPr>
        <w:t xml:space="preserve"> programs.</w:t>
      </w:r>
      <w:r w:rsidR="00F11E32">
        <w:rPr>
          <w:bCs/>
        </w:rPr>
        <w:t xml:space="preserve"> </w:t>
      </w:r>
      <w:r w:rsidRPr="00F11E32">
        <w:rPr>
          <w:bCs/>
        </w:rPr>
        <w:t xml:space="preserve"> Each of the programs uses the </w:t>
      </w:r>
      <w:r w:rsidRPr="00F11E32">
        <w:t>Benefit-Cost Determination, Environmental Review</w:t>
      </w:r>
      <w:r w:rsidRPr="00F11E32" w:rsidR="004B1DE3">
        <w:t xml:space="preserve">, and Project Narrative – Sub-grant Application. </w:t>
      </w:r>
      <w:r w:rsidR="00F11E32">
        <w:t xml:space="preserve"> </w:t>
      </w:r>
      <w:r w:rsidRPr="00F11E32" w:rsidR="004B1DE3">
        <w:t>The</w:t>
      </w:r>
      <w:r w:rsidRPr="00F11E32" w:rsidR="00285C30">
        <w:t xml:space="preserve"> responses under the</w:t>
      </w:r>
      <w:r w:rsidRPr="00F11E32" w:rsidR="004B1DE3">
        <w:t xml:space="preserve"> </w:t>
      </w:r>
      <w:r w:rsidR="00F11E32">
        <w:t>Flood Mitigation Assistance (</w:t>
      </w:r>
      <w:r w:rsidRPr="00F11E32" w:rsidR="004B1DE3">
        <w:rPr>
          <w:b/>
        </w:rPr>
        <w:t>FMA</w:t>
      </w:r>
      <w:r w:rsidR="00F11E32">
        <w:rPr>
          <w:b/>
        </w:rPr>
        <w:t>)</w:t>
      </w:r>
      <w:r w:rsidRPr="00F11E32" w:rsidR="004E547B">
        <w:rPr>
          <w:b/>
        </w:rPr>
        <w:t xml:space="preserve"> </w:t>
      </w:r>
      <w:r w:rsidRPr="00F11E32" w:rsidR="004E547B">
        <w:t>Program, now i</w:t>
      </w:r>
      <w:r w:rsidRPr="00F11E32" w:rsidR="00285C30">
        <w:t>nclud</w:t>
      </w:r>
      <w:r w:rsidR="00F11E32">
        <w:t>e</w:t>
      </w:r>
      <w:r w:rsidRPr="00F11E32" w:rsidR="00285C30">
        <w:t xml:space="preserve"> </w:t>
      </w:r>
      <w:r w:rsidRPr="00F11E32" w:rsidR="004E547B">
        <w:t xml:space="preserve">responses that </w:t>
      </w:r>
      <w:r w:rsidRPr="00F11E32" w:rsidR="00285C30">
        <w:t xml:space="preserve">would have </w:t>
      </w:r>
      <w:r w:rsidRPr="00F11E32" w:rsidR="004E547B">
        <w:t xml:space="preserve">been made under the old SRL and RFC programs, </w:t>
      </w:r>
      <w:r w:rsidRPr="00F11E32" w:rsidR="004B1DE3">
        <w:t xml:space="preserve">has a total of </w:t>
      </w:r>
      <w:r w:rsidRPr="00F11E32" w:rsidR="00285C30">
        <w:t>1,904</w:t>
      </w:r>
      <w:r w:rsidRPr="00F11E32" w:rsidR="004B1DE3">
        <w:t xml:space="preserve"> responses and the total annual hour </w:t>
      </w:r>
      <w:r w:rsidRPr="00F11E32" w:rsidR="00FC577B">
        <w:t xml:space="preserve">burden </w:t>
      </w:r>
      <w:r w:rsidRPr="00F11E32" w:rsidR="004B1DE3">
        <w:t xml:space="preserve">for this program is </w:t>
      </w:r>
      <w:r w:rsidRPr="00F11E32" w:rsidR="00234385">
        <w:t>16,408</w:t>
      </w:r>
      <w:r w:rsidR="00F11E32">
        <w:t xml:space="preserve"> (2,800 + 4,200 + 9,408 = 16,408).</w:t>
      </w:r>
      <w:r w:rsidRPr="00F11E32" w:rsidR="004B1DE3">
        <w:t xml:space="preserve"> </w:t>
      </w:r>
      <w:r w:rsidR="00F11E32">
        <w:t xml:space="preserve"> </w:t>
      </w:r>
      <w:r w:rsidRPr="00F11E32" w:rsidR="00FC577B">
        <w:t xml:space="preserve"> </w:t>
      </w:r>
    </w:p>
    <w:p w:rsidRPr="00F11E32" w:rsidR="00D97D6D" w:rsidRDefault="00D97D6D">
      <w:pPr>
        <w:rPr>
          <w:bCs/>
        </w:rPr>
      </w:pPr>
      <w:r w:rsidRPr="00F11E32">
        <w:rPr>
          <w:bCs/>
        </w:rPr>
        <w:t xml:space="preserve"> </w:t>
      </w:r>
    </w:p>
    <w:p w:rsidRPr="00F11E32" w:rsidR="003A448D" w:rsidP="003A448D" w:rsidRDefault="00234385">
      <w:r w:rsidRPr="00F11E32">
        <w:t>For t</w:t>
      </w:r>
      <w:r w:rsidRPr="00F11E32" w:rsidR="004B1DE3">
        <w:t xml:space="preserve">he </w:t>
      </w:r>
      <w:r w:rsidRPr="00F11E32" w:rsidR="003A448D">
        <w:t xml:space="preserve">Benefit-Cost Determination, it is estimated that 56 State Urban and Regional Planners will complete </w:t>
      </w:r>
      <w:r w:rsidRPr="00F11E32" w:rsidR="000D522E">
        <w:t>an average of 30</w:t>
      </w:r>
      <w:r w:rsidRPr="00F11E32" w:rsidR="003A448D">
        <w:t xml:space="preserve"> </w:t>
      </w:r>
      <w:r w:rsidRPr="00F11E32" w:rsidR="001B49B8">
        <w:t>Benefit Cost Analyses</w:t>
      </w:r>
      <w:r w:rsidRPr="00F11E32" w:rsidR="003A448D">
        <w:t xml:space="preserve"> in support of the grant requests made.  It is estimated that each response will require 5 hours to complete and will be completed </w:t>
      </w:r>
      <w:r w:rsidRPr="00F11E32" w:rsidR="005216FA">
        <w:t>1,680</w:t>
      </w:r>
      <w:r w:rsidRPr="00F11E32" w:rsidR="003A448D">
        <w:t xml:space="preserve"> times </w:t>
      </w:r>
      <w:r w:rsidRPr="00F11E32">
        <w:t>per</w:t>
      </w:r>
      <w:r w:rsidRPr="00F11E32" w:rsidR="003A448D">
        <w:t xml:space="preserve"> year among the </w:t>
      </w:r>
      <w:r w:rsidRPr="00F11E32">
        <w:t>2</w:t>
      </w:r>
      <w:r w:rsidRPr="00F11E32" w:rsidR="003A448D">
        <w:t xml:space="preserve"> grant programs.  The total annual hour burden for this information collection activity will be </w:t>
      </w:r>
      <w:r w:rsidRPr="00F11E32" w:rsidR="000D522E">
        <w:t>(</w:t>
      </w:r>
      <w:r w:rsidRPr="00F11E32" w:rsidR="006D7B65">
        <w:t xml:space="preserve">56 x 30 </w:t>
      </w:r>
      <w:r w:rsidR="00F90563">
        <w:t xml:space="preserve">x </w:t>
      </w:r>
      <w:r w:rsidRPr="00F11E32" w:rsidR="003A448D">
        <w:t>5 hours</w:t>
      </w:r>
      <w:r w:rsidRPr="00F11E32" w:rsidR="000D522E">
        <w:t>)</w:t>
      </w:r>
      <w:r w:rsidRPr="00F11E32" w:rsidR="003A448D">
        <w:t xml:space="preserve"> = </w:t>
      </w:r>
      <w:r w:rsidRPr="00F11E32" w:rsidR="005216FA">
        <w:t>8,400</w:t>
      </w:r>
      <w:r w:rsidRPr="00F11E32" w:rsidR="003A448D">
        <w:t xml:space="preserve"> hours.</w:t>
      </w:r>
    </w:p>
    <w:p w:rsidRPr="00F11E32" w:rsidR="003A448D" w:rsidP="003A448D" w:rsidRDefault="003A448D"/>
    <w:p w:rsidRPr="00F11E32" w:rsidR="003A448D" w:rsidP="003A448D" w:rsidRDefault="00234385">
      <w:r w:rsidRPr="00F11E32">
        <w:t xml:space="preserve">For the </w:t>
      </w:r>
      <w:r w:rsidRPr="00F11E32" w:rsidR="003A448D">
        <w:t xml:space="preserve">Environmental Review, it is estimated that 56 State Urban and Regional Planners will complete </w:t>
      </w:r>
      <w:r w:rsidRPr="00F11E32" w:rsidR="004B25C8">
        <w:t xml:space="preserve">an average of 30 </w:t>
      </w:r>
      <w:r w:rsidRPr="00F11E32" w:rsidR="001B49B8">
        <w:t xml:space="preserve">Environmental Reviews </w:t>
      </w:r>
      <w:r w:rsidRPr="00F11E32" w:rsidR="003A448D">
        <w:t xml:space="preserve">in support of the grant requests made.  It is estimated that each response will require 7.5 hours to complete and will be completed </w:t>
      </w:r>
      <w:r w:rsidRPr="00F11E32" w:rsidR="005216FA">
        <w:t>1,680</w:t>
      </w:r>
      <w:r w:rsidRPr="00F11E32" w:rsidR="003A448D">
        <w:t xml:space="preserve"> times a year among the </w:t>
      </w:r>
      <w:r w:rsidRPr="00F11E32" w:rsidR="004B25C8">
        <w:t>2</w:t>
      </w:r>
      <w:r w:rsidRPr="00F11E32" w:rsidR="003A448D">
        <w:t xml:space="preserve"> grant programs.  The total annual hour burden for this information collection activity will be </w:t>
      </w:r>
      <w:r w:rsidRPr="00F11E32" w:rsidR="005A2E71">
        <w:t xml:space="preserve">(56 x 30 </w:t>
      </w:r>
      <w:r w:rsidR="00F90563">
        <w:t xml:space="preserve">x </w:t>
      </w:r>
      <w:r w:rsidRPr="00F11E32" w:rsidR="005A2E71">
        <w:t>7.5 hours)</w:t>
      </w:r>
      <w:r w:rsidRPr="00F11E32" w:rsidR="003A448D">
        <w:t xml:space="preserve"> = </w:t>
      </w:r>
      <w:r w:rsidRPr="00F11E32" w:rsidR="005216FA">
        <w:t>12,6</w:t>
      </w:r>
      <w:r w:rsidRPr="00F11E32" w:rsidR="003A448D">
        <w:t>00 hours.</w:t>
      </w:r>
    </w:p>
    <w:p w:rsidRPr="00F11E32" w:rsidR="003A448D" w:rsidP="003A448D" w:rsidRDefault="003A448D"/>
    <w:p w:rsidR="00636A5A" w:rsidP="003A448D" w:rsidRDefault="00234385">
      <w:r w:rsidRPr="00F11E32">
        <w:t xml:space="preserve">For the </w:t>
      </w:r>
      <w:r w:rsidRPr="00F11E32" w:rsidR="003A448D">
        <w:t xml:space="preserve">Project Narrative – Sub-grant Application, it is estimated that 56 State Urban and Regional Planners will complete </w:t>
      </w:r>
      <w:r w:rsidRPr="00F11E32" w:rsidR="004B25C8">
        <w:t>an average of 3</w:t>
      </w:r>
      <w:r w:rsidRPr="00F11E32" w:rsidR="00B2407A">
        <w:t>4</w:t>
      </w:r>
      <w:r w:rsidRPr="00F11E32" w:rsidR="004B25C8">
        <w:t xml:space="preserve"> </w:t>
      </w:r>
      <w:r w:rsidRPr="00F11E32" w:rsidR="001B49B8">
        <w:t>Narratives</w:t>
      </w:r>
      <w:r w:rsidRPr="00F11E32" w:rsidR="003A448D">
        <w:t xml:space="preserve"> in support of the grant requests made.  It is estimated that each response will require </w:t>
      </w:r>
      <w:r w:rsidRPr="00F11E32" w:rsidR="005A2E71">
        <w:t>12</w:t>
      </w:r>
      <w:r w:rsidRPr="00F11E32" w:rsidR="004B25C8">
        <w:t xml:space="preserve"> hours to complete and will be </w:t>
      </w:r>
      <w:r w:rsidRPr="00F11E32" w:rsidR="003A448D">
        <w:t xml:space="preserve">completed </w:t>
      </w:r>
      <w:r w:rsidRPr="00F11E32" w:rsidR="004B25C8">
        <w:t>1,</w:t>
      </w:r>
      <w:r w:rsidRPr="00F11E32" w:rsidR="00B2407A">
        <w:t>904</w:t>
      </w:r>
      <w:r w:rsidRPr="00F11E32" w:rsidR="003A448D">
        <w:t xml:space="preserve"> times a year among the </w:t>
      </w:r>
      <w:r w:rsidRPr="00F11E32" w:rsidR="004B25C8">
        <w:t>2</w:t>
      </w:r>
      <w:r w:rsidRPr="00F11E32" w:rsidR="003A448D">
        <w:t xml:space="preserve"> grant program</w:t>
      </w:r>
      <w:r w:rsidRPr="00F11E32" w:rsidR="00B2407A">
        <w:t>s</w:t>
      </w:r>
      <w:r w:rsidRPr="00F11E32" w:rsidR="003A448D">
        <w:t>.  The total annual hour burden for this informati</w:t>
      </w:r>
      <w:r w:rsidRPr="00F11E32" w:rsidR="00213610">
        <w:t xml:space="preserve">on collection activity will be </w:t>
      </w:r>
      <w:r w:rsidRPr="00F11E32" w:rsidR="005A2E71">
        <w:t>(</w:t>
      </w:r>
      <w:r w:rsidRPr="00F11E32" w:rsidR="006D7B65">
        <w:t>56 x 3</w:t>
      </w:r>
      <w:r w:rsidRPr="00F11E32" w:rsidR="00B2407A">
        <w:t>4</w:t>
      </w:r>
      <w:r w:rsidRPr="00F11E32" w:rsidR="006D7B65">
        <w:t xml:space="preserve"> </w:t>
      </w:r>
      <w:r w:rsidR="00F90563">
        <w:t xml:space="preserve">x </w:t>
      </w:r>
      <w:r w:rsidRPr="00F11E32" w:rsidR="003A448D">
        <w:t>12 hours</w:t>
      </w:r>
      <w:r w:rsidRPr="00F11E32" w:rsidR="005A2E71">
        <w:t>)</w:t>
      </w:r>
      <w:r w:rsidRPr="00F11E32" w:rsidR="003A448D">
        <w:t xml:space="preserve"> = </w:t>
      </w:r>
      <w:r w:rsidRPr="00F11E32" w:rsidR="005A2E71">
        <w:t>2</w:t>
      </w:r>
      <w:r w:rsidRPr="00F11E32" w:rsidR="00FF07C3">
        <w:t>2</w:t>
      </w:r>
      <w:r w:rsidRPr="00F11E32" w:rsidR="005A2E71">
        <w:t>,</w:t>
      </w:r>
      <w:r w:rsidRPr="00F11E32" w:rsidR="00FF07C3">
        <w:t>848</w:t>
      </w:r>
      <w:r w:rsidRPr="00F11E32" w:rsidR="003A448D">
        <w:t xml:space="preserve"> hours.</w:t>
      </w:r>
    </w:p>
    <w:p w:rsidR="0076776B" w:rsidP="003A448D" w:rsidRDefault="0076776B"/>
    <w:p w:rsidRPr="00F11E32" w:rsidR="00636A5A" w:rsidP="00636A5A" w:rsidRDefault="00636A5A">
      <w:r>
        <w:t xml:space="preserve">For the BRIC review panels, it is estimated they will be comprised mostly of Life, Physical, and Social Science Occupations (SOC-19-000) working in State, local, or Tribal governments with an annual average wage of $33.14.  Including the wage rate multiplier of 1.6, the </w:t>
      </w:r>
      <w:proofErr w:type="gramStart"/>
      <w:r>
        <w:t>fully-loaded</w:t>
      </w:r>
      <w:proofErr w:type="gramEnd"/>
      <w:r>
        <w:t xml:space="preserve"> wage rate is $53.02 per hour.  Therefore, the annual burden hour cost is estimated to be $763,488 (53.02 x 14,400 hours = $763,488). The total annual burden for this information collection activity is estimated at $3,324,211 ($2,560,723 + $763,488)</w:t>
      </w:r>
    </w:p>
    <w:p w:rsidRPr="00F11E32" w:rsidR="00A43A2C" w:rsidP="003A448D" w:rsidRDefault="00A43A2C"/>
    <w:p w:rsidRPr="00F11E32" w:rsidR="005A2E71" w:rsidP="003A448D" w:rsidRDefault="005A2E71"/>
    <w:p w:rsidRPr="00BA2E22" w:rsidR="00EB2642" w:rsidP="00B534D9" w:rsidRDefault="0083138B">
      <w:pPr>
        <w:rPr>
          <w:b/>
          <w:bCs/>
        </w:rPr>
      </w:pPr>
      <w:r w:rsidRPr="00BA2E22">
        <w:fldChar w:fldCharType="begin"/>
      </w:r>
      <w:r w:rsidRPr="0076776B" w:rsidR="00842E74">
        <w:instrText>ADVANCE \R 0.95</w:instrText>
      </w:r>
      <w:r w:rsidRPr="0076776B">
        <w:fldChar w:fldCharType="end"/>
      </w:r>
      <w:r w:rsidRPr="00BA2E22" w:rsidR="00842E74">
        <w:tab/>
      </w:r>
      <w:r w:rsidRPr="00BA2E22" w:rsidR="00842E74">
        <w:rPr>
          <w:b/>
          <w:bCs/>
        </w:rPr>
        <w:t xml:space="preserve">b.  If this request for approval </w:t>
      </w:r>
      <w:r w:rsidRPr="00BA2E22" w:rsidR="00513CDD">
        <w:rPr>
          <w:b/>
          <w:bCs/>
        </w:rPr>
        <w:t>covers more than one form, provi</w:t>
      </w:r>
      <w:r w:rsidRPr="00BA2E22" w:rsidR="00842E74">
        <w:rPr>
          <w:b/>
          <w:bCs/>
        </w:rPr>
        <w:t>de separate hour burden estimates for each form and aggregate the hour burdens in Item 13 of OMB Form 83-I.</w:t>
      </w:r>
    </w:p>
    <w:p w:rsidR="005F5855" w:rsidP="008F4918" w:rsidRDefault="005F5855">
      <w:pPr>
        <w:rPr>
          <w:b/>
          <w:bCs/>
        </w:rPr>
      </w:pPr>
    </w:p>
    <w:p w:rsidR="0076776B" w:rsidP="008F4918" w:rsidRDefault="0076776B">
      <w:pPr>
        <w:rPr>
          <w:b/>
          <w:bCs/>
        </w:rPr>
      </w:pPr>
    </w:p>
    <w:p w:rsidRPr="007E15F6" w:rsidR="0076776B" w:rsidP="008F4918" w:rsidRDefault="0076776B">
      <w:pPr>
        <w:rPr>
          <w:b/>
          <w:bCs/>
        </w:rPr>
      </w:pPr>
    </w:p>
    <w:tbl>
      <w:tblPr>
        <w:tblW w:w="10443"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15"/>
        <w:gridCol w:w="1415"/>
        <w:gridCol w:w="1238"/>
        <w:gridCol w:w="1199"/>
        <w:gridCol w:w="1064"/>
        <w:gridCol w:w="1202"/>
        <w:gridCol w:w="887"/>
        <w:gridCol w:w="798"/>
        <w:gridCol w:w="1425"/>
      </w:tblGrid>
      <w:tr w:rsidRPr="000F306F" w:rsidR="002D0FC6" w:rsidTr="000D70DB">
        <w:trPr>
          <w:trHeight w:val="293"/>
        </w:trPr>
        <w:tc>
          <w:tcPr>
            <w:tcW w:w="10443" w:type="dxa"/>
            <w:gridSpan w:val="9"/>
            <w:shd w:val="clear" w:color="auto" w:fill="auto"/>
            <w:vAlign w:val="center"/>
            <w:hideMark/>
          </w:tcPr>
          <w:p w:rsidRPr="000F306F" w:rsidR="002D0FC6" w:rsidP="00FA209A" w:rsidRDefault="002D0FC6">
            <w:pPr>
              <w:jc w:val="center"/>
              <w:rPr>
                <w:rFonts w:eastAsia="Calibri"/>
                <w:b/>
                <w:bCs/>
                <w:sz w:val="20"/>
                <w:szCs w:val="20"/>
              </w:rPr>
            </w:pPr>
            <w:r w:rsidRPr="000F306F">
              <w:rPr>
                <w:rFonts w:eastAsia="Calibri"/>
                <w:b/>
                <w:bCs/>
                <w:sz w:val="20"/>
                <w:szCs w:val="20"/>
              </w:rPr>
              <w:t>Estimated Annualized Burden Hours and Costs</w:t>
            </w:r>
          </w:p>
        </w:tc>
      </w:tr>
      <w:tr w:rsidRPr="000F306F" w:rsidR="002D0FC6" w:rsidTr="000D70DB">
        <w:trPr>
          <w:trHeight w:val="795"/>
        </w:trPr>
        <w:tc>
          <w:tcPr>
            <w:tcW w:w="1215" w:type="dxa"/>
            <w:shd w:val="clear" w:color="000000" w:fill="8EAADB"/>
            <w:vAlign w:val="center"/>
            <w:hideMark/>
          </w:tcPr>
          <w:p w:rsidRPr="000F306F" w:rsidR="002D0FC6" w:rsidP="00FA209A" w:rsidRDefault="002D0FC6">
            <w:pPr>
              <w:rPr>
                <w:rFonts w:eastAsia="Calibri"/>
                <w:sz w:val="20"/>
                <w:szCs w:val="20"/>
              </w:rPr>
            </w:pPr>
            <w:r w:rsidRPr="000F306F">
              <w:rPr>
                <w:rFonts w:eastAsia="Calibri"/>
                <w:sz w:val="20"/>
                <w:szCs w:val="20"/>
              </w:rPr>
              <w:t>Type of Respondent</w:t>
            </w:r>
          </w:p>
        </w:tc>
        <w:tc>
          <w:tcPr>
            <w:tcW w:w="1415" w:type="dxa"/>
            <w:shd w:val="clear" w:color="000000" w:fill="8EAADB"/>
            <w:vAlign w:val="center"/>
            <w:hideMark/>
          </w:tcPr>
          <w:p w:rsidRPr="000F306F" w:rsidR="002D0FC6" w:rsidP="00FA209A" w:rsidRDefault="002D0FC6">
            <w:pPr>
              <w:rPr>
                <w:rFonts w:eastAsia="Calibri"/>
                <w:sz w:val="20"/>
                <w:szCs w:val="20"/>
              </w:rPr>
            </w:pPr>
            <w:r w:rsidRPr="000F306F">
              <w:rPr>
                <w:rFonts w:eastAsia="Calibri"/>
                <w:sz w:val="20"/>
                <w:szCs w:val="20"/>
              </w:rPr>
              <w:t>Form Name / Form No.</w:t>
            </w:r>
          </w:p>
        </w:tc>
        <w:tc>
          <w:tcPr>
            <w:tcW w:w="1238" w:type="dxa"/>
            <w:shd w:val="clear" w:color="000000" w:fill="8EAADB"/>
            <w:vAlign w:val="center"/>
            <w:hideMark/>
          </w:tcPr>
          <w:p w:rsidRPr="000F306F" w:rsidR="002D0FC6" w:rsidP="00FA209A" w:rsidRDefault="002D0FC6">
            <w:pPr>
              <w:rPr>
                <w:rFonts w:eastAsia="Calibri"/>
                <w:sz w:val="20"/>
                <w:szCs w:val="20"/>
              </w:rPr>
            </w:pPr>
            <w:r w:rsidRPr="000F306F">
              <w:rPr>
                <w:rFonts w:eastAsia="Calibri"/>
                <w:sz w:val="20"/>
                <w:szCs w:val="20"/>
              </w:rPr>
              <w:t>No. of Respondents</w:t>
            </w:r>
          </w:p>
        </w:tc>
        <w:tc>
          <w:tcPr>
            <w:tcW w:w="1199" w:type="dxa"/>
            <w:shd w:val="clear" w:color="000000" w:fill="8EAADB"/>
            <w:vAlign w:val="center"/>
            <w:hideMark/>
          </w:tcPr>
          <w:p w:rsidRPr="000F306F" w:rsidR="002D0FC6" w:rsidP="00FA209A" w:rsidRDefault="002D0FC6">
            <w:pPr>
              <w:rPr>
                <w:rFonts w:eastAsia="Calibri"/>
                <w:sz w:val="20"/>
                <w:szCs w:val="20"/>
              </w:rPr>
            </w:pPr>
            <w:r w:rsidRPr="000F306F">
              <w:rPr>
                <w:rFonts w:eastAsia="Calibri"/>
                <w:sz w:val="20"/>
                <w:szCs w:val="20"/>
              </w:rPr>
              <w:t>No. of Responses per Respondent</w:t>
            </w:r>
          </w:p>
        </w:tc>
        <w:tc>
          <w:tcPr>
            <w:tcW w:w="1064" w:type="dxa"/>
            <w:shd w:val="clear" w:color="000000" w:fill="8EAADB"/>
            <w:vAlign w:val="center"/>
            <w:hideMark/>
          </w:tcPr>
          <w:p w:rsidRPr="000F306F" w:rsidR="002D0FC6" w:rsidP="00FA209A" w:rsidRDefault="002D0FC6">
            <w:pPr>
              <w:rPr>
                <w:rFonts w:eastAsia="Calibri"/>
                <w:sz w:val="20"/>
                <w:szCs w:val="20"/>
              </w:rPr>
            </w:pPr>
            <w:r w:rsidRPr="000F306F">
              <w:rPr>
                <w:rFonts w:eastAsia="Calibri"/>
                <w:sz w:val="20"/>
                <w:szCs w:val="20"/>
              </w:rPr>
              <w:t>Total No. of Responses</w:t>
            </w:r>
          </w:p>
        </w:tc>
        <w:tc>
          <w:tcPr>
            <w:tcW w:w="1202" w:type="dxa"/>
            <w:shd w:val="clear" w:color="000000" w:fill="8EAADB"/>
            <w:vAlign w:val="center"/>
            <w:hideMark/>
          </w:tcPr>
          <w:p w:rsidRPr="000F306F" w:rsidR="002D0FC6" w:rsidP="00FA209A" w:rsidRDefault="002D0FC6">
            <w:pPr>
              <w:rPr>
                <w:rFonts w:eastAsia="Calibri"/>
                <w:sz w:val="20"/>
                <w:szCs w:val="20"/>
              </w:rPr>
            </w:pPr>
            <w:r w:rsidRPr="000F306F">
              <w:rPr>
                <w:rFonts w:eastAsia="Calibri"/>
                <w:sz w:val="20"/>
                <w:szCs w:val="20"/>
              </w:rPr>
              <w:t>Avg. Burden per Response (in hours)</w:t>
            </w:r>
          </w:p>
        </w:tc>
        <w:tc>
          <w:tcPr>
            <w:tcW w:w="887" w:type="dxa"/>
            <w:shd w:val="clear" w:color="000000" w:fill="8EAADB"/>
            <w:vAlign w:val="center"/>
            <w:hideMark/>
          </w:tcPr>
          <w:p w:rsidRPr="000F306F" w:rsidR="002D0FC6" w:rsidP="00FA209A" w:rsidRDefault="002D0FC6">
            <w:pPr>
              <w:rPr>
                <w:rFonts w:eastAsia="Calibri"/>
                <w:sz w:val="20"/>
                <w:szCs w:val="20"/>
              </w:rPr>
            </w:pPr>
            <w:r w:rsidRPr="000F306F">
              <w:rPr>
                <w:rFonts w:eastAsia="Calibri"/>
                <w:sz w:val="20"/>
                <w:szCs w:val="20"/>
              </w:rPr>
              <w:t>Total Annual Burden (in Hours)</w:t>
            </w:r>
          </w:p>
        </w:tc>
        <w:tc>
          <w:tcPr>
            <w:tcW w:w="798" w:type="dxa"/>
            <w:shd w:val="clear" w:color="000000" w:fill="8EAADB"/>
            <w:vAlign w:val="center"/>
            <w:hideMark/>
          </w:tcPr>
          <w:p w:rsidRPr="000F306F" w:rsidR="002D0FC6" w:rsidP="00FA209A" w:rsidRDefault="002D0FC6">
            <w:pPr>
              <w:rPr>
                <w:rFonts w:eastAsia="Calibri"/>
                <w:sz w:val="20"/>
                <w:szCs w:val="20"/>
              </w:rPr>
            </w:pPr>
            <w:r w:rsidRPr="000F306F">
              <w:rPr>
                <w:rFonts w:eastAsia="Calibri"/>
                <w:sz w:val="20"/>
                <w:szCs w:val="20"/>
              </w:rPr>
              <w:t>Avg. Hourly Wage Rate</w:t>
            </w:r>
          </w:p>
        </w:tc>
        <w:tc>
          <w:tcPr>
            <w:tcW w:w="1425" w:type="dxa"/>
            <w:shd w:val="clear" w:color="000000" w:fill="8EAADB"/>
            <w:vAlign w:val="center"/>
            <w:hideMark/>
          </w:tcPr>
          <w:p w:rsidRPr="000F306F" w:rsidR="002D0FC6" w:rsidP="00FA209A" w:rsidRDefault="002D0FC6">
            <w:pPr>
              <w:rPr>
                <w:rFonts w:eastAsia="Calibri"/>
                <w:sz w:val="20"/>
                <w:szCs w:val="20"/>
              </w:rPr>
            </w:pPr>
            <w:r w:rsidRPr="000F306F">
              <w:rPr>
                <w:rFonts w:eastAsia="Calibri"/>
                <w:sz w:val="20"/>
                <w:szCs w:val="20"/>
              </w:rPr>
              <w:t>Total Annual Respondent Cost</w:t>
            </w:r>
          </w:p>
        </w:tc>
      </w:tr>
      <w:tr w:rsidRPr="005F414C" w:rsidR="002D0FC6" w:rsidTr="000D70DB">
        <w:trPr>
          <w:trHeight w:val="260"/>
        </w:trPr>
        <w:tc>
          <w:tcPr>
            <w:tcW w:w="10443" w:type="dxa"/>
            <w:gridSpan w:val="9"/>
            <w:shd w:val="clear" w:color="auto" w:fill="D9D9D9"/>
            <w:vAlign w:val="center"/>
          </w:tcPr>
          <w:p w:rsidRPr="005F414C" w:rsidR="002D0FC6" w:rsidP="00FA209A" w:rsidRDefault="002D0FC6">
            <w:pPr>
              <w:jc w:val="center"/>
              <w:rPr>
                <w:sz w:val="20"/>
                <w:szCs w:val="20"/>
              </w:rPr>
            </w:pPr>
            <w:r w:rsidRPr="003F3444">
              <w:rPr>
                <w:sz w:val="20"/>
                <w:szCs w:val="20"/>
              </w:rPr>
              <w:t>Flood Mitigation Assistance</w:t>
            </w:r>
          </w:p>
        </w:tc>
      </w:tr>
      <w:tr w:rsidRPr="005F414C" w:rsidR="002D0FC6" w:rsidTr="000D70DB">
        <w:trPr>
          <w:trHeight w:val="795"/>
        </w:trPr>
        <w:tc>
          <w:tcPr>
            <w:tcW w:w="1215" w:type="dxa"/>
            <w:shd w:val="clear" w:color="auto" w:fill="auto"/>
            <w:vAlign w:val="center"/>
          </w:tcPr>
          <w:p w:rsidRPr="000E573A" w:rsidR="002D0FC6" w:rsidP="006762A3" w:rsidRDefault="002D0FC6">
            <w:r w:rsidRPr="003F3444">
              <w:rPr>
                <w:sz w:val="20"/>
                <w:szCs w:val="20"/>
              </w:rPr>
              <w:t>State, local, or Tribal government</w:t>
            </w:r>
          </w:p>
        </w:tc>
        <w:tc>
          <w:tcPr>
            <w:tcW w:w="1415" w:type="dxa"/>
            <w:shd w:val="clear" w:color="auto" w:fill="auto"/>
            <w:vAlign w:val="center"/>
          </w:tcPr>
          <w:p w:rsidRPr="005F414C" w:rsidR="002D0FC6" w:rsidP="00FA209A" w:rsidRDefault="002D0FC6">
            <w:pPr>
              <w:rPr>
                <w:color w:val="000000"/>
                <w:sz w:val="20"/>
                <w:szCs w:val="20"/>
              </w:rPr>
            </w:pPr>
            <w:r w:rsidRPr="005F414C">
              <w:rPr>
                <w:color w:val="000000"/>
                <w:sz w:val="20"/>
                <w:szCs w:val="20"/>
              </w:rPr>
              <w:t>Benefit-Cost Determination</w:t>
            </w:r>
          </w:p>
        </w:tc>
        <w:tc>
          <w:tcPr>
            <w:tcW w:w="1238"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56</w:t>
            </w:r>
          </w:p>
        </w:tc>
        <w:tc>
          <w:tcPr>
            <w:tcW w:w="1199"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10</w:t>
            </w:r>
          </w:p>
        </w:tc>
        <w:tc>
          <w:tcPr>
            <w:tcW w:w="1064"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560</w:t>
            </w:r>
          </w:p>
        </w:tc>
        <w:tc>
          <w:tcPr>
            <w:tcW w:w="1202"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5</w:t>
            </w:r>
          </w:p>
        </w:tc>
        <w:tc>
          <w:tcPr>
            <w:tcW w:w="887"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2,800</w:t>
            </w:r>
          </w:p>
        </w:tc>
        <w:tc>
          <w:tcPr>
            <w:tcW w:w="798"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$58.40</w:t>
            </w:r>
          </w:p>
        </w:tc>
        <w:tc>
          <w:tcPr>
            <w:tcW w:w="1425" w:type="dxa"/>
            <w:shd w:val="clear" w:color="auto" w:fill="auto"/>
            <w:vAlign w:val="center"/>
          </w:tcPr>
          <w:p w:rsidRPr="005F414C" w:rsidR="002D0FC6" w:rsidP="00FA209A" w:rsidRDefault="002D0FC6">
            <w:pPr>
              <w:jc w:val="right"/>
              <w:rPr>
                <w:color w:val="000000"/>
                <w:sz w:val="20"/>
                <w:szCs w:val="20"/>
              </w:rPr>
            </w:pPr>
            <w:r w:rsidRPr="005F414C">
              <w:rPr>
                <w:sz w:val="20"/>
                <w:szCs w:val="20"/>
              </w:rPr>
              <w:t>$163,520</w:t>
            </w:r>
          </w:p>
        </w:tc>
      </w:tr>
      <w:tr w:rsidRPr="005F414C" w:rsidR="002D0FC6" w:rsidTr="000D70DB">
        <w:trPr>
          <w:cantSplit/>
          <w:trHeight w:val="1134"/>
        </w:trPr>
        <w:tc>
          <w:tcPr>
            <w:tcW w:w="1215" w:type="dxa"/>
            <w:shd w:val="clear" w:color="auto" w:fill="auto"/>
            <w:vAlign w:val="center"/>
          </w:tcPr>
          <w:p w:rsidRPr="000E573A" w:rsidR="002D0FC6" w:rsidP="006762A3" w:rsidRDefault="002D0FC6">
            <w:r w:rsidRPr="003F3444">
              <w:rPr>
                <w:sz w:val="20"/>
                <w:szCs w:val="20"/>
              </w:rPr>
              <w:t>State, local, or Tribal government</w:t>
            </w:r>
          </w:p>
        </w:tc>
        <w:tc>
          <w:tcPr>
            <w:tcW w:w="1415" w:type="dxa"/>
            <w:shd w:val="clear" w:color="auto" w:fill="auto"/>
            <w:vAlign w:val="center"/>
          </w:tcPr>
          <w:p w:rsidRPr="005F414C" w:rsidR="002D0FC6" w:rsidP="00FA209A" w:rsidRDefault="002D0FC6">
            <w:pPr>
              <w:rPr>
                <w:color w:val="000000"/>
                <w:sz w:val="20"/>
                <w:szCs w:val="20"/>
              </w:rPr>
            </w:pPr>
            <w:r w:rsidRPr="005F414C">
              <w:rPr>
                <w:color w:val="000000"/>
                <w:sz w:val="20"/>
                <w:szCs w:val="20"/>
              </w:rPr>
              <w:t>Environmental Review</w:t>
            </w:r>
          </w:p>
        </w:tc>
        <w:tc>
          <w:tcPr>
            <w:tcW w:w="1238"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56</w:t>
            </w:r>
          </w:p>
        </w:tc>
        <w:tc>
          <w:tcPr>
            <w:tcW w:w="1199"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10</w:t>
            </w:r>
          </w:p>
        </w:tc>
        <w:tc>
          <w:tcPr>
            <w:tcW w:w="1064"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560</w:t>
            </w:r>
          </w:p>
        </w:tc>
        <w:tc>
          <w:tcPr>
            <w:tcW w:w="1202"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7.5</w:t>
            </w:r>
          </w:p>
        </w:tc>
        <w:tc>
          <w:tcPr>
            <w:tcW w:w="887"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4,200</w:t>
            </w:r>
          </w:p>
        </w:tc>
        <w:tc>
          <w:tcPr>
            <w:tcW w:w="798"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$58.40</w:t>
            </w:r>
          </w:p>
        </w:tc>
        <w:tc>
          <w:tcPr>
            <w:tcW w:w="1425" w:type="dxa"/>
            <w:shd w:val="clear" w:color="auto" w:fill="auto"/>
            <w:vAlign w:val="center"/>
          </w:tcPr>
          <w:p w:rsidRPr="005F414C" w:rsidR="002D0FC6" w:rsidP="00FA209A" w:rsidRDefault="002D0FC6">
            <w:pPr>
              <w:jc w:val="right"/>
              <w:rPr>
                <w:color w:val="000000"/>
                <w:sz w:val="20"/>
                <w:szCs w:val="20"/>
              </w:rPr>
            </w:pPr>
            <w:r w:rsidRPr="005F414C">
              <w:rPr>
                <w:sz w:val="20"/>
                <w:szCs w:val="20"/>
              </w:rPr>
              <w:t>$245,280</w:t>
            </w:r>
          </w:p>
        </w:tc>
      </w:tr>
      <w:tr w:rsidRPr="005F414C" w:rsidR="002D0FC6" w:rsidTr="000D70DB">
        <w:trPr>
          <w:trHeight w:val="795"/>
        </w:trPr>
        <w:tc>
          <w:tcPr>
            <w:tcW w:w="1215" w:type="dxa"/>
            <w:shd w:val="clear" w:color="auto" w:fill="auto"/>
            <w:vAlign w:val="center"/>
          </w:tcPr>
          <w:p w:rsidRPr="000E573A" w:rsidR="002D0FC6" w:rsidP="006762A3" w:rsidRDefault="002D0FC6">
            <w:r w:rsidRPr="003F3444">
              <w:rPr>
                <w:sz w:val="20"/>
                <w:szCs w:val="20"/>
              </w:rPr>
              <w:t>State, local, or Tribal government</w:t>
            </w:r>
          </w:p>
        </w:tc>
        <w:tc>
          <w:tcPr>
            <w:tcW w:w="1415" w:type="dxa"/>
            <w:shd w:val="clear" w:color="auto" w:fill="auto"/>
            <w:vAlign w:val="center"/>
          </w:tcPr>
          <w:p w:rsidRPr="00B05477" w:rsidR="002D0FC6" w:rsidP="00FA209A" w:rsidRDefault="002D0FC6">
            <w:pPr>
              <w:rPr>
                <w:color w:val="000000"/>
                <w:sz w:val="20"/>
                <w:szCs w:val="20"/>
              </w:rPr>
            </w:pPr>
            <w:r w:rsidRPr="00B05477">
              <w:rPr>
                <w:color w:val="000000"/>
                <w:sz w:val="20"/>
                <w:szCs w:val="20"/>
              </w:rPr>
              <w:t>Project Narrative-Sub-grant Application</w:t>
            </w:r>
          </w:p>
        </w:tc>
        <w:tc>
          <w:tcPr>
            <w:tcW w:w="1238"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56</w:t>
            </w:r>
          </w:p>
        </w:tc>
        <w:tc>
          <w:tcPr>
            <w:tcW w:w="1199" w:type="dxa"/>
            <w:shd w:val="clear" w:color="auto" w:fill="auto"/>
            <w:vAlign w:val="center"/>
          </w:tcPr>
          <w:p w:rsidRPr="005F414C" w:rsidR="002D0FC6" w:rsidP="00FA209A" w:rsidRDefault="002D0FC6">
            <w:pPr>
              <w:jc w:val="center"/>
              <w:rPr>
                <w:color w:val="000000"/>
                <w:sz w:val="20"/>
                <w:szCs w:val="20"/>
              </w:rPr>
            </w:pPr>
            <w:r>
              <w:rPr>
                <w:color w:val="000000"/>
                <w:sz w:val="20"/>
                <w:szCs w:val="20"/>
              </w:rPr>
              <w:t>14</w:t>
            </w:r>
          </w:p>
        </w:tc>
        <w:tc>
          <w:tcPr>
            <w:tcW w:w="1064" w:type="dxa"/>
            <w:shd w:val="clear" w:color="auto" w:fill="auto"/>
            <w:vAlign w:val="center"/>
          </w:tcPr>
          <w:p w:rsidRPr="005F414C" w:rsidR="002D0FC6" w:rsidP="00FA209A" w:rsidRDefault="002D0FC6">
            <w:pPr>
              <w:jc w:val="center"/>
              <w:rPr>
                <w:color w:val="000000"/>
                <w:sz w:val="20"/>
                <w:szCs w:val="20"/>
              </w:rPr>
            </w:pPr>
            <w:r>
              <w:rPr>
                <w:color w:val="000000"/>
                <w:sz w:val="20"/>
                <w:szCs w:val="20"/>
              </w:rPr>
              <w:t>784</w:t>
            </w:r>
          </w:p>
        </w:tc>
        <w:tc>
          <w:tcPr>
            <w:tcW w:w="1202" w:type="dxa"/>
            <w:shd w:val="clear" w:color="auto" w:fill="auto"/>
            <w:vAlign w:val="center"/>
          </w:tcPr>
          <w:p w:rsidRPr="005F414C" w:rsidR="002D0FC6" w:rsidP="00FA209A" w:rsidRDefault="002D0FC6">
            <w:pPr>
              <w:jc w:val="center"/>
              <w:rPr>
                <w:color w:val="000000"/>
                <w:sz w:val="20"/>
                <w:szCs w:val="20"/>
              </w:rPr>
            </w:pPr>
            <w:r>
              <w:rPr>
                <w:color w:val="000000"/>
                <w:sz w:val="20"/>
                <w:szCs w:val="20"/>
              </w:rPr>
              <w:t>12</w:t>
            </w:r>
          </w:p>
        </w:tc>
        <w:tc>
          <w:tcPr>
            <w:tcW w:w="887" w:type="dxa"/>
            <w:shd w:val="clear" w:color="auto" w:fill="auto"/>
            <w:vAlign w:val="center"/>
          </w:tcPr>
          <w:p w:rsidRPr="005F414C" w:rsidR="002D0FC6" w:rsidP="00FA209A" w:rsidRDefault="002D0FC6">
            <w:pPr>
              <w:jc w:val="center"/>
              <w:rPr>
                <w:color w:val="000000"/>
                <w:sz w:val="20"/>
                <w:szCs w:val="20"/>
              </w:rPr>
            </w:pPr>
            <w:r>
              <w:rPr>
                <w:color w:val="000000"/>
                <w:sz w:val="20"/>
                <w:szCs w:val="20"/>
              </w:rPr>
              <w:t>9,408</w:t>
            </w:r>
          </w:p>
        </w:tc>
        <w:tc>
          <w:tcPr>
            <w:tcW w:w="798" w:type="dxa"/>
            <w:shd w:val="clear" w:color="auto" w:fill="auto"/>
            <w:vAlign w:val="center"/>
          </w:tcPr>
          <w:p w:rsidRPr="005F414C" w:rsidR="002D0FC6" w:rsidP="00FA209A" w:rsidRDefault="002D0FC6">
            <w:pPr>
              <w:jc w:val="center"/>
              <w:rPr>
                <w:color w:val="000000"/>
                <w:sz w:val="20"/>
                <w:szCs w:val="20"/>
              </w:rPr>
            </w:pPr>
            <w:r w:rsidRPr="005F414C">
              <w:rPr>
                <w:color w:val="000000"/>
                <w:sz w:val="20"/>
                <w:szCs w:val="20"/>
              </w:rPr>
              <w:t>$58.40</w:t>
            </w:r>
          </w:p>
        </w:tc>
        <w:tc>
          <w:tcPr>
            <w:tcW w:w="1425" w:type="dxa"/>
            <w:shd w:val="clear" w:color="auto" w:fill="auto"/>
            <w:vAlign w:val="center"/>
          </w:tcPr>
          <w:p w:rsidRPr="005F414C" w:rsidR="002D0FC6" w:rsidP="00FA209A" w:rsidRDefault="002D0FC6">
            <w:pPr>
              <w:jc w:val="right"/>
              <w:rPr>
                <w:color w:val="000000"/>
                <w:sz w:val="20"/>
                <w:szCs w:val="20"/>
              </w:rPr>
            </w:pPr>
            <w:r>
              <w:rPr>
                <w:sz w:val="20"/>
                <w:szCs w:val="20"/>
              </w:rPr>
              <w:t>$549,427</w:t>
            </w:r>
          </w:p>
        </w:tc>
      </w:tr>
      <w:tr w:rsidRPr="003F3444" w:rsidR="002D0FC6" w:rsidTr="000D70DB">
        <w:trPr>
          <w:trHeight w:val="143"/>
        </w:trPr>
        <w:tc>
          <w:tcPr>
            <w:tcW w:w="10443" w:type="dxa"/>
            <w:gridSpan w:val="9"/>
            <w:shd w:val="clear" w:color="auto" w:fill="D9D9D9"/>
            <w:vAlign w:val="center"/>
          </w:tcPr>
          <w:p w:rsidRPr="003F3444" w:rsidR="002D0FC6" w:rsidP="006762A3" w:rsidRDefault="002D0FC6">
            <w:pPr>
              <w:jc w:val="center"/>
              <w:rPr>
                <w:sz w:val="20"/>
                <w:szCs w:val="20"/>
              </w:rPr>
            </w:pPr>
            <w:r w:rsidRPr="003F3444">
              <w:rPr>
                <w:sz w:val="20"/>
                <w:szCs w:val="20"/>
              </w:rPr>
              <w:t>Pre-Disaster Mitigation</w:t>
            </w:r>
          </w:p>
        </w:tc>
      </w:tr>
      <w:tr w:rsidRPr="003F3444" w:rsidR="002D0FC6" w:rsidTr="000D70DB">
        <w:trPr>
          <w:trHeight w:val="795"/>
        </w:trPr>
        <w:tc>
          <w:tcPr>
            <w:tcW w:w="1215" w:type="dxa"/>
            <w:shd w:val="clear" w:color="auto" w:fill="auto"/>
            <w:vAlign w:val="center"/>
          </w:tcPr>
          <w:p w:rsidRPr="000F306F" w:rsidR="002D0FC6" w:rsidP="006762A3" w:rsidRDefault="002D0FC6">
            <w:pPr>
              <w:rPr>
                <w:rFonts w:eastAsia="Calibri"/>
                <w:sz w:val="20"/>
                <w:szCs w:val="20"/>
              </w:rPr>
            </w:pPr>
            <w:r w:rsidRPr="003F3444">
              <w:rPr>
                <w:sz w:val="20"/>
                <w:szCs w:val="20"/>
              </w:rPr>
              <w:t>State, local, or Tribal government</w:t>
            </w:r>
          </w:p>
        </w:tc>
        <w:tc>
          <w:tcPr>
            <w:tcW w:w="1415" w:type="dxa"/>
            <w:shd w:val="clear" w:color="auto" w:fill="auto"/>
          </w:tcPr>
          <w:p w:rsidRPr="003F3444" w:rsidR="002D0FC6" w:rsidP="00FA209A" w:rsidRDefault="002D0FC6">
            <w:pPr>
              <w:rPr>
                <w:sz w:val="20"/>
                <w:szCs w:val="20"/>
              </w:rPr>
            </w:pPr>
            <w:r w:rsidRPr="003F3444">
              <w:rPr>
                <w:sz w:val="20"/>
                <w:szCs w:val="20"/>
              </w:rPr>
              <w:t>Benefit-Cost Determination</w:t>
            </w:r>
          </w:p>
        </w:tc>
        <w:tc>
          <w:tcPr>
            <w:tcW w:w="1238" w:type="dxa"/>
            <w:shd w:val="clear" w:color="auto" w:fill="auto"/>
            <w:vAlign w:val="center"/>
          </w:tcPr>
          <w:p w:rsidRPr="003F3444" w:rsidR="002D0FC6" w:rsidP="00FA209A" w:rsidRDefault="002D0FC6">
            <w:pPr>
              <w:jc w:val="center"/>
              <w:rPr>
                <w:sz w:val="20"/>
                <w:szCs w:val="20"/>
              </w:rPr>
            </w:pPr>
            <w:r w:rsidRPr="003F3444">
              <w:rPr>
                <w:sz w:val="20"/>
                <w:szCs w:val="20"/>
              </w:rPr>
              <w:t>56</w:t>
            </w:r>
          </w:p>
        </w:tc>
        <w:tc>
          <w:tcPr>
            <w:tcW w:w="1199" w:type="dxa"/>
            <w:shd w:val="clear" w:color="auto" w:fill="auto"/>
            <w:vAlign w:val="center"/>
          </w:tcPr>
          <w:p w:rsidRPr="003F3444" w:rsidR="002D0FC6" w:rsidP="00FA209A" w:rsidRDefault="002D0FC6">
            <w:pPr>
              <w:jc w:val="center"/>
              <w:rPr>
                <w:sz w:val="20"/>
                <w:szCs w:val="20"/>
              </w:rPr>
            </w:pPr>
            <w:r w:rsidRPr="003F3444">
              <w:rPr>
                <w:sz w:val="20"/>
                <w:szCs w:val="20"/>
              </w:rPr>
              <w:t>20</w:t>
            </w:r>
          </w:p>
        </w:tc>
        <w:tc>
          <w:tcPr>
            <w:tcW w:w="1064" w:type="dxa"/>
            <w:shd w:val="clear" w:color="auto" w:fill="auto"/>
            <w:vAlign w:val="center"/>
          </w:tcPr>
          <w:p w:rsidRPr="003F3444" w:rsidR="002D0FC6" w:rsidP="00FA209A" w:rsidRDefault="002D0FC6">
            <w:pPr>
              <w:jc w:val="center"/>
              <w:rPr>
                <w:sz w:val="20"/>
                <w:szCs w:val="20"/>
              </w:rPr>
            </w:pPr>
            <w:r w:rsidRPr="003F3444">
              <w:rPr>
                <w:sz w:val="20"/>
                <w:szCs w:val="20"/>
              </w:rPr>
              <w:t>1,120</w:t>
            </w:r>
          </w:p>
        </w:tc>
        <w:tc>
          <w:tcPr>
            <w:tcW w:w="1202" w:type="dxa"/>
            <w:shd w:val="clear" w:color="auto" w:fill="auto"/>
            <w:vAlign w:val="center"/>
          </w:tcPr>
          <w:p w:rsidRPr="003F3444" w:rsidR="002D0FC6" w:rsidP="00FA209A" w:rsidRDefault="002D0FC6">
            <w:pPr>
              <w:jc w:val="center"/>
              <w:rPr>
                <w:sz w:val="20"/>
                <w:szCs w:val="20"/>
              </w:rPr>
            </w:pPr>
            <w:r w:rsidRPr="003F3444">
              <w:rPr>
                <w:sz w:val="20"/>
                <w:szCs w:val="20"/>
              </w:rPr>
              <w:t>5</w:t>
            </w:r>
          </w:p>
        </w:tc>
        <w:tc>
          <w:tcPr>
            <w:tcW w:w="887" w:type="dxa"/>
            <w:shd w:val="clear" w:color="auto" w:fill="auto"/>
            <w:vAlign w:val="center"/>
          </w:tcPr>
          <w:p w:rsidRPr="003F3444" w:rsidR="002D0FC6" w:rsidP="00FA209A" w:rsidRDefault="002D0FC6">
            <w:pPr>
              <w:jc w:val="center"/>
              <w:rPr>
                <w:sz w:val="20"/>
                <w:szCs w:val="20"/>
              </w:rPr>
            </w:pPr>
            <w:r w:rsidRPr="003F3444">
              <w:rPr>
                <w:sz w:val="20"/>
                <w:szCs w:val="20"/>
              </w:rPr>
              <w:t>5,600</w:t>
            </w:r>
          </w:p>
        </w:tc>
        <w:tc>
          <w:tcPr>
            <w:tcW w:w="798" w:type="dxa"/>
            <w:shd w:val="clear" w:color="auto" w:fill="auto"/>
            <w:vAlign w:val="center"/>
          </w:tcPr>
          <w:p w:rsidRPr="003F3444" w:rsidR="002D0FC6" w:rsidP="00FA209A" w:rsidRDefault="002D0FC6">
            <w:pPr>
              <w:jc w:val="center"/>
              <w:rPr>
                <w:sz w:val="20"/>
                <w:szCs w:val="20"/>
              </w:rPr>
            </w:pPr>
            <w:r w:rsidRPr="003F3444">
              <w:rPr>
                <w:sz w:val="20"/>
                <w:szCs w:val="20"/>
              </w:rPr>
              <w:t>$58.40</w:t>
            </w:r>
          </w:p>
        </w:tc>
        <w:tc>
          <w:tcPr>
            <w:tcW w:w="1425" w:type="dxa"/>
            <w:shd w:val="clear" w:color="auto" w:fill="auto"/>
            <w:vAlign w:val="center"/>
          </w:tcPr>
          <w:p w:rsidRPr="003F3444" w:rsidR="002D0FC6" w:rsidP="00FA209A" w:rsidRDefault="002D0FC6">
            <w:pPr>
              <w:jc w:val="right"/>
              <w:rPr>
                <w:sz w:val="20"/>
                <w:szCs w:val="20"/>
              </w:rPr>
            </w:pPr>
            <w:r w:rsidRPr="003F3444">
              <w:rPr>
                <w:sz w:val="20"/>
                <w:szCs w:val="20"/>
              </w:rPr>
              <w:t>$327,040</w:t>
            </w:r>
          </w:p>
        </w:tc>
      </w:tr>
      <w:tr w:rsidRPr="00DB0B18" w:rsidR="002D0FC6" w:rsidTr="000D70DB">
        <w:trPr>
          <w:trHeight w:val="795"/>
        </w:trPr>
        <w:tc>
          <w:tcPr>
            <w:tcW w:w="1215" w:type="dxa"/>
            <w:shd w:val="clear" w:color="auto" w:fill="auto"/>
            <w:vAlign w:val="center"/>
          </w:tcPr>
          <w:p w:rsidRPr="00DB0B18" w:rsidR="002D0FC6" w:rsidP="006762A3" w:rsidRDefault="002D0FC6">
            <w:pPr>
              <w:rPr>
                <w:rFonts w:eastAsia="Calibri"/>
                <w:sz w:val="20"/>
                <w:szCs w:val="20"/>
              </w:rPr>
            </w:pPr>
            <w:r w:rsidRPr="00DB0B18">
              <w:rPr>
                <w:sz w:val="20"/>
                <w:szCs w:val="20"/>
              </w:rPr>
              <w:t>State, local, or Tribal government</w:t>
            </w:r>
          </w:p>
        </w:tc>
        <w:tc>
          <w:tcPr>
            <w:tcW w:w="1415" w:type="dxa"/>
            <w:shd w:val="clear" w:color="auto" w:fill="auto"/>
          </w:tcPr>
          <w:p w:rsidRPr="00DB0B18" w:rsidR="002D0FC6" w:rsidP="00FA209A" w:rsidRDefault="002D0FC6">
            <w:pPr>
              <w:rPr>
                <w:sz w:val="20"/>
                <w:szCs w:val="20"/>
              </w:rPr>
            </w:pPr>
            <w:r w:rsidRPr="00DB0B18">
              <w:rPr>
                <w:sz w:val="20"/>
                <w:szCs w:val="20"/>
              </w:rPr>
              <w:t>Environmental Review</w:t>
            </w:r>
          </w:p>
        </w:tc>
        <w:tc>
          <w:tcPr>
            <w:tcW w:w="1238" w:type="dxa"/>
            <w:shd w:val="clear" w:color="auto" w:fill="auto"/>
            <w:vAlign w:val="center"/>
          </w:tcPr>
          <w:p w:rsidRPr="00DB0B18" w:rsidR="002D0FC6" w:rsidP="00FA209A" w:rsidRDefault="002D0FC6">
            <w:pPr>
              <w:jc w:val="center"/>
              <w:rPr>
                <w:sz w:val="20"/>
                <w:szCs w:val="20"/>
              </w:rPr>
            </w:pPr>
            <w:r w:rsidRPr="00DB0B18">
              <w:rPr>
                <w:sz w:val="20"/>
                <w:szCs w:val="20"/>
              </w:rPr>
              <w:t>56</w:t>
            </w:r>
          </w:p>
        </w:tc>
        <w:tc>
          <w:tcPr>
            <w:tcW w:w="1199" w:type="dxa"/>
            <w:shd w:val="clear" w:color="auto" w:fill="auto"/>
            <w:vAlign w:val="center"/>
          </w:tcPr>
          <w:p w:rsidRPr="00DB0B18" w:rsidR="002D0FC6" w:rsidP="00FA209A" w:rsidRDefault="002D0FC6">
            <w:pPr>
              <w:jc w:val="center"/>
              <w:rPr>
                <w:sz w:val="20"/>
                <w:szCs w:val="20"/>
              </w:rPr>
            </w:pPr>
            <w:r w:rsidRPr="00DB0B18">
              <w:rPr>
                <w:sz w:val="20"/>
                <w:szCs w:val="20"/>
              </w:rPr>
              <w:t>20</w:t>
            </w:r>
          </w:p>
        </w:tc>
        <w:tc>
          <w:tcPr>
            <w:tcW w:w="1064" w:type="dxa"/>
            <w:shd w:val="clear" w:color="auto" w:fill="auto"/>
            <w:vAlign w:val="center"/>
          </w:tcPr>
          <w:p w:rsidRPr="00DB0B18" w:rsidR="002D0FC6" w:rsidP="00FA209A" w:rsidRDefault="002D0FC6">
            <w:pPr>
              <w:jc w:val="center"/>
              <w:rPr>
                <w:sz w:val="20"/>
                <w:szCs w:val="20"/>
              </w:rPr>
            </w:pPr>
            <w:r w:rsidRPr="00DB0B18">
              <w:rPr>
                <w:sz w:val="20"/>
                <w:szCs w:val="20"/>
              </w:rPr>
              <w:t>1,120</w:t>
            </w:r>
          </w:p>
        </w:tc>
        <w:tc>
          <w:tcPr>
            <w:tcW w:w="1202" w:type="dxa"/>
            <w:shd w:val="clear" w:color="auto" w:fill="auto"/>
            <w:vAlign w:val="center"/>
          </w:tcPr>
          <w:p w:rsidRPr="00DB0B18" w:rsidR="002D0FC6" w:rsidP="00FA209A" w:rsidRDefault="002D0FC6">
            <w:pPr>
              <w:jc w:val="center"/>
              <w:rPr>
                <w:sz w:val="20"/>
                <w:szCs w:val="20"/>
              </w:rPr>
            </w:pPr>
            <w:r w:rsidRPr="00DB0B18">
              <w:rPr>
                <w:sz w:val="20"/>
                <w:szCs w:val="20"/>
              </w:rPr>
              <w:t>7.5</w:t>
            </w:r>
          </w:p>
        </w:tc>
        <w:tc>
          <w:tcPr>
            <w:tcW w:w="887" w:type="dxa"/>
            <w:shd w:val="clear" w:color="auto" w:fill="auto"/>
            <w:vAlign w:val="center"/>
          </w:tcPr>
          <w:p w:rsidRPr="00DB0B18" w:rsidR="002D0FC6" w:rsidP="00FA209A" w:rsidRDefault="002D0FC6">
            <w:pPr>
              <w:jc w:val="center"/>
              <w:rPr>
                <w:sz w:val="20"/>
                <w:szCs w:val="20"/>
              </w:rPr>
            </w:pPr>
            <w:r w:rsidRPr="00DB0B18">
              <w:rPr>
                <w:sz w:val="20"/>
                <w:szCs w:val="20"/>
              </w:rPr>
              <w:t>8,400</w:t>
            </w:r>
          </w:p>
        </w:tc>
        <w:tc>
          <w:tcPr>
            <w:tcW w:w="798" w:type="dxa"/>
            <w:shd w:val="clear" w:color="auto" w:fill="auto"/>
            <w:vAlign w:val="center"/>
          </w:tcPr>
          <w:p w:rsidRPr="00DB0B18" w:rsidR="002D0FC6" w:rsidP="00FA209A" w:rsidRDefault="002D0FC6">
            <w:pPr>
              <w:jc w:val="center"/>
              <w:rPr>
                <w:sz w:val="20"/>
                <w:szCs w:val="20"/>
              </w:rPr>
            </w:pPr>
            <w:r w:rsidRPr="00DB0B18">
              <w:rPr>
                <w:sz w:val="20"/>
                <w:szCs w:val="20"/>
              </w:rPr>
              <w:t>$58.40</w:t>
            </w:r>
          </w:p>
        </w:tc>
        <w:tc>
          <w:tcPr>
            <w:tcW w:w="1425" w:type="dxa"/>
            <w:shd w:val="clear" w:color="auto" w:fill="auto"/>
            <w:vAlign w:val="center"/>
          </w:tcPr>
          <w:p w:rsidRPr="00DB0B18" w:rsidR="002D0FC6" w:rsidP="00FA209A" w:rsidRDefault="002D0FC6">
            <w:pPr>
              <w:jc w:val="right"/>
              <w:rPr>
                <w:sz w:val="20"/>
                <w:szCs w:val="20"/>
              </w:rPr>
            </w:pPr>
            <w:r w:rsidRPr="00DB0B18">
              <w:rPr>
                <w:sz w:val="20"/>
                <w:szCs w:val="20"/>
              </w:rPr>
              <w:t>$490,560</w:t>
            </w:r>
          </w:p>
        </w:tc>
      </w:tr>
      <w:tr w:rsidRPr="00DB0B18" w:rsidR="002D0FC6" w:rsidTr="000D70DB">
        <w:trPr>
          <w:trHeight w:val="795"/>
        </w:trPr>
        <w:tc>
          <w:tcPr>
            <w:tcW w:w="1215" w:type="dxa"/>
            <w:shd w:val="clear" w:color="auto" w:fill="auto"/>
            <w:vAlign w:val="center"/>
          </w:tcPr>
          <w:p w:rsidRPr="00DB0B18" w:rsidR="002D0FC6" w:rsidP="006762A3" w:rsidRDefault="002D0FC6">
            <w:pPr>
              <w:rPr>
                <w:rFonts w:eastAsia="Calibri"/>
                <w:sz w:val="20"/>
                <w:szCs w:val="20"/>
              </w:rPr>
            </w:pPr>
            <w:r w:rsidRPr="00DB0B18">
              <w:rPr>
                <w:sz w:val="20"/>
                <w:szCs w:val="20"/>
              </w:rPr>
              <w:t>State, local, or Tribal government</w:t>
            </w:r>
          </w:p>
        </w:tc>
        <w:tc>
          <w:tcPr>
            <w:tcW w:w="1415" w:type="dxa"/>
            <w:shd w:val="clear" w:color="auto" w:fill="auto"/>
          </w:tcPr>
          <w:p w:rsidRPr="00DB0B18" w:rsidR="002D0FC6" w:rsidP="00FA209A" w:rsidRDefault="002D0FC6">
            <w:pPr>
              <w:rPr>
                <w:sz w:val="20"/>
                <w:szCs w:val="20"/>
              </w:rPr>
            </w:pPr>
            <w:r w:rsidRPr="00DB0B18">
              <w:rPr>
                <w:sz w:val="20"/>
                <w:szCs w:val="20"/>
              </w:rPr>
              <w:t>Project Narrative-Sub-grant Application</w:t>
            </w:r>
          </w:p>
        </w:tc>
        <w:tc>
          <w:tcPr>
            <w:tcW w:w="1238" w:type="dxa"/>
            <w:shd w:val="clear" w:color="auto" w:fill="auto"/>
            <w:vAlign w:val="center"/>
          </w:tcPr>
          <w:p w:rsidRPr="00DB0B18" w:rsidR="002D0FC6" w:rsidP="00FA209A" w:rsidRDefault="002D0FC6">
            <w:pPr>
              <w:jc w:val="center"/>
              <w:rPr>
                <w:sz w:val="20"/>
                <w:szCs w:val="20"/>
              </w:rPr>
            </w:pPr>
            <w:r w:rsidRPr="00DB0B18">
              <w:rPr>
                <w:sz w:val="20"/>
                <w:szCs w:val="20"/>
              </w:rPr>
              <w:t>56</w:t>
            </w:r>
          </w:p>
        </w:tc>
        <w:tc>
          <w:tcPr>
            <w:tcW w:w="1199" w:type="dxa"/>
            <w:shd w:val="clear" w:color="auto" w:fill="auto"/>
            <w:vAlign w:val="center"/>
          </w:tcPr>
          <w:p w:rsidRPr="00DB0B18" w:rsidR="002D0FC6" w:rsidP="00FA209A" w:rsidRDefault="002D0FC6">
            <w:pPr>
              <w:jc w:val="center"/>
              <w:rPr>
                <w:sz w:val="20"/>
                <w:szCs w:val="20"/>
              </w:rPr>
            </w:pPr>
            <w:r w:rsidRPr="00DB0B18">
              <w:rPr>
                <w:sz w:val="20"/>
                <w:szCs w:val="20"/>
              </w:rPr>
              <w:t>20</w:t>
            </w:r>
          </w:p>
        </w:tc>
        <w:tc>
          <w:tcPr>
            <w:tcW w:w="1064" w:type="dxa"/>
            <w:shd w:val="clear" w:color="auto" w:fill="auto"/>
            <w:vAlign w:val="center"/>
          </w:tcPr>
          <w:p w:rsidRPr="00DB0B18" w:rsidR="002D0FC6" w:rsidP="00FA209A" w:rsidRDefault="002D0FC6">
            <w:pPr>
              <w:jc w:val="center"/>
              <w:rPr>
                <w:sz w:val="20"/>
                <w:szCs w:val="20"/>
              </w:rPr>
            </w:pPr>
            <w:r w:rsidRPr="00DB0B18">
              <w:rPr>
                <w:sz w:val="20"/>
                <w:szCs w:val="20"/>
              </w:rPr>
              <w:t>1,120</w:t>
            </w:r>
          </w:p>
        </w:tc>
        <w:tc>
          <w:tcPr>
            <w:tcW w:w="1202" w:type="dxa"/>
            <w:shd w:val="clear" w:color="auto" w:fill="auto"/>
            <w:vAlign w:val="center"/>
          </w:tcPr>
          <w:p w:rsidRPr="00DB0B18" w:rsidR="002D0FC6" w:rsidP="00FA209A" w:rsidRDefault="002D0FC6">
            <w:pPr>
              <w:jc w:val="center"/>
              <w:rPr>
                <w:sz w:val="20"/>
                <w:szCs w:val="20"/>
              </w:rPr>
            </w:pPr>
            <w:r w:rsidRPr="00DB0B18">
              <w:rPr>
                <w:sz w:val="20"/>
                <w:szCs w:val="20"/>
              </w:rPr>
              <w:t>12</w:t>
            </w:r>
          </w:p>
        </w:tc>
        <w:tc>
          <w:tcPr>
            <w:tcW w:w="887" w:type="dxa"/>
            <w:shd w:val="clear" w:color="auto" w:fill="auto"/>
            <w:vAlign w:val="center"/>
          </w:tcPr>
          <w:p w:rsidRPr="00DB0B18" w:rsidR="002D0FC6" w:rsidP="00FA209A" w:rsidRDefault="002D0FC6">
            <w:pPr>
              <w:jc w:val="center"/>
              <w:rPr>
                <w:sz w:val="20"/>
                <w:szCs w:val="20"/>
              </w:rPr>
            </w:pPr>
            <w:r w:rsidRPr="00DB0B18">
              <w:rPr>
                <w:sz w:val="20"/>
                <w:szCs w:val="20"/>
              </w:rPr>
              <w:t>13,440</w:t>
            </w:r>
          </w:p>
        </w:tc>
        <w:tc>
          <w:tcPr>
            <w:tcW w:w="798" w:type="dxa"/>
            <w:shd w:val="clear" w:color="auto" w:fill="auto"/>
            <w:vAlign w:val="center"/>
          </w:tcPr>
          <w:p w:rsidRPr="00DB0B18" w:rsidR="002D0FC6" w:rsidP="00FA209A" w:rsidRDefault="002D0FC6">
            <w:pPr>
              <w:jc w:val="center"/>
              <w:rPr>
                <w:sz w:val="20"/>
                <w:szCs w:val="20"/>
              </w:rPr>
            </w:pPr>
            <w:r w:rsidRPr="00DB0B18">
              <w:rPr>
                <w:sz w:val="20"/>
                <w:szCs w:val="20"/>
              </w:rPr>
              <w:t>$58.40</w:t>
            </w:r>
          </w:p>
        </w:tc>
        <w:tc>
          <w:tcPr>
            <w:tcW w:w="1425" w:type="dxa"/>
            <w:shd w:val="clear" w:color="auto" w:fill="auto"/>
            <w:vAlign w:val="center"/>
          </w:tcPr>
          <w:p w:rsidRPr="00DB0B18" w:rsidR="002D0FC6" w:rsidP="00FA209A" w:rsidRDefault="002D0FC6">
            <w:pPr>
              <w:jc w:val="right"/>
              <w:rPr>
                <w:sz w:val="20"/>
                <w:szCs w:val="20"/>
              </w:rPr>
            </w:pPr>
            <w:r w:rsidRPr="00DB0B18">
              <w:rPr>
                <w:sz w:val="20"/>
                <w:szCs w:val="20"/>
              </w:rPr>
              <w:t>$784,896</w:t>
            </w:r>
          </w:p>
        </w:tc>
      </w:tr>
      <w:tr w:rsidRPr="00300D29" w:rsidR="002D0FC6" w:rsidTr="000D70DB">
        <w:trPr>
          <w:trHeight w:val="341"/>
        </w:trPr>
        <w:tc>
          <w:tcPr>
            <w:tcW w:w="1215" w:type="dxa"/>
            <w:shd w:val="clear" w:color="auto" w:fill="auto"/>
            <w:vAlign w:val="center"/>
          </w:tcPr>
          <w:p w:rsidRPr="000F306F" w:rsidR="002D0FC6" w:rsidP="006762A3" w:rsidRDefault="002D0FC6">
            <w:pPr>
              <w:rPr>
                <w:rFonts w:eastAsia="Calibri"/>
                <w:b/>
                <w:bCs/>
                <w:sz w:val="20"/>
                <w:szCs w:val="20"/>
              </w:rPr>
            </w:pPr>
            <w:r w:rsidRPr="003F3444">
              <w:rPr>
                <w:sz w:val="20"/>
                <w:szCs w:val="20"/>
              </w:rPr>
              <w:t>State, local, or Tribal government</w:t>
            </w:r>
          </w:p>
        </w:tc>
        <w:tc>
          <w:tcPr>
            <w:tcW w:w="1415" w:type="dxa"/>
            <w:shd w:val="clear" w:color="auto" w:fill="auto"/>
            <w:vAlign w:val="center"/>
          </w:tcPr>
          <w:p w:rsidRPr="005F414C" w:rsidR="002D0FC6" w:rsidP="00FA209A" w:rsidRDefault="002D0FC6">
            <w:pPr>
              <w:rPr>
                <w:color w:val="000000"/>
                <w:sz w:val="20"/>
                <w:szCs w:val="20"/>
              </w:rPr>
            </w:pPr>
            <w:r w:rsidRPr="005F414C">
              <w:rPr>
                <w:color w:val="000000"/>
                <w:sz w:val="20"/>
                <w:szCs w:val="20"/>
              </w:rPr>
              <w:t>BRIC Review Panel</w:t>
            </w:r>
          </w:p>
        </w:tc>
        <w:tc>
          <w:tcPr>
            <w:tcW w:w="1238" w:type="dxa"/>
            <w:vAlign w:val="center"/>
          </w:tcPr>
          <w:p w:rsidRPr="005F414C" w:rsidR="002D0FC6" w:rsidP="00FA209A" w:rsidRDefault="002D0FC6">
            <w:pPr>
              <w:jc w:val="center"/>
              <w:rPr>
                <w:color w:val="000000"/>
                <w:sz w:val="20"/>
                <w:szCs w:val="20"/>
              </w:rPr>
            </w:pPr>
            <w:r>
              <w:rPr>
                <w:color w:val="000000"/>
                <w:sz w:val="20"/>
                <w:szCs w:val="20"/>
              </w:rPr>
              <w:t>100</w:t>
            </w:r>
          </w:p>
        </w:tc>
        <w:tc>
          <w:tcPr>
            <w:tcW w:w="1199" w:type="dxa"/>
            <w:vAlign w:val="center"/>
          </w:tcPr>
          <w:p w:rsidRPr="005F414C" w:rsidR="002D0FC6" w:rsidP="00FA209A" w:rsidRDefault="002D0FC6">
            <w:pPr>
              <w:jc w:val="center"/>
              <w:rPr>
                <w:color w:val="000000"/>
                <w:sz w:val="20"/>
                <w:szCs w:val="20"/>
              </w:rPr>
            </w:pPr>
            <w:r>
              <w:rPr>
                <w:color w:val="000000"/>
                <w:sz w:val="20"/>
                <w:szCs w:val="20"/>
              </w:rPr>
              <w:t>1</w:t>
            </w:r>
          </w:p>
        </w:tc>
        <w:tc>
          <w:tcPr>
            <w:tcW w:w="1064" w:type="dxa"/>
            <w:vAlign w:val="center"/>
          </w:tcPr>
          <w:p w:rsidRPr="005F414C" w:rsidR="002D0FC6" w:rsidP="00FA209A" w:rsidRDefault="002D0FC6">
            <w:pPr>
              <w:jc w:val="center"/>
              <w:rPr>
                <w:color w:val="000000"/>
                <w:sz w:val="20"/>
                <w:szCs w:val="20"/>
              </w:rPr>
            </w:pPr>
            <w:r>
              <w:rPr>
                <w:color w:val="000000"/>
                <w:sz w:val="20"/>
                <w:szCs w:val="20"/>
              </w:rPr>
              <w:t>100</w:t>
            </w:r>
          </w:p>
        </w:tc>
        <w:tc>
          <w:tcPr>
            <w:tcW w:w="1202" w:type="dxa"/>
            <w:vAlign w:val="center"/>
          </w:tcPr>
          <w:p w:rsidRPr="005F414C" w:rsidR="002D0FC6" w:rsidP="00FA209A" w:rsidRDefault="002D0FC6">
            <w:pPr>
              <w:jc w:val="center"/>
              <w:rPr>
                <w:color w:val="000000"/>
                <w:sz w:val="20"/>
                <w:szCs w:val="20"/>
              </w:rPr>
            </w:pPr>
            <w:r>
              <w:rPr>
                <w:color w:val="000000"/>
                <w:sz w:val="20"/>
                <w:szCs w:val="20"/>
              </w:rPr>
              <w:t>144</w:t>
            </w:r>
          </w:p>
        </w:tc>
        <w:tc>
          <w:tcPr>
            <w:tcW w:w="887" w:type="dxa"/>
            <w:vAlign w:val="center"/>
          </w:tcPr>
          <w:p w:rsidRPr="005F414C" w:rsidR="002D0FC6" w:rsidP="00FA209A" w:rsidRDefault="002D0FC6">
            <w:pPr>
              <w:jc w:val="center"/>
              <w:rPr>
                <w:color w:val="000000"/>
                <w:sz w:val="20"/>
                <w:szCs w:val="20"/>
              </w:rPr>
            </w:pPr>
            <w:r>
              <w:rPr>
                <w:color w:val="000000"/>
                <w:sz w:val="20"/>
                <w:szCs w:val="20"/>
              </w:rPr>
              <w:t>14,400</w:t>
            </w:r>
          </w:p>
        </w:tc>
        <w:tc>
          <w:tcPr>
            <w:tcW w:w="798" w:type="dxa"/>
            <w:vAlign w:val="center"/>
          </w:tcPr>
          <w:p w:rsidRPr="005F414C" w:rsidR="002D0FC6" w:rsidP="00FA209A" w:rsidRDefault="002D0FC6">
            <w:pPr>
              <w:jc w:val="right"/>
              <w:rPr>
                <w:color w:val="000000"/>
                <w:sz w:val="20"/>
                <w:szCs w:val="20"/>
              </w:rPr>
            </w:pPr>
            <w:r>
              <w:rPr>
                <w:color w:val="000000"/>
                <w:sz w:val="20"/>
                <w:szCs w:val="20"/>
              </w:rPr>
              <w:t>$53.02</w:t>
            </w:r>
          </w:p>
        </w:tc>
        <w:tc>
          <w:tcPr>
            <w:tcW w:w="1425" w:type="dxa"/>
            <w:vAlign w:val="center"/>
          </w:tcPr>
          <w:p w:rsidRPr="00300D29" w:rsidR="002D0FC6" w:rsidP="00FA209A" w:rsidRDefault="002D0FC6">
            <w:pPr>
              <w:jc w:val="right"/>
              <w:rPr>
                <w:color w:val="000000"/>
                <w:sz w:val="22"/>
                <w:szCs w:val="22"/>
              </w:rPr>
            </w:pPr>
            <w:r w:rsidRPr="005F414C">
              <w:rPr>
                <w:color w:val="000000"/>
                <w:sz w:val="20"/>
                <w:szCs w:val="20"/>
              </w:rPr>
              <w:t>$763,488</w:t>
            </w:r>
          </w:p>
        </w:tc>
      </w:tr>
      <w:tr w:rsidR="002D0FC6" w:rsidTr="000D70DB">
        <w:trPr>
          <w:trHeight w:val="341"/>
        </w:trPr>
        <w:tc>
          <w:tcPr>
            <w:tcW w:w="1215" w:type="dxa"/>
            <w:shd w:val="clear" w:color="auto" w:fill="auto"/>
            <w:vAlign w:val="center"/>
          </w:tcPr>
          <w:p w:rsidRPr="000F306F" w:rsidR="002D0FC6" w:rsidP="00FA209A" w:rsidRDefault="002D0FC6">
            <w:pPr>
              <w:rPr>
                <w:rFonts w:eastAsia="Calibri"/>
                <w:b/>
                <w:bCs/>
                <w:sz w:val="20"/>
                <w:szCs w:val="20"/>
              </w:rPr>
            </w:pPr>
            <w:r w:rsidRPr="000F306F">
              <w:rPr>
                <w:rFonts w:eastAsia="Calibri"/>
                <w:b/>
                <w:bCs/>
                <w:sz w:val="20"/>
                <w:szCs w:val="20"/>
              </w:rPr>
              <w:t>Total</w:t>
            </w:r>
          </w:p>
        </w:tc>
        <w:tc>
          <w:tcPr>
            <w:tcW w:w="1415" w:type="dxa"/>
            <w:shd w:val="clear" w:color="auto" w:fill="auto"/>
            <w:vAlign w:val="center"/>
          </w:tcPr>
          <w:p w:rsidRPr="000F306F" w:rsidR="002D0FC6" w:rsidP="00FA209A" w:rsidRDefault="002D0FC6">
            <w:pPr>
              <w:rPr>
                <w:rFonts w:eastAsia="Calibri"/>
                <w:sz w:val="20"/>
                <w:szCs w:val="20"/>
              </w:rPr>
            </w:pPr>
            <w:r w:rsidRPr="000F306F">
              <w:rPr>
                <w:rFonts w:eastAsia="Calibri"/>
                <w:sz w:val="20"/>
                <w:szCs w:val="20"/>
              </w:rPr>
              <w:t> </w:t>
            </w:r>
          </w:p>
        </w:tc>
        <w:tc>
          <w:tcPr>
            <w:tcW w:w="1238" w:type="dxa"/>
            <w:shd w:val="clear" w:color="auto" w:fill="auto"/>
            <w:vAlign w:val="center"/>
          </w:tcPr>
          <w:p w:rsidR="002D0FC6" w:rsidP="00FA209A" w:rsidRDefault="002D0FC6">
            <w:pPr>
              <w:jc w:val="center"/>
              <w:rPr>
                <w:color w:val="000000"/>
                <w:sz w:val="20"/>
                <w:szCs w:val="20"/>
              </w:rPr>
            </w:pPr>
            <w:r>
              <w:rPr>
                <w:color w:val="000000"/>
                <w:sz w:val="20"/>
                <w:szCs w:val="20"/>
              </w:rPr>
              <w:t>436</w:t>
            </w:r>
          </w:p>
        </w:tc>
        <w:tc>
          <w:tcPr>
            <w:tcW w:w="1199" w:type="dxa"/>
            <w:shd w:val="clear" w:color="000000" w:fill="000000"/>
            <w:vAlign w:val="center"/>
          </w:tcPr>
          <w:p w:rsidR="002D0FC6" w:rsidP="00FA209A" w:rsidRDefault="002D0FC6">
            <w:pPr>
              <w:jc w:val="center"/>
              <w:rPr>
                <w:color w:val="000000"/>
                <w:sz w:val="20"/>
                <w:szCs w:val="20"/>
              </w:rPr>
            </w:pPr>
            <w:r>
              <w:rPr>
                <w:rFonts w:eastAsia="Calibri"/>
                <w:color w:val="000000"/>
                <w:sz w:val="20"/>
                <w:szCs w:val="20"/>
              </w:rPr>
              <w:t>95</w:t>
            </w:r>
          </w:p>
        </w:tc>
        <w:tc>
          <w:tcPr>
            <w:tcW w:w="1064" w:type="dxa"/>
            <w:shd w:val="clear" w:color="auto" w:fill="auto"/>
            <w:vAlign w:val="center"/>
          </w:tcPr>
          <w:p w:rsidR="002D0FC6" w:rsidP="00FA209A" w:rsidRDefault="002D0FC6">
            <w:pPr>
              <w:jc w:val="center"/>
              <w:rPr>
                <w:color w:val="000000"/>
                <w:sz w:val="20"/>
                <w:szCs w:val="20"/>
              </w:rPr>
            </w:pPr>
            <w:r>
              <w:rPr>
                <w:color w:val="000000"/>
                <w:sz w:val="20"/>
                <w:szCs w:val="20"/>
              </w:rPr>
              <w:t>5,364</w:t>
            </w:r>
          </w:p>
        </w:tc>
        <w:tc>
          <w:tcPr>
            <w:tcW w:w="1202" w:type="dxa"/>
            <w:shd w:val="clear" w:color="000000" w:fill="000000"/>
            <w:vAlign w:val="center"/>
          </w:tcPr>
          <w:p w:rsidR="002D0FC6" w:rsidP="00FA209A" w:rsidRDefault="002D0FC6">
            <w:pPr>
              <w:jc w:val="center"/>
              <w:rPr>
                <w:color w:val="000000"/>
                <w:sz w:val="20"/>
                <w:szCs w:val="20"/>
              </w:rPr>
            </w:pPr>
            <w:r>
              <w:rPr>
                <w:rFonts w:eastAsia="Calibri"/>
                <w:color w:val="000000"/>
                <w:sz w:val="20"/>
                <w:szCs w:val="20"/>
              </w:rPr>
              <w:t>193</w:t>
            </w:r>
          </w:p>
        </w:tc>
        <w:tc>
          <w:tcPr>
            <w:tcW w:w="887" w:type="dxa"/>
            <w:shd w:val="clear" w:color="auto" w:fill="auto"/>
            <w:vAlign w:val="center"/>
          </w:tcPr>
          <w:p w:rsidR="002D0FC6" w:rsidP="00FA209A" w:rsidRDefault="002D0FC6">
            <w:pPr>
              <w:jc w:val="center"/>
              <w:rPr>
                <w:color w:val="000000"/>
                <w:sz w:val="20"/>
                <w:szCs w:val="20"/>
              </w:rPr>
            </w:pPr>
            <w:r>
              <w:rPr>
                <w:color w:val="000000"/>
                <w:sz w:val="20"/>
                <w:szCs w:val="20"/>
              </w:rPr>
              <w:t>58,248</w:t>
            </w:r>
          </w:p>
        </w:tc>
        <w:tc>
          <w:tcPr>
            <w:tcW w:w="798" w:type="dxa"/>
            <w:shd w:val="clear" w:color="000000" w:fill="000000"/>
            <w:vAlign w:val="center"/>
          </w:tcPr>
          <w:p w:rsidR="002D0FC6" w:rsidP="00FA209A" w:rsidRDefault="002D0FC6">
            <w:pPr>
              <w:jc w:val="center"/>
              <w:rPr>
                <w:color w:val="000000"/>
                <w:sz w:val="20"/>
                <w:szCs w:val="20"/>
              </w:rPr>
            </w:pPr>
            <w:r>
              <w:rPr>
                <w:rFonts w:eastAsia="Calibri"/>
                <w:color w:val="000000"/>
                <w:sz w:val="20"/>
                <w:szCs w:val="20"/>
              </w:rPr>
              <w:t>403.42</w:t>
            </w:r>
          </w:p>
        </w:tc>
        <w:tc>
          <w:tcPr>
            <w:tcW w:w="1425" w:type="dxa"/>
            <w:shd w:val="clear" w:color="auto" w:fill="auto"/>
            <w:vAlign w:val="center"/>
          </w:tcPr>
          <w:p w:rsidR="002D0FC6" w:rsidP="00FA209A" w:rsidRDefault="002D0FC6">
            <w:pPr>
              <w:jc w:val="right"/>
              <w:rPr>
                <w:color w:val="000000"/>
                <w:sz w:val="20"/>
                <w:szCs w:val="20"/>
              </w:rPr>
            </w:pPr>
            <w:r>
              <w:rPr>
                <w:color w:val="000000"/>
                <w:sz w:val="20"/>
                <w:szCs w:val="20"/>
              </w:rPr>
              <w:t xml:space="preserve">  $3,324,211 </w:t>
            </w:r>
          </w:p>
        </w:tc>
      </w:tr>
    </w:tbl>
    <w:p w:rsidR="00CE2679" w:rsidP="00CE2679" w:rsidRDefault="00CE2679">
      <w:pPr>
        <w:rPr>
          <w:color w:val="1F497D"/>
        </w:rPr>
      </w:pPr>
    </w:p>
    <w:p w:rsidR="004041E7" w:rsidP="004041E7" w:rsidRDefault="004041E7">
      <w:pPr>
        <w:tabs>
          <w:tab w:val="left" w:pos="-720"/>
        </w:tabs>
        <w:suppressAutoHyphens/>
      </w:pPr>
      <w:r>
        <w:rPr>
          <w:b/>
        </w:rPr>
        <w:t>Instruction for Wage-rate category multiplier:  Take each non-loaded “Avg. Hourly Wage Rate” from the BLS website table and multiply that number by 1.46</w:t>
      </w:r>
      <w:r>
        <w:rPr>
          <w:rStyle w:val="FootnoteReference"/>
          <w:b/>
        </w:rPr>
        <w:footnoteReference w:id="1"/>
      </w:r>
      <w:r>
        <w:rPr>
          <w:b/>
        </w:rPr>
        <w:t>.  For example, a non-loaded BLS table wage rate of $42.51 would be multiplied by 1.46, and the entry for the “Avg. Hourly Wage Rate” would be $62.06.</w:t>
      </w:r>
    </w:p>
    <w:p w:rsidR="004041E7" w:rsidP="004041E7" w:rsidRDefault="004041E7">
      <w:pPr>
        <w:tabs>
          <w:tab w:val="left" w:pos="-720"/>
        </w:tabs>
        <w:suppressAutoHyphens/>
      </w:pPr>
    </w:p>
    <w:p w:rsidRPr="00F11E32" w:rsidR="006762A3" w:rsidP="006762A3" w:rsidRDefault="006762A3">
      <w:pPr>
        <w:tabs>
          <w:tab w:val="left" w:pos="-720"/>
        </w:tabs>
        <w:suppressAutoHyphens/>
      </w:pPr>
      <w:r w:rsidRPr="00495461">
        <w:t>According to the U.S. Department of Labor, Bureau of Labor Statistics</w:t>
      </w:r>
      <w:r w:rsidRPr="00BA2E22">
        <w:rPr>
          <w:rStyle w:val="FootnoteReference"/>
        </w:rPr>
        <w:footnoteReference w:id="2"/>
      </w:r>
      <w:r w:rsidRPr="00BA2E22">
        <w:t>, the May 2019 Occupational Employment and Wage Estimates wage rate for Urban and Regional Planners working for local governments (</w:t>
      </w:r>
      <w:r w:rsidRPr="007E15F6">
        <w:t>SOC</w:t>
      </w:r>
      <w:r w:rsidRPr="00364F4C">
        <w:t xml:space="preserve"> 19-3051) is $</w:t>
      </w:r>
      <w:r w:rsidRPr="00495461">
        <w:t>36.50.  Including the wage rate multiplier of 1.</w:t>
      </w:r>
      <w:r w:rsidRPr="00755CAC">
        <w:t xml:space="preserve">6, the </w:t>
      </w:r>
      <w:proofErr w:type="gramStart"/>
      <w:r w:rsidRPr="00755CAC">
        <w:t>fully-loaded</w:t>
      </w:r>
      <w:proofErr w:type="gramEnd"/>
      <w:r w:rsidRPr="00755CAC">
        <w:t xml:space="preserve"> wage rate</w:t>
      </w:r>
      <w:r w:rsidRPr="004041E7">
        <w:t xml:space="preserve"> is $58.40 per hour.  Therefore, the annual burden hour cost is estimated to be $</w:t>
      </w:r>
      <w:r w:rsidRPr="00C03D61">
        <w:t>1,240.00</w:t>
      </w:r>
      <w:r w:rsidRPr="00FE1F2E">
        <w:t xml:space="preserve"> ($58.40 x</w:t>
      </w:r>
      <w:r w:rsidRPr="00F11E32">
        <w:t xml:space="preserve"> 43,848 hours = $2,560,723).  </w:t>
      </w:r>
    </w:p>
    <w:p w:rsidRPr="00F11E32" w:rsidR="006762A3" w:rsidP="006762A3" w:rsidRDefault="006762A3">
      <w:pPr>
        <w:tabs>
          <w:tab w:val="left" w:pos="-720"/>
        </w:tabs>
        <w:suppressAutoHyphens/>
      </w:pPr>
    </w:p>
    <w:p w:rsidR="006762A3" w:rsidP="004041E7" w:rsidRDefault="006762A3">
      <w:pPr>
        <w:tabs>
          <w:tab w:val="left" w:pos="-720"/>
        </w:tabs>
        <w:suppressAutoHyphens/>
      </w:pPr>
    </w:p>
    <w:p w:rsidR="004041E7" w:rsidP="00CE2679" w:rsidRDefault="004041E7">
      <w:pPr>
        <w:rPr>
          <w:color w:val="1F497D"/>
        </w:rPr>
      </w:pPr>
    </w:p>
    <w:p w:rsidRPr="004041E7" w:rsidR="004041E7" w:rsidP="00CE2679" w:rsidRDefault="004041E7">
      <w:pPr>
        <w:rPr>
          <w:color w:val="1F497D"/>
        </w:rPr>
      </w:pPr>
    </w:p>
    <w:tbl>
      <w:tblPr>
        <w:tblW w:w="10260" w:type="dxa"/>
        <w:jc w:val="center"/>
        <w:tblCellMar>
          <w:left w:w="0" w:type="dxa"/>
          <w:right w:w="0" w:type="dxa"/>
        </w:tblCellMar>
        <w:tblLook w:val="04A0" w:firstRow="1" w:lastRow="0" w:firstColumn="1" w:lastColumn="0" w:noHBand="0" w:noVBand="1"/>
      </w:tblPr>
      <w:tblGrid>
        <w:gridCol w:w="1526"/>
        <w:gridCol w:w="1944"/>
        <w:gridCol w:w="1415"/>
        <w:gridCol w:w="1291"/>
        <w:gridCol w:w="44"/>
        <w:gridCol w:w="1189"/>
        <w:gridCol w:w="1233"/>
        <w:gridCol w:w="1618"/>
      </w:tblGrid>
      <w:tr w:rsidRPr="0076776B" w:rsidR="00A5022A" w:rsidTr="0034013D">
        <w:trPr>
          <w:trHeight w:val="943"/>
          <w:jc w:val="center"/>
        </w:trPr>
        <w:tc>
          <w:tcPr>
            <w:tcW w:w="1526"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4041E7" w:rsidR="00A5022A" w:rsidP="00256A88" w:rsidRDefault="00A5022A">
            <w:pPr>
              <w:jc w:val="center"/>
              <w:rPr>
                <w:rFonts w:eastAsia="Calibri"/>
                <w:b/>
                <w:bCs/>
                <w:color w:val="000000"/>
                <w:sz w:val="22"/>
                <w:szCs w:val="22"/>
              </w:rPr>
            </w:pPr>
            <w:r w:rsidRPr="004041E7">
              <w:rPr>
                <w:b/>
                <w:bCs/>
                <w:color w:val="000000"/>
                <w:sz w:val="22"/>
                <w:szCs w:val="22"/>
              </w:rPr>
              <w:t>Data Collection Activity</w:t>
            </w:r>
          </w:p>
        </w:tc>
        <w:tc>
          <w:tcPr>
            <w:tcW w:w="1944"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4041E7" w:rsidR="00A5022A" w:rsidP="00256A88" w:rsidRDefault="00A5022A">
            <w:pPr>
              <w:jc w:val="center"/>
              <w:rPr>
                <w:rFonts w:eastAsia="Calibri"/>
                <w:b/>
                <w:bCs/>
                <w:color w:val="000000"/>
                <w:sz w:val="22"/>
                <w:szCs w:val="22"/>
              </w:rPr>
            </w:pPr>
            <w:r w:rsidRPr="004041E7">
              <w:rPr>
                <w:b/>
                <w:bCs/>
                <w:color w:val="000000"/>
                <w:sz w:val="22"/>
                <w:szCs w:val="22"/>
              </w:rPr>
              <w:t>Supporting Authority</w:t>
            </w:r>
          </w:p>
        </w:tc>
        <w:tc>
          <w:tcPr>
            <w:tcW w:w="1415"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FE1F2E" w:rsidR="00A5022A" w:rsidP="00256A88" w:rsidRDefault="00A5022A">
            <w:pPr>
              <w:jc w:val="center"/>
              <w:rPr>
                <w:rFonts w:eastAsia="Calibri"/>
                <w:b/>
                <w:bCs/>
                <w:color w:val="000000"/>
                <w:sz w:val="22"/>
                <w:szCs w:val="22"/>
              </w:rPr>
            </w:pPr>
            <w:r w:rsidRPr="00C03D61">
              <w:rPr>
                <w:b/>
                <w:bCs/>
                <w:color w:val="000000"/>
                <w:sz w:val="22"/>
                <w:szCs w:val="22"/>
              </w:rPr>
              <w:t>No. of Respondents</w:t>
            </w:r>
          </w:p>
        </w:tc>
        <w:tc>
          <w:tcPr>
            <w:tcW w:w="1335" w:type="dxa"/>
            <w:gridSpan w:val="2"/>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F11E32" w:rsidR="00A5022A" w:rsidP="00256A88" w:rsidRDefault="00A5022A">
            <w:pPr>
              <w:jc w:val="center"/>
              <w:rPr>
                <w:rFonts w:eastAsia="Calibri"/>
                <w:b/>
                <w:bCs/>
                <w:color w:val="000000"/>
                <w:sz w:val="22"/>
                <w:szCs w:val="22"/>
              </w:rPr>
            </w:pPr>
            <w:r w:rsidRPr="00F11E32">
              <w:rPr>
                <w:b/>
                <w:bCs/>
                <w:color w:val="000000"/>
                <w:sz w:val="22"/>
                <w:szCs w:val="22"/>
              </w:rPr>
              <w:t>No. of Responses per Respondent</w:t>
            </w:r>
          </w:p>
        </w:tc>
        <w:tc>
          <w:tcPr>
            <w:tcW w:w="1189"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F11E32" w:rsidR="00A5022A" w:rsidP="00256A88" w:rsidRDefault="00A5022A">
            <w:pPr>
              <w:jc w:val="center"/>
              <w:rPr>
                <w:rFonts w:eastAsia="Calibri"/>
                <w:b/>
                <w:bCs/>
                <w:color w:val="000000"/>
                <w:sz w:val="22"/>
                <w:szCs w:val="22"/>
              </w:rPr>
            </w:pPr>
            <w:r w:rsidRPr="00F11E32">
              <w:rPr>
                <w:b/>
                <w:bCs/>
                <w:color w:val="000000"/>
                <w:sz w:val="22"/>
                <w:szCs w:val="22"/>
              </w:rPr>
              <w:t>Total No. of Responses</w:t>
            </w:r>
          </w:p>
        </w:tc>
        <w:tc>
          <w:tcPr>
            <w:tcW w:w="1233"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9B3FB2" w:rsidR="00A5022A" w:rsidP="00256A88" w:rsidRDefault="00A5022A">
            <w:pPr>
              <w:jc w:val="center"/>
              <w:rPr>
                <w:rFonts w:eastAsia="Calibri"/>
                <w:b/>
                <w:bCs/>
                <w:color w:val="000000"/>
                <w:sz w:val="22"/>
                <w:szCs w:val="22"/>
              </w:rPr>
            </w:pPr>
            <w:r w:rsidRPr="00F11E32">
              <w:rPr>
                <w:b/>
                <w:bCs/>
                <w:color w:val="000000"/>
                <w:sz w:val="22"/>
                <w:szCs w:val="22"/>
              </w:rPr>
              <w:t>Avg. Burden per Response (in</w:t>
            </w:r>
            <w:r w:rsidRPr="00AA64ED">
              <w:rPr>
                <w:b/>
                <w:bCs/>
                <w:color w:val="000000"/>
                <w:sz w:val="22"/>
                <w:szCs w:val="22"/>
              </w:rPr>
              <w:t xml:space="preserve"> hours)</w:t>
            </w:r>
          </w:p>
        </w:tc>
        <w:tc>
          <w:tcPr>
            <w:tcW w:w="1618" w:type="dxa"/>
            <w:tcBorders>
              <w:top w:val="single" w:color="auto" w:sz="4" w:space="0"/>
              <w:left w:val="single" w:color="auto" w:sz="4" w:space="0"/>
              <w:bottom w:val="single" w:color="auto" w:sz="4" w:space="0"/>
              <w:right w:val="single" w:color="auto" w:sz="4" w:space="0"/>
            </w:tcBorders>
            <w:shd w:val="clear" w:color="auto" w:fill="8EAADB"/>
            <w:tcMar>
              <w:top w:w="0" w:type="dxa"/>
              <w:left w:w="108" w:type="dxa"/>
              <w:bottom w:w="0" w:type="dxa"/>
              <w:right w:w="108" w:type="dxa"/>
            </w:tcMar>
            <w:vAlign w:val="center"/>
            <w:hideMark/>
          </w:tcPr>
          <w:p w:rsidRPr="009B3FB2" w:rsidR="00A5022A" w:rsidP="00256A88" w:rsidRDefault="00A5022A">
            <w:pPr>
              <w:jc w:val="center"/>
              <w:rPr>
                <w:rFonts w:eastAsia="Calibri"/>
                <w:b/>
                <w:bCs/>
                <w:color w:val="000000"/>
                <w:sz w:val="22"/>
                <w:szCs w:val="22"/>
              </w:rPr>
            </w:pPr>
            <w:r w:rsidRPr="009B3FB2">
              <w:rPr>
                <w:b/>
                <w:bCs/>
                <w:color w:val="000000"/>
                <w:sz w:val="22"/>
                <w:szCs w:val="22"/>
              </w:rPr>
              <w:t>Total Annual Burden (in hours)</w:t>
            </w:r>
          </w:p>
        </w:tc>
      </w:tr>
      <w:tr w:rsidRPr="0076776B" w:rsidR="00A5022A" w:rsidTr="00B534D9">
        <w:trPr>
          <w:trHeight w:val="750"/>
          <w:jc w:val="center"/>
        </w:trPr>
        <w:tc>
          <w:tcPr>
            <w:tcW w:w="152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rPr>
                <w:rFonts w:eastAsia="Calibri"/>
                <w:color w:val="000000"/>
                <w:sz w:val="22"/>
                <w:szCs w:val="22"/>
              </w:rPr>
            </w:pPr>
            <w:r w:rsidRPr="0076776B">
              <w:rPr>
                <w:color w:val="000000"/>
                <w:sz w:val="22"/>
                <w:szCs w:val="22"/>
              </w:rPr>
              <w:t>Benefit Cost Determination</w:t>
            </w:r>
          </w:p>
        </w:tc>
        <w:tc>
          <w:tcPr>
            <w:tcW w:w="1944"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rPr>
                <w:rFonts w:eastAsia="Calibri"/>
                <w:sz w:val="22"/>
                <w:szCs w:val="22"/>
              </w:rPr>
            </w:pPr>
            <w:r w:rsidRPr="0076776B">
              <w:rPr>
                <w:sz w:val="22"/>
                <w:szCs w:val="22"/>
              </w:rPr>
              <w:t xml:space="preserve">FMA (97.029) and </w:t>
            </w:r>
            <w:r w:rsidRPr="0076776B" w:rsidR="00364F58">
              <w:rPr>
                <w:sz w:val="22"/>
                <w:szCs w:val="22"/>
              </w:rPr>
              <w:t>BRIC</w:t>
            </w:r>
            <w:r w:rsidRPr="0076776B">
              <w:rPr>
                <w:sz w:val="22"/>
                <w:szCs w:val="22"/>
              </w:rPr>
              <w:t> Programs</w:t>
            </w:r>
          </w:p>
        </w:tc>
        <w:tc>
          <w:tcPr>
            <w:tcW w:w="141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sz w:val="22"/>
                <w:szCs w:val="22"/>
              </w:rPr>
            </w:pPr>
            <w:r w:rsidRPr="0076776B">
              <w:rPr>
                <w:sz w:val="22"/>
                <w:szCs w:val="22"/>
              </w:rPr>
              <w:t>56</w:t>
            </w:r>
          </w:p>
        </w:tc>
        <w:tc>
          <w:tcPr>
            <w:tcW w:w="129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sz w:val="22"/>
                <w:szCs w:val="22"/>
              </w:rPr>
            </w:pPr>
            <w:r w:rsidRPr="0076776B">
              <w:rPr>
                <w:sz w:val="22"/>
                <w:szCs w:val="22"/>
              </w:rPr>
              <w:t>30</w:t>
            </w:r>
          </w:p>
        </w:tc>
        <w:tc>
          <w:tcPr>
            <w:tcW w:w="1233" w:type="dxa"/>
            <w:gridSpan w:val="2"/>
            <w:tcBorders>
              <w:top w:val="single" w:color="auto" w:sz="4" w:space="0"/>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sz w:val="22"/>
                <w:szCs w:val="22"/>
              </w:rPr>
            </w:pPr>
            <w:r w:rsidRPr="0076776B">
              <w:rPr>
                <w:sz w:val="22"/>
                <w:szCs w:val="22"/>
              </w:rPr>
              <w:t>1,680</w:t>
            </w:r>
          </w:p>
        </w:tc>
        <w:tc>
          <w:tcPr>
            <w:tcW w:w="123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sz w:val="22"/>
                <w:szCs w:val="22"/>
              </w:rPr>
            </w:pPr>
            <w:r w:rsidRPr="0076776B">
              <w:rPr>
                <w:sz w:val="22"/>
                <w:szCs w:val="22"/>
              </w:rPr>
              <w:t>5</w:t>
            </w:r>
          </w:p>
        </w:tc>
        <w:tc>
          <w:tcPr>
            <w:tcW w:w="161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sz w:val="22"/>
                <w:szCs w:val="22"/>
              </w:rPr>
            </w:pPr>
            <w:r w:rsidRPr="0076776B">
              <w:rPr>
                <w:sz w:val="22"/>
                <w:szCs w:val="22"/>
              </w:rPr>
              <w:t>8,400</w:t>
            </w:r>
          </w:p>
        </w:tc>
      </w:tr>
      <w:tr w:rsidRPr="0076776B" w:rsidR="00A5022A" w:rsidTr="00B534D9">
        <w:trPr>
          <w:trHeight w:val="750"/>
          <w:jc w:val="center"/>
        </w:trPr>
        <w:tc>
          <w:tcPr>
            <w:tcW w:w="15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rPr>
                <w:rFonts w:eastAsia="Calibri"/>
                <w:color w:val="000000"/>
                <w:sz w:val="22"/>
                <w:szCs w:val="22"/>
              </w:rPr>
            </w:pPr>
            <w:r w:rsidRPr="0076776B">
              <w:rPr>
                <w:color w:val="000000"/>
                <w:sz w:val="22"/>
                <w:szCs w:val="22"/>
              </w:rPr>
              <w:t>Environmental Review</w:t>
            </w:r>
          </w:p>
        </w:tc>
        <w:tc>
          <w:tcPr>
            <w:tcW w:w="194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rPr>
                <w:rFonts w:eastAsia="Calibri"/>
                <w:color w:val="000000"/>
                <w:sz w:val="22"/>
                <w:szCs w:val="22"/>
              </w:rPr>
            </w:pPr>
            <w:r w:rsidRPr="0076776B">
              <w:rPr>
                <w:sz w:val="22"/>
                <w:szCs w:val="22"/>
              </w:rPr>
              <w:t xml:space="preserve">FMA (97.029) and </w:t>
            </w:r>
            <w:r w:rsidRPr="0076776B" w:rsidR="00364F58">
              <w:rPr>
                <w:sz w:val="22"/>
                <w:szCs w:val="22"/>
              </w:rPr>
              <w:t xml:space="preserve">BRIC </w:t>
            </w:r>
            <w:r w:rsidRPr="0076776B">
              <w:rPr>
                <w:sz w:val="22"/>
                <w:szCs w:val="22"/>
              </w:rPr>
              <w:t>Programs</w:t>
            </w:r>
          </w:p>
        </w:tc>
        <w:tc>
          <w:tcPr>
            <w:tcW w:w="1415"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color w:val="000000"/>
                <w:sz w:val="22"/>
                <w:szCs w:val="22"/>
              </w:rPr>
            </w:pPr>
            <w:r w:rsidRPr="0076776B">
              <w:rPr>
                <w:sz w:val="22"/>
                <w:szCs w:val="22"/>
              </w:rPr>
              <w:t>56</w:t>
            </w:r>
          </w:p>
        </w:tc>
        <w:tc>
          <w:tcPr>
            <w:tcW w:w="129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sz w:val="22"/>
                <w:szCs w:val="22"/>
              </w:rPr>
            </w:pPr>
            <w:r w:rsidRPr="0076776B">
              <w:rPr>
                <w:sz w:val="22"/>
                <w:szCs w:val="22"/>
              </w:rPr>
              <w:t>30</w:t>
            </w:r>
          </w:p>
        </w:tc>
        <w:tc>
          <w:tcPr>
            <w:tcW w:w="1233"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sz w:val="22"/>
                <w:szCs w:val="22"/>
              </w:rPr>
            </w:pPr>
            <w:r w:rsidRPr="0076776B">
              <w:rPr>
                <w:sz w:val="22"/>
                <w:szCs w:val="22"/>
              </w:rPr>
              <w:t>1,680</w:t>
            </w:r>
          </w:p>
        </w:tc>
        <w:tc>
          <w:tcPr>
            <w:tcW w:w="123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sz w:val="22"/>
                <w:szCs w:val="22"/>
              </w:rPr>
            </w:pPr>
            <w:r w:rsidRPr="0076776B">
              <w:rPr>
                <w:sz w:val="22"/>
                <w:szCs w:val="22"/>
              </w:rPr>
              <w:t>7.5</w:t>
            </w:r>
          </w:p>
        </w:tc>
        <w:tc>
          <w:tcPr>
            <w:tcW w:w="161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color w:val="000000"/>
                <w:sz w:val="22"/>
                <w:szCs w:val="22"/>
              </w:rPr>
            </w:pPr>
            <w:r w:rsidRPr="0076776B">
              <w:rPr>
                <w:sz w:val="22"/>
                <w:szCs w:val="22"/>
              </w:rPr>
              <w:t>12,600</w:t>
            </w:r>
          </w:p>
        </w:tc>
      </w:tr>
      <w:tr w:rsidRPr="0076776B" w:rsidR="00A5022A" w:rsidTr="00B534D9">
        <w:trPr>
          <w:trHeight w:val="990"/>
          <w:jc w:val="center"/>
        </w:trPr>
        <w:tc>
          <w:tcPr>
            <w:tcW w:w="15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rPr>
                <w:rFonts w:eastAsia="Calibri"/>
                <w:color w:val="000000"/>
                <w:sz w:val="22"/>
                <w:szCs w:val="22"/>
              </w:rPr>
            </w:pPr>
            <w:r w:rsidRPr="0076776B">
              <w:rPr>
                <w:color w:val="000000"/>
                <w:sz w:val="22"/>
                <w:szCs w:val="22"/>
              </w:rPr>
              <w:t>Project Narrative-Sub-Grant Application</w:t>
            </w:r>
          </w:p>
        </w:tc>
        <w:tc>
          <w:tcPr>
            <w:tcW w:w="1944"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rPr>
                <w:rFonts w:eastAsia="Calibri"/>
                <w:color w:val="000000"/>
                <w:sz w:val="22"/>
                <w:szCs w:val="22"/>
              </w:rPr>
            </w:pPr>
            <w:r w:rsidRPr="0076776B">
              <w:rPr>
                <w:sz w:val="22"/>
                <w:szCs w:val="22"/>
              </w:rPr>
              <w:t xml:space="preserve">FMA (97.029) and </w:t>
            </w:r>
            <w:r w:rsidRPr="0076776B" w:rsidR="00364F58">
              <w:rPr>
                <w:sz w:val="22"/>
                <w:szCs w:val="22"/>
              </w:rPr>
              <w:t>BRIC</w:t>
            </w:r>
            <w:r w:rsidRPr="0076776B">
              <w:rPr>
                <w:sz w:val="22"/>
                <w:szCs w:val="22"/>
              </w:rPr>
              <w:t xml:space="preserve"> Programs</w:t>
            </w:r>
          </w:p>
        </w:tc>
        <w:tc>
          <w:tcPr>
            <w:tcW w:w="1415"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color w:val="000000"/>
                <w:sz w:val="22"/>
                <w:szCs w:val="22"/>
              </w:rPr>
            </w:pPr>
            <w:r w:rsidRPr="0076776B">
              <w:rPr>
                <w:sz w:val="22"/>
                <w:szCs w:val="22"/>
              </w:rPr>
              <w:t>56</w:t>
            </w:r>
          </w:p>
        </w:tc>
        <w:tc>
          <w:tcPr>
            <w:tcW w:w="1291"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sz w:val="22"/>
                <w:szCs w:val="22"/>
              </w:rPr>
            </w:pPr>
            <w:r w:rsidRPr="0076776B">
              <w:rPr>
                <w:sz w:val="22"/>
                <w:szCs w:val="22"/>
              </w:rPr>
              <w:t>34</w:t>
            </w:r>
          </w:p>
        </w:tc>
        <w:tc>
          <w:tcPr>
            <w:tcW w:w="1233" w:type="dxa"/>
            <w:gridSpan w:val="2"/>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color w:val="000000"/>
                <w:sz w:val="22"/>
                <w:szCs w:val="22"/>
              </w:rPr>
            </w:pPr>
            <w:r w:rsidRPr="0076776B">
              <w:rPr>
                <w:sz w:val="22"/>
                <w:szCs w:val="22"/>
              </w:rPr>
              <w:t>1,904</w:t>
            </w:r>
          </w:p>
        </w:tc>
        <w:tc>
          <w:tcPr>
            <w:tcW w:w="1233"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sz w:val="22"/>
                <w:szCs w:val="22"/>
              </w:rPr>
            </w:pPr>
            <w:r w:rsidRPr="0076776B">
              <w:rPr>
                <w:sz w:val="22"/>
                <w:szCs w:val="22"/>
              </w:rPr>
              <w:t>12</w:t>
            </w:r>
          </w:p>
        </w:tc>
        <w:tc>
          <w:tcPr>
            <w:tcW w:w="161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sz w:val="22"/>
                <w:szCs w:val="22"/>
              </w:rPr>
            </w:pPr>
            <w:r w:rsidRPr="0076776B">
              <w:rPr>
                <w:sz w:val="22"/>
                <w:szCs w:val="22"/>
              </w:rPr>
              <w:t>22,848</w:t>
            </w:r>
          </w:p>
        </w:tc>
      </w:tr>
      <w:tr w:rsidRPr="0076776B" w:rsidR="00A5022A" w:rsidTr="00B534D9">
        <w:trPr>
          <w:trHeight w:val="315"/>
          <w:jc w:val="center"/>
        </w:trPr>
        <w:tc>
          <w:tcPr>
            <w:tcW w:w="15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76776B" w:rsidR="00A5022A" w:rsidRDefault="00A5022A">
            <w:pPr>
              <w:jc w:val="center"/>
              <w:rPr>
                <w:rFonts w:eastAsia="Calibri"/>
                <w:b/>
                <w:bCs/>
                <w:color w:val="000000"/>
                <w:sz w:val="22"/>
                <w:szCs w:val="22"/>
              </w:rPr>
            </w:pPr>
            <w:r w:rsidRPr="0076776B">
              <w:rPr>
                <w:b/>
                <w:bCs/>
                <w:color w:val="000000"/>
                <w:sz w:val="22"/>
                <w:szCs w:val="22"/>
              </w:rPr>
              <w:t>Total</w:t>
            </w:r>
          </w:p>
        </w:tc>
        <w:tc>
          <w:tcPr>
            <w:tcW w:w="194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rsidRPr="0076776B" w:rsidR="00A5022A" w:rsidRDefault="00A5022A">
            <w:pPr>
              <w:jc w:val="center"/>
              <w:rPr>
                <w:rFonts w:eastAsia="Calibri"/>
                <w:b/>
                <w:bCs/>
                <w:color w:val="000000"/>
                <w:sz w:val="22"/>
                <w:szCs w:val="22"/>
              </w:rPr>
            </w:pPr>
          </w:p>
        </w:tc>
        <w:tc>
          <w:tcPr>
            <w:tcW w:w="14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rsidRPr="003C5386" w:rsidR="00A5022A" w:rsidRDefault="00B032E9">
            <w:pPr>
              <w:jc w:val="center"/>
              <w:rPr>
                <w:rFonts w:eastAsia="Calibri"/>
                <w:b/>
                <w:bCs/>
                <w:color w:val="000000"/>
                <w:sz w:val="22"/>
                <w:szCs w:val="22"/>
              </w:rPr>
            </w:pPr>
            <w:r>
              <w:rPr>
                <w:rFonts w:eastAsia="Calibri"/>
                <w:b/>
                <w:bCs/>
                <w:color w:val="000000"/>
                <w:sz w:val="22"/>
                <w:szCs w:val="22"/>
              </w:rPr>
              <w:t>168</w:t>
            </w:r>
          </w:p>
        </w:tc>
        <w:tc>
          <w:tcPr>
            <w:tcW w:w="1291"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bottom"/>
          </w:tcPr>
          <w:p w:rsidRPr="003C5386" w:rsidR="00A5022A" w:rsidRDefault="00A5022A">
            <w:pPr>
              <w:jc w:val="center"/>
              <w:rPr>
                <w:rFonts w:eastAsia="Calibri"/>
                <w:b/>
                <w:bCs/>
                <w:color w:val="000000"/>
                <w:sz w:val="22"/>
                <w:szCs w:val="22"/>
              </w:rPr>
            </w:pPr>
          </w:p>
        </w:tc>
        <w:tc>
          <w:tcPr>
            <w:tcW w:w="1233" w:type="dxa"/>
            <w:gridSpan w:val="2"/>
            <w:tcBorders>
              <w:top w:val="nil"/>
              <w:left w:val="nil"/>
              <w:bottom w:val="single" w:color="auto" w:sz="8" w:space="0"/>
              <w:right w:val="single" w:color="auto" w:sz="8" w:space="0"/>
            </w:tcBorders>
            <w:tcMar>
              <w:top w:w="0" w:type="dxa"/>
              <w:left w:w="108" w:type="dxa"/>
              <w:bottom w:w="0" w:type="dxa"/>
              <w:right w:w="108" w:type="dxa"/>
            </w:tcMar>
            <w:vAlign w:val="bottom"/>
          </w:tcPr>
          <w:p w:rsidRPr="003C5386" w:rsidR="00A5022A" w:rsidRDefault="00A5022A">
            <w:pPr>
              <w:jc w:val="center"/>
              <w:rPr>
                <w:rFonts w:eastAsia="Calibri"/>
                <w:b/>
                <w:bCs/>
                <w:color w:val="000000"/>
                <w:sz w:val="22"/>
                <w:szCs w:val="22"/>
              </w:rPr>
            </w:pPr>
            <w:r w:rsidRPr="003C5386">
              <w:rPr>
                <w:rFonts w:eastAsia="Calibri"/>
                <w:b/>
                <w:bCs/>
                <w:color w:val="000000"/>
                <w:sz w:val="22"/>
                <w:szCs w:val="22"/>
              </w:rPr>
              <w:t>5,264</w:t>
            </w:r>
          </w:p>
        </w:tc>
        <w:tc>
          <w:tcPr>
            <w:tcW w:w="1233"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bottom"/>
          </w:tcPr>
          <w:p w:rsidRPr="003F3551" w:rsidR="00A5022A" w:rsidRDefault="00A5022A">
            <w:pPr>
              <w:jc w:val="center"/>
              <w:rPr>
                <w:rFonts w:eastAsia="Calibri"/>
                <w:b/>
                <w:bCs/>
                <w:color w:val="000000"/>
                <w:sz w:val="22"/>
                <w:szCs w:val="22"/>
              </w:rPr>
            </w:pPr>
          </w:p>
        </w:tc>
        <w:tc>
          <w:tcPr>
            <w:tcW w:w="1618"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3F3551" w:rsidR="00A5022A" w:rsidRDefault="00A5022A">
            <w:pPr>
              <w:jc w:val="center"/>
              <w:rPr>
                <w:rFonts w:eastAsia="Calibri"/>
                <w:b/>
                <w:bCs/>
                <w:sz w:val="22"/>
                <w:szCs w:val="22"/>
              </w:rPr>
            </w:pPr>
            <w:r w:rsidRPr="003F3551">
              <w:rPr>
                <w:b/>
                <w:bCs/>
                <w:sz w:val="22"/>
                <w:szCs w:val="22"/>
              </w:rPr>
              <w:t>43,848</w:t>
            </w:r>
          </w:p>
        </w:tc>
      </w:tr>
      <w:tr w:rsidRPr="0076776B" w:rsidR="00A5022A" w:rsidTr="00B534D9">
        <w:trPr>
          <w:jc w:val="center"/>
        </w:trPr>
        <w:tc>
          <w:tcPr>
            <w:tcW w:w="1526" w:type="dxa"/>
            <w:vAlign w:val="center"/>
            <w:hideMark/>
          </w:tcPr>
          <w:p w:rsidRPr="0076776B" w:rsidR="00A5022A" w:rsidRDefault="00A5022A">
            <w:pPr>
              <w:rPr>
                <w:sz w:val="20"/>
                <w:szCs w:val="20"/>
              </w:rPr>
            </w:pPr>
          </w:p>
        </w:tc>
        <w:tc>
          <w:tcPr>
            <w:tcW w:w="1944" w:type="dxa"/>
            <w:vAlign w:val="center"/>
            <w:hideMark/>
          </w:tcPr>
          <w:p w:rsidRPr="0076776B" w:rsidR="00A5022A" w:rsidRDefault="00A5022A">
            <w:pPr>
              <w:rPr>
                <w:sz w:val="20"/>
                <w:szCs w:val="20"/>
              </w:rPr>
            </w:pPr>
          </w:p>
        </w:tc>
        <w:tc>
          <w:tcPr>
            <w:tcW w:w="1415" w:type="dxa"/>
            <w:vAlign w:val="center"/>
            <w:hideMark/>
          </w:tcPr>
          <w:p w:rsidRPr="0076776B" w:rsidR="00A5022A" w:rsidRDefault="00A5022A">
            <w:pPr>
              <w:rPr>
                <w:sz w:val="20"/>
                <w:szCs w:val="20"/>
              </w:rPr>
            </w:pPr>
          </w:p>
        </w:tc>
        <w:tc>
          <w:tcPr>
            <w:tcW w:w="1291" w:type="dxa"/>
            <w:vAlign w:val="center"/>
            <w:hideMark/>
          </w:tcPr>
          <w:p w:rsidRPr="0076776B" w:rsidR="00A5022A" w:rsidRDefault="00A5022A">
            <w:pPr>
              <w:rPr>
                <w:sz w:val="20"/>
                <w:szCs w:val="20"/>
              </w:rPr>
            </w:pPr>
          </w:p>
        </w:tc>
        <w:tc>
          <w:tcPr>
            <w:tcW w:w="44" w:type="dxa"/>
            <w:vAlign w:val="center"/>
            <w:hideMark/>
          </w:tcPr>
          <w:p w:rsidRPr="0076776B" w:rsidR="00A5022A" w:rsidRDefault="00A5022A">
            <w:pPr>
              <w:rPr>
                <w:sz w:val="20"/>
                <w:szCs w:val="20"/>
              </w:rPr>
            </w:pPr>
          </w:p>
        </w:tc>
        <w:tc>
          <w:tcPr>
            <w:tcW w:w="1189" w:type="dxa"/>
            <w:vAlign w:val="center"/>
            <w:hideMark/>
          </w:tcPr>
          <w:p w:rsidRPr="0076776B" w:rsidR="00A5022A" w:rsidRDefault="00A5022A">
            <w:pPr>
              <w:rPr>
                <w:sz w:val="20"/>
                <w:szCs w:val="20"/>
              </w:rPr>
            </w:pPr>
          </w:p>
        </w:tc>
        <w:tc>
          <w:tcPr>
            <w:tcW w:w="1233" w:type="dxa"/>
            <w:vAlign w:val="center"/>
            <w:hideMark/>
          </w:tcPr>
          <w:p w:rsidRPr="0076776B" w:rsidR="00A5022A" w:rsidRDefault="00A5022A">
            <w:pPr>
              <w:rPr>
                <w:sz w:val="20"/>
                <w:szCs w:val="20"/>
              </w:rPr>
            </w:pPr>
          </w:p>
        </w:tc>
        <w:tc>
          <w:tcPr>
            <w:tcW w:w="1618" w:type="dxa"/>
            <w:vAlign w:val="center"/>
            <w:hideMark/>
          </w:tcPr>
          <w:p w:rsidRPr="0076776B" w:rsidR="00A5022A" w:rsidRDefault="00A5022A">
            <w:pPr>
              <w:rPr>
                <w:sz w:val="20"/>
                <w:szCs w:val="20"/>
              </w:rPr>
            </w:pPr>
          </w:p>
        </w:tc>
      </w:tr>
    </w:tbl>
    <w:p w:rsidRPr="00F11E32" w:rsidR="00F11E32" w:rsidP="00FC590F" w:rsidRDefault="00F11E32">
      <w:pPr>
        <w:rPr>
          <w:bCs/>
        </w:rPr>
      </w:pPr>
    </w:p>
    <w:p w:rsidRPr="00F11E32" w:rsidR="008B50BD" w:rsidP="00FC590F" w:rsidRDefault="004E27CD">
      <w:pPr>
        <w:rPr>
          <w:bCs/>
        </w:rPr>
      </w:pPr>
      <w:r w:rsidRPr="00F11E32">
        <w:rPr>
          <w:bCs/>
        </w:rPr>
        <w:t>Information from the following Standard Forms (SF) is collected within the sub-grant application.   Approval for the collection of this information is provided under a government-wide OMB control number used throughout the Federal government</w:t>
      </w:r>
      <w:r w:rsidRPr="00F11E32" w:rsidR="002B0E42">
        <w:t>.</w:t>
      </w:r>
    </w:p>
    <w:p w:rsidRPr="00AA64ED" w:rsidR="00FC590F" w:rsidP="000B51E8" w:rsidRDefault="00FC590F"/>
    <w:tbl>
      <w:tblPr>
        <w:tblW w:w="8643" w:type="dxa"/>
        <w:tblInd w:w="511" w:type="dxa"/>
        <w:tblLook w:val="04A0" w:firstRow="1" w:lastRow="0" w:firstColumn="1" w:lastColumn="0" w:noHBand="0" w:noVBand="1"/>
      </w:tblPr>
      <w:tblGrid>
        <w:gridCol w:w="1329"/>
        <w:gridCol w:w="2135"/>
        <w:gridCol w:w="987"/>
        <w:gridCol w:w="987"/>
        <w:gridCol w:w="1182"/>
        <w:gridCol w:w="1097"/>
        <w:gridCol w:w="926"/>
      </w:tblGrid>
      <w:tr w:rsidRPr="0076776B" w:rsidR="00804C62" w:rsidTr="007C7F9F">
        <w:trPr>
          <w:trHeight w:val="1230"/>
          <w:tblHeader/>
        </w:trPr>
        <w:tc>
          <w:tcPr>
            <w:tcW w:w="1329" w:type="dxa"/>
            <w:tcBorders>
              <w:top w:val="single" w:color="auto" w:sz="8" w:space="0"/>
              <w:left w:val="single" w:color="auto" w:sz="8" w:space="0"/>
              <w:bottom w:val="single" w:color="auto" w:sz="8" w:space="0"/>
              <w:right w:val="single" w:color="auto" w:sz="8" w:space="0"/>
            </w:tcBorders>
            <w:shd w:val="clear" w:color="auto" w:fill="8EAADB"/>
            <w:vAlign w:val="center"/>
            <w:hideMark/>
          </w:tcPr>
          <w:p w:rsidRPr="009B3FB2" w:rsidR="00804C62" w:rsidP="00B534D9" w:rsidRDefault="00804C62">
            <w:pPr>
              <w:jc w:val="center"/>
              <w:rPr>
                <w:b/>
                <w:bCs/>
                <w:color w:val="000000"/>
                <w:sz w:val="22"/>
                <w:szCs w:val="22"/>
              </w:rPr>
            </w:pPr>
            <w:r w:rsidRPr="009B3FB2">
              <w:rPr>
                <w:b/>
                <w:bCs/>
                <w:color w:val="000000"/>
                <w:sz w:val="22"/>
                <w:szCs w:val="22"/>
              </w:rPr>
              <w:t>Type of Respondent</w:t>
            </w:r>
          </w:p>
        </w:tc>
        <w:tc>
          <w:tcPr>
            <w:tcW w:w="2135" w:type="dxa"/>
            <w:tcBorders>
              <w:top w:val="single" w:color="auto" w:sz="8" w:space="0"/>
              <w:left w:val="nil"/>
              <w:bottom w:val="single" w:color="auto" w:sz="8" w:space="0"/>
              <w:right w:val="single" w:color="auto" w:sz="8" w:space="0"/>
            </w:tcBorders>
            <w:shd w:val="clear" w:color="auto" w:fill="8EAADB"/>
            <w:vAlign w:val="center"/>
            <w:hideMark/>
          </w:tcPr>
          <w:p w:rsidRPr="009B3FB2" w:rsidR="00804C62" w:rsidP="00B534D9" w:rsidRDefault="00804C62">
            <w:pPr>
              <w:jc w:val="center"/>
              <w:rPr>
                <w:b/>
                <w:bCs/>
                <w:color w:val="000000"/>
                <w:sz w:val="22"/>
                <w:szCs w:val="22"/>
              </w:rPr>
            </w:pPr>
            <w:r w:rsidRPr="009B3FB2">
              <w:rPr>
                <w:b/>
                <w:bCs/>
                <w:color w:val="000000"/>
                <w:sz w:val="22"/>
                <w:szCs w:val="22"/>
              </w:rPr>
              <w:t>Form Name / Form Number</w:t>
            </w:r>
          </w:p>
        </w:tc>
        <w:tc>
          <w:tcPr>
            <w:tcW w:w="987" w:type="dxa"/>
            <w:tcBorders>
              <w:top w:val="single" w:color="auto" w:sz="8" w:space="0"/>
              <w:left w:val="nil"/>
              <w:bottom w:val="single" w:color="auto" w:sz="8" w:space="0"/>
              <w:right w:val="single" w:color="auto" w:sz="8" w:space="0"/>
            </w:tcBorders>
            <w:shd w:val="clear" w:color="auto" w:fill="8EAADB"/>
            <w:vAlign w:val="center"/>
            <w:hideMark/>
          </w:tcPr>
          <w:p w:rsidRPr="009B3FB2" w:rsidR="00804C62" w:rsidP="00B534D9" w:rsidRDefault="00804C62">
            <w:pPr>
              <w:jc w:val="center"/>
              <w:rPr>
                <w:b/>
                <w:bCs/>
                <w:color w:val="000000"/>
                <w:sz w:val="22"/>
                <w:szCs w:val="22"/>
              </w:rPr>
            </w:pPr>
            <w:r w:rsidRPr="009B3FB2">
              <w:rPr>
                <w:b/>
                <w:bCs/>
                <w:color w:val="000000"/>
                <w:sz w:val="22"/>
                <w:szCs w:val="22"/>
              </w:rPr>
              <w:t xml:space="preserve">No. of </w:t>
            </w:r>
            <w:proofErr w:type="spellStart"/>
            <w:r w:rsidRPr="009B3FB2">
              <w:rPr>
                <w:b/>
                <w:bCs/>
                <w:color w:val="000000"/>
                <w:sz w:val="22"/>
                <w:szCs w:val="22"/>
              </w:rPr>
              <w:t>Respon</w:t>
            </w:r>
            <w:proofErr w:type="spellEnd"/>
            <w:r w:rsidRPr="009B3FB2">
              <w:rPr>
                <w:b/>
                <w:bCs/>
                <w:color w:val="000000"/>
                <w:sz w:val="22"/>
                <w:szCs w:val="22"/>
              </w:rPr>
              <w:t>-dents</w:t>
            </w:r>
          </w:p>
        </w:tc>
        <w:tc>
          <w:tcPr>
            <w:tcW w:w="987" w:type="dxa"/>
            <w:tcBorders>
              <w:top w:val="single" w:color="auto" w:sz="8" w:space="0"/>
              <w:left w:val="nil"/>
              <w:bottom w:val="single" w:color="auto" w:sz="8" w:space="0"/>
              <w:right w:val="single" w:color="auto" w:sz="8" w:space="0"/>
            </w:tcBorders>
            <w:shd w:val="clear" w:color="auto" w:fill="8EAADB"/>
            <w:vAlign w:val="center"/>
            <w:hideMark/>
          </w:tcPr>
          <w:p w:rsidRPr="009B3FB2" w:rsidR="00804C62" w:rsidP="00B534D9" w:rsidRDefault="00804C62">
            <w:pPr>
              <w:jc w:val="center"/>
              <w:rPr>
                <w:b/>
                <w:bCs/>
                <w:color w:val="000000"/>
                <w:sz w:val="22"/>
                <w:szCs w:val="22"/>
              </w:rPr>
            </w:pPr>
            <w:r w:rsidRPr="009B3FB2">
              <w:rPr>
                <w:b/>
                <w:bCs/>
                <w:color w:val="000000"/>
                <w:sz w:val="22"/>
                <w:szCs w:val="22"/>
              </w:rPr>
              <w:t xml:space="preserve">No. of </w:t>
            </w:r>
            <w:proofErr w:type="spellStart"/>
            <w:r w:rsidRPr="009B3FB2">
              <w:rPr>
                <w:b/>
                <w:bCs/>
                <w:color w:val="000000"/>
                <w:sz w:val="22"/>
                <w:szCs w:val="22"/>
              </w:rPr>
              <w:t>Respon-ses</w:t>
            </w:r>
            <w:proofErr w:type="spellEnd"/>
            <w:r w:rsidRPr="009B3FB2">
              <w:rPr>
                <w:b/>
                <w:bCs/>
                <w:color w:val="000000"/>
                <w:sz w:val="22"/>
                <w:szCs w:val="22"/>
              </w:rPr>
              <w:t xml:space="preserve"> per </w:t>
            </w:r>
            <w:proofErr w:type="spellStart"/>
            <w:r w:rsidRPr="009B3FB2">
              <w:rPr>
                <w:b/>
                <w:bCs/>
                <w:color w:val="000000"/>
                <w:sz w:val="22"/>
                <w:szCs w:val="22"/>
              </w:rPr>
              <w:t>Respon</w:t>
            </w:r>
            <w:proofErr w:type="spellEnd"/>
            <w:r w:rsidRPr="009B3FB2">
              <w:rPr>
                <w:b/>
                <w:bCs/>
                <w:color w:val="000000"/>
                <w:sz w:val="22"/>
                <w:szCs w:val="22"/>
              </w:rPr>
              <w:t>-dent</w:t>
            </w:r>
          </w:p>
        </w:tc>
        <w:tc>
          <w:tcPr>
            <w:tcW w:w="1182" w:type="dxa"/>
            <w:tcBorders>
              <w:top w:val="single" w:color="auto" w:sz="8" w:space="0"/>
              <w:left w:val="nil"/>
              <w:bottom w:val="single" w:color="auto" w:sz="8" w:space="0"/>
              <w:right w:val="single" w:color="auto" w:sz="8" w:space="0"/>
            </w:tcBorders>
            <w:shd w:val="clear" w:color="auto" w:fill="8EAADB"/>
            <w:vAlign w:val="center"/>
            <w:hideMark/>
          </w:tcPr>
          <w:p w:rsidRPr="009B3FB2" w:rsidR="00804C62" w:rsidP="00B534D9" w:rsidRDefault="00804C62">
            <w:pPr>
              <w:jc w:val="center"/>
              <w:rPr>
                <w:b/>
                <w:bCs/>
                <w:color w:val="000000"/>
                <w:sz w:val="22"/>
                <w:szCs w:val="22"/>
              </w:rPr>
            </w:pPr>
            <w:r w:rsidRPr="009B3FB2">
              <w:rPr>
                <w:b/>
                <w:bCs/>
                <w:color w:val="000000"/>
                <w:sz w:val="22"/>
                <w:szCs w:val="22"/>
              </w:rPr>
              <w:t>Total No. of Responses</w:t>
            </w:r>
          </w:p>
        </w:tc>
        <w:tc>
          <w:tcPr>
            <w:tcW w:w="1097" w:type="dxa"/>
            <w:tcBorders>
              <w:top w:val="single" w:color="auto" w:sz="8" w:space="0"/>
              <w:left w:val="nil"/>
              <w:bottom w:val="single" w:color="auto" w:sz="8" w:space="0"/>
              <w:right w:val="single" w:color="auto" w:sz="8" w:space="0"/>
            </w:tcBorders>
            <w:shd w:val="clear" w:color="auto" w:fill="8EAADB"/>
            <w:vAlign w:val="center"/>
            <w:hideMark/>
          </w:tcPr>
          <w:p w:rsidRPr="009B3FB2" w:rsidR="00804C62" w:rsidP="00B534D9" w:rsidRDefault="00804C62">
            <w:pPr>
              <w:jc w:val="center"/>
              <w:rPr>
                <w:b/>
                <w:bCs/>
                <w:color w:val="000000"/>
                <w:sz w:val="22"/>
                <w:szCs w:val="22"/>
              </w:rPr>
            </w:pPr>
            <w:r w:rsidRPr="009B3FB2">
              <w:rPr>
                <w:b/>
                <w:bCs/>
                <w:color w:val="000000"/>
                <w:sz w:val="22"/>
                <w:szCs w:val="22"/>
              </w:rPr>
              <w:t>Avg. Burden per Response (in hours)</w:t>
            </w:r>
          </w:p>
        </w:tc>
        <w:tc>
          <w:tcPr>
            <w:tcW w:w="926" w:type="dxa"/>
            <w:tcBorders>
              <w:top w:val="single" w:color="auto" w:sz="8" w:space="0"/>
              <w:left w:val="nil"/>
              <w:bottom w:val="single" w:color="auto" w:sz="8" w:space="0"/>
              <w:right w:val="single" w:color="auto" w:sz="8" w:space="0"/>
            </w:tcBorders>
            <w:shd w:val="clear" w:color="auto" w:fill="8EAADB"/>
            <w:vAlign w:val="center"/>
            <w:hideMark/>
          </w:tcPr>
          <w:p w:rsidRPr="009B3FB2" w:rsidR="00804C62" w:rsidP="00B534D9" w:rsidRDefault="00804C62">
            <w:pPr>
              <w:jc w:val="center"/>
              <w:rPr>
                <w:b/>
                <w:bCs/>
                <w:color w:val="000000"/>
                <w:sz w:val="22"/>
                <w:szCs w:val="22"/>
              </w:rPr>
            </w:pPr>
            <w:r w:rsidRPr="009B3FB2">
              <w:rPr>
                <w:b/>
                <w:bCs/>
                <w:color w:val="000000"/>
                <w:sz w:val="22"/>
                <w:szCs w:val="22"/>
              </w:rPr>
              <w:t>Total Annual Burden (in hours)</w:t>
            </w:r>
          </w:p>
        </w:tc>
      </w:tr>
      <w:tr w:rsidRPr="0076776B" w:rsidR="00804C62" w:rsidTr="007C7F9F">
        <w:trPr>
          <w:trHeight w:val="315"/>
        </w:trPr>
        <w:tc>
          <w:tcPr>
            <w:tcW w:w="8643" w:type="dxa"/>
            <w:gridSpan w:val="7"/>
            <w:tcBorders>
              <w:top w:val="single" w:color="auto" w:sz="8" w:space="0"/>
              <w:left w:val="single" w:color="auto" w:sz="8" w:space="0"/>
              <w:bottom w:val="single" w:color="auto" w:sz="8" w:space="0"/>
              <w:right w:val="single" w:color="000000" w:sz="8" w:space="0"/>
            </w:tcBorders>
            <w:shd w:val="clear" w:color="auto" w:fill="D9D9D9"/>
            <w:vAlign w:val="center"/>
            <w:hideMark/>
          </w:tcPr>
          <w:p w:rsidRPr="0076776B" w:rsidR="00804C62" w:rsidP="00B534D9" w:rsidRDefault="00804C62">
            <w:pPr>
              <w:jc w:val="center"/>
              <w:rPr>
                <w:color w:val="000000"/>
                <w:sz w:val="22"/>
                <w:szCs w:val="22"/>
              </w:rPr>
            </w:pPr>
            <w:r w:rsidRPr="0076776B">
              <w:rPr>
                <w:color w:val="000000"/>
                <w:sz w:val="22"/>
                <w:szCs w:val="22"/>
              </w:rPr>
              <w:t>Flood Mitigation Assistance (FMA) (97.029)</w:t>
            </w:r>
          </w:p>
        </w:tc>
      </w:tr>
      <w:tr w:rsidRPr="0076776B" w:rsidR="00804C62" w:rsidTr="007C7F9F">
        <w:trPr>
          <w:trHeight w:val="1150"/>
        </w:trPr>
        <w:tc>
          <w:tcPr>
            <w:tcW w:w="1329" w:type="dxa"/>
            <w:tcBorders>
              <w:top w:val="nil"/>
              <w:left w:val="single" w:color="auto" w:sz="8" w:space="0"/>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Application for Federal Assistance FEMA Form 112-0-10</w:t>
            </w:r>
          </w:p>
        </w:tc>
        <w:tc>
          <w:tcPr>
            <w:tcW w:w="987"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3</w:t>
            </w:r>
          </w:p>
        </w:tc>
        <w:tc>
          <w:tcPr>
            <w:tcW w:w="1182"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168</w:t>
            </w:r>
          </w:p>
        </w:tc>
        <w:tc>
          <w:tcPr>
            <w:tcW w:w="1097"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0.75</w:t>
            </w:r>
          </w:p>
        </w:tc>
        <w:tc>
          <w:tcPr>
            <w:tcW w:w="926"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126</w:t>
            </w:r>
          </w:p>
        </w:tc>
      </w:tr>
      <w:tr w:rsidRPr="0076776B" w:rsidR="00804C62" w:rsidTr="007C7F9F">
        <w:trPr>
          <w:trHeight w:val="970"/>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Budget Information - Non-construction Programs / FEMA Form 112-0-8</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3</w:t>
            </w:r>
          </w:p>
        </w:tc>
        <w:tc>
          <w:tcPr>
            <w:tcW w:w="1182"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168</w:t>
            </w:r>
          </w:p>
        </w:tc>
        <w:tc>
          <w:tcPr>
            <w:tcW w:w="109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9.7</w:t>
            </w:r>
          </w:p>
        </w:tc>
        <w:tc>
          <w:tcPr>
            <w:tcW w:w="926"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1630</w:t>
            </w:r>
          </w:p>
        </w:tc>
      </w:tr>
      <w:tr w:rsidRPr="0076776B" w:rsidR="00804C62" w:rsidTr="007C7F9F">
        <w:trPr>
          <w:trHeight w:val="1150"/>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Assurances and Summary Sheet for Assurances / FEMA Forms 112-0-3, A, B, C</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w:t>
            </w:r>
          </w:p>
        </w:tc>
        <w:tc>
          <w:tcPr>
            <w:tcW w:w="1182"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109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1.7</w:t>
            </w:r>
          </w:p>
        </w:tc>
        <w:tc>
          <w:tcPr>
            <w:tcW w:w="926"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95</w:t>
            </w:r>
          </w:p>
        </w:tc>
      </w:tr>
      <w:tr w:rsidRPr="00BA2E22" w:rsidR="00804C62" w:rsidTr="007C7F9F">
        <w:trPr>
          <w:trHeight w:val="853"/>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BA2E22" w:rsidR="00804C62" w:rsidP="00B534D9" w:rsidRDefault="00804C62">
            <w:pPr>
              <w:jc w:val="center"/>
              <w:rPr>
                <w:color w:val="000000"/>
                <w:sz w:val="22"/>
                <w:szCs w:val="22"/>
              </w:rPr>
            </w:pPr>
            <w:r w:rsidRPr="00BA2E22">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tcPr>
          <w:p w:rsidRPr="00BA2E22" w:rsidR="00804C62" w:rsidP="00B534D9" w:rsidRDefault="00804C62">
            <w:pPr>
              <w:jc w:val="center"/>
              <w:rPr>
                <w:color w:val="000000"/>
                <w:sz w:val="22"/>
                <w:szCs w:val="22"/>
              </w:rPr>
            </w:pPr>
            <w:r w:rsidRPr="00BA2E22">
              <w:rPr>
                <w:color w:val="000000"/>
                <w:sz w:val="22"/>
                <w:szCs w:val="22"/>
              </w:rPr>
              <w:t>Outlay Report and Request for Reimbursement for Construction Programs / FEMA Form 112-0-4</w:t>
            </w:r>
          </w:p>
        </w:tc>
        <w:tc>
          <w:tcPr>
            <w:tcW w:w="987" w:type="dxa"/>
            <w:tcBorders>
              <w:top w:val="nil"/>
              <w:left w:val="nil"/>
              <w:bottom w:val="single" w:color="auto" w:sz="8" w:space="0"/>
              <w:right w:val="single" w:color="auto" w:sz="8" w:space="0"/>
            </w:tcBorders>
            <w:shd w:val="clear" w:color="auto" w:fill="auto"/>
            <w:vAlign w:val="center"/>
          </w:tcPr>
          <w:p w:rsidRPr="00BA2E22" w:rsidR="00804C62" w:rsidP="00B534D9" w:rsidRDefault="00804C62">
            <w:pPr>
              <w:jc w:val="center"/>
              <w:rPr>
                <w:color w:val="000000"/>
                <w:sz w:val="22"/>
                <w:szCs w:val="22"/>
              </w:rPr>
            </w:pPr>
            <w:r w:rsidRPr="00BA2E22">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tcPr>
          <w:p w:rsidRPr="00BA2E22" w:rsidR="00804C62" w:rsidP="00B534D9" w:rsidRDefault="00804C62">
            <w:pPr>
              <w:jc w:val="center"/>
              <w:rPr>
                <w:color w:val="000000"/>
                <w:sz w:val="22"/>
                <w:szCs w:val="22"/>
              </w:rPr>
            </w:pPr>
            <w:r w:rsidRPr="00BA2E22">
              <w:rPr>
                <w:color w:val="000000"/>
                <w:sz w:val="22"/>
                <w:szCs w:val="22"/>
              </w:rPr>
              <w:t>10</w:t>
            </w:r>
          </w:p>
        </w:tc>
        <w:tc>
          <w:tcPr>
            <w:tcW w:w="1182" w:type="dxa"/>
            <w:tcBorders>
              <w:top w:val="nil"/>
              <w:left w:val="nil"/>
              <w:bottom w:val="single" w:color="auto" w:sz="8" w:space="0"/>
              <w:right w:val="single" w:color="auto" w:sz="8" w:space="0"/>
            </w:tcBorders>
            <w:shd w:val="clear" w:color="auto" w:fill="auto"/>
            <w:vAlign w:val="center"/>
          </w:tcPr>
          <w:p w:rsidRPr="00BA2E22" w:rsidR="00804C62" w:rsidP="00B534D9" w:rsidRDefault="00804C62">
            <w:pPr>
              <w:jc w:val="center"/>
              <w:rPr>
                <w:color w:val="000000"/>
                <w:sz w:val="22"/>
                <w:szCs w:val="22"/>
              </w:rPr>
            </w:pPr>
            <w:r w:rsidRPr="00BA2E22">
              <w:rPr>
                <w:color w:val="000000"/>
                <w:sz w:val="22"/>
                <w:szCs w:val="22"/>
              </w:rPr>
              <w:t>560</w:t>
            </w:r>
          </w:p>
        </w:tc>
        <w:tc>
          <w:tcPr>
            <w:tcW w:w="1097" w:type="dxa"/>
            <w:tcBorders>
              <w:top w:val="nil"/>
              <w:left w:val="nil"/>
              <w:bottom w:val="single" w:color="auto" w:sz="8" w:space="0"/>
              <w:right w:val="single" w:color="auto" w:sz="8" w:space="0"/>
            </w:tcBorders>
            <w:shd w:val="clear" w:color="auto" w:fill="auto"/>
            <w:vAlign w:val="center"/>
          </w:tcPr>
          <w:p w:rsidRPr="00BA2E22" w:rsidR="00804C62" w:rsidP="00B534D9" w:rsidRDefault="00804C62">
            <w:pPr>
              <w:jc w:val="center"/>
              <w:rPr>
                <w:color w:val="000000"/>
                <w:sz w:val="22"/>
                <w:szCs w:val="22"/>
              </w:rPr>
            </w:pPr>
            <w:r w:rsidRPr="00BA2E22">
              <w:rPr>
                <w:color w:val="000000"/>
                <w:sz w:val="22"/>
                <w:szCs w:val="22"/>
              </w:rPr>
              <w:t>17.2</w:t>
            </w:r>
          </w:p>
        </w:tc>
        <w:tc>
          <w:tcPr>
            <w:tcW w:w="926" w:type="dxa"/>
            <w:tcBorders>
              <w:top w:val="nil"/>
              <w:left w:val="nil"/>
              <w:bottom w:val="single" w:color="auto" w:sz="8" w:space="0"/>
              <w:right w:val="single" w:color="auto" w:sz="8" w:space="0"/>
            </w:tcBorders>
            <w:shd w:val="clear" w:color="auto" w:fill="auto"/>
            <w:vAlign w:val="center"/>
          </w:tcPr>
          <w:p w:rsidRPr="00BA2E22" w:rsidR="00804C62" w:rsidP="00B534D9" w:rsidRDefault="00804C62">
            <w:pPr>
              <w:jc w:val="center"/>
              <w:rPr>
                <w:color w:val="000000"/>
                <w:sz w:val="22"/>
                <w:szCs w:val="22"/>
              </w:rPr>
            </w:pPr>
            <w:r w:rsidRPr="00BA2E22">
              <w:rPr>
                <w:color w:val="000000"/>
                <w:sz w:val="22"/>
                <w:szCs w:val="22"/>
              </w:rPr>
              <w:t>9,632</w:t>
            </w:r>
          </w:p>
        </w:tc>
      </w:tr>
      <w:tr w:rsidRPr="0076776B" w:rsidR="00804C62" w:rsidTr="007C7F9F">
        <w:trPr>
          <w:trHeight w:val="1015"/>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BA2E22" w:rsidR="00804C62" w:rsidP="00B534D9" w:rsidRDefault="00804C62">
            <w:pPr>
              <w:jc w:val="center"/>
              <w:rPr>
                <w:color w:val="000000"/>
                <w:sz w:val="22"/>
                <w:szCs w:val="22"/>
              </w:rPr>
            </w:pPr>
            <w:r w:rsidRPr="00BA2E22">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hideMark/>
          </w:tcPr>
          <w:p w:rsidRPr="00BA2E22" w:rsidR="00804C62" w:rsidP="00B534D9" w:rsidRDefault="00804C62">
            <w:pPr>
              <w:jc w:val="center"/>
              <w:rPr>
                <w:color w:val="000000"/>
                <w:sz w:val="22"/>
                <w:szCs w:val="22"/>
              </w:rPr>
            </w:pPr>
            <w:r w:rsidRPr="00BA2E22">
              <w:rPr>
                <w:color w:val="000000"/>
                <w:sz w:val="22"/>
                <w:szCs w:val="22"/>
              </w:rPr>
              <w:t>Report of Government Property / FEMA Form 112-0-5</w:t>
            </w:r>
          </w:p>
        </w:tc>
        <w:tc>
          <w:tcPr>
            <w:tcW w:w="987" w:type="dxa"/>
            <w:tcBorders>
              <w:top w:val="nil"/>
              <w:left w:val="nil"/>
              <w:bottom w:val="single" w:color="auto" w:sz="8" w:space="0"/>
              <w:right w:val="single" w:color="auto" w:sz="8" w:space="0"/>
            </w:tcBorders>
            <w:shd w:val="clear" w:color="auto" w:fill="auto"/>
            <w:vAlign w:val="center"/>
            <w:hideMark/>
          </w:tcPr>
          <w:p w:rsidRPr="007E15F6" w:rsidR="00804C62" w:rsidP="00B534D9" w:rsidRDefault="00804C62">
            <w:pPr>
              <w:jc w:val="center"/>
              <w:rPr>
                <w:color w:val="000000"/>
                <w:sz w:val="22"/>
                <w:szCs w:val="22"/>
              </w:rPr>
            </w:pPr>
            <w:r w:rsidRPr="007E15F6">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hideMark/>
          </w:tcPr>
          <w:p w:rsidRPr="00364F4C" w:rsidR="00804C62" w:rsidP="00B534D9" w:rsidRDefault="00804C62">
            <w:pPr>
              <w:jc w:val="center"/>
              <w:rPr>
                <w:color w:val="000000"/>
                <w:sz w:val="22"/>
                <w:szCs w:val="22"/>
              </w:rPr>
            </w:pPr>
            <w:r w:rsidRPr="00364F4C">
              <w:rPr>
                <w:color w:val="000000"/>
                <w:sz w:val="22"/>
                <w:szCs w:val="22"/>
              </w:rPr>
              <w:t>1</w:t>
            </w:r>
          </w:p>
        </w:tc>
        <w:tc>
          <w:tcPr>
            <w:tcW w:w="1182" w:type="dxa"/>
            <w:tcBorders>
              <w:top w:val="nil"/>
              <w:left w:val="nil"/>
              <w:bottom w:val="single" w:color="auto" w:sz="8" w:space="0"/>
              <w:right w:val="single" w:color="auto" w:sz="8" w:space="0"/>
            </w:tcBorders>
            <w:shd w:val="clear" w:color="auto" w:fill="auto"/>
            <w:vAlign w:val="center"/>
            <w:hideMark/>
          </w:tcPr>
          <w:p w:rsidRPr="00364F4C" w:rsidR="00804C62" w:rsidP="00B534D9" w:rsidRDefault="00804C62">
            <w:pPr>
              <w:jc w:val="center"/>
              <w:rPr>
                <w:color w:val="000000"/>
                <w:sz w:val="22"/>
                <w:szCs w:val="22"/>
              </w:rPr>
            </w:pPr>
            <w:r w:rsidRPr="00364F4C">
              <w:rPr>
                <w:color w:val="000000"/>
                <w:sz w:val="22"/>
                <w:szCs w:val="22"/>
              </w:rPr>
              <w:t>56</w:t>
            </w:r>
          </w:p>
        </w:tc>
        <w:tc>
          <w:tcPr>
            <w:tcW w:w="1097" w:type="dxa"/>
            <w:tcBorders>
              <w:top w:val="nil"/>
              <w:left w:val="nil"/>
              <w:bottom w:val="single" w:color="auto" w:sz="8" w:space="0"/>
              <w:right w:val="single" w:color="auto" w:sz="8" w:space="0"/>
            </w:tcBorders>
            <w:shd w:val="clear" w:color="auto" w:fill="auto"/>
            <w:vAlign w:val="center"/>
            <w:hideMark/>
          </w:tcPr>
          <w:p w:rsidRPr="00495461" w:rsidR="00804C62" w:rsidP="00B534D9" w:rsidRDefault="00804C62">
            <w:pPr>
              <w:jc w:val="center"/>
              <w:rPr>
                <w:color w:val="000000"/>
                <w:sz w:val="22"/>
                <w:szCs w:val="22"/>
              </w:rPr>
            </w:pPr>
            <w:r w:rsidRPr="00364F4C">
              <w:rPr>
                <w:color w:val="000000"/>
                <w:sz w:val="22"/>
                <w:szCs w:val="22"/>
              </w:rPr>
              <w:t>4.</w:t>
            </w:r>
            <w:r w:rsidRPr="00495461">
              <w:rPr>
                <w:color w:val="000000"/>
                <w:sz w:val="22"/>
                <w:szCs w:val="22"/>
              </w:rPr>
              <w:t>2</w:t>
            </w:r>
          </w:p>
        </w:tc>
        <w:tc>
          <w:tcPr>
            <w:tcW w:w="926" w:type="dxa"/>
            <w:tcBorders>
              <w:top w:val="nil"/>
              <w:left w:val="nil"/>
              <w:bottom w:val="single" w:color="auto" w:sz="8" w:space="0"/>
              <w:right w:val="single" w:color="auto" w:sz="8" w:space="0"/>
            </w:tcBorders>
            <w:shd w:val="clear" w:color="auto" w:fill="auto"/>
            <w:vAlign w:val="center"/>
            <w:hideMark/>
          </w:tcPr>
          <w:p w:rsidRPr="00495461" w:rsidR="00804C62" w:rsidP="00B534D9" w:rsidRDefault="00804C62">
            <w:pPr>
              <w:jc w:val="center"/>
              <w:rPr>
                <w:color w:val="000000"/>
                <w:sz w:val="22"/>
                <w:szCs w:val="22"/>
              </w:rPr>
            </w:pPr>
            <w:r w:rsidRPr="00495461">
              <w:rPr>
                <w:color w:val="000000"/>
                <w:sz w:val="22"/>
                <w:szCs w:val="22"/>
              </w:rPr>
              <w:t>235</w:t>
            </w:r>
          </w:p>
        </w:tc>
      </w:tr>
      <w:tr w:rsidRPr="0076776B" w:rsidR="00804C62" w:rsidTr="007C7F9F">
        <w:trPr>
          <w:trHeight w:val="1150"/>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Reconciliation of Grants and Cooperative Agreements / FEMA Form 112-0-6</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w:t>
            </w:r>
          </w:p>
        </w:tc>
        <w:tc>
          <w:tcPr>
            <w:tcW w:w="1182"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109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0.084</w:t>
            </w:r>
          </w:p>
        </w:tc>
        <w:tc>
          <w:tcPr>
            <w:tcW w:w="926"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w:t>
            </w:r>
          </w:p>
        </w:tc>
      </w:tr>
      <w:tr w:rsidRPr="0076776B" w:rsidR="00804C62" w:rsidTr="0076776B">
        <w:trPr>
          <w:trHeight w:val="315"/>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BA2E22" w:rsidR="00804C62" w:rsidP="00B534D9" w:rsidRDefault="00804C62">
            <w:pPr>
              <w:jc w:val="center"/>
              <w:rPr>
                <w:b/>
                <w:bCs/>
                <w:sz w:val="22"/>
                <w:szCs w:val="22"/>
              </w:rPr>
            </w:pPr>
            <w:r w:rsidRPr="00BA2E22">
              <w:rPr>
                <w:b/>
                <w:bCs/>
                <w:sz w:val="22"/>
                <w:szCs w:val="22"/>
              </w:rPr>
              <w:t>Total</w:t>
            </w:r>
          </w:p>
        </w:tc>
        <w:tc>
          <w:tcPr>
            <w:tcW w:w="2135" w:type="dxa"/>
            <w:tcBorders>
              <w:top w:val="nil"/>
              <w:left w:val="nil"/>
              <w:bottom w:val="single" w:color="auto" w:sz="8" w:space="0"/>
              <w:right w:val="single" w:color="auto" w:sz="8" w:space="0"/>
            </w:tcBorders>
            <w:shd w:val="clear" w:color="auto" w:fill="FFFFFF"/>
            <w:vAlign w:val="center"/>
            <w:hideMark/>
          </w:tcPr>
          <w:p w:rsidRPr="00BA2E22" w:rsidR="00804C62" w:rsidP="00B534D9" w:rsidRDefault="00804C62">
            <w:pPr>
              <w:jc w:val="center"/>
              <w:rPr>
                <w:sz w:val="22"/>
                <w:szCs w:val="22"/>
              </w:rPr>
            </w:pP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B032E9">
            <w:pPr>
              <w:jc w:val="center"/>
              <w:rPr>
                <w:b/>
                <w:bCs/>
                <w:sz w:val="22"/>
                <w:szCs w:val="22"/>
              </w:rPr>
            </w:pPr>
            <w:r w:rsidRPr="0076776B">
              <w:rPr>
                <w:b/>
                <w:bCs/>
                <w:sz w:val="22"/>
                <w:szCs w:val="22"/>
              </w:rPr>
              <w:t>336</w:t>
            </w:r>
          </w:p>
        </w:tc>
        <w:tc>
          <w:tcPr>
            <w:tcW w:w="987" w:type="dxa"/>
            <w:tcBorders>
              <w:top w:val="nil"/>
              <w:left w:val="nil"/>
              <w:bottom w:val="single" w:color="auto" w:sz="8" w:space="0"/>
              <w:right w:val="single" w:color="auto" w:sz="8" w:space="0"/>
            </w:tcBorders>
            <w:shd w:val="clear" w:color="000000" w:fill="000000"/>
            <w:vAlign w:val="center"/>
            <w:hideMark/>
          </w:tcPr>
          <w:p w:rsidRPr="0076776B" w:rsidR="00804C62" w:rsidP="00B534D9" w:rsidRDefault="00804C62">
            <w:pPr>
              <w:jc w:val="center"/>
              <w:rPr>
                <w:b/>
                <w:bCs/>
                <w:sz w:val="22"/>
                <w:szCs w:val="22"/>
              </w:rPr>
            </w:pPr>
          </w:p>
        </w:tc>
        <w:tc>
          <w:tcPr>
            <w:tcW w:w="1182"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b/>
                <w:bCs/>
                <w:sz w:val="22"/>
                <w:szCs w:val="22"/>
              </w:rPr>
            </w:pPr>
            <w:r w:rsidRPr="0076776B">
              <w:rPr>
                <w:b/>
                <w:bCs/>
                <w:sz w:val="22"/>
                <w:szCs w:val="22"/>
              </w:rPr>
              <w:t>1,064</w:t>
            </w:r>
          </w:p>
        </w:tc>
        <w:tc>
          <w:tcPr>
            <w:tcW w:w="1097" w:type="dxa"/>
            <w:tcBorders>
              <w:top w:val="nil"/>
              <w:left w:val="nil"/>
              <w:bottom w:val="single" w:color="auto" w:sz="8" w:space="0"/>
              <w:right w:val="single" w:color="auto" w:sz="8" w:space="0"/>
            </w:tcBorders>
            <w:shd w:val="clear" w:color="000000" w:fill="000000"/>
            <w:vAlign w:val="center"/>
            <w:hideMark/>
          </w:tcPr>
          <w:p w:rsidRPr="00BA2E22" w:rsidR="00804C62" w:rsidP="00B534D9" w:rsidRDefault="00804C62">
            <w:pPr>
              <w:jc w:val="center"/>
              <w:rPr>
                <w:sz w:val="22"/>
                <w:szCs w:val="22"/>
              </w:rPr>
            </w:pPr>
          </w:p>
        </w:tc>
        <w:tc>
          <w:tcPr>
            <w:tcW w:w="926" w:type="dxa"/>
            <w:tcBorders>
              <w:top w:val="nil"/>
              <w:left w:val="nil"/>
              <w:bottom w:val="single" w:color="auto" w:sz="8" w:space="0"/>
              <w:right w:val="single" w:color="auto" w:sz="8" w:space="0"/>
            </w:tcBorders>
            <w:shd w:val="clear" w:color="auto" w:fill="auto"/>
            <w:vAlign w:val="center"/>
            <w:hideMark/>
          </w:tcPr>
          <w:p w:rsidRPr="00BA2E22" w:rsidR="00804C62" w:rsidP="00B534D9" w:rsidRDefault="00804C62">
            <w:pPr>
              <w:jc w:val="center"/>
              <w:rPr>
                <w:b/>
                <w:bCs/>
                <w:sz w:val="22"/>
                <w:szCs w:val="22"/>
              </w:rPr>
            </w:pPr>
            <w:r w:rsidRPr="00BA2E22">
              <w:rPr>
                <w:b/>
                <w:bCs/>
                <w:sz w:val="22"/>
                <w:szCs w:val="22"/>
              </w:rPr>
              <w:t>11,723</w:t>
            </w:r>
          </w:p>
        </w:tc>
      </w:tr>
      <w:tr w:rsidRPr="0076776B" w:rsidR="00804C62" w:rsidTr="007C7F9F">
        <w:trPr>
          <w:trHeight w:val="315"/>
        </w:trPr>
        <w:tc>
          <w:tcPr>
            <w:tcW w:w="8643" w:type="dxa"/>
            <w:gridSpan w:val="7"/>
            <w:tcBorders>
              <w:top w:val="single" w:color="auto" w:sz="8" w:space="0"/>
              <w:left w:val="single" w:color="auto" w:sz="8" w:space="0"/>
              <w:bottom w:val="single" w:color="auto" w:sz="8" w:space="0"/>
              <w:right w:val="single" w:color="000000" w:sz="8" w:space="0"/>
            </w:tcBorders>
            <w:shd w:val="clear" w:color="auto" w:fill="D9D9D9"/>
            <w:vAlign w:val="center"/>
            <w:hideMark/>
          </w:tcPr>
          <w:p w:rsidRPr="0076776B" w:rsidR="00804C62" w:rsidP="00B534D9" w:rsidRDefault="00804C62">
            <w:pPr>
              <w:jc w:val="center"/>
              <w:rPr>
                <w:color w:val="000000"/>
                <w:sz w:val="22"/>
                <w:szCs w:val="22"/>
              </w:rPr>
            </w:pPr>
            <w:r w:rsidRPr="0076776B">
              <w:rPr>
                <w:color w:val="000000"/>
                <w:sz w:val="22"/>
                <w:szCs w:val="22"/>
              </w:rPr>
              <w:t>Pre-Disaster Mitigation (PDM) (97.047)</w:t>
            </w:r>
          </w:p>
        </w:tc>
      </w:tr>
      <w:tr w:rsidRPr="0076776B" w:rsidR="00804C62" w:rsidTr="007C7F9F">
        <w:trPr>
          <w:trHeight w:val="1305"/>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Application for Federal Assistance/FEMA Form 112-0-10</w:t>
            </w:r>
          </w:p>
        </w:tc>
        <w:tc>
          <w:tcPr>
            <w:tcW w:w="987"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2</w:t>
            </w:r>
          </w:p>
        </w:tc>
        <w:tc>
          <w:tcPr>
            <w:tcW w:w="1182"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112</w:t>
            </w:r>
          </w:p>
        </w:tc>
        <w:tc>
          <w:tcPr>
            <w:tcW w:w="1097"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0.75</w:t>
            </w:r>
          </w:p>
        </w:tc>
        <w:tc>
          <w:tcPr>
            <w:tcW w:w="926"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color w:val="000000"/>
                <w:sz w:val="22"/>
                <w:szCs w:val="22"/>
              </w:rPr>
            </w:pPr>
            <w:r w:rsidRPr="0076776B">
              <w:rPr>
                <w:color w:val="000000"/>
                <w:sz w:val="22"/>
                <w:szCs w:val="22"/>
              </w:rPr>
              <w:t>84</w:t>
            </w:r>
          </w:p>
        </w:tc>
      </w:tr>
      <w:tr w:rsidRPr="0076776B" w:rsidR="00804C62" w:rsidTr="007C7F9F">
        <w:trPr>
          <w:trHeight w:val="1222"/>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Budget Information - Non-construction Programs / FEMA Form 112-0-8</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2</w:t>
            </w:r>
          </w:p>
        </w:tc>
        <w:tc>
          <w:tcPr>
            <w:tcW w:w="1182"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112</w:t>
            </w:r>
          </w:p>
        </w:tc>
        <w:tc>
          <w:tcPr>
            <w:tcW w:w="109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9.7</w:t>
            </w:r>
          </w:p>
        </w:tc>
        <w:tc>
          <w:tcPr>
            <w:tcW w:w="926"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1,086</w:t>
            </w:r>
          </w:p>
        </w:tc>
      </w:tr>
      <w:tr w:rsidRPr="0076776B" w:rsidR="00804C62" w:rsidTr="007C7F9F">
        <w:trPr>
          <w:trHeight w:val="790"/>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Obligating Document for Awards/Amendments / FEMA Form 112-0-7</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2</w:t>
            </w:r>
          </w:p>
        </w:tc>
        <w:tc>
          <w:tcPr>
            <w:tcW w:w="1182"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112</w:t>
            </w:r>
          </w:p>
        </w:tc>
        <w:tc>
          <w:tcPr>
            <w:tcW w:w="109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1.2</w:t>
            </w:r>
          </w:p>
        </w:tc>
        <w:tc>
          <w:tcPr>
            <w:tcW w:w="926"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134</w:t>
            </w:r>
          </w:p>
        </w:tc>
      </w:tr>
      <w:tr w:rsidRPr="0076776B" w:rsidR="00804C62" w:rsidTr="007C7F9F">
        <w:trPr>
          <w:trHeight w:val="970"/>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Assurances and Summary Sheet for Assurances / FEMA Forms 112-0-3, A, B, C</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2</w:t>
            </w:r>
          </w:p>
        </w:tc>
        <w:tc>
          <w:tcPr>
            <w:tcW w:w="1182"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112</w:t>
            </w:r>
          </w:p>
        </w:tc>
        <w:tc>
          <w:tcPr>
            <w:tcW w:w="109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1.7</w:t>
            </w:r>
          </w:p>
        </w:tc>
        <w:tc>
          <w:tcPr>
            <w:tcW w:w="926"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190</w:t>
            </w:r>
          </w:p>
        </w:tc>
      </w:tr>
      <w:tr w:rsidRPr="0076776B" w:rsidR="00804C62" w:rsidTr="007C7F9F">
        <w:trPr>
          <w:trHeight w:val="1420"/>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Outlay Report and Request for Reimbursement for Construction Programs / FEMA Form 112-0-4</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20</w:t>
            </w:r>
          </w:p>
        </w:tc>
        <w:tc>
          <w:tcPr>
            <w:tcW w:w="1182"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1,120</w:t>
            </w:r>
          </w:p>
        </w:tc>
        <w:tc>
          <w:tcPr>
            <w:tcW w:w="109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17.2</w:t>
            </w:r>
          </w:p>
        </w:tc>
        <w:tc>
          <w:tcPr>
            <w:tcW w:w="926"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19,264</w:t>
            </w:r>
          </w:p>
        </w:tc>
      </w:tr>
      <w:tr w:rsidRPr="0076776B" w:rsidR="00804C62" w:rsidTr="007C7F9F">
        <w:trPr>
          <w:trHeight w:val="790"/>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Report of Government Property / FEMA Form 112-0-5</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2</w:t>
            </w:r>
          </w:p>
        </w:tc>
        <w:tc>
          <w:tcPr>
            <w:tcW w:w="1182"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112</w:t>
            </w:r>
          </w:p>
        </w:tc>
        <w:tc>
          <w:tcPr>
            <w:tcW w:w="109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4.2</w:t>
            </w:r>
          </w:p>
        </w:tc>
        <w:tc>
          <w:tcPr>
            <w:tcW w:w="926"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470</w:t>
            </w:r>
          </w:p>
        </w:tc>
      </w:tr>
      <w:tr w:rsidRPr="0076776B" w:rsidR="00804C62" w:rsidTr="007C7F9F">
        <w:trPr>
          <w:trHeight w:val="1033"/>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2135"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Reconciliation of Grants and Cooperative Agreements / FEMA Form 112-0-6</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2</w:t>
            </w:r>
          </w:p>
        </w:tc>
        <w:tc>
          <w:tcPr>
            <w:tcW w:w="1182"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112</w:t>
            </w:r>
          </w:p>
        </w:tc>
        <w:tc>
          <w:tcPr>
            <w:tcW w:w="109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0.084</w:t>
            </w:r>
          </w:p>
        </w:tc>
        <w:tc>
          <w:tcPr>
            <w:tcW w:w="926"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9</w:t>
            </w:r>
          </w:p>
        </w:tc>
      </w:tr>
      <w:tr w:rsidRPr="0076776B" w:rsidR="00804C62" w:rsidTr="0076776B">
        <w:trPr>
          <w:trHeight w:val="315"/>
        </w:trPr>
        <w:tc>
          <w:tcPr>
            <w:tcW w:w="1329" w:type="dxa"/>
            <w:tcBorders>
              <w:top w:val="nil"/>
              <w:left w:val="single" w:color="auto" w:sz="8" w:space="0"/>
              <w:bottom w:val="single" w:color="auto" w:sz="8" w:space="0"/>
              <w:right w:val="single" w:color="auto" w:sz="8" w:space="0"/>
            </w:tcBorders>
            <w:shd w:val="clear" w:color="auto" w:fill="auto"/>
            <w:vAlign w:val="center"/>
            <w:hideMark/>
          </w:tcPr>
          <w:p w:rsidRPr="0076776B" w:rsidR="00804C62" w:rsidP="00B534D9" w:rsidRDefault="00804C62">
            <w:pPr>
              <w:jc w:val="center"/>
              <w:rPr>
                <w:b/>
                <w:bCs/>
                <w:color w:val="000000"/>
                <w:sz w:val="22"/>
                <w:szCs w:val="22"/>
              </w:rPr>
            </w:pPr>
            <w:r w:rsidRPr="0076776B">
              <w:rPr>
                <w:b/>
                <w:bCs/>
                <w:color w:val="000000"/>
                <w:sz w:val="22"/>
                <w:szCs w:val="22"/>
              </w:rPr>
              <w:t>Total</w:t>
            </w:r>
          </w:p>
        </w:tc>
        <w:tc>
          <w:tcPr>
            <w:tcW w:w="2135" w:type="dxa"/>
            <w:tcBorders>
              <w:top w:val="nil"/>
              <w:left w:val="nil"/>
              <w:bottom w:val="single" w:color="auto" w:sz="8" w:space="0"/>
              <w:right w:val="single" w:color="auto" w:sz="8" w:space="0"/>
            </w:tcBorders>
            <w:shd w:val="clear" w:color="auto" w:fill="FFFFFF"/>
            <w:vAlign w:val="center"/>
            <w:hideMark/>
          </w:tcPr>
          <w:p w:rsidRPr="0076776B" w:rsidR="00804C62" w:rsidP="00B534D9" w:rsidRDefault="00804C62">
            <w:pPr>
              <w:jc w:val="center"/>
              <w:rPr>
                <w:color w:val="000000"/>
                <w:sz w:val="22"/>
                <w:szCs w:val="22"/>
              </w:rPr>
            </w:pPr>
          </w:p>
        </w:tc>
        <w:tc>
          <w:tcPr>
            <w:tcW w:w="987" w:type="dxa"/>
            <w:tcBorders>
              <w:top w:val="nil"/>
              <w:left w:val="nil"/>
              <w:bottom w:val="single" w:color="auto" w:sz="8" w:space="0"/>
              <w:right w:val="single" w:color="auto" w:sz="8" w:space="0"/>
            </w:tcBorders>
            <w:shd w:val="clear" w:color="auto" w:fill="auto"/>
            <w:vAlign w:val="center"/>
            <w:hideMark/>
          </w:tcPr>
          <w:p w:rsidRPr="0076776B" w:rsidR="00804C62" w:rsidP="00B534D9" w:rsidRDefault="00B032E9">
            <w:pPr>
              <w:jc w:val="center"/>
              <w:rPr>
                <w:b/>
                <w:bCs/>
                <w:color w:val="000000"/>
                <w:sz w:val="22"/>
                <w:szCs w:val="22"/>
              </w:rPr>
            </w:pPr>
            <w:r w:rsidRPr="0076776B">
              <w:rPr>
                <w:b/>
                <w:bCs/>
                <w:color w:val="000000"/>
                <w:sz w:val="22"/>
                <w:szCs w:val="22"/>
              </w:rPr>
              <w:t>392</w:t>
            </w:r>
          </w:p>
        </w:tc>
        <w:tc>
          <w:tcPr>
            <w:tcW w:w="987" w:type="dxa"/>
            <w:tcBorders>
              <w:top w:val="nil"/>
              <w:left w:val="nil"/>
              <w:bottom w:val="single" w:color="auto" w:sz="8" w:space="0"/>
              <w:right w:val="single" w:color="auto" w:sz="8" w:space="0"/>
            </w:tcBorders>
            <w:shd w:val="clear" w:color="000000" w:fill="000000"/>
            <w:vAlign w:val="center"/>
            <w:hideMark/>
          </w:tcPr>
          <w:p w:rsidRPr="0076776B" w:rsidR="00804C62" w:rsidP="00B534D9" w:rsidRDefault="00804C62">
            <w:pPr>
              <w:jc w:val="center"/>
              <w:rPr>
                <w:b/>
                <w:bCs/>
                <w:color w:val="000000"/>
                <w:sz w:val="22"/>
                <w:szCs w:val="22"/>
              </w:rPr>
            </w:pPr>
          </w:p>
        </w:tc>
        <w:tc>
          <w:tcPr>
            <w:tcW w:w="1182" w:type="dxa"/>
            <w:tcBorders>
              <w:top w:val="nil"/>
              <w:left w:val="nil"/>
              <w:bottom w:val="single" w:color="auto" w:sz="8" w:space="0"/>
              <w:right w:val="single" w:color="auto" w:sz="8" w:space="0"/>
            </w:tcBorders>
            <w:shd w:val="clear" w:color="auto" w:fill="auto"/>
            <w:vAlign w:val="center"/>
          </w:tcPr>
          <w:p w:rsidRPr="0076776B" w:rsidR="00804C62" w:rsidP="00B534D9" w:rsidRDefault="00804C62">
            <w:pPr>
              <w:jc w:val="center"/>
              <w:rPr>
                <w:b/>
                <w:bCs/>
                <w:color w:val="000000"/>
                <w:sz w:val="22"/>
                <w:szCs w:val="22"/>
              </w:rPr>
            </w:pPr>
            <w:r w:rsidRPr="0076776B">
              <w:rPr>
                <w:b/>
                <w:bCs/>
                <w:color w:val="000000"/>
                <w:sz w:val="22"/>
                <w:szCs w:val="22"/>
              </w:rPr>
              <w:t>1,792</w:t>
            </w:r>
          </w:p>
        </w:tc>
        <w:tc>
          <w:tcPr>
            <w:tcW w:w="1097" w:type="dxa"/>
            <w:tcBorders>
              <w:top w:val="nil"/>
              <w:left w:val="nil"/>
              <w:bottom w:val="single" w:color="auto" w:sz="8" w:space="0"/>
              <w:right w:val="single" w:color="auto" w:sz="8" w:space="0"/>
            </w:tcBorders>
            <w:shd w:val="clear" w:color="000000" w:fill="000000"/>
            <w:vAlign w:val="center"/>
          </w:tcPr>
          <w:p w:rsidRPr="003C5386" w:rsidR="00804C62" w:rsidP="00B534D9" w:rsidRDefault="00804C62">
            <w:pPr>
              <w:jc w:val="center"/>
              <w:rPr>
                <w:color w:val="000000"/>
                <w:sz w:val="22"/>
                <w:szCs w:val="22"/>
              </w:rPr>
            </w:pPr>
          </w:p>
        </w:tc>
        <w:tc>
          <w:tcPr>
            <w:tcW w:w="926" w:type="dxa"/>
            <w:tcBorders>
              <w:top w:val="nil"/>
              <w:left w:val="nil"/>
              <w:bottom w:val="single" w:color="auto" w:sz="8" w:space="0"/>
              <w:right w:val="single" w:color="auto" w:sz="8" w:space="0"/>
            </w:tcBorders>
            <w:shd w:val="clear" w:color="auto" w:fill="auto"/>
            <w:vAlign w:val="center"/>
          </w:tcPr>
          <w:p w:rsidRPr="003C5386" w:rsidR="00804C62" w:rsidP="00B534D9" w:rsidRDefault="00804C62">
            <w:pPr>
              <w:jc w:val="center"/>
              <w:rPr>
                <w:b/>
                <w:bCs/>
                <w:color w:val="000000"/>
                <w:sz w:val="22"/>
                <w:szCs w:val="22"/>
              </w:rPr>
            </w:pPr>
            <w:r w:rsidRPr="003C5386">
              <w:rPr>
                <w:b/>
                <w:bCs/>
                <w:color w:val="000000"/>
                <w:sz w:val="22"/>
                <w:szCs w:val="22"/>
              </w:rPr>
              <w:t>21,237</w:t>
            </w:r>
          </w:p>
        </w:tc>
      </w:tr>
    </w:tbl>
    <w:p w:rsidRPr="0076776B" w:rsidR="008B50BD" w:rsidP="000B51E8" w:rsidRDefault="008B50BD"/>
    <w:p w:rsidRPr="0076776B" w:rsidR="00FC590F" w:rsidP="000B51E8" w:rsidRDefault="00FC590F">
      <w:r w:rsidRPr="0076776B">
        <w:t>The following Standard Forms are utilized for the FEMA grant programs, but the burden hours are not calculated nor submitted for approval within this collection.</w:t>
      </w:r>
    </w:p>
    <w:p w:rsidRPr="0076776B" w:rsidR="00FC590F" w:rsidP="000B51E8" w:rsidRDefault="00FC590F"/>
    <w:tbl>
      <w:tblPr>
        <w:tblW w:w="7753" w:type="dxa"/>
        <w:tblInd w:w="64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329"/>
        <w:gridCol w:w="1205"/>
        <w:gridCol w:w="987"/>
        <w:gridCol w:w="987"/>
        <w:gridCol w:w="1196"/>
        <w:gridCol w:w="1102"/>
        <w:gridCol w:w="947"/>
      </w:tblGrid>
      <w:tr w:rsidRPr="0076776B" w:rsidR="00804C62" w:rsidTr="007C7F9F">
        <w:trPr>
          <w:trHeight w:val="1230"/>
          <w:tblHeader/>
        </w:trPr>
        <w:tc>
          <w:tcPr>
            <w:tcW w:w="1329" w:type="dxa"/>
            <w:shd w:val="clear" w:color="auto" w:fill="8EAADB"/>
            <w:vAlign w:val="center"/>
            <w:hideMark/>
          </w:tcPr>
          <w:p w:rsidRPr="0076776B" w:rsidR="00804C62" w:rsidP="00B534D9" w:rsidRDefault="00804C62">
            <w:pPr>
              <w:jc w:val="center"/>
              <w:rPr>
                <w:b/>
                <w:bCs/>
                <w:color w:val="000000"/>
                <w:sz w:val="22"/>
                <w:szCs w:val="22"/>
              </w:rPr>
            </w:pPr>
            <w:r w:rsidRPr="0076776B">
              <w:rPr>
                <w:b/>
                <w:bCs/>
                <w:color w:val="000000"/>
                <w:sz w:val="22"/>
                <w:szCs w:val="22"/>
              </w:rPr>
              <w:t>Type of Respondent</w:t>
            </w:r>
          </w:p>
        </w:tc>
        <w:tc>
          <w:tcPr>
            <w:tcW w:w="1205" w:type="dxa"/>
            <w:shd w:val="clear" w:color="auto" w:fill="8EAADB"/>
            <w:vAlign w:val="center"/>
            <w:hideMark/>
          </w:tcPr>
          <w:p w:rsidRPr="0076776B" w:rsidR="00804C62" w:rsidP="00B534D9" w:rsidRDefault="00804C62">
            <w:pPr>
              <w:jc w:val="center"/>
              <w:rPr>
                <w:b/>
                <w:bCs/>
                <w:color w:val="000000"/>
                <w:sz w:val="22"/>
                <w:szCs w:val="22"/>
              </w:rPr>
            </w:pPr>
            <w:r w:rsidRPr="0076776B">
              <w:rPr>
                <w:b/>
                <w:bCs/>
                <w:color w:val="000000"/>
                <w:sz w:val="22"/>
                <w:szCs w:val="22"/>
              </w:rPr>
              <w:t>Form Name / Form Number</w:t>
            </w:r>
          </w:p>
        </w:tc>
        <w:tc>
          <w:tcPr>
            <w:tcW w:w="987" w:type="dxa"/>
            <w:shd w:val="clear" w:color="auto" w:fill="8EAADB"/>
            <w:vAlign w:val="center"/>
            <w:hideMark/>
          </w:tcPr>
          <w:p w:rsidRPr="0076776B" w:rsidR="00804C62" w:rsidP="00B534D9" w:rsidRDefault="00804C62">
            <w:pPr>
              <w:jc w:val="center"/>
              <w:rPr>
                <w:b/>
                <w:bCs/>
                <w:color w:val="000000"/>
                <w:sz w:val="22"/>
                <w:szCs w:val="22"/>
              </w:rPr>
            </w:pPr>
            <w:r w:rsidRPr="0076776B">
              <w:rPr>
                <w:b/>
                <w:bCs/>
                <w:color w:val="000000"/>
                <w:sz w:val="22"/>
                <w:szCs w:val="22"/>
              </w:rPr>
              <w:t xml:space="preserve">No. of </w:t>
            </w:r>
            <w:proofErr w:type="spellStart"/>
            <w:r w:rsidRPr="0076776B">
              <w:rPr>
                <w:b/>
                <w:bCs/>
                <w:color w:val="000000"/>
                <w:sz w:val="22"/>
                <w:szCs w:val="22"/>
              </w:rPr>
              <w:t>Respon</w:t>
            </w:r>
            <w:proofErr w:type="spellEnd"/>
            <w:r w:rsidRPr="0076776B">
              <w:rPr>
                <w:b/>
                <w:bCs/>
                <w:color w:val="000000"/>
                <w:sz w:val="22"/>
                <w:szCs w:val="22"/>
              </w:rPr>
              <w:t>-dents</w:t>
            </w:r>
          </w:p>
        </w:tc>
        <w:tc>
          <w:tcPr>
            <w:tcW w:w="987" w:type="dxa"/>
            <w:shd w:val="clear" w:color="auto" w:fill="8EAADB"/>
            <w:vAlign w:val="center"/>
            <w:hideMark/>
          </w:tcPr>
          <w:p w:rsidRPr="0076776B" w:rsidR="00804C62" w:rsidP="00B534D9" w:rsidRDefault="00804C62">
            <w:pPr>
              <w:jc w:val="center"/>
              <w:rPr>
                <w:b/>
                <w:bCs/>
                <w:color w:val="000000"/>
                <w:sz w:val="22"/>
                <w:szCs w:val="22"/>
              </w:rPr>
            </w:pPr>
            <w:r w:rsidRPr="0076776B">
              <w:rPr>
                <w:b/>
                <w:bCs/>
                <w:color w:val="000000"/>
                <w:sz w:val="22"/>
                <w:szCs w:val="22"/>
              </w:rPr>
              <w:t xml:space="preserve">No. of </w:t>
            </w:r>
            <w:proofErr w:type="spellStart"/>
            <w:r w:rsidRPr="0076776B">
              <w:rPr>
                <w:b/>
                <w:bCs/>
                <w:color w:val="000000"/>
                <w:sz w:val="22"/>
                <w:szCs w:val="22"/>
              </w:rPr>
              <w:t>Respon-ses</w:t>
            </w:r>
            <w:proofErr w:type="spellEnd"/>
            <w:r w:rsidRPr="0076776B">
              <w:rPr>
                <w:b/>
                <w:bCs/>
                <w:color w:val="000000"/>
                <w:sz w:val="22"/>
                <w:szCs w:val="22"/>
              </w:rPr>
              <w:t xml:space="preserve"> per </w:t>
            </w:r>
            <w:proofErr w:type="spellStart"/>
            <w:r w:rsidRPr="0076776B">
              <w:rPr>
                <w:b/>
                <w:bCs/>
                <w:color w:val="000000"/>
                <w:sz w:val="22"/>
                <w:szCs w:val="22"/>
              </w:rPr>
              <w:t>Respon</w:t>
            </w:r>
            <w:proofErr w:type="spellEnd"/>
            <w:r w:rsidRPr="0076776B">
              <w:rPr>
                <w:b/>
                <w:bCs/>
                <w:color w:val="000000"/>
                <w:sz w:val="22"/>
                <w:szCs w:val="22"/>
              </w:rPr>
              <w:t>-dent</w:t>
            </w:r>
          </w:p>
        </w:tc>
        <w:tc>
          <w:tcPr>
            <w:tcW w:w="1196" w:type="dxa"/>
            <w:shd w:val="clear" w:color="auto" w:fill="8EAADB"/>
            <w:vAlign w:val="center"/>
            <w:hideMark/>
          </w:tcPr>
          <w:p w:rsidRPr="0076776B" w:rsidR="00804C62" w:rsidP="00B534D9" w:rsidRDefault="00804C62">
            <w:pPr>
              <w:jc w:val="center"/>
              <w:rPr>
                <w:b/>
                <w:bCs/>
                <w:color w:val="000000"/>
                <w:sz w:val="22"/>
                <w:szCs w:val="22"/>
              </w:rPr>
            </w:pPr>
            <w:r w:rsidRPr="0076776B">
              <w:rPr>
                <w:b/>
                <w:bCs/>
                <w:color w:val="000000"/>
                <w:sz w:val="22"/>
                <w:szCs w:val="22"/>
              </w:rPr>
              <w:t>Total No. of Responses</w:t>
            </w:r>
          </w:p>
        </w:tc>
        <w:tc>
          <w:tcPr>
            <w:tcW w:w="1102" w:type="dxa"/>
            <w:shd w:val="clear" w:color="auto" w:fill="8EAADB"/>
            <w:vAlign w:val="center"/>
            <w:hideMark/>
          </w:tcPr>
          <w:p w:rsidRPr="0076776B" w:rsidR="00804C62" w:rsidP="00B534D9" w:rsidRDefault="00804C62">
            <w:pPr>
              <w:jc w:val="center"/>
              <w:rPr>
                <w:b/>
                <w:bCs/>
                <w:color w:val="000000"/>
                <w:sz w:val="22"/>
                <w:szCs w:val="22"/>
              </w:rPr>
            </w:pPr>
            <w:r w:rsidRPr="0076776B">
              <w:rPr>
                <w:b/>
                <w:bCs/>
                <w:color w:val="000000"/>
                <w:sz w:val="22"/>
                <w:szCs w:val="22"/>
              </w:rPr>
              <w:t>Avg. Burden per Response (in hours)</w:t>
            </w:r>
          </w:p>
        </w:tc>
        <w:tc>
          <w:tcPr>
            <w:tcW w:w="947" w:type="dxa"/>
            <w:shd w:val="clear" w:color="auto" w:fill="8EAADB"/>
            <w:vAlign w:val="center"/>
            <w:hideMark/>
          </w:tcPr>
          <w:p w:rsidRPr="0076776B" w:rsidR="00804C62" w:rsidP="00B534D9" w:rsidRDefault="00804C62">
            <w:pPr>
              <w:jc w:val="center"/>
              <w:rPr>
                <w:b/>
                <w:bCs/>
                <w:color w:val="000000"/>
                <w:sz w:val="22"/>
                <w:szCs w:val="22"/>
              </w:rPr>
            </w:pPr>
            <w:r w:rsidRPr="0076776B">
              <w:rPr>
                <w:b/>
                <w:bCs/>
                <w:color w:val="000000"/>
                <w:sz w:val="22"/>
                <w:szCs w:val="22"/>
              </w:rPr>
              <w:t>Total Annual Burden (in hours)</w:t>
            </w:r>
          </w:p>
        </w:tc>
      </w:tr>
      <w:tr w:rsidRPr="0076776B" w:rsidR="00804C62" w:rsidTr="007C7F9F">
        <w:trPr>
          <w:trHeight w:val="315"/>
        </w:trPr>
        <w:tc>
          <w:tcPr>
            <w:tcW w:w="7753" w:type="dxa"/>
            <w:gridSpan w:val="7"/>
            <w:shd w:val="clear" w:color="auto" w:fill="D9D9D9"/>
            <w:vAlign w:val="center"/>
            <w:hideMark/>
          </w:tcPr>
          <w:p w:rsidRPr="0076776B" w:rsidR="00804C62" w:rsidP="00B534D9" w:rsidRDefault="00804C62">
            <w:pPr>
              <w:jc w:val="center"/>
              <w:rPr>
                <w:color w:val="000000"/>
                <w:sz w:val="22"/>
                <w:szCs w:val="22"/>
              </w:rPr>
            </w:pPr>
            <w:r w:rsidRPr="0076776B">
              <w:rPr>
                <w:color w:val="000000"/>
                <w:sz w:val="22"/>
                <w:szCs w:val="22"/>
              </w:rPr>
              <w:t>Flood Mitigation Assistance (FMA) (97.029)</w:t>
            </w:r>
          </w:p>
        </w:tc>
      </w:tr>
      <w:tr w:rsidRPr="0076776B" w:rsidR="00804C62" w:rsidTr="007C7F9F">
        <w:trPr>
          <w:trHeight w:val="1050"/>
        </w:trPr>
        <w:tc>
          <w:tcPr>
            <w:tcW w:w="1329"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1205"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Disclosure of Lobbying Activities / SF LLL</w:t>
            </w:r>
          </w:p>
        </w:tc>
        <w:tc>
          <w:tcPr>
            <w:tcW w:w="987"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w:t>
            </w:r>
          </w:p>
        </w:tc>
        <w:tc>
          <w:tcPr>
            <w:tcW w:w="1196"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1102"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0.167</w:t>
            </w:r>
          </w:p>
        </w:tc>
        <w:tc>
          <w:tcPr>
            <w:tcW w:w="947"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9</w:t>
            </w:r>
          </w:p>
        </w:tc>
      </w:tr>
      <w:tr w:rsidRPr="0076776B" w:rsidR="00804C62" w:rsidTr="007C7F9F">
        <w:trPr>
          <w:trHeight w:val="1050"/>
        </w:trPr>
        <w:tc>
          <w:tcPr>
            <w:tcW w:w="1329"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1205"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Federal Financial Report / SF 425</w:t>
            </w:r>
          </w:p>
        </w:tc>
        <w:tc>
          <w:tcPr>
            <w:tcW w:w="987"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4</w:t>
            </w:r>
          </w:p>
        </w:tc>
        <w:tc>
          <w:tcPr>
            <w:tcW w:w="1196"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224</w:t>
            </w:r>
          </w:p>
        </w:tc>
        <w:tc>
          <w:tcPr>
            <w:tcW w:w="1102"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1.5</w:t>
            </w:r>
          </w:p>
        </w:tc>
        <w:tc>
          <w:tcPr>
            <w:tcW w:w="947"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336</w:t>
            </w:r>
          </w:p>
        </w:tc>
      </w:tr>
      <w:tr w:rsidRPr="0076776B" w:rsidR="00804C62" w:rsidTr="0076776B">
        <w:trPr>
          <w:trHeight w:val="315"/>
        </w:trPr>
        <w:tc>
          <w:tcPr>
            <w:tcW w:w="1329" w:type="dxa"/>
            <w:shd w:val="clear" w:color="auto" w:fill="auto"/>
            <w:vAlign w:val="center"/>
            <w:hideMark/>
          </w:tcPr>
          <w:p w:rsidRPr="0076776B" w:rsidR="00804C62" w:rsidP="00B534D9" w:rsidRDefault="00804C62">
            <w:pPr>
              <w:jc w:val="center"/>
              <w:rPr>
                <w:b/>
                <w:bCs/>
                <w:color w:val="000000"/>
                <w:sz w:val="22"/>
                <w:szCs w:val="22"/>
              </w:rPr>
            </w:pPr>
            <w:r w:rsidRPr="0076776B">
              <w:rPr>
                <w:b/>
                <w:bCs/>
                <w:color w:val="000000"/>
                <w:sz w:val="22"/>
                <w:szCs w:val="22"/>
              </w:rPr>
              <w:t>Total</w:t>
            </w:r>
          </w:p>
        </w:tc>
        <w:tc>
          <w:tcPr>
            <w:tcW w:w="1205" w:type="dxa"/>
            <w:shd w:val="clear" w:color="auto" w:fill="FFFFFF"/>
            <w:vAlign w:val="center"/>
            <w:hideMark/>
          </w:tcPr>
          <w:p w:rsidRPr="0076776B" w:rsidR="00804C62" w:rsidP="00B534D9" w:rsidRDefault="00804C62">
            <w:pPr>
              <w:jc w:val="center"/>
              <w:rPr>
                <w:color w:val="000000"/>
                <w:sz w:val="22"/>
                <w:szCs w:val="22"/>
              </w:rPr>
            </w:pPr>
          </w:p>
        </w:tc>
        <w:tc>
          <w:tcPr>
            <w:tcW w:w="987" w:type="dxa"/>
            <w:shd w:val="clear" w:color="auto" w:fill="auto"/>
            <w:vAlign w:val="center"/>
            <w:hideMark/>
          </w:tcPr>
          <w:p w:rsidRPr="0076776B" w:rsidR="00804C62" w:rsidP="00B534D9" w:rsidRDefault="00B032E9">
            <w:pPr>
              <w:jc w:val="center"/>
              <w:rPr>
                <w:b/>
                <w:bCs/>
                <w:color w:val="000000"/>
                <w:sz w:val="22"/>
                <w:szCs w:val="22"/>
              </w:rPr>
            </w:pPr>
            <w:r w:rsidRPr="0076776B">
              <w:rPr>
                <w:b/>
                <w:bCs/>
                <w:color w:val="000000"/>
                <w:sz w:val="22"/>
                <w:szCs w:val="22"/>
              </w:rPr>
              <w:t>112</w:t>
            </w:r>
          </w:p>
        </w:tc>
        <w:tc>
          <w:tcPr>
            <w:tcW w:w="987" w:type="dxa"/>
            <w:shd w:val="clear" w:color="000000" w:fill="000000"/>
            <w:vAlign w:val="center"/>
            <w:hideMark/>
          </w:tcPr>
          <w:p w:rsidRPr="0076776B" w:rsidR="00804C62" w:rsidP="00B534D9" w:rsidRDefault="00804C62">
            <w:pPr>
              <w:jc w:val="center"/>
              <w:rPr>
                <w:b/>
                <w:bCs/>
                <w:color w:val="000000"/>
                <w:sz w:val="22"/>
                <w:szCs w:val="22"/>
              </w:rPr>
            </w:pPr>
          </w:p>
        </w:tc>
        <w:tc>
          <w:tcPr>
            <w:tcW w:w="1196" w:type="dxa"/>
            <w:shd w:val="clear" w:color="auto" w:fill="auto"/>
            <w:vAlign w:val="center"/>
            <w:hideMark/>
          </w:tcPr>
          <w:p w:rsidRPr="0076776B" w:rsidR="00804C62" w:rsidP="00B534D9" w:rsidRDefault="00804C62">
            <w:pPr>
              <w:jc w:val="center"/>
              <w:rPr>
                <w:b/>
                <w:bCs/>
                <w:color w:val="000000"/>
                <w:sz w:val="22"/>
                <w:szCs w:val="22"/>
              </w:rPr>
            </w:pPr>
            <w:r w:rsidRPr="0076776B">
              <w:rPr>
                <w:b/>
                <w:bCs/>
                <w:color w:val="000000"/>
                <w:sz w:val="22"/>
                <w:szCs w:val="22"/>
              </w:rPr>
              <w:t>448</w:t>
            </w:r>
          </w:p>
        </w:tc>
        <w:tc>
          <w:tcPr>
            <w:tcW w:w="1102" w:type="dxa"/>
            <w:shd w:val="clear" w:color="000000" w:fill="000000"/>
            <w:vAlign w:val="center"/>
            <w:hideMark/>
          </w:tcPr>
          <w:p w:rsidRPr="003C5386" w:rsidR="00804C62" w:rsidP="00B534D9" w:rsidRDefault="00804C62">
            <w:pPr>
              <w:jc w:val="center"/>
              <w:rPr>
                <w:color w:val="000000"/>
                <w:sz w:val="22"/>
                <w:szCs w:val="22"/>
              </w:rPr>
            </w:pPr>
          </w:p>
        </w:tc>
        <w:tc>
          <w:tcPr>
            <w:tcW w:w="947" w:type="dxa"/>
            <w:shd w:val="clear" w:color="auto" w:fill="auto"/>
            <w:vAlign w:val="center"/>
            <w:hideMark/>
          </w:tcPr>
          <w:p w:rsidRPr="003C5386" w:rsidR="00804C62" w:rsidP="00B534D9" w:rsidRDefault="00804C62">
            <w:pPr>
              <w:jc w:val="center"/>
              <w:rPr>
                <w:b/>
                <w:bCs/>
                <w:color w:val="000000"/>
                <w:sz w:val="22"/>
                <w:szCs w:val="22"/>
              </w:rPr>
            </w:pPr>
            <w:r w:rsidRPr="003C5386">
              <w:rPr>
                <w:b/>
                <w:bCs/>
                <w:color w:val="000000"/>
                <w:sz w:val="22"/>
                <w:szCs w:val="22"/>
              </w:rPr>
              <w:t>471</w:t>
            </w:r>
          </w:p>
        </w:tc>
      </w:tr>
      <w:tr w:rsidRPr="0076776B" w:rsidR="00804C62" w:rsidTr="007C7F9F">
        <w:trPr>
          <w:trHeight w:val="315"/>
        </w:trPr>
        <w:tc>
          <w:tcPr>
            <w:tcW w:w="7753" w:type="dxa"/>
            <w:gridSpan w:val="7"/>
            <w:shd w:val="clear" w:color="auto" w:fill="D9D9D9"/>
            <w:vAlign w:val="center"/>
            <w:hideMark/>
          </w:tcPr>
          <w:p w:rsidRPr="0076776B" w:rsidR="00804C62" w:rsidP="00B534D9" w:rsidRDefault="00804C62">
            <w:pPr>
              <w:jc w:val="center"/>
              <w:rPr>
                <w:color w:val="000000"/>
                <w:sz w:val="22"/>
                <w:szCs w:val="22"/>
              </w:rPr>
            </w:pPr>
            <w:r w:rsidRPr="0076776B">
              <w:rPr>
                <w:color w:val="000000"/>
                <w:sz w:val="22"/>
                <w:szCs w:val="22"/>
              </w:rPr>
              <w:t>Pre-Disaster Mitigation (PDM) (97.047)</w:t>
            </w:r>
          </w:p>
        </w:tc>
      </w:tr>
      <w:tr w:rsidRPr="0076776B" w:rsidR="00804C62" w:rsidTr="007C7F9F">
        <w:trPr>
          <w:trHeight w:val="1050"/>
        </w:trPr>
        <w:tc>
          <w:tcPr>
            <w:tcW w:w="1329"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1205"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Disclosure of Lobbying Activities / SF LLL</w:t>
            </w:r>
          </w:p>
        </w:tc>
        <w:tc>
          <w:tcPr>
            <w:tcW w:w="987"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2</w:t>
            </w:r>
          </w:p>
        </w:tc>
        <w:tc>
          <w:tcPr>
            <w:tcW w:w="1196"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112</w:t>
            </w:r>
          </w:p>
        </w:tc>
        <w:tc>
          <w:tcPr>
            <w:tcW w:w="1102"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0.167</w:t>
            </w:r>
          </w:p>
        </w:tc>
        <w:tc>
          <w:tcPr>
            <w:tcW w:w="947"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19</w:t>
            </w:r>
          </w:p>
        </w:tc>
      </w:tr>
      <w:tr w:rsidRPr="0076776B" w:rsidR="00804C62" w:rsidTr="007C7F9F">
        <w:trPr>
          <w:trHeight w:val="1050"/>
        </w:trPr>
        <w:tc>
          <w:tcPr>
            <w:tcW w:w="1329"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State, Local or Tribal Government</w:t>
            </w:r>
          </w:p>
        </w:tc>
        <w:tc>
          <w:tcPr>
            <w:tcW w:w="1205"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Federal Financial Report / SF 425</w:t>
            </w:r>
          </w:p>
        </w:tc>
        <w:tc>
          <w:tcPr>
            <w:tcW w:w="987"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56</w:t>
            </w:r>
          </w:p>
        </w:tc>
        <w:tc>
          <w:tcPr>
            <w:tcW w:w="987"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4</w:t>
            </w:r>
          </w:p>
        </w:tc>
        <w:tc>
          <w:tcPr>
            <w:tcW w:w="1196"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224</w:t>
            </w:r>
          </w:p>
        </w:tc>
        <w:tc>
          <w:tcPr>
            <w:tcW w:w="1102"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1.5</w:t>
            </w:r>
          </w:p>
        </w:tc>
        <w:tc>
          <w:tcPr>
            <w:tcW w:w="947" w:type="dxa"/>
            <w:shd w:val="clear" w:color="auto" w:fill="auto"/>
            <w:vAlign w:val="center"/>
            <w:hideMark/>
          </w:tcPr>
          <w:p w:rsidRPr="0076776B" w:rsidR="00804C62" w:rsidP="00B534D9" w:rsidRDefault="00804C62">
            <w:pPr>
              <w:jc w:val="center"/>
              <w:rPr>
                <w:color w:val="000000"/>
                <w:sz w:val="22"/>
                <w:szCs w:val="22"/>
              </w:rPr>
            </w:pPr>
            <w:r w:rsidRPr="0076776B">
              <w:rPr>
                <w:color w:val="000000"/>
                <w:sz w:val="22"/>
                <w:szCs w:val="22"/>
              </w:rPr>
              <w:t>336</w:t>
            </w:r>
          </w:p>
        </w:tc>
      </w:tr>
      <w:tr w:rsidRPr="0076776B" w:rsidR="00804C62" w:rsidTr="0076776B">
        <w:trPr>
          <w:trHeight w:val="315"/>
        </w:trPr>
        <w:tc>
          <w:tcPr>
            <w:tcW w:w="1329" w:type="dxa"/>
            <w:shd w:val="clear" w:color="auto" w:fill="auto"/>
            <w:vAlign w:val="center"/>
            <w:hideMark/>
          </w:tcPr>
          <w:p w:rsidRPr="0076776B" w:rsidR="00804C62" w:rsidP="00B534D9" w:rsidRDefault="00804C62">
            <w:pPr>
              <w:jc w:val="center"/>
              <w:rPr>
                <w:b/>
                <w:bCs/>
                <w:color w:val="000000"/>
                <w:sz w:val="22"/>
                <w:szCs w:val="22"/>
              </w:rPr>
            </w:pPr>
            <w:r w:rsidRPr="0076776B">
              <w:rPr>
                <w:b/>
                <w:bCs/>
                <w:color w:val="000000"/>
                <w:sz w:val="22"/>
                <w:szCs w:val="22"/>
              </w:rPr>
              <w:t>Total</w:t>
            </w:r>
          </w:p>
        </w:tc>
        <w:tc>
          <w:tcPr>
            <w:tcW w:w="1205" w:type="dxa"/>
            <w:shd w:val="clear" w:color="auto" w:fill="FFFFFF"/>
            <w:vAlign w:val="center"/>
            <w:hideMark/>
          </w:tcPr>
          <w:p w:rsidRPr="0076776B" w:rsidR="00804C62" w:rsidP="00B534D9" w:rsidRDefault="00804C62">
            <w:pPr>
              <w:jc w:val="center"/>
              <w:rPr>
                <w:color w:val="000000"/>
                <w:sz w:val="22"/>
                <w:szCs w:val="22"/>
              </w:rPr>
            </w:pPr>
          </w:p>
        </w:tc>
        <w:tc>
          <w:tcPr>
            <w:tcW w:w="987" w:type="dxa"/>
            <w:shd w:val="clear" w:color="auto" w:fill="auto"/>
            <w:vAlign w:val="center"/>
            <w:hideMark/>
          </w:tcPr>
          <w:p w:rsidRPr="0076776B" w:rsidR="00804C62" w:rsidP="00B534D9" w:rsidRDefault="00B032E9">
            <w:pPr>
              <w:jc w:val="center"/>
              <w:rPr>
                <w:b/>
                <w:bCs/>
                <w:color w:val="000000"/>
                <w:sz w:val="22"/>
                <w:szCs w:val="22"/>
              </w:rPr>
            </w:pPr>
            <w:r w:rsidRPr="0076776B">
              <w:rPr>
                <w:b/>
                <w:bCs/>
                <w:color w:val="000000"/>
                <w:sz w:val="22"/>
                <w:szCs w:val="22"/>
              </w:rPr>
              <w:t>112</w:t>
            </w:r>
          </w:p>
        </w:tc>
        <w:tc>
          <w:tcPr>
            <w:tcW w:w="987" w:type="dxa"/>
            <w:shd w:val="clear" w:color="000000" w:fill="000000"/>
            <w:vAlign w:val="center"/>
            <w:hideMark/>
          </w:tcPr>
          <w:p w:rsidRPr="0076776B" w:rsidR="00804C62" w:rsidP="00B534D9" w:rsidRDefault="00804C62">
            <w:pPr>
              <w:jc w:val="center"/>
              <w:rPr>
                <w:b/>
                <w:bCs/>
                <w:color w:val="000000"/>
                <w:sz w:val="22"/>
                <w:szCs w:val="22"/>
              </w:rPr>
            </w:pPr>
          </w:p>
        </w:tc>
        <w:tc>
          <w:tcPr>
            <w:tcW w:w="1196" w:type="dxa"/>
            <w:shd w:val="clear" w:color="auto" w:fill="auto"/>
            <w:vAlign w:val="center"/>
            <w:hideMark/>
          </w:tcPr>
          <w:p w:rsidRPr="0076776B" w:rsidR="00804C62" w:rsidP="00B534D9" w:rsidRDefault="00804C62">
            <w:pPr>
              <w:jc w:val="center"/>
              <w:rPr>
                <w:b/>
                <w:bCs/>
                <w:color w:val="000000"/>
                <w:sz w:val="22"/>
                <w:szCs w:val="22"/>
              </w:rPr>
            </w:pPr>
            <w:r w:rsidRPr="0076776B">
              <w:rPr>
                <w:b/>
                <w:bCs/>
                <w:color w:val="000000"/>
                <w:sz w:val="22"/>
                <w:szCs w:val="22"/>
              </w:rPr>
              <w:t>448</w:t>
            </w:r>
          </w:p>
        </w:tc>
        <w:tc>
          <w:tcPr>
            <w:tcW w:w="1102" w:type="dxa"/>
            <w:shd w:val="clear" w:color="000000" w:fill="000000"/>
            <w:vAlign w:val="center"/>
            <w:hideMark/>
          </w:tcPr>
          <w:p w:rsidRPr="003C5386" w:rsidR="00804C62" w:rsidP="00B534D9" w:rsidRDefault="00804C62">
            <w:pPr>
              <w:jc w:val="center"/>
              <w:rPr>
                <w:color w:val="000000"/>
                <w:sz w:val="22"/>
                <w:szCs w:val="22"/>
              </w:rPr>
            </w:pPr>
          </w:p>
        </w:tc>
        <w:tc>
          <w:tcPr>
            <w:tcW w:w="947" w:type="dxa"/>
            <w:shd w:val="clear" w:color="auto" w:fill="auto"/>
            <w:vAlign w:val="center"/>
            <w:hideMark/>
          </w:tcPr>
          <w:p w:rsidRPr="003C5386" w:rsidR="00804C62" w:rsidP="00B534D9" w:rsidRDefault="00804C62">
            <w:pPr>
              <w:jc w:val="center"/>
              <w:rPr>
                <w:b/>
                <w:bCs/>
                <w:color w:val="000000"/>
                <w:sz w:val="22"/>
                <w:szCs w:val="22"/>
              </w:rPr>
            </w:pPr>
            <w:r w:rsidRPr="003C5386">
              <w:rPr>
                <w:b/>
                <w:bCs/>
                <w:color w:val="000000"/>
                <w:sz w:val="22"/>
                <w:szCs w:val="22"/>
              </w:rPr>
              <w:t>439</w:t>
            </w:r>
          </w:p>
        </w:tc>
      </w:tr>
    </w:tbl>
    <w:p w:rsidRPr="0076776B" w:rsidR="00FC590F" w:rsidP="000B51E8" w:rsidRDefault="00FC590F"/>
    <w:p w:rsidRPr="00495461" w:rsidR="00B534D9" w:rsidP="00B534D9" w:rsidRDefault="00B534D9">
      <w:pPr>
        <w:rPr>
          <w:b/>
          <w:bCs/>
        </w:rPr>
      </w:pPr>
    </w:p>
    <w:p w:rsidRPr="000D70DB" w:rsidR="007D7479" w:rsidP="000B51E8" w:rsidRDefault="007D7479"/>
    <w:p w:rsidRPr="00495461" w:rsidR="00842E74" w:rsidRDefault="0083138B">
      <w:pPr>
        <w:rPr>
          <w:b/>
          <w:bCs/>
        </w:rPr>
      </w:pPr>
      <w:r w:rsidRPr="00BA2E22">
        <w:fldChar w:fldCharType="begin"/>
      </w:r>
      <w:r w:rsidRPr="0076776B" w:rsidR="00842E74">
        <w:instrText>ADVANCE \R 0.95</w:instrText>
      </w:r>
      <w:r w:rsidRPr="0076776B">
        <w:fldChar w:fldCharType="end"/>
      </w:r>
      <w:r w:rsidRPr="00BA2E22" w:rsidR="00842E74">
        <w:rPr>
          <w:b/>
        </w:rPr>
        <w:t>13.</w:t>
      </w:r>
      <w:r w:rsidRPr="00BA2E22" w:rsidR="00842E74">
        <w:t xml:space="preserve">  </w:t>
      </w:r>
      <w:r w:rsidRPr="00BA2E22" w:rsidR="00842E74">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Pr="00BA2E22" w:rsidR="00E202DC">
        <w:rPr>
          <w:b/>
          <w:bCs/>
        </w:rPr>
        <w:t>(</w:t>
      </w:r>
      <w:r w:rsidRPr="00BA2E22" w:rsidR="00842E74">
        <w:rPr>
          <w:b/>
          <w:bCs/>
        </w:rPr>
        <w:t>Do not includ</w:t>
      </w:r>
      <w:r w:rsidRPr="007E15F6" w:rsidR="00842E74">
        <w:rPr>
          <w:b/>
          <w:bCs/>
        </w:rPr>
        <w:t xml:space="preserve">e </w:t>
      </w:r>
      <w:r w:rsidRPr="00364F4C" w:rsidR="00842E74">
        <w:rPr>
          <w:b/>
          <w:bCs/>
        </w:rPr>
        <w:t>the cost of any hour burden shown in Items 12 and 14.</w:t>
      </w:r>
      <w:r w:rsidRPr="00495461" w:rsidR="00E202DC">
        <w:rPr>
          <w:b/>
          <w:bCs/>
        </w:rPr>
        <w:t>)</w:t>
      </w:r>
    </w:p>
    <w:p w:rsidRPr="00755CAC" w:rsidR="00361118" w:rsidP="00DD0BCE" w:rsidRDefault="00361118">
      <w:pPr>
        <w:rPr>
          <w:b/>
          <w:bCs/>
        </w:rPr>
      </w:pPr>
    </w:p>
    <w:p w:rsidRPr="004041E7" w:rsidR="00DD0BCE" w:rsidP="00DD0BCE" w:rsidRDefault="00361118">
      <w:pPr>
        <w:rPr>
          <w:b/>
          <w:bCs/>
        </w:rPr>
      </w:pPr>
      <w:r w:rsidRPr="00755CAC">
        <w:rPr>
          <w:b/>
          <w:bCs/>
        </w:rPr>
        <w:t>The cost estimates should be split into two</w:t>
      </w:r>
      <w:r w:rsidRPr="004041E7">
        <w:rPr>
          <w:b/>
          <w:bCs/>
        </w:rPr>
        <w:t xml:space="preserve"> components:</w:t>
      </w:r>
    </w:p>
    <w:p w:rsidRPr="004041E7" w:rsidR="009D59D6" w:rsidP="00DD0BCE" w:rsidRDefault="009D59D6">
      <w:pPr>
        <w:rPr>
          <w:b/>
          <w:bCs/>
          <w:color w:val="FF0000"/>
        </w:rPr>
      </w:pPr>
    </w:p>
    <w:p w:rsidRPr="0076776B" w:rsidR="00DD0BCE" w:rsidP="00DD0BCE" w:rsidRDefault="00DD0BCE">
      <w:pPr>
        <w:rPr>
          <w:b/>
          <w:bCs/>
          <w:color w:val="FF0000"/>
        </w:rPr>
      </w:pPr>
      <w:r w:rsidRPr="0076776B">
        <w:rPr>
          <w:b/>
          <w:bCs/>
          <w:color w:val="FF0000"/>
        </w:rPr>
        <w:tab/>
      </w:r>
      <w:r w:rsidRPr="0076776B" w:rsidR="00A5022A">
        <w:rPr>
          <w:b/>
          <w:bCs/>
        </w:rPr>
        <w:t xml:space="preserve">a. </w:t>
      </w:r>
      <w:r w:rsidRPr="0076776B" w:rsidR="00842E74">
        <w:rPr>
          <w:b/>
          <w:bCs/>
        </w:rPr>
        <w:t xml:space="preserve">Operation and Maintenance and purchase of services component.  These </w:t>
      </w:r>
      <w:r w:rsidRPr="0076776B">
        <w:rPr>
          <w:b/>
          <w:bCs/>
        </w:rPr>
        <w:tab/>
      </w:r>
      <w:r w:rsidRPr="0076776B" w:rsidR="00842E74">
        <w:rPr>
          <w:b/>
          <w:bCs/>
        </w:rPr>
        <w:t xml:space="preserve">estimates should take into account cost associated with generating, </w:t>
      </w:r>
      <w:r w:rsidRPr="0076776B">
        <w:rPr>
          <w:b/>
          <w:bCs/>
        </w:rPr>
        <w:tab/>
      </w:r>
      <w:r w:rsidRPr="0076776B" w:rsidR="00842E74">
        <w:rPr>
          <w:b/>
          <w:bCs/>
        </w:rPr>
        <w:t xml:space="preserve">maintaining, and disclosing or providing information.  Include descriptions </w:t>
      </w:r>
      <w:r w:rsidRPr="0076776B">
        <w:rPr>
          <w:b/>
          <w:bCs/>
        </w:rPr>
        <w:tab/>
      </w:r>
      <w:r w:rsidRPr="0076776B" w:rsidR="00842E74">
        <w:rPr>
          <w:b/>
          <w:bCs/>
        </w:rPr>
        <w:t xml:space="preserve">of methods used to estimate major cost factors including system and </w:t>
      </w:r>
      <w:r w:rsidRPr="0076776B">
        <w:rPr>
          <w:b/>
          <w:bCs/>
        </w:rPr>
        <w:tab/>
      </w:r>
      <w:r w:rsidRPr="0076776B" w:rsidR="00842E74">
        <w:rPr>
          <w:b/>
          <w:bCs/>
        </w:rPr>
        <w:t xml:space="preserve">technology acquisition, expected useful life of capital equipment, the discount </w:t>
      </w:r>
      <w:r w:rsidRPr="0076776B">
        <w:rPr>
          <w:b/>
          <w:bCs/>
        </w:rPr>
        <w:tab/>
      </w:r>
      <w:r w:rsidRPr="0076776B" w:rsidR="00842E74">
        <w:rPr>
          <w:b/>
          <w:bCs/>
        </w:rPr>
        <w:t>rate(s), and the time period over which costs will be incurred.</w:t>
      </w:r>
    </w:p>
    <w:p w:rsidRPr="0076776B" w:rsidR="00DD0BCE" w:rsidP="00DD0BCE" w:rsidRDefault="00DD0BCE">
      <w:pPr>
        <w:rPr>
          <w:b/>
          <w:bCs/>
          <w:color w:val="FF0000"/>
        </w:rPr>
      </w:pPr>
    </w:p>
    <w:p w:rsidRPr="0076776B" w:rsidR="00150404" w:rsidP="00DD0BCE" w:rsidRDefault="00DD0BCE">
      <w:pPr>
        <w:rPr>
          <w:b/>
          <w:bCs/>
        </w:rPr>
      </w:pPr>
      <w:r w:rsidRPr="0076776B">
        <w:rPr>
          <w:b/>
          <w:bCs/>
          <w:color w:val="FF0000"/>
        </w:rPr>
        <w:tab/>
      </w:r>
      <w:r w:rsidRPr="0076776B" w:rsidR="00A5022A">
        <w:rPr>
          <w:b/>
          <w:bCs/>
        </w:rPr>
        <w:t xml:space="preserve">b. </w:t>
      </w:r>
      <w:r w:rsidRPr="0076776B" w:rsidR="00842E74">
        <w:rPr>
          <w:b/>
          <w:bCs/>
        </w:rPr>
        <w:t xml:space="preserve">Capital and Start-up-Cost should include, among other items, </w:t>
      </w:r>
      <w:r w:rsidRPr="0076776B">
        <w:rPr>
          <w:b/>
          <w:bCs/>
        </w:rPr>
        <w:tab/>
      </w:r>
      <w:r w:rsidRPr="0076776B" w:rsidR="00842E74">
        <w:rPr>
          <w:b/>
          <w:bCs/>
        </w:rPr>
        <w:t xml:space="preserve">preparations for collecting information such as purchasing computers and </w:t>
      </w:r>
      <w:r w:rsidRPr="0076776B">
        <w:rPr>
          <w:b/>
          <w:bCs/>
        </w:rPr>
        <w:tab/>
      </w:r>
      <w:r w:rsidRPr="0076776B" w:rsidR="00842E74">
        <w:rPr>
          <w:b/>
          <w:bCs/>
        </w:rPr>
        <w:t xml:space="preserve">software, monitoring sampling, drilling and testing equipment, and record </w:t>
      </w:r>
      <w:r w:rsidRPr="0076776B">
        <w:rPr>
          <w:b/>
          <w:bCs/>
        </w:rPr>
        <w:tab/>
      </w:r>
      <w:r w:rsidRPr="0076776B" w:rsidR="00842E74">
        <w:rPr>
          <w:b/>
          <w:bCs/>
        </w:rPr>
        <w:t xml:space="preserve">storage facilities. </w:t>
      </w:r>
    </w:p>
    <w:p w:rsidRPr="0076776B" w:rsidR="00150404" w:rsidP="00DD0BCE" w:rsidRDefault="00150404">
      <w:pPr>
        <w:rPr>
          <w:b/>
          <w:bCs/>
        </w:rPr>
      </w:pPr>
    </w:p>
    <w:p w:rsidRPr="0076776B" w:rsidR="00DE1AE9" w:rsidP="00433206" w:rsidRDefault="00150404">
      <w:pPr>
        <w:rPr>
          <w:b/>
          <w:bCs/>
        </w:rPr>
      </w:pPr>
      <w:r w:rsidRPr="0076776B">
        <w:t>There are no record keeping, capital, start-up or maintenance costs associated with this information collection.</w:t>
      </w:r>
      <w:r w:rsidRPr="0076776B" w:rsidR="00842E74">
        <w:rPr>
          <w:b/>
          <w:bCs/>
        </w:rPr>
        <w:t xml:space="preserve"> </w:t>
      </w:r>
    </w:p>
    <w:p w:rsidRPr="0076776B" w:rsidR="00256A88" w:rsidP="00433206" w:rsidRDefault="00256A88">
      <w:pPr>
        <w:rPr>
          <w:b/>
          <w:bCs/>
        </w:rPr>
      </w:pPr>
    </w:p>
    <w:p w:rsidRPr="00BA2E22" w:rsidR="00256A88" w:rsidP="00433206" w:rsidRDefault="00256A88">
      <w:pPr>
        <w:rPr>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6"/>
        <w:gridCol w:w="1673"/>
        <w:gridCol w:w="1971"/>
        <w:gridCol w:w="1693"/>
        <w:gridCol w:w="1673"/>
      </w:tblGrid>
      <w:tr w:rsidRPr="0083110A" w:rsidR="004041E7" w:rsidTr="007B0A1A">
        <w:tc>
          <w:tcPr>
            <w:tcW w:w="9350" w:type="dxa"/>
            <w:gridSpan w:val="5"/>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jc w:val="center"/>
              <w:rPr>
                <w:rFonts w:eastAsia="Calibri"/>
                <w:b/>
                <w:sz w:val="20"/>
                <w:szCs w:val="20"/>
              </w:rPr>
            </w:pPr>
            <w:r w:rsidRPr="0083110A">
              <w:rPr>
                <w:rFonts w:eastAsia="Calibri"/>
                <w:b/>
                <w:sz w:val="20"/>
                <w:szCs w:val="20"/>
              </w:rPr>
              <w:t>Annual Cost Burden to Respondents or Recordkeepers</w:t>
            </w:r>
          </w:p>
        </w:tc>
      </w:tr>
      <w:tr w:rsidRPr="0083110A" w:rsidR="004041E7" w:rsidTr="007B0A1A">
        <w:tc>
          <w:tcPr>
            <w:tcW w:w="1870"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rFonts w:eastAsia="Calibri"/>
                <w:sz w:val="20"/>
                <w:szCs w:val="20"/>
              </w:rPr>
            </w:pPr>
            <w:r w:rsidRPr="0083110A">
              <w:rPr>
                <w:rFonts w:eastAsia="Calibri"/>
                <w:sz w:val="20"/>
                <w:szCs w:val="20"/>
              </w:rPr>
              <w:t>Data Collection Activity/Instrument</w:t>
            </w:r>
          </w:p>
        </w:tc>
        <w:tc>
          <w:tcPr>
            <w:tcW w:w="1870"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rFonts w:eastAsia="Calibri"/>
                <w:sz w:val="20"/>
                <w:szCs w:val="20"/>
              </w:rPr>
            </w:pPr>
            <w:r w:rsidRPr="0083110A">
              <w:rPr>
                <w:rFonts w:eastAsia="Calibri"/>
                <w:sz w:val="20"/>
                <w:szCs w:val="20"/>
              </w:rPr>
              <w:t>*Annual Capital Start-Up Cost (investments in overhead, equipment, and other one-time expenditures</w:t>
            </w:r>
          </w:p>
        </w:tc>
        <w:tc>
          <w:tcPr>
            <w:tcW w:w="1870"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rFonts w:eastAsia="Calibri"/>
                <w:sz w:val="20"/>
                <w:szCs w:val="20"/>
              </w:rPr>
            </w:pPr>
            <w:r w:rsidRPr="0083110A">
              <w:rPr>
                <w:rFonts w:eastAsia="Calibri"/>
                <w:sz w:val="20"/>
                <w:szCs w:val="20"/>
              </w:rPr>
              <w:t>*Annual Operations and Maintenance Costs (such as recordkeeping, technical/professional services, etc.)</w:t>
            </w:r>
          </w:p>
        </w:tc>
        <w:tc>
          <w:tcPr>
            <w:tcW w:w="1870"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rFonts w:eastAsia="Calibri"/>
                <w:sz w:val="20"/>
                <w:szCs w:val="20"/>
              </w:rPr>
            </w:pPr>
            <w:r w:rsidRPr="0083110A">
              <w:rPr>
                <w:rFonts w:eastAsia="Calibri"/>
                <w:sz w:val="20"/>
                <w:szCs w:val="20"/>
              </w:rPr>
              <w:t>Annual Non-Labor Cost (expenditures on training, travel, and other resources)</w:t>
            </w:r>
          </w:p>
        </w:tc>
        <w:tc>
          <w:tcPr>
            <w:tcW w:w="1870"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rFonts w:eastAsia="Calibri"/>
                <w:sz w:val="20"/>
                <w:szCs w:val="20"/>
              </w:rPr>
            </w:pPr>
            <w:r w:rsidRPr="0083110A">
              <w:rPr>
                <w:rFonts w:eastAsia="Calibri"/>
                <w:sz w:val="20"/>
                <w:szCs w:val="20"/>
              </w:rPr>
              <w:t>Total Annual Cost to Respondents</w:t>
            </w:r>
          </w:p>
        </w:tc>
      </w:tr>
      <w:tr w:rsidRPr="0083110A" w:rsidR="004041E7" w:rsidTr="007B0A1A">
        <w:tc>
          <w:tcPr>
            <w:tcW w:w="1870"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rPr>
                <w:rFonts w:eastAsia="Calibri"/>
                <w:sz w:val="20"/>
                <w:szCs w:val="20"/>
              </w:rPr>
            </w:pPr>
            <w:r>
              <w:rPr>
                <w:rFonts w:eastAsia="Calibri"/>
                <w:sz w:val="20"/>
                <w:szCs w:val="20"/>
              </w:rPr>
              <w:t>N/A</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rFonts w:eastAsia="Calibri"/>
                <w:sz w:val="20"/>
                <w:szCs w:val="20"/>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rFonts w:eastAsia="Calibri"/>
                <w:sz w:val="20"/>
                <w:szCs w:val="20"/>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rFonts w:eastAsia="Calibri"/>
                <w:sz w:val="20"/>
                <w:szCs w:val="20"/>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rFonts w:eastAsia="Calibri"/>
                <w:sz w:val="20"/>
                <w:szCs w:val="20"/>
              </w:rPr>
            </w:pPr>
          </w:p>
        </w:tc>
      </w:tr>
      <w:tr w:rsidRPr="0083110A" w:rsidR="004041E7" w:rsidTr="007B0A1A">
        <w:tc>
          <w:tcPr>
            <w:tcW w:w="1870"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rPr>
                <w:rFonts w:eastAsia="Calibri"/>
                <w:b/>
                <w:sz w:val="20"/>
                <w:szCs w:val="20"/>
              </w:rPr>
            </w:pPr>
            <w:r w:rsidRPr="0083110A">
              <w:rPr>
                <w:rFonts w:eastAsia="Calibri"/>
                <w:b/>
                <w:sz w:val="20"/>
                <w:szCs w:val="20"/>
              </w:rPr>
              <w:t>Total</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rFonts w:eastAsia="Calibri"/>
                <w:sz w:val="20"/>
                <w:szCs w:val="20"/>
              </w:rPr>
            </w:pPr>
            <w:r w:rsidRPr="0083110A">
              <w:rPr>
                <w:rFonts w:eastAsia="Calibri"/>
                <w:sz w:val="20"/>
                <w:szCs w:val="20"/>
              </w:rPr>
              <w:t>$0</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rFonts w:eastAsia="Calibri"/>
                <w:sz w:val="20"/>
                <w:szCs w:val="20"/>
              </w:rPr>
            </w:pPr>
            <w:r w:rsidRPr="0083110A">
              <w:rPr>
                <w:rFonts w:eastAsia="Calibri"/>
                <w:sz w:val="20"/>
                <w:szCs w:val="20"/>
              </w:rPr>
              <w:t>$0</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rFonts w:eastAsia="Calibri"/>
                <w:sz w:val="20"/>
                <w:szCs w:val="20"/>
              </w:rPr>
            </w:pPr>
            <w:r w:rsidRPr="0083110A">
              <w:rPr>
                <w:rFonts w:eastAsia="Calibri"/>
                <w:sz w:val="20"/>
                <w:szCs w:val="20"/>
              </w:rPr>
              <w:t>$0</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rFonts w:eastAsia="Calibri"/>
                <w:sz w:val="20"/>
                <w:szCs w:val="20"/>
              </w:rPr>
            </w:pPr>
            <w:r w:rsidRPr="0083110A">
              <w:rPr>
                <w:rFonts w:eastAsia="Calibri"/>
                <w:sz w:val="20"/>
                <w:szCs w:val="20"/>
              </w:rPr>
              <w:t>$0</w:t>
            </w:r>
          </w:p>
        </w:tc>
      </w:tr>
    </w:tbl>
    <w:p w:rsidRPr="007E15F6" w:rsidR="00A43A2C" w:rsidP="00433206" w:rsidRDefault="00A43A2C">
      <w:pPr>
        <w:rPr>
          <w:b/>
          <w:bCs/>
        </w:rPr>
      </w:pPr>
    </w:p>
    <w:p w:rsidRPr="00BA2E22" w:rsidR="00DE1AE9" w:rsidP="002A4B95" w:rsidRDefault="00DE1AE9"/>
    <w:p w:rsidRPr="00495461" w:rsidR="00842E74" w:rsidP="002A4B95" w:rsidRDefault="00842E74">
      <w:pPr>
        <w:rPr>
          <w:b/>
          <w:bCs/>
        </w:rPr>
      </w:pPr>
      <w:r w:rsidRPr="00BA2E22">
        <w:rPr>
          <w:b/>
          <w:bCs/>
        </w:rPr>
        <w:t xml:space="preserve"> 14. Provide estimates of annualized cost to the </w:t>
      </w:r>
      <w:r w:rsidRPr="00BA2E22" w:rsidR="00B37E84">
        <w:rPr>
          <w:b/>
          <w:bCs/>
        </w:rPr>
        <w:t>f</w:t>
      </w:r>
      <w:r w:rsidRPr="00BA2E22">
        <w:rPr>
          <w:b/>
          <w:bCs/>
        </w:rPr>
        <w:t xml:space="preserve">ederal </w:t>
      </w:r>
      <w:r w:rsidRPr="00BA2E22" w:rsidR="00B37E84">
        <w:rPr>
          <w:b/>
          <w:bCs/>
        </w:rPr>
        <w:t>g</w:t>
      </w:r>
      <w:r w:rsidRPr="00BA2E22">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w:t>
      </w:r>
      <w:r w:rsidRPr="007E15F6">
        <w:rPr>
          <w:b/>
          <w:bCs/>
        </w:rPr>
        <w:t xml:space="preserve"> cost estimates</w:t>
      </w:r>
      <w:r w:rsidRPr="00364F4C">
        <w:rPr>
          <w:b/>
          <w:bCs/>
        </w:rPr>
        <w:t xml:space="preserve"> for Items 12, 13, and 14 in a </w:t>
      </w:r>
      <w:r w:rsidRPr="00495461">
        <w:rPr>
          <w:b/>
          <w:bCs/>
        </w:rPr>
        <w:t>single table.</w:t>
      </w:r>
    </w:p>
    <w:p w:rsidRPr="00BA2E22" w:rsidR="009779B0" w:rsidP="009779B0" w:rsidRDefault="0083138B">
      <w:pPr>
        <w:rPr>
          <w:sz w:val="26"/>
        </w:rPr>
      </w:pPr>
      <w:r w:rsidRPr="00BA2E22">
        <w:rPr>
          <w:sz w:val="26"/>
        </w:rPr>
        <w:fldChar w:fldCharType="begin"/>
      </w:r>
      <w:r w:rsidRPr="0076776B" w:rsidR="009779B0">
        <w:rPr>
          <w:sz w:val="26"/>
        </w:rPr>
        <w:instrText>ADVANCE \R 0.95</w:instrText>
      </w:r>
      <w:r w:rsidRPr="0076776B">
        <w:rPr>
          <w:sz w:val="26"/>
        </w:rPr>
        <w:fldChar w:fldCharType="end"/>
      </w:r>
    </w:p>
    <w:p w:rsidRPr="00BA2E22" w:rsidR="002212DD" w:rsidP="00C247E5" w:rsidRDefault="002212DD">
      <w:r w:rsidRPr="00BA2E22">
        <w:t xml:space="preserve">The total cost to FEMA is </w:t>
      </w:r>
      <w:r w:rsidRPr="00BA2E22" w:rsidR="00AF3880">
        <w:rPr>
          <w:bCs/>
        </w:rPr>
        <w:t>$</w:t>
      </w:r>
      <w:r w:rsidRPr="00BA2E22" w:rsidR="005B2A45">
        <w:rPr>
          <w:bCs/>
        </w:rPr>
        <w:t>7,586,635</w:t>
      </w:r>
      <w:r w:rsidRPr="00BA2E22">
        <w:t xml:space="preserve">.  Approximately </w:t>
      </w:r>
      <w:r w:rsidRPr="00BA2E22" w:rsidR="00C33505">
        <w:t>30</w:t>
      </w:r>
      <w:r w:rsidRPr="00BA2E22">
        <w:t xml:space="preserve"> staff members with an estimated grade level of GS-13 </w:t>
      </w:r>
      <w:r w:rsidRPr="00BA2E22" w:rsidR="00A368B6">
        <w:t xml:space="preserve">step </w:t>
      </w:r>
      <w:r w:rsidRPr="00BA2E22" w:rsidR="00C33505">
        <w:t>5</w:t>
      </w:r>
      <w:r w:rsidRPr="00BA2E22" w:rsidR="00A368B6">
        <w:t xml:space="preserve"> in Washington</w:t>
      </w:r>
      <w:r w:rsidRPr="00BA2E22" w:rsidR="00433206">
        <w:t>,</w:t>
      </w:r>
      <w:r w:rsidRPr="00BA2E22" w:rsidR="00A368B6">
        <w:t xml:space="preserve"> DC </w:t>
      </w:r>
      <w:r w:rsidRPr="00BA2E22">
        <w:t xml:space="preserve">review and </w:t>
      </w:r>
      <w:r w:rsidRPr="00BA2E22" w:rsidR="00C247E5">
        <w:t>make determinations for these grant programs</w:t>
      </w:r>
      <w:r w:rsidRPr="00BA2E22">
        <w:t>.</w:t>
      </w:r>
    </w:p>
    <w:p w:rsidRPr="007E15F6" w:rsidR="00364F58" w:rsidP="00C247E5" w:rsidRDefault="00364F58"/>
    <w:p w:rsidRPr="00BA2E22" w:rsidR="00364F58" w:rsidP="00C247E5" w:rsidRDefault="00364F58"/>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52"/>
        <w:gridCol w:w="1904"/>
      </w:tblGrid>
      <w:tr w:rsidRPr="0083110A" w:rsidR="004041E7" w:rsidTr="007B0A1A">
        <w:tc>
          <w:tcPr>
            <w:tcW w:w="9350" w:type="dxa"/>
            <w:gridSpan w:val="2"/>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jc w:val="center"/>
              <w:rPr>
                <w:rFonts w:eastAsia="Calibri"/>
                <w:b/>
                <w:sz w:val="20"/>
                <w:szCs w:val="20"/>
              </w:rPr>
            </w:pPr>
            <w:r w:rsidRPr="0083110A">
              <w:rPr>
                <w:rFonts w:eastAsia="Calibri"/>
                <w:b/>
                <w:sz w:val="20"/>
                <w:szCs w:val="20"/>
              </w:rPr>
              <w:t>Annual Cost to the Federal Government</w:t>
            </w:r>
          </w:p>
        </w:tc>
      </w:tr>
      <w:tr w:rsidRPr="0083110A" w:rsidR="004041E7" w:rsidTr="007B0A1A">
        <w:tc>
          <w:tcPr>
            <w:tcW w:w="7375"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jc w:val="center"/>
              <w:rPr>
                <w:rFonts w:eastAsia="Calibri"/>
                <w:sz w:val="20"/>
                <w:szCs w:val="20"/>
              </w:rPr>
            </w:pPr>
            <w:r w:rsidRPr="0083110A">
              <w:rPr>
                <w:rFonts w:eastAsia="Calibri"/>
                <w:sz w:val="20"/>
                <w:szCs w:val="20"/>
              </w:rPr>
              <w:t>Item</w:t>
            </w:r>
          </w:p>
        </w:tc>
        <w:tc>
          <w:tcPr>
            <w:tcW w:w="1975"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jc w:val="center"/>
              <w:rPr>
                <w:rFonts w:eastAsia="Calibri"/>
                <w:sz w:val="20"/>
                <w:szCs w:val="20"/>
              </w:rPr>
            </w:pPr>
            <w:r w:rsidRPr="0083110A">
              <w:rPr>
                <w:rFonts w:eastAsia="Calibri"/>
                <w:sz w:val="20"/>
                <w:szCs w:val="20"/>
              </w:rPr>
              <w:t>Cost ($)</w:t>
            </w:r>
          </w:p>
        </w:tc>
      </w:tr>
      <w:tr w:rsidRPr="0083110A" w:rsidR="004041E7" w:rsidTr="007B0A1A">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rPr>
                <w:rFonts w:eastAsia="Calibri"/>
                <w:sz w:val="20"/>
                <w:szCs w:val="20"/>
              </w:rPr>
            </w:pPr>
            <w:r w:rsidRPr="0083110A">
              <w:rPr>
                <w:rFonts w:eastAsia="Calibri"/>
                <w:sz w:val="20"/>
                <w:szCs w:val="20"/>
              </w:rPr>
              <w:t xml:space="preserve">Contract Costs: FEMA contracts the maintenance and enhancements to the </w:t>
            </w:r>
            <w:proofErr w:type="spellStart"/>
            <w:r w:rsidRPr="0083110A">
              <w:rPr>
                <w:rFonts w:eastAsia="Calibri"/>
                <w:sz w:val="20"/>
                <w:szCs w:val="20"/>
              </w:rPr>
              <w:t>eGrant</w:t>
            </w:r>
            <w:proofErr w:type="spellEnd"/>
            <w:r w:rsidRPr="0083110A">
              <w:rPr>
                <w:rFonts w:eastAsia="Calibri"/>
                <w:sz w:val="20"/>
                <w:szCs w:val="20"/>
              </w:rPr>
              <w:t xml:space="preserve"> data collection. The annual cost of this maintenance contract with IBM, Inc. is $3,000,000.00 for the sustainment/maintenance of the </w:t>
            </w:r>
            <w:proofErr w:type="spellStart"/>
            <w:r w:rsidRPr="0083110A">
              <w:rPr>
                <w:rFonts w:eastAsia="Calibri"/>
                <w:sz w:val="20"/>
                <w:szCs w:val="20"/>
              </w:rPr>
              <w:t>eGrants</w:t>
            </w:r>
            <w:proofErr w:type="spellEnd"/>
            <w:r w:rsidRPr="0083110A">
              <w:rPr>
                <w:rFonts w:eastAsia="Calibri"/>
                <w:sz w:val="20"/>
                <w:szCs w:val="20"/>
              </w:rPr>
              <w:t xml:space="preserve"> system.</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rFonts w:eastAsia="Calibri"/>
                <w:sz w:val="20"/>
                <w:szCs w:val="20"/>
              </w:rPr>
            </w:pPr>
            <w:r w:rsidRPr="0083110A">
              <w:rPr>
                <w:rFonts w:eastAsia="Calibri"/>
                <w:sz w:val="20"/>
                <w:szCs w:val="20"/>
              </w:rPr>
              <w:t>$3,000,000</w:t>
            </w:r>
          </w:p>
        </w:tc>
      </w:tr>
      <w:tr w:rsidRPr="0083110A" w:rsidR="004041E7" w:rsidTr="007B0A1A">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rPr>
                <w:rFonts w:eastAsia="Calibri"/>
                <w:sz w:val="20"/>
                <w:szCs w:val="20"/>
              </w:rPr>
            </w:pPr>
            <w:r w:rsidRPr="0083110A">
              <w:rPr>
                <w:rFonts w:eastAsia="Calibri"/>
                <w:sz w:val="20"/>
                <w:szCs w:val="20"/>
              </w:rPr>
              <w:t>Staff Salaries: 26 GS 13, step 5 employees spending approximately 100% of their time annually to collect data/survey individuals for this data collection.   [26 x $116,353 x 1 x 1.46</w:t>
            </w:r>
            <w:r w:rsidRPr="0083110A">
              <w:rPr>
                <w:rFonts w:eastAsia="Calibri"/>
                <w:sz w:val="20"/>
                <w:szCs w:val="20"/>
                <w:vertAlign w:val="superscript"/>
              </w:rPr>
              <w:t>1</w:t>
            </w:r>
            <w:r w:rsidRPr="0083110A">
              <w:rPr>
                <w:rFonts w:eastAsia="Calibri"/>
                <w:sz w:val="20"/>
                <w:szCs w:val="20"/>
              </w:rPr>
              <w:t xml:space="preserve"> = $4,416,760]</w:t>
            </w:r>
          </w:p>
          <w:p w:rsidRPr="0083110A" w:rsidR="004041E7" w:rsidP="007B0A1A" w:rsidRDefault="004041E7">
            <w:pPr>
              <w:rPr>
                <w:rFonts w:eastAsia="Calibri"/>
                <w:sz w:val="20"/>
                <w:szCs w:val="20"/>
              </w:rPr>
            </w:pPr>
            <w:r w:rsidRPr="0083110A">
              <w:rPr>
                <w:rFonts w:eastAsia="Calibri"/>
                <w:sz w:val="20"/>
                <w:szCs w:val="20"/>
              </w:rPr>
              <w:t>4 GS 13, Step 5 employees spending approximately 25% of their time on planning, review, and evaluation of BRIC panels.  [4 x $116,353 x 0.25 x 1.461 = $169,875]</w:t>
            </w:r>
          </w:p>
          <w:p w:rsidRPr="0083110A" w:rsidR="004041E7" w:rsidP="007B0A1A" w:rsidRDefault="004041E7">
            <w:pPr>
              <w:rPr>
                <w:rFonts w:eastAsia="Calibri"/>
                <w:sz w:val="20"/>
                <w:szCs w:val="20"/>
              </w:rPr>
            </w:pPr>
            <w:r w:rsidRPr="0083110A">
              <w:rPr>
                <w:rFonts w:eastAsia="Calibri"/>
                <w:sz w:val="20"/>
                <w:szCs w:val="20"/>
              </w:rPr>
              <w:t>[$4,416,760 + $169,875= $4,586,635]</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rFonts w:eastAsia="Calibri"/>
                <w:sz w:val="20"/>
                <w:szCs w:val="20"/>
              </w:rPr>
            </w:pPr>
            <w:r w:rsidRPr="0083110A">
              <w:rPr>
                <w:rFonts w:eastAsia="Calibri"/>
                <w:sz w:val="20"/>
                <w:szCs w:val="20"/>
              </w:rPr>
              <w:t>$4,586,635</w:t>
            </w:r>
          </w:p>
        </w:tc>
      </w:tr>
      <w:tr w:rsidRPr="0083110A" w:rsidR="004041E7" w:rsidTr="007B0A1A">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rPr>
                <w:rFonts w:eastAsia="Calibri"/>
                <w:sz w:val="20"/>
                <w:szCs w:val="20"/>
              </w:rPr>
            </w:pPr>
            <w:r w:rsidRPr="0083110A">
              <w:rPr>
                <w:rFonts w:eastAsia="Calibri"/>
                <w:sz w:val="20"/>
                <w:szCs w:val="20"/>
              </w:rPr>
              <w:t>Facilities [cost for renting, overhead, etc. for data collection activity]</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rFonts w:eastAsia="Calibri"/>
                <w:sz w:val="20"/>
                <w:szCs w:val="20"/>
              </w:rPr>
            </w:pPr>
            <w:r w:rsidRPr="0083110A">
              <w:rPr>
                <w:rFonts w:eastAsia="Calibri"/>
                <w:sz w:val="20"/>
                <w:szCs w:val="20"/>
              </w:rPr>
              <w:t>$0</w:t>
            </w:r>
          </w:p>
        </w:tc>
      </w:tr>
      <w:tr w:rsidRPr="0083110A" w:rsidR="004041E7" w:rsidTr="007B0A1A">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rPr>
                <w:rFonts w:eastAsia="Calibri"/>
                <w:sz w:val="20"/>
                <w:szCs w:val="20"/>
              </w:rPr>
            </w:pPr>
            <w:r w:rsidRPr="0083110A">
              <w:rPr>
                <w:rFonts w:eastAsia="Calibri"/>
                <w:sz w:val="20"/>
                <w:szCs w:val="20"/>
              </w:rPr>
              <w:t>Computer Hardware and Software [cost of equipment annual lifecycle]</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rFonts w:eastAsia="Calibri"/>
                <w:sz w:val="20"/>
                <w:szCs w:val="20"/>
              </w:rPr>
            </w:pPr>
            <w:r w:rsidRPr="0083110A">
              <w:rPr>
                <w:rFonts w:eastAsia="Calibri"/>
                <w:sz w:val="20"/>
                <w:szCs w:val="20"/>
              </w:rPr>
              <w:t>$0</w:t>
            </w:r>
          </w:p>
        </w:tc>
      </w:tr>
      <w:tr w:rsidRPr="0083110A" w:rsidR="004041E7" w:rsidTr="007B0A1A">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rPr>
                <w:rFonts w:eastAsia="Calibri"/>
                <w:sz w:val="20"/>
                <w:szCs w:val="20"/>
              </w:rPr>
            </w:pPr>
            <w:r w:rsidRPr="0083110A">
              <w:rPr>
                <w:rFonts w:eastAsia="Calibri"/>
                <w:sz w:val="20"/>
                <w:szCs w:val="20"/>
              </w:rPr>
              <w:t>Equipment Maintenance [cost of annual maintenance/service agreements for equipment]</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rFonts w:eastAsia="Calibri"/>
                <w:sz w:val="20"/>
                <w:szCs w:val="20"/>
              </w:rPr>
            </w:pPr>
            <w:r w:rsidRPr="0083110A">
              <w:rPr>
                <w:rFonts w:eastAsia="Calibri"/>
                <w:sz w:val="20"/>
                <w:szCs w:val="20"/>
              </w:rPr>
              <w:t>$0</w:t>
            </w:r>
          </w:p>
        </w:tc>
      </w:tr>
      <w:tr w:rsidRPr="0083110A" w:rsidR="004041E7" w:rsidTr="007B0A1A">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rPr>
                <w:rFonts w:eastAsia="Calibri"/>
                <w:sz w:val="20"/>
                <w:szCs w:val="20"/>
              </w:rPr>
            </w:pPr>
            <w:r w:rsidRPr="0083110A">
              <w:rPr>
                <w:rFonts w:eastAsia="Calibri"/>
                <w:sz w:val="20"/>
                <w:szCs w:val="20"/>
              </w:rPr>
              <w:t>Travel</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rFonts w:eastAsia="Calibri"/>
                <w:sz w:val="20"/>
                <w:szCs w:val="20"/>
              </w:rPr>
            </w:pPr>
            <w:r w:rsidRPr="0083110A">
              <w:rPr>
                <w:rFonts w:eastAsia="Calibri"/>
                <w:sz w:val="20"/>
                <w:szCs w:val="20"/>
              </w:rPr>
              <w:t>$0</w:t>
            </w:r>
          </w:p>
        </w:tc>
      </w:tr>
      <w:tr w:rsidRPr="0083110A" w:rsidR="004041E7" w:rsidTr="007B0A1A">
        <w:tc>
          <w:tcPr>
            <w:tcW w:w="7375"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rPr>
                <w:rFonts w:eastAsia="Calibri"/>
                <w:b/>
                <w:sz w:val="20"/>
                <w:szCs w:val="20"/>
              </w:rPr>
            </w:pPr>
            <w:r w:rsidRPr="0083110A">
              <w:rPr>
                <w:rFonts w:eastAsia="Calibri"/>
                <w:b/>
                <w:sz w:val="20"/>
                <w:szCs w:val="20"/>
              </w:rPr>
              <w:t>Total</w:t>
            </w:r>
          </w:p>
        </w:tc>
        <w:tc>
          <w:tcPr>
            <w:tcW w:w="197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rFonts w:eastAsia="Calibri"/>
                <w:sz w:val="20"/>
                <w:szCs w:val="20"/>
              </w:rPr>
            </w:pPr>
            <w:r w:rsidRPr="0083110A">
              <w:rPr>
                <w:rFonts w:eastAsia="Calibri"/>
                <w:sz w:val="20"/>
                <w:szCs w:val="20"/>
              </w:rPr>
              <w:t>$7,586,635</w:t>
            </w:r>
          </w:p>
        </w:tc>
      </w:tr>
      <w:tr w:rsidRPr="0083110A" w:rsidR="004041E7" w:rsidTr="007B0A1A">
        <w:tc>
          <w:tcPr>
            <w:tcW w:w="9350" w:type="dxa"/>
            <w:gridSpan w:val="2"/>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rPr>
                <w:rFonts w:eastAsia="Calibri"/>
                <w:sz w:val="20"/>
                <w:szCs w:val="20"/>
              </w:rPr>
            </w:pPr>
            <w:r w:rsidRPr="0083110A">
              <w:rPr>
                <w:rFonts w:eastAsia="Calibri"/>
                <w:sz w:val="20"/>
                <w:szCs w:val="20"/>
                <w:vertAlign w:val="superscript"/>
              </w:rPr>
              <w:t>1</w:t>
            </w:r>
            <w:r w:rsidRPr="0083110A">
              <w:rPr>
                <w:rFonts w:eastAsia="Calibri"/>
                <w:sz w:val="20"/>
                <w:szCs w:val="20"/>
              </w:rPr>
              <w:t xml:space="preserve"> Office of Personnel Management 2020 Pay and Leave Tables for the Washington-Baltimore-Arlington, DC-MD-VA-WV-PA locality. Available online at </w:t>
            </w:r>
            <w:hyperlink w:history="1" r:id="rId9">
              <w:r w:rsidRPr="0083110A">
                <w:rPr>
                  <w:rStyle w:val="Hyperlink"/>
                  <w:rFonts w:eastAsia="Calibri"/>
                  <w:sz w:val="20"/>
                  <w:szCs w:val="20"/>
                </w:rPr>
                <w:t>https://www.opm.gov/policy-data-oversight/pay-leave/salaries-wages/salary-tables/20Tables/html/DCB.aspx</w:t>
              </w:r>
            </w:hyperlink>
            <w:r w:rsidRPr="0083110A">
              <w:rPr>
                <w:rFonts w:eastAsia="Calibri"/>
                <w:sz w:val="20"/>
                <w:szCs w:val="20"/>
              </w:rPr>
              <w:t>. Accessed October 13, 2020.</w:t>
            </w:r>
          </w:p>
          <w:p w:rsidRPr="0083110A" w:rsidR="004041E7" w:rsidP="007B0A1A" w:rsidRDefault="004041E7">
            <w:pPr>
              <w:rPr>
                <w:rFonts w:eastAsia="Calibri"/>
                <w:sz w:val="20"/>
                <w:szCs w:val="20"/>
              </w:rPr>
            </w:pPr>
            <w:r w:rsidRPr="0083110A">
              <w:rPr>
                <w:rFonts w:eastAsia="Calibri"/>
                <w:sz w:val="20"/>
                <w:szCs w:val="20"/>
                <w:vertAlign w:val="superscript"/>
              </w:rPr>
              <w:t>2</w:t>
            </w:r>
            <w:r w:rsidRPr="0083110A">
              <w:rPr>
                <w:rFonts w:eastAsia="Calibri"/>
                <w:sz w:val="20"/>
                <w:szCs w:val="20"/>
              </w:rPr>
              <w:t xml:space="preserve"> Wage rate includes a 1.46 multiplier to reflect the fully-loaded wage rate.</w:t>
            </w:r>
          </w:p>
        </w:tc>
      </w:tr>
    </w:tbl>
    <w:p w:rsidRPr="00364F4C" w:rsidR="00AD0E31" w:rsidP="009B4E88" w:rsidRDefault="00AD0E31">
      <w:pPr>
        <w:tabs>
          <w:tab w:val="left" w:pos="-720"/>
        </w:tabs>
        <w:suppressAutoHyphens/>
        <w:rPr>
          <w:sz w:val="16"/>
          <w:szCs w:val="16"/>
        </w:rPr>
      </w:pPr>
    </w:p>
    <w:p w:rsidRPr="00364F4C" w:rsidR="00AD0E31" w:rsidP="009B4E88" w:rsidRDefault="00AD0E31">
      <w:pPr>
        <w:tabs>
          <w:tab w:val="left" w:pos="-720"/>
        </w:tabs>
        <w:suppressAutoHyphens/>
        <w:rPr>
          <w:sz w:val="16"/>
          <w:szCs w:val="16"/>
        </w:rPr>
      </w:pPr>
    </w:p>
    <w:p w:rsidRPr="007E15F6" w:rsidR="005E21C2" w:rsidP="005E21C2" w:rsidRDefault="0083138B">
      <w:pPr>
        <w:rPr>
          <w:b/>
        </w:rPr>
      </w:pPr>
      <w:r w:rsidRPr="00BA2E22">
        <w:fldChar w:fldCharType="begin"/>
      </w:r>
      <w:r w:rsidRPr="0076776B" w:rsidR="00842E74">
        <w:instrText>ADVANCE \R 0.95</w:instrText>
      </w:r>
      <w:r w:rsidRPr="0076776B">
        <w:fldChar w:fldCharType="end"/>
      </w:r>
      <w:r w:rsidRPr="0076776B">
        <w:fldChar w:fldCharType="begin"/>
      </w:r>
      <w:r w:rsidRPr="0076776B" w:rsidR="00677CAD">
        <w:instrText>ADVANCE \R 0.95</w:instrText>
      </w:r>
      <w:r w:rsidRPr="0076776B">
        <w:fldChar w:fldCharType="end"/>
      </w:r>
      <w:r w:rsidRPr="00BA2E22" w:rsidR="00677CAD">
        <w:t xml:space="preserve">     </w:t>
      </w:r>
      <w:r w:rsidRPr="00BA2E22" w:rsidR="005E21C2">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F11E32" w:rsidR="005E21C2" w:rsidP="005E21C2" w:rsidRDefault="005E21C2">
      <w:pPr>
        <w:pStyle w:val="NormalWeb"/>
        <w:rPr>
          <w:i/>
          <w:sz w:val="20"/>
          <w:szCs w:val="20"/>
        </w:rPr>
      </w:pPr>
      <w:r w:rsidRPr="00364F4C">
        <w:rPr>
          <w:i/>
          <w:sz w:val="20"/>
          <w:szCs w:val="20"/>
        </w:rPr>
        <w:t xml:space="preserve">A </w:t>
      </w:r>
      <w:r w:rsidRPr="00364F4C">
        <w:rPr>
          <w:b/>
          <w:bCs/>
          <w:i/>
          <w:sz w:val="20"/>
          <w:szCs w:val="20"/>
        </w:rPr>
        <w:t>"Program increa</w:t>
      </w:r>
      <w:r w:rsidRPr="00495461">
        <w:rPr>
          <w:b/>
          <w:bCs/>
          <w:i/>
          <w:sz w:val="20"/>
          <w:szCs w:val="20"/>
        </w:rPr>
        <w:t>se"</w:t>
      </w:r>
      <w:r w:rsidRPr="00495461">
        <w:rPr>
          <w:i/>
          <w:sz w:val="20"/>
          <w:szCs w:val="20"/>
        </w:rPr>
        <w:t xml:space="preserve"> is an additional burden resulting from a</w:t>
      </w:r>
      <w:r w:rsidRPr="00495461" w:rsidR="005926EA">
        <w:rPr>
          <w:i/>
          <w:sz w:val="20"/>
          <w:szCs w:val="20"/>
        </w:rPr>
        <w:t xml:space="preserve"> federal g</w:t>
      </w:r>
      <w:r w:rsidRPr="00755CAC" w:rsidR="005926EA">
        <w:rPr>
          <w:i/>
          <w:sz w:val="20"/>
          <w:szCs w:val="20"/>
        </w:rPr>
        <w:t>overn</w:t>
      </w:r>
      <w:r w:rsidRPr="004041E7" w:rsidR="005926EA">
        <w:rPr>
          <w:i/>
          <w:sz w:val="20"/>
          <w:szCs w:val="20"/>
        </w:rPr>
        <w:t>ment regulatory</w:t>
      </w:r>
      <w:r w:rsidRPr="004041E7">
        <w:rPr>
          <w:i/>
          <w:sz w:val="20"/>
          <w:szCs w:val="20"/>
        </w:rPr>
        <w:t xml:space="preserve"> action or directive</w:t>
      </w:r>
      <w:r w:rsidRPr="004041E7" w:rsidR="005926EA">
        <w:rPr>
          <w:i/>
          <w:sz w:val="20"/>
          <w:szCs w:val="20"/>
        </w:rPr>
        <w:t>.</w:t>
      </w:r>
      <w:r w:rsidRPr="004041E7">
        <w:rPr>
          <w:i/>
          <w:sz w:val="20"/>
          <w:szCs w:val="20"/>
        </w:rPr>
        <w:t xml:space="preserve"> (e.g., an increase in sample size or coverage, amount of information, reporting frequency, or expanded use of an</w:t>
      </w:r>
      <w:r w:rsidRPr="004041E7" w:rsidR="00A643EA">
        <w:rPr>
          <w:i/>
          <w:sz w:val="20"/>
          <w:szCs w:val="20"/>
        </w:rPr>
        <w:t xml:space="preserve"> </w:t>
      </w:r>
      <w:r w:rsidRPr="004041E7">
        <w:rPr>
          <w:i/>
          <w:sz w:val="20"/>
          <w:szCs w:val="20"/>
        </w:rPr>
        <w:t>existing form). This also includes previously in-use</w:t>
      </w:r>
      <w:r w:rsidRPr="004041E7" w:rsidR="00A643EA">
        <w:rPr>
          <w:i/>
          <w:sz w:val="20"/>
          <w:szCs w:val="20"/>
        </w:rPr>
        <w:t xml:space="preserve"> </w:t>
      </w:r>
      <w:r w:rsidRPr="004041E7">
        <w:rPr>
          <w:i/>
          <w:sz w:val="20"/>
          <w:szCs w:val="20"/>
        </w:rPr>
        <w:t>and unapproved informatio</w:t>
      </w:r>
      <w:r w:rsidRPr="00C03D61">
        <w:rPr>
          <w:i/>
          <w:sz w:val="20"/>
          <w:szCs w:val="20"/>
        </w:rPr>
        <w:t>n</w:t>
      </w:r>
      <w:r w:rsidRPr="00FE1F2E">
        <w:rPr>
          <w:i/>
          <w:sz w:val="20"/>
          <w:szCs w:val="20"/>
        </w:rPr>
        <w:t xml:space="preserve"> collections discovere</w:t>
      </w:r>
      <w:r w:rsidRPr="00F11E32">
        <w:rPr>
          <w:i/>
          <w:sz w:val="20"/>
          <w:szCs w:val="20"/>
        </w:rPr>
        <w:t>d during the ICB process, or during the fiscal</w:t>
      </w:r>
      <w:r w:rsidRPr="00F11E32" w:rsidR="005926EA">
        <w:rPr>
          <w:i/>
          <w:sz w:val="20"/>
          <w:szCs w:val="20"/>
        </w:rPr>
        <w:t xml:space="preserve"> y</w:t>
      </w:r>
      <w:r w:rsidRPr="00F11E32">
        <w:rPr>
          <w:i/>
          <w:sz w:val="20"/>
          <w:szCs w:val="20"/>
        </w:rPr>
        <w:t xml:space="preserve">ear, which will be in use during the next fiscal year. </w:t>
      </w:r>
    </w:p>
    <w:p w:rsidRPr="009B3FB2" w:rsidR="005E21C2" w:rsidP="005E21C2" w:rsidRDefault="005E21C2">
      <w:pPr>
        <w:pStyle w:val="NormalWeb"/>
        <w:rPr>
          <w:i/>
          <w:sz w:val="20"/>
          <w:szCs w:val="20"/>
        </w:rPr>
      </w:pPr>
      <w:r w:rsidRPr="00F11E32">
        <w:rPr>
          <w:i/>
          <w:sz w:val="20"/>
          <w:szCs w:val="20"/>
        </w:rPr>
        <w:t xml:space="preserve">A </w:t>
      </w:r>
      <w:r w:rsidRPr="00F11E32">
        <w:rPr>
          <w:b/>
          <w:bCs/>
          <w:i/>
          <w:sz w:val="20"/>
          <w:szCs w:val="20"/>
        </w:rPr>
        <w:t xml:space="preserve">"Program decrease", </w:t>
      </w:r>
      <w:r w:rsidRPr="00F11E32">
        <w:rPr>
          <w:i/>
          <w:sz w:val="20"/>
          <w:szCs w:val="20"/>
        </w:rPr>
        <w:t xml:space="preserve">is a reduction in burden because of: (1) the </w:t>
      </w:r>
      <w:r w:rsidRPr="00AA64ED" w:rsidR="00A643EA">
        <w:rPr>
          <w:i/>
          <w:sz w:val="20"/>
          <w:szCs w:val="20"/>
        </w:rPr>
        <w:t xml:space="preserve">discontinuation of an </w:t>
      </w:r>
      <w:r w:rsidRPr="009B3FB2">
        <w:rPr>
          <w:i/>
          <w:sz w:val="20"/>
          <w:szCs w:val="20"/>
        </w:rPr>
        <w:t>information collection; or (2) a change in an existing</w:t>
      </w:r>
      <w:r w:rsidRPr="009B3FB2" w:rsidR="00A643EA">
        <w:rPr>
          <w:i/>
          <w:sz w:val="20"/>
          <w:szCs w:val="20"/>
        </w:rPr>
        <w:t xml:space="preserve"> </w:t>
      </w:r>
      <w:r w:rsidRPr="009B3FB2">
        <w:rPr>
          <w:i/>
          <w:sz w:val="20"/>
          <w:szCs w:val="20"/>
        </w:rPr>
        <w:t>information collection by a Federal agency</w:t>
      </w:r>
      <w:r w:rsidRPr="009B3FB2" w:rsidR="00A643EA">
        <w:rPr>
          <w:i/>
          <w:sz w:val="20"/>
          <w:szCs w:val="20"/>
        </w:rPr>
        <w:t xml:space="preserve"> </w:t>
      </w:r>
      <w:r w:rsidRPr="009B3FB2">
        <w:rPr>
          <w:i/>
          <w:sz w:val="20"/>
          <w:szCs w:val="20"/>
        </w:rPr>
        <w:t xml:space="preserve">(e.g., the use of sampling (or smaller samples), a decrease in the amount of information requested (fewer questions), or a decrease in reporting frequency). </w:t>
      </w:r>
    </w:p>
    <w:p w:rsidRPr="009B3FB2" w:rsidR="00433206" w:rsidP="00A643EA" w:rsidRDefault="005E21C2">
      <w:pPr>
        <w:pStyle w:val="NormalWeb"/>
        <w:rPr>
          <w:i/>
          <w:sz w:val="20"/>
          <w:szCs w:val="20"/>
        </w:rPr>
      </w:pPr>
      <w:r w:rsidRPr="009B3FB2">
        <w:rPr>
          <w:b/>
          <w:i/>
          <w:sz w:val="20"/>
          <w:szCs w:val="20"/>
        </w:rPr>
        <w:t xml:space="preserve"> </w:t>
      </w:r>
      <w:r w:rsidRPr="009B3FB2">
        <w:rPr>
          <w:b/>
          <w:bCs/>
          <w:i/>
          <w:sz w:val="20"/>
          <w:szCs w:val="20"/>
        </w:rPr>
        <w:t>"Adjustment"</w:t>
      </w:r>
      <w:r w:rsidRPr="009B3FB2">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792"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37"/>
        <w:gridCol w:w="1908"/>
        <w:gridCol w:w="1207"/>
        <w:gridCol w:w="1290"/>
        <w:gridCol w:w="1731"/>
        <w:gridCol w:w="1329"/>
        <w:gridCol w:w="1290"/>
      </w:tblGrid>
      <w:tr w:rsidRPr="0083110A" w:rsidR="004041E7" w:rsidTr="004041E7">
        <w:tc>
          <w:tcPr>
            <w:tcW w:w="10339" w:type="dxa"/>
            <w:gridSpan w:val="7"/>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jc w:val="center"/>
              <w:rPr>
                <w:b/>
                <w:sz w:val="20"/>
                <w:szCs w:val="20"/>
              </w:rPr>
            </w:pPr>
            <w:r w:rsidRPr="0083110A">
              <w:rPr>
                <w:b/>
                <w:sz w:val="20"/>
                <w:szCs w:val="20"/>
              </w:rPr>
              <w:t>Itemized Changes in Annual Burden Hours</w:t>
            </w:r>
          </w:p>
        </w:tc>
      </w:tr>
      <w:tr w:rsidRPr="0083110A" w:rsidR="004041E7" w:rsidTr="004041E7">
        <w:tc>
          <w:tcPr>
            <w:tcW w:w="1952"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Data Collection Activity/Instrument</w:t>
            </w:r>
          </w:p>
        </w:tc>
        <w:tc>
          <w:tcPr>
            <w:tcW w:w="1828"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Program Change (hours currently on OMB inventory)</w:t>
            </w:r>
          </w:p>
        </w:tc>
        <w:tc>
          <w:tcPr>
            <w:tcW w:w="1156"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Program Change (new)</w:t>
            </w:r>
          </w:p>
        </w:tc>
        <w:tc>
          <w:tcPr>
            <w:tcW w:w="1236"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Difference</w:t>
            </w:r>
          </w:p>
        </w:tc>
        <w:tc>
          <w:tcPr>
            <w:tcW w:w="1658"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Adjustment (hours currently on OMB inventory)</w:t>
            </w:r>
          </w:p>
        </w:tc>
        <w:tc>
          <w:tcPr>
            <w:tcW w:w="1273"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Adjustment (new)</w:t>
            </w:r>
          </w:p>
        </w:tc>
        <w:tc>
          <w:tcPr>
            <w:tcW w:w="1236"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Difference</w:t>
            </w:r>
          </w:p>
        </w:tc>
      </w:tr>
      <w:tr w:rsidRPr="0083110A" w:rsidR="004041E7" w:rsidTr="004041E7">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rPr>
                <w:sz w:val="20"/>
                <w:szCs w:val="20"/>
              </w:rPr>
            </w:pPr>
            <w:r w:rsidRPr="0083110A">
              <w:rPr>
                <w:sz w:val="20"/>
                <w:szCs w:val="20"/>
              </w:rPr>
              <w:t>BRIC Review Panels</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sz w:val="20"/>
                <w:szCs w:val="20"/>
              </w:rPr>
            </w:pPr>
            <w:r w:rsidRPr="0083110A">
              <w:rPr>
                <w:sz w:val="20"/>
                <w:szCs w:val="20"/>
              </w:rPr>
              <w:t>0</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sz w:val="20"/>
                <w:szCs w:val="20"/>
              </w:rPr>
            </w:pPr>
            <w:r w:rsidRPr="0083110A">
              <w:rPr>
                <w:sz w:val="20"/>
                <w:szCs w:val="20"/>
              </w:rPr>
              <w:t>0</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sz w:val="20"/>
                <w:szCs w:val="20"/>
              </w:rPr>
            </w:pPr>
            <w:r w:rsidRPr="0083110A">
              <w:rPr>
                <w:sz w:val="20"/>
                <w:szCs w:val="20"/>
              </w:rPr>
              <w:t>0</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sz w:val="20"/>
                <w:szCs w:val="20"/>
              </w:rPr>
            </w:pPr>
            <w:r w:rsidRPr="0083110A">
              <w:rPr>
                <w:sz w:val="20"/>
                <w:szCs w:val="20"/>
              </w:rPr>
              <w:t>0</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sz w:val="20"/>
                <w:szCs w:val="20"/>
              </w:rPr>
            </w:pPr>
            <w:r w:rsidRPr="0083110A">
              <w:rPr>
                <w:sz w:val="20"/>
                <w:szCs w:val="20"/>
              </w:rPr>
              <w:t>14,400</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sz w:val="20"/>
                <w:szCs w:val="20"/>
              </w:rPr>
            </w:pPr>
            <w:r w:rsidRPr="0083110A">
              <w:rPr>
                <w:sz w:val="20"/>
                <w:szCs w:val="20"/>
              </w:rPr>
              <w:t>14,400</w:t>
            </w:r>
          </w:p>
        </w:tc>
      </w:tr>
      <w:tr w:rsidRPr="0083110A" w:rsidR="004041E7" w:rsidTr="004041E7">
        <w:tc>
          <w:tcPr>
            <w:tcW w:w="195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rPr>
                <w:b/>
                <w:sz w:val="20"/>
                <w:szCs w:val="20"/>
              </w:rPr>
            </w:pPr>
            <w:r w:rsidRPr="0083110A">
              <w:rPr>
                <w:b/>
                <w:sz w:val="20"/>
                <w:szCs w:val="20"/>
              </w:rPr>
              <w:t>Total</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sz w:val="20"/>
                <w:szCs w:val="20"/>
              </w:rPr>
            </w:pPr>
            <w:r w:rsidRPr="0083110A">
              <w:rPr>
                <w:sz w:val="20"/>
                <w:szCs w:val="20"/>
              </w:rPr>
              <w:t>0</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sz w:val="20"/>
                <w:szCs w:val="20"/>
              </w:rPr>
            </w:pPr>
            <w:r w:rsidRPr="0083110A">
              <w:rPr>
                <w:sz w:val="20"/>
                <w:szCs w:val="20"/>
              </w:rPr>
              <w:t>0</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sz w:val="20"/>
                <w:szCs w:val="20"/>
              </w:rPr>
            </w:pPr>
            <w:r w:rsidRPr="0083110A">
              <w:rPr>
                <w:sz w:val="20"/>
                <w:szCs w:val="20"/>
              </w:rPr>
              <w:t>0</w:t>
            </w:r>
          </w:p>
        </w:tc>
        <w:tc>
          <w:tcPr>
            <w:tcW w:w="165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9B3FB2">
            <w:pPr>
              <w:jc w:val="right"/>
              <w:rPr>
                <w:sz w:val="20"/>
                <w:szCs w:val="20"/>
              </w:rPr>
            </w:pPr>
            <w:r>
              <w:rPr>
                <w:sz w:val="20"/>
                <w:szCs w:val="20"/>
              </w:rPr>
              <w:t>0</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9B3FB2">
            <w:pPr>
              <w:jc w:val="right"/>
              <w:rPr>
                <w:sz w:val="20"/>
                <w:szCs w:val="20"/>
              </w:rPr>
            </w:pPr>
            <w:r>
              <w:rPr>
                <w:sz w:val="20"/>
                <w:szCs w:val="20"/>
              </w:rPr>
              <w:t>14,400</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sz w:val="20"/>
                <w:szCs w:val="20"/>
              </w:rPr>
            </w:pPr>
            <w:r w:rsidRPr="0083110A">
              <w:rPr>
                <w:sz w:val="20"/>
                <w:szCs w:val="20"/>
              </w:rPr>
              <w:t>14,400</w:t>
            </w:r>
          </w:p>
        </w:tc>
      </w:tr>
    </w:tbl>
    <w:p w:rsidR="004041E7" w:rsidP="00D03DFB" w:rsidRDefault="004041E7">
      <w:pPr>
        <w:spacing w:after="200" w:line="276" w:lineRule="auto"/>
        <w:rPr>
          <w:rFonts w:eastAsia="Calibri"/>
          <w:b/>
          <w:bCs/>
          <w:i/>
          <w:sz w:val="22"/>
          <w:szCs w:val="22"/>
        </w:rPr>
      </w:pPr>
    </w:p>
    <w:p w:rsidRPr="004041E7" w:rsidR="00D03DFB" w:rsidP="00D03DFB" w:rsidRDefault="00D03DFB">
      <w:pPr>
        <w:spacing w:after="200" w:line="276" w:lineRule="auto"/>
        <w:rPr>
          <w:rFonts w:eastAsia="Calibri"/>
          <w:b/>
          <w:bCs/>
          <w:i/>
          <w:sz w:val="22"/>
          <w:szCs w:val="22"/>
        </w:rPr>
      </w:pPr>
      <w:r w:rsidRPr="004041E7">
        <w:rPr>
          <w:rFonts w:eastAsia="Calibri"/>
          <w:b/>
          <w:bCs/>
          <w:i/>
          <w:sz w:val="22"/>
          <w:szCs w:val="22"/>
        </w:rPr>
        <w:t>Explain:</w:t>
      </w:r>
    </w:p>
    <w:p w:rsidRPr="00C03D61" w:rsidR="00D03DFB" w:rsidP="00D03DFB" w:rsidRDefault="003434C8">
      <w:pPr>
        <w:spacing w:after="200" w:line="276" w:lineRule="auto"/>
        <w:rPr>
          <w:rFonts w:eastAsia="Calibri"/>
          <w:bCs/>
        </w:rPr>
      </w:pPr>
      <w:r w:rsidRPr="004041E7">
        <w:rPr>
          <w:rFonts w:eastAsia="Calibri"/>
          <w:bCs/>
        </w:rPr>
        <w:t xml:space="preserve">The additional hours are being added due to the addition of the qualitative review panel.  Per the NOFO we will convene a national panel to review and score applications.  </w:t>
      </w:r>
    </w:p>
    <w:p w:rsidRPr="00FE1F2E" w:rsidR="00D03DFB" w:rsidP="00D03DFB" w:rsidRDefault="00D03DFB">
      <w:pPr>
        <w:spacing w:after="200" w:line="276" w:lineRule="auto"/>
        <w:rPr>
          <w:rFonts w:eastAsia="Calibri"/>
          <w:b/>
          <w:bCs/>
          <w:i/>
        </w:rPr>
      </w:pPr>
    </w:p>
    <w:p w:rsidRPr="00F11E32" w:rsidR="00D03DFB" w:rsidP="00D03DFB" w:rsidRDefault="00D03DFB">
      <w:pPr>
        <w:spacing w:after="200" w:line="276" w:lineRule="auto"/>
        <w:rPr>
          <w:rFonts w:eastAsia="Calibri"/>
          <w:b/>
          <w:bCs/>
          <w:i/>
        </w:rPr>
      </w:pPr>
      <w:r w:rsidRPr="00F11E32">
        <w:rPr>
          <w:rFonts w:eastAsia="Calibri"/>
          <w:b/>
          <w:bCs/>
          <w:i/>
        </w:rPr>
        <w:t>Itemized Changes in Annual Cost Burden</w:t>
      </w:r>
    </w:p>
    <w:tbl>
      <w:tblPr>
        <w:tblW w:w="10792"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4"/>
        <w:gridCol w:w="1819"/>
        <w:gridCol w:w="1210"/>
        <w:gridCol w:w="1294"/>
        <w:gridCol w:w="1830"/>
        <w:gridCol w:w="1301"/>
        <w:gridCol w:w="1294"/>
      </w:tblGrid>
      <w:tr w:rsidRPr="0083110A" w:rsidR="004041E7" w:rsidTr="004041E7">
        <w:tc>
          <w:tcPr>
            <w:tcW w:w="10309" w:type="dxa"/>
            <w:gridSpan w:val="7"/>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jc w:val="center"/>
              <w:rPr>
                <w:b/>
                <w:sz w:val="20"/>
                <w:szCs w:val="20"/>
              </w:rPr>
            </w:pPr>
            <w:r w:rsidRPr="0083110A">
              <w:rPr>
                <w:b/>
                <w:sz w:val="20"/>
                <w:szCs w:val="20"/>
              </w:rPr>
              <w:t>Itemized Changes in Annual Cost Burden</w:t>
            </w:r>
          </w:p>
        </w:tc>
      </w:tr>
      <w:tr w:rsidRPr="0083110A" w:rsidR="004041E7" w:rsidTr="004041E7">
        <w:tc>
          <w:tcPr>
            <w:tcW w:w="1952"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Data Collection Activity/Instrument</w:t>
            </w:r>
          </w:p>
        </w:tc>
        <w:tc>
          <w:tcPr>
            <w:tcW w:w="1738"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Program Change (cost currently on OMB inventory)</w:t>
            </w:r>
          </w:p>
        </w:tc>
        <w:tc>
          <w:tcPr>
            <w:tcW w:w="1156"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Program Change (new)</w:t>
            </w:r>
          </w:p>
        </w:tc>
        <w:tc>
          <w:tcPr>
            <w:tcW w:w="1236"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Difference</w:t>
            </w:r>
          </w:p>
        </w:tc>
        <w:tc>
          <w:tcPr>
            <w:tcW w:w="1748"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Adjustment (cost currently on OMB inventory)</w:t>
            </w:r>
          </w:p>
        </w:tc>
        <w:tc>
          <w:tcPr>
            <w:tcW w:w="1243"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Adjustment (new)</w:t>
            </w:r>
          </w:p>
        </w:tc>
        <w:tc>
          <w:tcPr>
            <w:tcW w:w="1236" w:type="dxa"/>
            <w:tcBorders>
              <w:top w:val="single" w:color="auto" w:sz="4" w:space="0"/>
              <w:left w:val="single" w:color="auto" w:sz="4" w:space="0"/>
              <w:bottom w:val="single" w:color="auto" w:sz="4" w:space="0"/>
              <w:right w:val="single" w:color="auto" w:sz="4" w:space="0"/>
            </w:tcBorders>
            <w:shd w:val="clear" w:color="auto" w:fill="8EAADB"/>
            <w:hideMark/>
          </w:tcPr>
          <w:p w:rsidRPr="0083110A" w:rsidR="004041E7" w:rsidP="007B0A1A" w:rsidRDefault="004041E7">
            <w:pPr>
              <w:rPr>
                <w:sz w:val="20"/>
                <w:szCs w:val="20"/>
              </w:rPr>
            </w:pPr>
            <w:r w:rsidRPr="0083110A">
              <w:rPr>
                <w:sz w:val="20"/>
                <w:szCs w:val="20"/>
              </w:rPr>
              <w:t>Difference</w:t>
            </w:r>
          </w:p>
        </w:tc>
      </w:tr>
      <w:tr w:rsidRPr="0083110A" w:rsidR="004041E7" w:rsidTr="004041E7">
        <w:tc>
          <w:tcPr>
            <w:tcW w:w="1952"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rPr>
                <w:sz w:val="20"/>
                <w:szCs w:val="20"/>
              </w:rPr>
            </w:pPr>
            <w:r w:rsidRPr="0083110A">
              <w:rPr>
                <w:rFonts w:eastAsia="Calibri"/>
                <w:sz w:val="20"/>
                <w:szCs w:val="20"/>
              </w:rPr>
              <w:t>BRIC Review Panels</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sz w:val="20"/>
                <w:szCs w:val="20"/>
              </w:rPr>
            </w:pPr>
            <w:r>
              <w:rPr>
                <w:sz w:val="20"/>
                <w:szCs w:val="20"/>
              </w:rPr>
              <w:t>$0</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sz w:val="20"/>
                <w:szCs w:val="20"/>
              </w:rPr>
            </w:pPr>
            <w:r>
              <w:rPr>
                <w:sz w:val="20"/>
                <w:szCs w:val="20"/>
              </w:rPr>
              <w:t>$0</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sz w:val="20"/>
                <w:szCs w:val="20"/>
              </w:rPr>
            </w:pPr>
            <w:r>
              <w:rPr>
                <w:sz w:val="20"/>
                <w:szCs w:val="20"/>
              </w:rPr>
              <w:t>$0</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sz w:val="20"/>
                <w:szCs w:val="20"/>
              </w:rPr>
            </w:pPr>
            <w:r>
              <w:rPr>
                <w:sz w:val="20"/>
                <w:szCs w:val="20"/>
              </w:rPr>
              <w:t>$</w:t>
            </w:r>
            <w:r w:rsidRPr="0083110A">
              <w:rPr>
                <w:sz w:val="20"/>
                <w:szCs w:val="20"/>
              </w:rPr>
              <w:t>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sz w:val="20"/>
                <w:szCs w:val="20"/>
              </w:rPr>
            </w:pPr>
            <w:r w:rsidRPr="0083110A">
              <w:rPr>
                <w:rFonts w:eastAsia="Calibri"/>
                <w:sz w:val="20"/>
                <w:szCs w:val="20"/>
              </w:rPr>
              <w:t>$763,488</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rsidRPr="0083110A" w:rsidR="004041E7" w:rsidP="007B0A1A" w:rsidRDefault="004041E7">
            <w:pPr>
              <w:jc w:val="right"/>
              <w:rPr>
                <w:sz w:val="20"/>
                <w:szCs w:val="20"/>
              </w:rPr>
            </w:pPr>
            <w:r>
              <w:rPr>
                <w:sz w:val="20"/>
                <w:szCs w:val="20"/>
              </w:rPr>
              <w:t>$763,488</w:t>
            </w:r>
          </w:p>
        </w:tc>
      </w:tr>
      <w:tr w:rsidRPr="0083110A" w:rsidR="004041E7" w:rsidTr="004041E7">
        <w:tc>
          <w:tcPr>
            <w:tcW w:w="1952" w:type="dxa"/>
            <w:tcBorders>
              <w:top w:val="single" w:color="auto" w:sz="4" w:space="0"/>
              <w:left w:val="single" w:color="auto" w:sz="4" w:space="0"/>
              <w:bottom w:val="single" w:color="auto" w:sz="4" w:space="0"/>
              <w:right w:val="single" w:color="auto" w:sz="4" w:space="0"/>
            </w:tcBorders>
            <w:shd w:val="clear" w:color="auto" w:fill="auto"/>
            <w:hideMark/>
          </w:tcPr>
          <w:p w:rsidRPr="0083110A" w:rsidR="004041E7" w:rsidP="007B0A1A" w:rsidRDefault="004041E7">
            <w:pPr>
              <w:rPr>
                <w:b/>
                <w:sz w:val="20"/>
                <w:szCs w:val="20"/>
              </w:rPr>
            </w:pPr>
            <w:r w:rsidRPr="0083110A">
              <w:rPr>
                <w:b/>
                <w:sz w:val="20"/>
                <w:szCs w:val="20"/>
              </w:rPr>
              <w:t>Total</w:t>
            </w:r>
          </w:p>
        </w:tc>
        <w:tc>
          <w:tcPr>
            <w:tcW w:w="173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sz w:val="20"/>
                <w:szCs w:val="20"/>
              </w:rPr>
            </w:pPr>
            <w:r w:rsidRPr="0083110A">
              <w:rPr>
                <w:sz w:val="20"/>
                <w:szCs w:val="20"/>
              </w:rPr>
              <w:t>$0</w:t>
            </w:r>
          </w:p>
        </w:tc>
        <w:tc>
          <w:tcPr>
            <w:tcW w:w="115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sz w:val="20"/>
                <w:szCs w:val="20"/>
              </w:rPr>
            </w:pPr>
            <w:r w:rsidRPr="0083110A">
              <w:rPr>
                <w:sz w:val="20"/>
                <w:szCs w:val="20"/>
              </w:rPr>
              <w:t>$0</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sz w:val="20"/>
                <w:szCs w:val="20"/>
              </w:rPr>
            </w:pPr>
            <w:r w:rsidRPr="0083110A">
              <w:rPr>
                <w:sz w:val="20"/>
                <w:szCs w:val="20"/>
              </w:rPr>
              <w:t>$0</w:t>
            </w:r>
          </w:p>
        </w:tc>
        <w:tc>
          <w:tcPr>
            <w:tcW w:w="174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sz w:val="20"/>
                <w:szCs w:val="20"/>
              </w:rPr>
            </w:pPr>
            <w:r w:rsidRPr="0083110A">
              <w:rPr>
                <w:sz w:val="20"/>
                <w:szCs w:val="20"/>
              </w:rPr>
              <w:t>$0</w:t>
            </w:r>
          </w:p>
        </w:tc>
        <w:tc>
          <w:tcPr>
            <w:tcW w:w="124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sz w:val="20"/>
                <w:szCs w:val="20"/>
              </w:rPr>
            </w:pPr>
            <w:r w:rsidRPr="0083110A">
              <w:rPr>
                <w:rFonts w:eastAsia="Calibri"/>
                <w:sz w:val="20"/>
                <w:szCs w:val="20"/>
              </w:rPr>
              <w:t>$763,488</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3110A" w:rsidR="004041E7" w:rsidP="007B0A1A" w:rsidRDefault="004041E7">
            <w:pPr>
              <w:jc w:val="right"/>
              <w:rPr>
                <w:sz w:val="20"/>
                <w:szCs w:val="20"/>
              </w:rPr>
            </w:pPr>
            <w:r w:rsidRPr="0083110A">
              <w:rPr>
                <w:rFonts w:eastAsia="Calibri"/>
                <w:sz w:val="20"/>
                <w:szCs w:val="20"/>
              </w:rPr>
              <w:t>$763,488</w:t>
            </w:r>
          </w:p>
        </w:tc>
      </w:tr>
    </w:tbl>
    <w:p w:rsidRPr="004041E7" w:rsidR="00521A18" w:rsidP="00D03DFB" w:rsidRDefault="00521A18">
      <w:pPr>
        <w:spacing w:after="200" w:line="276" w:lineRule="auto"/>
        <w:rPr>
          <w:rFonts w:eastAsia="Calibri"/>
          <w:b/>
          <w:bCs/>
          <w:i/>
        </w:rPr>
      </w:pPr>
    </w:p>
    <w:p w:rsidRPr="004041E7" w:rsidR="00521A18" w:rsidP="00D03DFB" w:rsidRDefault="00521A18">
      <w:pPr>
        <w:spacing w:after="200" w:line="276" w:lineRule="auto"/>
        <w:rPr>
          <w:rFonts w:eastAsia="Calibri"/>
          <w:b/>
          <w:bCs/>
          <w:i/>
        </w:rPr>
      </w:pPr>
    </w:p>
    <w:p w:rsidRPr="004041E7" w:rsidR="00D03DFB" w:rsidP="00D03DFB" w:rsidRDefault="00D03DFB">
      <w:pPr>
        <w:spacing w:after="200" w:line="276" w:lineRule="auto"/>
        <w:rPr>
          <w:rFonts w:eastAsia="Calibri"/>
          <w:bCs/>
          <w:i/>
        </w:rPr>
      </w:pPr>
      <w:r w:rsidRPr="004041E7">
        <w:rPr>
          <w:rFonts w:eastAsia="Calibri"/>
          <w:b/>
          <w:bCs/>
          <w:i/>
        </w:rPr>
        <w:t>Explain:</w:t>
      </w:r>
      <w:r w:rsidRPr="004041E7">
        <w:rPr>
          <w:rFonts w:eastAsia="Calibri"/>
          <w:bCs/>
          <w:i/>
        </w:rPr>
        <w:t xml:space="preserve"> </w:t>
      </w:r>
    </w:p>
    <w:p w:rsidRPr="004041E7" w:rsidR="00D03DFB" w:rsidP="00D03DFB" w:rsidRDefault="003434C8">
      <w:pPr>
        <w:spacing w:after="200" w:line="276" w:lineRule="auto"/>
        <w:rPr>
          <w:bCs/>
        </w:rPr>
      </w:pPr>
      <w:r w:rsidRPr="004041E7">
        <w:rPr>
          <w:bCs/>
        </w:rPr>
        <w:t xml:space="preserve">The additional hours are being added due to the addition of the qualitative review panel.  Per the NOFO we will convene a national panel to review and score applications.  </w:t>
      </w:r>
      <w:r w:rsidRPr="004041E7" w:rsidR="00D03DFB">
        <w:rPr>
          <w:bCs/>
        </w:rPr>
        <w:t xml:space="preserve"> </w:t>
      </w:r>
    </w:p>
    <w:p w:rsidRPr="00BA2E22" w:rsidR="00B73A6F" w:rsidRDefault="0083138B">
      <w:pPr>
        <w:rPr>
          <w:b/>
          <w:bCs/>
        </w:rPr>
      </w:pPr>
      <w:r w:rsidRPr="00BA2E22">
        <w:rPr>
          <w:b/>
          <w:bCs/>
        </w:rPr>
        <w:fldChar w:fldCharType="begin"/>
      </w:r>
      <w:r w:rsidRPr="004041E7" w:rsidR="00842E74">
        <w:rPr>
          <w:b/>
          <w:bCs/>
        </w:rPr>
        <w:instrText>ADVANCE \R 0.95</w:instrText>
      </w:r>
      <w:r w:rsidRPr="004041E7">
        <w:rPr>
          <w:b/>
          <w:bCs/>
        </w:rPr>
        <w:fldChar w:fldCharType="end"/>
      </w:r>
    </w:p>
    <w:p w:rsidRPr="007E15F6" w:rsidR="00842E74" w:rsidRDefault="00842E74">
      <w:pPr>
        <w:rPr>
          <w:b/>
          <w:bCs/>
        </w:rPr>
      </w:pPr>
      <w:r w:rsidRPr="00BA2E22">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w:t>
      </w:r>
      <w:r w:rsidRPr="007E15F6">
        <w:rPr>
          <w:b/>
          <w:bCs/>
        </w:rPr>
        <w:t>ons.</w:t>
      </w:r>
    </w:p>
    <w:p w:rsidRPr="00BA2E22" w:rsidR="00DB5B61" w:rsidRDefault="0083138B">
      <w:r w:rsidRPr="00BA2E22">
        <w:fldChar w:fldCharType="begin"/>
      </w:r>
      <w:r w:rsidRPr="004041E7" w:rsidR="00842E74">
        <w:instrText>ADVANCE \R 0.95</w:instrText>
      </w:r>
      <w:r w:rsidRPr="004041E7">
        <w:fldChar w:fldCharType="end"/>
      </w:r>
    </w:p>
    <w:p w:rsidRPr="00BA2E22" w:rsidR="00AD0E31" w:rsidRDefault="00AD0E31">
      <w:pPr>
        <w:rPr>
          <w:b/>
          <w:bCs/>
        </w:rPr>
      </w:pPr>
      <w:r w:rsidRPr="00BA2E22">
        <w:t>FEMA does not intend to employ the use of statistics or the publication thereof for this information collection</w:t>
      </w:r>
      <w:r w:rsidRPr="00BA2E22">
        <w:rPr>
          <w:b/>
          <w:bCs/>
        </w:rPr>
        <w:t>.</w:t>
      </w:r>
    </w:p>
    <w:p w:rsidRPr="00BA2E22" w:rsidR="00A43A2C" w:rsidRDefault="00A43A2C">
      <w:pPr>
        <w:rPr>
          <w:b/>
          <w:bCs/>
        </w:rPr>
      </w:pPr>
    </w:p>
    <w:p w:rsidRPr="00BA2E22" w:rsidR="00AD0E31" w:rsidRDefault="00AD0E31">
      <w:pPr>
        <w:rPr>
          <w:b/>
          <w:bCs/>
        </w:rPr>
      </w:pPr>
    </w:p>
    <w:p w:rsidRPr="00BA2E22" w:rsidR="00842E74" w:rsidRDefault="0083138B">
      <w:pPr>
        <w:rPr>
          <w:b/>
          <w:bCs/>
        </w:rPr>
      </w:pPr>
      <w:r w:rsidRPr="00BA2E22">
        <w:rPr>
          <w:b/>
          <w:bCs/>
        </w:rPr>
        <w:fldChar w:fldCharType="begin"/>
      </w:r>
      <w:r w:rsidRPr="004041E7" w:rsidR="00842E74">
        <w:rPr>
          <w:b/>
          <w:bCs/>
        </w:rPr>
        <w:instrText>ADVANCE \R 0.95</w:instrText>
      </w:r>
      <w:r w:rsidRPr="004041E7">
        <w:rPr>
          <w:b/>
          <w:bCs/>
        </w:rPr>
        <w:fldChar w:fldCharType="end"/>
      </w:r>
      <w:r w:rsidRPr="00BA2E22" w:rsidR="00842E74">
        <w:rPr>
          <w:b/>
          <w:bCs/>
        </w:rPr>
        <w:t xml:space="preserve">17.  If seeking approval not </w:t>
      </w:r>
      <w:r w:rsidRPr="00BA2E22" w:rsidR="00B956BE">
        <w:rPr>
          <w:b/>
          <w:bCs/>
        </w:rPr>
        <w:t xml:space="preserve">to </w:t>
      </w:r>
      <w:r w:rsidRPr="00BA2E22" w:rsidR="00842E74">
        <w:rPr>
          <w:b/>
          <w:bCs/>
        </w:rPr>
        <w:t>display the expiration date for OMB approval of the information collection, explain reasons that display would be inappropriate.</w:t>
      </w:r>
    </w:p>
    <w:p w:rsidRPr="00BA2E22" w:rsidR="00AD0E31" w:rsidP="00AD0E31" w:rsidRDefault="00AD0E31"/>
    <w:p w:rsidRPr="00BA2E22" w:rsidR="00D03DFB" w:rsidRDefault="00AD0E31">
      <w:pPr>
        <w:rPr>
          <w:b/>
          <w:bCs/>
          <w:color w:val="000000"/>
        </w:rPr>
      </w:pPr>
      <w:r w:rsidRPr="00BA2E22">
        <w:t>FEMA will display the expiration date for OMB approval of this information collection.</w:t>
      </w:r>
      <w:r w:rsidRPr="00BA2E22" w:rsidR="0083138B">
        <w:rPr>
          <w:b/>
          <w:bCs/>
          <w:color w:val="000000"/>
        </w:rPr>
        <w:fldChar w:fldCharType="begin"/>
      </w:r>
      <w:r w:rsidRPr="004041E7" w:rsidR="00842E74">
        <w:rPr>
          <w:b/>
          <w:bCs/>
          <w:color w:val="000000"/>
        </w:rPr>
        <w:instrText>ADVANCE \R 0.95</w:instrText>
      </w:r>
      <w:r w:rsidRPr="004041E7" w:rsidR="0083138B">
        <w:rPr>
          <w:b/>
          <w:bCs/>
          <w:color w:val="000000"/>
        </w:rPr>
        <w:fldChar w:fldCharType="end"/>
      </w:r>
    </w:p>
    <w:p w:rsidRPr="00BA2E22" w:rsidR="006B0A61" w:rsidRDefault="006B0A61">
      <w:pPr>
        <w:rPr>
          <w:b/>
          <w:bCs/>
          <w:color w:val="000000"/>
        </w:rPr>
      </w:pPr>
    </w:p>
    <w:p w:rsidRPr="00BA2E22" w:rsidR="006B0A61" w:rsidRDefault="006B0A61">
      <w:pPr>
        <w:rPr>
          <w:b/>
          <w:bCs/>
          <w:color w:val="000000"/>
        </w:rPr>
      </w:pPr>
    </w:p>
    <w:p w:rsidRPr="00BA2E22" w:rsidR="00842E74" w:rsidRDefault="0083138B">
      <w:pPr>
        <w:rPr>
          <w:b/>
          <w:bCs/>
        </w:rPr>
      </w:pPr>
      <w:r w:rsidRPr="00BA2E22">
        <w:rPr>
          <w:b/>
          <w:bCs/>
        </w:rPr>
        <w:fldChar w:fldCharType="begin"/>
      </w:r>
      <w:r w:rsidRPr="0076776B" w:rsidR="00842E74">
        <w:rPr>
          <w:b/>
          <w:bCs/>
        </w:rPr>
        <w:instrText>ADVANCE \R 0.95</w:instrText>
      </w:r>
      <w:r w:rsidRPr="0076776B">
        <w:rPr>
          <w:b/>
          <w:bCs/>
        </w:rPr>
        <w:fldChar w:fldCharType="end"/>
      </w:r>
      <w:r w:rsidRPr="00BA2E22" w:rsidR="00842E74">
        <w:rPr>
          <w:b/>
          <w:bCs/>
        </w:rPr>
        <w:t>18.  Explain each exception to the certification statement identified in Item 19 “Certification for Paperwork Reduction Act Submissions,” of OMB Form 83-I.</w:t>
      </w:r>
    </w:p>
    <w:p w:rsidRPr="00BA2E22" w:rsidR="00842E74" w:rsidRDefault="00842E74">
      <w:pPr>
        <w:rPr>
          <w:b/>
          <w:bCs/>
        </w:rPr>
      </w:pPr>
    </w:p>
    <w:p w:rsidRPr="00BA2E22" w:rsidR="00AD0E31" w:rsidP="00AD0E31" w:rsidRDefault="006317CD">
      <w:pPr>
        <w:rPr>
          <w:b/>
          <w:sz w:val="28"/>
        </w:rPr>
      </w:pPr>
      <w:r w:rsidRPr="00BA2E22">
        <w:t xml:space="preserve">FEMA </w:t>
      </w:r>
      <w:r w:rsidRPr="00BA2E22" w:rsidR="00AD0E31">
        <w:t>does not request an exception to the certification of this information collection.</w:t>
      </w:r>
      <w:r w:rsidRPr="00BA2E22" w:rsidR="00AD0E31">
        <w:rPr>
          <w:b/>
          <w:sz w:val="28"/>
        </w:rPr>
        <w:t xml:space="preserve"> </w:t>
      </w:r>
    </w:p>
    <w:p w:rsidRPr="00BA2E22" w:rsidR="00A43A2C" w:rsidP="00AD0E31" w:rsidRDefault="00A43A2C">
      <w:pPr>
        <w:rPr>
          <w:b/>
          <w:sz w:val="28"/>
        </w:rPr>
      </w:pPr>
    </w:p>
    <w:p w:rsidRPr="00BA2E22" w:rsidR="00AD0E31" w:rsidP="00AD0E31" w:rsidRDefault="00AD0E31">
      <w:pPr>
        <w:rPr>
          <w:b/>
          <w:sz w:val="28"/>
        </w:rPr>
      </w:pPr>
    </w:p>
    <w:p w:rsidRPr="00BA2E22" w:rsidR="00842E74" w:rsidP="00AD0E31" w:rsidRDefault="00842E74">
      <w:pPr>
        <w:rPr>
          <w:b/>
          <w:sz w:val="28"/>
        </w:rPr>
      </w:pPr>
      <w:r w:rsidRPr="00BA2E22">
        <w:rPr>
          <w:b/>
          <w:sz w:val="28"/>
        </w:rPr>
        <w:t>B.  Collections of Information Employing Statistical Methods.</w:t>
      </w:r>
    </w:p>
    <w:p w:rsidRPr="00BA2E22" w:rsidR="00842E74" w:rsidRDefault="0083138B">
      <w:pPr>
        <w:tabs>
          <w:tab w:val="left" w:pos="-720"/>
        </w:tabs>
        <w:suppressAutoHyphens/>
      </w:pPr>
      <w:r w:rsidRPr="00BA2E22">
        <w:fldChar w:fldCharType="begin"/>
      </w:r>
      <w:r w:rsidRPr="0076776B" w:rsidR="00842E74">
        <w:instrText>ADVANCE \R 0.95</w:instrText>
      </w:r>
      <w:r w:rsidRPr="0076776B">
        <w:fldChar w:fldCharType="end"/>
      </w:r>
      <w:r w:rsidRPr="0076776B">
        <w:fldChar w:fldCharType="begin"/>
      </w:r>
      <w:r w:rsidRPr="0076776B" w:rsidR="00842E74">
        <w:instrText>ADVANCE \R 0.95</w:instrText>
      </w:r>
      <w:r w:rsidRPr="0076776B">
        <w:fldChar w:fldCharType="end"/>
      </w:r>
      <w:r w:rsidRPr="00BA2E22" w:rsidR="00842E74">
        <w:tab/>
      </w:r>
    </w:p>
    <w:p w:rsidRPr="00BA2E22" w:rsidR="00251C9E" w:rsidP="00F9549A" w:rsidRDefault="00F9549A">
      <w:pPr>
        <w:tabs>
          <w:tab w:val="left" w:pos="-720"/>
        </w:tabs>
        <w:suppressAutoHyphens/>
      </w:pPr>
      <w:r w:rsidRPr="00BA2E22">
        <w:t>There is no statistical methodology involved in this collection.</w:t>
      </w:r>
      <w:r w:rsidRPr="00BA2E22">
        <w:fldChar w:fldCharType="begin"/>
      </w:r>
      <w:r w:rsidRPr="0076776B">
        <w:instrText>ADVANCE \R 0.95</w:instrText>
      </w:r>
      <w:r w:rsidRPr="0076776B">
        <w:fldChar w:fldCharType="end"/>
      </w:r>
      <w:r w:rsidRPr="0076776B">
        <w:fldChar w:fldCharType="begin"/>
      </w:r>
      <w:r w:rsidRPr="0076776B">
        <w:instrText>ADVANCE \R 0.95</w:instrText>
      </w:r>
      <w:r w:rsidRPr="0076776B">
        <w:fldChar w:fldCharType="end"/>
      </w:r>
    </w:p>
    <w:p w:rsidRPr="00BA2E22" w:rsidR="00A43A2C" w:rsidP="00F9549A" w:rsidRDefault="00A43A2C">
      <w:pPr>
        <w:tabs>
          <w:tab w:val="left" w:pos="-720"/>
        </w:tabs>
        <w:suppressAutoHyphens/>
        <w:rPr>
          <w:b/>
        </w:rPr>
      </w:pPr>
    </w:p>
    <w:sectPr w:rsidRPr="00BA2E22" w:rsidR="00A43A2C" w:rsidSect="0043781B">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681" w:rsidRDefault="00331681">
      <w:r>
        <w:separator/>
      </w:r>
    </w:p>
  </w:endnote>
  <w:endnote w:type="continuationSeparator" w:id="0">
    <w:p w:rsidR="00331681" w:rsidRDefault="0033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3E4" w:rsidRDefault="009513E4"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13E4" w:rsidRDefault="009513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3E4" w:rsidRDefault="009513E4"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150F">
      <w:rPr>
        <w:rStyle w:val="PageNumber"/>
        <w:noProof/>
      </w:rPr>
      <w:t>1</w:t>
    </w:r>
    <w:r>
      <w:rPr>
        <w:rStyle w:val="PageNumber"/>
      </w:rPr>
      <w:fldChar w:fldCharType="end"/>
    </w:r>
  </w:p>
  <w:p w:rsidR="009513E4" w:rsidRDefault="009513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681" w:rsidRDefault="00331681">
      <w:r>
        <w:separator/>
      </w:r>
    </w:p>
  </w:footnote>
  <w:footnote w:type="continuationSeparator" w:id="0">
    <w:p w:rsidR="00331681" w:rsidRDefault="00331681">
      <w:r>
        <w:continuationSeparator/>
      </w:r>
    </w:p>
  </w:footnote>
  <w:footnote w:id="1">
    <w:p w:rsidR="004041E7" w:rsidRPr="00D86ABE" w:rsidRDefault="004041E7" w:rsidP="004041E7">
      <w:pPr>
        <w:pStyle w:val="FootnoteText"/>
        <w:rPr>
          <w:rFonts w:ascii="Calibri" w:hAnsi="Calibri"/>
        </w:rPr>
      </w:pPr>
      <w:r>
        <w:rPr>
          <w:rStyle w:val="FootnoteReference"/>
        </w:rPr>
        <w:footnoteRef/>
      </w:r>
      <w:r>
        <w:t xml:space="preserve"> Bureau of Labor Statistics, Employer Costs for Employee Compensation, Table 1.  “Employer costs per hour worked for employee compensation and costs as a percent of total compensation:  Civilian workers, by major occupational and industry group, March 2020.”  Available at </w:t>
      </w:r>
      <w:hyperlink r:id="rId1" w:history="1">
        <w:r>
          <w:rPr>
            <w:rStyle w:val="Hyperlink"/>
          </w:rPr>
          <w:t>https://www.bls.gov/news.release/archives/ecec_06182020.pdf</w:t>
        </w:r>
      </w:hyperlink>
      <w:r>
        <w:t xml:space="preserve">.  Accessed </w:t>
      </w:r>
      <w:r w:rsidR="008C64C6">
        <w:t>October 13</w:t>
      </w:r>
      <w:r>
        <w:t xml:space="preserve">, 2020.  The wage multiplier is calculated by dividing total compensation for all workers of $37.73 by wages and salaries for all workers of $25.91 per hour yielding a benefits multiplier of approximately 1.46. </w:t>
      </w:r>
    </w:p>
  </w:footnote>
  <w:footnote w:id="2"/>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outline w:val="0"/>
        <w:shadow w:val="0"/>
        <w:emboss w:val="0"/>
        <w:imprint w:val="0"/>
        <w:vanish w:val="0"/>
        <w:sz w:val="24"/>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15:restartNumberingAfterBreak="0">
    <w:nsid w:val="650373BE"/>
    <w:multiLevelType w:val="hybridMultilevel"/>
    <w:tmpl w:val="2BB04B0E"/>
    <w:lvl w:ilvl="0" w:tplc="2B20AEE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4"/>
  </w:num>
  <w:num w:numId="5">
    <w:abstractNumId w:val="1"/>
  </w:num>
  <w:num w:numId="6">
    <w:abstractNumId w:val="8"/>
  </w:num>
  <w:num w:numId="7">
    <w:abstractNumId w:val="5"/>
  </w:num>
  <w:num w:numId="8">
    <w:abstractNumId w:val="11"/>
  </w:num>
  <w:num w:numId="9">
    <w:abstractNumId w:val="0"/>
  </w:num>
  <w:num w:numId="10">
    <w:abstractNumId w:val="13"/>
  </w:num>
  <w:num w:numId="11">
    <w:abstractNumId w:val="12"/>
  </w:num>
  <w:num w:numId="12">
    <w:abstractNumId w:val="4"/>
  </w:num>
  <w:num w:numId="13">
    <w:abstractNumId w:val="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D39"/>
    <w:rsid w:val="00005A09"/>
    <w:rsid w:val="00006EE4"/>
    <w:rsid w:val="00013881"/>
    <w:rsid w:val="00014C9F"/>
    <w:rsid w:val="00020610"/>
    <w:rsid w:val="0002071B"/>
    <w:rsid w:val="00026EB9"/>
    <w:rsid w:val="00030F34"/>
    <w:rsid w:val="000320D1"/>
    <w:rsid w:val="000362DE"/>
    <w:rsid w:val="00036DD6"/>
    <w:rsid w:val="000375D9"/>
    <w:rsid w:val="00040A45"/>
    <w:rsid w:val="000412C5"/>
    <w:rsid w:val="00044629"/>
    <w:rsid w:val="00067A0E"/>
    <w:rsid w:val="00073D0F"/>
    <w:rsid w:val="000811EA"/>
    <w:rsid w:val="00083DBA"/>
    <w:rsid w:val="00086017"/>
    <w:rsid w:val="00087238"/>
    <w:rsid w:val="0009032C"/>
    <w:rsid w:val="00091070"/>
    <w:rsid w:val="000A17F2"/>
    <w:rsid w:val="000A35E1"/>
    <w:rsid w:val="000A6018"/>
    <w:rsid w:val="000B0C3D"/>
    <w:rsid w:val="000B19EC"/>
    <w:rsid w:val="000B2EB7"/>
    <w:rsid w:val="000B349F"/>
    <w:rsid w:val="000B51E8"/>
    <w:rsid w:val="000B6F6E"/>
    <w:rsid w:val="000C0054"/>
    <w:rsid w:val="000C473C"/>
    <w:rsid w:val="000C4F7F"/>
    <w:rsid w:val="000D1754"/>
    <w:rsid w:val="000D522E"/>
    <w:rsid w:val="000D5DDA"/>
    <w:rsid w:val="000D70DB"/>
    <w:rsid w:val="000E0188"/>
    <w:rsid w:val="000E0572"/>
    <w:rsid w:val="000E6D71"/>
    <w:rsid w:val="000F0E33"/>
    <w:rsid w:val="000F1EBE"/>
    <w:rsid w:val="000F4423"/>
    <w:rsid w:val="000F55B2"/>
    <w:rsid w:val="00101568"/>
    <w:rsid w:val="00103274"/>
    <w:rsid w:val="00106F37"/>
    <w:rsid w:val="001073B1"/>
    <w:rsid w:val="00107FC7"/>
    <w:rsid w:val="00113C60"/>
    <w:rsid w:val="00116BB8"/>
    <w:rsid w:val="001178B8"/>
    <w:rsid w:val="001221D4"/>
    <w:rsid w:val="0012366D"/>
    <w:rsid w:val="00134D64"/>
    <w:rsid w:val="00144502"/>
    <w:rsid w:val="00146A21"/>
    <w:rsid w:val="00150404"/>
    <w:rsid w:val="0015054F"/>
    <w:rsid w:val="00151E4E"/>
    <w:rsid w:val="00152605"/>
    <w:rsid w:val="00153A18"/>
    <w:rsid w:val="00155AE9"/>
    <w:rsid w:val="00156752"/>
    <w:rsid w:val="001625B3"/>
    <w:rsid w:val="00163707"/>
    <w:rsid w:val="00163956"/>
    <w:rsid w:val="00164DB6"/>
    <w:rsid w:val="0016607C"/>
    <w:rsid w:val="001702A9"/>
    <w:rsid w:val="00171E5F"/>
    <w:rsid w:val="00172476"/>
    <w:rsid w:val="00176C6C"/>
    <w:rsid w:val="00180092"/>
    <w:rsid w:val="0018177D"/>
    <w:rsid w:val="001820ED"/>
    <w:rsid w:val="00182F07"/>
    <w:rsid w:val="001837B9"/>
    <w:rsid w:val="00183D39"/>
    <w:rsid w:val="0018751A"/>
    <w:rsid w:val="00195D53"/>
    <w:rsid w:val="0019730C"/>
    <w:rsid w:val="001A2DBE"/>
    <w:rsid w:val="001A69A7"/>
    <w:rsid w:val="001A793A"/>
    <w:rsid w:val="001B14C6"/>
    <w:rsid w:val="001B1BB5"/>
    <w:rsid w:val="001B3FB1"/>
    <w:rsid w:val="001B49B8"/>
    <w:rsid w:val="001B4F3E"/>
    <w:rsid w:val="001C0231"/>
    <w:rsid w:val="001C2815"/>
    <w:rsid w:val="001E0DB3"/>
    <w:rsid w:val="001E3F00"/>
    <w:rsid w:val="001E5DA3"/>
    <w:rsid w:val="001F387B"/>
    <w:rsid w:val="001F566A"/>
    <w:rsid w:val="00202789"/>
    <w:rsid w:val="00203276"/>
    <w:rsid w:val="00203AA5"/>
    <w:rsid w:val="00203E8E"/>
    <w:rsid w:val="00205DF0"/>
    <w:rsid w:val="002133D1"/>
    <w:rsid w:val="00213610"/>
    <w:rsid w:val="0021403F"/>
    <w:rsid w:val="002212DD"/>
    <w:rsid w:val="0022270D"/>
    <w:rsid w:val="00225D46"/>
    <w:rsid w:val="00232769"/>
    <w:rsid w:val="00232C69"/>
    <w:rsid w:val="00233D68"/>
    <w:rsid w:val="00234385"/>
    <w:rsid w:val="00235B03"/>
    <w:rsid w:val="002437AD"/>
    <w:rsid w:val="00245FB5"/>
    <w:rsid w:val="00251C9E"/>
    <w:rsid w:val="00253BC5"/>
    <w:rsid w:val="00256A88"/>
    <w:rsid w:val="00257EA0"/>
    <w:rsid w:val="00261DC7"/>
    <w:rsid w:val="002637E5"/>
    <w:rsid w:val="0026549A"/>
    <w:rsid w:val="002723B8"/>
    <w:rsid w:val="0027662B"/>
    <w:rsid w:val="00284795"/>
    <w:rsid w:val="00285158"/>
    <w:rsid w:val="00285C30"/>
    <w:rsid w:val="00290000"/>
    <w:rsid w:val="00295EC6"/>
    <w:rsid w:val="002A4B95"/>
    <w:rsid w:val="002A548B"/>
    <w:rsid w:val="002A574E"/>
    <w:rsid w:val="002A5893"/>
    <w:rsid w:val="002A747F"/>
    <w:rsid w:val="002B0E42"/>
    <w:rsid w:val="002B186C"/>
    <w:rsid w:val="002B43BA"/>
    <w:rsid w:val="002B5778"/>
    <w:rsid w:val="002C2100"/>
    <w:rsid w:val="002D02B7"/>
    <w:rsid w:val="002D0F31"/>
    <w:rsid w:val="002D0FC6"/>
    <w:rsid w:val="002D246A"/>
    <w:rsid w:val="002D5F5B"/>
    <w:rsid w:val="002E48AC"/>
    <w:rsid w:val="002E55C5"/>
    <w:rsid w:val="002E5D97"/>
    <w:rsid w:val="002F441B"/>
    <w:rsid w:val="002F7770"/>
    <w:rsid w:val="00300660"/>
    <w:rsid w:val="00301E7B"/>
    <w:rsid w:val="0030374B"/>
    <w:rsid w:val="00303E9D"/>
    <w:rsid w:val="00305418"/>
    <w:rsid w:val="00305630"/>
    <w:rsid w:val="003076D8"/>
    <w:rsid w:val="00312267"/>
    <w:rsid w:val="00314254"/>
    <w:rsid w:val="0031707F"/>
    <w:rsid w:val="00317B32"/>
    <w:rsid w:val="003231B9"/>
    <w:rsid w:val="00326497"/>
    <w:rsid w:val="00327145"/>
    <w:rsid w:val="00331681"/>
    <w:rsid w:val="00331756"/>
    <w:rsid w:val="00337435"/>
    <w:rsid w:val="0034006B"/>
    <w:rsid w:val="0034013D"/>
    <w:rsid w:val="003434C8"/>
    <w:rsid w:val="00343D41"/>
    <w:rsid w:val="00343DAB"/>
    <w:rsid w:val="00345536"/>
    <w:rsid w:val="00347A7A"/>
    <w:rsid w:val="00347D7F"/>
    <w:rsid w:val="003512AB"/>
    <w:rsid w:val="003563A3"/>
    <w:rsid w:val="00357FE9"/>
    <w:rsid w:val="00360021"/>
    <w:rsid w:val="00360543"/>
    <w:rsid w:val="00361118"/>
    <w:rsid w:val="00361EE7"/>
    <w:rsid w:val="00364F4C"/>
    <w:rsid w:val="00364F58"/>
    <w:rsid w:val="003650EE"/>
    <w:rsid w:val="003662F6"/>
    <w:rsid w:val="00366B0C"/>
    <w:rsid w:val="00372ED0"/>
    <w:rsid w:val="003827FA"/>
    <w:rsid w:val="003850B4"/>
    <w:rsid w:val="00386F5C"/>
    <w:rsid w:val="003970EF"/>
    <w:rsid w:val="003A091C"/>
    <w:rsid w:val="003A18B0"/>
    <w:rsid w:val="003A448D"/>
    <w:rsid w:val="003A6739"/>
    <w:rsid w:val="003A7735"/>
    <w:rsid w:val="003A7825"/>
    <w:rsid w:val="003B5DE9"/>
    <w:rsid w:val="003C34EE"/>
    <w:rsid w:val="003C4806"/>
    <w:rsid w:val="003C49AA"/>
    <w:rsid w:val="003C5386"/>
    <w:rsid w:val="003C6924"/>
    <w:rsid w:val="003D0757"/>
    <w:rsid w:val="003D26AC"/>
    <w:rsid w:val="003D3E8D"/>
    <w:rsid w:val="003D5EF6"/>
    <w:rsid w:val="003E0963"/>
    <w:rsid w:val="003E7F40"/>
    <w:rsid w:val="003F3551"/>
    <w:rsid w:val="004041E7"/>
    <w:rsid w:val="0041074F"/>
    <w:rsid w:val="004129CD"/>
    <w:rsid w:val="00413856"/>
    <w:rsid w:val="004156D9"/>
    <w:rsid w:val="00415FC4"/>
    <w:rsid w:val="00416638"/>
    <w:rsid w:val="004166CE"/>
    <w:rsid w:val="00420655"/>
    <w:rsid w:val="0043110D"/>
    <w:rsid w:val="00433206"/>
    <w:rsid w:val="0043781B"/>
    <w:rsid w:val="004406E7"/>
    <w:rsid w:val="00442E98"/>
    <w:rsid w:val="004548F3"/>
    <w:rsid w:val="00461930"/>
    <w:rsid w:val="00461FB8"/>
    <w:rsid w:val="00463626"/>
    <w:rsid w:val="0046431C"/>
    <w:rsid w:val="00465E3A"/>
    <w:rsid w:val="0046759A"/>
    <w:rsid w:val="0047277E"/>
    <w:rsid w:val="00477020"/>
    <w:rsid w:val="004842F4"/>
    <w:rsid w:val="004856D5"/>
    <w:rsid w:val="004868C2"/>
    <w:rsid w:val="00487609"/>
    <w:rsid w:val="00493840"/>
    <w:rsid w:val="00493C00"/>
    <w:rsid w:val="00494872"/>
    <w:rsid w:val="00495461"/>
    <w:rsid w:val="004A542C"/>
    <w:rsid w:val="004A6DB7"/>
    <w:rsid w:val="004A710F"/>
    <w:rsid w:val="004A7D5A"/>
    <w:rsid w:val="004B0264"/>
    <w:rsid w:val="004B0FC2"/>
    <w:rsid w:val="004B1DE3"/>
    <w:rsid w:val="004B25C8"/>
    <w:rsid w:val="004B31EF"/>
    <w:rsid w:val="004B6C88"/>
    <w:rsid w:val="004C43FA"/>
    <w:rsid w:val="004C4948"/>
    <w:rsid w:val="004C5B57"/>
    <w:rsid w:val="004C5E51"/>
    <w:rsid w:val="004D07C9"/>
    <w:rsid w:val="004D0B35"/>
    <w:rsid w:val="004D4D07"/>
    <w:rsid w:val="004D54FF"/>
    <w:rsid w:val="004E1D16"/>
    <w:rsid w:val="004E27CD"/>
    <w:rsid w:val="004E547B"/>
    <w:rsid w:val="004E6038"/>
    <w:rsid w:val="004E6947"/>
    <w:rsid w:val="004E7128"/>
    <w:rsid w:val="004F2D03"/>
    <w:rsid w:val="004F2D91"/>
    <w:rsid w:val="004F3977"/>
    <w:rsid w:val="004F3F45"/>
    <w:rsid w:val="00502470"/>
    <w:rsid w:val="005025EC"/>
    <w:rsid w:val="005029DA"/>
    <w:rsid w:val="005045CD"/>
    <w:rsid w:val="005054B2"/>
    <w:rsid w:val="00506027"/>
    <w:rsid w:val="0051135A"/>
    <w:rsid w:val="00513A7D"/>
    <w:rsid w:val="00513CDD"/>
    <w:rsid w:val="0051498E"/>
    <w:rsid w:val="0051593B"/>
    <w:rsid w:val="005216FA"/>
    <w:rsid w:val="00521A18"/>
    <w:rsid w:val="005222AF"/>
    <w:rsid w:val="00523C63"/>
    <w:rsid w:val="00524D3D"/>
    <w:rsid w:val="0052599D"/>
    <w:rsid w:val="005271D8"/>
    <w:rsid w:val="0054213A"/>
    <w:rsid w:val="00543ED5"/>
    <w:rsid w:val="00545583"/>
    <w:rsid w:val="0055091D"/>
    <w:rsid w:val="005649E9"/>
    <w:rsid w:val="0057294B"/>
    <w:rsid w:val="00576899"/>
    <w:rsid w:val="005800AE"/>
    <w:rsid w:val="00584B76"/>
    <w:rsid w:val="00585865"/>
    <w:rsid w:val="005926EA"/>
    <w:rsid w:val="00592840"/>
    <w:rsid w:val="00594CE3"/>
    <w:rsid w:val="005A2E71"/>
    <w:rsid w:val="005A3789"/>
    <w:rsid w:val="005A3B2C"/>
    <w:rsid w:val="005A56D5"/>
    <w:rsid w:val="005B2A45"/>
    <w:rsid w:val="005B2D74"/>
    <w:rsid w:val="005C0255"/>
    <w:rsid w:val="005C2D76"/>
    <w:rsid w:val="005C41F4"/>
    <w:rsid w:val="005C48E9"/>
    <w:rsid w:val="005D4DB6"/>
    <w:rsid w:val="005E180D"/>
    <w:rsid w:val="005E1F80"/>
    <w:rsid w:val="005E21C2"/>
    <w:rsid w:val="005E2DE1"/>
    <w:rsid w:val="005E2FA1"/>
    <w:rsid w:val="005E44AC"/>
    <w:rsid w:val="005E50C7"/>
    <w:rsid w:val="005F0197"/>
    <w:rsid w:val="005F0D9C"/>
    <w:rsid w:val="005F5855"/>
    <w:rsid w:val="005F79C4"/>
    <w:rsid w:val="00600089"/>
    <w:rsid w:val="00600B9E"/>
    <w:rsid w:val="00601714"/>
    <w:rsid w:val="006019E6"/>
    <w:rsid w:val="00602B31"/>
    <w:rsid w:val="00603E77"/>
    <w:rsid w:val="00621688"/>
    <w:rsid w:val="00623B04"/>
    <w:rsid w:val="006317CD"/>
    <w:rsid w:val="00633DA0"/>
    <w:rsid w:val="00636A5A"/>
    <w:rsid w:val="00642130"/>
    <w:rsid w:val="006540F6"/>
    <w:rsid w:val="0065699A"/>
    <w:rsid w:val="00656BB2"/>
    <w:rsid w:val="0066074B"/>
    <w:rsid w:val="00661114"/>
    <w:rsid w:val="00671E8F"/>
    <w:rsid w:val="00673158"/>
    <w:rsid w:val="00673384"/>
    <w:rsid w:val="0067561A"/>
    <w:rsid w:val="006762A3"/>
    <w:rsid w:val="00677CAD"/>
    <w:rsid w:val="00680A3B"/>
    <w:rsid w:val="00695E9C"/>
    <w:rsid w:val="00696B52"/>
    <w:rsid w:val="00697456"/>
    <w:rsid w:val="00697557"/>
    <w:rsid w:val="006978C9"/>
    <w:rsid w:val="006A12F8"/>
    <w:rsid w:val="006A325E"/>
    <w:rsid w:val="006A375E"/>
    <w:rsid w:val="006A4787"/>
    <w:rsid w:val="006A6154"/>
    <w:rsid w:val="006B0A61"/>
    <w:rsid w:val="006B1272"/>
    <w:rsid w:val="006B296C"/>
    <w:rsid w:val="006B3582"/>
    <w:rsid w:val="006B7DE7"/>
    <w:rsid w:val="006C04FF"/>
    <w:rsid w:val="006C5B67"/>
    <w:rsid w:val="006C5E4A"/>
    <w:rsid w:val="006C6989"/>
    <w:rsid w:val="006D21D1"/>
    <w:rsid w:val="006D7B65"/>
    <w:rsid w:val="006E0C28"/>
    <w:rsid w:val="006E13F7"/>
    <w:rsid w:val="006E24AC"/>
    <w:rsid w:val="006E34F4"/>
    <w:rsid w:val="006E4F0E"/>
    <w:rsid w:val="006F2146"/>
    <w:rsid w:val="006F39BB"/>
    <w:rsid w:val="006F410C"/>
    <w:rsid w:val="006F4287"/>
    <w:rsid w:val="006F49E8"/>
    <w:rsid w:val="006F540E"/>
    <w:rsid w:val="006F71FA"/>
    <w:rsid w:val="00700A84"/>
    <w:rsid w:val="00703100"/>
    <w:rsid w:val="007148B0"/>
    <w:rsid w:val="007171D8"/>
    <w:rsid w:val="007210D6"/>
    <w:rsid w:val="00721D06"/>
    <w:rsid w:val="0072212B"/>
    <w:rsid w:val="00723AC5"/>
    <w:rsid w:val="007263B4"/>
    <w:rsid w:val="00727DB2"/>
    <w:rsid w:val="00731BC0"/>
    <w:rsid w:val="00732CC8"/>
    <w:rsid w:val="007404A1"/>
    <w:rsid w:val="00740F51"/>
    <w:rsid w:val="007450F6"/>
    <w:rsid w:val="00751F45"/>
    <w:rsid w:val="00752AFE"/>
    <w:rsid w:val="00755CAC"/>
    <w:rsid w:val="007561BA"/>
    <w:rsid w:val="00756835"/>
    <w:rsid w:val="00756A89"/>
    <w:rsid w:val="00761BFF"/>
    <w:rsid w:val="007633DC"/>
    <w:rsid w:val="00763992"/>
    <w:rsid w:val="007672DB"/>
    <w:rsid w:val="0076776B"/>
    <w:rsid w:val="00772A0C"/>
    <w:rsid w:val="007735D9"/>
    <w:rsid w:val="00776A14"/>
    <w:rsid w:val="00776D19"/>
    <w:rsid w:val="00792228"/>
    <w:rsid w:val="0079404D"/>
    <w:rsid w:val="00797BC2"/>
    <w:rsid w:val="007A4AAF"/>
    <w:rsid w:val="007B0A1A"/>
    <w:rsid w:val="007B2308"/>
    <w:rsid w:val="007C2C26"/>
    <w:rsid w:val="007C6EB3"/>
    <w:rsid w:val="007C7F9F"/>
    <w:rsid w:val="007D1FB4"/>
    <w:rsid w:val="007D2D46"/>
    <w:rsid w:val="007D6F59"/>
    <w:rsid w:val="007D7479"/>
    <w:rsid w:val="007E15F6"/>
    <w:rsid w:val="007F0793"/>
    <w:rsid w:val="007F3A18"/>
    <w:rsid w:val="007F4BD6"/>
    <w:rsid w:val="007F525E"/>
    <w:rsid w:val="008032EF"/>
    <w:rsid w:val="00804C62"/>
    <w:rsid w:val="00804E38"/>
    <w:rsid w:val="0080518C"/>
    <w:rsid w:val="00805896"/>
    <w:rsid w:val="008119FD"/>
    <w:rsid w:val="008148C3"/>
    <w:rsid w:val="00816CEF"/>
    <w:rsid w:val="00822535"/>
    <w:rsid w:val="00822811"/>
    <w:rsid w:val="00824286"/>
    <w:rsid w:val="0083138B"/>
    <w:rsid w:val="0083693F"/>
    <w:rsid w:val="008413DE"/>
    <w:rsid w:val="00841BC5"/>
    <w:rsid w:val="00842E74"/>
    <w:rsid w:val="00853D17"/>
    <w:rsid w:val="00861627"/>
    <w:rsid w:val="0087097D"/>
    <w:rsid w:val="00870C51"/>
    <w:rsid w:val="00873A75"/>
    <w:rsid w:val="00877531"/>
    <w:rsid w:val="00880B0E"/>
    <w:rsid w:val="00882FF9"/>
    <w:rsid w:val="00883BF5"/>
    <w:rsid w:val="008850FF"/>
    <w:rsid w:val="00890881"/>
    <w:rsid w:val="00891CCF"/>
    <w:rsid w:val="008A2E6E"/>
    <w:rsid w:val="008A465C"/>
    <w:rsid w:val="008B10FE"/>
    <w:rsid w:val="008B39E5"/>
    <w:rsid w:val="008B50BD"/>
    <w:rsid w:val="008C5A9B"/>
    <w:rsid w:val="008C64C6"/>
    <w:rsid w:val="008D08F6"/>
    <w:rsid w:val="008D27C0"/>
    <w:rsid w:val="008D4F39"/>
    <w:rsid w:val="008D5077"/>
    <w:rsid w:val="008E4DB8"/>
    <w:rsid w:val="008F4918"/>
    <w:rsid w:val="008F5344"/>
    <w:rsid w:val="0090080C"/>
    <w:rsid w:val="009037B0"/>
    <w:rsid w:val="0090478D"/>
    <w:rsid w:val="009115BD"/>
    <w:rsid w:val="009118D8"/>
    <w:rsid w:val="009139B5"/>
    <w:rsid w:val="00913E19"/>
    <w:rsid w:val="00917918"/>
    <w:rsid w:val="00920A21"/>
    <w:rsid w:val="0092154E"/>
    <w:rsid w:val="00922261"/>
    <w:rsid w:val="00924102"/>
    <w:rsid w:val="00925E5C"/>
    <w:rsid w:val="009276E1"/>
    <w:rsid w:val="009301A8"/>
    <w:rsid w:val="00930CD1"/>
    <w:rsid w:val="00934767"/>
    <w:rsid w:val="0093589A"/>
    <w:rsid w:val="00936956"/>
    <w:rsid w:val="00937E46"/>
    <w:rsid w:val="00940EAA"/>
    <w:rsid w:val="0094233D"/>
    <w:rsid w:val="0095081D"/>
    <w:rsid w:val="009513E4"/>
    <w:rsid w:val="009577EB"/>
    <w:rsid w:val="00973F3A"/>
    <w:rsid w:val="00974AAB"/>
    <w:rsid w:val="00974EA8"/>
    <w:rsid w:val="009779B0"/>
    <w:rsid w:val="00981D8B"/>
    <w:rsid w:val="009925CC"/>
    <w:rsid w:val="00996C42"/>
    <w:rsid w:val="009976C9"/>
    <w:rsid w:val="009A311F"/>
    <w:rsid w:val="009A446C"/>
    <w:rsid w:val="009B26A8"/>
    <w:rsid w:val="009B2B2F"/>
    <w:rsid w:val="009B3FB2"/>
    <w:rsid w:val="009B4E88"/>
    <w:rsid w:val="009B69D3"/>
    <w:rsid w:val="009D3030"/>
    <w:rsid w:val="009D59D6"/>
    <w:rsid w:val="009E0B2D"/>
    <w:rsid w:val="009E34A7"/>
    <w:rsid w:val="009E477C"/>
    <w:rsid w:val="009F37C2"/>
    <w:rsid w:val="009F46CE"/>
    <w:rsid w:val="009F5345"/>
    <w:rsid w:val="009F53B0"/>
    <w:rsid w:val="00A032B4"/>
    <w:rsid w:val="00A04797"/>
    <w:rsid w:val="00A07716"/>
    <w:rsid w:val="00A150DC"/>
    <w:rsid w:val="00A21D22"/>
    <w:rsid w:val="00A21F9E"/>
    <w:rsid w:val="00A236D1"/>
    <w:rsid w:val="00A24F49"/>
    <w:rsid w:val="00A307F4"/>
    <w:rsid w:val="00A31397"/>
    <w:rsid w:val="00A319AE"/>
    <w:rsid w:val="00A3624A"/>
    <w:rsid w:val="00A368B6"/>
    <w:rsid w:val="00A37286"/>
    <w:rsid w:val="00A3772E"/>
    <w:rsid w:val="00A41026"/>
    <w:rsid w:val="00A41375"/>
    <w:rsid w:val="00A420B8"/>
    <w:rsid w:val="00A43A2C"/>
    <w:rsid w:val="00A44D9E"/>
    <w:rsid w:val="00A45A03"/>
    <w:rsid w:val="00A5022A"/>
    <w:rsid w:val="00A643EA"/>
    <w:rsid w:val="00A65189"/>
    <w:rsid w:val="00A65881"/>
    <w:rsid w:val="00A70B92"/>
    <w:rsid w:val="00A80EEB"/>
    <w:rsid w:val="00A81984"/>
    <w:rsid w:val="00A821CD"/>
    <w:rsid w:val="00A92E2E"/>
    <w:rsid w:val="00AA148D"/>
    <w:rsid w:val="00AA1AA2"/>
    <w:rsid w:val="00AA5603"/>
    <w:rsid w:val="00AA64ED"/>
    <w:rsid w:val="00AB0061"/>
    <w:rsid w:val="00AB1FE9"/>
    <w:rsid w:val="00AB3B93"/>
    <w:rsid w:val="00AB7D39"/>
    <w:rsid w:val="00AC0DE9"/>
    <w:rsid w:val="00AC10B1"/>
    <w:rsid w:val="00AC1E44"/>
    <w:rsid w:val="00AC27FE"/>
    <w:rsid w:val="00AC2CC0"/>
    <w:rsid w:val="00AC4850"/>
    <w:rsid w:val="00AC5102"/>
    <w:rsid w:val="00AC69DE"/>
    <w:rsid w:val="00AD0E31"/>
    <w:rsid w:val="00AD6B24"/>
    <w:rsid w:val="00AD6CE4"/>
    <w:rsid w:val="00AD71DC"/>
    <w:rsid w:val="00AE0004"/>
    <w:rsid w:val="00AE00E8"/>
    <w:rsid w:val="00AE0F52"/>
    <w:rsid w:val="00AE4FDF"/>
    <w:rsid w:val="00AE532E"/>
    <w:rsid w:val="00AF03BA"/>
    <w:rsid w:val="00AF1BC7"/>
    <w:rsid w:val="00AF202D"/>
    <w:rsid w:val="00AF3880"/>
    <w:rsid w:val="00AF70A0"/>
    <w:rsid w:val="00B00F21"/>
    <w:rsid w:val="00B032E9"/>
    <w:rsid w:val="00B050CD"/>
    <w:rsid w:val="00B05348"/>
    <w:rsid w:val="00B130DE"/>
    <w:rsid w:val="00B13CCF"/>
    <w:rsid w:val="00B2407A"/>
    <w:rsid w:val="00B3381C"/>
    <w:rsid w:val="00B35EAD"/>
    <w:rsid w:val="00B36723"/>
    <w:rsid w:val="00B37E84"/>
    <w:rsid w:val="00B40AA9"/>
    <w:rsid w:val="00B45432"/>
    <w:rsid w:val="00B46321"/>
    <w:rsid w:val="00B467FC"/>
    <w:rsid w:val="00B534D9"/>
    <w:rsid w:val="00B56058"/>
    <w:rsid w:val="00B5668B"/>
    <w:rsid w:val="00B666DB"/>
    <w:rsid w:val="00B67BE6"/>
    <w:rsid w:val="00B70AC2"/>
    <w:rsid w:val="00B722CD"/>
    <w:rsid w:val="00B73775"/>
    <w:rsid w:val="00B73A6F"/>
    <w:rsid w:val="00B75858"/>
    <w:rsid w:val="00B7598F"/>
    <w:rsid w:val="00B77E9C"/>
    <w:rsid w:val="00B870AD"/>
    <w:rsid w:val="00B956BE"/>
    <w:rsid w:val="00BA2E22"/>
    <w:rsid w:val="00BA5353"/>
    <w:rsid w:val="00BB1AAF"/>
    <w:rsid w:val="00BB2CA1"/>
    <w:rsid w:val="00BB588E"/>
    <w:rsid w:val="00BC4899"/>
    <w:rsid w:val="00BC555D"/>
    <w:rsid w:val="00BC69B9"/>
    <w:rsid w:val="00BD7D79"/>
    <w:rsid w:val="00BE1160"/>
    <w:rsid w:val="00BF19EE"/>
    <w:rsid w:val="00BF4DF2"/>
    <w:rsid w:val="00C02279"/>
    <w:rsid w:val="00C03C7B"/>
    <w:rsid w:val="00C03D61"/>
    <w:rsid w:val="00C1100C"/>
    <w:rsid w:val="00C121C1"/>
    <w:rsid w:val="00C2110B"/>
    <w:rsid w:val="00C23A1C"/>
    <w:rsid w:val="00C247E5"/>
    <w:rsid w:val="00C27E4C"/>
    <w:rsid w:val="00C309B7"/>
    <w:rsid w:val="00C313FA"/>
    <w:rsid w:val="00C3147A"/>
    <w:rsid w:val="00C32E45"/>
    <w:rsid w:val="00C33505"/>
    <w:rsid w:val="00C469AA"/>
    <w:rsid w:val="00C5229C"/>
    <w:rsid w:val="00C633DB"/>
    <w:rsid w:val="00C67345"/>
    <w:rsid w:val="00C67A7F"/>
    <w:rsid w:val="00C76727"/>
    <w:rsid w:val="00C76DDA"/>
    <w:rsid w:val="00C80B43"/>
    <w:rsid w:val="00C90E05"/>
    <w:rsid w:val="00C91393"/>
    <w:rsid w:val="00C94212"/>
    <w:rsid w:val="00C94571"/>
    <w:rsid w:val="00C948B4"/>
    <w:rsid w:val="00C950FE"/>
    <w:rsid w:val="00C95DDA"/>
    <w:rsid w:val="00CA7C19"/>
    <w:rsid w:val="00CB06DC"/>
    <w:rsid w:val="00CB1650"/>
    <w:rsid w:val="00CB49A4"/>
    <w:rsid w:val="00CB53D1"/>
    <w:rsid w:val="00CC2A94"/>
    <w:rsid w:val="00CC308F"/>
    <w:rsid w:val="00CD0895"/>
    <w:rsid w:val="00CD0CD6"/>
    <w:rsid w:val="00CE2679"/>
    <w:rsid w:val="00CF2BC7"/>
    <w:rsid w:val="00CF4801"/>
    <w:rsid w:val="00CF7551"/>
    <w:rsid w:val="00CF79F1"/>
    <w:rsid w:val="00D003AA"/>
    <w:rsid w:val="00D0147E"/>
    <w:rsid w:val="00D03DFB"/>
    <w:rsid w:val="00D0417E"/>
    <w:rsid w:val="00D156DA"/>
    <w:rsid w:val="00D158A9"/>
    <w:rsid w:val="00D16628"/>
    <w:rsid w:val="00D208B5"/>
    <w:rsid w:val="00D20C32"/>
    <w:rsid w:val="00D24783"/>
    <w:rsid w:val="00D340D8"/>
    <w:rsid w:val="00D3643C"/>
    <w:rsid w:val="00D43948"/>
    <w:rsid w:val="00D439F8"/>
    <w:rsid w:val="00D465CD"/>
    <w:rsid w:val="00D473F6"/>
    <w:rsid w:val="00D501E5"/>
    <w:rsid w:val="00D5698B"/>
    <w:rsid w:val="00D60A23"/>
    <w:rsid w:val="00D60C1B"/>
    <w:rsid w:val="00D61F7A"/>
    <w:rsid w:val="00D64E34"/>
    <w:rsid w:val="00D651AF"/>
    <w:rsid w:val="00D713E7"/>
    <w:rsid w:val="00D75493"/>
    <w:rsid w:val="00D951D4"/>
    <w:rsid w:val="00D97D6D"/>
    <w:rsid w:val="00DA7057"/>
    <w:rsid w:val="00DA72BA"/>
    <w:rsid w:val="00DB084D"/>
    <w:rsid w:val="00DB11A9"/>
    <w:rsid w:val="00DB5B61"/>
    <w:rsid w:val="00DB6EC3"/>
    <w:rsid w:val="00DB77AA"/>
    <w:rsid w:val="00DB7CE8"/>
    <w:rsid w:val="00DC21BC"/>
    <w:rsid w:val="00DD0BCE"/>
    <w:rsid w:val="00DE0C43"/>
    <w:rsid w:val="00DE1906"/>
    <w:rsid w:val="00DE1AE9"/>
    <w:rsid w:val="00DE3BCA"/>
    <w:rsid w:val="00E014CA"/>
    <w:rsid w:val="00E0354C"/>
    <w:rsid w:val="00E12409"/>
    <w:rsid w:val="00E13E97"/>
    <w:rsid w:val="00E14BCC"/>
    <w:rsid w:val="00E16E36"/>
    <w:rsid w:val="00E202DC"/>
    <w:rsid w:val="00E21F1B"/>
    <w:rsid w:val="00E244DE"/>
    <w:rsid w:val="00E27455"/>
    <w:rsid w:val="00E2762F"/>
    <w:rsid w:val="00E30CA2"/>
    <w:rsid w:val="00E30D41"/>
    <w:rsid w:val="00E32AE4"/>
    <w:rsid w:val="00E350C8"/>
    <w:rsid w:val="00E35FFB"/>
    <w:rsid w:val="00E37AEF"/>
    <w:rsid w:val="00E41A43"/>
    <w:rsid w:val="00E4313E"/>
    <w:rsid w:val="00E53BEA"/>
    <w:rsid w:val="00E60314"/>
    <w:rsid w:val="00E61C7D"/>
    <w:rsid w:val="00E6378E"/>
    <w:rsid w:val="00E66E69"/>
    <w:rsid w:val="00E66F50"/>
    <w:rsid w:val="00E75150"/>
    <w:rsid w:val="00E753E8"/>
    <w:rsid w:val="00E766E9"/>
    <w:rsid w:val="00E81A89"/>
    <w:rsid w:val="00E83C29"/>
    <w:rsid w:val="00E85166"/>
    <w:rsid w:val="00E863D5"/>
    <w:rsid w:val="00E92CC7"/>
    <w:rsid w:val="00E94C4D"/>
    <w:rsid w:val="00E9722E"/>
    <w:rsid w:val="00E978AD"/>
    <w:rsid w:val="00EA1A7C"/>
    <w:rsid w:val="00EA6CF7"/>
    <w:rsid w:val="00EB2642"/>
    <w:rsid w:val="00EB737E"/>
    <w:rsid w:val="00EC27FB"/>
    <w:rsid w:val="00ED24C1"/>
    <w:rsid w:val="00ED2B9E"/>
    <w:rsid w:val="00ED702D"/>
    <w:rsid w:val="00EF5BB2"/>
    <w:rsid w:val="00EF7222"/>
    <w:rsid w:val="00EF77B8"/>
    <w:rsid w:val="00F03D09"/>
    <w:rsid w:val="00F11E32"/>
    <w:rsid w:val="00F3080D"/>
    <w:rsid w:val="00F36A79"/>
    <w:rsid w:val="00F37572"/>
    <w:rsid w:val="00F42D8D"/>
    <w:rsid w:val="00F445A3"/>
    <w:rsid w:val="00F44B32"/>
    <w:rsid w:val="00F461C9"/>
    <w:rsid w:val="00F61123"/>
    <w:rsid w:val="00F642D5"/>
    <w:rsid w:val="00F66B0A"/>
    <w:rsid w:val="00F70739"/>
    <w:rsid w:val="00F757C9"/>
    <w:rsid w:val="00F869B0"/>
    <w:rsid w:val="00F86B40"/>
    <w:rsid w:val="00F90563"/>
    <w:rsid w:val="00F92018"/>
    <w:rsid w:val="00F926C4"/>
    <w:rsid w:val="00F9549A"/>
    <w:rsid w:val="00FA209A"/>
    <w:rsid w:val="00FA6022"/>
    <w:rsid w:val="00FB2514"/>
    <w:rsid w:val="00FB4443"/>
    <w:rsid w:val="00FB459F"/>
    <w:rsid w:val="00FB6732"/>
    <w:rsid w:val="00FC32F3"/>
    <w:rsid w:val="00FC427A"/>
    <w:rsid w:val="00FC4456"/>
    <w:rsid w:val="00FC577B"/>
    <w:rsid w:val="00FC590F"/>
    <w:rsid w:val="00FC7791"/>
    <w:rsid w:val="00FD0189"/>
    <w:rsid w:val="00FD0640"/>
    <w:rsid w:val="00FD076E"/>
    <w:rsid w:val="00FD150F"/>
    <w:rsid w:val="00FD6C8B"/>
    <w:rsid w:val="00FE0046"/>
    <w:rsid w:val="00FE1C6F"/>
    <w:rsid w:val="00FE1F2E"/>
    <w:rsid w:val="00FE2630"/>
    <w:rsid w:val="00FF07C3"/>
    <w:rsid w:val="00FF1303"/>
    <w:rsid w:val="00FF1976"/>
    <w:rsid w:val="00FF322E"/>
    <w:rsid w:val="00FF51DD"/>
    <w:rsid w:val="00FF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75B8AB-9180-49E8-B068-6D68279F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A18"/>
    <w:rPr>
      <w:sz w:val="24"/>
      <w:szCs w:val="24"/>
    </w:rPr>
  </w:style>
  <w:style w:type="paragraph" w:styleId="Heading1">
    <w:name w:val="heading 1"/>
    <w:basedOn w:val="Normal"/>
    <w:next w:val="Normal"/>
    <w:qFormat/>
    <w:rsid w:val="002D5F5B"/>
    <w:pPr>
      <w:keepNext/>
      <w:tabs>
        <w:tab w:val="left" w:pos="-720"/>
      </w:tabs>
      <w:suppressAutoHyphens/>
      <w:outlineLvl w:val="0"/>
    </w:pPr>
    <w:rPr>
      <w:b/>
      <w:sz w:val="28"/>
      <w:szCs w:val="20"/>
    </w:rPr>
  </w:style>
  <w:style w:type="paragraph" w:styleId="Heading2">
    <w:name w:val="heading 2"/>
    <w:basedOn w:val="Normal"/>
    <w:next w:val="Normal"/>
    <w:qFormat/>
    <w:rsid w:val="002D5F5B"/>
    <w:pPr>
      <w:keepNext/>
      <w:jc w:val="center"/>
      <w:outlineLvl w:val="1"/>
    </w:pPr>
    <w:rPr>
      <w:b/>
      <w:bCs/>
      <w:sz w:val="2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5F5B"/>
    <w:pPr>
      <w:suppressAutoHyphens/>
      <w:jc w:val="center"/>
    </w:pPr>
    <w:rPr>
      <w:b/>
      <w:sz w:val="32"/>
      <w:szCs w:val="20"/>
    </w:rPr>
  </w:style>
  <w:style w:type="paragraph" w:styleId="BodyText3">
    <w:name w:val="Body Text 3"/>
    <w:basedOn w:val="Normal"/>
    <w:rsid w:val="002D5F5B"/>
    <w:pPr>
      <w:shd w:val="pct25" w:color="auto" w:fill="auto"/>
      <w:tabs>
        <w:tab w:val="left" w:pos="-720"/>
        <w:tab w:val="left" w:pos="720"/>
      </w:tabs>
      <w:suppressAutoHyphens/>
    </w:pPr>
    <w:rPr>
      <w:sz w:val="26"/>
      <w:szCs w:val="20"/>
    </w:rPr>
  </w:style>
  <w:style w:type="character" w:styleId="Hyperlink">
    <w:name w:val="Hyperlink"/>
    <w:rsid w:val="002D5F5B"/>
    <w:rPr>
      <w:color w:val="0000FF"/>
      <w:u w:val="single"/>
    </w:rPr>
  </w:style>
  <w:style w:type="paragraph" w:styleId="BodyText">
    <w:name w:val="Body Text"/>
    <w:basedOn w:val="Normal"/>
    <w:rsid w:val="002D5F5B"/>
    <w:pPr>
      <w:shd w:val="pct25" w:color="auto" w:fill="FFFFFF"/>
      <w:tabs>
        <w:tab w:val="left" w:pos="-720"/>
      </w:tabs>
      <w:suppressAutoHyphens/>
    </w:pPr>
    <w:rPr>
      <w:sz w:val="26"/>
    </w:rPr>
  </w:style>
  <w:style w:type="paragraph" w:styleId="BodyTextIndent">
    <w:name w:val="Body Text Indent"/>
    <w:basedOn w:val="Normal"/>
    <w:rsid w:val="002D5F5B"/>
    <w:pPr>
      <w:shd w:val="pct25" w:color="auto" w:fill="FFFFFF"/>
      <w:tabs>
        <w:tab w:val="left" w:pos="-720"/>
      </w:tabs>
      <w:suppressAutoHyphens/>
      <w:ind w:left="510"/>
    </w:pPr>
    <w:rPr>
      <w:sz w:val="26"/>
      <w:szCs w:val="20"/>
    </w:rPr>
  </w:style>
  <w:style w:type="paragraph" w:styleId="BodyText2">
    <w:name w:val="Body Text 2"/>
    <w:basedOn w:val="Normal"/>
    <w:rsid w:val="002D5F5B"/>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D5F5B"/>
    <w:pPr>
      <w:tabs>
        <w:tab w:val="center" w:pos="4320"/>
        <w:tab w:val="right" w:pos="8640"/>
      </w:tabs>
    </w:pPr>
    <w:rPr>
      <w:lang w:val="x-none" w:eastAsia="x-none"/>
    </w:rPr>
  </w:style>
  <w:style w:type="character" w:styleId="PageNumber">
    <w:name w:val="page number"/>
    <w:basedOn w:val="DefaultParagraphFont"/>
    <w:rsid w:val="002D5F5B"/>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rPr>
      <w:lang w:val="x-none" w:eastAsia="x-none"/>
    </w:r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rPr>
      <w:lang w:val="x-none" w:eastAsia="x-none"/>
    </w:r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customStyle="1" w:styleId="CharCharCharCharCharCharCharCharCharCharCharChar1CharCharChar1Char">
    <w:name w:val="Char Char Char Char Char Char Char Char Char Char Char Char1 Char Char Char1 Char"/>
    <w:basedOn w:val="Normal"/>
    <w:autoRedefine/>
    <w:semiHidden/>
    <w:rsid w:val="004156D9"/>
    <w:pPr>
      <w:widowControl w:val="0"/>
      <w:spacing w:before="80" w:after="80"/>
      <w:ind w:left="4320"/>
      <w:jc w:val="both"/>
    </w:pPr>
    <w:rPr>
      <w:rFonts w:cs="Arial"/>
      <w:bCs/>
    </w:rPr>
  </w:style>
  <w:style w:type="character" w:styleId="CommentReference">
    <w:name w:val="annotation reference"/>
    <w:uiPriority w:val="99"/>
    <w:rsid w:val="004156D9"/>
    <w:rPr>
      <w:sz w:val="16"/>
      <w:szCs w:val="16"/>
    </w:rPr>
  </w:style>
  <w:style w:type="paragraph" w:styleId="CommentText">
    <w:name w:val="annotation text"/>
    <w:basedOn w:val="Normal"/>
    <w:link w:val="CommentTextChar"/>
    <w:rsid w:val="004156D9"/>
    <w:rPr>
      <w:sz w:val="20"/>
      <w:szCs w:val="20"/>
    </w:rPr>
  </w:style>
  <w:style w:type="character" w:customStyle="1" w:styleId="CommentTextChar">
    <w:name w:val="Comment Text Char"/>
    <w:basedOn w:val="DefaultParagraphFont"/>
    <w:link w:val="CommentText"/>
    <w:rsid w:val="004156D9"/>
  </w:style>
  <w:style w:type="paragraph" w:styleId="CommentSubject">
    <w:name w:val="annotation subject"/>
    <w:basedOn w:val="CommentText"/>
    <w:next w:val="CommentText"/>
    <w:link w:val="CommentSubjectChar"/>
    <w:rsid w:val="004156D9"/>
    <w:rPr>
      <w:b/>
      <w:bCs/>
      <w:lang w:val="x-none" w:eastAsia="x-none"/>
    </w:rPr>
  </w:style>
  <w:style w:type="character" w:customStyle="1" w:styleId="CommentSubjectChar">
    <w:name w:val="Comment Subject Char"/>
    <w:link w:val="CommentSubject"/>
    <w:rsid w:val="004156D9"/>
    <w:rPr>
      <w:b/>
      <w:bCs/>
    </w:rPr>
  </w:style>
  <w:style w:type="paragraph" w:styleId="Revision">
    <w:name w:val="Revision"/>
    <w:hidden/>
    <w:uiPriority w:val="99"/>
    <w:semiHidden/>
    <w:rsid w:val="00086017"/>
    <w:rPr>
      <w:sz w:val="24"/>
      <w:szCs w:val="24"/>
    </w:rPr>
  </w:style>
  <w:style w:type="paragraph" w:customStyle="1" w:styleId="C2Text1">
    <w:name w:val="C2 Text 1"/>
    <w:basedOn w:val="Normal"/>
    <w:next w:val="Normal"/>
    <w:uiPriority w:val="99"/>
    <w:rsid w:val="00D439F8"/>
    <w:pPr>
      <w:autoSpaceDE w:val="0"/>
      <w:autoSpaceDN w:val="0"/>
      <w:adjustRightInd w:val="0"/>
    </w:pPr>
    <w:rPr>
      <w:rFonts w:ascii="Arial" w:hAnsi="Arial" w:cs="Arial"/>
    </w:rPr>
  </w:style>
  <w:style w:type="character" w:customStyle="1" w:styleId="FooterChar">
    <w:name w:val="Footer Char"/>
    <w:link w:val="Footer"/>
    <w:rsid w:val="0041074F"/>
    <w:rPr>
      <w:sz w:val="24"/>
      <w:szCs w:val="24"/>
    </w:rPr>
  </w:style>
  <w:style w:type="character" w:styleId="FollowedHyperlink">
    <w:name w:val="FollowedHyperlink"/>
    <w:rsid w:val="008E4DB8"/>
    <w:rPr>
      <w:color w:val="800080"/>
      <w:u w:val="single"/>
    </w:rPr>
  </w:style>
  <w:style w:type="paragraph" w:styleId="FootnoteText">
    <w:name w:val="footnote text"/>
    <w:basedOn w:val="Normal"/>
    <w:link w:val="FootnoteTextChar"/>
    <w:uiPriority w:val="99"/>
    <w:rsid w:val="00D24783"/>
    <w:rPr>
      <w:sz w:val="20"/>
      <w:szCs w:val="20"/>
    </w:rPr>
  </w:style>
  <w:style w:type="character" w:customStyle="1" w:styleId="FootnoteTextChar">
    <w:name w:val="Footnote Text Char"/>
    <w:basedOn w:val="DefaultParagraphFont"/>
    <w:link w:val="FootnoteText"/>
    <w:uiPriority w:val="99"/>
    <w:rsid w:val="00D24783"/>
  </w:style>
  <w:style w:type="character" w:styleId="FootnoteReference">
    <w:name w:val="footnote reference"/>
    <w:uiPriority w:val="99"/>
    <w:rsid w:val="00D24783"/>
    <w:rPr>
      <w:vertAlign w:val="superscript"/>
    </w:rPr>
  </w:style>
  <w:style w:type="character" w:styleId="UnresolvedMention">
    <w:name w:val="Unresolved Mention"/>
    <w:uiPriority w:val="99"/>
    <w:semiHidden/>
    <w:unhideWhenUsed/>
    <w:rsid w:val="00DA7057"/>
    <w:rPr>
      <w:color w:val="605E5C"/>
      <w:shd w:val="clear" w:color="auto" w:fill="E1DFDD"/>
    </w:rPr>
  </w:style>
  <w:style w:type="table" w:customStyle="1" w:styleId="TableGrid1">
    <w:name w:val="Table Grid1"/>
    <w:basedOn w:val="TableNormal"/>
    <w:next w:val="TableGrid"/>
    <w:uiPriority w:val="39"/>
    <w:rsid w:val="00256A8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64F58"/>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13E"/>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0419559">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884905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08340129">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567323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482551021">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1076944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1147758">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14632007">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 w:id="21358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ema.gov/grants/guidance-tools/fema-go/hazard-mitigation-assistance-gra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618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1D578-82B3-41C8-93D3-3F90A6C0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6431</Words>
  <Characters>36658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43003</CharactersWithSpaces>
  <SharedDoc>false</SharedDoc>
  <HLinks>
    <vt:vector size="18" baseType="variant">
      <vt:variant>
        <vt:i4>6815867</vt:i4>
      </vt:variant>
      <vt:variant>
        <vt:i4>65</vt:i4>
      </vt:variant>
      <vt:variant>
        <vt:i4>0</vt:i4>
      </vt:variant>
      <vt:variant>
        <vt:i4>5</vt:i4>
      </vt:variant>
      <vt:variant>
        <vt:lpwstr>https://www.opm.gov/policy-data-oversight/pay-leave/salaries-wages/salary-tables/20Tables/html/DCB.aspx</vt:lpwstr>
      </vt:variant>
      <vt:variant>
        <vt:lpwstr/>
      </vt:variant>
      <vt:variant>
        <vt:i4>3211312</vt:i4>
      </vt:variant>
      <vt:variant>
        <vt:i4>6</vt:i4>
      </vt:variant>
      <vt:variant>
        <vt:i4>0</vt:i4>
      </vt:variant>
      <vt:variant>
        <vt:i4>5</vt:i4>
      </vt:variant>
      <vt:variant>
        <vt:lpwstr>https://www.fema.gov/grants/guidance-tools/fema-go/hazard-mitigation-assistance-grants</vt:lpwstr>
      </vt:variant>
      <vt:variant>
        <vt:lpwstr/>
      </vt:variant>
      <vt:variant>
        <vt:i4>2883605</vt:i4>
      </vt:variant>
      <vt:variant>
        <vt:i4>0</vt:i4>
      </vt:variant>
      <vt:variant>
        <vt:i4>0</vt:i4>
      </vt:variant>
      <vt:variant>
        <vt:i4>5</vt:i4>
      </vt:variant>
      <vt:variant>
        <vt:lpwstr>https://www.bls.gov/news.release/archives/ecec_06182020.pdf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Brown, Millicent</cp:lastModifiedBy>
  <cp:revision>2</cp:revision>
  <cp:lastPrinted>2017-10-18T19:43:00Z</cp:lastPrinted>
  <dcterms:created xsi:type="dcterms:W3CDTF">2021-01-27T01:22:00Z</dcterms:created>
  <dcterms:modified xsi:type="dcterms:W3CDTF">2021-01-27T01:22:00Z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