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1767" w:rsidP="00AD381B" w:rsidRDefault="00EA1767" w14:paraId="7BED2EA0" w14:textId="4311321A">
      <w:pPr>
        <w:pStyle w:val="Header"/>
        <w:rPr>
          <w:rFonts w:ascii="Times New Roman" w:hAnsi="Times New Roman"/>
          <w:szCs w:val="24"/>
        </w:rPr>
      </w:pPr>
      <w:r w:rsidRPr="00C875E8">
        <w:rPr>
          <w:rFonts w:ascii="Times New Roman" w:hAnsi="Times New Roman"/>
          <w:szCs w:val="24"/>
        </w:rPr>
        <w:t xml:space="preserve">Tracking and OMB Number: (XX) </w:t>
      </w:r>
      <w:r w:rsidRPr="00FE7A1F" w:rsidR="00FE7A1F">
        <w:rPr>
          <w:rFonts w:ascii="Times New Roman" w:hAnsi="Times New Roman"/>
          <w:szCs w:val="24"/>
        </w:rPr>
        <w:t>1810-0686</w:t>
      </w:r>
    </w:p>
    <w:p w:rsidRPr="00AD381B" w:rsidR="00FE0F36" w:rsidP="00AD381B" w:rsidRDefault="00FE0F36" w14:paraId="05BBE23F" w14:textId="77777777">
      <w:pPr>
        <w:pStyle w:val="Header"/>
        <w:rPr>
          <w:rFonts w:ascii="Times New Roman" w:hAnsi="Times New Roman"/>
          <w:color w:val="FFFFFF" w:themeColor="background1"/>
          <w:szCs w:val="24"/>
        </w:rPr>
      </w:pPr>
    </w:p>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AD381B"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7BED2EA6" w14:textId="77777777">
      <w:pPr>
        <w:pStyle w:val="ListParagraph"/>
        <w:suppressAutoHyphens/>
        <w:spacing w:line="240" w:lineRule="exact"/>
        <w:rPr>
          <w:rFonts w:ascii="Times New Roman" w:hAnsi="Times New Roman"/>
          <w:szCs w:val="24"/>
        </w:rPr>
      </w:pPr>
    </w:p>
    <w:p w:rsidRPr="00FE7A1F" w:rsidR="00FE7A1F" w:rsidP="00FE7A1F" w:rsidRDefault="00FE7A1F" w14:paraId="1EC0EA07" w14:textId="26E8F498">
      <w:pPr>
        <w:pStyle w:val="ListParagraph"/>
        <w:suppressAutoHyphens/>
        <w:spacing w:line="240" w:lineRule="exact"/>
        <w:rPr>
          <w:rFonts w:ascii="Times New Roman" w:hAnsi="Times New Roman"/>
          <w:szCs w:val="24"/>
        </w:rPr>
      </w:pPr>
      <w:r w:rsidRPr="00FE7A1F">
        <w:rPr>
          <w:rFonts w:ascii="Times New Roman" w:hAnsi="Times New Roman"/>
          <w:szCs w:val="24"/>
        </w:rPr>
        <w:t>A1.</w:t>
      </w:r>
      <w:r>
        <w:rPr>
          <w:rFonts w:ascii="Times New Roman" w:hAnsi="Times New Roman"/>
          <w:szCs w:val="24"/>
        </w:rPr>
        <w:t xml:space="preserve"> </w:t>
      </w:r>
      <w:r w:rsidRPr="00FE7A1F">
        <w:rPr>
          <w:rFonts w:ascii="Times New Roman" w:hAnsi="Times New Roman"/>
          <w:szCs w:val="24"/>
        </w:rPr>
        <w:t xml:space="preserve">Regulations for the Migrant Information Exchange (MSIX), effective on June 9, 2016, were issued by the U.S. Department </w:t>
      </w:r>
      <w:r w:rsidR="002D0E6F">
        <w:rPr>
          <w:rFonts w:ascii="Times New Roman" w:hAnsi="Times New Roman"/>
          <w:szCs w:val="24"/>
        </w:rPr>
        <w:t>(</w:t>
      </w:r>
      <w:r w:rsidRPr="00FE7A1F">
        <w:rPr>
          <w:rFonts w:ascii="Times New Roman" w:hAnsi="Times New Roman"/>
          <w:szCs w:val="24"/>
        </w:rPr>
        <w:t>the Department). The MSIX, a nationwide, electronic records exchange mechanism mandated under Title I, Part C of the Elementary and Secondary Education Act (ESEA), as amended</w:t>
      </w:r>
      <w:r w:rsidR="00806BBB">
        <w:rPr>
          <w:rFonts w:ascii="Times New Roman" w:hAnsi="Times New Roman"/>
          <w:szCs w:val="24"/>
        </w:rPr>
        <w:t xml:space="preserve">. </w:t>
      </w:r>
      <w:r w:rsidRPr="00FE7A1F">
        <w:rPr>
          <w:rFonts w:ascii="Times New Roman" w:hAnsi="Times New Roman"/>
          <w:szCs w:val="24"/>
        </w:rPr>
        <w:t xml:space="preserve">As a condition of receiving a grant of funds under the Migrant Education Program (MEP), each State </w:t>
      </w:r>
      <w:r w:rsidR="002D0E6F">
        <w:rPr>
          <w:rFonts w:ascii="Times New Roman" w:hAnsi="Times New Roman"/>
          <w:szCs w:val="24"/>
        </w:rPr>
        <w:t>e</w:t>
      </w:r>
      <w:r w:rsidRPr="00FE7A1F">
        <w:rPr>
          <w:rFonts w:ascii="Times New Roman" w:hAnsi="Times New Roman"/>
          <w:szCs w:val="24"/>
        </w:rPr>
        <w:t xml:space="preserve">ducational </w:t>
      </w:r>
      <w:r w:rsidR="002D0E6F">
        <w:rPr>
          <w:rFonts w:ascii="Times New Roman" w:hAnsi="Times New Roman"/>
          <w:szCs w:val="24"/>
        </w:rPr>
        <w:t>a</w:t>
      </w:r>
      <w:r w:rsidRPr="00FE7A1F">
        <w:rPr>
          <w:rFonts w:ascii="Times New Roman" w:hAnsi="Times New Roman"/>
          <w:szCs w:val="24"/>
        </w:rPr>
        <w:t>gency (SEA) is required to collect, maintain, and submit minimum health and education-related data to MSIX within established timeframes.  MSIX is designed to facilitate timely school enrollment, grade and course placement, accrual of secondary course credits and participation in the MEP for migratory children. Additionally, the regulations help the Department to determine accurate migratory child counts and meet other MEP reporting requirements. The MEP is authorized under sections 1301-1309 in Title I, Part C of the ESEA</w:t>
      </w:r>
      <w:r w:rsidR="00806BBB">
        <w:rPr>
          <w:rFonts w:ascii="Times New Roman" w:hAnsi="Times New Roman"/>
          <w:szCs w:val="24"/>
        </w:rPr>
        <w:t>, as amended</w:t>
      </w:r>
      <w:r w:rsidRPr="00FE7A1F">
        <w:rPr>
          <w:rFonts w:ascii="Times New Roman" w:hAnsi="Times New Roman"/>
          <w:szCs w:val="24"/>
        </w:rPr>
        <w:t>. MSIX and the minimum data elements (MDEs) are authorized specifically under section 1308(b) of the ESEA, as amended</w:t>
      </w:r>
    </w:p>
    <w:p w:rsidRPr="00FE7A1F" w:rsidR="00FE7A1F" w:rsidP="00FE7A1F" w:rsidRDefault="00FE7A1F" w14:paraId="69DED8B8" w14:textId="77777777">
      <w:pPr>
        <w:pStyle w:val="ListParagraph"/>
        <w:suppressAutoHyphens/>
        <w:spacing w:line="240" w:lineRule="exact"/>
        <w:rPr>
          <w:rFonts w:ascii="Times New Roman" w:hAnsi="Times New Roman"/>
          <w:szCs w:val="24"/>
        </w:rPr>
      </w:pPr>
    </w:p>
    <w:p w:rsidR="00AD381B" w:rsidP="00FE7A1F" w:rsidRDefault="00FE7A1F" w14:paraId="7BED2EA7" w14:textId="252D044E">
      <w:pPr>
        <w:pStyle w:val="ListParagraph"/>
        <w:suppressAutoHyphens/>
        <w:spacing w:line="240" w:lineRule="exact"/>
        <w:contextualSpacing w:val="0"/>
        <w:rPr>
          <w:rFonts w:ascii="Times New Roman" w:hAnsi="Times New Roman"/>
          <w:szCs w:val="24"/>
        </w:rPr>
      </w:pPr>
      <w:r w:rsidRPr="00FE7A1F">
        <w:rPr>
          <w:rFonts w:ascii="Times New Roman" w:hAnsi="Times New Roman"/>
          <w:szCs w:val="24"/>
        </w:rPr>
        <w:t>The Department is requesting approval to extend the 1810-0686 information collection that supports statutory requirements for data collection under Title I, Part C MEP. The purpose of the MSIX User Application Form is to collect user directory data to verify the identity of users in order to grant access to the MSIX system for the purpose of transferring migrant student data. The application collects information on an MSIX user’s identity, title/position, work address, work telephone, email, and role.</w:t>
      </w:r>
    </w:p>
    <w:p w:rsidRPr="00AD381B" w:rsidR="00FE7A1F" w:rsidP="00AD381B" w:rsidRDefault="00FE7A1F" w14:paraId="2AD9F6EE" w14:textId="77777777">
      <w:pPr>
        <w:pStyle w:val="ListParagraph"/>
        <w:suppressAutoHyphens/>
        <w:spacing w:line="240" w:lineRule="exact"/>
        <w:contextualSpacing w:val="0"/>
        <w:rPr>
          <w:rFonts w:ascii="Times New Roman" w:hAnsi="Times New Roman"/>
          <w:szCs w:val="24"/>
        </w:rPr>
      </w:pPr>
    </w:p>
    <w:p w:rsidRPr="00FE7A1F" w:rsidR="00AD381B" w:rsidP="00AD381B" w:rsidRDefault="00043C32" w14:paraId="7BED2EA8" w14:textId="65FCE673">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FE7A1F" w:rsidP="00FE7A1F" w:rsidRDefault="00FE7A1F" w14:paraId="3221BCB8" w14:textId="435F886F">
      <w:pPr>
        <w:pStyle w:val="ListParagraph"/>
        <w:suppressAutoHyphens/>
        <w:spacing w:line="240" w:lineRule="exact"/>
        <w:contextualSpacing w:val="0"/>
        <w:rPr>
          <w:rFonts w:ascii="Times New Roman" w:hAnsi="Times New Roman"/>
          <w:szCs w:val="24"/>
        </w:rPr>
      </w:pPr>
    </w:p>
    <w:p w:rsidR="00FE7A1F" w:rsidP="00FE7A1F" w:rsidRDefault="00FE7A1F" w14:paraId="4301DEFE" w14:textId="7AE16F08">
      <w:pPr>
        <w:pStyle w:val="ListParagraph"/>
        <w:suppressAutoHyphens/>
        <w:spacing w:line="240" w:lineRule="exact"/>
        <w:contextualSpacing w:val="0"/>
        <w:rPr>
          <w:rFonts w:ascii="Times New Roman" w:hAnsi="Times New Roman"/>
          <w:szCs w:val="24"/>
        </w:rPr>
      </w:pPr>
      <w:r w:rsidRPr="00FE7A1F">
        <w:rPr>
          <w:rFonts w:ascii="Times New Roman" w:hAnsi="Times New Roman"/>
          <w:szCs w:val="24"/>
        </w:rPr>
        <w:t>A2. The information that is collected on the MSIX User Application Form is entered into MSIX by the User Administrator to be maintained in MSIX. The information is used to verify the requester’s identity, intended use and the appropriate level of access to MSIX information. This information is used in compliance with Federal Information Security Modernization Act of 2014 (FISMA) requirements for identification, authentication and authorization of every user of a federal information management system. The users’ contact information is used by the MSIX technical support team to communicate system updates, send system generated notifications, conduct customer support calls, and to conduct customer satisfaction surveys.</w:t>
      </w:r>
    </w:p>
    <w:p w:rsidR="00AD381B" w:rsidP="00AD381B" w:rsidRDefault="00AD381B" w14:paraId="7BED2EA9" w14:textId="77777777">
      <w:pPr>
        <w:suppressAutoHyphens/>
        <w:spacing w:line="240" w:lineRule="exact"/>
        <w:rPr>
          <w:rFonts w:ascii="Times New Roman" w:hAnsi="Times New Roman"/>
          <w:szCs w:val="24"/>
        </w:rPr>
      </w:pPr>
    </w:p>
    <w:p w:rsidR="00043C32" w:rsidP="00AD381B" w:rsidRDefault="00043C32" w14:paraId="7BED2EAA" w14:textId="76663946">
      <w:pPr>
        <w:suppressAutoHyphens/>
        <w:spacing w:line="240" w:lineRule="exact"/>
        <w:rPr>
          <w:rFonts w:ascii="Times New Roman" w:hAnsi="Times New Roman"/>
          <w:szCs w:val="24"/>
        </w:rPr>
      </w:pPr>
    </w:p>
    <w:p w:rsidRPr="00AD381B" w:rsidR="00FE7A1F" w:rsidP="00AD381B" w:rsidRDefault="00FE7A1F" w14:paraId="4AB0224C" w14:textId="77777777">
      <w:pPr>
        <w:suppressAutoHyphens/>
        <w:spacing w:line="240" w:lineRule="exact"/>
        <w:rPr>
          <w:rFonts w:ascii="Times New Roman" w:hAnsi="Times New Roman"/>
          <w:szCs w:val="24"/>
        </w:rPr>
      </w:pPr>
    </w:p>
    <w:p w:rsidR="00043C32" w:rsidP="00AD381B" w:rsidRDefault="00043C32" w14:paraId="7BED2EAB" w14:textId="1AEF153C">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lastRenderedPageBreak/>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C2417A" w:rsidP="00C2417A" w:rsidRDefault="00C2417A" w14:paraId="610E539F" w14:textId="20BBFDCB">
      <w:pPr>
        <w:pStyle w:val="ListParagraph"/>
        <w:tabs>
          <w:tab w:val="left" w:pos="-720"/>
        </w:tabs>
        <w:suppressAutoHyphens/>
        <w:contextualSpacing w:val="0"/>
        <w:rPr>
          <w:rFonts w:ascii="Times New Roman" w:hAnsi="Times New Roman"/>
          <w:b/>
          <w:szCs w:val="24"/>
        </w:rPr>
      </w:pPr>
    </w:p>
    <w:p w:rsidRPr="00C2417A" w:rsidR="00C2417A" w:rsidP="00C2417A" w:rsidRDefault="00C2417A" w14:paraId="67041170" w14:textId="6301BA9A">
      <w:pPr>
        <w:pStyle w:val="ListParagraph"/>
        <w:tabs>
          <w:tab w:val="left" w:pos="-720"/>
        </w:tabs>
        <w:suppressAutoHyphens/>
        <w:contextualSpacing w:val="0"/>
        <w:rPr>
          <w:rFonts w:ascii="Times New Roman" w:hAnsi="Times New Roman"/>
          <w:bCs/>
          <w:szCs w:val="24"/>
        </w:rPr>
      </w:pPr>
      <w:r w:rsidRPr="00C2417A">
        <w:rPr>
          <w:rFonts w:ascii="Times New Roman" w:hAnsi="Times New Roman"/>
          <w:bCs/>
          <w:szCs w:val="24"/>
        </w:rPr>
        <w:t xml:space="preserve">A3. The State User Administrator can download the form provided in the MSIX User Access Guide and Application from the MSIX system at </w:t>
      </w:r>
      <w:hyperlink w:history="1" w:anchor="/requestAccount.https://msix.ed.gov/msix/" r:id="rId11">
        <w:r w:rsidRPr="00781F89">
          <w:rPr>
            <w:rStyle w:val="Hyperlink"/>
            <w:rFonts w:ascii="Times New Roman" w:hAnsi="Times New Roman"/>
            <w:bCs/>
            <w:szCs w:val="24"/>
          </w:rPr>
          <w:t>https://msix.ed.gov/msix/#/requestAccount.https://msix.ed.gov/msix/#/requestAccount</w:t>
        </w:r>
      </w:hyperlink>
      <w:r>
        <w:rPr>
          <w:rFonts w:ascii="Times New Roman" w:hAnsi="Times New Roman"/>
          <w:bCs/>
          <w:szCs w:val="24"/>
        </w:rPr>
        <w:t>.</w:t>
      </w:r>
      <w:r w:rsidRPr="00C2417A">
        <w:rPr>
          <w:rFonts w:ascii="Times New Roman" w:hAnsi="Times New Roman"/>
          <w:bCs/>
          <w:szCs w:val="24"/>
        </w:rPr>
        <w:t xml:space="preserve">  In order to reduce burden, participating MEP States may choose to consolidate access request forms with State operated migrant specific database </w:t>
      </w:r>
      <w:proofErr w:type="gramStart"/>
      <w:r w:rsidRPr="00C2417A">
        <w:rPr>
          <w:rFonts w:ascii="Times New Roman" w:hAnsi="Times New Roman"/>
          <w:bCs/>
          <w:szCs w:val="24"/>
        </w:rPr>
        <w:t>system</w:t>
      </w:r>
      <w:r w:rsidR="005E58B6">
        <w:rPr>
          <w:rFonts w:ascii="Times New Roman" w:hAnsi="Times New Roman"/>
          <w:bCs/>
          <w:szCs w:val="24"/>
        </w:rPr>
        <w:t>, but</w:t>
      </w:r>
      <w:proofErr w:type="gramEnd"/>
      <w:r w:rsidR="005E58B6">
        <w:rPr>
          <w:rFonts w:ascii="Times New Roman" w:hAnsi="Times New Roman"/>
          <w:bCs/>
          <w:szCs w:val="24"/>
        </w:rPr>
        <w:t xml:space="preserve"> must use all parts of the MSIX User Application</w:t>
      </w:r>
      <w:r w:rsidRPr="00C2417A">
        <w:rPr>
          <w:rFonts w:ascii="Times New Roman" w:hAnsi="Times New Roman"/>
          <w:bCs/>
          <w:szCs w:val="24"/>
        </w:rPr>
        <w:t>.  Information collected on the form is entered into MSIX by the User Administrators. Automated or other technological collection techniques are under consideration, pending funding availability.</w:t>
      </w:r>
    </w:p>
    <w:p w:rsidR="00AD381B" w:rsidP="00AD381B" w:rsidRDefault="00AD381B" w14:paraId="7BED2EAC" w14:textId="77777777">
      <w:pPr>
        <w:pStyle w:val="ListParagraph"/>
        <w:tabs>
          <w:tab w:val="left" w:pos="-720"/>
        </w:tabs>
        <w:suppressAutoHyphens/>
        <w:contextualSpacing w:val="0"/>
        <w:rPr>
          <w:rFonts w:ascii="Times New Roman" w:hAnsi="Times New Roman"/>
          <w:szCs w:val="24"/>
        </w:rPr>
      </w:pPr>
    </w:p>
    <w:p w:rsidR="00AD381B" w:rsidP="00AD381B" w:rsidRDefault="00AD381B" w14:paraId="7BED2EAD"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5FF8EF13">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C2417A" w:rsidP="00C2417A" w:rsidRDefault="00C2417A" w14:paraId="6BF88C55" w14:textId="6A975E2C">
      <w:pPr>
        <w:pStyle w:val="ListParagraph"/>
        <w:tabs>
          <w:tab w:val="left" w:pos="-720"/>
        </w:tabs>
        <w:suppressAutoHyphens/>
        <w:contextualSpacing w:val="0"/>
        <w:rPr>
          <w:rFonts w:ascii="Times New Roman" w:hAnsi="Times New Roman"/>
          <w:b/>
          <w:szCs w:val="24"/>
        </w:rPr>
      </w:pPr>
    </w:p>
    <w:p w:rsidRPr="00C2417A" w:rsidR="00C2417A" w:rsidP="00C2417A" w:rsidRDefault="00C2417A" w14:paraId="4C049BF2" w14:textId="24F389C8">
      <w:pPr>
        <w:pStyle w:val="ListParagraph"/>
        <w:tabs>
          <w:tab w:val="left" w:pos="-720"/>
        </w:tabs>
        <w:suppressAutoHyphens/>
        <w:contextualSpacing w:val="0"/>
        <w:rPr>
          <w:rFonts w:ascii="Times New Roman" w:hAnsi="Times New Roman"/>
          <w:bCs/>
          <w:szCs w:val="24"/>
        </w:rPr>
      </w:pPr>
      <w:r w:rsidRPr="00C2417A">
        <w:rPr>
          <w:rFonts w:ascii="Times New Roman" w:hAnsi="Times New Roman"/>
          <w:bCs/>
          <w:szCs w:val="24"/>
        </w:rPr>
        <w:t>A4. The MSIX information collection will not duplicate (or otherwise include) the burden of other information collections. The users of MSIX are a uniquely State-identified set of users for each State. There is no other collection of the names and work addresses for individuals that have been identified as needing access to MSIX for the purposes of enrollment, placement</w:t>
      </w:r>
      <w:r w:rsidR="00806BBB">
        <w:rPr>
          <w:rFonts w:ascii="Times New Roman" w:hAnsi="Times New Roman"/>
          <w:bCs/>
          <w:szCs w:val="24"/>
        </w:rPr>
        <w:t>,</w:t>
      </w:r>
      <w:r w:rsidRPr="00C2417A">
        <w:rPr>
          <w:rFonts w:ascii="Times New Roman" w:hAnsi="Times New Roman"/>
          <w:bCs/>
          <w:szCs w:val="24"/>
        </w:rPr>
        <w:t xml:space="preserve"> accrual of credits </w:t>
      </w:r>
      <w:r w:rsidR="00806BBB">
        <w:rPr>
          <w:rFonts w:ascii="Times New Roman" w:hAnsi="Times New Roman"/>
          <w:bCs/>
          <w:szCs w:val="24"/>
        </w:rPr>
        <w:t xml:space="preserve">and participation in the MEP </w:t>
      </w:r>
      <w:r w:rsidRPr="00C2417A">
        <w:rPr>
          <w:rFonts w:ascii="Times New Roman" w:hAnsi="Times New Roman"/>
          <w:bCs/>
          <w:szCs w:val="24"/>
        </w:rPr>
        <w:t xml:space="preserve">for migratory children in each </w:t>
      </w:r>
      <w:r w:rsidR="00806BBB">
        <w:rPr>
          <w:rFonts w:ascii="Times New Roman" w:hAnsi="Times New Roman"/>
          <w:bCs/>
          <w:szCs w:val="24"/>
        </w:rPr>
        <w:t>S</w:t>
      </w:r>
      <w:r w:rsidRPr="00C2417A">
        <w:rPr>
          <w:rFonts w:ascii="Times New Roman" w:hAnsi="Times New Roman"/>
          <w:bCs/>
          <w:szCs w:val="24"/>
        </w:rPr>
        <w:t>tate.</w:t>
      </w:r>
    </w:p>
    <w:p w:rsidRPr="00246FE9" w:rsidR="00246FE9" w:rsidP="00246FE9" w:rsidRDefault="00246FE9" w14:paraId="7BED2EAF"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2E3EC126">
      <w:pPr>
        <w:pStyle w:val="ListParagraph"/>
        <w:contextualSpacing w:val="0"/>
        <w:rPr>
          <w:rFonts w:ascii="Times New Roman" w:hAnsi="Times New Roman"/>
          <w:szCs w:val="24"/>
        </w:rPr>
      </w:pPr>
    </w:p>
    <w:p w:rsidR="00C2417A" w:rsidP="00AD381B" w:rsidRDefault="00C2417A" w14:paraId="38848DE5" w14:textId="0A949673">
      <w:pPr>
        <w:pStyle w:val="ListParagraph"/>
        <w:contextualSpacing w:val="0"/>
        <w:rPr>
          <w:rFonts w:ascii="Times New Roman" w:hAnsi="Times New Roman"/>
          <w:szCs w:val="24"/>
        </w:rPr>
      </w:pPr>
      <w:r w:rsidRPr="00C2417A">
        <w:rPr>
          <w:rFonts w:ascii="Times New Roman" w:hAnsi="Times New Roman"/>
          <w:szCs w:val="24"/>
        </w:rPr>
        <w:t>A5. Small business and/or small entities are not impacted by this data collection.</w:t>
      </w: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015C5F78">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C2417A" w:rsidP="00C2417A" w:rsidRDefault="00C2417A" w14:paraId="4FC74015" w14:textId="29F23608">
      <w:pPr>
        <w:pStyle w:val="ListParagraph"/>
        <w:tabs>
          <w:tab w:val="left" w:pos="-720"/>
        </w:tabs>
        <w:suppressAutoHyphens/>
        <w:contextualSpacing w:val="0"/>
        <w:rPr>
          <w:rFonts w:ascii="Times New Roman" w:hAnsi="Times New Roman"/>
          <w:b/>
          <w:szCs w:val="24"/>
        </w:rPr>
      </w:pPr>
    </w:p>
    <w:p w:rsidRPr="00C2417A" w:rsidR="00C2417A" w:rsidP="00C2417A" w:rsidRDefault="00C2417A" w14:paraId="71E2BBB3" w14:textId="77777777">
      <w:pPr>
        <w:pStyle w:val="ListParagraph"/>
        <w:tabs>
          <w:tab w:val="left" w:pos="-720"/>
        </w:tabs>
        <w:suppressAutoHyphens/>
        <w:rPr>
          <w:rFonts w:ascii="Times New Roman" w:hAnsi="Times New Roman"/>
          <w:bCs/>
          <w:szCs w:val="24"/>
        </w:rPr>
      </w:pPr>
      <w:r w:rsidRPr="00C2417A">
        <w:rPr>
          <w:rFonts w:ascii="Times New Roman" w:hAnsi="Times New Roman"/>
          <w:bCs/>
          <w:szCs w:val="24"/>
        </w:rPr>
        <w:lastRenderedPageBreak/>
        <w:t xml:space="preserve">A6 . Consequences are as follows: </w:t>
      </w:r>
    </w:p>
    <w:p w:rsidRPr="00C2417A" w:rsidR="00C2417A" w:rsidP="00C2417A" w:rsidRDefault="00C2417A" w14:paraId="2247C1EF" w14:textId="2DF98344">
      <w:pPr>
        <w:pStyle w:val="ListParagraph"/>
        <w:tabs>
          <w:tab w:val="left" w:pos="-720"/>
        </w:tabs>
        <w:suppressAutoHyphens/>
        <w:rPr>
          <w:rFonts w:ascii="Times New Roman" w:hAnsi="Times New Roman"/>
          <w:bCs/>
          <w:szCs w:val="24"/>
        </w:rPr>
      </w:pPr>
      <w:r w:rsidRPr="00C2417A">
        <w:rPr>
          <w:rFonts w:ascii="Times New Roman" w:hAnsi="Times New Roman"/>
          <w:bCs/>
          <w:szCs w:val="24"/>
        </w:rPr>
        <w:t xml:space="preserve">(1) MSIX, a major information technology (IT) investment for the Office of Elementary and Secondary Education (OESE) at the Department, would be out of compliance with the National Institute of Standards and Technology (NIST) Special Publication (SP) 800-53, revision </w:t>
      </w:r>
      <w:r w:rsidR="009B056B">
        <w:rPr>
          <w:rFonts w:ascii="Times New Roman" w:hAnsi="Times New Roman"/>
          <w:bCs/>
          <w:szCs w:val="24"/>
        </w:rPr>
        <w:t>5</w:t>
      </w:r>
      <w:r w:rsidRPr="00C2417A">
        <w:rPr>
          <w:rFonts w:ascii="Times New Roman" w:hAnsi="Times New Roman"/>
          <w:bCs/>
          <w:szCs w:val="24"/>
        </w:rPr>
        <w:t>, Security and Privacy Controls for Federal Information Systems and Organizations;</w:t>
      </w:r>
    </w:p>
    <w:p w:rsidRPr="00C2417A" w:rsidR="00C2417A" w:rsidP="00C2417A" w:rsidRDefault="00C2417A" w14:paraId="35E7A3B3" w14:textId="77777777">
      <w:pPr>
        <w:pStyle w:val="ListParagraph"/>
        <w:tabs>
          <w:tab w:val="left" w:pos="-720"/>
        </w:tabs>
        <w:suppressAutoHyphens/>
        <w:rPr>
          <w:rFonts w:ascii="Times New Roman" w:hAnsi="Times New Roman"/>
          <w:bCs/>
          <w:szCs w:val="24"/>
        </w:rPr>
      </w:pPr>
      <w:r w:rsidRPr="00C2417A">
        <w:rPr>
          <w:rFonts w:ascii="Times New Roman" w:hAnsi="Times New Roman"/>
          <w:bCs/>
          <w:szCs w:val="24"/>
        </w:rPr>
        <w:t xml:space="preserve">(2) There would be no record of authorized users of the MSIX system; </w:t>
      </w:r>
    </w:p>
    <w:p w:rsidRPr="00C2417A" w:rsidR="00C2417A" w:rsidP="00C2417A" w:rsidRDefault="00C2417A" w14:paraId="127FD482" w14:textId="77777777">
      <w:pPr>
        <w:pStyle w:val="ListParagraph"/>
        <w:tabs>
          <w:tab w:val="left" w:pos="-720"/>
        </w:tabs>
        <w:suppressAutoHyphens/>
        <w:rPr>
          <w:rFonts w:ascii="Times New Roman" w:hAnsi="Times New Roman"/>
          <w:bCs/>
          <w:szCs w:val="24"/>
        </w:rPr>
      </w:pPr>
      <w:r w:rsidRPr="00C2417A">
        <w:rPr>
          <w:rFonts w:ascii="Times New Roman" w:hAnsi="Times New Roman"/>
          <w:bCs/>
          <w:szCs w:val="24"/>
        </w:rPr>
        <w:t xml:space="preserve">(3) There is no way to be assured that only approved personnel in the States are using the MSIX system; </w:t>
      </w:r>
    </w:p>
    <w:p w:rsidRPr="00C2417A" w:rsidR="00C2417A" w:rsidP="00C2417A" w:rsidRDefault="00C2417A" w14:paraId="4D0847D5" w14:textId="77777777">
      <w:pPr>
        <w:pStyle w:val="ListParagraph"/>
        <w:tabs>
          <w:tab w:val="left" w:pos="-720"/>
        </w:tabs>
        <w:suppressAutoHyphens/>
        <w:rPr>
          <w:rFonts w:ascii="Times New Roman" w:hAnsi="Times New Roman"/>
          <w:bCs/>
          <w:szCs w:val="24"/>
        </w:rPr>
      </w:pPr>
      <w:r w:rsidRPr="00C2417A">
        <w:rPr>
          <w:rFonts w:ascii="Times New Roman" w:hAnsi="Times New Roman"/>
          <w:bCs/>
          <w:szCs w:val="24"/>
        </w:rPr>
        <w:t>(4) There would be no way to assure all authorized personnel have been granted the correct level of access;</w:t>
      </w:r>
    </w:p>
    <w:p w:rsidRPr="00C2417A" w:rsidR="00C2417A" w:rsidP="00C2417A" w:rsidRDefault="00C2417A" w14:paraId="4C0F8C06" w14:textId="7F482451">
      <w:pPr>
        <w:pStyle w:val="ListParagraph"/>
        <w:tabs>
          <w:tab w:val="left" w:pos="-720"/>
        </w:tabs>
        <w:suppressAutoHyphens/>
        <w:contextualSpacing w:val="0"/>
        <w:rPr>
          <w:rFonts w:ascii="Times New Roman" w:hAnsi="Times New Roman"/>
          <w:bCs/>
          <w:szCs w:val="24"/>
        </w:rPr>
      </w:pPr>
      <w:r w:rsidRPr="00C2417A">
        <w:rPr>
          <w:rFonts w:ascii="Times New Roman" w:hAnsi="Times New Roman"/>
          <w:bCs/>
          <w:szCs w:val="24"/>
        </w:rPr>
        <w:t xml:space="preserve">(5) </w:t>
      </w:r>
      <w:r w:rsidR="00A62DBC">
        <w:rPr>
          <w:rFonts w:ascii="Times New Roman" w:hAnsi="Times New Roman"/>
          <w:bCs/>
          <w:szCs w:val="24"/>
        </w:rPr>
        <w:t>There would be an i</w:t>
      </w:r>
      <w:r w:rsidRPr="00C2417A">
        <w:rPr>
          <w:rFonts w:ascii="Times New Roman" w:hAnsi="Times New Roman"/>
          <w:bCs/>
          <w:szCs w:val="24"/>
        </w:rPr>
        <w:t>nability to effectively disable/deactivate MSIX accounts due to attrition, job role changes, or lack of activity.</w:t>
      </w:r>
    </w:p>
    <w:p w:rsidRPr="00AD381B" w:rsidR="00C2417A" w:rsidP="00C2417A" w:rsidRDefault="00C2417A" w14:paraId="77E195A3"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Pr="00AD381B"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7BED2EC5" w14:textId="77777777">
      <w:pPr>
        <w:pStyle w:val="ListParagraph"/>
        <w:rPr>
          <w:rFonts w:ascii="Times New Roman" w:hAnsi="Times New Roman"/>
          <w:b/>
          <w:szCs w:val="24"/>
        </w:rPr>
      </w:pPr>
    </w:p>
    <w:p w:rsidR="00AD381B" w:rsidP="00AD381B" w:rsidRDefault="00C2417A" w14:paraId="7BED2EC6" w14:textId="6FFCFFE0">
      <w:pPr>
        <w:tabs>
          <w:tab w:val="left" w:pos="-720"/>
        </w:tabs>
        <w:suppressAutoHyphens/>
        <w:rPr>
          <w:rFonts w:ascii="Times New Roman" w:hAnsi="Times New Roman"/>
          <w:szCs w:val="24"/>
        </w:rPr>
      </w:pPr>
      <w:r>
        <w:rPr>
          <w:rFonts w:ascii="Times New Roman" w:hAnsi="Times New Roman"/>
          <w:szCs w:val="24"/>
        </w:rPr>
        <w:lastRenderedPageBreak/>
        <w:tab/>
      </w:r>
      <w:r w:rsidRPr="00C2417A">
        <w:rPr>
          <w:rFonts w:ascii="Times New Roman" w:hAnsi="Times New Roman"/>
          <w:szCs w:val="24"/>
        </w:rPr>
        <w:t>A7. There are no special circumstances.</w:t>
      </w:r>
    </w:p>
    <w:p w:rsidRPr="00AD381B" w:rsidR="00C2417A" w:rsidP="00AD381B" w:rsidRDefault="00C2417A" w14:paraId="2E195DB6" w14:textId="77777777">
      <w:pPr>
        <w:tabs>
          <w:tab w:val="left" w:pos="-720"/>
        </w:tabs>
        <w:suppressAutoHyphens/>
        <w:rPr>
          <w:rFonts w:ascii="Times New Roman" w:hAnsi="Times New Roman"/>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7BED2ECF" w14:textId="77777777">
      <w:pPr>
        <w:tabs>
          <w:tab w:val="left" w:pos="-720"/>
        </w:tabs>
        <w:suppressAutoHyphens/>
        <w:ind w:left="720"/>
        <w:rPr>
          <w:rFonts w:ascii="Times New Roman" w:hAnsi="Times New Roman"/>
          <w:b/>
          <w:szCs w:val="24"/>
        </w:rPr>
      </w:pPr>
    </w:p>
    <w:p w:rsidRPr="00974766" w:rsidR="00C2417A" w:rsidP="00C2417A" w:rsidRDefault="00C2417A" w14:paraId="46EA0854" w14:textId="72D68054">
      <w:pPr>
        <w:pStyle w:val="Default"/>
        <w:ind w:left="720"/>
        <w:rPr>
          <w:color w:val="auto"/>
        </w:rPr>
      </w:pPr>
      <w:r w:rsidRPr="00974766">
        <w:rPr>
          <w:color w:val="auto"/>
        </w:rPr>
        <w:t>A8.</w:t>
      </w:r>
      <w:r w:rsidRPr="00974766" w:rsidR="007556E5">
        <w:rPr>
          <w:color w:val="auto"/>
        </w:rPr>
        <w:t xml:space="preserve"> The</w:t>
      </w:r>
      <w:r w:rsidRPr="00974766">
        <w:rPr>
          <w:color w:val="auto"/>
        </w:rPr>
        <w:t xml:space="preserve"> </w:t>
      </w:r>
      <w:r w:rsidRPr="00974766" w:rsidR="007556E5">
        <w:rPr>
          <w:color w:val="auto"/>
        </w:rPr>
        <w:t>State User Group for Analysis and Recommendation (SUGAR</w:t>
      </w:r>
      <w:r w:rsidRPr="00974766">
        <w:rPr>
          <w:color w:val="auto"/>
        </w:rPr>
        <w:t xml:space="preserve">) is a group consisting of nine (9) </w:t>
      </w:r>
      <w:r w:rsidRPr="00974766" w:rsidR="007556E5">
        <w:rPr>
          <w:color w:val="auto"/>
        </w:rPr>
        <w:t>individuals</w:t>
      </w:r>
      <w:r w:rsidRPr="00974766">
        <w:rPr>
          <w:color w:val="auto"/>
        </w:rPr>
        <w:t xml:space="preserve">, chosen by their </w:t>
      </w:r>
      <w:r w:rsidRPr="00974766" w:rsidR="007556E5">
        <w:rPr>
          <w:color w:val="auto"/>
        </w:rPr>
        <w:t>State</w:t>
      </w:r>
      <w:r w:rsidRPr="00974766">
        <w:rPr>
          <w:color w:val="auto"/>
        </w:rPr>
        <w:t xml:space="preserve">, </w:t>
      </w:r>
      <w:r w:rsidRPr="00974766" w:rsidR="007556E5">
        <w:rPr>
          <w:color w:val="auto"/>
        </w:rPr>
        <w:t xml:space="preserve">who represent the voices of the MSIX users across the nation </w:t>
      </w:r>
      <w:r w:rsidRPr="00974766" w:rsidR="00033BB8">
        <w:rPr>
          <w:color w:val="auto"/>
        </w:rPr>
        <w:t xml:space="preserve">in order </w:t>
      </w:r>
      <w:r w:rsidRPr="00974766" w:rsidR="007556E5">
        <w:rPr>
          <w:color w:val="auto"/>
        </w:rPr>
        <w:t>to maintain and improve MSIX as a mechanism that facilitates the exchange of education and health information for migratory children.</w:t>
      </w:r>
      <w:r w:rsidRPr="00974766">
        <w:rPr>
          <w:color w:val="auto"/>
        </w:rPr>
        <w:t xml:space="preserve"> The representatives w</w:t>
      </w:r>
      <w:r w:rsidRPr="00974766" w:rsidR="008B1649">
        <w:rPr>
          <w:color w:val="auto"/>
        </w:rPr>
        <w:t>ere</w:t>
      </w:r>
      <w:r w:rsidRPr="00974766" w:rsidR="007556E5">
        <w:rPr>
          <w:color w:val="auto"/>
        </w:rPr>
        <w:t xml:space="preserve"> </w:t>
      </w:r>
      <w:r w:rsidRPr="00974766">
        <w:rPr>
          <w:color w:val="auto"/>
        </w:rPr>
        <w:t>consulted</w:t>
      </w:r>
      <w:r w:rsidRPr="00974766" w:rsidR="00033BB8">
        <w:rPr>
          <w:color w:val="auto"/>
        </w:rPr>
        <w:t xml:space="preserve"> regarding MSIX Accounts Management</w:t>
      </w:r>
      <w:r w:rsidRPr="00974766" w:rsidR="008B1649">
        <w:rPr>
          <w:color w:val="auto"/>
        </w:rPr>
        <w:t xml:space="preserve"> during the quarterly SUGAR meeting on</w:t>
      </w:r>
      <w:r w:rsidRPr="00974766" w:rsidR="00033BB8">
        <w:rPr>
          <w:color w:val="auto"/>
        </w:rPr>
        <w:t xml:space="preserve"> </w:t>
      </w:r>
      <w:proofErr w:type="gramStart"/>
      <w:r w:rsidRPr="00974766" w:rsidR="008B1649">
        <w:rPr>
          <w:color w:val="auto"/>
        </w:rPr>
        <w:t xml:space="preserve">November 4, 2020, </w:t>
      </w:r>
      <w:r w:rsidRPr="00974766" w:rsidR="00033BB8">
        <w:rPr>
          <w:color w:val="auto"/>
        </w:rPr>
        <w:t>and</w:t>
      </w:r>
      <w:proofErr w:type="gramEnd"/>
      <w:r w:rsidRPr="00974766" w:rsidR="00033BB8">
        <w:rPr>
          <w:color w:val="auto"/>
        </w:rPr>
        <w:t xml:space="preserve"> </w:t>
      </w:r>
      <w:r w:rsidRPr="00974766" w:rsidR="008B1649">
        <w:rPr>
          <w:color w:val="auto"/>
        </w:rPr>
        <w:t xml:space="preserve">will be consulted regarding </w:t>
      </w:r>
      <w:r w:rsidRPr="00974766" w:rsidR="00033BB8">
        <w:rPr>
          <w:color w:val="auto"/>
        </w:rPr>
        <w:t>the MSIX User Application Form during the quarterly SUGAR meeting on</w:t>
      </w:r>
      <w:r w:rsidRPr="00974766">
        <w:rPr>
          <w:color w:val="auto"/>
        </w:rPr>
        <w:t xml:space="preserve"> </w:t>
      </w:r>
      <w:r w:rsidRPr="00974766" w:rsidR="007556E5">
        <w:rPr>
          <w:color w:val="auto"/>
        </w:rPr>
        <w:t>January</w:t>
      </w:r>
      <w:r w:rsidRPr="00974766">
        <w:rPr>
          <w:color w:val="auto"/>
        </w:rPr>
        <w:t xml:space="preserve"> </w:t>
      </w:r>
      <w:r w:rsidRPr="00974766" w:rsidR="00033BB8">
        <w:rPr>
          <w:color w:val="auto"/>
        </w:rPr>
        <w:t xml:space="preserve">14, </w:t>
      </w:r>
      <w:r w:rsidRPr="00974766">
        <w:rPr>
          <w:color w:val="auto"/>
        </w:rPr>
        <w:t>20</w:t>
      </w:r>
      <w:r w:rsidRPr="00974766" w:rsidR="007556E5">
        <w:rPr>
          <w:color w:val="auto"/>
        </w:rPr>
        <w:t>21</w:t>
      </w:r>
      <w:r w:rsidRPr="00974766">
        <w:rPr>
          <w:color w:val="auto"/>
        </w:rPr>
        <w:t>.</w:t>
      </w:r>
      <w:r w:rsidRPr="00974766" w:rsidR="007556E5">
        <w:rPr>
          <w:color w:val="auto"/>
        </w:rPr>
        <w:t xml:space="preserve"> </w:t>
      </w:r>
      <w:r w:rsidR="00974766">
        <w:rPr>
          <w:color w:val="auto"/>
        </w:rPr>
        <w:t xml:space="preserve">Additionally, </w:t>
      </w:r>
      <w:r w:rsidRPr="00974766" w:rsidR="00033BB8">
        <w:rPr>
          <w:color w:val="auto"/>
        </w:rPr>
        <w:t xml:space="preserve">MSIX users </w:t>
      </w:r>
      <w:r w:rsidR="00974766">
        <w:rPr>
          <w:color w:val="auto"/>
        </w:rPr>
        <w:t xml:space="preserve">provided feedback to OME regarding the MSIX account management process </w:t>
      </w:r>
      <w:r w:rsidRPr="00974766" w:rsidR="00033BB8">
        <w:rPr>
          <w:color w:val="auto"/>
        </w:rPr>
        <w:t xml:space="preserve">during </w:t>
      </w:r>
      <w:r w:rsidR="00974766">
        <w:rPr>
          <w:color w:val="auto"/>
        </w:rPr>
        <w:t xml:space="preserve">MSIX </w:t>
      </w:r>
      <w:r w:rsidRPr="00974766" w:rsidR="00033BB8">
        <w:rPr>
          <w:color w:val="auto"/>
        </w:rPr>
        <w:t xml:space="preserve">account management webinars </w:t>
      </w:r>
      <w:r w:rsidR="00974766">
        <w:rPr>
          <w:color w:val="auto"/>
        </w:rPr>
        <w:t xml:space="preserve">on </w:t>
      </w:r>
      <w:r w:rsidR="00394D42">
        <w:rPr>
          <w:color w:val="auto"/>
        </w:rPr>
        <w:t>February 20, 2018, February 6, 2019 and February 12,</w:t>
      </w:r>
      <w:r w:rsidRPr="00974766" w:rsidR="00033BB8">
        <w:rPr>
          <w:color w:val="auto"/>
        </w:rPr>
        <w:t xml:space="preserve"> 202</w:t>
      </w:r>
      <w:r w:rsidR="00394D42">
        <w:rPr>
          <w:color w:val="auto"/>
        </w:rPr>
        <w:t>0</w:t>
      </w:r>
      <w:r w:rsidRPr="00974766" w:rsidR="00033BB8">
        <w:rPr>
          <w:color w:val="auto"/>
        </w:rPr>
        <w:t>.</w:t>
      </w:r>
    </w:p>
    <w:p w:rsidRPr="00974766" w:rsidR="00C2417A" w:rsidP="00C2417A" w:rsidRDefault="00C2417A" w14:paraId="1B4E6791" w14:textId="77777777">
      <w:pPr>
        <w:pStyle w:val="Default"/>
        <w:ind w:left="720"/>
        <w:rPr>
          <w:color w:val="auto"/>
        </w:rPr>
      </w:pPr>
    </w:p>
    <w:p w:rsidRPr="00FE0F36" w:rsidR="00FE0F36" w:rsidP="00FE0F36" w:rsidRDefault="00FE0F36" w14:paraId="309C8D1E" w14:textId="3FDDFA63">
      <w:pPr>
        <w:pStyle w:val="Default"/>
        <w:ind w:left="720"/>
        <w:rPr>
          <w:szCs w:val="28"/>
        </w:rPr>
      </w:pPr>
      <w:r w:rsidRPr="00FE0F36">
        <w:rPr>
          <w:szCs w:val="28"/>
        </w:rPr>
        <w:t xml:space="preserve">On </w:t>
      </w:r>
      <w:r>
        <w:rPr>
          <w:szCs w:val="28"/>
        </w:rPr>
        <w:t>January 8</w:t>
      </w:r>
      <w:r w:rsidRPr="00FE0F36">
        <w:rPr>
          <w:szCs w:val="28"/>
        </w:rPr>
        <w:t>, 202</w:t>
      </w:r>
      <w:r>
        <w:rPr>
          <w:szCs w:val="28"/>
        </w:rPr>
        <w:t>1</w:t>
      </w:r>
      <w:r w:rsidRPr="00FE0F36">
        <w:rPr>
          <w:szCs w:val="28"/>
        </w:rPr>
        <w:t>, a Federal Register Notice requesting public comment was published (Vol. 8</w:t>
      </w:r>
      <w:r>
        <w:rPr>
          <w:szCs w:val="28"/>
        </w:rPr>
        <w:t>6</w:t>
      </w:r>
      <w:r w:rsidRPr="00FE0F36">
        <w:rPr>
          <w:szCs w:val="28"/>
        </w:rPr>
        <w:t xml:space="preserve">, No. </w:t>
      </w:r>
      <w:r>
        <w:rPr>
          <w:szCs w:val="28"/>
        </w:rPr>
        <w:t>5</w:t>
      </w:r>
      <w:r w:rsidRPr="00FE0F36">
        <w:rPr>
          <w:szCs w:val="28"/>
        </w:rPr>
        <w:t xml:space="preserve">, page </w:t>
      </w:r>
      <w:r>
        <w:rPr>
          <w:szCs w:val="28"/>
        </w:rPr>
        <w:t>1486</w:t>
      </w:r>
      <w:r w:rsidRPr="00FE0F36">
        <w:rPr>
          <w:szCs w:val="28"/>
        </w:rPr>
        <w:t xml:space="preserve">). </w:t>
      </w:r>
      <w:r>
        <w:rPr>
          <w:szCs w:val="28"/>
        </w:rPr>
        <w:t>Two comments</w:t>
      </w:r>
      <w:r w:rsidRPr="00FE0F36">
        <w:rPr>
          <w:szCs w:val="28"/>
        </w:rPr>
        <w:t xml:space="preserve"> were received during the 60-day comment period.</w:t>
      </w:r>
      <w:r>
        <w:rPr>
          <w:szCs w:val="28"/>
        </w:rPr>
        <w:t xml:space="preserve"> One was off-topic and the other suggested</w:t>
      </w:r>
      <w:r w:rsidRPr="00FE0F36">
        <w:rPr>
          <w:szCs w:val="28"/>
        </w:rPr>
        <w:t xml:space="preserve"> some formatting issues to make the document more user friendly and to prevent errors from users filling it out. The Department appreciates the suggestions to improve the efficiency of the MSIX User Application and will move forward with some of the changes that were suggested. The Department is publishing the applicable 30-day Federal Register notice.</w:t>
      </w:r>
    </w:p>
    <w:p w:rsidR="00FE0F36" w:rsidP="00C2417A" w:rsidRDefault="00FE0F36" w14:paraId="2C573A9B" w14:textId="77777777">
      <w:pPr>
        <w:pStyle w:val="Default"/>
        <w:ind w:left="720"/>
        <w:rPr>
          <w:color w:val="auto"/>
          <w:szCs w:val="28"/>
        </w:rPr>
      </w:pPr>
    </w:p>
    <w:p w:rsidR="00394D42" w:rsidP="00C2417A" w:rsidRDefault="00C2417A" w14:paraId="6687CF8F" w14:textId="653138A7">
      <w:pPr>
        <w:pStyle w:val="Default"/>
        <w:ind w:left="720"/>
        <w:rPr>
          <w:color w:val="auto"/>
        </w:rPr>
      </w:pPr>
      <w:r w:rsidRPr="00974766">
        <w:rPr>
          <w:color w:val="auto"/>
          <w:szCs w:val="28"/>
        </w:rPr>
        <w:lastRenderedPageBreak/>
        <w:t>Comments will be used to finalize the data collection.</w:t>
      </w:r>
      <w:r w:rsidRPr="00974766">
        <w:rPr>
          <w:color w:val="auto"/>
        </w:rPr>
        <w:t xml:space="preserve"> </w:t>
      </w:r>
      <w:r w:rsidR="00394D42">
        <w:rPr>
          <w:color w:val="auto"/>
        </w:rPr>
        <w:t xml:space="preserve">OME is </w:t>
      </w:r>
      <w:r w:rsidR="00B57D4B">
        <w:rPr>
          <w:color w:val="auto"/>
        </w:rPr>
        <w:t xml:space="preserve">especially interested in </w:t>
      </w:r>
      <w:r w:rsidR="00394D42">
        <w:rPr>
          <w:color w:val="auto"/>
        </w:rPr>
        <w:t xml:space="preserve">seeking comment </w:t>
      </w:r>
      <w:r w:rsidR="00B57D4B">
        <w:rPr>
          <w:color w:val="auto"/>
        </w:rPr>
        <w:t xml:space="preserve">from the field </w:t>
      </w:r>
      <w:r w:rsidR="00394D42">
        <w:rPr>
          <w:color w:val="auto"/>
        </w:rPr>
        <w:t xml:space="preserve">on job title classifications </w:t>
      </w:r>
      <w:r w:rsidR="00B57D4B">
        <w:rPr>
          <w:color w:val="auto"/>
        </w:rPr>
        <w:t>to be included on</w:t>
      </w:r>
      <w:r w:rsidR="00394D42">
        <w:rPr>
          <w:color w:val="auto"/>
        </w:rPr>
        <w:t xml:space="preserve"> the MSIX User Application Form; specifically whether the following job titles sufficiently cover MEP-funded and non</w:t>
      </w:r>
      <w:r w:rsidR="00087867">
        <w:rPr>
          <w:color w:val="auto"/>
        </w:rPr>
        <w:t xml:space="preserve"> </w:t>
      </w:r>
      <w:r w:rsidR="00394D42">
        <w:rPr>
          <w:color w:val="auto"/>
        </w:rPr>
        <w:t xml:space="preserve">MEP-funded individuals who access MSIX </w:t>
      </w:r>
      <w:r w:rsidR="00B57D4B">
        <w:rPr>
          <w:color w:val="auto"/>
        </w:rPr>
        <w:t xml:space="preserve">and </w:t>
      </w:r>
      <w:r w:rsidR="00394D42">
        <w:rPr>
          <w:color w:val="auto"/>
        </w:rPr>
        <w:t>are involved with enrollment, placement, credit accrual and</w:t>
      </w:r>
      <w:r w:rsidR="00B57D4B">
        <w:rPr>
          <w:color w:val="auto"/>
        </w:rPr>
        <w:t>/or</w:t>
      </w:r>
      <w:r w:rsidR="00394D42">
        <w:rPr>
          <w:color w:val="auto"/>
        </w:rPr>
        <w:t xml:space="preserve"> the identification and recruitment processes for migratory children: MEP Recruiter, School Registrar, Student Liaison/Advocate, Teacher and School Guidance Counselor. </w:t>
      </w:r>
      <w:r w:rsidR="00B57D4B">
        <w:rPr>
          <w:color w:val="auto"/>
        </w:rPr>
        <w:t>If not, what other job classifications should be listed in order to adequately account for all such individuals working in these areas with migratory children and/or their parents.</w:t>
      </w:r>
    </w:p>
    <w:p w:rsidR="00C2417A" w:rsidP="00AD381B" w:rsidRDefault="00C2417A" w14:paraId="29CA09E3" w14:textId="554DC1C5">
      <w:pPr>
        <w:tabs>
          <w:tab w:val="left" w:pos="-720"/>
        </w:tabs>
        <w:suppressAutoHyphens/>
        <w:ind w:left="720"/>
        <w:rPr>
          <w:rFonts w:ascii="Times New Roman" w:hAnsi="Times New Roman"/>
          <w:szCs w:val="24"/>
        </w:rPr>
      </w:pPr>
    </w:p>
    <w:p w:rsidR="007556E5" w:rsidP="00AD381B" w:rsidRDefault="007556E5" w14:paraId="230F9702" w14:textId="77777777">
      <w:pPr>
        <w:tabs>
          <w:tab w:val="left" w:pos="-720"/>
        </w:tabs>
        <w:suppressAutoHyphens/>
        <w:ind w:left="720"/>
        <w:rPr>
          <w:rFonts w:ascii="Times New Roman" w:hAnsi="Times New Roman"/>
          <w:szCs w:val="24"/>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77777777">
      <w:pPr>
        <w:pStyle w:val="ListParagraph"/>
        <w:tabs>
          <w:tab w:val="left" w:pos="-720"/>
        </w:tabs>
        <w:suppressAutoHyphens/>
        <w:contextualSpacing w:val="0"/>
        <w:rPr>
          <w:rFonts w:ascii="Times New Roman" w:hAnsi="Times New Roman"/>
          <w:b/>
          <w:szCs w:val="24"/>
        </w:rPr>
      </w:pPr>
    </w:p>
    <w:p w:rsidRPr="00826536" w:rsidR="00C2417A" w:rsidP="00C2417A" w:rsidRDefault="00C2417A" w14:paraId="3170C082" w14:textId="77777777">
      <w:pPr>
        <w:pStyle w:val="Default"/>
        <w:ind w:firstLine="720"/>
        <w:rPr>
          <w:color w:val="auto"/>
          <w:sz w:val="22"/>
          <w:szCs w:val="22"/>
        </w:rPr>
      </w:pPr>
      <w:r w:rsidRPr="00B57D4B">
        <w:rPr>
          <w:color w:val="auto"/>
          <w:sz w:val="22"/>
          <w:szCs w:val="22"/>
        </w:rPr>
        <w:t>A9.</w:t>
      </w:r>
      <w:r w:rsidRPr="00826536">
        <w:rPr>
          <w:i/>
          <w:iCs/>
          <w:color w:val="auto"/>
          <w:sz w:val="22"/>
          <w:szCs w:val="22"/>
        </w:rPr>
        <w:t xml:space="preserve"> </w:t>
      </w:r>
      <w:r w:rsidRPr="00826536">
        <w:rPr>
          <w:color w:val="auto"/>
          <w:sz w:val="22"/>
          <w:szCs w:val="22"/>
        </w:rPr>
        <w:t xml:space="preserve">No gifts or payments will be provided to respondents. </w:t>
      </w:r>
    </w:p>
    <w:p w:rsidR="00920F63" w:rsidP="00920F63" w:rsidRDefault="00920F63" w14:paraId="7BED2ED3" w14:textId="02FEF891">
      <w:pPr>
        <w:pStyle w:val="ListParagraph"/>
        <w:tabs>
          <w:tab w:val="left" w:pos="-720"/>
        </w:tabs>
        <w:suppressAutoHyphens/>
        <w:contextualSpacing w:val="0"/>
        <w:rPr>
          <w:rFonts w:ascii="Times New Roman" w:hAnsi="Times New Roman"/>
          <w:b/>
          <w:szCs w:val="24"/>
        </w:rPr>
      </w:pPr>
    </w:p>
    <w:p w:rsidRPr="00920F63" w:rsidR="00C2417A" w:rsidP="00920F63" w:rsidRDefault="00C2417A" w14:paraId="0A928123"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7BED2ED4" w14:textId="6026AED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C2417A" w:rsidP="00C2417A" w:rsidRDefault="00C2417A" w14:paraId="470E6757" w14:textId="48AD3382">
      <w:pPr>
        <w:pStyle w:val="ListParagraph"/>
        <w:tabs>
          <w:tab w:val="left" w:pos="-720"/>
        </w:tabs>
        <w:suppressAutoHyphens/>
        <w:contextualSpacing w:val="0"/>
        <w:rPr>
          <w:rFonts w:ascii="Times New Roman" w:hAnsi="Times New Roman"/>
          <w:b/>
          <w:szCs w:val="24"/>
        </w:rPr>
      </w:pPr>
    </w:p>
    <w:p w:rsidR="00C2417A" w:rsidP="00C2417A" w:rsidRDefault="00C2417A" w14:paraId="364390F4" w14:textId="5B6CFC7A">
      <w:pPr>
        <w:pStyle w:val="ListParagraph"/>
        <w:tabs>
          <w:tab w:val="left" w:pos="-720"/>
        </w:tabs>
        <w:suppressAutoHyphens/>
        <w:rPr>
          <w:rFonts w:ascii="Times New Roman" w:hAnsi="Times New Roman"/>
          <w:bCs/>
          <w:szCs w:val="24"/>
        </w:rPr>
      </w:pPr>
      <w:r w:rsidRPr="00C2417A">
        <w:rPr>
          <w:rFonts w:ascii="Times New Roman" w:hAnsi="Times New Roman"/>
          <w:bCs/>
          <w:szCs w:val="24"/>
        </w:rPr>
        <w:t xml:space="preserve">A10. Data collected on the MSIX User Application Form defined as “directory information” and is public information. Directory information is defined as a user’s name, work address, work telephone, email address, role and access level, which is used only to grant that person access to MSIX. All persons who access MSIX must read and affirm acceptance of the MSIX Rules of Behavior, which is a detailed description of the safeguards that each system user must comply with in order to protect the privacy and security of the information. </w:t>
      </w:r>
    </w:p>
    <w:p w:rsidRPr="00C2417A" w:rsidR="00F94BDA" w:rsidP="00C2417A" w:rsidRDefault="00F94BDA" w14:paraId="7F1EB4E6" w14:textId="77777777">
      <w:pPr>
        <w:pStyle w:val="ListParagraph"/>
        <w:tabs>
          <w:tab w:val="left" w:pos="-720"/>
        </w:tabs>
        <w:suppressAutoHyphens/>
        <w:rPr>
          <w:rFonts w:ascii="Times New Roman" w:hAnsi="Times New Roman"/>
          <w:bCs/>
          <w:szCs w:val="24"/>
        </w:rPr>
      </w:pPr>
    </w:p>
    <w:p w:rsidRPr="00F94BDA" w:rsidR="00F94BDA" w:rsidP="00F94BDA" w:rsidRDefault="00C2417A" w14:paraId="43942C91" w14:textId="5A1A1230">
      <w:pPr>
        <w:pStyle w:val="ListParagraph"/>
        <w:tabs>
          <w:tab w:val="left" w:pos="-720"/>
        </w:tabs>
        <w:suppressAutoHyphens/>
        <w:rPr>
          <w:rFonts w:ascii="Times New Roman" w:hAnsi="Times New Roman"/>
          <w:bCs/>
          <w:szCs w:val="24"/>
        </w:rPr>
      </w:pPr>
      <w:r w:rsidRPr="00C2417A">
        <w:rPr>
          <w:rFonts w:ascii="Times New Roman" w:hAnsi="Times New Roman"/>
          <w:bCs/>
          <w:szCs w:val="24"/>
        </w:rPr>
        <w:lastRenderedPageBreak/>
        <w:t>The privacy notice included on the application form states that without the respondent’s consent,</w:t>
      </w:r>
      <w:r w:rsidR="00F94BDA">
        <w:rPr>
          <w:rFonts w:ascii="Times New Roman" w:hAnsi="Times New Roman"/>
          <w:bCs/>
          <w:szCs w:val="24"/>
        </w:rPr>
        <w:t xml:space="preserve"> t</w:t>
      </w:r>
      <w:r w:rsidRPr="00F94BDA" w:rsidR="00F94BDA">
        <w:rPr>
          <w:rFonts w:ascii="Times New Roman" w:hAnsi="Times New Roman"/>
          <w:bCs/>
          <w:szCs w:val="24"/>
        </w:rPr>
        <w:t>he Department may make these disclosures on a case-by-case basis or, if the Department has complied with the computer matching requirements of the Privacy Act of 1974, as amended (Privacy Act), under a computer matching agreement.</w:t>
      </w:r>
      <w:r w:rsidR="00F94BDA">
        <w:rPr>
          <w:rFonts w:ascii="Times New Roman" w:hAnsi="Times New Roman"/>
          <w:bCs/>
          <w:szCs w:val="24"/>
        </w:rPr>
        <w:t xml:space="preserve"> Routine uses of records maintained in the MSIX system include:</w:t>
      </w:r>
    </w:p>
    <w:p w:rsidRPr="00F94BDA" w:rsidR="00F94BDA" w:rsidP="00F94BDA" w:rsidRDefault="00F94BDA" w14:paraId="267E9B88" w14:textId="77777777">
      <w:pPr>
        <w:pStyle w:val="ListParagraph"/>
        <w:tabs>
          <w:tab w:val="left" w:pos="-720"/>
        </w:tabs>
        <w:suppressAutoHyphens/>
        <w:rPr>
          <w:rFonts w:ascii="Times New Roman" w:hAnsi="Times New Roman"/>
          <w:bCs/>
          <w:szCs w:val="24"/>
        </w:rPr>
      </w:pPr>
      <w:r w:rsidRPr="00F94BDA">
        <w:rPr>
          <w:rFonts w:ascii="Times New Roman" w:hAnsi="Times New Roman"/>
          <w:bCs/>
          <w:szCs w:val="24"/>
        </w:rPr>
        <w:t>(1) </w:t>
      </w:r>
      <w:r w:rsidRPr="00F94BDA">
        <w:rPr>
          <w:rFonts w:ascii="Times New Roman" w:hAnsi="Times New Roman"/>
          <w:bCs/>
          <w:i/>
          <w:iCs/>
          <w:szCs w:val="24"/>
        </w:rPr>
        <w:t>MEP Services, School Enrollment, Grade or Course Placement, Accrual of High School Credits, Student Record Match Resolution, and Data Correction Disclosure.</w:t>
      </w:r>
      <w:r w:rsidRPr="00F94BDA">
        <w:rPr>
          <w:rFonts w:ascii="Times New Roman" w:hAnsi="Times New Roman"/>
          <w:bCs/>
          <w:szCs w:val="24"/>
        </w:rPr>
        <w:t> The Department may disclose a record in this system of records to authorized representatives of SEAs, LEAs, or other MEP LOAs to facilitate one or more of the following for a student: (a) Participation in the MEP, (b) enrollment in school, (c) grade or course placement, (d) credit accrual, (e) unique student match resolution, and (f) data correction by parents, guardians, and migratory children.</w:t>
      </w:r>
    </w:p>
    <w:p w:rsidRPr="00F94BDA" w:rsidR="00F94BDA" w:rsidP="00F94BDA" w:rsidRDefault="00F94BDA" w14:paraId="6221769D" w14:textId="77777777">
      <w:pPr>
        <w:pStyle w:val="ListParagraph"/>
        <w:tabs>
          <w:tab w:val="left" w:pos="-720"/>
        </w:tabs>
        <w:suppressAutoHyphens/>
        <w:rPr>
          <w:rFonts w:ascii="Times New Roman" w:hAnsi="Times New Roman"/>
          <w:bCs/>
          <w:szCs w:val="24"/>
        </w:rPr>
      </w:pPr>
      <w:r w:rsidRPr="00F94BDA">
        <w:rPr>
          <w:rFonts w:ascii="Times New Roman" w:hAnsi="Times New Roman"/>
          <w:bCs/>
          <w:szCs w:val="24"/>
        </w:rPr>
        <w:t>(2) </w:t>
      </w:r>
      <w:r w:rsidRPr="00F94BDA">
        <w:rPr>
          <w:rFonts w:ascii="Times New Roman" w:hAnsi="Times New Roman"/>
          <w:bCs/>
          <w:i/>
          <w:iCs/>
          <w:szCs w:val="24"/>
        </w:rPr>
        <w:t>Contract Disclosure.</w:t>
      </w:r>
      <w:r w:rsidRPr="00F94BDA">
        <w:rPr>
          <w:rFonts w:ascii="Times New Roman" w:hAnsi="Times New Roman"/>
          <w:bCs/>
          <w:szCs w:val="24"/>
        </w:rPr>
        <w:t> If the Department contracts with an entity for the purposes of performing any function that requires disclosure of records in this system to employees of the contractor, the Department may disclose the records to those employees who have received the appropriate level security clearance from the Department. As part of such a contract, the Department will require the contractor to agree to establish and maintain safeguards to protect the security and confidentiality of the disclosed records.</w:t>
      </w:r>
    </w:p>
    <w:p w:rsidRPr="00F94BDA" w:rsidR="00F94BDA" w:rsidP="00F94BDA" w:rsidRDefault="00F94BDA" w14:paraId="38D04671" w14:textId="77777777">
      <w:pPr>
        <w:pStyle w:val="ListParagraph"/>
        <w:tabs>
          <w:tab w:val="left" w:pos="-720"/>
        </w:tabs>
        <w:suppressAutoHyphens/>
        <w:rPr>
          <w:rFonts w:ascii="Times New Roman" w:hAnsi="Times New Roman"/>
          <w:bCs/>
          <w:szCs w:val="24"/>
        </w:rPr>
      </w:pPr>
      <w:r w:rsidRPr="00F94BDA">
        <w:rPr>
          <w:rFonts w:ascii="Times New Roman" w:hAnsi="Times New Roman"/>
          <w:bCs/>
          <w:szCs w:val="24"/>
        </w:rPr>
        <w:t>(3) </w:t>
      </w:r>
      <w:r w:rsidRPr="00F94BDA">
        <w:rPr>
          <w:rFonts w:ascii="Times New Roman" w:hAnsi="Times New Roman"/>
          <w:bCs/>
          <w:i/>
          <w:iCs/>
          <w:szCs w:val="24"/>
        </w:rPr>
        <w:t>Research Disclosure.</w:t>
      </w:r>
      <w:r w:rsidRPr="00F94BDA">
        <w:rPr>
          <w:rFonts w:ascii="Times New Roman" w:hAnsi="Times New Roman"/>
          <w:bCs/>
          <w:szCs w:val="24"/>
        </w:rPr>
        <w:t> The Department may disclose records from this system to a researcher if an appropriate official of the Department determines that the individual or organization to which the disclosure would be made is qualified to carry out specific research related to functions or purposes of this system of records. The official may disclose information from this system of records to that researcher solely for the purpose of carrying out that research related to the functions or purposes of this system of records. The researcher will be required to agree to establish and maintain safeguards to protect the security and confidentiality of the disclosed records.</w:t>
      </w:r>
    </w:p>
    <w:p w:rsidRPr="00F94BDA" w:rsidR="00F94BDA" w:rsidP="00F94BDA" w:rsidRDefault="00F94BDA" w14:paraId="292B3BFD" w14:textId="77777777">
      <w:pPr>
        <w:pStyle w:val="ListParagraph"/>
        <w:tabs>
          <w:tab w:val="left" w:pos="-720"/>
        </w:tabs>
        <w:suppressAutoHyphens/>
        <w:rPr>
          <w:rFonts w:ascii="Times New Roman" w:hAnsi="Times New Roman"/>
          <w:bCs/>
          <w:szCs w:val="24"/>
        </w:rPr>
      </w:pPr>
      <w:r w:rsidRPr="00F94BDA">
        <w:rPr>
          <w:rFonts w:ascii="Times New Roman" w:hAnsi="Times New Roman"/>
          <w:bCs/>
          <w:szCs w:val="24"/>
        </w:rPr>
        <w:t>(4) </w:t>
      </w:r>
      <w:r w:rsidRPr="00F94BDA">
        <w:rPr>
          <w:rFonts w:ascii="Times New Roman" w:hAnsi="Times New Roman"/>
          <w:bCs/>
          <w:i/>
          <w:iCs/>
          <w:szCs w:val="24"/>
        </w:rPr>
        <w:t>Freedom of Information Act (FOIA) or Privacy Act Advice Disclosure.</w:t>
      </w:r>
      <w:r w:rsidRPr="00F94BDA">
        <w:rPr>
          <w:rFonts w:ascii="Times New Roman" w:hAnsi="Times New Roman"/>
          <w:bCs/>
          <w:szCs w:val="24"/>
        </w:rPr>
        <w:t> The Department may disclose records to the U.S. Department of Justice (DOJ) or the Office of Management and Budget (OMB) if the Department concludes that disclosure is desirable or necessary to determine whether particular records are required to be disclosed under the FOIA or the Privacy Act.</w:t>
      </w:r>
    </w:p>
    <w:p w:rsidRPr="00F94BDA" w:rsidR="00F94BDA" w:rsidP="00F94BDA" w:rsidRDefault="00F94BDA" w14:paraId="7AA911B4" w14:textId="77777777">
      <w:pPr>
        <w:pStyle w:val="ListParagraph"/>
        <w:tabs>
          <w:tab w:val="left" w:pos="-720"/>
        </w:tabs>
        <w:suppressAutoHyphens/>
        <w:rPr>
          <w:rFonts w:ascii="Times New Roman" w:hAnsi="Times New Roman"/>
          <w:bCs/>
          <w:szCs w:val="24"/>
        </w:rPr>
      </w:pPr>
      <w:r w:rsidRPr="00F94BDA">
        <w:rPr>
          <w:rFonts w:ascii="Times New Roman" w:hAnsi="Times New Roman"/>
          <w:bCs/>
          <w:szCs w:val="24"/>
        </w:rPr>
        <w:t>(5) </w:t>
      </w:r>
      <w:r w:rsidRPr="00F94BDA">
        <w:rPr>
          <w:rFonts w:ascii="Times New Roman" w:hAnsi="Times New Roman"/>
          <w:bCs/>
          <w:i/>
          <w:iCs/>
          <w:szCs w:val="24"/>
        </w:rPr>
        <w:t>Disclosure in the Course of Responding to a Breach of Data.</w:t>
      </w:r>
      <w:r w:rsidRPr="00F94BDA">
        <w:rPr>
          <w:rFonts w:ascii="Times New Roman" w:hAnsi="Times New Roman"/>
          <w:bCs/>
          <w:szCs w:val="24"/>
        </w:rPr>
        <w:t> The Department may disclose records from this system to appropriate agencies, entities, and persons when (a) the Department suspects or has confirmed that there has been a breach of the system of records; (b) the Department has determined that as a result of the suspected or confirmed breach, there is a risk of harm to individuals, the Department (including its information systems, programs, and operations), the Federal Government, or national security; and, (c) the disclosure made to such agencies, entities, and persons is reasonably necessary to assist in connection with the Department's efforts in responding to respond to the suspected or confirmed breach or to prevent, minimize, or remedy such harm.</w:t>
      </w:r>
    </w:p>
    <w:p w:rsidRPr="00F94BDA" w:rsidR="00F94BDA" w:rsidP="00F94BDA" w:rsidRDefault="00F94BDA" w14:paraId="43191A74" w14:textId="77777777">
      <w:pPr>
        <w:pStyle w:val="ListParagraph"/>
        <w:tabs>
          <w:tab w:val="left" w:pos="-720"/>
        </w:tabs>
        <w:suppressAutoHyphens/>
        <w:rPr>
          <w:rFonts w:ascii="Times New Roman" w:hAnsi="Times New Roman"/>
          <w:bCs/>
          <w:szCs w:val="24"/>
        </w:rPr>
      </w:pPr>
      <w:r w:rsidRPr="00F94BDA">
        <w:rPr>
          <w:rFonts w:ascii="Times New Roman" w:hAnsi="Times New Roman"/>
          <w:bCs/>
          <w:szCs w:val="24"/>
        </w:rPr>
        <w:t>(6) </w:t>
      </w:r>
      <w:r w:rsidRPr="00F94BDA">
        <w:rPr>
          <w:rFonts w:ascii="Times New Roman" w:hAnsi="Times New Roman"/>
          <w:bCs/>
          <w:i/>
          <w:iCs/>
          <w:szCs w:val="24"/>
        </w:rPr>
        <w:t>Litigation or Alternative Dispute Resolution (ADR) Disclosure.</w:t>
      </w:r>
    </w:p>
    <w:p w:rsidRPr="00F94BDA" w:rsidR="00F94BDA" w:rsidP="00F94BDA" w:rsidRDefault="00F94BDA" w14:paraId="3518BBEB" w14:textId="77777777">
      <w:pPr>
        <w:pStyle w:val="ListParagraph"/>
        <w:tabs>
          <w:tab w:val="left" w:pos="-720"/>
        </w:tabs>
        <w:suppressAutoHyphens/>
        <w:rPr>
          <w:rFonts w:ascii="Times New Roman" w:hAnsi="Times New Roman"/>
          <w:bCs/>
          <w:szCs w:val="24"/>
        </w:rPr>
      </w:pPr>
      <w:r w:rsidRPr="00F94BDA">
        <w:rPr>
          <w:rFonts w:ascii="Times New Roman" w:hAnsi="Times New Roman"/>
          <w:bCs/>
          <w:szCs w:val="24"/>
        </w:rPr>
        <w:t>(a) </w:t>
      </w:r>
      <w:r w:rsidRPr="00F94BDA">
        <w:rPr>
          <w:rFonts w:ascii="Times New Roman" w:hAnsi="Times New Roman"/>
          <w:bCs/>
          <w:i/>
          <w:iCs/>
          <w:szCs w:val="24"/>
        </w:rPr>
        <w:t>Introduction.</w:t>
      </w:r>
      <w:r w:rsidRPr="00F94BDA">
        <w:rPr>
          <w:rFonts w:ascii="Times New Roman" w:hAnsi="Times New Roman"/>
          <w:bCs/>
          <w:szCs w:val="24"/>
        </w:rPr>
        <w:t> In the event that one of the following parties is involved in litigation or ADR, or has an interest in litigation or ADR, the Department may disclose certain records to the parties described in paragraphs b, c, and d of this routine use under the conditions specified in those paragraphs:</w:t>
      </w:r>
    </w:p>
    <w:p w:rsidRPr="00F94BDA" w:rsidR="00F94BDA" w:rsidP="00F94BDA" w:rsidRDefault="00F94BDA" w14:paraId="10EDEFCE" w14:textId="77777777">
      <w:pPr>
        <w:pStyle w:val="ListParagraph"/>
        <w:tabs>
          <w:tab w:val="left" w:pos="-720"/>
        </w:tabs>
        <w:suppressAutoHyphens/>
        <w:rPr>
          <w:rFonts w:ascii="Times New Roman" w:hAnsi="Times New Roman"/>
          <w:bCs/>
          <w:szCs w:val="24"/>
        </w:rPr>
      </w:pPr>
      <w:r w:rsidRPr="00F94BDA">
        <w:rPr>
          <w:rFonts w:ascii="Times New Roman" w:hAnsi="Times New Roman"/>
          <w:bCs/>
          <w:szCs w:val="24"/>
        </w:rPr>
        <w:t>(i) The Department or any of its components.</w:t>
      </w:r>
    </w:p>
    <w:p w:rsidRPr="00F94BDA" w:rsidR="00F94BDA" w:rsidP="00F94BDA" w:rsidRDefault="00F94BDA" w14:paraId="1315659D" w14:textId="77777777">
      <w:pPr>
        <w:pStyle w:val="ListParagraph"/>
        <w:tabs>
          <w:tab w:val="left" w:pos="-720"/>
        </w:tabs>
        <w:suppressAutoHyphens/>
        <w:rPr>
          <w:rFonts w:ascii="Times New Roman" w:hAnsi="Times New Roman"/>
          <w:bCs/>
          <w:szCs w:val="24"/>
        </w:rPr>
      </w:pPr>
      <w:r w:rsidRPr="00F94BDA">
        <w:rPr>
          <w:rFonts w:ascii="Times New Roman" w:hAnsi="Times New Roman"/>
          <w:bCs/>
          <w:szCs w:val="24"/>
        </w:rPr>
        <w:lastRenderedPageBreak/>
        <w:t>(ii) Any Department employee in his or her official capacity.</w:t>
      </w:r>
    </w:p>
    <w:p w:rsidRPr="00F94BDA" w:rsidR="00F94BDA" w:rsidP="00F94BDA" w:rsidRDefault="00F94BDA" w14:paraId="36E7FF38" w14:textId="77777777">
      <w:pPr>
        <w:pStyle w:val="ListParagraph"/>
        <w:tabs>
          <w:tab w:val="left" w:pos="-720"/>
        </w:tabs>
        <w:suppressAutoHyphens/>
        <w:rPr>
          <w:rFonts w:ascii="Times New Roman" w:hAnsi="Times New Roman"/>
          <w:bCs/>
          <w:szCs w:val="24"/>
        </w:rPr>
      </w:pPr>
      <w:r w:rsidRPr="00F94BDA">
        <w:rPr>
          <w:rFonts w:ascii="Times New Roman" w:hAnsi="Times New Roman"/>
          <w:bCs/>
          <w:szCs w:val="24"/>
        </w:rPr>
        <w:t>(iii) Any employee of the Department in his or her individual capacity where DOJ has agreed to or has been requested to provide or arrange for representation of the employee.</w:t>
      </w:r>
    </w:p>
    <w:p w:rsidRPr="00F94BDA" w:rsidR="00F94BDA" w:rsidP="00F94BDA" w:rsidRDefault="00F94BDA" w14:paraId="7D36D03F" w14:textId="77777777">
      <w:pPr>
        <w:pStyle w:val="ListParagraph"/>
        <w:tabs>
          <w:tab w:val="left" w:pos="-720"/>
        </w:tabs>
        <w:suppressAutoHyphens/>
        <w:rPr>
          <w:rFonts w:ascii="Times New Roman" w:hAnsi="Times New Roman"/>
          <w:bCs/>
          <w:szCs w:val="24"/>
        </w:rPr>
      </w:pPr>
      <w:r w:rsidRPr="00F94BDA">
        <w:rPr>
          <w:rFonts w:ascii="Times New Roman" w:hAnsi="Times New Roman"/>
          <w:bCs/>
          <w:szCs w:val="24"/>
        </w:rPr>
        <w:t>(iv) Any employee of the Department in his or her individual capacity where the Department has agreed to represent the employee.</w:t>
      </w:r>
    </w:p>
    <w:p w:rsidRPr="00F94BDA" w:rsidR="00F94BDA" w:rsidP="00F94BDA" w:rsidRDefault="00F94BDA" w14:paraId="3ADFF6F9" w14:textId="77777777">
      <w:pPr>
        <w:pStyle w:val="ListParagraph"/>
        <w:tabs>
          <w:tab w:val="left" w:pos="-720"/>
        </w:tabs>
        <w:suppressAutoHyphens/>
        <w:rPr>
          <w:rFonts w:ascii="Times New Roman" w:hAnsi="Times New Roman"/>
          <w:bCs/>
          <w:szCs w:val="24"/>
        </w:rPr>
      </w:pPr>
      <w:r w:rsidRPr="00F94BDA">
        <w:rPr>
          <w:rFonts w:ascii="Times New Roman" w:hAnsi="Times New Roman"/>
          <w:bCs/>
          <w:szCs w:val="24"/>
        </w:rPr>
        <w:t>(v) The United States where the Department determines that the litigation is likely to affect the Department or any of its components.</w:t>
      </w:r>
    </w:p>
    <w:p w:rsidRPr="00F94BDA" w:rsidR="00F94BDA" w:rsidP="00F94BDA" w:rsidRDefault="00F94BDA" w14:paraId="3D12927D" w14:textId="77777777">
      <w:pPr>
        <w:pStyle w:val="ListParagraph"/>
        <w:tabs>
          <w:tab w:val="left" w:pos="-720"/>
        </w:tabs>
        <w:suppressAutoHyphens/>
        <w:rPr>
          <w:rFonts w:ascii="Times New Roman" w:hAnsi="Times New Roman"/>
          <w:bCs/>
          <w:szCs w:val="24"/>
        </w:rPr>
      </w:pPr>
      <w:r w:rsidRPr="00F94BDA">
        <w:rPr>
          <w:rFonts w:ascii="Times New Roman" w:hAnsi="Times New Roman"/>
          <w:bCs/>
          <w:szCs w:val="24"/>
        </w:rPr>
        <w:t>(b) </w:t>
      </w:r>
      <w:r w:rsidRPr="00F94BDA">
        <w:rPr>
          <w:rFonts w:ascii="Times New Roman" w:hAnsi="Times New Roman"/>
          <w:bCs/>
          <w:i/>
          <w:iCs/>
          <w:szCs w:val="24"/>
        </w:rPr>
        <w:t>Disclosure to DOJ.</w:t>
      </w:r>
      <w:r w:rsidRPr="00F94BDA">
        <w:rPr>
          <w:rFonts w:ascii="Times New Roman" w:hAnsi="Times New Roman"/>
          <w:bCs/>
          <w:szCs w:val="24"/>
        </w:rPr>
        <w:t> If the Department determines that disclosure of certain records to DOJ, or attorneys engaged by DOJ, is relevant and necessary to litigation or ADR, and is compatible with the purpose for which the records were collected, the Department may disclose those records as a routine use to DOJ.</w:t>
      </w:r>
    </w:p>
    <w:p w:rsidRPr="00F94BDA" w:rsidR="00F94BDA" w:rsidP="00F94BDA" w:rsidRDefault="00F94BDA" w14:paraId="0C8A8BB2" w14:textId="77777777">
      <w:pPr>
        <w:pStyle w:val="ListParagraph"/>
        <w:tabs>
          <w:tab w:val="left" w:pos="-720"/>
        </w:tabs>
        <w:suppressAutoHyphens/>
        <w:rPr>
          <w:rFonts w:ascii="Times New Roman" w:hAnsi="Times New Roman"/>
          <w:bCs/>
          <w:szCs w:val="24"/>
        </w:rPr>
      </w:pPr>
      <w:r w:rsidRPr="00F94BDA">
        <w:rPr>
          <w:rFonts w:ascii="Times New Roman" w:hAnsi="Times New Roman"/>
          <w:bCs/>
          <w:szCs w:val="24"/>
        </w:rPr>
        <w:t>(c) </w:t>
      </w:r>
      <w:r w:rsidRPr="00F94BDA">
        <w:rPr>
          <w:rFonts w:ascii="Times New Roman" w:hAnsi="Times New Roman"/>
          <w:bCs/>
          <w:i/>
          <w:iCs/>
          <w:szCs w:val="24"/>
        </w:rPr>
        <w:t>Adjudicative Disclosure.</w:t>
      </w:r>
      <w:r w:rsidRPr="00F94BDA">
        <w:rPr>
          <w:rFonts w:ascii="Times New Roman" w:hAnsi="Times New Roman"/>
          <w:bCs/>
          <w:szCs w:val="24"/>
        </w:rPr>
        <w:t> If the Department determines that disclosure of certain records to an adjudicative body before which the Department is authorized to appear or to a person or entity designated by the Department or otherwise empowered to resolve or mediate disputes is relevant and necessary to litigation or ADR, and is compatible with the purpose for which the records were collected, the Department may disclose those records as a routine use to the adjudicative body, person, or entity.</w:t>
      </w:r>
    </w:p>
    <w:p w:rsidRPr="00F94BDA" w:rsidR="00F94BDA" w:rsidP="00F94BDA" w:rsidRDefault="00F94BDA" w14:paraId="3A1DEDAD" w14:textId="77777777">
      <w:pPr>
        <w:pStyle w:val="ListParagraph"/>
        <w:tabs>
          <w:tab w:val="left" w:pos="-720"/>
        </w:tabs>
        <w:suppressAutoHyphens/>
        <w:rPr>
          <w:rFonts w:ascii="Times New Roman" w:hAnsi="Times New Roman"/>
          <w:bCs/>
          <w:szCs w:val="24"/>
        </w:rPr>
      </w:pPr>
      <w:r w:rsidRPr="00F94BDA">
        <w:rPr>
          <w:rFonts w:ascii="Times New Roman" w:hAnsi="Times New Roman"/>
          <w:bCs/>
          <w:szCs w:val="24"/>
        </w:rPr>
        <w:t>(d) </w:t>
      </w:r>
      <w:r w:rsidRPr="00F94BDA">
        <w:rPr>
          <w:rFonts w:ascii="Times New Roman" w:hAnsi="Times New Roman"/>
          <w:bCs/>
          <w:i/>
          <w:iCs/>
          <w:szCs w:val="24"/>
        </w:rPr>
        <w:t>Disclosure to Parties, Counsel, Representatives, and Witnesses.</w:t>
      </w:r>
      <w:r w:rsidRPr="00F94BDA">
        <w:rPr>
          <w:rFonts w:ascii="Times New Roman" w:hAnsi="Times New Roman"/>
          <w:bCs/>
          <w:szCs w:val="24"/>
        </w:rPr>
        <w:t> If the Department determines that disclosure of certain records to a party, counsel, representative, or witness is relevant and necessary to litigation or ADR, and is compatible with the purpose for which the records were collected, the Department may disclose those records as a routine use to a party, counsel, representative, or witness.</w:t>
      </w:r>
    </w:p>
    <w:p w:rsidRPr="00F94BDA" w:rsidR="00F94BDA" w:rsidP="00F94BDA" w:rsidRDefault="00F94BDA" w14:paraId="2933E0AA" w14:textId="77777777">
      <w:pPr>
        <w:pStyle w:val="ListParagraph"/>
        <w:tabs>
          <w:tab w:val="left" w:pos="-720"/>
        </w:tabs>
        <w:suppressAutoHyphens/>
        <w:rPr>
          <w:rFonts w:ascii="Times New Roman" w:hAnsi="Times New Roman"/>
          <w:bCs/>
          <w:szCs w:val="24"/>
        </w:rPr>
      </w:pPr>
      <w:r w:rsidRPr="00F94BDA">
        <w:rPr>
          <w:rFonts w:ascii="Times New Roman" w:hAnsi="Times New Roman"/>
          <w:bCs/>
          <w:szCs w:val="24"/>
        </w:rPr>
        <w:t>(7) </w:t>
      </w:r>
      <w:r w:rsidRPr="00F94BDA">
        <w:rPr>
          <w:rFonts w:ascii="Times New Roman" w:hAnsi="Times New Roman"/>
          <w:bCs/>
          <w:i/>
          <w:iCs/>
          <w:szCs w:val="24"/>
        </w:rPr>
        <w:t>Congressional Member Disclosure.</w:t>
      </w:r>
      <w:r w:rsidRPr="00F94BDA">
        <w:rPr>
          <w:rFonts w:ascii="Times New Roman" w:hAnsi="Times New Roman"/>
          <w:bCs/>
          <w:szCs w:val="24"/>
        </w:rPr>
        <w:t> The Department may disclose information from a record of an individual to a member of Congress and his or her staff in response to an inquiry from the member made at the written request of that individual. The member's right to the information is no greater than the right of the individual who requested it.</w:t>
      </w:r>
    </w:p>
    <w:p w:rsidRPr="00F94BDA" w:rsidR="00F94BDA" w:rsidP="00F94BDA" w:rsidRDefault="00F94BDA" w14:paraId="463E92EE" w14:textId="35389368">
      <w:pPr>
        <w:pStyle w:val="ListParagraph"/>
        <w:tabs>
          <w:tab w:val="left" w:pos="-720"/>
        </w:tabs>
        <w:suppressAutoHyphens/>
        <w:rPr>
          <w:rFonts w:ascii="Times New Roman" w:hAnsi="Times New Roman"/>
          <w:bCs/>
          <w:szCs w:val="24"/>
        </w:rPr>
      </w:pPr>
      <w:r w:rsidRPr="00F94BDA">
        <w:rPr>
          <w:rFonts w:ascii="Times New Roman" w:hAnsi="Times New Roman"/>
          <w:bCs/>
          <w:szCs w:val="24"/>
        </w:rPr>
        <w:t>(8) </w:t>
      </w:r>
      <w:r w:rsidRPr="00F94BDA">
        <w:rPr>
          <w:rFonts w:ascii="Times New Roman" w:hAnsi="Times New Roman"/>
          <w:bCs/>
          <w:i/>
          <w:iCs/>
          <w:szCs w:val="24"/>
        </w:rPr>
        <w:t>Disclosure in Assisting another Agency in Responding to a Breach of Data.</w:t>
      </w:r>
      <w:r w:rsidRPr="00F94BDA">
        <w:rPr>
          <w:rFonts w:ascii="Times New Roman" w:hAnsi="Times New Roman"/>
          <w:bCs/>
          <w:szCs w:val="24"/>
        </w:rPr>
        <w:t> The Department may disclose records from this system to another Federal agency or Federal entity, when the Department determines that information from this system of records is reasonably necessary to assist the recipient agency or entity in (a) responding to a suspected or confirmed breach or (b) preventing, minimizing, or remedying the risk of harm to individuals, the recipient agency or entity (including its information systems, programs, and operations), the Federal Government, or national security, resulting from a suspected or confirmed breach.</w:t>
      </w:r>
    </w:p>
    <w:p w:rsidR="00FA0098" w:rsidP="00C2417A" w:rsidRDefault="00FA0098" w14:paraId="5A405630" w14:textId="3D50E646">
      <w:pPr>
        <w:pStyle w:val="ListParagraph"/>
        <w:tabs>
          <w:tab w:val="left" w:pos="-720"/>
        </w:tabs>
        <w:suppressAutoHyphens/>
        <w:contextualSpacing w:val="0"/>
        <w:rPr>
          <w:rFonts w:ascii="Times New Roman" w:hAnsi="Times New Roman"/>
          <w:bCs/>
          <w:szCs w:val="24"/>
        </w:rPr>
      </w:pPr>
    </w:p>
    <w:p w:rsidRPr="00C2417A" w:rsidR="00FA0098" w:rsidP="00C2417A" w:rsidRDefault="00FA0098" w14:paraId="639EE4F8" w14:textId="77AB4DDD">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The System of Record Notice was last published in the federal register on 07/10/2019 (</w:t>
      </w:r>
      <w:r w:rsidRPr="00FA0098">
        <w:rPr>
          <w:rFonts w:ascii="Times New Roman" w:hAnsi="Times New Roman"/>
          <w:bCs/>
          <w:szCs w:val="24"/>
        </w:rPr>
        <w:t>84 FR 32895</w:t>
      </w:r>
      <w:r>
        <w:rPr>
          <w:rFonts w:ascii="Times New Roman" w:hAnsi="Times New Roman"/>
          <w:bCs/>
          <w:szCs w:val="24"/>
        </w:rPr>
        <w:t>).</w:t>
      </w:r>
    </w:p>
    <w:p w:rsidRPr="00920F63" w:rsidR="00920F63" w:rsidP="00E25EBC" w:rsidRDefault="00920F63" w14:paraId="7BED2ED6" w14:textId="77777777">
      <w:pPr>
        <w:tabs>
          <w:tab w:val="left" w:pos="-720"/>
        </w:tabs>
        <w:suppressAutoHyphens/>
        <w:rPr>
          <w:rFonts w:ascii="Times New Roman" w:hAnsi="Times New Roman"/>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7BED2ED8" w14:textId="2FBE216E">
      <w:pPr>
        <w:tabs>
          <w:tab w:val="left" w:pos="-720"/>
        </w:tabs>
        <w:suppressAutoHyphens/>
        <w:rPr>
          <w:rFonts w:ascii="Times New Roman" w:hAnsi="Times New Roman"/>
          <w:b/>
          <w:szCs w:val="24"/>
        </w:rPr>
      </w:pPr>
    </w:p>
    <w:p w:rsidRPr="00FA0098" w:rsidR="00FA0098" w:rsidP="00920F63" w:rsidRDefault="00FA0098" w14:paraId="2C153654" w14:textId="70FCF61D">
      <w:pPr>
        <w:tabs>
          <w:tab w:val="left" w:pos="-720"/>
        </w:tabs>
        <w:suppressAutoHyphens/>
        <w:rPr>
          <w:rFonts w:ascii="Times New Roman" w:hAnsi="Times New Roman"/>
          <w:bCs/>
          <w:szCs w:val="24"/>
        </w:rPr>
      </w:pPr>
      <w:r>
        <w:rPr>
          <w:rFonts w:ascii="Times New Roman" w:hAnsi="Times New Roman"/>
          <w:b/>
          <w:szCs w:val="24"/>
        </w:rPr>
        <w:tab/>
      </w:r>
      <w:r w:rsidRPr="00FA0098">
        <w:rPr>
          <w:rFonts w:ascii="Times New Roman" w:hAnsi="Times New Roman"/>
          <w:bCs/>
          <w:szCs w:val="24"/>
        </w:rPr>
        <w:t>A11. There are no questions of a sensitive nature.</w:t>
      </w:r>
    </w:p>
    <w:p w:rsidRPr="00920F63" w:rsidR="00920F63" w:rsidP="00920F63" w:rsidRDefault="00920F63" w14:paraId="7BED2ED9" w14:textId="77777777">
      <w:pPr>
        <w:tabs>
          <w:tab w:val="left" w:pos="-720"/>
        </w:tabs>
        <w:suppressAutoHyphens/>
        <w:ind w:left="180"/>
        <w:rPr>
          <w:rFonts w:ascii="Times New Roman" w:hAnsi="Times New Roman"/>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00946126" w:rsidP="00946126" w:rsidRDefault="00946126" w14:paraId="7BED2EE2" w14:textId="700F57F3">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FA0098" w:rsidP="00FA0098" w:rsidRDefault="00FA0098" w14:paraId="78D74352" w14:textId="6E0CA5B7">
      <w:pPr>
        <w:pStyle w:val="ListParagraph"/>
        <w:tabs>
          <w:tab w:val="left" w:pos="-720"/>
        </w:tabs>
        <w:suppressAutoHyphens/>
        <w:contextualSpacing w:val="0"/>
        <w:rPr>
          <w:rFonts w:ascii="Times New Roman" w:hAnsi="Times New Roman"/>
          <w:bCs/>
          <w:sz w:val="26"/>
          <w:szCs w:val="26"/>
        </w:rPr>
      </w:pPr>
      <w:r w:rsidRPr="00FA0098">
        <w:rPr>
          <w:rFonts w:ascii="Times New Roman" w:hAnsi="Times New Roman"/>
          <w:bCs/>
          <w:sz w:val="26"/>
          <w:szCs w:val="26"/>
        </w:rPr>
        <w:t>A12.</w:t>
      </w:r>
      <w:r>
        <w:rPr>
          <w:rFonts w:ascii="Times New Roman" w:hAnsi="Times New Roman"/>
          <w:bCs/>
          <w:sz w:val="26"/>
          <w:szCs w:val="26"/>
        </w:rPr>
        <w:t xml:space="preserve"> </w:t>
      </w:r>
      <w:r w:rsidRPr="00FA0098">
        <w:rPr>
          <w:rFonts w:ascii="Times New Roman" w:hAnsi="Times New Roman"/>
          <w:bCs/>
          <w:sz w:val="26"/>
          <w:szCs w:val="26"/>
        </w:rPr>
        <w:t>The estimated time required to complete the MSIX User Application Form is 30 minutes (or 0.5 hour) per form. The Applicant</w:t>
      </w:r>
      <w:r w:rsidR="00BC4524">
        <w:rPr>
          <w:rFonts w:ascii="Times New Roman" w:hAnsi="Times New Roman"/>
          <w:bCs/>
          <w:sz w:val="26"/>
          <w:szCs w:val="26"/>
        </w:rPr>
        <w:t xml:space="preserve"> is expected to spend approximately 10 minutes for their section</w:t>
      </w:r>
      <w:r w:rsidRPr="00FA0098">
        <w:rPr>
          <w:rFonts w:ascii="Times New Roman" w:hAnsi="Times New Roman"/>
          <w:bCs/>
          <w:sz w:val="26"/>
          <w:szCs w:val="26"/>
        </w:rPr>
        <w:t xml:space="preserve">, the Verifying Authority </w:t>
      </w:r>
      <w:r w:rsidR="00BC4524">
        <w:rPr>
          <w:rFonts w:ascii="Times New Roman" w:hAnsi="Times New Roman"/>
          <w:bCs/>
          <w:sz w:val="26"/>
          <w:szCs w:val="26"/>
        </w:rPr>
        <w:t xml:space="preserve">is expected to spend approximately 5 minutes in their section </w:t>
      </w:r>
      <w:r w:rsidRPr="00FA0098">
        <w:rPr>
          <w:rFonts w:ascii="Times New Roman" w:hAnsi="Times New Roman"/>
          <w:bCs/>
          <w:sz w:val="26"/>
          <w:szCs w:val="26"/>
        </w:rPr>
        <w:t xml:space="preserve">and the Approving Authority </w:t>
      </w:r>
      <w:r w:rsidR="00BC4524">
        <w:rPr>
          <w:rFonts w:ascii="Times New Roman" w:hAnsi="Times New Roman"/>
          <w:bCs/>
          <w:sz w:val="26"/>
          <w:szCs w:val="26"/>
        </w:rPr>
        <w:t>is</w:t>
      </w:r>
      <w:r w:rsidRPr="00FA0098">
        <w:rPr>
          <w:rFonts w:ascii="Times New Roman" w:hAnsi="Times New Roman"/>
          <w:bCs/>
          <w:sz w:val="26"/>
          <w:szCs w:val="26"/>
        </w:rPr>
        <w:t xml:space="preserve"> estimated to spend approximately 1</w:t>
      </w:r>
      <w:r w:rsidR="00BC4524">
        <w:rPr>
          <w:rFonts w:ascii="Times New Roman" w:hAnsi="Times New Roman"/>
          <w:bCs/>
          <w:sz w:val="26"/>
          <w:szCs w:val="26"/>
        </w:rPr>
        <w:t>5</w:t>
      </w:r>
      <w:r w:rsidRPr="00FA0098">
        <w:rPr>
          <w:rFonts w:ascii="Times New Roman" w:hAnsi="Times New Roman"/>
          <w:bCs/>
          <w:sz w:val="26"/>
          <w:szCs w:val="26"/>
        </w:rPr>
        <w:t xml:space="preserve"> minutes each for their respective section and </w:t>
      </w:r>
      <w:r w:rsidR="00BC4524">
        <w:rPr>
          <w:rFonts w:ascii="Times New Roman" w:hAnsi="Times New Roman"/>
          <w:bCs/>
          <w:sz w:val="26"/>
          <w:szCs w:val="26"/>
        </w:rPr>
        <w:t>filing of the form</w:t>
      </w:r>
      <w:r w:rsidR="006E1617">
        <w:rPr>
          <w:rFonts w:ascii="Times New Roman" w:hAnsi="Times New Roman"/>
          <w:bCs/>
          <w:sz w:val="26"/>
          <w:szCs w:val="26"/>
        </w:rPr>
        <w:t>, for a total of 30 minutes</w:t>
      </w:r>
      <w:r w:rsidRPr="00FA0098">
        <w:rPr>
          <w:rFonts w:ascii="Times New Roman" w:hAnsi="Times New Roman"/>
          <w:bCs/>
          <w:sz w:val="26"/>
          <w:szCs w:val="26"/>
        </w:rPr>
        <w:t>.  The average number of new responses of the MSIX User Application Forms</w:t>
      </w:r>
      <w:r w:rsidR="002012A2">
        <w:rPr>
          <w:rFonts w:ascii="Times New Roman" w:hAnsi="Times New Roman"/>
          <w:bCs/>
          <w:sz w:val="26"/>
          <w:szCs w:val="26"/>
        </w:rPr>
        <w:t xml:space="preserve"> from</w:t>
      </w:r>
      <w:r w:rsidRPr="00FA0098">
        <w:rPr>
          <w:rFonts w:ascii="Times New Roman" w:hAnsi="Times New Roman"/>
          <w:bCs/>
          <w:sz w:val="26"/>
          <w:szCs w:val="26"/>
        </w:rPr>
        <w:t xml:space="preserve"> 201</w:t>
      </w:r>
      <w:r w:rsidR="002012A2">
        <w:rPr>
          <w:rFonts w:ascii="Times New Roman" w:hAnsi="Times New Roman"/>
          <w:bCs/>
          <w:sz w:val="26"/>
          <w:szCs w:val="26"/>
        </w:rPr>
        <w:t>7, 2018</w:t>
      </w:r>
      <w:r w:rsidRPr="00FA0098">
        <w:rPr>
          <w:rFonts w:ascii="Times New Roman" w:hAnsi="Times New Roman"/>
          <w:bCs/>
          <w:sz w:val="26"/>
          <w:szCs w:val="26"/>
        </w:rPr>
        <w:t xml:space="preserve"> and 20</w:t>
      </w:r>
      <w:r w:rsidR="002012A2">
        <w:rPr>
          <w:rFonts w:ascii="Times New Roman" w:hAnsi="Times New Roman"/>
          <w:bCs/>
          <w:sz w:val="26"/>
          <w:szCs w:val="26"/>
        </w:rPr>
        <w:t>19</w:t>
      </w:r>
      <w:r w:rsidRPr="00FA0098">
        <w:rPr>
          <w:rFonts w:ascii="Times New Roman" w:hAnsi="Times New Roman"/>
          <w:bCs/>
          <w:sz w:val="26"/>
          <w:szCs w:val="26"/>
        </w:rPr>
        <w:t xml:space="preserve"> was </w:t>
      </w:r>
      <w:r>
        <w:rPr>
          <w:rFonts w:ascii="Times New Roman" w:hAnsi="Times New Roman"/>
          <w:bCs/>
          <w:sz w:val="26"/>
          <w:szCs w:val="26"/>
        </w:rPr>
        <w:t>312</w:t>
      </w:r>
      <w:r w:rsidRPr="00FA0098">
        <w:rPr>
          <w:rFonts w:ascii="Times New Roman" w:hAnsi="Times New Roman"/>
          <w:bCs/>
          <w:sz w:val="26"/>
          <w:szCs w:val="26"/>
        </w:rPr>
        <w:t xml:space="preserve"> per year. Total burden hours </w:t>
      </w:r>
      <w:proofErr w:type="gramStart"/>
      <w:r w:rsidRPr="00FA0098">
        <w:rPr>
          <w:rFonts w:ascii="Times New Roman" w:hAnsi="Times New Roman"/>
          <w:bCs/>
          <w:sz w:val="26"/>
          <w:szCs w:val="26"/>
        </w:rPr>
        <w:t>is</w:t>
      </w:r>
      <w:proofErr w:type="gramEnd"/>
      <w:r w:rsidRPr="00FA0098">
        <w:rPr>
          <w:rFonts w:ascii="Times New Roman" w:hAnsi="Times New Roman"/>
          <w:bCs/>
          <w:sz w:val="26"/>
          <w:szCs w:val="26"/>
        </w:rPr>
        <w:t xml:space="preserve"> </w:t>
      </w:r>
      <w:r>
        <w:rPr>
          <w:rFonts w:ascii="Times New Roman" w:hAnsi="Times New Roman"/>
          <w:bCs/>
          <w:sz w:val="26"/>
          <w:szCs w:val="26"/>
        </w:rPr>
        <w:t>156</w:t>
      </w:r>
      <w:r w:rsidRPr="00FA0098">
        <w:rPr>
          <w:rFonts w:ascii="Times New Roman" w:hAnsi="Times New Roman"/>
          <w:bCs/>
          <w:sz w:val="26"/>
          <w:szCs w:val="26"/>
        </w:rPr>
        <w:t xml:space="preserve"> hours annually [0.5hour x </w:t>
      </w:r>
      <w:r>
        <w:rPr>
          <w:rFonts w:ascii="Times New Roman" w:hAnsi="Times New Roman"/>
          <w:bCs/>
          <w:sz w:val="26"/>
          <w:szCs w:val="26"/>
        </w:rPr>
        <w:t>312</w:t>
      </w:r>
      <w:r w:rsidRPr="00FA0098">
        <w:rPr>
          <w:rFonts w:ascii="Times New Roman" w:hAnsi="Times New Roman"/>
          <w:bCs/>
          <w:sz w:val="26"/>
          <w:szCs w:val="26"/>
        </w:rPr>
        <w:t xml:space="preserve"> forms =</w:t>
      </w:r>
      <w:r>
        <w:rPr>
          <w:rFonts w:ascii="Times New Roman" w:hAnsi="Times New Roman"/>
          <w:bCs/>
          <w:sz w:val="26"/>
          <w:szCs w:val="26"/>
        </w:rPr>
        <w:t>156</w:t>
      </w:r>
      <w:r w:rsidRPr="00FA0098">
        <w:rPr>
          <w:rFonts w:ascii="Times New Roman" w:hAnsi="Times New Roman"/>
          <w:bCs/>
          <w:sz w:val="26"/>
          <w:szCs w:val="26"/>
        </w:rPr>
        <w:t>/hours/form].</w:t>
      </w:r>
      <w:r w:rsidRPr="00F94BDA" w:rsidR="00F94BDA">
        <w:t xml:space="preserve"> </w:t>
      </w:r>
      <w:r w:rsidRPr="00F94BDA" w:rsidR="00F94BDA">
        <w:rPr>
          <w:rFonts w:ascii="Times New Roman" w:hAnsi="Times New Roman"/>
          <w:bCs/>
          <w:sz w:val="26"/>
          <w:szCs w:val="26"/>
        </w:rPr>
        <w:t>Hourly cost adjustment reflects 2020 General Schedule base rate for GS-12 Step 1 at $31.70 per hour [156 hours x $31.70 = $4,945.20].</w:t>
      </w:r>
    </w:p>
    <w:p w:rsidR="00051CB4" w:rsidP="00FA0098" w:rsidRDefault="00051CB4" w14:paraId="763E4015" w14:textId="4D2D6754">
      <w:pPr>
        <w:pStyle w:val="ListParagraph"/>
        <w:tabs>
          <w:tab w:val="left" w:pos="-720"/>
        </w:tabs>
        <w:suppressAutoHyphens/>
        <w:contextualSpacing w:val="0"/>
        <w:rPr>
          <w:rFonts w:ascii="Times New Roman" w:hAnsi="Times New Roman"/>
          <w:bCs/>
          <w:sz w:val="26"/>
          <w:szCs w:val="26"/>
        </w:rPr>
      </w:pPr>
    </w:p>
    <w:p w:rsidR="00051CB4" w:rsidP="00FA0098" w:rsidRDefault="00051CB4" w14:paraId="61E1EB8A" w14:textId="3315E7CC">
      <w:pPr>
        <w:pStyle w:val="ListParagraph"/>
        <w:tabs>
          <w:tab w:val="left" w:pos="-720"/>
        </w:tabs>
        <w:suppressAutoHyphens/>
        <w:contextualSpacing w:val="0"/>
        <w:rPr>
          <w:rFonts w:ascii="Times New Roman" w:hAnsi="Times New Roman"/>
          <w:bCs/>
          <w:sz w:val="26"/>
          <w:szCs w:val="26"/>
        </w:rPr>
      </w:pPr>
    </w:p>
    <w:p w:rsidRPr="00FA0098" w:rsidR="00051CB4" w:rsidP="00FA0098" w:rsidRDefault="00051CB4" w14:paraId="6A6A4EB4" w14:textId="77777777">
      <w:pPr>
        <w:pStyle w:val="ListParagraph"/>
        <w:tabs>
          <w:tab w:val="left" w:pos="-720"/>
        </w:tabs>
        <w:suppressAutoHyphens/>
        <w:contextualSpacing w:val="0"/>
        <w:rPr>
          <w:rFonts w:ascii="Times New Roman" w:hAnsi="Times New Roman"/>
          <w:bCs/>
          <w:sz w:val="26"/>
          <w:szCs w:val="26"/>
        </w:rPr>
      </w:pPr>
    </w:p>
    <w:p w:rsidR="00920F63" w:rsidP="00920F63" w:rsidRDefault="00920F63" w14:paraId="7BED2EE3"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lastRenderedPageBreak/>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60"/>
        <w:gridCol w:w="1350"/>
        <w:gridCol w:w="1080"/>
        <w:gridCol w:w="900"/>
        <w:gridCol w:w="1530"/>
        <w:gridCol w:w="1350"/>
      </w:tblGrid>
      <w:tr w:rsidRPr="00442E07" w:rsidR="00C86713" w:rsidTr="00D67ABE" w14:paraId="7BED2EFC" w14:textId="77777777">
        <w:trPr>
          <w:tblHeader/>
        </w:trPr>
        <w:tc>
          <w:tcPr>
            <w:tcW w:w="1345" w:type="dxa"/>
          </w:tcPr>
          <w:p w:rsidR="00C86713" w:rsidP="00FE1BAE" w:rsidRDefault="00C86713" w14:paraId="7BED2EE5" w14:textId="77777777">
            <w:pPr>
              <w:jc w:val="center"/>
              <w:rPr>
                <w:rFonts w:ascii="Times New Roman" w:hAnsi="Times New Roman"/>
                <w:sz w:val="20"/>
              </w:rPr>
            </w:pPr>
          </w:p>
          <w:p w:rsidR="00C86713" w:rsidP="00FE1BAE" w:rsidRDefault="00C86713" w14:paraId="7BED2EE6" w14:textId="77777777">
            <w:pPr>
              <w:jc w:val="center"/>
              <w:rPr>
                <w:rFonts w:ascii="Times New Roman" w:hAnsi="Times New Roman"/>
                <w:sz w:val="20"/>
              </w:rPr>
            </w:pPr>
          </w:p>
          <w:p w:rsidRPr="007F6104" w:rsidR="00C86713" w:rsidP="00FE1BAE" w:rsidRDefault="00C86713"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7BED2EE8" w14:textId="77777777">
            <w:pPr>
              <w:jc w:val="center"/>
              <w:rPr>
                <w:rFonts w:ascii="Times New Roman" w:hAnsi="Times New Roman"/>
                <w:sz w:val="20"/>
              </w:rPr>
            </w:pPr>
          </w:p>
          <w:p w:rsidR="00C86713" w:rsidP="00FE1BAE" w:rsidRDefault="00C86713" w14:paraId="7BED2EE9" w14:textId="77777777">
            <w:pPr>
              <w:jc w:val="center"/>
              <w:rPr>
                <w:rFonts w:ascii="Times New Roman" w:hAnsi="Times New Roman"/>
                <w:sz w:val="20"/>
              </w:rPr>
            </w:pPr>
          </w:p>
          <w:p w:rsidRPr="007F6104" w:rsidR="00C86713" w:rsidP="00FE1BAE" w:rsidRDefault="00C86713" w14:paraId="7BED2EEA"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7BED2EEB" w14:textId="77777777">
            <w:pPr>
              <w:jc w:val="center"/>
              <w:rPr>
                <w:rFonts w:ascii="Times New Roman" w:hAnsi="Times New Roman"/>
                <w:sz w:val="20"/>
              </w:rPr>
            </w:pPr>
          </w:p>
          <w:p w:rsidR="00C86713" w:rsidP="00581C11" w:rsidRDefault="00C86713" w14:paraId="7BED2EEC" w14:textId="77777777">
            <w:pPr>
              <w:shd w:val="clear" w:color="auto" w:fill="F2F2F2" w:themeFill="background1" w:themeFillShade="F2"/>
              <w:jc w:val="center"/>
              <w:rPr>
                <w:rFonts w:ascii="Times New Roman" w:hAnsi="Times New Roman"/>
                <w:sz w:val="20"/>
              </w:rPr>
            </w:pPr>
          </w:p>
          <w:p w:rsidRPr="007F6104" w:rsidR="00C86713" w:rsidP="00581C11" w:rsidRDefault="00C86713" w14:paraId="7BED2EED"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60" w:type="dxa"/>
          </w:tcPr>
          <w:p w:rsidRPr="007F6104" w:rsidR="00C86713" w:rsidP="00FE1BAE" w:rsidRDefault="00C86713" w14:paraId="7BED2EE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50" w:type="dxa"/>
          </w:tcPr>
          <w:p w:rsidR="00C86713" w:rsidP="00FE1BAE" w:rsidRDefault="00C86713" w14:paraId="7BED2EEF" w14:textId="77777777">
            <w:pPr>
              <w:jc w:val="center"/>
              <w:rPr>
                <w:rFonts w:ascii="Times New Roman" w:hAnsi="Times New Roman"/>
                <w:sz w:val="20"/>
              </w:rPr>
            </w:pPr>
          </w:p>
          <w:p w:rsidR="00C86713" w:rsidP="00FE1BAE" w:rsidRDefault="00C86713" w14:paraId="7BED2EF0" w14:textId="77777777">
            <w:pPr>
              <w:jc w:val="center"/>
              <w:rPr>
                <w:rFonts w:ascii="Times New Roman" w:hAnsi="Times New Roman"/>
                <w:sz w:val="20"/>
              </w:rPr>
            </w:pPr>
          </w:p>
          <w:p w:rsidRPr="007F6104" w:rsidR="00C86713" w:rsidP="00FE1BAE" w:rsidRDefault="00C86713"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080" w:type="dxa"/>
          </w:tcPr>
          <w:p w:rsidR="00C86713" w:rsidP="00FE1BAE" w:rsidRDefault="00C86713" w14:paraId="7BED2EF2" w14:textId="77777777">
            <w:pPr>
              <w:jc w:val="center"/>
              <w:rPr>
                <w:rFonts w:ascii="Times New Roman" w:hAnsi="Times New Roman"/>
                <w:sz w:val="20"/>
              </w:rPr>
            </w:pPr>
          </w:p>
          <w:p w:rsidRPr="007F6104" w:rsidR="00C86713" w:rsidP="00FE1BAE" w:rsidRDefault="00C86713"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7BED2EF4" w14:textId="77777777">
            <w:pPr>
              <w:jc w:val="center"/>
              <w:rPr>
                <w:rFonts w:ascii="Times New Roman" w:hAnsi="Times New Roman"/>
                <w:sz w:val="20"/>
              </w:rPr>
            </w:pPr>
          </w:p>
          <w:p w:rsidRPr="007F6104" w:rsidR="00C86713" w:rsidP="00F31BEC" w:rsidRDefault="00C86713" w14:paraId="7BED2EF5"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7BED2EF6" w14:textId="77777777">
            <w:pPr>
              <w:jc w:val="center"/>
              <w:rPr>
                <w:rFonts w:ascii="Times New Roman" w:hAnsi="Times New Roman"/>
                <w:sz w:val="20"/>
              </w:rPr>
            </w:pPr>
          </w:p>
          <w:p w:rsidR="00C86713" w:rsidP="00FE1BAE" w:rsidRDefault="00C86713" w14:paraId="7BED2EF7" w14:textId="77777777">
            <w:pPr>
              <w:jc w:val="center"/>
              <w:rPr>
                <w:rFonts w:ascii="Times New Roman" w:hAnsi="Times New Roman"/>
                <w:sz w:val="20"/>
              </w:rPr>
            </w:pPr>
          </w:p>
          <w:p w:rsidRPr="007F6104" w:rsidR="00C86713" w:rsidP="00FE1BAE" w:rsidRDefault="00C86713"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7BED2EF9" w14:textId="77777777">
            <w:pPr>
              <w:jc w:val="center"/>
              <w:rPr>
                <w:rFonts w:ascii="Times New Roman" w:hAnsi="Times New Roman"/>
                <w:sz w:val="20"/>
              </w:rPr>
            </w:pPr>
          </w:p>
          <w:p w:rsidR="00C86713" w:rsidP="00FE1BAE" w:rsidRDefault="00C86713" w14:paraId="7BED2EFA" w14:textId="77777777">
            <w:pPr>
              <w:jc w:val="center"/>
              <w:rPr>
                <w:rFonts w:ascii="Times New Roman" w:hAnsi="Times New Roman"/>
                <w:sz w:val="20"/>
              </w:rPr>
            </w:pPr>
          </w:p>
          <w:p w:rsidRPr="007F6104" w:rsidR="00C86713" w:rsidP="00FE1BAE" w:rsidRDefault="00C86713"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D67ABE" w14:paraId="7BED2F06" w14:textId="77777777">
        <w:tc>
          <w:tcPr>
            <w:tcW w:w="1345" w:type="dxa"/>
          </w:tcPr>
          <w:p w:rsidRPr="00442E07" w:rsidR="00C86713" w:rsidP="00FE1BAE" w:rsidRDefault="00FA0098" w14:paraId="7BED2EFD" w14:textId="0C34A68D">
            <w:pPr>
              <w:rPr>
                <w:rFonts w:ascii="Times New Roman" w:hAnsi="Times New Roman"/>
                <w:szCs w:val="24"/>
              </w:rPr>
            </w:pPr>
            <w:r>
              <w:rPr>
                <w:rFonts w:ascii="Times New Roman" w:hAnsi="Times New Roman"/>
                <w:szCs w:val="24"/>
              </w:rPr>
              <w:t>MSIX Users</w:t>
            </w:r>
          </w:p>
        </w:tc>
        <w:tc>
          <w:tcPr>
            <w:tcW w:w="1265" w:type="dxa"/>
          </w:tcPr>
          <w:p w:rsidRPr="00442E07" w:rsidR="00C86713" w:rsidP="00FE1BAE" w:rsidRDefault="009D5406" w14:paraId="7BED2EFE" w14:textId="5B8237A2">
            <w:pPr>
              <w:rPr>
                <w:rFonts w:ascii="Times New Roman" w:hAnsi="Times New Roman"/>
                <w:szCs w:val="24"/>
              </w:rPr>
            </w:pPr>
            <w:r w:rsidRPr="009D5406">
              <w:rPr>
                <w:rFonts w:ascii="Times New Roman" w:hAnsi="Times New Roman"/>
                <w:bCs/>
                <w:szCs w:val="24"/>
              </w:rPr>
              <w:t>n/a</w:t>
            </w:r>
          </w:p>
        </w:tc>
        <w:tc>
          <w:tcPr>
            <w:tcW w:w="1255" w:type="dxa"/>
          </w:tcPr>
          <w:p w:rsidRPr="00442E07" w:rsidR="00C86713" w:rsidP="00FE1BAE" w:rsidRDefault="009D5406" w14:paraId="7BED2EFF" w14:textId="2D9D2E80">
            <w:pPr>
              <w:rPr>
                <w:rFonts w:ascii="Times New Roman" w:hAnsi="Times New Roman"/>
                <w:szCs w:val="24"/>
              </w:rPr>
            </w:pPr>
            <w:r w:rsidRPr="009D5406">
              <w:rPr>
                <w:rFonts w:ascii="Times New Roman" w:hAnsi="Times New Roman"/>
                <w:bCs/>
                <w:szCs w:val="24"/>
              </w:rPr>
              <w:t>n/a</w:t>
            </w:r>
          </w:p>
        </w:tc>
        <w:tc>
          <w:tcPr>
            <w:tcW w:w="1260" w:type="dxa"/>
          </w:tcPr>
          <w:p w:rsidRPr="00442E07" w:rsidR="00C86713" w:rsidP="00FE1BAE" w:rsidRDefault="00FA0098" w14:paraId="7BED2F00" w14:textId="7C8BD423">
            <w:pPr>
              <w:rPr>
                <w:rFonts w:ascii="Times New Roman" w:hAnsi="Times New Roman"/>
                <w:szCs w:val="24"/>
              </w:rPr>
            </w:pPr>
            <w:r>
              <w:rPr>
                <w:rFonts w:ascii="Times New Roman" w:hAnsi="Times New Roman"/>
                <w:szCs w:val="24"/>
              </w:rPr>
              <w:t>312</w:t>
            </w:r>
          </w:p>
        </w:tc>
        <w:tc>
          <w:tcPr>
            <w:tcW w:w="1350" w:type="dxa"/>
          </w:tcPr>
          <w:p w:rsidRPr="00442E07" w:rsidR="00C86713" w:rsidP="00FE1BAE" w:rsidRDefault="00F00141" w14:paraId="7BED2F01" w14:textId="4EB392A0">
            <w:pPr>
              <w:jc w:val="center"/>
              <w:rPr>
                <w:rFonts w:ascii="Times New Roman" w:hAnsi="Times New Roman"/>
                <w:szCs w:val="24"/>
              </w:rPr>
            </w:pPr>
            <w:r>
              <w:rPr>
                <w:rFonts w:ascii="Times New Roman" w:hAnsi="Times New Roman"/>
                <w:szCs w:val="24"/>
              </w:rPr>
              <w:t>1</w:t>
            </w:r>
            <w:r w:rsidR="00D67ABE">
              <w:rPr>
                <w:rFonts w:ascii="Times New Roman" w:hAnsi="Times New Roman"/>
                <w:szCs w:val="24"/>
              </w:rPr>
              <w:t xml:space="preserve"> per respondent </w:t>
            </w:r>
          </w:p>
        </w:tc>
        <w:tc>
          <w:tcPr>
            <w:tcW w:w="1080" w:type="dxa"/>
          </w:tcPr>
          <w:p w:rsidRPr="00442E07" w:rsidR="00C86713" w:rsidP="00FE1BAE" w:rsidRDefault="00FA0098" w14:paraId="7BED2F02" w14:textId="02A6AEBD">
            <w:pPr>
              <w:jc w:val="center"/>
              <w:rPr>
                <w:rFonts w:ascii="Times New Roman" w:hAnsi="Times New Roman"/>
                <w:szCs w:val="24"/>
              </w:rPr>
            </w:pPr>
            <w:r>
              <w:rPr>
                <w:rFonts w:ascii="Times New Roman" w:hAnsi="Times New Roman"/>
                <w:szCs w:val="24"/>
              </w:rPr>
              <w:t>0.5</w:t>
            </w:r>
          </w:p>
        </w:tc>
        <w:tc>
          <w:tcPr>
            <w:tcW w:w="900" w:type="dxa"/>
          </w:tcPr>
          <w:p w:rsidRPr="00442E07" w:rsidR="00C86713" w:rsidP="00FE1BAE" w:rsidRDefault="00FA0098" w14:paraId="7BED2F03" w14:textId="655D26C8">
            <w:pPr>
              <w:rPr>
                <w:rFonts w:ascii="Times New Roman" w:hAnsi="Times New Roman"/>
                <w:szCs w:val="24"/>
              </w:rPr>
            </w:pPr>
            <w:r>
              <w:rPr>
                <w:rFonts w:ascii="Times New Roman" w:hAnsi="Times New Roman"/>
                <w:szCs w:val="24"/>
              </w:rPr>
              <w:t>156</w:t>
            </w:r>
          </w:p>
        </w:tc>
        <w:tc>
          <w:tcPr>
            <w:tcW w:w="1530" w:type="dxa"/>
          </w:tcPr>
          <w:p w:rsidRPr="00442E07" w:rsidR="00C86713" w:rsidP="00FE1BAE" w:rsidRDefault="00FA0098" w14:paraId="7BED2F04" w14:textId="0A4E70B4">
            <w:pPr>
              <w:rPr>
                <w:rFonts w:ascii="Times New Roman" w:hAnsi="Times New Roman"/>
                <w:szCs w:val="24"/>
              </w:rPr>
            </w:pPr>
            <w:r>
              <w:rPr>
                <w:rFonts w:ascii="Times New Roman" w:hAnsi="Times New Roman"/>
                <w:szCs w:val="24"/>
              </w:rPr>
              <w:t>$31.70</w:t>
            </w:r>
          </w:p>
        </w:tc>
        <w:tc>
          <w:tcPr>
            <w:tcW w:w="1350" w:type="dxa"/>
          </w:tcPr>
          <w:p w:rsidRPr="00442E07" w:rsidR="00C86713" w:rsidP="00FE1BAE" w:rsidRDefault="00FA0098" w14:paraId="7BED2F05" w14:textId="3E96C723">
            <w:pPr>
              <w:rPr>
                <w:rFonts w:ascii="Times New Roman" w:hAnsi="Times New Roman"/>
                <w:szCs w:val="24"/>
              </w:rPr>
            </w:pPr>
            <w:r>
              <w:rPr>
                <w:rFonts w:ascii="Times New Roman" w:hAnsi="Times New Roman"/>
                <w:szCs w:val="24"/>
              </w:rPr>
              <w:t>$</w:t>
            </w:r>
            <w:r w:rsidRPr="00FA0098">
              <w:rPr>
                <w:rFonts w:ascii="Times New Roman" w:hAnsi="Times New Roman"/>
                <w:szCs w:val="24"/>
              </w:rPr>
              <w:t>4,945.2</w:t>
            </w:r>
            <w:r>
              <w:rPr>
                <w:rFonts w:ascii="Times New Roman" w:hAnsi="Times New Roman"/>
                <w:szCs w:val="24"/>
              </w:rPr>
              <w:t>0</w:t>
            </w:r>
          </w:p>
        </w:tc>
      </w:tr>
      <w:tr w:rsidRPr="00442E07" w:rsidR="009767AF" w:rsidTr="00D67ABE" w14:paraId="7BED2F2E" w14:textId="77777777">
        <w:tc>
          <w:tcPr>
            <w:tcW w:w="1345" w:type="dxa"/>
          </w:tcPr>
          <w:p w:rsidRPr="00442E07" w:rsidR="009767AF" w:rsidP="00FE1BAE" w:rsidRDefault="009767AF" w14:paraId="7BED2F25"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9767AF" w14:paraId="7BED2F26" w14:textId="77777777">
            <w:pPr>
              <w:rPr>
                <w:rFonts w:ascii="Times New Roman" w:hAnsi="Times New Roman"/>
                <w:szCs w:val="24"/>
              </w:rPr>
            </w:pPr>
          </w:p>
        </w:tc>
        <w:tc>
          <w:tcPr>
            <w:tcW w:w="1255" w:type="dxa"/>
          </w:tcPr>
          <w:p w:rsidRPr="00442E07" w:rsidR="009767AF" w:rsidP="00FE1BAE" w:rsidRDefault="009767AF" w14:paraId="7BED2F27" w14:textId="77777777">
            <w:pPr>
              <w:rPr>
                <w:rFonts w:ascii="Times New Roman" w:hAnsi="Times New Roman"/>
                <w:szCs w:val="24"/>
              </w:rPr>
            </w:pPr>
          </w:p>
        </w:tc>
        <w:tc>
          <w:tcPr>
            <w:tcW w:w="1260" w:type="dxa"/>
          </w:tcPr>
          <w:p w:rsidRPr="00442E07" w:rsidR="009767AF" w:rsidP="00FE1BAE" w:rsidRDefault="00F00141" w14:paraId="7BED2F28" w14:textId="0A12D1DA">
            <w:pPr>
              <w:rPr>
                <w:rFonts w:ascii="Times New Roman" w:hAnsi="Times New Roman"/>
                <w:szCs w:val="24"/>
              </w:rPr>
            </w:pPr>
            <w:r>
              <w:rPr>
                <w:rFonts w:ascii="Times New Roman" w:hAnsi="Times New Roman"/>
                <w:szCs w:val="24"/>
              </w:rPr>
              <w:t>312</w:t>
            </w:r>
          </w:p>
        </w:tc>
        <w:tc>
          <w:tcPr>
            <w:tcW w:w="1350" w:type="dxa"/>
          </w:tcPr>
          <w:p w:rsidRPr="00442E07" w:rsidR="009767AF" w:rsidP="00FE1BAE" w:rsidRDefault="00F00141" w14:paraId="7BED2F29" w14:textId="72EB9375">
            <w:pPr>
              <w:rPr>
                <w:rFonts w:ascii="Times New Roman" w:hAnsi="Times New Roman"/>
                <w:szCs w:val="24"/>
              </w:rPr>
            </w:pPr>
            <w:r>
              <w:rPr>
                <w:rFonts w:ascii="Times New Roman" w:hAnsi="Times New Roman"/>
                <w:szCs w:val="24"/>
              </w:rPr>
              <w:t>312</w:t>
            </w:r>
          </w:p>
        </w:tc>
        <w:tc>
          <w:tcPr>
            <w:tcW w:w="1080" w:type="dxa"/>
          </w:tcPr>
          <w:p w:rsidRPr="00442E07" w:rsidR="009767AF" w:rsidP="00FE1BAE" w:rsidRDefault="009767AF" w14:paraId="7BED2F2A" w14:textId="77777777">
            <w:pPr>
              <w:rPr>
                <w:rFonts w:ascii="Times New Roman" w:hAnsi="Times New Roman"/>
                <w:szCs w:val="24"/>
              </w:rPr>
            </w:pPr>
          </w:p>
        </w:tc>
        <w:tc>
          <w:tcPr>
            <w:tcW w:w="900" w:type="dxa"/>
          </w:tcPr>
          <w:p w:rsidRPr="00442E07" w:rsidR="009767AF" w:rsidP="00FE1BAE" w:rsidRDefault="00F00141" w14:paraId="7BED2F2B" w14:textId="769BBBA7">
            <w:pPr>
              <w:rPr>
                <w:rFonts w:ascii="Times New Roman" w:hAnsi="Times New Roman"/>
                <w:szCs w:val="24"/>
              </w:rPr>
            </w:pPr>
            <w:r>
              <w:rPr>
                <w:rFonts w:ascii="Times New Roman" w:hAnsi="Times New Roman"/>
                <w:szCs w:val="24"/>
              </w:rPr>
              <w:t>156</w:t>
            </w:r>
          </w:p>
        </w:tc>
        <w:tc>
          <w:tcPr>
            <w:tcW w:w="1530" w:type="dxa"/>
          </w:tcPr>
          <w:p w:rsidRPr="00442E07" w:rsidR="009767AF" w:rsidP="00FE1BAE" w:rsidRDefault="009767AF" w14:paraId="7BED2F2C" w14:textId="77777777">
            <w:pPr>
              <w:rPr>
                <w:rFonts w:ascii="Times New Roman" w:hAnsi="Times New Roman"/>
                <w:szCs w:val="24"/>
              </w:rPr>
            </w:pPr>
          </w:p>
        </w:tc>
        <w:tc>
          <w:tcPr>
            <w:tcW w:w="1350" w:type="dxa"/>
          </w:tcPr>
          <w:p w:rsidRPr="00442E07" w:rsidR="009767AF" w:rsidP="00FE1BAE" w:rsidRDefault="00F00141" w14:paraId="7BED2F2D" w14:textId="6A67BD93">
            <w:pPr>
              <w:rPr>
                <w:rFonts w:ascii="Times New Roman" w:hAnsi="Times New Roman"/>
                <w:szCs w:val="24"/>
              </w:rPr>
            </w:pPr>
            <w:r>
              <w:rPr>
                <w:rFonts w:ascii="Times New Roman" w:hAnsi="Times New Roman"/>
                <w:szCs w:val="24"/>
              </w:rPr>
              <w:t>$4,945.20</w:t>
            </w:r>
          </w:p>
        </w:tc>
      </w:tr>
    </w:tbl>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w:t>
      </w:r>
      <w:r w:rsidRPr="00ED7195">
        <w:rPr>
          <w:rFonts w:ascii="Times New Roman" w:hAnsi="Times New Roman"/>
          <w:b/>
          <w:szCs w:val="24"/>
        </w:rPr>
        <w:lastRenderedPageBreak/>
        <w:t>practices. Also, these estimates should not include the hourly costs (i.e., the monetization of the hours) captured above in Item 12</w:t>
      </w:r>
      <w:r w:rsidR="009243F3">
        <w:rPr>
          <w:rFonts w:ascii="Times New Roman" w:hAnsi="Times New Roman"/>
          <w:b/>
          <w:szCs w:val="24"/>
        </w:rPr>
        <w:t>.</w:t>
      </w:r>
    </w:p>
    <w:p w:rsidRPr="00ED7195" w:rsidR="00FA0098" w:rsidP="00AD381B" w:rsidRDefault="00FA0098" w14:paraId="2DAD0E59" w14:textId="77777777">
      <w:pPr>
        <w:tabs>
          <w:tab w:val="left" w:pos="-720"/>
        </w:tabs>
        <w:suppressAutoHyphens/>
        <w:rPr>
          <w:rFonts w:ascii="Times New Roman" w:hAnsi="Times New Roman"/>
          <w:b/>
          <w:szCs w:val="24"/>
        </w:rPr>
      </w:pPr>
    </w:p>
    <w:p w:rsidRPr="00ED7195" w:rsidR="00043C32" w:rsidP="00AD381B" w:rsidRDefault="00043C32" w14:paraId="7BED2F3A" w14:textId="0516D2F5">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9D5406">
        <w:rPr>
          <w:rFonts w:ascii="Times New Roman" w:hAnsi="Times New Roman"/>
          <w:b/>
          <w:szCs w:val="24"/>
        </w:rPr>
        <w:t xml:space="preserve"> </w:t>
      </w:r>
      <w:r w:rsidRPr="009D5406" w:rsidR="009D5406">
        <w:rPr>
          <w:rFonts w:ascii="Times New Roman" w:hAnsi="Times New Roman"/>
          <w:bCs/>
          <w:szCs w:val="24"/>
        </w:rPr>
        <w:t>n/a</w:t>
      </w:r>
    </w:p>
    <w:p w:rsidRPr="00ED7195" w:rsidR="00043C32" w:rsidP="00AD381B" w:rsidRDefault="00043C32" w14:paraId="7BED2F3B" w14:textId="35B0D258">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Pr="009D5406" w:rsidR="009D5406">
        <w:rPr>
          <w:rFonts w:ascii="Times New Roman" w:hAnsi="Times New Roman"/>
          <w:bCs/>
          <w:szCs w:val="24"/>
        </w:rPr>
        <w:t xml:space="preserve"> n/a</w:t>
      </w:r>
      <w:r w:rsidRPr="00ED7195" w:rsidR="009D5406">
        <w:rPr>
          <w:rFonts w:ascii="Times New Roman" w:hAnsi="Times New Roman"/>
          <w:b/>
          <w:szCs w:val="24"/>
        </w:rPr>
        <w:t xml:space="preserve"> </w:t>
      </w:r>
      <w:r w:rsidRPr="00ED7195">
        <w:rPr>
          <w:rFonts w:ascii="Times New Roman" w:hAnsi="Times New Roman"/>
          <w:b/>
          <w:szCs w:val="24"/>
        </w:rPr>
        <w:t>_______________</w:t>
      </w:r>
    </w:p>
    <w:p w:rsidRPr="00ED7195" w:rsidR="00043C32" w:rsidP="00AD381B" w:rsidRDefault="00043C32" w14:paraId="7BED2F3C" w14:textId="4022F701">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9D5406">
        <w:rPr>
          <w:rFonts w:ascii="Times New Roman" w:hAnsi="Times New Roman"/>
          <w:b/>
          <w:szCs w:val="24"/>
        </w:rPr>
        <w:t xml:space="preserve"> </w:t>
      </w:r>
      <w:r w:rsidRPr="009D5406" w:rsidR="009D5406">
        <w:rPr>
          <w:rFonts w:ascii="Times New Roman" w:hAnsi="Times New Roman"/>
          <w:bCs/>
          <w:szCs w:val="24"/>
        </w:rPr>
        <w:t>n/a</w:t>
      </w:r>
    </w:p>
    <w:p w:rsidR="00043C32" w:rsidP="00AD381B" w:rsidRDefault="00043C32" w14:paraId="7BED2F3D" w14:textId="630C323D">
      <w:pPr>
        <w:tabs>
          <w:tab w:val="left" w:pos="-720"/>
        </w:tabs>
        <w:suppressAutoHyphens/>
        <w:rPr>
          <w:rFonts w:ascii="Times New Roman" w:hAnsi="Times New Roman"/>
          <w:szCs w:val="24"/>
        </w:rPr>
      </w:pPr>
    </w:p>
    <w:p w:rsidR="00FA0098" w:rsidP="009D5406" w:rsidRDefault="00FA0098" w14:paraId="65F03A0E" w14:textId="04E90FBC">
      <w:pPr>
        <w:tabs>
          <w:tab w:val="left" w:pos="-720"/>
        </w:tabs>
        <w:suppressAutoHyphens/>
        <w:ind w:left="900"/>
        <w:rPr>
          <w:rFonts w:ascii="Times New Roman" w:hAnsi="Times New Roman"/>
          <w:szCs w:val="24"/>
        </w:rPr>
      </w:pPr>
      <w:r w:rsidRPr="00FA0098">
        <w:rPr>
          <w:rFonts w:ascii="Times New Roman" w:hAnsi="Times New Roman"/>
          <w:szCs w:val="24"/>
        </w:rPr>
        <w:t>A13. This information collection does not require the use of any capital equipment, start-up costs, or record keeping, specifically for this purpose.</w:t>
      </w:r>
    </w:p>
    <w:p w:rsidR="00FA0098" w:rsidP="00AD381B" w:rsidRDefault="00FA0098" w14:paraId="5535A486" w14:textId="77777777">
      <w:pPr>
        <w:tabs>
          <w:tab w:val="left" w:pos="-720"/>
        </w:tabs>
        <w:suppressAutoHyphens/>
        <w:rPr>
          <w:rFonts w:ascii="Times New Roman" w:hAnsi="Times New Roman"/>
          <w:szCs w:val="24"/>
        </w:rPr>
      </w:pPr>
    </w:p>
    <w:p w:rsidRPr="00534B4A" w:rsidR="00043C32" w:rsidP="00AD381B" w:rsidRDefault="00043C32" w14:paraId="7BED2F3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7BED2F3F" w14:textId="0B92EFD6">
      <w:pPr>
        <w:tabs>
          <w:tab w:val="left" w:pos="-720"/>
        </w:tabs>
        <w:suppressAutoHyphens/>
        <w:rPr>
          <w:rFonts w:ascii="Times New Roman" w:hAnsi="Times New Roman"/>
          <w:szCs w:val="24"/>
        </w:rPr>
      </w:pPr>
    </w:p>
    <w:p w:rsidR="00E302A2" w:rsidP="009D5406" w:rsidRDefault="00E302A2" w14:paraId="1F079E4A" w14:textId="19254415">
      <w:pPr>
        <w:tabs>
          <w:tab w:val="left" w:pos="-720"/>
        </w:tabs>
        <w:suppressAutoHyphens/>
        <w:ind w:left="900"/>
        <w:rPr>
          <w:rFonts w:ascii="Times New Roman" w:hAnsi="Times New Roman"/>
          <w:szCs w:val="24"/>
        </w:rPr>
      </w:pPr>
      <w:r w:rsidRPr="00E302A2">
        <w:rPr>
          <w:rFonts w:ascii="Times New Roman" w:hAnsi="Times New Roman"/>
          <w:szCs w:val="24"/>
        </w:rPr>
        <w:t>A14. There are up to 10 Federal Government employees who are registered users of MSIX at any given point in the year with approximately 3 new users added per year. Using the 20</w:t>
      </w:r>
      <w:r w:rsidR="009D5406">
        <w:rPr>
          <w:rFonts w:ascii="Times New Roman" w:hAnsi="Times New Roman"/>
          <w:szCs w:val="24"/>
        </w:rPr>
        <w:t>20</w:t>
      </w:r>
      <w:r w:rsidRPr="00E302A2">
        <w:rPr>
          <w:rFonts w:ascii="Times New Roman" w:hAnsi="Times New Roman"/>
          <w:szCs w:val="24"/>
        </w:rPr>
        <w:t xml:space="preserve"> General Schedule grade 13 step 1 hourly rate of $3</w:t>
      </w:r>
      <w:r w:rsidR="009D5406">
        <w:rPr>
          <w:rFonts w:ascii="Times New Roman" w:hAnsi="Times New Roman"/>
          <w:szCs w:val="24"/>
        </w:rPr>
        <w:t>7.70</w:t>
      </w:r>
      <w:r w:rsidRPr="00E302A2">
        <w:rPr>
          <w:rFonts w:ascii="Times New Roman" w:hAnsi="Times New Roman"/>
          <w:szCs w:val="24"/>
        </w:rPr>
        <w:t>, estimated annualized cost to the Federal Government is estimated as follows:</w:t>
      </w:r>
    </w:p>
    <w:p w:rsidR="009D5406" w:rsidP="009D5406" w:rsidRDefault="009D5406" w14:paraId="45B1877C" w14:textId="46A7802E">
      <w:pPr>
        <w:tabs>
          <w:tab w:val="left" w:pos="-720"/>
        </w:tabs>
        <w:suppressAutoHyphens/>
        <w:ind w:left="900"/>
        <w:rPr>
          <w:rFonts w:ascii="Times New Roman" w:hAnsi="Times New Roman"/>
          <w:szCs w:val="24"/>
        </w:rPr>
      </w:pPr>
    </w:p>
    <w:p w:rsidR="009D5406" w:rsidP="009D5406" w:rsidRDefault="009D5406" w14:paraId="22ED4047" w14:textId="25B4691A">
      <w:pPr>
        <w:tabs>
          <w:tab w:val="left" w:pos="-720"/>
        </w:tabs>
        <w:suppressAutoHyphens/>
        <w:ind w:left="900"/>
        <w:rPr>
          <w:rFonts w:ascii="Times New Roman" w:hAnsi="Times New Roman"/>
          <w:szCs w:val="24"/>
        </w:rPr>
      </w:pPr>
      <w:r w:rsidRPr="009D5406">
        <w:rPr>
          <w:rFonts w:ascii="Times New Roman" w:hAnsi="Times New Roman"/>
          <w:szCs w:val="24"/>
        </w:rPr>
        <w:t>3 forms/year</w:t>
      </w:r>
      <w:r w:rsidRPr="009D5406">
        <w:rPr>
          <w:rFonts w:ascii="Times New Roman" w:hAnsi="Times New Roman"/>
          <w:szCs w:val="24"/>
        </w:rPr>
        <w:tab/>
      </w:r>
      <w:r>
        <w:rPr>
          <w:rFonts w:ascii="Times New Roman" w:hAnsi="Times New Roman"/>
          <w:szCs w:val="24"/>
        </w:rPr>
        <w:t xml:space="preserve">    </w:t>
      </w:r>
      <w:r w:rsidRPr="009D5406">
        <w:rPr>
          <w:rFonts w:ascii="Times New Roman" w:hAnsi="Times New Roman"/>
          <w:szCs w:val="24"/>
        </w:rPr>
        <w:t>X</w:t>
      </w:r>
      <w:r w:rsidRPr="009D5406">
        <w:rPr>
          <w:rFonts w:ascii="Times New Roman" w:hAnsi="Times New Roman"/>
          <w:szCs w:val="24"/>
        </w:rPr>
        <w:tab/>
        <w:t xml:space="preserve">0.5 hours/form </w:t>
      </w:r>
      <w:r>
        <w:rPr>
          <w:rFonts w:ascii="Times New Roman" w:hAnsi="Times New Roman"/>
          <w:szCs w:val="24"/>
        </w:rPr>
        <w:t xml:space="preserve">    </w:t>
      </w:r>
      <w:r w:rsidRPr="009D5406">
        <w:rPr>
          <w:rFonts w:ascii="Times New Roman" w:hAnsi="Times New Roman"/>
          <w:szCs w:val="24"/>
        </w:rPr>
        <w:t xml:space="preserve">X </w:t>
      </w:r>
      <w:r w:rsidRPr="009D5406">
        <w:rPr>
          <w:rFonts w:ascii="Times New Roman" w:hAnsi="Times New Roman"/>
          <w:szCs w:val="24"/>
        </w:rPr>
        <w:tab/>
        <w:t>$3</w:t>
      </w:r>
      <w:r>
        <w:rPr>
          <w:rFonts w:ascii="Times New Roman" w:hAnsi="Times New Roman"/>
          <w:szCs w:val="24"/>
        </w:rPr>
        <w:t>7.70</w:t>
      </w:r>
      <w:r w:rsidRPr="009D5406">
        <w:rPr>
          <w:rFonts w:ascii="Times New Roman" w:hAnsi="Times New Roman"/>
          <w:szCs w:val="24"/>
        </w:rPr>
        <w:t>/hour</w:t>
      </w:r>
      <w:r w:rsidRPr="009D5406">
        <w:rPr>
          <w:rFonts w:ascii="Times New Roman" w:hAnsi="Times New Roman"/>
          <w:szCs w:val="24"/>
        </w:rPr>
        <w:tab/>
        <w:t>= $5</w:t>
      </w:r>
      <w:r>
        <w:rPr>
          <w:rFonts w:ascii="Times New Roman" w:hAnsi="Times New Roman"/>
          <w:szCs w:val="24"/>
        </w:rPr>
        <w:t>6.55</w:t>
      </w:r>
      <w:r w:rsidRPr="009D5406">
        <w:rPr>
          <w:rFonts w:ascii="Times New Roman" w:hAnsi="Times New Roman"/>
          <w:szCs w:val="24"/>
        </w:rPr>
        <w:t>/year</w:t>
      </w:r>
    </w:p>
    <w:p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7BED2F43"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7BED2F44" w14:textId="0CB8D877">
      <w:pPr>
        <w:tabs>
          <w:tab w:val="left" w:pos="-720"/>
        </w:tabs>
        <w:suppressAutoHyphens/>
        <w:rPr>
          <w:rFonts w:ascii="Times New Roman" w:hAnsi="Times New Roman"/>
          <w:b/>
          <w:szCs w:val="24"/>
        </w:rPr>
      </w:pPr>
    </w:p>
    <w:p w:rsidRPr="009D5406" w:rsidR="009D5406" w:rsidP="009D5406" w:rsidRDefault="009D5406" w14:paraId="2A55122B" w14:textId="65C3E9F8">
      <w:pPr>
        <w:tabs>
          <w:tab w:val="left" w:pos="-720"/>
        </w:tabs>
        <w:suppressAutoHyphens/>
        <w:ind w:left="720"/>
        <w:rPr>
          <w:rFonts w:ascii="Times New Roman" w:hAnsi="Times New Roman"/>
          <w:bCs/>
          <w:szCs w:val="24"/>
        </w:rPr>
      </w:pPr>
      <w:r w:rsidRPr="009D5406">
        <w:rPr>
          <w:rFonts w:ascii="Times New Roman" w:hAnsi="Times New Roman"/>
          <w:bCs/>
          <w:szCs w:val="24"/>
        </w:rPr>
        <w:t>A15. The original calculations overestimated the number of respondents due to lack of actual data. Adjustments are reported as a result of analysis of actual data since 201</w:t>
      </w:r>
      <w:r>
        <w:rPr>
          <w:rFonts w:ascii="Times New Roman" w:hAnsi="Times New Roman"/>
          <w:bCs/>
          <w:szCs w:val="24"/>
        </w:rPr>
        <w:t>8</w:t>
      </w:r>
      <w:r w:rsidRPr="009D5406">
        <w:rPr>
          <w:rFonts w:ascii="Times New Roman" w:hAnsi="Times New Roman"/>
          <w:bCs/>
          <w:szCs w:val="24"/>
        </w:rPr>
        <w:t>, the last date of the Information Collection Notice approval. Between 201</w:t>
      </w:r>
      <w:r w:rsidR="002012A2">
        <w:rPr>
          <w:rFonts w:ascii="Times New Roman" w:hAnsi="Times New Roman"/>
          <w:bCs/>
          <w:szCs w:val="24"/>
        </w:rPr>
        <w:t>7</w:t>
      </w:r>
      <w:r w:rsidRPr="009D5406">
        <w:rPr>
          <w:rFonts w:ascii="Times New Roman" w:hAnsi="Times New Roman"/>
          <w:bCs/>
          <w:szCs w:val="24"/>
        </w:rPr>
        <w:t xml:space="preserve"> and 2</w:t>
      </w:r>
      <w:r>
        <w:rPr>
          <w:rFonts w:ascii="Times New Roman" w:hAnsi="Times New Roman"/>
          <w:bCs/>
          <w:szCs w:val="24"/>
        </w:rPr>
        <w:t>0</w:t>
      </w:r>
      <w:r w:rsidR="002012A2">
        <w:rPr>
          <w:rFonts w:ascii="Times New Roman" w:hAnsi="Times New Roman"/>
          <w:bCs/>
          <w:szCs w:val="24"/>
        </w:rPr>
        <w:t>19</w:t>
      </w:r>
      <w:r w:rsidRPr="009D5406">
        <w:rPr>
          <w:rFonts w:ascii="Times New Roman" w:hAnsi="Times New Roman"/>
          <w:bCs/>
          <w:szCs w:val="24"/>
        </w:rPr>
        <w:t xml:space="preserve">, the number of new users to MSIX averaged at </w:t>
      </w:r>
      <w:r>
        <w:rPr>
          <w:rFonts w:ascii="Times New Roman" w:hAnsi="Times New Roman"/>
          <w:bCs/>
          <w:szCs w:val="24"/>
        </w:rPr>
        <w:t>312</w:t>
      </w:r>
      <w:r w:rsidRPr="009D5406">
        <w:rPr>
          <w:rFonts w:ascii="Times New Roman" w:hAnsi="Times New Roman"/>
          <w:bCs/>
          <w:szCs w:val="24"/>
        </w:rPr>
        <w:t>. Adjustments were also made to the hourly rate to match the General Schedule, as the previously reported job series is no longer in use.</w:t>
      </w:r>
    </w:p>
    <w:p w:rsidR="00E302A2" w:rsidP="00534B4A" w:rsidRDefault="00E302A2" w14:paraId="3D4F7EBD" w14:textId="2DBDF918">
      <w:pPr>
        <w:tabs>
          <w:tab w:val="left" w:pos="-720"/>
        </w:tabs>
        <w:suppressAutoHyphens/>
        <w:rPr>
          <w:rFonts w:ascii="Times New Roman" w:hAnsi="Times New Roman"/>
          <w:b/>
          <w:szCs w:val="24"/>
        </w:rPr>
      </w:pPr>
      <w:r>
        <w:rPr>
          <w:rFonts w:ascii="Times New Roman" w:hAnsi="Times New Roman"/>
          <w:b/>
          <w:szCs w:val="24"/>
        </w:rPr>
        <w:tab/>
      </w: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BED2F49" w14:textId="77777777">
        <w:tc>
          <w:tcPr>
            <w:tcW w:w="2048" w:type="dxa"/>
            <w:shd w:val="clear" w:color="auto" w:fill="D9D9D9" w:themeFill="background1" w:themeFillShade="D9"/>
          </w:tcPr>
          <w:p w:rsidR="0052073E" w:rsidP="00534B4A" w:rsidRDefault="0052073E" w14:paraId="7BED2F45" w14:textId="582AA9A7">
            <w:pPr>
              <w:tabs>
                <w:tab w:val="left" w:pos="-720"/>
              </w:tabs>
              <w:suppressAutoHyphens/>
              <w:rPr>
                <w:rFonts w:ascii="Times New Roman" w:hAnsi="Times New Roman"/>
                <w:b/>
                <w:szCs w:val="24"/>
              </w:rPr>
            </w:pPr>
          </w:p>
        </w:tc>
        <w:tc>
          <w:tcPr>
            <w:tcW w:w="2048" w:type="dxa"/>
          </w:tcPr>
          <w:p w:rsidR="0052073E" w:rsidP="00534B4A" w:rsidRDefault="0052073E" w14:paraId="7BED2F4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BED2F4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BED2F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BED2F4E" w14:textId="77777777">
        <w:tc>
          <w:tcPr>
            <w:tcW w:w="2048" w:type="dxa"/>
          </w:tcPr>
          <w:p w:rsidR="0052073E" w:rsidP="00534B4A" w:rsidRDefault="0052073E" w14:paraId="7BED2F4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9D5406" w:rsidR="0052073E" w:rsidP="00534B4A" w:rsidRDefault="009D5406" w14:paraId="7BED2F4B" w14:textId="30DFB044">
            <w:pPr>
              <w:tabs>
                <w:tab w:val="left" w:pos="-720"/>
              </w:tabs>
              <w:suppressAutoHyphens/>
              <w:rPr>
                <w:rFonts w:ascii="Times New Roman" w:hAnsi="Times New Roman"/>
                <w:bCs/>
                <w:szCs w:val="24"/>
              </w:rPr>
            </w:pPr>
            <w:r w:rsidRPr="009D5406">
              <w:rPr>
                <w:rFonts w:ascii="Times New Roman" w:hAnsi="Times New Roman"/>
                <w:bCs/>
                <w:szCs w:val="24"/>
              </w:rPr>
              <w:t>n/a</w:t>
            </w:r>
          </w:p>
        </w:tc>
        <w:tc>
          <w:tcPr>
            <w:tcW w:w="2829" w:type="dxa"/>
          </w:tcPr>
          <w:p w:rsidR="0052073E" w:rsidP="00534B4A" w:rsidRDefault="009D5406" w14:paraId="7BED2F4C" w14:textId="1E7EE478">
            <w:pPr>
              <w:tabs>
                <w:tab w:val="left" w:pos="-720"/>
              </w:tabs>
              <w:suppressAutoHyphens/>
              <w:rPr>
                <w:rFonts w:ascii="Times New Roman" w:hAnsi="Times New Roman"/>
                <w:b/>
                <w:szCs w:val="24"/>
              </w:rPr>
            </w:pPr>
            <w:r w:rsidRPr="009D5406">
              <w:rPr>
                <w:rFonts w:ascii="Times New Roman" w:hAnsi="Times New Roman"/>
                <w:bCs/>
                <w:szCs w:val="24"/>
              </w:rPr>
              <w:t>n/a</w:t>
            </w:r>
          </w:p>
        </w:tc>
        <w:tc>
          <w:tcPr>
            <w:tcW w:w="2520" w:type="dxa"/>
          </w:tcPr>
          <w:p w:rsidRPr="009D5406" w:rsidR="0052073E" w:rsidP="00534B4A" w:rsidRDefault="009D5406" w14:paraId="7BED2F4D" w14:textId="26C651F3">
            <w:pPr>
              <w:tabs>
                <w:tab w:val="left" w:pos="-720"/>
              </w:tabs>
              <w:suppressAutoHyphens/>
              <w:rPr>
                <w:rFonts w:ascii="Times New Roman" w:hAnsi="Times New Roman"/>
                <w:bCs/>
                <w:szCs w:val="24"/>
              </w:rPr>
            </w:pPr>
            <w:r w:rsidRPr="009D5406">
              <w:rPr>
                <w:rFonts w:ascii="Times New Roman" w:hAnsi="Times New Roman"/>
                <w:bCs/>
                <w:szCs w:val="24"/>
              </w:rPr>
              <w:t>-54</w:t>
            </w:r>
          </w:p>
        </w:tc>
      </w:tr>
      <w:tr w:rsidR="0052073E" w:rsidTr="0052073E" w14:paraId="7BED2F53" w14:textId="77777777">
        <w:tc>
          <w:tcPr>
            <w:tcW w:w="2048" w:type="dxa"/>
          </w:tcPr>
          <w:p w:rsidR="0052073E" w:rsidP="00534B4A" w:rsidRDefault="0052073E" w14:paraId="7BED2F4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9D5406" w14:paraId="7BED2F50" w14:textId="44A51368">
            <w:pPr>
              <w:tabs>
                <w:tab w:val="left" w:pos="-720"/>
              </w:tabs>
              <w:suppressAutoHyphens/>
              <w:rPr>
                <w:rFonts w:ascii="Times New Roman" w:hAnsi="Times New Roman"/>
                <w:b/>
                <w:szCs w:val="24"/>
              </w:rPr>
            </w:pPr>
            <w:r w:rsidRPr="009D5406">
              <w:rPr>
                <w:rFonts w:ascii="Times New Roman" w:hAnsi="Times New Roman"/>
                <w:bCs/>
                <w:szCs w:val="24"/>
              </w:rPr>
              <w:t>n/a</w:t>
            </w:r>
          </w:p>
        </w:tc>
        <w:tc>
          <w:tcPr>
            <w:tcW w:w="2829" w:type="dxa"/>
          </w:tcPr>
          <w:p w:rsidR="0052073E" w:rsidP="00534B4A" w:rsidRDefault="009D5406" w14:paraId="7BED2F51" w14:textId="050FA398">
            <w:pPr>
              <w:tabs>
                <w:tab w:val="left" w:pos="-720"/>
              </w:tabs>
              <w:suppressAutoHyphens/>
              <w:rPr>
                <w:rFonts w:ascii="Times New Roman" w:hAnsi="Times New Roman"/>
                <w:b/>
                <w:szCs w:val="24"/>
              </w:rPr>
            </w:pPr>
            <w:r w:rsidRPr="009D5406">
              <w:rPr>
                <w:rFonts w:ascii="Times New Roman" w:hAnsi="Times New Roman"/>
                <w:bCs/>
                <w:szCs w:val="24"/>
              </w:rPr>
              <w:t>n/a</w:t>
            </w:r>
          </w:p>
        </w:tc>
        <w:tc>
          <w:tcPr>
            <w:tcW w:w="2520" w:type="dxa"/>
          </w:tcPr>
          <w:p w:rsidRPr="009D5406" w:rsidR="0052073E" w:rsidP="00534B4A" w:rsidRDefault="009D5406" w14:paraId="7BED2F52" w14:textId="2FFBCFE0">
            <w:pPr>
              <w:tabs>
                <w:tab w:val="left" w:pos="-720"/>
              </w:tabs>
              <w:suppressAutoHyphens/>
              <w:rPr>
                <w:rFonts w:ascii="Times New Roman" w:hAnsi="Times New Roman"/>
                <w:bCs/>
                <w:szCs w:val="24"/>
              </w:rPr>
            </w:pPr>
            <w:r w:rsidRPr="009D5406">
              <w:rPr>
                <w:rFonts w:ascii="Times New Roman" w:hAnsi="Times New Roman"/>
                <w:bCs/>
                <w:szCs w:val="24"/>
              </w:rPr>
              <w:t>-108</w:t>
            </w:r>
          </w:p>
        </w:tc>
      </w:tr>
      <w:tr w:rsidR="0052073E" w:rsidTr="0052073E" w14:paraId="7BED2F58" w14:textId="77777777">
        <w:tc>
          <w:tcPr>
            <w:tcW w:w="2048" w:type="dxa"/>
          </w:tcPr>
          <w:p w:rsidR="0052073E" w:rsidP="00534B4A" w:rsidRDefault="0052073E" w14:paraId="7BED2F5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9D5406" w14:paraId="7BED2F55" w14:textId="0BE65606">
            <w:pPr>
              <w:tabs>
                <w:tab w:val="left" w:pos="-720"/>
              </w:tabs>
              <w:suppressAutoHyphens/>
              <w:rPr>
                <w:rFonts w:ascii="Times New Roman" w:hAnsi="Times New Roman"/>
                <w:b/>
                <w:szCs w:val="24"/>
              </w:rPr>
            </w:pPr>
            <w:r w:rsidRPr="009D5406">
              <w:rPr>
                <w:rFonts w:ascii="Times New Roman" w:hAnsi="Times New Roman"/>
                <w:bCs/>
                <w:szCs w:val="24"/>
              </w:rPr>
              <w:t>n/a</w:t>
            </w:r>
          </w:p>
        </w:tc>
        <w:tc>
          <w:tcPr>
            <w:tcW w:w="2829" w:type="dxa"/>
          </w:tcPr>
          <w:p w:rsidR="0052073E" w:rsidP="00534B4A" w:rsidRDefault="009D5406" w14:paraId="7BED2F56" w14:textId="4403A315">
            <w:pPr>
              <w:tabs>
                <w:tab w:val="left" w:pos="-720"/>
              </w:tabs>
              <w:suppressAutoHyphens/>
              <w:rPr>
                <w:rFonts w:ascii="Times New Roman" w:hAnsi="Times New Roman"/>
                <w:b/>
                <w:szCs w:val="24"/>
              </w:rPr>
            </w:pPr>
            <w:r w:rsidRPr="009D5406">
              <w:rPr>
                <w:rFonts w:ascii="Times New Roman" w:hAnsi="Times New Roman"/>
                <w:bCs/>
                <w:szCs w:val="24"/>
              </w:rPr>
              <w:t>n/a</w:t>
            </w:r>
          </w:p>
        </w:tc>
        <w:tc>
          <w:tcPr>
            <w:tcW w:w="2520" w:type="dxa"/>
          </w:tcPr>
          <w:p w:rsidRPr="009D5406" w:rsidR="0052073E" w:rsidP="00534B4A" w:rsidRDefault="009D5406" w14:paraId="7BED2F57" w14:textId="36D6DF91">
            <w:pPr>
              <w:tabs>
                <w:tab w:val="left" w:pos="-720"/>
              </w:tabs>
              <w:suppressAutoHyphens/>
              <w:rPr>
                <w:rFonts w:ascii="Times New Roman" w:hAnsi="Times New Roman"/>
                <w:bCs/>
                <w:szCs w:val="24"/>
              </w:rPr>
            </w:pPr>
            <w:r w:rsidRPr="009D5406">
              <w:rPr>
                <w:rFonts w:ascii="Times New Roman" w:hAnsi="Times New Roman"/>
                <w:bCs/>
                <w:szCs w:val="24"/>
              </w:rPr>
              <w:t>-1,366</w:t>
            </w:r>
          </w:p>
        </w:tc>
      </w:tr>
    </w:tbl>
    <w:p w:rsidR="00F27AAF" w:rsidP="00534B4A" w:rsidRDefault="00F27AAF" w14:paraId="7BED2F59" w14:textId="77777777">
      <w:pPr>
        <w:tabs>
          <w:tab w:val="left" w:pos="-720"/>
        </w:tabs>
        <w:suppressAutoHyphens/>
        <w:rPr>
          <w:rFonts w:ascii="Times New Roman" w:hAnsi="Times New Roman"/>
          <w:b/>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14656FA0">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D5406" w:rsidP="009D5406" w:rsidRDefault="009D5406" w14:paraId="1277F8F6" w14:textId="1F96B2D0">
      <w:pPr>
        <w:pStyle w:val="ListParagraph"/>
        <w:tabs>
          <w:tab w:val="left" w:pos="-720"/>
        </w:tabs>
        <w:suppressAutoHyphens/>
        <w:ind w:left="806"/>
        <w:contextualSpacing w:val="0"/>
        <w:rPr>
          <w:rStyle w:val="a"/>
          <w:rFonts w:ascii="Times New Roman" w:hAnsi="Times New Roman"/>
          <w:b/>
          <w:szCs w:val="24"/>
        </w:rPr>
      </w:pPr>
    </w:p>
    <w:p w:rsidRPr="009D5406" w:rsidR="009D5406" w:rsidP="009D5406" w:rsidRDefault="009D5406" w14:paraId="735686F0" w14:textId="2194A1A1">
      <w:pPr>
        <w:pStyle w:val="ListParagraph"/>
        <w:tabs>
          <w:tab w:val="left" w:pos="-720"/>
        </w:tabs>
        <w:suppressAutoHyphens/>
        <w:ind w:left="806"/>
        <w:contextualSpacing w:val="0"/>
        <w:rPr>
          <w:rStyle w:val="a"/>
          <w:rFonts w:ascii="Times New Roman" w:hAnsi="Times New Roman"/>
          <w:bCs/>
          <w:szCs w:val="24"/>
        </w:rPr>
      </w:pPr>
      <w:r w:rsidRPr="009D5406">
        <w:rPr>
          <w:rStyle w:val="a"/>
          <w:rFonts w:ascii="Times New Roman" w:hAnsi="Times New Roman"/>
          <w:bCs/>
          <w:szCs w:val="24"/>
        </w:rPr>
        <w:t>A16. The collection of information does not require publication of the information or use of complex analytical techniques. Summary information may be reported by the Secretary in tabular form to the States, Congress and the public.</w:t>
      </w:r>
    </w:p>
    <w:p w:rsidRPr="00534B4A" w:rsidR="00534B4A" w:rsidP="00534B4A" w:rsidRDefault="00534B4A" w14:paraId="7BED2F5D" w14:textId="77777777">
      <w:pPr>
        <w:tabs>
          <w:tab w:val="left" w:pos="-720"/>
        </w:tabs>
        <w:suppressAutoHyphens/>
        <w:rPr>
          <w:rFonts w:ascii="Times New Roman" w:hAnsi="Times New Roman"/>
          <w:szCs w:val="24"/>
        </w:rPr>
      </w:pPr>
    </w:p>
    <w:p w:rsidR="00043C32" w:rsidP="00AD381B" w:rsidRDefault="00043C32" w14:paraId="7BED2F5E" w14:textId="2BD7A754">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9D5406" w:rsidP="009D5406" w:rsidRDefault="009D5406" w14:paraId="0B3B0554" w14:textId="724829C0">
      <w:pPr>
        <w:pStyle w:val="ListParagraph"/>
        <w:tabs>
          <w:tab w:val="left" w:pos="-720"/>
        </w:tabs>
        <w:suppressAutoHyphens/>
        <w:ind w:left="907"/>
        <w:contextualSpacing w:val="0"/>
        <w:rPr>
          <w:rStyle w:val="a"/>
          <w:rFonts w:ascii="Times New Roman" w:hAnsi="Times New Roman"/>
          <w:b/>
          <w:szCs w:val="24"/>
        </w:rPr>
      </w:pPr>
    </w:p>
    <w:p w:rsidRPr="009D5406" w:rsidR="009D5406" w:rsidP="009D5406" w:rsidRDefault="009D5406" w14:paraId="55769A78" w14:textId="23F85948">
      <w:pPr>
        <w:pStyle w:val="ListParagraph"/>
        <w:tabs>
          <w:tab w:val="left" w:pos="-720"/>
        </w:tabs>
        <w:suppressAutoHyphens/>
        <w:ind w:left="907"/>
        <w:contextualSpacing w:val="0"/>
        <w:rPr>
          <w:rStyle w:val="a"/>
          <w:rFonts w:ascii="Times New Roman" w:hAnsi="Times New Roman"/>
          <w:bCs/>
          <w:szCs w:val="24"/>
        </w:rPr>
      </w:pPr>
      <w:r w:rsidRPr="009D5406">
        <w:rPr>
          <w:rStyle w:val="a"/>
          <w:rFonts w:ascii="Times New Roman" w:hAnsi="Times New Roman"/>
          <w:bCs/>
          <w:szCs w:val="24"/>
        </w:rPr>
        <w:t>A17. ED is not seeking this approval.</w:t>
      </w:r>
    </w:p>
    <w:p w:rsidRPr="00534B4A" w:rsidR="00534B4A" w:rsidP="00534B4A" w:rsidRDefault="00534B4A" w14:paraId="7BED2F60" w14:textId="77777777">
      <w:pPr>
        <w:tabs>
          <w:tab w:val="left" w:pos="-720"/>
        </w:tabs>
        <w:suppressAutoHyphens/>
        <w:ind w:left="360"/>
        <w:rPr>
          <w:rFonts w:ascii="Times New Roman" w:hAnsi="Times New Roman"/>
          <w:szCs w:val="24"/>
        </w:rPr>
      </w:pPr>
    </w:p>
    <w:p w:rsidR="001C73C0" w:rsidP="00AD381B" w:rsidRDefault="00043C32" w14:paraId="7BED2F61" w14:textId="6F306B0A">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D5406" w:rsidP="009D5406" w:rsidRDefault="009D5406" w14:paraId="2F87541F" w14:textId="75B2FBE8">
      <w:pPr>
        <w:pStyle w:val="ListParagraph"/>
        <w:tabs>
          <w:tab w:val="left" w:pos="-720"/>
        </w:tabs>
        <w:suppressAutoHyphens/>
        <w:ind w:left="900"/>
        <w:rPr>
          <w:rStyle w:val="a"/>
          <w:rFonts w:ascii="Times New Roman" w:hAnsi="Times New Roman"/>
          <w:b/>
          <w:szCs w:val="24"/>
        </w:rPr>
      </w:pPr>
    </w:p>
    <w:p w:rsidRPr="009D5406" w:rsidR="009D5406" w:rsidP="009D5406" w:rsidRDefault="009D5406" w14:paraId="6E76DA88" w14:textId="521004EF">
      <w:pPr>
        <w:pStyle w:val="ListParagraph"/>
        <w:tabs>
          <w:tab w:val="left" w:pos="-720"/>
        </w:tabs>
        <w:suppressAutoHyphens/>
        <w:ind w:left="900"/>
        <w:rPr>
          <w:rFonts w:ascii="Times New Roman" w:hAnsi="Times New Roman"/>
          <w:bCs/>
          <w:szCs w:val="24"/>
        </w:rPr>
      </w:pPr>
      <w:r w:rsidRPr="009D5406">
        <w:rPr>
          <w:rFonts w:ascii="Times New Roman" w:hAnsi="Times New Roman"/>
          <w:bCs/>
          <w:szCs w:val="24"/>
        </w:rPr>
        <w:t>A18. There are no proposed exemptions to the certifications.</w:t>
      </w:r>
    </w:p>
    <w:sectPr w:rsidRPr="009D5406" w:rsidR="009D5406" w:rsidSect="00043C3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47035" w14:textId="77777777" w:rsidR="00536CBF" w:rsidRDefault="00536CBF" w:rsidP="00043C32">
      <w:r>
        <w:separator/>
      </w:r>
    </w:p>
  </w:endnote>
  <w:endnote w:type="continuationSeparator" w:id="0">
    <w:p w14:paraId="2709B5E7" w14:textId="77777777" w:rsidR="00536CBF" w:rsidRDefault="00536CBF" w:rsidP="00043C32">
      <w:r>
        <w:continuationSeparator/>
      </w:r>
    </w:p>
  </w:endnote>
  <w:endnote w:type="continuationNotice" w:id="1">
    <w:p w14:paraId="5E13D88B" w14:textId="77777777" w:rsidR="00536CBF" w:rsidRDefault="00536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D2F66" w14:textId="77777777" w:rsidR="006913CC" w:rsidRDefault="006913CC">
    <w:pPr>
      <w:spacing w:before="140" w:line="100" w:lineRule="exact"/>
      <w:rPr>
        <w:sz w:val="10"/>
      </w:rPr>
    </w:pPr>
  </w:p>
  <w:p w14:paraId="7BED2F67" w14:textId="77777777" w:rsidR="006913CC" w:rsidRDefault="006913CC">
    <w:pPr>
      <w:tabs>
        <w:tab w:val="left" w:pos="0"/>
      </w:tabs>
      <w:suppressAutoHyphens/>
    </w:pPr>
  </w:p>
  <w:p w14:paraId="7BED2F68" w14:textId="77777777" w:rsidR="006913CC" w:rsidRDefault="006913CC">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6913CC" w:rsidRPr="00534B4A" w:rsidRDefault="006913CC">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6913CC" w:rsidRPr="00534B4A" w:rsidRDefault="006913CC">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442BA" w14:textId="77777777" w:rsidR="00536CBF" w:rsidRDefault="00536CBF" w:rsidP="00043C32">
      <w:r>
        <w:separator/>
      </w:r>
    </w:p>
  </w:footnote>
  <w:footnote w:type="continuationSeparator" w:id="0">
    <w:p w14:paraId="13A3CA9E" w14:textId="77777777" w:rsidR="00536CBF" w:rsidRDefault="00536CBF" w:rsidP="00043C32">
      <w:r>
        <w:continuationSeparator/>
      </w:r>
    </w:p>
  </w:footnote>
  <w:footnote w:type="continuationNotice" w:id="1">
    <w:p w14:paraId="6F43704C" w14:textId="77777777" w:rsidR="00536CBF" w:rsidRDefault="00536CBF"/>
  </w:footnote>
  <w:footnote w:id="2">
    <w:p w14:paraId="7BED2F6B" w14:textId="77777777" w:rsidR="006913CC" w:rsidRDefault="006913CC"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3BB8"/>
    <w:rsid w:val="00035ED5"/>
    <w:rsid w:val="00043C32"/>
    <w:rsid w:val="000446F5"/>
    <w:rsid w:val="00051CB4"/>
    <w:rsid w:val="00077B20"/>
    <w:rsid w:val="00087867"/>
    <w:rsid w:val="00093017"/>
    <w:rsid w:val="001824F3"/>
    <w:rsid w:val="001A6AE0"/>
    <w:rsid w:val="001C73C0"/>
    <w:rsid w:val="001E79BD"/>
    <w:rsid w:val="002012A2"/>
    <w:rsid w:val="002225CC"/>
    <w:rsid w:val="00224A3B"/>
    <w:rsid w:val="00240A39"/>
    <w:rsid w:val="00246FE9"/>
    <w:rsid w:val="00250100"/>
    <w:rsid w:val="00262A69"/>
    <w:rsid w:val="00270AF7"/>
    <w:rsid w:val="00282168"/>
    <w:rsid w:val="002A3221"/>
    <w:rsid w:val="002C3520"/>
    <w:rsid w:val="002D0E6F"/>
    <w:rsid w:val="002E14E0"/>
    <w:rsid w:val="002F55E5"/>
    <w:rsid w:val="0032078A"/>
    <w:rsid w:val="0032539E"/>
    <w:rsid w:val="003860E4"/>
    <w:rsid w:val="00394D42"/>
    <w:rsid w:val="003B1545"/>
    <w:rsid w:val="00412915"/>
    <w:rsid w:val="00442E07"/>
    <w:rsid w:val="00483A02"/>
    <w:rsid w:val="0052073E"/>
    <w:rsid w:val="00534B4A"/>
    <w:rsid w:val="00536CBF"/>
    <w:rsid w:val="005745EF"/>
    <w:rsid w:val="00575DDA"/>
    <w:rsid w:val="00581C11"/>
    <w:rsid w:val="005E58B6"/>
    <w:rsid w:val="005F6D3C"/>
    <w:rsid w:val="0068567A"/>
    <w:rsid w:val="006913CC"/>
    <w:rsid w:val="006A1092"/>
    <w:rsid w:val="006A292A"/>
    <w:rsid w:val="006A38F7"/>
    <w:rsid w:val="006A4EBB"/>
    <w:rsid w:val="006B4172"/>
    <w:rsid w:val="006C220C"/>
    <w:rsid w:val="006E1617"/>
    <w:rsid w:val="00713B69"/>
    <w:rsid w:val="007556E5"/>
    <w:rsid w:val="00755D99"/>
    <w:rsid w:val="00756FD3"/>
    <w:rsid w:val="00765392"/>
    <w:rsid w:val="00790E3E"/>
    <w:rsid w:val="007C0A4C"/>
    <w:rsid w:val="007D1A58"/>
    <w:rsid w:val="007F6104"/>
    <w:rsid w:val="00800D30"/>
    <w:rsid w:val="00806BBB"/>
    <w:rsid w:val="00807D1A"/>
    <w:rsid w:val="00833AC2"/>
    <w:rsid w:val="00873A4A"/>
    <w:rsid w:val="00874EFE"/>
    <w:rsid w:val="00882126"/>
    <w:rsid w:val="008933F1"/>
    <w:rsid w:val="008B1649"/>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4766"/>
    <w:rsid w:val="009767AF"/>
    <w:rsid w:val="00981F58"/>
    <w:rsid w:val="00986D0A"/>
    <w:rsid w:val="009B056B"/>
    <w:rsid w:val="009D5406"/>
    <w:rsid w:val="009E3E86"/>
    <w:rsid w:val="00A118A2"/>
    <w:rsid w:val="00A23F26"/>
    <w:rsid w:val="00A27B18"/>
    <w:rsid w:val="00A4001C"/>
    <w:rsid w:val="00A40AAB"/>
    <w:rsid w:val="00A46D01"/>
    <w:rsid w:val="00A62DBC"/>
    <w:rsid w:val="00A66E3E"/>
    <w:rsid w:val="00A70816"/>
    <w:rsid w:val="00A73590"/>
    <w:rsid w:val="00A7636D"/>
    <w:rsid w:val="00A9138E"/>
    <w:rsid w:val="00AC1C89"/>
    <w:rsid w:val="00AD381B"/>
    <w:rsid w:val="00AF5B5B"/>
    <w:rsid w:val="00AF5D1A"/>
    <w:rsid w:val="00B017F9"/>
    <w:rsid w:val="00B07213"/>
    <w:rsid w:val="00B10A05"/>
    <w:rsid w:val="00B54167"/>
    <w:rsid w:val="00B57D4B"/>
    <w:rsid w:val="00B62E06"/>
    <w:rsid w:val="00B64B1D"/>
    <w:rsid w:val="00B759DF"/>
    <w:rsid w:val="00B9671B"/>
    <w:rsid w:val="00BA1D31"/>
    <w:rsid w:val="00BC4524"/>
    <w:rsid w:val="00C164D3"/>
    <w:rsid w:val="00C20670"/>
    <w:rsid w:val="00C224FD"/>
    <w:rsid w:val="00C2417A"/>
    <w:rsid w:val="00C86713"/>
    <w:rsid w:val="00C875E8"/>
    <w:rsid w:val="00C92035"/>
    <w:rsid w:val="00CC2A72"/>
    <w:rsid w:val="00CC3FB5"/>
    <w:rsid w:val="00CD2067"/>
    <w:rsid w:val="00CD47BC"/>
    <w:rsid w:val="00CD6FB5"/>
    <w:rsid w:val="00D34984"/>
    <w:rsid w:val="00D36C35"/>
    <w:rsid w:val="00D67ABE"/>
    <w:rsid w:val="00D75313"/>
    <w:rsid w:val="00DE0271"/>
    <w:rsid w:val="00E16ACD"/>
    <w:rsid w:val="00E17134"/>
    <w:rsid w:val="00E22807"/>
    <w:rsid w:val="00E25EBC"/>
    <w:rsid w:val="00E302A2"/>
    <w:rsid w:val="00E66550"/>
    <w:rsid w:val="00E87014"/>
    <w:rsid w:val="00E877BF"/>
    <w:rsid w:val="00EA1767"/>
    <w:rsid w:val="00EB0929"/>
    <w:rsid w:val="00EB0FA5"/>
    <w:rsid w:val="00EC01DD"/>
    <w:rsid w:val="00EC35E3"/>
    <w:rsid w:val="00ED7195"/>
    <w:rsid w:val="00F00141"/>
    <w:rsid w:val="00F0414F"/>
    <w:rsid w:val="00F070F3"/>
    <w:rsid w:val="00F27AAF"/>
    <w:rsid w:val="00F31BEC"/>
    <w:rsid w:val="00F5782B"/>
    <w:rsid w:val="00F64788"/>
    <w:rsid w:val="00F73131"/>
    <w:rsid w:val="00F94BDA"/>
    <w:rsid w:val="00FA0098"/>
    <w:rsid w:val="00FC669D"/>
    <w:rsid w:val="00FD4F0B"/>
    <w:rsid w:val="00FE02FC"/>
    <w:rsid w:val="00FE0F36"/>
    <w:rsid w:val="00FE1BAE"/>
    <w:rsid w:val="00FE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C2417A"/>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123084">
      <w:bodyDiv w:val="1"/>
      <w:marLeft w:val="0"/>
      <w:marRight w:val="0"/>
      <w:marTop w:val="0"/>
      <w:marBottom w:val="0"/>
      <w:divBdr>
        <w:top w:val="none" w:sz="0" w:space="0" w:color="auto"/>
        <w:left w:val="none" w:sz="0" w:space="0" w:color="auto"/>
        <w:bottom w:val="none" w:sz="0" w:space="0" w:color="auto"/>
        <w:right w:val="none" w:sz="0" w:space="0" w:color="auto"/>
      </w:divBdr>
    </w:div>
    <w:div w:id="192468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six.ed.gov/msi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CD3EE-012B-43E6-B9F9-1187CBAA8C4A}">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purl.org/dc/elements/1.1/"/>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fffff179-2dab-4947-9fab-f95d58deb4a1"/>
    <ds:schemaRef ds:uri="http://schemas.microsoft.com/office/infopath/2007/PartnerControls"/>
    <ds:schemaRef ds:uri="b534e84d-31bc-4581-84de-2eeea5b49994"/>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8B12AD52-226A-4930-A241-32F407966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4484</Words>
  <Characters>25564</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2021-03-23T20:37:00Z</dcterms:created>
  <dcterms:modified xsi:type="dcterms:W3CDTF">2021-03-23T20:37:00Z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