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451802DF">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B360E5">
        <w:rPr>
          <w:rFonts w:ascii="Times New Roman" w:hAnsi="Times New Roman"/>
          <w:szCs w:val="24"/>
        </w:rPr>
        <w:t>1840-0842</w:t>
      </w:r>
    </w:p>
    <w:p w:rsidRPr="00196A81" w:rsidR="00EA1767" w:rsidP="00BF1380" w:rsidRDefault="00EA1767" w14:paraId="56DDEF03" w14:textId="35C7F547">
      <w:pPr>
        <w:pStyle w:val="Header"/>
        <w:rPr>
          <w:rFonts w:ascii="Times New Roman" w:hAnsi="Times New Roman"/>
          <w:szCs w:val="24"/>
        </w:rPr>
      </w:pPr>
      <w:r w:rsidRPr="00196A81">
        <w:rPr>
          <w:rFonts w:ascii="Times New Roman" w:hAnsi="Times New Roman"/>
          <w:szCs w:val="24"/>
        </w:rPr>
        <w:t xml:space="preserve">Revised: </w:t>
      </w:r>
      <w:r w:rsidR="00EB268B">
        <w:rPr>
          <w:rFonts w:ascii="Times New Roman" w:hAnsi="Times New Roman"/>
          <w:szCs w:val="24"/>
        </w:rPr>
        <w:t>9/18</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196A81" w:rsidR="0014781D" w:rsidP="00BF1380" w:rsidRDefault="0014781D" w14:paraId="756FF568" w14:textId="77777777">
      <w:pPr>
        <w:rPr>
          <w:rFonts w:ascii="Times New Roman" w:hAnsi="Times New Roman"/>
          <w:szCs w:val="24"/>
        </w:rPr>
      </w:pPr>
    </w:p>
    <w:p w:rsidR="0014781D" w:rsidP="00BF1380" w:rsidRDefault="0014781D" w14:paraId="63267D95" w14:textId="088746BD">
      <w:pPr>
        <w:rPr>
          <w:rFonts w:ascii="Times New Roman" w:hAnsi="Times New Roman"/>
          <w:szCs w:val="24"/>
        </w:rPr>
      </w:pPr>
      <w:r w:rsidRPr="00196A81">
        <w:rPr>
          <w:rFonts w:ascii="Times New Roman" w:hAnsi="Times New Roman"/>
          <w:szCs w:val="24"/>
        </w:rPr>
        <w:t xml:space="preserve">Section 18004(a)(1) of the CARES Act, Pub. L. No. 116-136 (March 27, 2020), authorizes the Secretary of Education to allocate formula grant funds to </w:t>
      </w:r>
      <w:r w:rsidRPr="006113D9">
        <w:rPr>
          <w:rFonts w:ascii="Times New Roman" w:hAnsi="Times New Roman"/>
          <w:szCs w:val="24"/>
        </w:rPr>
        <w:t xml:space="preserve">participating institutions of higher education (IHEs).  </w:t>
      </w:r>
      <w:r w:rsidRPr="006113D9" w:rsidR="006113D9">
        <w:rPr>
          <w:rFonts w:ascii="Times New Roman" w:hAnsi="Times New Roman"/>
          <w:szCs w:val="24"/>
        </w:rPr>
        <w:t>Section 18004(c) of the CARES Act allows IHEs to use up to one-half of the total funds received to cover any costs associated with the significant changes to the delivery of instruction due to the coronavirus (with specific exceptions).</w:t>
      </w:r>
    </w:p>
    <w:p w:rsidR="0004501A" w:rsidP="00BF1380" w:rsidRDefault="0004501A" w14:paraId="65B5A688" w14:textId="04C29F6E">
      <w:pPr>
        <w:rPr>
          <w:rFonts w:ascii="Times New Roman" w:hAnsi="Times New Roman"/>
          <w:szCs w:val="24"/>
        </w:rPr>
      </w:pPr>
    </w:p>
    <w:p w:rsidRPr="00196A81" w:rsidR="0004501A" w:rsidP="00BF1380" w:rsidRDefault="001616E7" w14:paraId="396AE147" w14:textId="78513BBF">
      <w:pPr>
        <w:rPr>
          <w:rFonts w:ascii="Times New Roman" w:hAnsi="Times New Roman"/>
          <w:szCs w:val="24"/>
        </w:rPr>
      </w:pPr>
      <w:r w:rsidRPr="001616E7">
        <w:rPr>
          <w:rFonts w:ascii="Times New Roman" w:hAnsi="Times New Roman"/>
          <w:szCs w:val="24"/>
        </w:rPr>
        <w:t>This information collection request was previously approved as an emergency clearance in order to comply with the requirements of the CARES Act and expedite the release of funds to IHEs and students with pressing financial needs due to the pandemic.</w:t>
      </w:r>
      <w:r w:rsidR="002149F3">
        <w:rPr>
          <w:rFonts w:ascii="Times New Roman" w:hAnsi="Times New Roman"/>
          <w:szCs w:val="24"/>
        </w:rPr>
        <w:t xml:space="preserve">  The Department of Education is now requesting an extension of that emergency clearance </w:t>
      </w:r>
      <w:r w:rsidR="00B265D8">
        <w:rPr>
          <w:rFonts w:ascii="Times New Roman" w:hAnsi="Times New Roman"/>
          <w:szCs w:val="24"/>
        </w:rPr>
        <w:t>under normal clearance procedures.</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Pr="00DF6F00" w:rsidR="00BA4301" w:rsidP="00BF1380" w:rsidRDefault="00E83DFB" w14:paraId="78B0B0D4" w14:textId="699A138A">
      <w:pPr>
        <w:rPr>
          <w:rFonts w:ascii="Times New Roman" w:hAnsi="Times New Roman"/>
          <w:szCs w:val="24"/>
        </w:rPr>
      </w:pPr>
      <w:r w:rsidRPr="00DF6F00">
        <w:rPr>
          <w:rFonts w:ascii="Times New Roman" w:hAnsi="Times New Roman"/>
          <w:szCs w:val="24"/>
        </w:rPr>
        <w:t xml:space="preserve">This package includes a certification </w:t>
      </w:r>
      <w:r w:rsidRPr="00DF6F00" w:rsidR="007C3424">
        <w:rPr>
          <w:rFonts w:ascii="Times New Roman" w:hAnsi="Times New Roman"/>
          <w:szCs w:val="24"/>
        </w:rPr>
        <w:t xml:space="preserve">and agreement </w:t>
      </w:r>
      <w:r w:rsidRPr="00DF6F00">
        <w:rPr>
          <w:rFonts w:ascii="Times New Roman" w:hAnsi="Times New Roman"/>
          <w:szCs w:val="24"/>
        </w:rPr>
        <w:t xml:space="preserve">that must be submitted by an IHE in order to request </w:t>
      </w:r>
      <w:r w:rsidRPr="00DF6F00" w:rsidR="001268CB">
        <w:rPr>
          <w:rFonts w:ascii="Times New Roman" w:hAnsi="Times New Roman"/>
          <w:szCs w:val="24"/>
        </w:rPr>
        <w:t>institutional</w:t>
      </w:r>
      <w:r w:rsidRPr="00DF6F00">
        <w:rPr>
          <w:rFonts w:ascii="Times New Roman" w:hAnsi="Times New Roman"/>
          <w:szCs w:val="24"/>
        </w:rPr>
        <w:t xml:space="preserve"> aid funds allocated under the CARES Act.</w:t>
      </w:r>
      <w:r w:rsidRPr="00DF6F00" w:rsidR="00BA4301">
        <w:rPr>
          <w:rFonts w:ascii="Times New Roman" w:hAnsi="Times New Roman"/>
          <w:szCs w:val="24"/>
        </w:rPr>
        <w:t xml:space="preserve">  The Secretary and recipient will agree to the terms for the distribution of the emergency funds </w:t>
      </w:r>
      <w:r w:rsidRPr="00DF6F00" w:rsidR="00F22AA0">
        <w:rPr>
          <w:rFonts w:ascii="Times New Roman" w:hAnsi="Times New Roman"/>
          <w:szCs w:val="24"/>
        </w:rPr>
        <w:t>for the purpose of reimbursing costs associated with significant changes to the delivery of instruction due to the coronavirus.</w:t>
      </w:r>
      <w:r w:rsidRPr="00DF6F00" w:rsidR="00BA4301">
        <w:rPr>
          <w:rFonts w:ascii="Times New Roman" w:hAnsi="Times New Roman"/>
          <w:szCs w:val="24"/>
        </w:rPr>
        <w:t xml:space="preserve">  </w:t>
      </w:r>
      <w:r w:rsidRPr="00DF6F00" w:rsidR="00DF6F00">
        <w:rPr>
          <w:rFonts w:ascii="Times New Roman" w:hAnsi="Times New Roman"/>
          <w:szCs w:val="24"/>
        </w:rPr>
        <w:t>These funds may also be used to provide emergency financial aid grants to students.</w:t>
      </w:r>
    </w:p>
    <w:p w:rsidRPr="00DF6F00"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w:t>
      </w:r>
      <w:r w:rsidRPr="00196A81" w:rsidR="00A23F26">
        <w:rPr>
          <w:rFonts w:ascii="Times New Roman" w:hAnsi="Times New Roman"/>
          <w:b/>
          <w:szCs w:val="24"/>
        </w:rPr>
        <w:lastRenderedPageBreak/>
        <w:t>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5FB99F98">
      <w:pPr>
        <w:tabs>
          <w:tab w:val="left" w:pos="-720"/>
        </w:tabs>
        <w:suppressAutoHyphens/>
        <w:rPr>
          <w:rFonts w:ascii="Times New Roman" w:hAnsi="Times New Roman"/>
          <w:szCs w:val="24"/>
        </w:rPr>
      </w:pPr>
      <w:r>
        <w:rPr>
          <w:rFonts w:ascii="Times New Roman" w:hAnsi="Times New Roman"/>
          <w:szCs w:val="24"/>
        </w:rPr>
        <w:t>Data collection will be conducted electronically.  IHEs are instructed to submit certifications to the Department using Grants.gov.</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DD1696" w14:paraId="5320943F" w14:textId="2B127533">
      <w:pPr>
        <w:pStyle w:val="ListParagraph"/>
        <w:ind w:left="0"/>
        <w:rPr>
          <w:rFonts w:ascii="Times New Roman" w:hAnsi="Times New Roman"/>
          <w:iCs/>
          <w:szCs w:val="24"/>
        </w:rPr>
      </w:pPr>
      <w:r w:rsidRPr="00196A81">
        <w:rPr>
          <w:rFonts w:ascii="Times New Roman" w:hAnsi="Times New Roman"/>
          <w:iCs/>
          <w:szCs w:val="24"/>
        </w:rPr>
        <w:t xml:space="preserve">Due to the minimal burden required to </w:t>
      </w:r>
      <w:r w:rsidR="00CB44DA">
        <w:rPr>
          <w:rFonts w:ascii="Times New Roman" w:hAnsi="Times New Roman"/>
          <w:iCs/>
          <w:szCs w:val="24"/>
        </w:rPr>
        <w:t>complete</w:t>
      </w:r>
      <w:r w:rsidRPr="00196A81">
        <w:rPr>
          <w:rFonts w:ascii="Times New Roman" w:hAnsi="Times New Roman"/>
          <w:iCs/>
          <w:szCs w:val="24"/>
        </w:rPr>
        <w:t xml:space="preserve"> this collection, the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26DF6B0A">
      <w:pPr>
        <w:tabs>
          <w:tab w:val="left" w:pos="-720"/>
        </w:tabs>
        <w:suppressAutoHyphens/>
        <w:rPr>
          <w:rFonts w:ascii="Times New Roman" w:hAnsi="Times New Roman"/>
          <w:szCs w:val="24"/>
        </w:rPr>
      </w:pPr>
      <w:r w:rsidRPr="00196A81">
        <w:rPr>
          <w:rFonts w:ascii="Times New Roman" w:hAnsi="Times New Roman"/>
          <w:szCs w:val="24"/>
        </w:rPr>
        <w:t>If this collection is not allowed to proceed, the Department will not be able to fulfill the mandates of the CARES Act</w:t>
      </w:r>
      <w:r w:rsidR="00794567">
        <w:rPr>
          <w:rFonts w:ascii="Times New Roman" w:hAnsi="Times New Roman"/>
          <w:szCs w:val="24"/>
        </w:rPr>
        <w:t>,</w:t>
      </w:r>
      <w:r w:rsidRPr="00196A81">
        <w:rPr>
          <w:rFonts w:ascii="Times New Roman" w:hAnsi="Times New Roman"/>
          <w:szCs w:val="24"/>
        </w:rPr>
        <w:t xml:space="preserve"> and institutions and their students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lastRenderedPageBreak/>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00E62B1F" w:rsidP="00BF1380" w:rsidRDefault="005528D6" w14:paraId="5E565E22" w14:textId="59D72B55">
      <w:pPr>
        <w:tabs>
          <w:tab w:val="left" w:pos="-720"/>
          <w:tab w:val="left" w:pos="0"/>
        </w:tabs>
        <w:suppressAutoHyphens/>
        <w:rPr>
          <w:rFonts w:ascii="Times New Roman" w:hAnsi="Times New Roman"/>
        </w:rPr>
      </w:pPr>
      <w:r w:rsidRPr="005528D6">
        <w:rPr>
          <w:rFonts w:ascii="Times New Roman" w:hAnsi="Times New Roman"/>
        </w:rPr>
        <w:t xml:space="preserve">Due to the CARES Act, the Department previously received emergency approval from OMB for this </w:t>
      </w:r>
      <w:r w:rsidR="003C5DAC">
        <w:rPr>
          <w:rFonts w:ascii="Times New Roman" w:hAnsi="Times New Roman"/>
        </w:rPr>
        <w:t>collection</w:t>
      </w:r>
      <w:r w:rsidRPr="005528D6">
        <w:rPr>
          <w:rFonts w:ascii="Times New Roman" w:hAnsi="Times New Roman"/>
        </w:rPr>
        <w:t xml:space="preserve">. </w:t>
      </w:r>
      <w:r w:rsidR="00277B6A">
        <w:rPr>
          <w:rFonts w:ascii="Times New Roman" w:hAnsi="Times New Roman"/>
        </w:rPr>
        <w:t xml:space="preserve"> </w:t>
      </w:r>
      <w:r w:rsidRPr="005528D6">
        <w:rPr>
          <w:rFonts w:ascii="Times New Roman" w:hAnsi="Times New Roman"/>
        </w:rPr>
        <w:t>In an effort to comply with the Paperwork Reduction Act,</w:t>
      </w:r>
      <w:r w:rsidR="00277B6A">
        <w:rPr>
          <w:rFonts w:ascii="Times New Roman" w:hAnsi="Times New Roman"/>
        </w:rPr>
        <w:t xml:space="preserve"> t</w:t>
      </w:r>
      <w:r w:rsidRPr="005528D6" w:rsidR="00D66A30">
        <w:rPr>
          <w:rFonts w:ascii="Times New Roman" w:hAnsi="Times New Roman"/>
        </w:rPr>
        <w:t xml:space="preserve">he Department </w:t>
      </w:r>
      <w:r w:rsidR="00E62B1F">
        <w:rPr>
          <w:rFonts w:ascii="Times New Roman" w:hAnsi="Times New Roman"/>
        </w:rPr>
        <w:t xml:space="preserve">published a 60 day notice for public </w:t>
      </w:r>
      <w:r w:rsidR="0099719E">
        <w:rPr>
          <w:rFonts w:ascii="Times New Roman" w:hAnsi="Times New Roman"/>
        </w:rPr>
        <w:t xml:space="preserve">comment on </w:t>
      </w:r>
      <w:r w:rsidR="00B90276">
        <w:rPr>
          <w:rFonts w:ascii="Times New Roman" w:hAnsi="Times New Roman"/>
        </w:rPr>
        <w:t>June 2</w:t>
      </w:r>
      <w:r w:rsidR="00834D8A">
        <w:rPr>
          <w:rFonts w:ascii="Times New Roman" w:hAnsi="Times New Roman"/>
        </w:rPr>
        <w:t>, 2020</w:t>
      </w:r>
      <w:r w:rsidR="007A5368">
        <w:rPr>
          <w:rFonts w:ascii="Times New Roman" w:hAnsi="Times New Roman"/>
        </w:rPr>
        <w:t xml:space="preserve">.  Two comments were </w:t>
      </w:r>
      <w:r w:rsidR="00CD5FB4">
        <w:rPr>
          <w:rFonts w:ascii="Times New Roman" w:hAnsi="Times New Roman"/>
        </w:rPr>
        <w:t xml:space="preserve">submitted; </w:t>
      </w:r>
      <w:r w:rsidR="00B90276">
        <w:rPr>
          <w:rFonts w:ascii="Times New Roman" w:hAnsi="Times New Roman"/>
        </w:rPr>
        <w:t>neither one offered substantive comments on</w:t>
      </w:r>
      <w:r w:rsidR="00CD5FB4">
        <w:rPr>
          <w:rFonts w:ascii="Times New Roman" w:hAnsi="Times New Roman"/>
        </w:rPr>
        <w:t xml:space="preserve"> the collection.</w:t>
      </w:r>
      <w:r w:rsidR="009C410D">
        <w:rPr>
          <w:rFonts w:ascii="Times New Roman" w:hAnsi="Times New Roman"/>
        </w:rPr>
        <w:t xml:space="preserve">  </w:t>
      </w:r>
    </w:p>
    <w:p w:rsidR="00E62B1F" w:rsidP="00BF1380" w:rsidRDefault="00E62B1F" w14:paraId="1666ABAD" w14:textId="77777777">
      <w:pPr>
        <w:tabs>
          <w:tab w:val="left" w:pos="-720"/>
          <w:tab w:val="left" w:pos="0"/>
        </w:tabs>
        <w:suppressAutoHyphens/>
        <w:rPr>
          <w:rFonts w:ascii="Times New Roman" w:hAnsi="Times New Roman"/>
        </w:rPr>
      </w:pPr>
    </w:p>
    <w:p w:rsidRPr="005528D6" w:rsidR="005C1165" w:rsidP="00BF1380" w:rsidRDefault="009C410D" w14:paraId="016E9135" w14:textId="770B4FA6">
      <w:pPr>
        <w:tabs>
          <w:tab w:val="left" w:pos="-720"/>
          <w:tab w:val="left" w:pos="0"/>
        </w:tabs>
        <w:suppressAutoHyphens/>
        <w:rPr>
          <w:rFonts w:ascii="Times New Roman" w:hAnsi="Times New Roman"/>
          <w:szCs w:val="24"/>
        </w:rPr>
      </w:pPr>
      <w:r>
        <w:rPr>
          <w:rFonts w:ascii="Times New Roman" w:hAnsi="Times New Roman"/>
        </w:rPr>
        <w:lastRenderedPageBreak/>
        <w:t>A</w:t>
      </w:r>
      <w:r w:rsidRPr="005528D6" w:rsidR="00D66A30">
        <w:rPr>
          <w:rFonts w:ascii="Times New Roman" w:hAnsi="Times New Roman"/>
        </w:rPr>
        <w:t xml:space="preserve"> 30 day Federal Register notice for public comment</w:t>
      </w:r>
      <w:r>
        <w:rPr>
          <w:rFonts w:ascii="Times New Roman" w:hAnsi="Times New Roman"/>
        </w:rPr>
        <w:t xml:space="preserve"> will be published</w:t>
      </w:r>
      <w:r w:rsidRPr="005528D6" w:rsidR="00D66A30">
        <w:rPr>
          <w:rFonts w:ascii="Times New Roman" w:hAnsi="Times New Roman"/>
        </w:rPr>
        <w:t xml:space="preserve"> as required</w:t>
      </w:r>
      <w:r>
        <w:rPr>
          <w:rFonts w:ascii="Times New Roman" w:hAnsi="Times New Roman"/>
        </w:rPr>
        <w:t xml:space="preserve">.  The Department </w:t>
      </w:r>
      <w:r w:rsidRPr="005528D6" w:rsidR="00D66A30">
        <w:rPr>
          <w:rFonts w:ascii="Times New Roman" w:hAnsi="Times New Roman"/>
        </w:rPr>
        <w:t xml:space="preserve">will respond to comments received </w:t>
      </w:r>
      <w:r w:rsidRPr="005528D6" w:rsidR="009073CC">
        <w:rPr>
          <w:rFonts w:ascii="Times New Roman" w:hAnsi="Times New Roman"/>
        </w:rPr>
        <w:t xml:space="preserve">as a result of </w:t>
      </w:r>
      <w:r>
        <w:rPr>
          <w:rFonts w:ascii="Times New Roman" w:hAnsi="Times New Roman"/>
        </w:rPr>
        <w:t>that notice</w:t>
      </w:r>
      <w:r w:rsidRPr="005528D6" w:rsidR="009073CC">
        <w:rPr>
          <w:rFonts w:ascii="Times New Roman" w:hAnsi="Times New Roman"/>
        </w:rPr>
        <w:t>.</w:t>
      </w:r>
    </w:p>
    <w:p w:rsidRPr="00196A81" w:rsidR="00E66550" w:rsidP="00BF1380" w:rsidRDefault="00E66550" w14:paraId="56DDEF32"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Provide an explanation of how the burden was estimated, including identification of burden type: recordkeeping, reporting or third party disclosure.  Address changes in burden due to the use of technology (if applicable). Generally, </w:t>
      </w:r>
      <w:r w:rsidRPr="00196A81">
        <w:rPr>
          <w:rStyle w:val="a"/>
          <w:rFonts w:ascii="Times New Roman" w:hAnsi="Times New Roman"/>
          <w:b/>
          <w:szCs w:val="24"/>
        </w:rPr>
        <w:lastRenderedPageBreak/>
        <w:t>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4C227C" w:rsidTr="007A7678" w14:paraId="56DDEF68" w14:textId="77777777">
        <w:tc>
          <w:tcPr>
            <w:tcW w:w="1345" w:type="dxa"/>
          </w:tcPr>
          <w:p w:rsidRPr="00196A81" w:rsidR="004C227C" w:rsidP="00BF1380" w:rsidRDefault="004C227C"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4C227C" w:rsidP="00BF1380" w:rsidRDefault="004C227C"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62" w14:textId="671E9F64">
            <w:pPr>
              <w:tabs>
                <w:tab w:val="left" w:pos="0"/>
              </w:tabs>
              <w:rPr>
                <w:rFonts w:ascii="Times New Roman" w:hAnsi="Times New Roman"/>
                <w:szCs w:val="24"/>
              </w:rPr>
            </w:pPr>
            <w:r w:rsidRPr="00196A81">
              <w:rPr>
                <w:rFonts w:ascii="Times New Roman" w:hAnsi="Times New Roman"/>
                <w:iCs/>
                <w:szCs w:val="24"/>
              </w:rPr>
              <w:t>2,164</w:t>
            </w:r>
            <w:r w:rsidRPr="00196A81">
              <w:rPr>
                <w:rFonts w:ascii="Times New Roman" w:hAnsi="Times New Roman"/>
                <w:iCs/>
                <w:szCs w:val="24"/>
              </w:rPr>
              <w:tab/>
            </w:r>
          </w:p>
        </w:tc>
        <w:tc>
          <w:tcPr>
            <w:tcW w:w="1249" w:type="dxa"/>
          </w:tcPr>
          <w:p w:rsidRPr="00196A81" w:rsidR="004C227C" w:rsidP="00BF1380" w:rsidRDefault="004C227C" w14:paraId="56DDEF63" w14:textId="59672393">
            <w:pPr>
              <w:tabs>
                <w:tab w:val="left" w:pos="0"/>
              </w:tabs>
              <w:rPr>
                <w:rFonts w:ascii="Times New Roman" w:hAnsi="Times New Roman"/>
                <w:szCs w:val="24"/>
              </w:rPr>
            </w:pPr>
            <w:r w:rsidRPr="00196A81">
              <w:rPr>
                <w:rFonts w:ascii="Times New Roman" w:hAnsi="Times New Roman"/>
                <w:iCs/>
                <w:szCs w:val="24"/>
              </w:rPr>
              <w:t>2,164</w:t>
            </w:r>
          </w:p>
        </w:tc>
        <w:tc>
          <w:tcPr>
            <w:tcW w:w="1248" w:type="dxa"/>
          </w:tcPr>
          <w:p w:rsidRPr="00196A81" w:rsidR="004C227C" w:rsidP="00BF1380" w:rsidRDefault="00842018" w14:paraId="56DDEF64" w14:textId="3BA409AC">
            <w:pPr>
              <w:tabs>
                <w:tab w:val="left" w:pos="0"/>
              </w:tabs>
              <w:rPr>
                <w:rFonts w:ascii="Times New Roman" w:hAnsi="Times New Roman"/>
                <w:szCs w:val="24"/>
              </w:rPr>
            </w:pPr>
            <w:r>
              <w:rPr>
                <w:rFonts w:ascii="Times New Roman" w:hAnsi="Times New Roman"/>
                <w:szCs w:val="24"/>
              </w:rPr>
              <w:t>.5</w:t>
            </w:r>
          </w:p>
        </w:tc>
        <w:tc>
          <w:tcPr>
            <w:tcW w:w="1249" w:type="dxa"/>
          </w:tcPr>
          <w:p w:rsidRPr="00196A81" w:rsidR="004C227C" w:rsidP="00BF1380" w:rsidRDefault="00842018" w14:paraId="56DDEF65" w14:textId="53D4E005">
            <w:pPr>
              <w:tabs>
                <w:tab w:val="left" w:pos="0"/>
              </w:tabs>
              <w:rPr>
                <w:rFonts w:ascii="Times New Roman" w:hAnsi="Times New Roman"/>
                <w:szCs w:val="24"/>
              </w:rPr>
            </w:pPr>
            <w:r>
              <w:rPr>
                <w:rFonts w:ascii="Times New Roman" w:hAnsi="Times New Roman"/>
                <w:iCs/>
                <w:szCs w:val="24"/>
              </w:rPr>
              <w:t>1,082</w:t>
            </w:r>
          </w:p>
        </w:tc>
        <w:tc>
          <w:tcPr>
            <w:tcW w:w="1249" w:type="dxa"/>
          </w:tcPr>
          <w:p w:rsidRPr="00196A81" w:rsidR="004C227C" w:rsidP="00BF1380" w:rsidRDefault="004C227C"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4C227C" w:rsidP="00BF1380" w:rsidRDefault="00D80B60" w14:paraId="56DDEF67" w14:textId="3B74A59D">
            <w:pPr>
              <w:tabs>
                <w:tab w:val="left" w:pos="0"/>
              </w:tabs>
              <w:rPr>
                <w:rFonts w:ascii="Times New Roman" w:hAnsi="Times New Roman"/>
                <w:szCs w:val="24"/>
              </w:rPr>
            </w:pPr>
            <w:r>
              <w:rPr>
                <w:rFonts w:ascii="Times New Roman" w:hAnsi="Times New Roman"/>
                <w:iCs/>
                <w:szCs w:val="24"/>
              </w:rPr>
              <w:t>$</w:t>
            </w:r>
            <w:r w:rsidR="00624633">
              <w:rPr>
                <w:rFonts w:ascii="Times New Roman" w:hAnsi="Times New Roman"/>
                <w:iCs/>
                <w:szCs w:val="24"/>
              </w:rPr>
              <w:t>49,080</w:t>
            </w:r>
          </w:p>
        </w:tc>
      </w:tr>
      <w:tr w:rsidRPr="00196A81" w:rsidR="00842018" w:rsidTr="007A7678" w14:paraId="56DDEF72" w14:textId="77777777">
        <w:tc>
          <w:tcPr>
            <w:tcW w:w="1345" w:type="dxa"/>
          </w:tcPr>
          <w:p w:rsidRPr="00196A81" w:rsidR="00842018" w:rsidP="00842018" w:rsidRDefault="00842018"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842018" w:rsidP="00842018" w:rsidRDefault="00842018"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842018" w:rsidP="00842018" w:rsidRDefault="00842018"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842018" w:rsidP="00842018" w:rsidRDefault="00842018" w14:paraId="56DDEF6C" w14:textId="13A2D120">
            <w:pPr>
              <w:tabs>
                <w:tab w:val="left" w:pos="0"/>
              </w:tabs>
              <w:rPr>
                <w:rFonts w:ascii="Times New Roman" w:hAnsi="Times New Roman"/>
                <w:szCs w:val="24"/>
              </w:rPr>
            </w:pPr>
            <w:r w:rsidRPr="00196A81">
              <w:rPr>
                <w:rFonts w:ascii="Times New Roman" w:hAnsi="Times New Roman"/>
                <w:iCs/>
                <w:szCs w:val="24"/>
              </w:rPr>
              <w:t>1,784</w:t>
            </w:r>
          </w:p>
        </w:tc>
        <w:tc>
          <w:tcPr>
            <w:tcW w:w="1249" w:type="dxa"/>
          </w:tcPr>
          <w:p w:rsidRPr="00196A81" w:rsidR="00842018" w:rsidP="00842018" w:rsidRDefault="00842018" w14:paraId="56DDEF6D" w14:textId="683D8354">
            <w:pPr>
              <w:tabs>
                <w:tab w:val="left" w:pos="0"/>
              </w:tabs>
              <w:rPr>
                <w:rFonts w:ascii="Times New Roman" w:hAnsi="Times New Roman"/>
                <w:szCs w:val="24"/>
              </w:rPr>
            </w:pPr>
            <w:r w:rsidRPr="00196A81">
              <w:rPr>
                <w:rFonts w:ascii="Times New Roman" w:hAnsi="Times New Roman"/>
                <w:iCs/>
                <w:szCs w:val="24"/>
              </w:rPr>
              <w:t>1,784</w:t>
            </w:r>
          </w:p>
        </w:tc>
        <w:tc>
          <w:tcPr>
            <w:tcW w:w="1248" w:type="dxa"/>
          </w:tcPr>
          <w:p w:rsidRPr="00196A81" w:rsidR="00842018" w:rsidP="00842018" w:rsidRDefault="00842018" w14:paraId="56DDEF6E" w14:textId="6224CBC2">
            <w:pPr>
              <w:tabs>
                <w:tab w:val="left" w:pos="0"/>
              </w:tabs>
              <w:rPr>
                <w:rFonts w:ascii="Times New Roman" w:hAnsi="Times New Roman"/>
                <w:szCs w:val="24"/>
              </w:rPr>
            </w:pPr>
            <w:r>
              <w:rPr>
                <w:rFonts w:ascii="Times New Roman" w:hAnsi="Times New Roman"/>
                <w:szCs w:val="24"/>
              </w:rPr>
              <w:t>.5</w:t>
            </w:r>
          </w:p>
        </w:tc>
        <w:tc>
          <w:tcPr>
            <w:tcW w:w="1249" w:type="dxa"/>
          </w:tcPr>
          <w:p w:rsidRPr="00196A81" w:rsidR="00842018" w:rsidP="00842018" w:rsidRDefault="00842018" w14:paraId="56DDEF6F" w14:textId="40A7ADBE">
            <w:pPr>
              <w:pStyle w:val="EndnoteText"/>
              <w:tabs>
                <w:tab w:val="clear" w:pos="-720"/>
                <w:tab w:val="left" w:pos="0"/>
              </w:tabs>
              <w:suppressAutoHyphens w:val="0"/>
              <w:rPr>
                <w:rFonts w:ascii="Times New Roman" w:hAnsi="Times New Roman"/>
                <w:szCs w:val="24"/>
              </w:rPr>
            </w:pPr>
            <w:r>
              <w:rPr>
                <w:rFonts w:ascii="Times New Roman" w:hAnsi="Times New Roman"/>
                <w:iCs/>
                <w:szCs w:val="24"/>
              </w:rPr>
              <w:t>892</w:t>
            </w:r>
          </w:p>
        </w:tc>
        <w:tc>
          <w:tcPr>
            <w:tcW w:w="1249" w:type="dxa"/>
          </w:tcPr>
          <w:p w:rsidRPr="00196A81" w:rsidR="00842018" w:rsidP="00842018" w:rsidRDefault="00842018"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196A81" w:rsidR="00842018" w:rsidP="00842018" w:rsidRDefault="00842018" w14:paraId="56DDEF71" w14:textId="30422B9B">
            <w:pPr>
              <w:tabs>
                <w:tab w:val="left" w:pos="0"/>
              </w:tabs>
              <w:rPr>
                <w:rFonts w:ascii="Times New Roman" w:hAnsi="Times New Roman"/>
                <w:szCs w:val="24"/>
              </w:rPr>
            </w:pPr>
            <w:r>
              <w:rPr>
                <w:rFonts w:ascii="Times New Roman" w:hAnsi="Times New Roman"/>
                <w:iCs/>
                <w:szCs w:val="24"/>
              </w:rPr>
              <w:t>$</w:t>
            </w:r>
            <w:r w:rsidR="00624633">
              <w:rPr>
                <w:rFonts w:ascii="Times New Roman" w:hAnsi="Times New Roman"/>
                <w:iCs/>
                <w:szCs w:val="24"/>
              </w:rPr>
              <w:t>40,461</w:t>
            </w:r>
          </w:p>
        </w:tc>
      </w:tr>
      <w:tr w:rsidRPr="00196A81" w:rsidR="00842018" w:rsidTr="007A7678" w14:paraId="2718491B" w14:textId="77777777">
        <w:tc>
          <w:tcPr>
            <w:tcW w:w="1345" w:type="dxa"/>
          </w:tcPr>
          <w:p w:rsidRPr="009073CC" w:rsidR="00842018" w:rsidP="00842018" w:rsidRDefault="00842018" w14:paraId="360E6A78" w14:textId="68B67066">
            <w:pPr>
              <w:tabs>
                <w:tab w:val="left" w:pos="0"/>
              </w:tabs>
              <w:rPr>
                <w:rFonts w:ascii="Times New Roman" w:hAnsi="Times New Roman"/>
                <w:szCs w:val="24"/>
              </w:rPr>
            </w:pPr>
            <w:r w:rsidRPr="009073CC">
              <w:rPr>
                <w:rFonts w:ascii="Times New Roman" w:hAnsi="Times New Roman"/>
                <w:iCs/>
                <w:szCs w:val="24"/>
              </w:rPr>
              <w:t>For Profit Institutions</w:t>
            </w:r>
          </w:p>
        </w:tc>
        <w:tc>
          <w:tcPr>
            <w:tcW w:w="1248" w:type="dxa"/>
          </w:tcPr>
          <w:p w:rsidRPr="00196A81" w:rsidR="00842018" w:rsidP="00842018" w:rsidRDefault="00842018" w14:paraId="6217576E" w14:textId="1C1266BC">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842018" w:rsidP="00842018" w:rsidRDefault="00842018" w14:paraId="34820EFF" w14:textId="4122328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8A1394" w:rsidR="00842018" w:rsidP="00842018" w:rsidRDefault="00842018" w14:paraId="7C862606" w14:textId="7423AC7D">
            <w:pPr>
              <w:tabs>
                <w:tab w:val="left" w:pos="0"/>
              </w:tabs>
              <w:rPr>
                <w:rFonts w:ascii="Times New Roman" w:hAnsi="Times New Roman"/>
                <w:szCs w:val="24"/>
              </w:rPr>
            </w:pPr>
            <w:r w:rsidRPr="008A1394">
              <w:rPr>
                <w:rFonts w:ascii="Times New Roman" w:hAnsi="Times New Roman"/>
                <w:iCs/>
                <w:szCs w:val="24"/>
              </w:rPr>
              <w:t>1,757</w:t>
            </w:r>
          </w:p>
        </w:tc>
        <w:tc>
          <w:tcPr>
            <w:tcW w:w="1249" w:type="dxa"/>
          </w:tcPr>
          <w:p w:rsidRPr="008A1394" w:rsidR="00842018" w:rsidP="00842018" w:rsidRDefault="00842018" w14:paraId="416DA8C5" w14:textId="179D221C">
            <w:pPr>
              <w:tabs>
                <w:tab w:val="left" w:pos="0"/>
              </w:tabs>
              <w:rPr>
                <w:rFonts w:ascii="Times New Roman" w:hAnsi="Times New Roman"/>
                <w:szCs w:val="24"/>
              </w:rPr>
            </w:pPr>
            <w:r w:rsidRPr="008A1394">
              <w:rPr>
                <w:rFonts w:ascii="Times New Roman" w:hAnsi="Times New Roman"/>
                <w:iCs/>
                <w:szCs w:val="24"/>
              </w:rPr>
              <w:t>1,757</w:t>
            </w:r>
          </w:p>
        </w:tc>
        <w:tc>
          <w:tcPr>
            <w:tcW w:w="1248" w:type="dxa"/>
          </w:tcPr>
          <w:p w:rsidRPr="008A1394" w:rsidR="00842018" w:rsidP="00842018" w:rsidRDefault="00842018" w14:paraId="26F05952" w14:textId="2B828BA7">
            <w:pPr>
              <w:tabs>
                <w:tab w:val="left" w:pos="0"/>
              </w:tabs>
              <w:rPr>
                <w:rFonts w:ascii="Times New Roman" w:hAnsi="Times New Roman"/>
                <w:szCs w:val="24"/>
              </w:rPr>
            </w:pPr>
            <w:r>
              <w:rPr>
                <w:rFonts w:ascii="Times New Roman" w:hAnsi="Times New Roman"/>
                <w:szCs w:val="24"/>
              </w:rPr>
              <w:t>.5</w:t>
            </w:r>
          </w:p>
        </w:tc>
        <w:tc>
          <w:tcPr>
            <w:tcW w:w="1249" w:type="dxa"/>
          </w:tcPr>
          <w:p w:rsidRPr="008A1394" w:rsidR="00842018" w:rsidP="00842018" w:rsidRDefault="00842018" w14:paraId="6D9F6AC4" w14:textId="2D962E38">
            <w:pPr>
              <w:pStyle w:val="EndnoteText"/>
              <w:tabs>
                <w:tab w:val="clear" w:pos="-720"/>
                <w:tab w:val="left" w:pos="0"/>
              </w:tabs>
              <w:suppressAutoHyphens w:val="0"/>
              <w:rPr>
                <w:rFonts w:ascii="Times New Roman" w:hAnsi="Times New Roman"/>
                <w:szCs w:val="24"/>
              </w:rPr>
            </w:pPr>
            <w:r>
              <w:rPr>
                <w:rFonts w:ascii="Times New Roman" w:hAnsi="Times New Roman"/>
                <w:iCs/>
                <w:szCs w:val="24"/>
              </w:rPr>
              <w:t>879</w:t>
            </w:r>
          </w:p>
        </w:tc>
        <w:tc>
          <w:tcPr>
            <w:tcW w:w="1249" w:type="dxa"/>
          </w:tcPr>
          <w:p w:rsidRPr="00196A81" w:rsidR="00842018" w:rsidP="00842018" w:rsidRDefault="00842018" w14:paraId="17CFC217" w14:textId="56BBBC8A">
            <w:pPr>
              <w:tabs>
                <w:tab w:val="left" w:pos="0"/>
              </w:tabs>
              <w:rPr>
                <w:rFonts w:ascii="Times New Roman" w:hAnsi="Times New Roman"/>
                <w:szCs w:val="24"/>
              </w:rPr>
            </w:pPr>
            <w:r w:rsidRPr="00196A81">
              <w:rPr>
                <w:rFonts w:ascii="Times New Roman" w:hAnsi="Times New Roman"/>
                <w:iCs/>
                <w:szCs w:val="24"/>
              </w:rPr>
              <w:t>$45.36</w:t>
            </w:r>
          </w:p>
        </w:tc>
        <w:tc>
          <w:tcPr>
            <w:tcW w:w="1249" w:type="dxa"/>
          </w:tcPr>
          <w:p w:rsidRPr="008A1394" w:rsidR="00842018" w:rsidP="00842018" w:rsidRDefault="00842018" w14:paraId="18559A97" w14:textId="1DD3E309">
            <w:pPr>
              <w:tabs>
                <w:tab w:val="left" w:pos="0"/>
              </w:tabs>
              <w:rPr>
                <w:rFonts w:ascii="Times New Roman" w:hAnsi="Times New Roman"/>
                <w:szCs w:val="24"/>
              </w:rPr>
            </w:pPr>
            <w:r>
              <w:rPr>
                <w:rFonts w:ascii="Times New Roman" w:hAnsi="Times New Roman"/>
                <w:iCs/>
                <w:szCs w:val="24"/>
              </w:rPr>
              <w:t>$</w:t>
            </w:r>
            <w:r w:rsidR="00624633">
              <w:rPr>
                <w:rFonts w:ascii="Times New Roman" w:hAnsi="Times New Roman"/>
                <w:iCs/>
                <w:szCs w:val="24"/>
              </w:rPr>
              <w:t>39,871</w:t>
            </w:r>
          </w:p>
        </w:tc>
      </w:tr>
      <w:tr w:rsidRPr="00196A81" w:rsidR="004C227C" w:rsidTr="007A7678" w14:paraId="56DDEF90" w14:textId="77777777">
        <w:tc>
          <w:tcPr>
            <w:tcW w:w="1345" w:type="dxa"/>
          </w:tcPr>
          <w:p w:rsidRPr="00196A81" w:rsidR="004C227C" w:rsidP="00BF1380" w:rsidRDefault="004C227C" w14:paraId="56DDEF87" w14:textId="77777777">
            <w:pPr>
              <w:tabs>
                <w:tab w:val="left" w:pos="0"/>
              </w:tabs>
              <w:jc w:val="center"/>
              <w:rPr>
                <w:rFonts w:ascii="Times New Roman" w:hAnsi="Times New Roman"/>
                <w:szCs w:val="24"/>
              </w:rPr>
            </w:pPr>
            <w:r w:rsidRPr="00196A81">
              <w:rPr>
                <w:rFonts w:ascii="Times New Roman" w:hAnsi="Times New Roman"/>
                <w:szCs w:val="24"/>
              </w:rPr>
              <w:t>Annualized Totals</w:t>
            </w:r>
          </w:p>
        </w:tc>
        <w:tc>
          <w:tcPr>
            <w:tcW w:w="1248" w:type="dxa"/>
          </w:tcPr>
          <w:p w:rsidRPr="00196A81" w:rsidR="004C227C" w:rsidP="00BF1380" w:rsidRDefault="004C227C"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4C227C" w:rsidP="00BF1380" w:rsidRDefault="004C227C" w14:paraId="56DDEF8A" w14:textId="3621D485">
            <w:pPr>
              <w:tabs>
                <w:tab w:val="left" w:pos="0"/>
              </w:tabs>
              <w:rPr>
                <w:rFonts w:ascii="Times New Roman" w:hAnsi="Times New Roman"/>
                <w:szCs w:val="24"/>
              </w:rPr>
            </w:pPr>
            <w:r w:rsidRPr="00196A81">
              <w:rPr>
                <w:rFonts w:ascii="Times New Roman" w:hAnsi="Times New Roman"/>
                <w:iCs/>
                <w:szCs w:val="24"/>
              </w:rPr>
              <w:t>5,705</w:t>
            </w:r>
          </w:p>
        </w:tc>
        <w:tc>
          <w:tcPr>
            <w:tcW w:w="1249" w:type="dxa"/>
          </w:tcPr>
          <w:p w:rsidRPr="00196A81" w:rsidR="004C227C" w:rsidP="00BF1380" w:rsidRDefault="004C227C" w14:paraId="56DDEF8B" w14:textId="78C4D774">
            <w:pPr>
              <w:tabs>
                <w:tab w:val="left" w:pos="0"/>
              </w:tabs>
              <w:rPr>
                <w:rFonts w:ascii="Times New Roman" w:hAnsi="Times New Roman"/>
                <w:szCs w:val="24"/>
              </w:rPr>
            </w:pPr>
            <w:r w:rsidRPr="00196A81">
              <w:rPr>
                <w:rFonts w:ascii="Times New Roman" w:hAnsi="Times New Roman"/>
                <w:iCs/>
                <w:szCs w:val="24"/>
              </w:rPr>
              <w:t>5,705</w:t>
            </w:r>
          </w:p>
        </w:tc>
        <w:tc>
          <w:tcPr>
            <w:tcW w:w="1248" w:type="dxa"/>
          </w:tcPr>
          <w:p w:rsidRPr="00196A81" w:rsidR="004C227C" w:rsidP="00BF1380" w:rsidRDefault="004C227C"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96A81" w:rsidR="004C227C" w:rsidP="00BF1380" w:rsidRDefault="00842018" w14:paraId="56DDEF8D" w14:textId="5278129A">
            <w:pPr>
              <w:tabs>
                <w:tab w:val="left" w:pos="0"/>
              </w:tabs>
              <w:rPr>
                <w:rFonts w:ascii="Times New Roman" w:hAnsi="Times New Roman"/>
                <w:szCs w:val="24"/>
              </w:rPr>
            </w:pPr>
            <w:r>
              <w:rPr>
                <w:rFonts w:ascii="Times New Roman" w:hAnsi="Times New Roman"/>
                <w:iCs/>
                <w:szCs w:val="24"/>
              </w:rPr>
              <w:t>2,853</w:t>
            </w:r>
          </w:p>
        </w:tc>
        <w:tc>
          <w:tcPr>
            <w:tcW w:w="1249" w:type="dxa"/>
          </w:tcPr>
          <w:p w:rsidRPr="00196A81" w:rsidR="004C227C" w:rsidP="00BF1380" w:rsidRDefault="004C227C"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tcPr>
          <w:p w:rsidRPr="00196A81" w:rsidR="004C227C" w:rsidP="00BF1380" w:rsidRDefault="00382E93" w14:paraId="56DDEF8F" w14:textId="535542B4">
            <w:pPr>
              <w:tabs>
                <w:tab w:val="left" w:pos="0"/>
              </w:tabs>
              <w:rPr>
                <w:rFonts w:ascii="Times New Roman" w:hAnsi="Times New Roman"/>
                <w:szCs w:val="24"/>
              </w:rPr>
            </w:pPr>
            <w:r>
              <w:rPr>
                <w:rFonts w:ascii="Times New Roman" w:hAnsi="Times New Roman"/>
                <w:szCs w:val="24"/>
              </w:rPr>
              <w:t>$</w:t>
            </w:r>
            <w:r w:rsidR="00624633">
              <w:rPr>
                <w:rFonts w:ascii="Times New Roman" w:hAnsi="Times New Roman"/>
                <w:szCs w:val="24"/>
              </w:rPr>
              <w:t>129,412</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634885" w:rsidP="00634885" w:rsidRDefault="00634885" w14:paraId="293827AF" w14:textId="0AF56B0D">
      <w:pPr>
        <w:rPr>
          <w:rFonts w:ascii="Times New Roman" w:hAnsi="Times New Roman"/>
          <w:iCs/>
          <w:szCs w:val="24"/>
        </w:rPr>
      </w:pPr>
      <w:r>
        <w:rPr>
          <w:rFonts w:ascii="Times New Roman" w:hAnsi="Times New Roman"/>
          <w:iCs/>
          <w:szCs w:val="24"/>
        </w:rPr>
        <w:t xml:space="preserve">We anticipate 5,705 respondents x 1 response per year x .5 hours per response, totaling </w:t>
      </w:r>
      <w:r w:rsidRPr="00196A81">
        <w:rPr>
          <w:rFonts w:ascii="Times New Roman" w:hAnsi="Times New Roman"/>
          <w:iCs/>
          <w:szCs w:val="24"/>
        </w:rPr>
        <w:t>5,705</w:t>
      </w:r>
      <w:r>
        <w:rPr>
          <w:rFonts w:ascii="Times New Roman" w:hAnsi="Times New Roman"/>
          <w:iCs/>
          <w:szCs w:val="24"/>
        </w:rPr>
        <w:t xml:space="preserve"> responses and 2,853 burden hours per year.</w:t>
      </w: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lastRenderedPageBreak/>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196A81" w:rsidR="00043C32" w:rsidP="009D48E2"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196A81" w:rsidR="00800D30" w:rsidP="009D48E2" w:rsidRDefault="00800D30" w14:paraId="56DDEFA5" w14:textId="77777777">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AE"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96A81" w:rsidR="0052073E" w:rsidP="00BF1380" w:rsidRDefault="0052073E" w14:paraId="56DDEFB8" w14:textId="77777777">
            <w:pPr>
              <w:tabs>
                <w:tab w:val="left" w:pos="-720"/>
                <w:tab w:val="left" w:pos="0"/>
              </w:tabs>
              <w:suppressAutoHyphens/>
              <w:rPr>
                <w:rFonts w:ascii="Times New Roman" w:hAnsi="Times New Roman"/>
                <w:b/>
                <w:szCs w:val="24"/>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9D48E2" w:rsidRDefault="00B60D84" w14:paraId="7BCE9FE1" w14:textId="6E9F0843">
      <w:pPr>
        <w:tabs>
          <w:tab w:val="left" w:pos="-720"/>
          <w:tab w:val="left" w:pos="0"/>
        </w:tabs>
        <w:suppressAutoHyphens/>
        <w:spacing w:after="120"/>
        <w:rPr>
          <w:rFonts w:ascii="Times New Roman" w:hAnsi="Times New Roman"/>
        </w:rPr>
      </w:pPr>
      <w:r>
        <w:rPr>
          <w:rFonts w:ascii="Times New Roman" w:hAnsi="Times New Roman"/>
        </w:rPr>
        <w:t>There are no changes to the burden estimates currently on file.</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094C4" w14:textId="77777777" w:rsidR="00FE48AB" w:rsidRDefault="00FE48AB" w:rsidP="00043C32">
      <w:r>
        <w:separator/>
      </w:r>
    </w:p>
  </w:endnote>
  <w:endnote w:type="continuationSeparator" w:id="0">
    <w:p w14:paraId="5895C88F" w14:textId="77777777" w:rsidR="00FE48AB" w:rsidRDefault="00FE48AB"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A80EDC">
    <w:pPr>
      <w:spacing w:before="140" w:line="100" w:lineRule="exact"/>
      <w:rPr>
        <w:sz w:val="10"/>
      </w:rPr>
    </w:pPr>
  </w:p>
  <w:p w14:paraId="56DDEFC9" w14:textId="77777777" w:rsidR="00386054" w:rsidRDefault="00A80EDC">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1CE93" w14:textId="77777777" w:rsidR="00FE48AB" w:rsidRDefault="00FE48AB" w:rsidP="00043C32">
      <w:r>
        <w:separator/>
      </w:r>
    </w:p>
  </w:footnote>
  <w:footnote w:type="continuationSeparator" w:id="0">
    <w:p w14:paraId="66CDF143" w14:textId="77777777" w:rsidR="00FE48AB" w:rsidRDefault="00FE48AB"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4804"/>
    <w:rsid w:val="00035ED5"/>
    <w:rsid w:val="00043C32"/>
    <w:rsid w:val="000446F5"/>
    <w:rsid w:val="0004501A"/>
    <w:rsid w:val="00047953"/>
    <w:rsid w:val="00063A39"/>
    <w:rsid w:val="00093017"/>
    <w:rsid w:val="000B5BBA"/>
    <w:rsid w:val="000C2793"/>
    <w:rsid w:val="001268CB"/>
    <w:rsid w:val="0014781D"/>
    <w:rsid w:val="0015687E"/>
    <w:rsid w:val="001616E7"/>
    <w:rsid w:val="001634C5"/>
    <w:rsid w:val="001824F3"/>
    <w:rsid w:val="00196A81"/>
    <w:rsid w:val="001A55BB"/>
    <w:rsid w:val="001A6AE0"/>
    <w:rsid w:val="001B4FCB"/>
    <w:rsid w:val="001B5E30"/>
    <w:rsid w:val="001C73C0"/>
    <w:rsid w:val="001E79BD"/>
    <w:rsid w:val="002149F3"/>
    <w:rsid w:val="00217E2B"/>
    <w:rsid w:val="00221318"/>
    <w:rsid w:val="002225CC"/>
    <w:rsid w:val="00224A3B"/>
    <w:rsid w:val="002313E2"/>
    <w:rsid w:val="00240A39"/>
    <w:rsid w:val="00242055"/>
    <w:rsid w:val="00246FE9"/>
    <w:rsid w:val="00250100"/>
    <w:rsid w:val="0025791C"/>
    <w:rsid w:val="00262A69"/>
    <w:rsid w:val="00270AF7"/>
    <w:rsid w:val="00277B6A"/>
    <w:rsid w:val="002A0084"/>
    <w:rsid w:val="002A3221"/>
    <w:rsid w:val="002C3520"/>
    <w:rsid w:val="002E14E0"/>
    <w:rsid w:val="002F0981"/>
    <w:rsid w:val="002F55E5"/>
    <w:rsid w:val="0032078A"/>
    <w:rsid w:val="0032539E"/>
    <w:rsid w:val="003254B8"/>
    <w:rsid w:val="00335670"/>
    <w:rsid w:val="00337880"/>
    <w:rsid w:val="0035262A"/>
    <w:rsid w:val="003658B8"/>
    <w:rsid w:val="00382E93"/>
    <w:rsid w:val="003860E4"/>
    <w:rsid w:val="003B1545"/>
    <w:rsid w:val="003C5DAC"/>
    <w:rsid w:val="003F3EA6"/>
    <w:rsid w:val="00400F78"/>
    <w:rsid w:val="00412915"/>
    <w:rsid w:val="004237B8"/>
    <w:rsid w:val="00442E07"/>
    <w:rsid w:val="004B1AEE"/>
    <w:rsid w:val="004C227C"/>
    <w:rsid w:val="0052073E"/>
    <w:rsid w:val="00534B4A"/>
    <w:rsid w:val="005528D6"/>
    <w:rsid w:val="00575DDA"/>
    <w:rsid w:val="0058188E"/>
    <w:rsid w:val="00581C11"/>
    <w:rsid w:val="005C1165"/>
    <w:rsid w:val="006113D9"/>
    <w:rsid w:val="00616F79"/>
    <w:rsid w:val="00624633"/>
    <w:rsid w:val="00634885"/>
    <w:rsid w:val="00665232"/>
    <w:rsid w:val="0068567A"/>
    <w:rsid w:val="006A292A"/>
    <w:rsid w:val="006A38F7"/>
    <w:rsid w:val="006A4EBB"/>
    <w:rsid w:val="006B4172"/>
    <w:rsid w:val="006D32B9"/>
    <w:rsid w:val="006E07A2"/>
    <w:rsid w:val="007118A4"/>
    <w:rsid w:val="00713B69"/>
    <w:rsid w:val="00755D99"/>
    <w:rsid w:val="00756FD3"/>
    <w:rsid w:val="00765392"/>
    <w:rsid w:val="00790E3E"/>
    <w:rsid w:val="00794567"/>
    <w:rsid w:val="007A5368"/>
    <w:rsid w:val="007A7678"/>
    <w:rsid w:val="007C0A4C"/>
    <w:rsid w:val="007C3424"/>
    <w:rsid w:val="007F6104"/>
    <w:rsid w:val="00800D30"/>
    <w:rsid w:val="00807D1A"/>
    <w:rsid w:val="00834D8A"/>
    <w:rsid w:val="00842018"/>
    <w:rsid w:val="00860E11"/>
    <w:rsid w:val="00874EFE"/>
    <w:rsid w:val="00882126"/>
    <w:rsid w:val="008933F1"/>
    <w:rsid w:val="008A1394"/>
    <w:rsid w:val="008D0601"/>
    <w:rsid w:val="008D1F11"/>
    <w:rsid w:val="008E5919"/>
    <w:rsid w:val="008E74C4"/>
    <w:rsid w:val="00905951"/>
    <w:rsid w:val="009073CC"/>
    <w:rsid w:val="00912D2C"/>
    <w:rsid w:val="00916EE4"/>
    <w:rsid w:val="00920F63"/>
    <w:rsid w:val="009243F3"/>
    <w:rsid w:val="0093366B"/>
    <w:rsid w:val="00934185"/>
    <w:rsid w:val="00946126"/>
    <w:rsid w:val="00952DF9"/>
    <w:rsid w:val="0095421D"/>
    <w:rsid w:val="00960C86"/>
    <w:rsid w:val="009767AF"/>
    <w:rsid w:val="00981F58"/>
    <w:rsid w:val="009869CE"/>
    <w:rsid w:val="00986D0A"/>
    <w:rsid w:val="0099719E"/>
    <w:rsid w:val="009B26BD"/>
    <w:rsid w:val="009C410D"/>
    <w:rsid w:val="009D48E2"/>
    <w:rsid w:val="009E3E86"/>
    <w:rsid w:val="00A118A2"/>
    <w:rsid w:val="00A23F26"/>
    <w:rsid w:val="00A4001C"/>
    <w:rsid w:val="00A40AAB"/>
    <w:rsid w:val="00A46D01"/>
    <w:rsid w:val="00A6459A"/>
    <w:rsid w:val="00A70816"/>
    <w:rsid w:val="00A73590"/>
    <w:rsid w:val="00A7636D"/>
    <w:rsid w:val="00A76C3D"/>
    <w:rsid w:val="00A80EDC"/>
    <w:rsid w:val="00A9138E"/>
    <w:rsid w:val="00AC1C89"/>
    <w:rsid w:val="00AC3695"/>
    <w:rsid w:val="00AD381B"/>
    <w:rsid w:val="00AE5430"/>
    <w:rsid w:val="00AF5B5B"/>
    <w:rsid w:val="00AF5D1A"/>
    <w:rsid w:val="00B017F9"/>
    <w:rsid w:val="00B07213"/>
    <w:rsid w:val="00B10A05"/>
    <w:rsid w:val="00B265D8"/>
    <w:rsid w:val="00B326A3"/>
    <w:rsid w:val="00B360E5"/>
    <w:rsid w:val="00B5339C"/>
    <w:rsid w:val="00B54167"/>
    <w:rsid w:val="00B60D84"/>
    <w:rsid w:val="00B619C9"/>
    <w:rsid w:val="00B623A1"/>
    <w:rsid w:val="00B62E06"/>
    <w:rsid w:val="00B64B1D"/>
    <w:rsid w:val="00B90276"/>
    <w:rsid w:val="00B9671B"/>
    <w:rsid w:val="00BA1D31"/>
    <w:rsid w:val="00BA4301"/>
    <w:rsid w:val="00BF1380"/>
    <w:rsid w:val="00C164D3"/>
    <w:rsid w:val="00C20670"/>
    <w:rsid w:val="00C224FD"/>
    <w:rsid w:val="00C41664"/>
    <w:rsid w:val="00C86713"/>
    <w:rsid w:val="00C875E8"/>
    <w:rsid w:val="00C92035"/>
    <w:rsid w:val="00C95DBB"/>
    <w:rsid w:val="00CB44DA"/>
    <w:rsid w:val="00CC2A72"/>
    <w:rsid w:val="00CC3FB5"/>
    <w:rsid w:val="00CD2067"/>
    <w:rsid w:val="00CD47BC"/>
    <w:rsid w:val="00CD5FB4"/>
    <w:rsid w:val="00D34984"/>
    <w:rsid w:val="00D36C35"/>
    <w:rsid w:val="00D66A30"/>
    <w:rsid w:val="00D67E1A"/>
    <w:rsid w:val="00D75313"/>
    <w:rsid w:val="00D80B60"/>
    <w:rsid w:val="00D90557"/>
    <w:rsid w:val="00DD1696"/>
    <w:rsid w:val="00DD2C0A"/>
    <w:rsid w:val="00DF11C8"/>
    <w:rsid w:val="00DF6F00"/>
    <w:rsid w:val="00E16ACD"/>
    <w:rsid w:val="00E17134"/>
    <w:rsid w:val="00E22868"/>
    <w:rsid w:val="00E25EBC"/>
    <w:rsid w:val="00E3375E"/>
    <w:rsid w:val="00E542AE"/>
    <w:rsid w:val="00E62B1F"/>
    <w:rsid w:val="00E66550"/>
    <w:rsid w:val="00E83DFB"/>
    <w:rsid w:val="00E877BF"/>
    <w:rsid w:val="00EA1767"/>
    <w:rsid w:val="00EB0929"/>
    <w:rsid w:val="00EB0C51"/>
    <w:rsid w:val="00EB0FA5"/>
    <w:rsid w:val="00EB268B"/>
    <w:rsid w:val="00EC01DD"/>
    <w:rsid w:val="00EC35E3"/>
    <w:rsid w:val="00ED7195"/>
    <w:rsid w:val="00F0414F"/>
    <w:rsid w:val="00F070F3"/>
    <w:rsid w:val="00F22AA0"/>
    <w:rsid w:val="00F27525"/>
    <w:rsid w:val="00F27AAF"/>
    <w:rsid w:val="00F31941"/>
    <w:rsid w:val="00F31BEC"/>
    <w:rsid w:val="00F5782B"/>
    <w:rsid w:val="00F72A59"/>
    <w:rsid w:val="00F73131"/>
    <w:rsid w:val="00FC669D"/>
    <w:rsid w:val="00FD4F0B"/>
    <w:rsid w:val="00FE02FC"/>
    <w:rsid w:val="00FE1BAE"/>
    <w:rsid w:val="00FE48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47070-4B14-4B44-9D71-9A2C501A1C09}">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f87c7b8b-c0e7-4b77-a067-2c707fd1239f"/>
    <ds:schemaRef ds:uri="http://schemas.microsoft.com/office/2006/metadata/properties"/>
    <ds:schemaRef ds:uri="http://schemas.openxmlformats.org/package/2006/metadata/core-properties"/>
    <ds:schemaRef ds:uri="http://purl.org/dc/dcmitype/"/>
    <ds:schemaRef ds:uri="02e41e38-1731-4866-b09a-6257d8bc047f"/>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C807A3E4-FCC4-4006-BB91-FAABEED3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15242</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2020-09-21T19:43:00Z</dcterms:created>
  <dcterms:modified xsi:type="dcterms:W3CDTF">2020-09-21T19:43:00Z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