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129F" w:rsidP="00A95D5A" w:rsidRDefault="0090129F" w14:paraId="310A1391" w14:textId="77777777">
      <w:pPr>
        <w:pStyle w:val="C1-CtrBoldHd"/>
        <w:spacing w:after="0"/>
        <w:jc w:val="right"/>
        <w:rPr>
          <w:sz w:val="36"/>
        </w:rPr>
      </w:pPr>
    </w:p>
    <w:p w:rsidR="00C661C6" w:rsidP="00A95D5A" w:rsidRDefault="00C661C6" w14:paraId="6A9D5EBD" w14:textId="77777777">
      <w:pPr>
        <w:pStyle w:val="C1-CtrBoldHd"/>
        <w:spacing w:after="0"/>
        <w:jc w:val="right"/>
        <w:rPr>
          <w:sz w:val="36"/>
        </w:rPr>
      </w:pPr>
    </w:p>
    <w:p w:rsidR="00F81FFD" w:rsidP="00A95D5A" w:rsidRDefault="00F81FFD" w14:paraId="22821EE5" w14:textId="76D04782">
      <w:pPr>
        <w:pStyle w:val="NoSpacing"/>
        <w:widowControl w:val="0"/>
        <w:rPr>
          <w:rFonts w:ascii="Cambria" w:hAnsi="Cambria"/>
          <w:b/>
          <w:sz w:val="28"/>
          <w:szCs w:val="28"/>
        </w:rPr>
      </w:pPr>
    </w:p>
    <w:p w:rsidRPr="00BA441F" w:rsidR="00F81FFD" w:rsidP="00F81FFD" w:rsidRDefault="00F81FFD" w14:paraId="74E7F993" w14:textId="77777777">
      <w:pPr>
        <w:pStyle w:val="NoSpacing"/>
        <w:widowControl w:val="0"/>
        <w:jc w:val="center"/>
        <w:rPr>
          <w:rFonts w:ascii="Cambria" w:hAnsi="Cambria"/>
          <w:b/>
          <w:sz w:val="28"/>
          <w:szCs w:val="28"/>
        </w:rPr>
      </w:pPr>
    </w:p>
    <w:p w:rsidRPr="00F94D51" w:rsidR="00F81FFD" w:rsidP="00F81FFD" w:rsidRDefault="00F81FFD" w14:paraId="025E7A10" w14:textId="23C20485">
      <w:pPr>
        <w:pStyle w:val="NoSpacing"/>
        <w:widowControl w:val="0"/>
        <w:jc w:val="right"/>
        <w:rPr>
          <w:rFonts w:ascii="Arial Black" w:hAnsi="Arial Black"/>
          <w:sz w:val="40"/>
          <w:szCs w:val="40"/>
        </w:rPr>
      </w:pPr>
      <w:r>
        <w:rPr>
          <w:rFonts w:ascii="Arial Black" w:hAnsi="Arial Black"/>
          <w:sz w:val="40"/>
          <w:szCs w:val="40"/>
        </w:rPr>
        <w:t xml:space="preserve">Trends in International Mathematics </w:t>
      </w:r>
      <w:bookmarkStart w:name="_Hlk57625931" w:id="0"/>
      <w:r w:rsidR="00A95D5A">
        <w:rPr>
          <w:rFonts w:ascii="Arial Black" w:hAnsi="Arial Black"/>
          <w:sz w:val="40"/>
          <w:szCs w:val="40"/>
        </w:rPr>
        <w:t xml:space="preserve">and Science </w:t>
      </w:r>
      <w:r>
        <w:rPr>
          <w:rFonts w:ascii="Arial Black" w:hAnsi="Arial Black"/>
          <w:sz w:val="40"/>
          <w:szCs w:val="40"/>
        </w:rPr>
        <w:t xml:space="preserve">Study </w:t>
      </w:r>
      <w:r w:rsidRPr="00F94D51">
        <w:rPr>
          <w:rFonts w:ascii="Arial Black" w:hAnsi="Arial Black"/>
          <w:sz w:val="40"/>
          <w:szCs w:val="40"/>
        </w:rPr>
        <w:t>(</w:t>
      </w:r>
      <w:r>
        <w:rPr>
          <w:rFonts w:ascii="Arial Black" w:hAnsi="Arial Black"/>
          <w:sz w:val="40"/>
          <w:szCs w:val="40"/>
        </w:rPr>
        <w:t>TIMSS 2023</w:t>
      </w:r>
      <w:r w:rsidRPr="00F94D51">
        <w:rPr>
          <w:rFonts w:ascii="Arial Black" w:hAnsi="Arial Black"/>
          <w:sz w:val="40"/>
          <w:szCs w:val="40"/>
        </w:rPr>
        <w:t>)</w:t>
      </w:r>
    </w:p>
    <w:p w:rsidRPr="00F94D51" w:rsidR="00F81FFD" w:rsidP="00F81FFD" w:rsidRDefault="00F81FFD" w14:paraId="7D7D5C73" w14:textId="465799E8">
      <w:pPr>
        <w:pStyle w:val="NoSpacing"/>
        <w:widowControl w:val="0"/>
        <w:jc w:val="right"/>
        <w:rPr>
          <w:rFonts w:ascii="Arial Black" w:hAnsi="Arial Black"/>
          <w:sz w:val="40"/>
          <w:szCs w:val="40"/>
        </w:rPr>
      </w:pPr>
      <w:r w:rsidRPr="00F94D51">
        <w:rPr>
          <w:rFonts w:ascii="Arial Black" w:hAnsi="Arial Black"/>
          <w:sz w:val="40"/>
          <w:szCs w:val="40"/>
        </w:rPr>
        <w:t>Field Test Sampling and Recruitment</w:t>
      </w:r>
    </w:p>
    <w:p w:rsidRPr="00F94D51" w:rsidR="00F81FFD" w:rsidP="00F81FFD" w:rsidRDefault="00F81FFD" w14:paraId="4D50A12A" w14:textId="77777777">
      <w:pPr>
        <w:pStyle w:val="NoSpacing"/>
        <w:widowControl w:val="0"/>
        <w:jc w:val="right"/>
        <w:rPr>
          <w:rFonts w:ascii="Arial Black" w:hAnsi="Arial Black"/>
          <w:sz w:val="40"/>
          <w:szCs w:val="40"/>
        </w:rPr>
      </w:pPr>
    </w:p>
    <w:p w:rsidRPr="00F94D51" w:rsidR="00F81FFD" w:rsidP="00F81FFD" w:rsidRDefault="00F81FFD" w14:paraId="29439CB4" w14:textId="77777777">
      <w:pPr>
        <w:pStyle w:val="NoSpacing"/>
        <w:widowControl w:val="0"/>
        <w:jc w:val="right"/>
        <w:rPr>
          <w:rFonts w:ascii="Arial Black" w:hAnsi="Arial Black"/>
          <w:sz w:val="40"/>
          <w:szCs w:val="40"/>
        </w:rPr>
      </w:pPr>
    </w:p>
    <w:p w:rsidRPr="00F94D51" w:rsidR="00F81FFD" w:rsidP="00F81FFD" w:rsidRDefault="00F81FFD" w14:paraId="21DF7411" w14:textId="77777777">
      <w:pPr>
        <w:pStyle w:val="NoSpacing"/>
        <w:widowControl w:val="0"/>
        <w:jc w:val="right"/>
        <w:rPr>
          <w:rFonts w:ascii="Arial Black" w:hAnsi="Arial Black"/>
          <w:sz w:val="40"/>
          <w:szCs w:val="40"/>
        </w:rPr>
      </w:pPr>
    </w:p>
    <w:p w:rsidRPr="00F94D51" w:rsidR="00F81FFD" w:rsidP="00F81FFD" w:rsidRDefault="00F81FFD" w14:paraId="14747F61" w14:textId="77777777">
      <w:pPr>
        <w:pStyle w:val="NoSpacing"/>
        <w:widowControl w:val="0"/>
        <w:jc w:val="right"/>
        <w:rPr>
          <w:rFonts w:ascii="Arial Black" w:hAnsi="Arial Black"/>
          <w:sz w:val="40"/>
          <w:szCs w:val="40"/>
        </w:rPr>
      </w:pPr>
    </w:p>
    <w:p w:rsidRPr="00F94D51" w:rsidR="00F81FFD" w:rsidP="00F81FFD" w:rsidRDefault="00F81FFD" w14:paraId="54475F7D" w14:textId="4120B1F4">
      <w:pPr>
        <w:pStyle w:val="NoSpacing"/>
        <w:widowControl w:val="0"/>
        <w:jc w:val="right"/>
        <w:rPr>
          <w:rFonts w:ascii="Arial Black" w:hAnsi="Arial Black"/>
          <w:sz w:val="40"/>
          <w:szCs w:val="40"/>
        </w:rPr>
      </w:pPr>
      <w:r w:rsidRPr="00F94D51">
        <w:rPr>
          <w:rFonts w:ascii="Arial Black" w:hAnsi="Arial Black"/>
          <w:sz w:val="40"/>
          <w:szCs w:val="40"/>
        </w:rPr>
        <w:t>OMB</w:t>
      </w:r>
      <w:r w:rsidR="00A95D5A">
        <w:rPr>
          <w:rFonts w:ascii="Arial Black" w:hAnsi="Arial Black"/>
          <w:sz w:val="40"/>
          <w:szCs w:val="40"/>
        </w:rPr>
        <w:t xml:space="preserve"> </w:t>
      </w:r>
      <w:r w:rsidRPr="00F94D51">
        <w:rPr>
          <w:rFonts w:ascii="Arial Black" w:hAnsi="Arial Black"/>
          <w:sz w:val="40"/>
          <w:szCs w:val="40"/>
        </w:rPr>
        <w:t>#</w:t>
      </w:r>
      <w:r w:rsidR="00A95D5A">
        <w:rPr>
          <w:rFonts w:ascii="Arial Black" w:hAnsi="Arial Black"/>
          <w:sz w:val="40"/>
          <w:szCs w:val="40"/>
        </w:rPr>
        <w:t>1850-0695</w:t>
      </w:r>
      <w:r w:rsidRPr="00F94D51">
        <w:rPr>
          <w:rFonts w:ascii="Arial Black" w:hAnsi="Arial Black"/>
          <w:sz w:val="40"/>
          <w:szCs w:val="40"/>
        </w:rPr>
        <w:t xml:space="preserve"> v.</w:t>
      </w:r>
      <w:r w:rsidR="00634E67">
        <w:rPr>
          <w:rFonts w:ascii="Arial Black" w:hAnsi="Arial Black"/>
          <w:sz w:val="40"/>
          <w:szCs w:val="40"/>
        </w:rPr>
        <w:t>16</w:t>
      </w:r>
    </w:p>
    <w:p w:rsidRPr="00BA441F" w:rsidR="00F81FFD" w:rsidP="00F81FFD" w:rsidRDefault="00F81FFD" w14:paraId="5127218A" w14:textId="77777777">
      <w:pPr>
        <w:pStyle w:val="NoSpacing"/>
        <w:widowControl w:val="0"/>
        <w:jc w:val="right"/>
        <w:rPr>
          <w:rFonts w:ascii="Cambria" w:hAnsi="Cambria"/>
        </w:rPr>
      </w:pPr>
    </w:p>
    <w:p w:rsidRPr="00BA441F" w:rsidR="00F81FFD" w:rsidP="00F81FFD" w:rsidRDefault="00F81FFD" w14:paraId="653E90E2" w14:textId="77777777">
      <w:pPr>
        <w:pStyle w:val="NoSpacing"/>
        <w:widowControl w:val="0"/>
        <w:jc w:val="right"/>
        <w:rPr>
          <w:rFonts w:ascii="Cambria" w:hAnsi="Cambria"/>
        </w:rPr>
      </w:pPr>
    </w:p>
    <w:p w:rsidRPr="00BA441F" w:rsidR="00F81FFD" w:rsidP="00F81FFD" w:rsidRDefault="00F81FFD" w14:paraId="2C492191" w14:textId="77777777">
      <w:pPr>
        <w:pStyle w:val="NoSpacing"/>
        <w:widowControl w:val="0"/>
        <w:jc w:val="right"/>
        <w:rPr>
          <w:rFonts w:ascii="Cambria" w:hAnsi="Cambria"/>
          <w:b/>
          <w:sz w:val="28"/>
          <w:szCs w:val="28"/>
        </w:rPr>
      </w:pPr>
    </w:p>
    <w:p w:rsidRPr="00BA441F" w:rsidR="00F81FFD" w:rsidP="00F81FFD" w:rsidRDefault="00F81FFD" w14:paraId="0C998DFF" w14:textId="77777777">
      <w:pPr>
        <w:pStyle w:val="NoSpacing"/>
        <w:widowControl w:val="0"/>
        <w:jc w:val="right"/>
        <w:rPr>
          <w:rFonts w:ascii="Cambria" w:hAnsi="Cambria"/>
          <w:b/>
          <w:sz w:val="28"/>
          <w:szCs w:val="28"/>
        </w:rPr>
      </w:pPr>
    </w:p>
    <w:p w:rsidRPr="00F94D51" w:rsidR="00F81FFD" w:rsidP="00F81FFD" w:rsidRDefault="00F81FFD" w14:paraId="79E92CB3" w14:textId="77777777">
      <w:pPr>
        <w:pStyle w:val="NoSpacing"/>
        <w:widowControl w:val="0"/>
        <w:jc w:val="right"/>
        <w:rPr>
          <w:rFonts w:ascii="Arial Black" w:hAnsi="Arial Black"/>
          <w:sz w:val="32"/>
          <w:szCs w:val="32"/>
        </w:rPr>
      </w:pPr>
      <w:r w:rsidRPr="00F94D51">
        <w:rPr>
          <w:rFonts w:ascii="Arial Black" w:hAnsi="Arial Black"/>
          <w:sz w:val="32"/>
          <w:szCs w:val="32"/>
        </w:rPr>
        <w:t>Supporting Statement Part A</w:t>
      </w:r>
    </w:p>
    <w:p w:rsidRPr="00BA441F" w:rsidR="00F81FFD" w:rsidP="00F81FFD" w:rsidRDefault="00F81FFD" w14:paraId="0164D0A8" w14:textId="77777777">
      <w:pPr>
        <w:pStyle w:val="NoSpacing"/>
        <w:widowControl w:val="0"/>
        <w:jc w:val="right"/>
        <w:rPr>
          <w:rFonts w:ascii="Cambria" w:hAnsi="Cambria"/>
        </w:rPr>
      </w:pPr>
    </w:p>
    <w:p w:rsidRPr="00BA441F" w:rsidR="00F81FFD" w:rsidP="00F81FFD" w:rsidRDefault="00F81FFD" w14:paraId="13A579CD" w14:textId="77777777">
      <w:pPr>
        <w:pStyle w:val="NoSpacing"/>
        <w:widowControl w:val="0"/>
        <w:jc w:val="right"/>
        <w:rPr>
          <w:rFonts w:ascii="Cambria" w:hAnsi="Cambria"/>
        </w:rPr>
      </w:pPr>
    </w:p>
    <w:p w:rsidRPr="00BA441F" w:rsidR="00F81FFD" w:rsidP="00F81FFD" w:rsidRDefault="00F81FFD" w14:paraId="4E3E6CDD" w14:textId="77777777">
      <w:pPr>
        <w:pStyle w:val="NoSpacing"/>
        <w:widowControl w:val="0"/>
        <w:jc w:val="right"/>
        <w:rPr>
          <w:rFonts w:ascii="Cambria" w:hAnsi="Cambria"/>
        </w:rPr>
      </w:pPr>
    </w:p>
    <w:p w:rsidRPr="00BA441F" w:rsidR="00F81FFD" w:rsidP="00F81FFD" w:rsidRDefault="00F81FFD" w14:paraId="110BB6BE" w14:textId="77777777">
      <w:pPr>
        <w:pStyle w:val="C1-CtrBoldHd"/>
        <w:widowControl w:val="0"/>
        <w:spacing w:after="0" w:line="240" w:lineRule="auto"/>
        <w:jc w:val="right"/>
        <w:rPr>
          <w:rFonts w:ascii="Cambria" w:hAnsi="Cambria"/>
          <w:b w:val="0"/>
          <w:caps w:val="0"/>
          <w:szCs w:val="22"/>
        </w:rPr>
      </w:pPr>
    </w:p>
    <w:p w:rsidRPr="00BA441F" w:rsidR="00F81FFD" w:rsidP="00F81FFD" w:rsidRDefault="00F81FFD" w14:paraId="096E49D4" w14:textId="77777777">
      <w:pPr>
        <w:pStyle w:val="C1-CtrBoldHd"/>
        <w:widowControl w:val="0"/>
        <w:spacing w:after="0" w:line="240" w:lineRule="auto"/>
        <w:jc w:val="right"/>
        <w:rPr>
          <w:rFonts w:ascii="Cambria" w:hAnsi="Cambria"/>
          <w:b w:val="0"/>
          <w:caps w:val="0"/>
          <w:szCs w:val="22"/>
        </w:rPr>
      </w:pPr>
    </w:p>
    <w:p w:rsidRPr="00BA441F" w:rsidR="00F81FFD" w:rsidP="00F81FFD" w:rsidRDefault="00F81FFD" w14:paraId="67130355" w14:textId="77777777">
      <w:pPr>
        <w:pStyle w:val="C1-CtrBoldHd"/>
        <w:widowControl w:val="0"/>
        <w:spacing w:after="0" w:line="240" w:lineRule="auto"/>
        <w:jc w:val="right"/>
        <w:rPr>
          <w:rFonts w:ascii="Cambria" w:hAnsi="Cambria"/>
          <w:b w:val="0"/>
          <w:caps w:val="0"/>
          <w:szCs w:val="22"/>
        </w:rPr>
      </w:pPr>
    </w:p>
    <w:p w:rsidRPr="00F94D51" w:rsidR="00F81FFD" w:rsidP="00F81FFD" w:rsidRDefault="00F81FFD" w14:paraId="5F73D25B"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F81FFD" w:rsidP="00F81FFD" w:rsidRDefault="00F81FFD" w14:paraId="7959DE46" w14:textId="17DEC7E5">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634E67" w:rsidP="00F81FFD" w:rsidRDefault="00634E67" w14:paraId="58A74B05" w14:textId="07D5DA9C">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F81FFD" w:rsidP="00F81FFD" w:rsidRDefault="00F81FFD" w14:paraId="07B10EE1"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F81FFD" w:rsidP="00F81FFD" w:rsidRDefault="00F81FFD" w14:paraId="2E94937F" w14:textId="77777777">
      <w:pPr>
        <w:pStyle w:val="C1-CtrBoldHd"/>
        <w:widowControl w:val="0"/>
        <w:spacing w:after="0" w:line="240" w:lineRule="auto"/>
        <w:jc w:val="right"/>
        <w:rPr>
          <w:rFonts w:ascii="Cambria" w:hAnsi="Cambria"/>
          <w:b w:val="0"/>
          <w:sz w:val="28"/>
          <w:szCs w:val="28"/>
        </w:rPr>
      </w:pPr>
    </w:p>
    <w:p w:rsidRPr="00BD30F1" w:rsidR="00F81FFD" w:rsidP="00F81FFD" w:rsidRDefault="00F81FFD" w14:paraId="14EB4D1A" w14:textId="77777777">
      <w:pPr>
        <w:pStyle w:val="C1-CtrBoldHd"/>
        <w:widowControl w:val="0"/>
        <w:spacing w:after="0" w:line="240" w:lineRule="auto"/>
        <w:jc w:val="right"/>
        <w:rPr>
          <w:rFonts w:ascii="Cambria" w:hAnsi="Cambria"/>
          <w:b w:val="0"/>
          <w:caps w:val="0"/>
          <w:sz w:val="28"/>
          <w:szCs w:val="28"/>
        </w:rPr>
      </w:pPr>
    </w:p>
    <w:p w:rsidRPr="00BD30F1" w:rsidR="00F81FFD" w:rsidP="00F81FFD" w:rsidRDefault="00F81FFD" w14:paraId="21F98962" w14:textId="77777777">
      <w:pPr>
        <w:pStyle w:val="C1-CtrBoldHd"/>
        <w:widowControl w:val="0"/>
        <w:spacing w:after="0" w:line="240" w:lineRule="auto"/>
        <w:jc w:val="right"/>
        <w:rPr>
          <w:rFonts w:ascii="Cambria" w:hAnsi="Cambria"/>
          <w:b w:val="0"/>
          <w:caps w:val="0"/>
          <w:sz w:val="28"/>
          <w:szCs w:val="28"/>
        </w:rPr>
      </w:pPr>
    </w:p>
    <w:p w:rsidRPr="00BD30F1" w:rsidR="00F81FFD" w:rsidP="00F81FFD" w:rsidRDefault="00F81FFD" w14:paraId="7D182B25" w14:textId="77777777">
      <w:pPr>
        <w:pStyle w:val="C1-CtrBoldHd"/>
        <w:widowControl w:val="0"/>
        <w:spacing w:after="0" w:line="240" w:lineRule="auto"/>
        <w:jc w:val="right"/>
        <w:rPr>
          <w:rFonts w:ascii="Cambria" w:hAnsi="Cambria"/>
          <w:b w:val="0"/>
          <w:caps w:val="0"/>
          <w:sz w:val="28"/>
          <w:szCs w:val="28"/>
        </w:rPr>
      </w:pPr>
    </w:p>
    <w:p w:rsidRPr="00F94D51" w:rsidR="00F81FFD" w:rsidP="00F81FFD" w:rsidRDefault="005472DD" w14:paraId="233C33A3" w14:textId="0CF12D54">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January 2021</w:t>
      </w:r>
      <w:bookmarkEnd w:id="0"/>
    </w:p>
    <w:p w:rsidR="00F81FFD" w:rsidRDefault="00F81FFD" w14:paraId="1148FE82" w14:textId="5795BE2B">
      <w:pPr>
        <w:rPr>
          <w:rFonts w:ascii="Times New Roman" w:hAnsi="Times New Roman" w:eastAsia="Times New Roman" w:cs="Times New Roman"/>
          <w:b/>
          <w:caps/>
          <w:szCs w:val="20"/>
        </w:rPr>
      </w:pPr>
    </w:p>
    <w:p w:rsidRPr="00AD1192" w:rsidR="00EA29FB" w:rsidP="00EA29FB" w:rsidRDefault="00EA29FB" w14:paraId="5106DA6B" w14:textId="77777777">
      <w:pPr>
        <w:pStyle w:val="C1-CtrBoldHd"/>
        <w:spacing w:after="0"/>
        <w:jc w:val="left"/>
        <w:sectPr w:rsidRPr="00AD1192" w:rsidR="00EA29F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sdt>
      <w:sdtPr>
        <w:rPr>
          <w:rFonts w:asciiTheme="minorHAnsi" w:hAnsiTheme="minorHAnsi" w:eastAsia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rsidR="00FB5398" w:rsidRDefault="00FB5398" w14:paraId="5FD836DC" w14:textId="77777777">
          <w:pPr>
            <w:pStyle w:val="TOCHeading"/>
          </w:pPr>
          <w:r>
            <w:t>Contents</w:t>
          </w:r>
        </w:p>
        <w:p w:rsidR="00706A98" w:rsidRDefault="00706A98" w14:paraId="04BD6EB7" w14:textId="77777777">
          <w:pPr>
            <w:pStyle w:val="TOC2"/>
            <w:tabs>
              <w:tab w:val="right" w:leader="dot" w:pos="10214"/>
            </w:tabs>
          </w:pPr>
        </w:p>
        <w:p w:rsidR="00062899" w:rsidRDefault="001D4B20" w14:paraId="45AC2331" w14:textId="0E20AA56">
          <w:pPr>
            <w:pStyle w:val="TOC2"/>
            <w:tabs>
              <w:tab w:val="right" w:leader="dot" w:pos="10502"/>
            </w:tabs>
            <w:rPr>
              <w:rFonts w:asciiTheme="minorHAnsi" w:hAnsiTheme="minorHAnsi" w:eastAsiaTheme="minorEastAsia" w:cstheme="minorBidi"/>
              <w:noProof/>
              <w:sz w:val="22"/>
              <w:szCs w:val="22"/>
            </w:rPr>
          </w:pPr>
          <w:r>
            <w:fldChar w:fldCharType="begin"/>
          </w:r>
          <w:r>
            <w:instrText xml:space="preserve"> TOC \o "1-2" \h \z \u \t "TIMSS OMB Heading 2,3" </w:instrText>
          </w:r>
          <w:r>
            <w:fldChar w:fldCharType="separate"/>
          </w:r>
          <w:hyperlink w:history="1" w:anchor="_Toc58475956">
            <w:r w:rsidRPr="00E75123" w:rsidR="00062899">
              <w:rPr>
                <w:rStyle w:val="Hyperlink"/>
                <w:noProof/>
              </w:rPr>
              <w:t>PREFACE</w:t>
            </w:r>
            <w:r w:rsidR="00062899">
              <w:rPr>
                <w:noProof/>
                <w:webHidden/>
              </w:rPr>
              <w:tab/>
            </w:r>
            <w:r w:rsidR="00062899">
              <w:rPr>
                <w:noProof/>
                <w:webHidden/>
              </w:rPr>
              <w:fldChar w:fldCharType="begin"/>
            </w:r>
            <w:r w:rsidR="00062899">
              <w:rPr>
                <w:noProof/>
                <w:webHidden/>
              </w:rPr>
              <w:instrText xml:space="preserve"> PAGEREF _Toc58475956 \h </w:instrText>
            </w:r>
            <w:r w:rsidR="00062899">
              <w:rPr>
                <w:noProof/>
                <w:webHidden/>
              </w:rPr>
            </w:r>
            <w:r w:rsidR="00062899">
              <w:rPr>
                <w:noProof/>
                <w:webHidden/>
              </w:rPr>
              <w:fldChar w:fldCharType="separate"/>
            </w:r>
            <w:r w:rsidR="00062899">
              <w:rPr>
                <w:noProof/>
                <w:webHidden/>
              </w:rPr>
              <w:t>1</w:t>
            </w:r>
            <w:r w:rsidR="00062899">
              <w:rPr>
                <w:noProof/>
                <w:webHidden/>
              </w:rPr>
              <w:fldChar w:fldCharType="end"/>
            </w:r>
          </w:hyperlink>
        </w:p>
        <w:p w:rsidR="00062899" w:rsidRDefault="00E6500F" w14:paraId="77CEDF92" w14:textId="4007948E">
          <w:pPr>
            <w:pStyle w:val="TOC2"/>
            <w:tabs>
              <w:tab w:val="right" w:leader="dot" w:pos="10502"/>
            </w:tabs>
            <w:rPr>
              <w:rFonts w:asciiTheme="minorHAnsi" w:hAnsiTheme="minorHAnsi" w:eastAsiaTheme="minorEastAsia" w:cstheme="minorBidi"/>
              <w:noProof/>
              <w:sz w:val="22"/>
              <w:szCs w:val="22"/>
            </w:rPr>
          </w:pPr>
          <w:hyperlink w:history="1" w:anchor="_Toc58475957">
            <w:r w:rsidRPr="00E75123" w:rsidR="00062899">
              <w:rPr>
                <w:rStyle w:val="Hyperlink"/>
                <w:noProof/>
              </w:rPr>
              <w:t>A. Justification</w:t>
            </w:r>
            <w:r w:rsidR="00062899">
              <w:rPr>
                <w:noProof/>
                <w:webHidden/>
              </w:rPr>
              <w:tab/>
            </w:r>
            <w:r w:rsidR="00062899">
              <w:rPr>
                <w:noProof/>
                <w:webHidden/>
              </w:rPr>
              <w:fldChar w:fldCharType="begin"/>
            </w:r>
            <w:r w:rsidR="00062899">
              <w:rPr>
                <w:noProof/>
                <w:webHidden/>
              </w:rPr>
              <w:instrText xml:space="preserve"> PAGEREF _Toc58475957 \h </w:instrText>
            </w:r>
            <w:r w:rsidR="00062899">
              <w:rPr>
                <w:noProof/>
                <w:webHidden/>
              </w:rPr>
            </w:r>
            <w:r w:rsidR="00062899">
              <w:rPr>
                <w:noProof/>
                <w:webHidden/>
              </w:rPr>
              <w:fldChar w:fldCharType="separate"/>
            </w:r>
            <w:r w:rsidR="00062899">
              <w:rPr>
                <w:noProof/>
                <w:webHidden/>
              </w:rPr>
              <w:t>2</w:t>
            </w:r>
            <w:r w:rsidR="00062899">
              <w:rPr>
                <w:noProof/>
                <w:webHidden/>
              </w:rPr>
              <w:fldChar w:fldCharType="end"/>
            </w:r>
          </w:hyperlink>
        </w:p>
        <w:p w:rsidR="00062899" w:rsidRDefault="00E6500F" w14:paraId="5663DCE6" w14:textId="23FA3662">
          <w:pPr>
            <w:pStyle w:val="TOC3"/>
            <w:tabs>
              <w:tab w:val="left" w:pos="1100"/>
              <w:tab w:val="right" w:leader="dot" w:pos="10502"/>
            </w:tabs>
            <w:rPr>
              <w:rFonts w:eastAsiaTheme="minorEastAsia"/>
              <w:noProof/>
            </w:rPr>
          </w:pPr>
          <w:hyperlink w:history="1" w:anchor="_Toc58475958">
            <w:r w:rsidRPr="00E75123" w:rsidR="00062899">
              <w:rPr>
                <w:rStyle w:val="Hyperlink"/>
                <w:noProof/>
              </w:rPr>
              <w:t xml:space="preserve">A.1 </w:t>
            </w:r>
            <w:r w:rsidR="00062899">
              <w:rPr>
                <w:rFonts w:eastAsiaTheme="minorEastAsia"/>
                <w:noProof/>
              </w:rPr>
              <w:tab/>
            </w:r>
            <w:r w:rsidRPr="00E75123" w:rsidR="00062899">
              <w:rPr>
                <w:rStyle w:val="Hyperlink"/>
                <w:noProof/>
              </w:rPr>
              <w:t>Importance of Information</w:t>
            </w:r>
            <w:r w:rsidR="00062899">
              <w:rPr>
                <w:noProof/>
                <w:webHidden/>
              </w:rPr>
              <w:tab/>
            </w:r>
            <w:r w:rsidR="00062899">
              <w:rPr>
                <w:noProof/>
                <w:webHidden/>
              </w:rPr>
              <w:fldChar w:fldCharType="begin"/>
            </w:r>
            <w:r w:rsidR="00062899">
              <w:rPr>
                <w:noProof/>
                <w:webHidden/>
              </w:rPr>
              <w:instrText xml:space="preserve"> PAGEREF _Toc58475958 \h </w:instrText>
            </w:r>
            <w:r w:rsidR="00062899">
              <w:rPr>
                <w:noProof/>
                <w:webHidden/>
              </w:rPr>
            </w:r>
            <w:r w:rsidR="00062899">
              <w:rPr>
                <w:noProof/>
                <w:webHidden/>
              </w:rPr>
              <w:fldChar w:fldCharType="separate"/>
            </w:r>
            <w:r w:rsidR="00062899">
              <w:rPr>
                <w:noProof/>
                <w:webHidden/>
              </w:rPr>
              <w:t>2</w:t>
            </w:r>
            <w:r w:rsidR="00062899">
              <w:rPr>
                <w:noProof/>
                <w:webHidden/>
              </w:rPr>
              <w:fldChar w:fldCharType="end"/>
            </w:r>
          </w:hyperlink>
        </w:p>
        <w:p w:rsidR="00062899" w:rsidRDefault="00E6500F" w14:paraId="501E3CF2" w14:textId="6F1EF7B7">
          <w:pPr>
            <w:pStyle w:val="TOC3"/>
            <w:tabs>
              <w:tab w:val="left" w:pos="1100"/>
              <w:tab w:val="right" w:leader="dot" w:pos="10502"/>
            </w:tabs>
            <w:rPr>
              <w:rFonts w:eastAsiaTheme="minorEastAsia"/>
              <w:noProof/>
            </w:rPr>
          </w:pPr>
          <w:hyperlink w:history="1" w:anchor="_Toc58475959">
            <w:r w:rsidRPr="00E75123" w:rsidR="00062899">
              <w:rPr>
                <w:rStyle w:val="Hyperlink"/>
                <w:noProof/>
              </w:rPr>
              <w:t xml:space="preserve">A.2 </w:t>
            </w:r>
            <w:r w:rsidR="00062899">
              <w:rPr>
                <w:rFonts w:eastAsiaTheme="minorEastAsia"/>
                <w:noProof/>
              </w:rPr>
              <w:tab/>
            </w:r>
            <w:r w:rsidRPr="00E75123" w:rsidR="00062899">
              <w:rPr>
                <w:rStyle w:val="Hyperlink"/>
                <w:noProof/>
              </w:rPr>
              <w:t>Purposes and Uses of Data</w:t>
            </w:r>
            <w:r w:rsidR="00062899">
              <w:rPr>
                <w:noProof/>
                <w:webHidden/>
              </w:rPr>
              <w:tab/>
            </w:r>
            <w:r w:rsidR="00062899">
              <w:rPr>
                <w:noProof/>
                <w:webHidden/>
              </w:rPr>
              <w:fldChar w:fldCharType="begin"/>
            </w:r>
            <w:r w:rsidR="00062899">
              <w:rPr>
                <w:noProof/>
                <w:webHidden/>
              </w:rPr>
              <w:instrText xml:space="preserve"> PAGEREF _Toc58475959 \h </w:instrText>
            </w:r>
            <w:r w:rsidR="00062899">
              <w:rPr>
                <w:noProof/>
                <w:webHidden/>
              </w:rPr>
            </w:r>
            <w:r w:rsidR="00062899">
              <w:rPr>
                <w:noProof/>
                <w:webHidden/>
              </w:rPr>
              <w:fldChar w:fldCharType="separate"/>
            </w:r>
            <w:r w:rsidR="00062899">
              <w:rPr>
                <w:noProof/>
                <w:webHidden/>
              </w:rPr>
              <w:t>2</w:t>
            </w:r>
            <w:r w:rsidR="00062899">
              <w:rPr>
                <w:noProof/>
                <w:webHidden/>
              </w:rPr>
              <w:fldChar w:fldCharType="end"/>
            </w:r>
          </w:hyperlink>
        </w:p>
        <w:p w:rsidR="00062899" w:rsidRDefault="00E6500F" w14:paraId="3314DE24" w14:textId="2080654D">
          <w:pPr>
            <w:pStyle w:val="TOC3"/>
            <w:tabs>
              <w:tab w:val="left" w:pos="1100"/>
              <w:tab w:val="right" w:leader="dot" w:pos="10502"/>
            </w:tabs>
            <w:rPr>
              <w:rFonts w:eastAsiaTheme="minorEastAsia"/>
              <w:noProof/>
            </w:rPr>
          </w:pPr>
          <w:hyperlink w:history="1" w:anchor="_Toc58475960">
            <w:r w:rsidRPr="00E75123" w:rsidR="00062899">
              <w:rPr>
                <w:rStyle w:val="Hyperlink"/>
                <w:noProof/>
              </w:rPr>
              <w:t>A.3</w:t>
            </w:r>
            <w:r w:rsidR="00062899">
              <w:rPr>
                <w:rFonts w:eastAsiaTheme="minorEastAsia"/>
                <w:noProof/>
              </w:rPr>
              <w:tab/>
            </w:r>
            <w:r w:rsidRPr="00E75123" w:rsidR="00062899">
              <w:rPr>
                <w:rStyle w:val="Hyperlink"/>
                <w:noProof/>
              </w:rPr>
              <w:t>Improved Information Technology (Reduction of Burden)</w:t>
            </w:r>
            <w:r w:rsidR="00062899">
              <w:rPr>
                <w:noProof/>
                <w:webHidden/>
              </w:rPr>
              <w:tab/>
            </w:r>
            <w:r w:rsidR="00062899">
              <w:rPr>
                <w:noProof/>
                <w:webHidden/>
              </w:rPr>
              <w:fldChar w:fldCharType="begin"/>
            </w:r>
            <w:r w:rsidR="00062899">
              <w:rPr>
                <w:noProof/>
                <w:webHidden/>
              </w:rPr>
              <w:instrText xml:space="preserve"> PAGEREF _Toc58475960 \h </w:instrText>
            </w:r>
            <w:r w:rsidR="00062899">
              <w:rPr>
                <w:noProof/>
                <w:webHidden/>
              </w:rPr>
            </w:r>
            <w:r w:rsidR="00062899">
              <w:rPr>
                <w:noProof/>
                <w:webHidden/>
              </w:rPr>
              <w:fldChar w:fldCharType="separate"/>
            </w:r>
            <w:r w:rsidR="00062899">
              <w:rPr>
                <w:noProof/>
                <w:webHidden/>
              </w:rPr>
              <w:t>4</w:t>
            </w:r>
            <w:r w:rsidR="00062899">
              <w:rPr>
                <w:noProof/>
                <w:webHidden/>
              </w:rPr>
              <w:fldChar w:fldCharType="end"/>
            </w:r>
          </w:hyperlink>
        </w:p>
        <w:p w:rsidR="00062899" w:rsidRDefault="00E6500F" w14:paraId="429AD6D5" w14:textId="58AC0D04">
          <w:pPr>
            <w:pStyle w:val="TOC3"/>
            <w:tabs>
              <w:tab w:val="left" w:pos="1100"/>
              <w:tab w:val="right" w:leader="dot" w:pos="10502"/>
            </w:tabs>
            <w:rPr>
              <w:rFonts w:eastAsiaTheme="minorEastAsia"/>
              <w:noProof/>
            </w:rPr>
          </w:pPr>
          <w:hyperlink w:history="1" w:anchor="_Toc58475961">
            <w:r w:rsidRPr="00E75123" w:rsidR="00062899">
              <w:rPr>
                <w:rStyle w:val="Hyperlink"/>
                <w:noProof/>
              </w:rPr>
              <w:t>A.4</w:t>
            </w:r>
            <w:r w:rsidR="00062899">
              <w:rPr>
                <w:rFonts w:eastAsiaTheme="minorEastAsia"/>
                <w:noProof/>
              </w:rPr>
              <w:tab/>
            </w:r>
            <w:r w:rsidRPr="00E75123" w:rsidR="00062899">
              <w:rPr>
                <w:rStyle w:val="Hyperlink"/>
                <w:noProof/>
              </w:rPr>
              <w:t>Efforts to Identify Duplication</w:t>
            </w:r>
            <w:r w:rsidR="00062899">
              <w:rPr>
                <w:noProof/>
                <w:webHidden/>
              </w:rPr>
              <w:tab/>
            </w:r>
            <w:r w:rsidR="00062899">
              <w:rPr>
                <w:noProof/>
                <w:webHidden/>
              </w:rPr>
              <w:fldChar w:fldCharType="begin"/>
            </w:r>
            <w:r w:rsidR="00062899">
              <w:rPr>
                <w:noProof/>
                <w:webHidden/>
              </w:rPr>
              <w:instrText xml:space="preserve"> PAGEREF _Toc58475961 \h </w:instrText>
            </w:r>
            <w:r w:rsidR="00062899">
              <w:rPr>
                <w:noProof/>
                <w:webHidden/>
              </w:rPr>
            </w:r>
            <w:r w:rsidR="00062899">
              <w:rPr>
                <w:noProof/>
                <w:webHidden/>
              </w:rPr>
              <w:fldChar w:fldCharType="separate"/>
            </w:r>
            <w:r w:rsidR="00062899">
              <w:rPr>
                <w:noProof/>
                <w:webHidden/>
              </w:rPr>
              <w:t>4</w:t>
            </w:r>
            <w:r w:rsidR="00062899">
              <w:rPr>
                <w:noProof/>
                <w:webHidden/>
              </w:rPr>
              <w:fldChar w:fldCharType="end"/>
            </w:r>
          </w:hyperlink>
        </w:p>
        <w:p w:rsidR="00062899" w:rsidRDefault="00E6500F" w14:paraId="4930755B" w14:textId="3B423042">
          <w:pPr>
            <w:pStyle w:val="TOC3"/>
            <w:tabs>
              <w:tab w:val="left" w:pos="1100"/>
              <w:tab w:val="right" w:leader="dot" w:pos="10502"/>
            </w:tabs>
            <w:rPr>
              <w:rFonts w:eastAsiaTheme="minorEastAsia"/>
              <w:noProof/>
            </w:rPr>
          </w:pPr>
          <w:hyperlink w:history="1" w:anchor="_Toc58475962">
            <w:r w:rsidRPr="00E75123" w:rsidR="00062899">
              <w:rPr>
                <w:rStyle w:val="Hyperlink"/>
                <w:noProof/>
              </w:rPr>
              <w:t>A.5</w:t>
            </w:r>
            <w:r w:rsidR="00062899">
              <w:rPr>
                <w:rFonts w:eastAsiaTheme="minorEastAsia"/>
                <w:noProof/>
              </w:rPr>
              <w:tab/>
            </w:r>
            <w:r w:rsidRPr="00E75123" w:rsidR="00062899">
              <w:rPr>
                <w:rStyle w:val="Hyperlink"/>
                <w:noProof/>
              </w:rPr>
              <w:t>Minimizing Burden for Small Entities</w:t>
            </w:r>
            <w:r w:rsidR="00062899">
              <w:rPr>
                <w:noProof/>
                <w:webHidden/>
              </w:rPr>
              <w:tab/>
            </w:r>
            <w:r w:rsidR="00062899">
              <w:rPr>
                <w:noProof/>
                <w:webHidden/>
              </w:rPr>
              <w:fldChar w:fldCharType="begin"/>
            </w:r>
            <w:r w:rsidR="00062899">
              <w:rPr>
                <w:noProof/>
                <w:webHidden/>
              </w:rPr>
              <w:instrText xml:space="preserve"> PAGEREF _Toc58475962 \h </w:instrText>
            </w:r>
            <w:r w:rsidR="00062899">
              <w:rPr>
                <w:noProof/>
                <w:webHidden/>
              </w:rPr>
            </w:r>
            <w:r w:rsidR="00062899">
              <w:rPr>
                <w:noProof/>
                <w:webHidden/>
              </w:rPr>
              <w:fldChar w:fldCharType="separate"/>
            </w:r>
            <w:r w:rsidR="00062899">
              <w:rPr>
                <w:noProof/>
                <w:webHidden/>
              </w:rPr>
              <w:t>5</w:t>
            </w:r>
            <w:r w:rsidR="00062899">
              <w:rPr>
                <w:noProof/>
                <w:webHidden/>
              </w:rPr>
              <w:fldChar w:fldCharType="end"/>
            </w:r>
          </w:hyperlink>
        </w:p>
        <w:p w:rsidR="00062899" w:rsidRDefault="00E6500F" w14:paraId="631304F0" w14:textId="2B07E796">
          <w:pPr>
            <w:pStyle w:val="TOC3"/>
            <w:tabs>
              <w:tab w:val="left" w:pos="1100"/>
              <w:tab w:val="right" w:leader="dot" w:pos="10502"/>
            </w:tabs>
            <w:rPr>
              <w:rFonts w:eastAsiaTheme="minorEastAsia"/>
              <w:noProof/>
            </w:rPr>
          </w:pPr>
          <w:hyperlink w:history="1" w:anchor="_Toc58475963">
            <w:r w:rsidRPr="00E75123" w:rsidR="00062899">
              <w:rPr>
                <w:rStyle w:val="Hyperlink"/>
                <w:noProof/>
              </w:rPr>
              <w:t>A.6</w:t>
            </w:r>
            <w:r w:rsidR="00062899">
              <w:rPr>
                <w:rFonts w:eastAsiaTheme="minorEastAsia"/>
                <w:noProof/>
              </w:rPr>
              <w:tab/>
            </w:r>
            <w:r w:rsidRPr="00E75123" w:rsidR="00062899">
              <w:rPr>
                <w:rStyle w:val="Hyperlink"/>
                <w:noProof/>
              </w:rPr>
              <w:t>Frequency of Data Collection</w:t>
            </w:r>
            <w:r w:rsidR="00062899">
              <w:rPr>
                <w:noProof/>
                <w:webHidden/>
              </w:rPr>
              <w:tab/>
            </w:r>
            <w:r w:rsidR="00062899">
              <w:rPr>
                <w:noProof/>
                <w:webHidden/>
              </w:rPr>
              <w:fldChar w:fldCharType="begin"/>
            </w:r>
            <w:r w:rsidR="00062899">
              <w:rPr>
                <w:noProof/>
                <w:webHidden/>
              </w:rPr>
              <w:instrText xml:space="preserve"> PAGEREF _Toc58475963 \h </w:instrText>
            </w:r>
            <w:r w:rsidR="00062899">
              <w:rPr>
                <w:noProof/>
                <w:webHidden/>
              </w:rPr>
            </w:r>
            <w:r w:rsidR="00062899">
              <w:rPr>
                <w:noProof/>
                <w:webHidden/>
              </w:rPr>
              <w:fldChar w:fldCharType="separate"/>
            </w:r>
            <w:r w:rsidR="00062899">
              <w:rPr>
                <w:noProof/>
                <w:webHidden/>
              </w:rPr>
              <w:t>5</w:t>
            </w:r>
            <w:r w:rsidR="00062899">
              <w:rPr>
                <w:noProof/>
                <w:webHidden/>
              </w:rPr>
              <w:fldChar w:fldCharType="end"/>
            </w:r>
          </w:hyperlink>
        </w:p>
        <w:p w:rsidR="00062899" w:rsidRDefault="00E6500F" w14:paraId="6BB16611" w14:textId="2FB89F0B">
          <w:pPr>
            <w:pStyle w:val="TOC3"/>
            <w:tabs>
              <w:tab w:val="left" w:pos="1100"/>
              <w:tab w:val="right" w:leader="dot" w:pos="10502"/>
            </w:tabs>
            <w:rPr>
              <w:rFonts w:eastAsiaTheme="minorEastAsia"/>
              <w:noProof/>
            </w:rPr>
          </w:pPr>
          <w:hyperlink w:history="1" w:anchor="_Toc58475964">
            <w:r w:rsidRPr="00E75123" w:rsidR="00062899">
              <w:rPr>
                <w:rStyle w:val="Hyperlink"/>
                <w:noProof/>
              </w:rPr>
              <w:t>A.7</w:t>
            </w:r>
            <w:r w:rsidR="00062899">
              <w:rPr>
                <w:rFonts w:eastAsiaTheme="minorEastAsia"/>
                <w:noProof/>
              </w:rPr>
              <w:tab/>
            </w:r>
            <w:r w:rsidRPr="00E75123" w:rsidR="00062899">
              <w:rPr>
                <w:rStyle w:val="Hyperlink"/>
                <w:noProof/>
              </w:rPr>
              <w:t>Special Circumstances</w:t>
            </w:r>
            <w:r w:rsidR="00062899">
              <w:rPr>
                <w:noProof/>
                <w:webHidden/>
              </w:rPr>
              <w:tab/>
            </w:r>
            <w:r w:rsidR="00062899">
              <w:rPr>
                <w:noProof/>
                <w:webHidden/>
              </w:rPr>
              <w:fldChar w:fldCharType="begin"/>
            </w:r>
            <w:r w:rsidR="00062899">
              <w:rPr>
                <w:noProof/>
                <w:webHidden/>
              </w:rPr>
              <w:instrText xml:space="preserve"> PAGEREF _Toc58475964 \h </w:instrText>
            </w:r>
            <w:r w:rsidR="00062899">
              <w:rPr>
                <w:noProof/>
                <w:webHidden/>
              </w:rPr>
            </w:r>
            <w:r w:rsidR="00062899">
              <w:rPr>
                <w:noProof/>
                <w:webHidden/>
              </w:rPr>
              <w:fldChar w:fldCharType="separate"/>
            </w:r>
            <w:r w:rsidR="00062899">
              <w:rPr>
                <w:noProof/>
                <w:webHidden/>
              </w:rPr>
              <w:t>5</w:t>
            </w:r>
            <w:r w:rsidR="00062899">
              <w:rPr>
                <w:noProof/>
                <w:webHidden/>
              </w:rPr>
              <w:fldChar w:fldCharType="end"/>
            </w:r>
          </w:hyperlink>
        </w:p>
        <w:p w:rsidR="00062899" w:rsidRDefault="00E6500F" w14:paraId="0FA5962F" w14:textId="70AD9FF3">
          <w:pPr>
            <w:pStyle w:val="TOC3"/>
            <w:tabs>
              <w:tab w:val="left" w:pos="1100"/>
              <w:tab w:val="right" w:leader="dot" w:pos="10502"/>
            </w:tabs>
            <w:rPr>
              <w:rFonts w:eastAsiaTheme="minorEastAsia"/>
              <w:noProof/>
            </w:rPr>
          </w:pPr>
          <w:hyperlink w:history="1" w:anchor="_Toc58475965">
            <w:r w:rsidRPr="00E75123" w:rsidR="00062899">
              <w:rPr>
                <w:rStyle w:val="Hyperlink"/>
                <w:noProof/>
              </w:rPr>
              <w:t>A.8</w:t>
            </w:r>
            <w:r w:rsidR="00062899">
              <w:rPr>
                <w:rFonts w:eastAsiaTheme="minorEastAsia"/>
                <w:noProof/>
              </w:rPr>
              <w:tab/>
            </w:r>
            <w:r w:rsidRPr="00E75123" w:rsidR="00062899">
              <w:rPr>
                <w:rStyle w:val="Hyperlink"/>
                <w:noProof/>
              </w:rPr>
              <w:t>Consultations outside NCES</w:t>
            </w:r>
            <w:r w:rsidR="00062899">
              <w:rPr>
                <w:noProof/>
                <w:webHidden/>
              </w:rPr>
              <w:tab/>
            </w:r>
            <w:r w:rsidR="00062899">
              <w:rPr>
                <w:noProof/>
                <w:webHidden/>
              </w:rPr>
              <w:fldChar w:fldCharType="begin"/>
            </w:r>
            <w:r w:rsidR="00062899">
              <w:rPr>
                <w:noProof/>
                <w:webHidden/>
              </w:rPr>
              <w:instrText xml:space="preserve"> PAGEREF _Toc58475965 \h </w:instrText>
            </w:r>
            <w:r w:rsidR="00062899">
              <w:rPr>
                <w:noProof/>
                <w:webHidden/>
              </w:rPr>
            </w:r>
            <w:r w:rsidR="00062899">
              <w:rPr>
                <w:noProof/>
                <w:webHidden/>
              </w:rPr>
              <w:fldChar w:fldCharType="separate"/>
            </w:r>
            <w:r w:rsidR="00062899">
              <w:rPr>
                <w:noProof/>
                <w:webHidden/>
              </w:rPr>
              <w:t>5</w:t>
            </w:r>
            <w:r w:rsidR="00062899">
              <w:rPr>
                <w:noProof/>
                <w:webHidden/>
              </w:rPr>
              <w:fldChar w:fldCharType="end"/>
            </w:r>
          </w:hyperlink>
        </w:p>
        <w:p w:rsidR="00062899" w:rsidRDefault="00E6500F" w14:paraId="5E7F543A" w14:textId="0CA9A25C">
          <w:pPr>
            <w:pStyle w:val="TOC3"/>
            <w:tabs>
              <w:tab w:val="left" w:pos="1100"/>
              <w:tab w:val="right" w:leader="dot" w:pos="10502"/>
            </w:tabs>
            <w:rPr>
              <w:rFonts w:eastAsiaTheme="minorEastAsia"/>
              <w:noProof/>
            </w:rPr>
          </w:pPr>
          <w:hyperlink w:history="1" w:anchor="_Toc58475966">
            <w:r w:rsidRPr="00E75123" w:rsidR="00062899">
              <w:rPr>
                <w:rStyle w:val="Hyperlink"/>
                <w:noProof/>
              </w:rPr>
              <w:t>A.9</w:t>
            </w:r>
            <w:r w:rsidR="00062899">
              <w:rPr>
                <w:rFonts w:eastAsiaTheme="minorEastAsia"/>
                <w:noProof/>
              </w:rPr>
              <w:tab/>
            </w:r>
            <w:r w:rsidRPr="00E75123" w:rsidR="00062899">
              <w:rPr>
                <w:rStyle w:val="Hyperlink"/>
                <w:noProof/>
              </w:rPr>
              <w:t>Provisions of Payments or Gifts to Respondents</w:t>
            </w:r>
            <w:r w:rsidR="00062899">
              <w:rPr>
                <w:noProof/>
                <w:webHidden/>
              </w:rPr>
              <w:tab/>
            </w:r>
            <w:r w:rsidR="00062899">
              <w:rPr>
                <w:noProof/>
                <w:webHidden/>
              </w:rPr>
              <w:fldChar w:fldCharType="begin"/>
            </w:r>
            <w:r w:rsidR="00062899">
              <w:rPr>
                <w:noProof/>
                <w:webHidden/>
              </w:rPr>
              <w:instrText xml:space="preserve"> PAGEREF _Toc58475966 \h </w:instrText>
            </w:r>
            <w:r w:rsidR="00062899">
              <w:rPr>
                <w:noProof/>
                <w:webHidden/>
              </w:rPr>
            </w:r>
            <w:r w:rsidR="00062899">
              <w:rPr>
                <w:noProof/>
                <w:webHidden/>
              </w:rPr>
              <w:fldChar w:fldCharType="separate"/>
            </w:r>
            <w:r w:rsidR="00062899">
              <w:rPr>
                <w:noProof/>
                <w:webHidden/>
              </w:rPr>
              <w:t>5</w:t>
            </w:r>
            <w:r w:rsidR="00062899">
              <w:rPr>
                <w:noProof/>
                <w:webHidden/>
              </w:rPr>
              <w:fldChar w:fldCharType="end"/>
            </w:r>
          </w:hyperlink>
        </w:p>
        <w:p w:rsidR="00062899" w:rsidRDefault="00E6500F" w14:paraId="55CF1607" w14:textId="038DAE31">
          <w:pPr>
            <w:pStyle w:val="TOC3"/>
            <w:tabs>
              <w:tab w:val="left" w:pos="1100"/>
              <w:tab w:val="right" w:leader="dot" w:pos="10502"/>
            </w:tabs>
            <w:rPr>
              <w:rFonts w:eastAsiaTheme="minorEastAsia"/>
              <w:noProof/>
            </w:rPr>
          </w:pPr>
          <w:hyperlink w:history="1" w:anchor="_Toc58475967">
            <w:r w:rsidRPr="00E75123" w:rsidR="00062899">
              <w:rPr>
                <w:rStyle w:val="Hyperlink"/>
                <w:noProof/>
              </w:rPr>
              <w:t>A.10</w:t>
            </w:r>
            <w:r w:rsidR="00062899">
              <w:rPr>
                <w:rFonts w:eastAsiaTheme="minorEastAsia"/>
                <w:noProof/>
              </w:rPr>
              <w:tab/>
            </w:r>
            <w:r w:rsidRPr="00E75123" w:rsidR="00062899">
              <w:rPr>
                <w:rStyle w:val="Hyperlink"/>
                <w:noProof/>
              </w:rPr>
              <w:t>Assurance of Confidentiality</w:t>
            </w:r>
            <w:r w:rsidR="00062899">
              <w:rPr>
                <w:noProof/>
                <w:webHidden/>
              </w:rPr>
              <w:tab/>
            </w:r>
            <w:r w:rsidR="00062899">
              <w:rPr>
                <w:noProof/>
                <w:webHidden/>
              </w:rPr>
              <w:fldChar w:fldCharType="begin"/>
            </w:r>
            <w:r w:rsidR="00062899">
              <w:rPr>
                <w:noProof/>
                <w:webHidden/>
              </w:rPr>
              <w:instrText xml:space="preserve"> PAGEREF _Toc58475967 \h </w:instrText>
            </w:r>
            <w:r w:rsidR="00062899">
              <w:rPr>
                <w:noProof/>
                <w:webHidden/>
              </w:rPr>
            </w:r>
            <w:r w:rsidR="00062899">
              <w:rPr>
                <w:noProof/>
                <w:webHidden/>
              </w:rPr>
              <w:fldChar w:fldCharType="separate"/>
            </w:r>
            <w:r w:rsidR="00062899">
              <w:rPr>
                <w:noProof/>
                <w:webHidden/>
              </w:rPr>
              <w:t>7</w:t>
            </w:r>
            <w:r w:rsidR="00062899">
              <w:rPr>
                <w:noProof/>
                <w:webHidden/>
              </w:rPr>
              <w:fldChar w:fldCharType="end"/>
            </w:r>
          </w:hyperlink>
        </w:p>
        <w:p w:rsidR="00062899" w:rsidRDefault="00E6500F" w14:paraId="048CE609" w14:textId="78DD2C0C">
          <w:pPr>
            <w:pStyle w:val="TOC3"/>
            <w:tabs>
              <w:tab w:val="left" w:pos="1100"/>
              <w:tab w:val="right" w:leader="dot" w:pos="10502"/>
            </w:tabs>
            <w:rPr>
              <w:rFonts w:eastAsiaTheme="minorEastAsia"/>
              <w:noProof/>
            </w:rPr>
          </w:pPr>
          <w:hyperlink w:history="1" w:anchor="_Toc58475968">
            <w:r w:rsidRPr="00E75123" w:rsidR="00062899">
              <w:rPr>
                <w:rStyle w:val="Hyperlink"/>
                <w:noProof/>
              </w:rPr>
              <w:t>A.11</w:t>
            </w:r>
            <w:r w:rsidR="00062899">
              <w:rPr>
                <w:rFonts w:eastAsiaTheme="minorEastAsia"/>
                <w:noProof/>
              </w:rPr>
              <w:tab/>
            </w:r>
            <w:r w:rsidRPr="00E75123" w:rsidR="00062899">
              <w:rPr>
                <w:rStyle w:val="Hyperlink"/>
                <w:noProof/>
              </w:rPr>
              <w:t>Sensitive Questions</w:t>
            </w:r>
            <w:r w:rsidR="00062899">
              <w:rPr>
                <w:noProof/>
                <w:webHidden/>
              </w:rPr>
              <w:tab/>
            </w:r>
            <w:r w:rsidR="00062899">
              <w:rPr>
                <w:noProof/>
                <w:webHidden/>
              </w:rPr>
              <w:fldChar w:fldCharType="begin"/>
            </w:r>
            <w:r w:rsidR="00062899">
              <w:rPr>
                <w:noProof/>
                <w:webHidden/>
              </w:rPr>
              <w:instrText xml:space="preserve"> PAGEREF _Toc58475968 \h </w:instrText>
            </w:r>
            <w:r w:rsidR="00062899">
              <w:rPr>
                <w:noProof/>
                <w:webHidden/>
              </w:rPr>
            </w:r>
            <w:r w:rsidR="00062899">
              <w:rPr>
                <w:noProof/>
                <w:webHidden/>
              </w:rPr>
              <w:fldChar w:fldCharType="separate"/>
            </w:r>
            <w:r w:rsidR="00062899">
              <w:rPr>
                <w:noProof/>
                <w:webHidden/>
              </w:rPr>
              <w:t>9</w:t>
            </w:r>
            <w:r w:rsidR="00062899">
              <w:rPr>
                <w:noProof/>
                <w:webHidden/>
              </w:rPr>
              <w:fldChar w:fldCharType="end"/>
            </w:r>
          </w:hyperlink>
        </w:p>
        <w:p w:rsidR="00062899" w:rsidRDefault="00E6500F" w14:paraId="2C61926E" w14:textId="647E047C">
          <w:pPr>
            <w:pStyle w:val="TOC3"/>
            <w:tabs>
              <w:tab w:val="left" w:pos="1100"/>
              <w:tab w:val="right" w:leader="dot" w:pos="10502"/>
            </w:tabs>
            <w:rPr>
              <w:rFonts w:eastAsiaTheme="minorEastAsia"/>
              <w:noProof/>
            </w:rPr>
          </w:pPr>
          <w:hyperlink w:history="1" w:anchor="_Toc58475969">
            <w:r w:rsidRPr="00E75123" w:rsidR="00062899">
              <w:rPr>
                <w:rStyle w:val="Hyperlink"/>
                <w:noProof/>
              </w:rPr>
              <w:t>A.12</w:t>
            </w:r>
            <w:r w:rsidR="00062899">
              <w:rPr>
                <w:rFonts w:eastAsiaTheme="minorEastAsia"/>
                <w:noProof/>
              </w:rPr>
              <w:tab/>
            </w:r>
            <w:r w:rsidRPr="00E75123" w:rsidR="00062899">
              <w:rPr>
                <w:rStyle w:val="Hyperlink"/>
                <w:noProof/>
              </w:rPr>
              <w:t>Estimates of Burden</w:t>
            </w:r>
            <w:r w:rsidR="00062899">
              <w:rPr>
                <w:noProof/>
                <w:webHidden/>
              </w:rPr>
              <w:tab/>
            </w:r>
            <w:r w:rsidR="00062899">
              <w:rPr>
                <w:noProof/>
                <w:webHidden/>
              </w:rPr>
              <w:fldChar w:fldCharType="begin"/>
            </w:r>
            <w:r w:rsidR="00062899">
              <w:rPr>
                <w:noProof/>
                <w:webHidden/>
              </w:rPr>
              <w:instrText xml:space="preserve"> PAGEREF _Toc58475969 \h </w:instrText>
            </w:r>
            <w:r w:rsidR="00062899">
              <w:rPr>
                <w:noProof/>
                <w:webHidden/>
              </w:rPr>
            </w:r>
            <w:r w:rsidR="00062899">
              <w:rPr>
                <w:noProof/>
                <w:webHidden/>
              </w:rPr>
              <w:fldChar w:fldCharType="separate"/>
            </w:r>
            <w:r w:rsidR="00062899">
              <w:rPr>
                <w:noProof/>
                <w:webHidden/>
              </w:rPr>
              <w:t>9</w:t>
            </w:r>
            <w:r w:rsidR="00062899">
              <w:rPr>
                <w:noProof/>
                <w:webHidden/>
              </w:rPr>
              <w:fldChar w:fldCharType="end"/>
            </w:r>
          </w:hyperlink>
        </w:p>
        <w:p w:rsidR="00062899" w:rsidRDefault="00E6500F" w14:paraId="363B516A" w14:textId="17EFBAE0">
          <w:pPr>
            <w:pStyle w:val="TOC3"/>
            <w:tabs>
              <w:tab w:val="left" w:pos="1100"/>
              <w:tab w:val="right" w:leader="dot" w:pos="10502"/>
            </w:tabs>
            <w:rPr>
              <w:rFonts w:eastAsiaTheme="minorEastAsia"/>
              <w:noProof/>
            </w:rPr>
          </w:pPr>
          <w:hyperlink w:history="1" w:anchor="_Toc58475970">
            <w:r w:rsidRPr="00E75123" w:rsidR="00062899">
              <w:rPr>
                <w:rStyle w:val="Hyperlink"/>
                <w:noProof/>
              </w:rPr>
              <w:t>A.13</w:t>
            </w:r>
            <w:r w:rsidR="00062899">
              <w:rPr>
                <w:rFonts w:eastAsiaTheme="minorEastAsia"/>
                <w:noProof/>
              </w:rPr>
              <w:tab/>
            </w:r>
            <w:r w:rsidRPr="00E75123" w:rsidR="00062899">
              <w:rPr>
                <w:rStyle w:val="Hyperlink"/>
                <w:noProof/>
              </w:rPr>
              <w:t>Total Annual Cost Burden</w:t>
            </w:r>
            <w:r w:rsidR="00062899">
              <w:rPr>
                <w:noProof/>
                <w:webHidden/>
              </w:rPr>
              <w:tab/>
            </w:r>
            <w:r w:rsidR="00062899">
              <w:rPr>
                <w:noProof/>
                <w:webHidden/>
              </w:rPr>
              <w:fldChar w:fldCharType="begin"/>
            </w:r>
            <w:r w:rsidR="00062899">
              <w:rPr>
                <w:noProof/>
                <w:webHidden/>
              </w:rPr>
              <w:instrText xml:space="preserve"> PAGEREF _Toc58475970 \h </w:instrText>
            </w:r>
            <w:r w:rsidR="00062899">
              <w:rPr>
                <w:noProof/>
                <w:webHidden/>
              </w:rPr>
            </w:r>
            <w:r w:rsidR="00062899">
              <w:rPr>
                <w:noProof/>
                <w:webHidden/>
              </w:rPr>
              <w:fldChar w:fldCharType="separate"/>
            </w:r>
            <w:r w:rsidR="00062899">
              <w:rPr>
                <w:noProof/>
                <w:webHidden/>
              </w:rPr>
              <w:t>10</w:t>
            </w:r>
            <w:r w:rsidR="00062899">
              <w:rPr>
                <w:noProof/>
                <w:webHidden/>
              </w:rPr>
              <w:fldChar w:fldCharType="end"/>
            </w:r>
          </w:hyperlink>
        </w:p>
        <w:p w:rsidR="00062899" w:rsidRDefault="00E6500F" w14:paraId="1CAF25FA" w14:textId="658528DC">
          <w:pPr>
            <w:pStyle w:val="TOC3"/>
            <w:tabs>
              <w:tab w:val="left" w:pos="1100"/>
              <w:tab w:val="right" w:leader="dot" w:pos="10502"/>
            </w:tabs>
            <w:rPr>
              <w:rFonts w:eastAsiaTheme="minorEastAsia"/>
              <w:noProof/>
            </w:rPr>
          </w:pPr>
          <w:hyperlink w:history="1" w:anchor="_Toc58475971">
            <w:r w:rsidRPr="00E75123" w:rsidR="00062899">
              <w:rPr>
                <w:rStyle w:val="Hyperlink"/>
                <w:noProof/>
              </w:rPr>
              <w:t>A.14</w:t>
            </w:r>
            <w:r w:rsidR="00062899">
              <w:rPr>
                <w:rFonts w:eastAsiaTheme="minorEastAsia"/>
                <w:noProof/>
              </w:rPr>
              <w:tab/>
            </w:r>
            <w:r w:rsidRPr="00E75123" w:rsidR="00062899">
              <w:rPr>
                <w:rStyle w:val="Hyperlink"/>
                <w:noProof/>
              </w:rPr>
              <w:t>Annualized Cost to Federal Government</w:t>
            </w:r>
            <w:r w:rsidR="00062899">
              <w:rPr>
                <w:noProof/>
                <w:webHidden/>
              </w:rPr>
              <w:tab/>
            </w:r>
            <w:r w:rsidR="00062899">
              <w:rPr>
                <w:noProof/>
                <w:webHidden/>
              </w:rPr>
              <w:fldChar w:fldCharType="begin"/>
            </w:r>
            <w:r w:rsidR="00062899">
              <w:rPr>
                <w:noProof/>
                <w:webHidden/>
              </w:rPr>
              <w:instrText xml:space="preserve"> PAGEREF _Toc58475971 \h </w:instrText>
            </w:r>
            <w:r w:rsidR="00062899">
              <w:rPr>
                <w:noProof/>
                <w:webHidden/>
              </w:rPr>
            </w:r>
            <w:r w:rsidR="00062899">
              <w:rPr>
                <w:noProof/>
                <w:webHidden/>
              </w:rPr>
              <w:fldChar w:fldCharType="separate"/>
            </w:r>
            <w:r w:rsidR="00062899">
              <w:rPr>
                <w:noProof/>
                <w:webHidden/>
              </w:rPr>
              <w:t>10</w:t>
            </w:r>
            <w:r w:rsidR="00062899">
              <w:rPr>
                <w:noProof/>
                <w:webHidden/>
              </w:rPr>
              <w:fldChar w:fldCharType="end"/>
            </w:r>
          </w:hyperlink>
        </w:p>
        <w:p w:rsidR="00062899" w:rsidRDefault="00E6500F" w14:paraId="0650B2D4" w14:textId="1CA9AAAE">
          <w:pPr>
            <w:pStyle w:val="TOC3"/>
            <w:tabs>
              <w:tab w:val="left" w:pos="1100"/>
              <w:tab w:val="right" w:leader="dot" w:pos="10502"/>
            </w:tabs>
            <w:rPr>
              <w:rFonts w:eastAsiaTheme="minorEastAsia"/>
              <w:noProof/>
            </w:rPr>
          </w:pPr>
          <w:hyperlink w:history="1" w:anchor="_Toc58475972">
            <w:r w:rsidRPr="00E75123" w:rsidR="00062899">
              <w:rPr>
                <w:rStyle w:val="Hyperlink"/>
                <w:noProof/>
              </w:rPr>
              <w:t>A.15</w:t>
            </w:r>
            <w:r w:rsidR="00062899">
              <w:rPr>
                <w:rFonts w:eastAsiaTheme="minorEastAsia"/>
                <w:noProof/>
              </w:rPr>
              <w:tab/>
            </w:r>
            <w:r w:rsidRPr="00E75123" w:rsidR="00062899">
              <w:rPr>
                <w:rStyle w:val="Hyperlink"/>
                <w:noProof/>
              </w:rPr>
              <w:t>Program Changes or Adjustments</w:t>
            </w:r>
            <w:r w:rsidR="00062899">
              <w:rPr>
                <w:noProof/>
                <w:webHidden/>
              </w:rPr>
              <w:tab/>
            </w:r>
            <w:r w:rsidR="00062899">
              <w:rPr>
                <w:noProof/>
                <w:webHidden/>
              </w:rPr>
              <w:fldChar w:fldCharType="begin"/>
            </w:r>
            <w:r w:rsidR="00062899">
              <w:rPr>
                <w:noProof/>
                <w:webHidden/>
              </w:rPr>
              <w:instrText xml:space="preserve"> PAGEREF _Toc58475972 \h </w:instrText>
            </w:r>
            <w:r w:rsidR="00062899">
              <w:rPr>
                <w:noProof/>
                <w:webHidden/>
              </w:rPr>
            </w:r>
            <w:r w:rsidR="00062899">
              <w:rPr>
                <w:noProof/>
                <w:webHidden/>
              </w:rPr>
              <w:fldChar w:fldCharType="separate"/>
            </w:r>
            <w:r w:rsidR="00062899">
              <w:rPr>
                <w:noProof/>
                <w:webHidden/>
              </w:rPr>
              <w:t>11</w:t>
            </w:r>
            <w:r w:rsidR="00062899">
              <w:rPr>
                <w:noProof/>
                <w:webHidden/>
              </w:rPr>
              <w:fldChar w:fldCharType="end"/>
            </w:r>
          </w:hyperlink>
        </w:p>
        <w:p w:rsidR="00062899" w:rsidRDefault="00E6500F" w14:paraId="60E91BAC" w14:textId="1E383DFA">
          <w:pPr>
            <w:pStyle w:val="TOC3"/>
            <w:tabs>
              <w:tab w:val="left" w:pos="1100"/>
              <w:tab w:val="right" w:leader="dot" w:pos="10502"/>
            </w:tabs>
            <w:rPr>
              <w:rFonts w:eastAsiaTheme="minorEastAsia"/>
              <w:noProof/>
            </w:rPr>
          </w:pPr>
          <w:hyperlink w:history="1" w:anchor="_Toc58475973">
            <w:r w:rsidRPr="00E75123" w:rsidR="00062899">
              <w:rPr>
                <w:rStyle w:val="Hyperlink"/>
                <w:noProof/>
              </w:rPr>
              <w:t>A.16</w:t>
            </w:r>
            <w:r w:rsidR="00062899">
              <w:rPr>
                <w:rFonts w:eastAsiaTheme="minorEastAsia"/>
                <w:noProof/>
              </w:rPr>
              <w:tab/>
            </w:r>
            <w:r w:rsidRPr="00E75123" w:rsidR="00062899">
              <w:rPr>
                <w:rStyle w:val="Hyperlink"/>
                <w:noProof/>
              </w:rPr>
              <w:t>Publication Plans and Time Schedule</w:t>
            </w:r>
            <w:r w:rsidR="00062899">
              <w:rPr>
                <w:noProof/>
                <w:webHidden/>
              </w:rPr>
              <w:tab/>
            </w:r>
            <w:r w:rsidR="00062899">
              <w:rPr>
                <w:noProof/>
                <w:webHidden/>
              </w:rPr>
              <w:fldChar w:fldCharType="begin"/>
            </w:r>
            <w:r w:rsidR="00062899">
              <w:rPr>
                <w:noProof/>
                <w:webHidden/>
              </w:rPr>
              <w:instrText xml:space="preserve"> PAGEREF _Toc58475973 \h </w:instrText>
            </w:r>
            <w:r w:rsidR="00062899">
              <w:rPr>
                <w:noProof/>
                <w:webHidden/>
              </w:rPr>
            </w:r>
            <w:r w:rsidR="00062899">
              <w:rPr>
                <w:noProof/>
                <w:webHidden/>
              </w:rPr>
              <w:fldChar w:fldCharType="separate"/>
            </w:r>
            <w:r w:rsidR="00062899">
              <w:rPr>
                <w:noProof/>
                <w:webHidden/>
              </w:rPr>
              <w:t>11</w:t>
            </w:r>
            <w:r w:rsidR="00062899">
              <w:rPr>
                <w:noProof/>
                <w:webHidden/>
              </w:rPr>
              <w:fldChar w:fldCharType="end"/>
            </w:r>
          </w:hyperlink>
        </w:p>
        <w:p w:rsidR="00062899" w:rsidRDefault="00E6500F" w14:paraId="69D77936" w14:textId="2C36B787">
          <w:pPr>
            <w:pStyle w:val="TOC3"/>
            <w:tabs>
              <w:tab w:val="left" w:pos="1100"/>
              <w:tab w:val="right" w:leader="dot" w:pos="10502"/>
            </w:tabs>
            <w:rPr>
              <w:rFonts w:eastAsiaTheme="minorEastAsia"/>
              <w:noProof/>
            </w:rPr>
          </w:pPr>
          <w:hyperlink w:history="1" w:anchor="_Toc58475974">
            <w:r w:rsidRPr="00E75123" w:rsidR="00062899">
              <w:rPr>
                <w:rStyle w:val="Hyperlink"/>
                <w:noProof/>
              </w:rPr>
              <w:t>A.17</w:t>
            </w:r>
            <w:r w:rsidR="00062899">
              <w:rPr>
                <w:rFonts w:eastAsiaTheme="minorEastAsia"/>
                <w:noProof/>
              </w:rPr>
              <w:tab/>
            </w:r>
            <w:r w:rsidRPr="00E75123" w:rsidR="00062899">
              <w:rPr>
                <w:rStyle w:val="Hyperlink"/>
                <w:noProof/>
              </w:rPr>
              <w:t>Display OMB Expiration Date</w:t>
            </w:r>
            <w:r w:rsidR="00062899">
              <w:rPr>
                <w:noProof/>
                <w:webHidden/>
              </w:rPr>
              <w:tab/>
            </w:r>
            <w:r w:rsidR="00062899">
              <w:rPr>
                <w:noProof/>
                <w:webHidden/>
              </w:rPr>
              <w:fldChar w:fldCharType="begin"/>
            </w:r>
            <w:r w:rsidR="00062899">
              <w:rPr>
                <w:noProof/>
                <w:webHidden/>
              </w:rPr>
              <w:instrText xml:space="preserve"> PAGEREF _Toc58475974 \h </w:instrText>
            </w:r>
            <w:r w:rsidR="00062899">
              <w:rPr>
                <w:noProof/>
                <w:webHidden/>
              </w:rPr>
            </w:r>
            <w:r w:rsidR="00062899">
              <w:rPr>
                <w:noProof/>
                <w:webHidden/>
              </w:rPr>
              <w:fldChar w:fldCharType="separate"/>
            </w:r>
            <w:r w:rsidR="00062899">
              <w:rPr>
                <w:noProof/>
                <w:webHidden/>
              </w:rPr>
              <w:t>11</w:t>
            </w:r>
            <w:r w:rsidR="00062899">
              <w:rPr>
                <w:noProof/>
                <w:webHidden/>
              </w:rPr>
              <w:fldChar w:fldCharType="end"/>
            </w:r>
          </w:hyperlink>
        </w:p>
        <w:p w:rsidR="00062899" w:rsidRDefault="00E6500F" w14:paraId="0A5203C2" w14:textId="4A1591A2">
          <w:pPr>
            <w:pStyle w:val="TOC3"/>
            <w:tabs>
              <w:tab w:val="left" w:pos="1100"/>
              <w:tab w:val="right" w:leader="dot" w:pos="10502"/>
            </w:tabs>
            <w:rPr>
              <w:rFonts w:eastAsiaTheme="minorEastAsia"/>
              <w:noProof/>
            </w:rPr>
          </w:pPr>
          <w:hyperlink w:history="1" w:anchor="_Toc58475975">
            <w:r w:rsidRPr="00E75123" w:rsidR="00062899">
              <w:rPr>
                <w:rStyle w:val="Hyperlink"/>
                <w:noProof/>
              </w:rPr>
              <w:t>A.18</w:t>
            </w:r>
            <w:r w:rsidR="00062899">
              <w:rPr>
                <w:rFonts w:eastAsiaTheme="minorEastAsia"/>
                <w:noProof/>
              </w:rPr>
              <w:tab/>
            </w:r>
            <w:r w:rsidRPr="00E75123" w:rsidR="00062899">
              <w:rPr>
                <w:rStyle w:val="Hyperlink"/>
                <w:noProof/>
              </w:rPr>
              <w:t>Exceptions to Certification Statement</w:t>
            </w:r>
            <w:r w:rsidR="00062899">
              <w:rPr>
                <w:noProof/>
                <w:webHidden/>
              </w:rPr>
              <w:tab/>
            </w:r>
            <w:r w:rsidR="00062899">
              <w:rPr>
                <w:noProof/>
                <w:webHidden/>
              </w:rPr>
              <w:fldChar w:fldCharType="begin"/>
            </w:r>
            <w:r w:rsidR="00062899">
              <w:rPr>
                <w:noProof/>
                <w:webHidden/>
              </w:rPr>
              <w:instrText xml:space="preserve"> PAGEREF _Toc58475975 \h </w:instrText>
            </w:r>
            <w:r w:rsidR="00062899">
              <w:rPr>
                <w:noProof/>
                <w:webHidden/>
              </w:rPr>
            </w:r>
            <w:r w:rsidR="00062899">
              <w:rPr>
                <w:noProof/>
                <w:webHidden/>
              </w:rPr>
              <w:fldChar w:fldCharType="separate"/>
            </w:r>
            <w:r w:rsidR="00062899">
              <w:rPr>
                <w:noProof/>
                <w:webHidden/>
              </w:rPr>
              <w:t>11</w:t>
            </w:r>
            <w:r w:rsidR="00062899">
              <w:rPr>
                <w:noProof/>
                <w:webHidden/>
              </w:rPr>
              <w:fldChar w:fldCharType="end"/>
            </w:r>
          </w:hyperlink>
        </w:p>
        <w:p w:rsidRPr="0002216F" w:rsidR="000D767F" w:rsidP="00806B4C" w:rsidRDefault="001D4B20" w14:paraId="682D63A3" w14:textId="716C4AA4">
          <w:pPr>
            <w:rPr>
              <w:rFonts w:ascii="Times New Roman" w:hAnsi="Times New Roman" w:cs="Times New Roman"/>
            </w:rPr>
          </w:pPr>
          <w:r>
            <w:rPr>
              <w:rFonts w:ascii="Times New Roman" w:hAnsi="Times New Roman" w:eastAsia="Times New Roman" w:cs="Times New Roman"/>
            </w:rPr>
            <w:fldChar w:fldCharType="end"/>
          </w:r>
        </w:p>
      </w:sdtContent>
    </w:sdt>
    <w:p w:rsidR="004275A6" w:rsidRDefault="00F81FFD" w14:paraId="413A41E7" w14:textId="77777777">
      <w:pPr>
        <w:rPr>
          <w:rFonts w:ascii="Times New Roman" w:hAnsi="Times New Roman" w:cs="Times New Roman"/>
        </w:rPr>
        <w:sectPr w:rsidR="004275A6" w:rsidSect="004275A6">
          <w:footerReference w:type="default" r:id="rId14"/>
          <w:pgSz w:w="12240" w:h="15840" w:code="1"/>
          <w:pgMar w:top="864" w:right="864" w:bottom="720" w:left="864" w:header="432" w:footer="288" w:gutter="0"/>
          <w:pgNumType w:fmt="lowerRoman" w:start="1"/>
          <w:cols w:space="720"/>
          <w:docGrid w:linePitch="360"/>
        </w:sectPr>
      </w:pPr>
      <w:r>
        <w:rPr>
          <w:rFonts w:ascii="Times New Roman" w:hAnsi="Times New Roman" w:cs="Times New Roman"/>
        </w:rPr>
        <w:br w:type="page"/>
      </w:r>
    </w:p>
    <w:p w:rsidR="00453682" w:rsidP="00A9768A" w:rsidRDefault="00A72635" w14:paraId="6877660E" w14:textId="3EBC5640">
      <w:pPr>
        <w:pStyle w:val="TIMSSOMBHeading1"/>
        <w:rPr>
          <w:i/>
        </w:rPr>
      </w:pPr>
      <w:bookmarkStart w:name="_Toc58475956" w:id="1"/>
      <w:r w:rsidRPr="0002216F">
        <w:lastRenderedPageBreak/>
        <w:t>PREFACE</w:t>
      </w:r>
      <w:bookmarkEnd w:id="1"/>
    </w:p>
    <w:p w:rsidRPr="00284679" w:rsidR="003D4D86" w:rsidP="003D4D86" w:rsidRDefault="003D4D86" w14:paraId="1BB1DF9F" w14:textId="64B4078F">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Trends in International Mathematics and Science Study (TIMSS), conducted by the National Center for Education Statistics (NCES), within the U.S. Department of Education (ED), is an international assessment of fourth and eighth grade students’ achievement in mathematics and science. Since its inception in 1995, TIMSS has continued to assess students every 4 years (1995, 1999, 2003, 2007, 2011, 2015, and 2019), with the next TIMSS assessment, TIMSS 2023, being the eighth iteration of the study. In TIMSS 2023, </w:t>
      </w:r>
      <w:r w:rsidRPr="00284679" w:rsidR="00C71000">
        <w:rPr>
          <w:rFonts w:ascii="Times New Roman" w:hAnsi="Times New Roman" w:cs="Times New Roman"/>
          <w:sz w:val="24"/>
          <w:szCs w:val="24"/>
        </w:rPr>
        <w:t xml:space="preserve">approximately </w:t>
      </w:r>
      <w:r w:rsidRPr="00284679" w:rsidR="00EA60EC">
        <w:rPr>
          <w:rFonts w:ascii="Times New Roman" w:hAnsi="Times New Roman" w:cs="Times New Roman"/>
          <w:sz w:val="24"/>
          <w:szCs w:val="24"/>
        </w:rPr>
        <w:t xml:space="preserve">65 </w:t>
      </w:r>
      <w:r w:rsidRPr="00284679">
        <w:rPr>
          <w:rFonts w:ascii="Times New Roman" w:hAnsi="Times New Roman" w:cs="Times New Roman"/>
          <w:sz w:val="24"/>
          <w:szCs w:val="24"/>
        </w:rPr>
        <w:t xml:space="preserve">countries </w:t>
      </w:r>
      <w:r w:rsidRPr="00284679" w:rsidR="00C71000">
        <w:rPr>
          <w:rFonts w:ascii="Times New Roman" w:hAnsi="Times New Roman" w:cs="Times New Roman"/>
          <w:sz w:val="24"/>
          <w:szCs w:val="24"/>
        </w:rPr>
        <w:t>or e</w:t>
      </w:r>
      <w:r w:rsidRPr="00284679">
        <w:rPr>
          <w:rFonts w:ascii="Times New Roman" w:hAnsi="Times New Roman" w:cs="Times New Roman"/>
          <w:sz w:val="24"/>
          <w:szCs w:val="24"/>
        </w:rPr>
        <w:t xml:space="preserve">ducation systems </w:t>
      </w:r>
      <w:r w:rsidRPr="00284679" w:rsidR="00C71000">
        <w:rPr>
          <w:rFonts w:ascii="Times New Roman" w:hAnsi="Times New Roman" w:cs="Times New Roman"/>
          <w:sz w:val="24"/>
          <w:szCs w:val="24"/>
        </w:rPr>
        <w:t>will participate</w:t>
      </w:r>
      <w:r w:rsidRPr="00284679">
        <w:rPr>
          <w:rFonts w:ascii="Times New Roman" w:hAnsi="Times New Roman" w:cs="Times New Roman"/>
          <w:sz w:val="24"/>
          <w:szCs w:val="24"/>
        </w:rPr>
        <w:t>. The United States will participate in TIMSS 2023 to continue to monitor the progress of its students compared to that of other nations and to provide data on factors that may influence student achievement.</w:t>
      </w:r>
    </w:p>
    <w:p w:rsidRPr="00284679" w:rsidR="003D4D86" w:rsidP="003D4D86" w:rsidRDefault="003D4D86" w14:paraId="11DC9122" w14:textId="7FE34138">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TIMSS is led by </w:t>
      </w:r>
      <w:r w:rsidRPr="00284679">
        <w:rPr>
          <w:rFonts w:ascii="Times New Roman" w:hAnsi="Times New Roman" w:cs="Times New Roman"/>
          <w:sz w:val="24"/>
          <w:szCs w:val="24"/>
          <w:lang w:val="de-DE"/>
        </w:rPr>
        <w:t xml:space="preserve">the International Association for the Evaluation of Educational Achievement (IEA), an international collective of research organizations and government agencies that </w:t>
      </w:r>
      <w:r w:rsidRPr="00284679">
        <w:rPr>
          <w:rFonts w:ascii="Times New Roman" w:hAnsi="Times New Roman" w:cs="Times New Roman"/>
          <w:sz w:val="24"/>
          <w:szCs w:val="24"/>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is able to provide a reliable and comparable measure of student skills in participating countries. </w:t>
      </w:r>
      <w:r w:rsidRPr="00284679">
        <w:rPr>
          <w:rFonts w:ascii="Times New Roman" w:hAnsi="Times New Roman" w:cs="Times New Roman"/>
          <w:sz w:val="24"/>
          <w:szCs w:val="24"/>
          <w:lang w:val="de-DE"/>
        </w:rPr>
        <w:t>In the U.S., NCES conducts this study in collaboration with the IEA and a number of contractors (RTI International, AnLar, Measurement Incorportated</w:t>
      </w:r>
      <w:r w:rsidRPr="00284679" w:rsidR="00F4713A">
        <w:rPr>
          <w:rFonts w:ascii="Times New Roman" w:hAnsi="Times New Roman" w:cs="Times New Roman"/>
          <w:sz w:val="24"/>
          <w:szCs w:val="24"/>
          <w:lang w:val="de-DE"/>
        </w:rPr>
        <w:t>, and Strategic Communications</w:t>
      </w:r>
      <w:r w:rsidRPr="00284679">
        <w:rPr>
          <w:rFonts w:ascii="Times New Roman" w:hAnsi="Times New Roman" w:cs="Times New Roman"/>
          <w:sz w:val="24"/>
          <w:szCs w:val="24"/>
          <w:lang w:val="de-DE"/>
        </w:rPr>
        <w:t xml:space="preserve">) to ensure proper implementation of the study and adoption of practices in adherence to the IEA’s standards. </w:t>
      </w:r>
      <w:r w:rsidRPr="00284679">
        <w:rPr>
          <w:rFonts w:ascii="Times New Roman" w:hAnsi="Times New Roman" w:cs="Times New Roman"/>
          <w:sz w:val="24"/>
          <w:szCs w:val="24"/>
        </w:rPr>
        <w:t>Participation in TIMSS is consistent with NCES’s mandate of acquiring and disseminating data on educational activities and student achievement in the United States compared with foreign nations [The Educational Sciences Reform Act of 2002 (ESRA 2002, 20 U.S.C. §9543)].</w:t>
      </w:r>
    </w:p>
    <w:p w:rsidRPr="00284679" w:rsidR="003D4D86" w:rsidP="003D4D86" w:rsidRDefault="003D4D86" w14:paraId="55B88BEF" w14:textId="18D72953">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TIMSS 2023 will be a computer-based assessment </w:t>
      </w:r>
      <w:r w:rsidRPr="00284679" w:rsidR="00837F38">
        <w:rPr>
          <w:rFonts w:ascii="Times New Roman" w:hAnsi="Times New Roman" w:cs="Times New Roman"/>
          <w:sz w:val="24"/>
          <w:szCs w:val="24"/>
        </w:rPr>
        <w:t>(referred to as “eTIMSS</w:t>
      </w:r>
      <w:r w:rsidRPr="00284679" w:rsidR="00130ED9">
        <w:rPr>
          <w:rFonts w:ascii="Times New Roman" w:hAnsi="Times New Roman" w:cs="Times New Roman"/>
          <w:sz w:val="24"/>
          <w:szCs w:val="24"/>
        </w:rPr>
        <w:t>”</w:t>
      </w:r>
      <w:r w:rsidRPr="00284679" w:rsidR="00837F38">
        <w:rPr>
          <w:rFonts w:ascii="Times New Roman" w:hAnsi="Times New Roman" w:cs="Times New Roman"/>
          <w:sz w:val="24"/>
          <w:szCs w:val="24"/>
        </w:rPr>
        <w:t>),</w:t>
      </w:r>
      <w:r w:rsidRPr="00284679">
        <w:rPr>
          <w:rFonts w:ascii="Times New Roman" w:hAnsi="Times New Roman" w:cs="Times New Roman"/>
          <w:sz w:val="24"/>
          <w:szCs w:val="24"/>
        </w:rPr>
        <w:t xml:space="preserve"> administered using the eTIMSS player via Chromebook tablets with attached keyboards. TIMSS 2023 </w:t>
      </w:r>
      <w:r w:rsidRPr="00284679" w:rsidR="009B4692">
        <w:rPr>
          <w:rFonts w:ascii="Times New Roman" w:hAnsi="Times New Roman" w:cs="Times New Roman"/>
          <w:sz w:val="24"/>
          <w:szCs w:val="24"/>
        </w:rPr>
        <w:t xml:space="preserve">builds on the work of TIMSS 2019, which primarily used an electronic assessment format but included a </w:t>
      </w:r>
      <w:r w:rsidR="00634E67">
        <w:rPr>
          <w:rFonts w:ascii="Times New Roman" w:hAnsi="Times New Roman" w:cs="Times New Roman"/>
          <w:sz w:val="24"/>
          <w:szCs w:val="24"/>
        </w:rPr>
        <w:t>bridge</w:t>
      </w:r>
      <w:r w:rsidRPr="00284679" w:rsidR="009B4692">
        <w:rPr>
          <w:rFonts w:ascii="Times New Roman" w:hAnsi="Times New Roman" w:cs="Times New Roman"/>
          <w:sz w:val="24"/>
          <w:szCs w:val="24"/>
        </w:rPr>
        <w:t xml:space="preserve"> study to examine the effect of administering the assessment on tablet versus paper</w:t>
      </w:r>
      <w:r w:rsidR="00634E67">
        <w:rPr>
          <w:rFonts w:ascii="Times New Roman" w:hAnsi="Times New Roman" w:cs="Times New Roman"/>
          <w:sz w:val="24"/>
          <w:szCs w:val="24"/>
        </w:rPr>
        <w:t xml:space="preserve"> and establish the link to maintain trends</w:t>
      </w:r>
      <w:r w:rsidRPr="00284679" w:rsidR="009B4692">
        <w:rPr>
          <w:rFonts w:ascii="Times New Roman" w:hAnsi="Times New Roman" w:cs="Times New Roman"/>
          <w:sz w:val="24"/>
          <w:szCs w:val="24"/>
        </w:rPr>
        <w:t xml:space="preserve">. TIMSS 2023 </w:t>
      </w:r>
      <w:r w:rsidR="00634E67">
        <w:rPr>
          <w:rFonts w:ascii="Times New Roman" w:hAnsi="Times New Roman" w:cs="Times New Roman"/>
          <w:sz w:val="24"/>
          <w:szCs w:val="24"/>
        </w:rPr>
        <w:t>will be the second e</w:t>
      </w:r>
      <w:r w:rsidRPr="00284679">
        <w:rPr>
          <w:rFonts w:ascii="Times New Roman" w:hAnsi="Times New Roman" w:cs="Times New Roman"/>
          <w:sz w:val="24"/>
          <w:szCs w:val="24"/>
        </w:rPr>
        <w:t>TIMSS assessment</w:t>
      </w:r>
      <w:r w:rsidR="00634E67">
        <w:rPr>
          <w:rFonts w:ascii="Times New Roman" w:hAnsi="Times New Roman" w:cs="Times New Roman"/>
          <w:sz w:val="24"/>
          <w:szCs w:val="24"/>
        </w:rPr>
        <w:t xml:space="preserve"> in the United States</w:t>
      </w:r>
      <w:r w:rsidRPr="00284679">
        <w:rPr>
          <w:rFonts w:ascii="Times New Roman" w:hAnsi="Times New Roman" w:cs="Times New Roman"/>
          <w:sz w:val="24"/>
          <w:szCs w:val="24"/>
        </w:rPr>
        <w:t>.</w:t>
      </w:r>
    </w:p>
    <w:p w:rsidRPr="00284679" w:rsidR="003D4D86" w:rsidP="003D4D86" w:rsidRDefault="00C71000" w14:paraId="23DD2DB6" w14:textId="6D1B5542">
      <w:pPr>
        <w:spacing w:after="40" w:line="23" w:lineRule="atLeast"/>
        <w:rPr>
          <w:rFonts w:ascii="Times New Roman" w:hAnsi="Times New Roman" w:cs="Times New Roman"/>
          <w:sz w:val="24"/>
          <w:szCs w:val="24"/>
          <w:lang w:val="de-DE"/>
        </w:rPr>
      </w:pPr>
      <w:r w:rsidRPr="00284679">
        <w:rPr>
          <w:rFonts w:ascii="Times New Roman" w:hAnsi="Times New Roman" w:cs="Times New Roman"/>
          <w:sz w:val="24"/>
          <w:szCs w:val="24"/>
          <w:lang w:val="de-DE"/>
        </w:rPr>
        <w:t xml:space="preserve">Among the key features of </w:t>
      </w:r>
      <w:r w:rsidRPr="00284679" w:rsidR="003D4D86">
        <w:rPr>
          <w:rFonts w:ascii="Times New Roman" w:hAnsi="Times New Roman" w:cs="Times New Roman"/>
          <w:sz w:val="24"/>
          <w:szCs w:val="24"/>
          <w:lang w:val="de-DE"/>
        </w:rPr>
        <w:t>TIMSS 2023:</w:t>
      </w:r>
    </w:p>
    <w:p w:rsidRPr="00284679" w:rsidR="003D4D86" w:rsidP="003D4D86" w:rsidRDefault="003D4D86" w14:paraId="772F6971" w14:textId="4CA2C361">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rPr>
        <w:t>TIMSS 2023 will be an innovative, group adaptive design to allow for a better alignment of the assessment with the student populations in the participating countries</w:t>
      </w:r>
      <w:r w:rsidRPr="00284679" w:rsidR="00C71000">
        <w:rPr>
          <w:rFonts w:ascii="Times New Roman" w:hAnsi="Times New Roman" w:cs="Times New Roman"/>
          <w:sz w:val="24"/>
          <w:szCs w:val="24"/>
        </w:rPr>
        <w:t>;</w:t>
      </w:r>
    </w:p>
    <w:p w:rsidRPr="00284679" w:rsidR="003D4D86" w:rsidP="003D4D86" w:rsidRDefault="003D4D86" w14:paraId="70ED1B72" w14:textId="1B2E4A90">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Problem solving and inquiry tasks integrated into the assessment design so students can experience real-world laboratory situations and apply process skills and content knowledge</w:t>
      </w:r>
      <w:r w:rsidRPr="00284679" w:rsidR="00C71000">
        <w:rPr>
          <w:rFonts w:ascii="Times New Roman" w:hAnsi="Times New Roman" w:cs="Times New Roman"/>
          <w:sz w:val="24"/>
          <w:szCs w:val="24"/>
          <w:lang w:val="de-DE"/>
        </w:rPr>
        <w:t>;</w:t>
      </w:r>
    </w:p>
    <w:p w:rsidRPr="00284679" w:rsidR="003D4D86" w:rsidP="003D4D86" w:rsidRDefault="003D4D86" w14:paraId="5342C6F2" w14:textId="59EF467C">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Enhanced international reporting to include reporting of process data to allow TIMSS 2023 to better understand student approaches to problem solving and scientific inquiry</w:t>
      </w:r>
      <w:r w:rsidRPr="00284679" w:rsidR="00C71000">
        <w:rPr>
          <w:rFonts w:ascii="Times New Roman" w:hAnsi="Times New Roman" w:cs="Times New Roman"/>
          <w:sz w:val="24"/>
          <w:szCs w:val="24"/>
          <w:lang w:val="de-DE"/>
        </w:rPr>
        <w:t>;</w:t>
      </w:r>
    </w:p>
    <w:p w:rsidRPr="00284679" w:rsidR="003D4D86" w:rsidP="003D4D86" w:rsidRDefault="003D4D86" w14:paraId="43D7065C" w14:textId="181FB822">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Innovative item types that engage students; students can create a range of data displays, move and rotate objects on the screen, and show their work with typed text and drawings</w:t>
      </w:r>
      <w:r w:rsidRPr="00284679" w:rsidR="00C71000">
        <w:rPr>
          <w:rFonts w:ascii="Times New Roman" w:hAnsi="Times New Roman" w:cs="Times New Roman"/>
          <w:sz w:val="24"/>
          <w:szCs w:val="24"/>
          <w:lang w:val="de-DE"/>
        </w:rPr>
        <w:t>; and</w:t>
      </w:r>
    </w:p>
    <w:p w:rsidRPr="00284679" w:rsidR="003D4D86" w:rsidP="003D4D86" w:rsidRDefault="003D4D86" w14:paraId="2B1BC619" w14:textId="4397B8E7">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Policy-relevant informaiton on contexts for learning mathematics and science</w:t>
      </w:r>
      <w:r w:rsidRPr="00284679" w:rsidR="00C71000">
        <w:rPr>
          <w:rFonts w:ascii="Times New Roman" w:hAnsi="Times New Roman" w:cs="Times New Roman"/>
          <w:sz w:val="24"/>
          <w:szCs w:val="24"/>
          <w:lang w:val="de-DE"/>
        </w:rPr>
        <w:t>.</w:t>
      </w:r>
      <w:r w:rsidRPr="00284679" w:rsidR="00284679">
        <w:rPr>
          <w:rStyle w:val="FootnoteReference"/>
          <w:rFonts w:ascii="Times New Roman" w:hAnsi="Times New Roman"/>
          <w:sz w:val="24"/>
          <w:szCs w:val="24"/>
          <w:lang w:val="de-DE"/>
        </w:rPr>
        <w:footnoteReference w:id="2"/>
      </w:r>
    </w:p>
    <w:p w:rsidRPr="00284679" w:rsidR="003D4D86" w:rsidP="00A95D5A" w:rsidRDefault="003D4D86" w14:paraId="792BAFC4" w14:textId="076AC488">
      <w:pPr>
        <w:pStyle w:val="ListParagraph"/>
        <w:spacing w:after="40" w:line="23" w:lineRule="atLeast"/>
        <w:contextualSpacing w:val="0"/>
        <w:rPr>
          <w:sz w:val="24"/>
          <w:szCs w:val="24"/>
        </w:rPr>
      </w:pPr>
    </w:p>
    <w:p w:rsidRPr="00284679" w:rsidR="003D4D86" w:rsidP="003D4D86" w:rsidRDefault="003D4D86" w14:paraId="4ED1D2D8" w14:textId="632869E3">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Because TIMSS is a collaborative effort among many parties, the United States must adhere to the international schedule set forth by the IEA, including the availability of final field test and main study plans as well as draft and final questionnaires. In order to meet the international data collection schedule, to align with recruitment for other NCES studies (e.g., the National Assessment of Education Progress, NAEP), and for schools to put the TIMSS 2023 field test assessment on their </w:t>
      </w:r>
      <w:r w:rsidRPr="00284679" w:rsidR="00130ED9">
        <w:rPr>
          <w:rFonts w:ascii="Times New Roman" w:hAnsi="Times New Roman" w:cs="Times New Roman"/>
          <w:sz w:val="24"/>
          <w:szCs w:val="24"/>
        </w:rPr>
        <w:t xml:space="preserve">Spring </w:t>
      </w:r>
      <w:r w:rsidRPr="00284679">
        <w:rPr>
          <w:rFonts w:ascii="Times New Roman" w:hAnsi="Times New Roman" w:cs="Times New Roman"/>
          <w:sz w:val="24"/>
          <w:szCs w:val="24"/>
        </w:rPr>
        <w:t xml:space="preserve">2022 calendars, recruitment activities for the field test will begin in </w:t>
      </w:r>
      <w:r w:rsidR="00030737">
        <w:rPr>
          <w:rFonts w:ascii="Times New Roman" w:hAnsi="Times New Roman" w:cs="Times New Roman"/>
          <w:sz w:val="24"/>
          <w:szCs w:val="24"/>
        </w:rPr>
        <w:t>June</w:t>
      </w:r>
      <w:r w:rsidRPr="00284679">
        <w:rPr>
          <w:rFonts w:ascii="Times New Roman" w:hAnsi="Times New Roman" w:cs="Times New Roman"/>
          <w:sz w:val="24"/>
          <w:szCs w:val="24"/>
        </w:rPr>
        <w:t xml:space="preserve"> of 2021. </w:t>
      </w:r>
      <w:r w:rsidRPr="00284679" w:rsidR="00130ED9">
        <w:rPr>
          <w:rFonts w:ascii="Times New Roman" w:hAnsi="Times New Roman" w:cs="Times New Roman"/>
          <w:sz w:val="24"/>
          <w:szCs w:val="24"/>
        </w:rPr>
        <w:t>This package requests approval to conduct sampling and recruitment activities associated with the TIMSS 2023 field test, which will be conduc</w:t>
      </w:r>
      <w:r w:rsidRPr="00284679">
        <w:rPr>
          <w:rFonts w:ascii="Times New Roman" w:hAnsi="Times New Roman" w:cs="Times New Roman"/>
          <w:sz w:val="24"/>
          <w:szCs w:val="24"/>
        </w:rPr>
        <w:t xml:space="preserve">ted </w:t>
      </w:r>
      <w:r w:rsidRPr="00284679" w:rsidR="00284679">
        <w:rPr>
          <w:rFonts w:ascii="Times New Roman" w:hAnsi="Times New Roman" w:cs="Times New Roman"/>
          <w:sz w:val="24"/>
          <w:szCs w:val="24"/>
        </w:rPr>
        <w:t xml:space="preserve">in </w:t>
      </w:r>
      <w:r w:rsidRPr="00284679" w:rsidR="00130ED9">
        <w:rPr>
          <w:rFonts w:ascii="Times New Roman" w:hAnsi="Times New Roman" w:cs="Times New Roman"/>
          <w:sz w:val="24"/>
          <w:szCs w:val="24"/>
        </w:rPr>
        <w:t xml:space="preserve">March </w:t>
      </w:r>
      <w:r w:rsidRPr="00284679" w:rsidR="00284679">
        <w:rPr>
          <w:rFonts w:ascii="Times New Roman" w:hAnsi="Times New Roman" w:cs="Times New Roman"/>
          <w:sz w:val="24"/>
          <w:szCs w:val="24"/>
        </w:rPr>
        <w:t xml:space="preserve">and </w:t>
      </w:r>
      <w:r w:rsidRPr="00284679" w:rsidR="00CA63F6">
        <w:rPr>
          <w:rFonts w:ascii="Times New Roman" w:hAnsi="Times New Roman" w:cs="Times New Roman"/>
          <w:sz w:val="24"/>
          <w:szCs w:val="24"/>
        </w:rPr>
        <w:t xml:space="preserve">April </w:t>
      </w:r>
      <w:r w:rsidRPr="00284679">
        <w:rPr>
          <w:rFonts w:ascii="Times New Roman" w:hAnsi="Times New Roman" w:cs="Times New Roman"/>
          <w:sz w:val="24"/>
          <w:szCs w:val="24"/>
        </w:rPr>
        <w:t>202</w:t>
      </w:r>
      <w:r w:rsidRPr="00284679" w:rsidR="00837F38">
        <w:rPr>
          <w:rFonts w:ascii="Times New Roman" w:hAnsi="Times New Roman" w:cs="Times New Roman"/>
          <w:sz w:val="24"/>
          <w:szCs w:val="24"/>
        </w:rPr>
        <w:t>2</w:t>
      </w:r>
      <w:r w:rsidRPr="00284679" w:rsidR="009B4692">
        <w:rPr>
          <w:rFonts w:ascii="Times New Roman" w:hAnsi="Times New Roman" w:cs="Times New Roman"/>
          <w:sz w:val="24"/>
          <w:szCs w:val="24"/>
        </w:rPr>
        <w:t xml:space="preserve">. </w:t>
      </w:r>
      <w:r w:rsidRPr="00284679" w:rsidR="00130ED9">
        <w:rPr>
          <w:rFonts w:ascii="Times New Roman" w:hAnsi="Times New Roman" w:cs="Times New Roman"/>
          <w:sz w:val="24"/>
          <w:szCs w:val="24"/>
        </w:rPr>
        <w:t>A</w:t>
      </w:r>
      <w:r w:rsidR="00584763">
        <w:rPr>
          <w:rFonts w:ascii="Times New Roman" w:hAnsi="Times New Roman" w:cs="Times New Roman"/>
          <w:sz w:val="24"/>
          <w:szCs w:val="24"/>
        </w:rPr>
        <w:t xml:space="preserve">nother </w:t>
      </w:r>
      <w:r w:rsidRPr="00284679" w:rsidR="00130ED9">
        <w:rPr>
          <w:rFonts w:ascii="Times New Roman" w:hAnsi="Times New Roman" w:cs="Times New Roman"/>
          <w:sz w:val="24"/>
          <w:szCs w:val="24"/>
        </w:rPr>
        <w:t xml:space="preserve">package </w:t>
      </w:r>
      <w:r w:rsidR="00584763">
        <w:rPr>
          <w:rFonts w:ascii="Times New Roman" w:hAnsi="Times New Roman" w:cs="Times New Roman"/>
          <w:sz w:val="24"/>
          <w:szCs w:val="24"/>
        </w:rPr>
        <w:t xml:space="preserve">for 60-day review </w:t>
      </w:r>
      <w:r w:rsidRPr="00284679" w:rsidR="00130ED9">
        <w:rPr>
          <w:rFonts w:ascii="Times New Roman" w:hAnsi="Times New Roman" w:cs="Times New Roman"/>
          <w:sz w:val="24"/>
          <w:szCs w:val="24"/>
        </w:rPr>
        <w:t xml:space="preserve">will be submitted in August 2021 to request approval for the field </w:t>
      </w:r>
      <w:r w:rsidRPr="00284679" w:rsidR="00130ED9">
        <w:rPr>
          <w:rFonts w:ascii="Times New Roman" w:hAnsi="Times New Roman" w:cs="Times New Roman"/>
          <w:sz w:val="24"/>
          <w:szCs w:val="24"/>
        </w:rPr>
        <w:lastRenderedPageBreak/>
        <w:t xml:space="preserve">test data collection materials and </w:t>
      </w:r>
      <w:r w:rsidRPr="00284679" w:rsidR="00284679">
        <w:rPr>
          <w:rFonts w:ascii="Times New Roman" w:hAnsi="Times New Roman" w:cs="Times New Roman"/>
          <w:sz w:val="24"/>
          <w:szCs w:val="24"/>
        </w:rPr>
        <w:t xml:space="preserve">the </w:t>
      </w:r>
      <w:r w:rsidRPr="00284679" w:rsidR="00130ED9">
        <w:rPr>
          <w:rFonts w:ascii="Times New Roman" w:hAnsi="Times New Roman" w:cs="Times New Roman"/>
          <w:sz w:val="24"/>
          <w:szCs w:val="24"/>
        </w:rPr>
        <w:t>main study sampling and recruiting plan.</w:t>
      </w:r>
      <w:r w:rsidR="00E1326C">
        <w:rPr>
          <w:rFonts w:ascii="Times New Roman" w:hAnsi="Times New Roman" w:cs="Times New Roman"/>
          <w:sz w:val="24"/>
          <w:szCs w:val="24"/>
        </w:rPr>
        <w:t xml:space="preserve"> The final internationally approved </w:t>
      </w:r>
      <w:r w:rsidR="002D16F9">
        <w:rPr>
          <w:rFonts w:ascii="Times New Roman" w:hAnsi="Times New Roman" w:cs="Times New Roman"/>
          <w:sz w:val="24"/>
          <w:szCs w:val="24"/>
        </w:rPr>
        <w:t>field test</w:t>
      </w:r>
      <w:r w:rsidR="00E1326C">
        <w:rPr>
          <w:rFonts w:ascii="Times New Roman" w:hAnsi="Times New Roman" w:cs="Times New Roman"/>
          <w:sz w:val="24"/>
          <w:szCs w:val="24"/>
        </w:rPr>
        <w:t xml:space="preserve"> questionnaires will be submitted via change memo in January 2022.</w:t>
      </w:r>
    </w:p>
    <w:p w:rsidRPr="0002216F" w:rsidR="00D84C9E" w:rsidP="00A9768A" w:rsidRDefault="00D84C9E" w14:paraId="3F705F06" w14:textId="2145B97C">
      <w:pPr>
        <w:pStyle w:val="TIMSSOMBHeading1"/>
        <w:rPr>
          <w:i/>
        </w:rPr>
      </w:pPr>
      <w:bookmarkStart w:name="_Toc58475957" w:id="2"/>
      <w:r w:rsidRPr="0002216F">
        <w:t>A. Justification</w:t>
      </w:r>
      <w:bookmarkEnd w:id="2"/>
    </w:p>
    <w:p w:rsidRPr="0002216F" w:rsidR="00D84C9E" w:rsidP="00A9768A" w:rsidRDefault="00D84C9E" w14:paraId="54FA32AF" w14:textId="287627CD">
      <w:pPr>
        <w:pStyle w:val="TIMSSOMBHeading2"/>
      </w:pPr>
      <w:bookmarkStart w:name="_Toc359323833" w:id="3"/>
      <w:bookmarkStart w:name="_Toc58475958" w:id="4"/>
      <w:r w:rsidRPr="0002216F">
        <w:t xml:space="preserve">A.1 </w:t>
      </w:r>
      <w:r w:rsidRPr="0002216F">
        <w:tab/>
        <w:t>Importance of Information</w:t>
      </w:r>
      <w:bookmarkEnd w:id="3"/>
      <w:bookmarkEnd w:id="4"/>
    </w:p>
    <w:p w:rsidRPr="00284679" w:rsidR="00AB02D9" w:rsidP="0002216F" w:rsidRDefault="00715D1E" w14:paraId="1D7744AF" w14:textId="4565EF7D">
      <w:pPr>
        <w:spacing w:after="120" w:line="23" w:lineRule="atLeast"/>
        <w:rPr>
          <w:rFonts w:ascii="Times New Roman" w:hAnsi="Times New Roman" w:cs="Times New Roman"/>
          <w:sz w:val="24"/>
          <w:szCs w:val="24"/>
          <w:lang w:val="de-DE"/>
        </w:rPr>
      </w:pPr>
      <w:r w:rsidRPr="00284679">
        <w:rPr>
          <w:rFonts w:ascii="Times New Roman" w:hAnsi="Times New Roman" w:cs="Times New Roman"/>
          <w:sz w:val="24"/>
          <w:szCs w:val="24"/>
          <w:lang w:val="de-DE"/>
        </w:rPr>
        <w:t>T</w:t>
      </w:r>
      <w:r w:rsidRPr="00284679" w:rsidR="001639A5">
        <w:rPr>
          <w:rFonts w:ascii="Times New Roman" w:hAnsi="Times New Roman" w:cs="Times New Roman"/>
          <w:sz w:val="24"/>
          <w:szCs w:val="24"/>
          <w:lang w:val="de-DE"/>
        </w:rPr>
        <w:t>IMSS</w:t>
      </w:r>
      <w:r w:rsidRPr="00284679" w:rsidR="00C155AD">
        <w:rPr>
          <w:rFonts w:ascii="Times New Roman" w:hAnsi="Times New Roman" w:cs="Times New Roman"/>
          <w:sz w:val="24"/>
          <w:szCs w:val="24"/>
          <w:lang w:val="de-DE"/>
        </w:rPr>
        <w:t xml:space="preserve"> is a cornerstone assessment for measuring U.S. student achievement internationally. </w:t>
      </w:r>
      <w:r w:rsidRPr="00284679" w:rsidR="00D84C9E">
        <w:rPr>
          <w:rFonts w:ascii="Times New Roman" w:hAnsi="Times New Roman" w:cs="Times New Roman"/>
          <w:sz w:val="24"/>
          <w:szCs w:val="24"/>
          <w:lang w:val="de-DE"/>
        </w:rPr>
        <w:t>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r w:rsidRPr="00284679" w:rsidR="00E30183">
        <w:rPr>
          <w:rFonts w:ascii="Times New Roman" w:hAnsi="Times New Roman" w:cs="Times New Roman"/>
          <w:sz w:val="24"/>
          <w:szCs w:val="24"/>
          <w:lang w:val="de-DE"/>
        </w:rPr>
        <w:t xml:space="preserve"> </w:t>
      </w:r>
    </w:p>
    <w:p w:rsidRPr="00284679" w:rsidR="00D84C9E" w:rsidP="0002216F" w:rsidRDefault="00D84C9E" w14:paraId="0392B0A4" w14:textId="60574CD9">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The continuation of U.S. participation allows for the study of past and current education policies that have shaped science and mathematics achievement over the past 2</w:t>
      </w:r>
      <w:r w:rsidRPr="00284679" w:rsidR="00E41AB1">
        <w:rPr>
          <w:rFonts w:ascii="Times New Roman" w:hAnsi="Times New Roman" w:cs="Times New Roman"/>
          <w:sz w:val="24"/>
          <w:szCs w:val="24"/>
        </w:rPr>
        <w:t>8</w:t>
      </w:r>
      <w:r w:rsidRPr="00284679">
        <w:rPr>
          <w:rFonts w:ascii="Times New Roman" w:hAnsi="Times New Roman" w:cs="Times New Roman"/>
          <w:sz w:val="24"/>
          <w:szCs w:val="24"/>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rsidRPr="00284679" w:rsidR="00D75870" w:rsidP="0002216F" w:rsidRDefault="00665A01" w14:paraId="7490C9A4" w14:textId="00BA22C2">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Along with other </w:t>
      </w:r>
      <w:r w:rsidRPr="00284679" w:rsidR="00486EC7">
        <w:rPr>
          <w:rFonts w:ascii="Times New Roman" w:hAnsi="Times New Roman" w:cs="Times New Roman"/>
          <w:sz w:val="24"/>
          <w:szCs w:val="24"/>
        </w:rPr>
        <w:t xml:space="preserve">international </w:t>
      </w:r>
      <w:r w:rsidRPr="00284679" w:rsidR="00D84C9E">
        <w:rPr>
          <w:rFonts w:ascii="Times New Roman" w:hAnsi="Times New Roman" w:cs="Times New Roman"/>
          <w:sz w:val="24"/>
          <w:szCs w:val="24"/>
        </w:rPr>
        <w:t xml:space="preserve">assessments </w:t>
      </w:r>
      <w:r w:rsidRPr="00284679" w:rsidR="00D44628">
        <w:rPr>
          <w:rFonts w:ascii="Times New Roman" w:hAnsi="Times New Roman" w:cs="Times New Roman"/>
          <w:sz w:val="24"/>
          <w:szCs w:val="24"/>
        </w:rPr>
        <w:t xml:space="preserve">conducted by </w:t>
      </w:r>
      <w:r w:rsidRPr="00284679" w:rsidR="00D84C9E">
        <w:rPr>
          <w:rFonts w:ascii="Times New Roman" w:hAnsi="Times New Roman" w:cs="Times New Roman"/>
          <w:sz w:val="24"/>
          <w:szCs w:val="24"/>
        </w:rPr>
        <w:t>the Nati</w:t>
      </w:r>
      <w:r w:rsidRPr="00284679" w:rsidR="00D44628">
        <w:rPr>
          <w:rFonts w:ascii="Times New Roman" w:hAnsi="Times New Roman" w:cs="Times New Roman"/>
          <w:sz w:val="24"/>
          <w:szCs w:val="24"/>
        </w:rPr>
        <w:t>onal Center for Education Statistics</w:t>
      </w:r>
      <w:r w:rsidRPr="00284679" w:rsidR="00853B3D">
        <w:rPr>
          <w:rFonts w:ascii="Times New Roman" w:hAnsi="Times New Roman" w:cs="Times New Roman"/>
          <w:sz w:val="24"/>
          <w:szCs w:val="24"/>
        </w:rPr>
        <w:t xml:space="preserve">, TIMSS benchmarks U.S. student achievement </w:t>
      </w:r>
      <w:r w:rsidRPr="00284679" w:rsidR="00F00C99">
        <w:rPr>
          <w:rFonts w:ascii="Times New Roman" w:hAnsi="Times New Roman" w:cs="Times New Roman"/>
          <w:sz w:val="24"/>
          <w:szCs w:val="24"/>
        </w:rPr>
        <w:t>against peer countries and other jurisdictions, tracks trends in student performance over time, and illuminates relationships between achievement and the contextual factors that influence it.</w:t>
      </w:r>
    </w:p>
    <w:p w:rsidRPr="00284679" w:rsidR="00D84C9E" w:rsidP="0002216F" w:rsidRDefault="00795471" w14:paraId="2D8F267F" w14:textId="656161BB">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w:t>
      </w:r>
      <w:r w:rsidRPr="00284679" w:rsidR="009C7812">
        <w:rPr>
          <w:rFonts w:ascii="Times New Roman" w:hAnsi="Times New Roman" w:cs="Times New Roman"/>
          <w:sz w:val="24"/>
          <w:szCs w:val="24"/>
        </w:rPr>
        <w:t xml:space="preserve">IMSS 2023 </w:t>
      </w:r>
      <w:r w:rsidRPr="00284679" w:rsidR="007177BC">
        <w:rPr>
          <w:rFonts w:ascii="Times New Roman" w:hAnsi="Times New Roman" w:cs="Times New Roman"/>
          <w:sz w:val="24"/>
          <w:szCs w:val="24"/>
        </w:rPr>
        <w:t xml:space="preserve">will represent a significant milestone </w:t>
      </w:r>
      <w:r w:rsidRPr="00284679" w:rsidR="00B33FAD">
        <w:rPr>
          <w:rFonts w:ascii="Times New Roman" w:hAnsi="Times New Roman" w:cs="Times New Roman"/>
          <w:sz w:val="24"/>
          <w:szCs w:val="24"/>
        </w:rPr>
        <w:t>i</w:t>
      </w:r>
      <w:r w:rsidRPr="00284679" w:rsidR="007177BC">
        <w:rPr>
          <w:rFonts w:ascii="Times New Roman" w:hAnsi="Times New Roman" w:cs="Times New Roman"/>
          <w:sz w:val="24"/>
          <w:szCs w:val="24"/>
        </w:rPr>
        <w:t xml:space="preserve">n the assessment of the long-term education impacts </w:t>
      </w:r>
      <w:r w:rsidRPr="00284679" w:rsidR="00B33FAD">
        <w:rPr>
          <w:rFonts w:ascii="Times New Roman" w:hAnsi="Times New Roman" w:cs="Times New Roman"/>
          <w:sz w:val="24"/>
          <w:szCs w:val="24"/>
        </w:rPr>
        <w:t xml:space="preserve">of </w:t>
      </w:r>
      <w:r w:rsidRPr="00284679" w:rsidR="00E07051">
        <w:rPr>
          <w:rFonts w:ascii="Times New Roman" w:hAnsi="Times New Roman" w:cs="Times New Roman"/>
          <w:sz w:val="24"/>
          <w:szCs w:val="24"/>
        </w:rPr>
        <w:t xml:space="preserve">one of the </w:t>
      </w:r>
      <w:r w:rsidRPr="00284679" w:rsidR="00B33FAD">
        <w:rPr>
          <w:rFonts w:ascii="Times New Roman" w:hAnsi="Times New Roman" w:cs="Times New Roman"/>
          <w:sz w:val="24"/>
          <w:szCs w:val="24"/>
        </w:rPr>
        <w:t xml:space="preserve">largest </w:t>
      </w:r>
      <w:r w:rsidRPr="00284679" w:rsidR="00710A60">
        <w:rPr>
          <w:rFonts w:ascii="Times New Roman" w:hAnsi="Times New Roman" w:cs="Times New Roman"/>
          <w:sz w:val="24"/>
          <w:szCs w:val="24"/>
        </w:rPr>
        <w:t>disruptions</w:t>
      </w:r>
      <w:r w:rsidRPr="00284679" w:rsidR="00B33FAD">
        <w:rPr>
          <w:rFonts w:ascii="Times New Roman" w:hAnsi="Times New Roman" w:cs="Times New Roman"/>
          <w:sz w:val="24"/>
          <w:szCs w:val="24"/>
        </w:rPr>
        <w:t xml:space="preserve"> in</w:t>
      </w:r>
      <w:r w:rsidRPr="00284679" w:rsidR="00D75870">
        <w:rPr>
          <w:rFonts w:ascii="Times New Roman" w:hAnsi="Times New Roman" w:cs="Times New Roman"/>
          <w:sz w:val="24"/>
          <w:szCs w:val="24"/>
        </w:rPr>
        <w:t xml:space="preserve"> the history of educati</w:t>
      </w:r>
      <w:r w:rsidRPr="00284679" w:rsidR="00AA61BB">
        <w:rPr>
          <w:rFonts w:ascii="Times New Roman" w:hAnsi="Times New Roman" w:cs="Times New Roman"/>
          <w:sz w:val="24"/>
          <w:szCs w:val="24"/>
        </w:rPr>
        <w:t xml:space="preserve">on </w:t>
      </w:r>
      <w:r w:rsidRPr="00284679" w:rsidR="00E26F0F">
        <w:rPr>
          <w:rFonts w:ascii="Times New Roman" w:hAnsi="Times New Roman" w:cs="Times New Roman"/>
          <w:sz w:val="24"/>
          <w:szCs w:val="24"/>
        </w:rPr>
        <w:t xml:space="preserve">from </w:t>
      </w:r>
      <w:r w:rsidRPr="00284679" w:rsidR="009C4391">
        <w:rPr>
          <w:rFonts w:ascii="Times New Roman" w:hAnsi="Times New Roman" w:cs="Times New Roman"/>
          <w:sz w:val="24"/>
          <w:szCs w:val="24"/>
        </w:rPr>
        <w:t xml:space="preserve">the </w:t>
      </w:r>
      <w:r w:rsidRPr="00284679" w:rsidR="00C21DA6">
        <w:rPr>
          <w:rFonts w:ascii="Times New Roman" w:hAnsi="Times New Roman" w:cs="Times New Roman"/>
          <w:sz w:val="24"/>
          <w:szCs w:val="24"/>
        </w:rPr>
        <w:t>coronavirus</w:t>
      </w:r>
      <w:r w:rsidRPr="00284679" w:rsidR="00E309DF">
        <w:rPr>
          <w:rFonts w:ascii="Times New Roman" w:hAnsi="Times New Roman" w:cs="Times New Roman"/>
          <w:sz w:val="24"/>
          <w:szCs w:val="24"/>
        </w:rPr>
        <w:t xml:space="preserve"> (COVID-19)</w:t>
      </w:r>
      <w:r w:rsidRPr="00284679" w:rsidR="009C4391">
        <w:rPr>
          <w:rFonts w:ascii="Times New Roman" w:hAnsi="Times New Roman" w:cs="Times New Roman"/>
          <w:sz w:val="24"/>
          <w:szCs w:val="24"/>
        </w:rPr>
        <w:t xml:space="preserve"> pandemic</w:t>
      </w:r>
      <w:r w:rsidRPr="00284679" w:rsidR="00E26F0F">
        <w:rPr>
          <w:rFonts w:ascii="Times New Roman" w:hAnsi="Times New Roman" w:cs="Times New Roman"/>
          <w:sz w:val="24"/>
          <w:szCs w:val="24"/>
        </w:rPr>
        <w:t>.</w:t>
      </w:r>
      <w:r w:rsidRPr="00284679" w:rsidR="00A679D0">
        <w:rPr>
          <w:rFonts w:ascii="Times New Roman" w:hAnsi="Times New Roman" w:cs="Times New Roman"/>
          <w:sz w:val="24"/>
          <w:szCs w:val="24"/>
        </w:rPr>
        <w:t xml:space="preserve"> </w:t>
      </w:r>
      <w:r w:rsidRPr="00284679" w:rsidR="00315F8C">
        <w:rPr>
          <w:rFonts w:ascii="Times New Roman" w:hAnsi="Times New Roman" w:cs="Times New Roman"/>
          <w:sz w:val="24"/>
          <w:szCs w:val="24"/>
        </w:rPr>
        <w:t xml:space="preserve">Given these profound disruptions, TIMSS data </w:t>
      </w:r>
      <w:r w:rsidRPr="00284679" w:rsidR="009B4692">
        <w:rPr>
          <w:rFonts w:ascii="Times New Roman" w:hAnsi="Times New Roman" w:cs="Times New Roman"/>
          <w:sz w:val="24"/>
          <w:szCs w:val="24"/>
        </w:rPr>
        <w:t>are</w:t>
      </w:r>
      <w:r w:rsidRPr="00284679" w:rsidR="00DF7342">
        <w:rPr>
          <w:rFonts w:ascii="Times New Roman" w:hAnsi="Times New Roman" w:cs="Times New Roman"/>
          <w:sz w:val="24"/>
          <w:szCs w:val="24"/>
        </w:rPr>
        <w:t xml:space="preserve"> </w:t>
      </w:r>
      <w:r w:rsidRPr="00284679" w:rsidR="004B544B">
        <w:rPr>
          <w:rFonts w:ascii="Times New Roman" w:hAnsi="Times New Roman" w:cs="Times New Roman"/>
          <w:sz w:val="24"/>
          <w:szCs w:val="24"/>
        </w:rPr>
        <w:t xml:space="preserve">paramount for our educational system </w:t>
      </w:r>
      <w:r w:rsidRPr="00284679" w:rsidR="00AD316E">
        <w:rPr>
          <w:rFonts w:ascii="Times New Roman" w:hAnsi="Times New Roman" w:cs="Times New Roman"/>
          <w:sz w:val="24"/>
          <w:szCs w:val="24"/>
        </w:rPr>
        <w:t xml:space="preserve">and will provide a greater insight </w:t>
      </w:r>
      <w:r w:rsidRPr="00284679" w:rsidR="00A052F0">
        <w:rPr>
          <w:rFonts w:ascii="Times New Roman" w:hAnsi="Times New Roman" w:cs="Times New Roman"/>
          <w:sz w:val="24"/>
          <w:szCs w:val="24"/>
        </w:rPr>
        <w:t xml:space="preserve">to our nation’s strengths and weaknesses relative to a wide range of </w:t>
      </w:r>
      <w:r w:rsidRPr="00284679" w:rsidR="008644CB">
        <w:rPr>
          <w:rFonts w:ascii="Times New Roman" w:hAnsi="Times New Roman" w:cs="Times New Roman"/>
          <w:sz w:val="24"/>
          <w:szCs w:val="24"/>
        </w:rPr>
        <w:t xml:space="preserve">existing educational practice. </w:t>
      </w:r>
    </w:p>
    <w:p w:rsidRPr="00284679" w:rsidR="00D84C9E" w:rsidP="0002216F" w:rsidRDefault="00D84C9E" w14:paraId="67C4A256" w14:textId="7A0B3AD5">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Based on earlier TIMSS data releases</w:t>
      </w:r>
      <w:r w:rsidRPr="00284679" w:rsidR="00F459A4">
        <w:rPr>
          <w:rFonts w:ascii="Times New Roman" w:hAnsi="Times New Roman" w:cs="Times New Roman"/>
          <w:sz w:val="24"/>
          <w:szCs w:val="24"/>
        </w:rPr>
        <w:t xml:space="preserve"> and </w:t>
      </w:r>
      <w:r w:rsidRPr="00284679" w:rsidR="009B4692">
        <w:rPr>
          <w:rFonts w:ascii="Times New Roman" w:hAnsi="Times New Roman" w:cs="Times New Roman"/>
          <w:sz w:val="24"/>
          <w:szCs w:val="24"/>
        </w:rPr>
        <w:t xml:space="preserve">wide interest in measuring the impact from </w:t>
      </w:r>
      <w:r w:rsidRPr="00284679" w:rsidR="00C21DA6">
        <w:rPr>
          <w:rFonts w:ascii="Times New Roman" w:hAnsi="Times New Roman" w:cs="Times New Roman"/>
          <w:sz w:val="24"/>
          <w:szCs w:val="24"/>
        </w:rPr>
        <w:t xml:space="preserve">coronavirus </w:t>
      </w:r>
      <w:r w:rsidRPr="00284679" w:rsidR="00E309DF">
        <w:rPr>
          <w:rFonts w:ascii="Times New Roman" w:hAnsi="Times New Roman" w:cs="Times New Roman"/>
          <w:sz w:val="24"/>
          <w:szCs w:val="24"/>
        </w:rPr>
        <w:t>(COVID-19)</w:t>
      </w:r>
      <w:r w:rsidRPr="00284679" w:rsidR="00E24710">
        <w:rPr>
          <w:rFonts w:ascii="Times New Roman" w:hAnsi="Times New Roman" w:cs="Times New Roman"/>
          <w:sz w:val="24"/>
          <w:szCs w:val="24"/>
        </w:rPr>
        <w:t xml:space="preserve"> </w:t>
      </w:r>
      <w:r w:rsidRPr="00284679" w:rsidR="00C21DA6">
        <w:rPr>
          <w:rFonts w:ascii="Times New Roman" w:hAnsi="Times New Roman" w:cs="Times New Roman"/>
          <w:sz w:val="24"/>
          <w:szCs w:val="24"/>
        </w:rPr>
        <w:t>pandemic</w:t>
      </w:r>
      <w:r w:rsidRPr="00284679" w:rsidR="00F459A4">
        <w:rPr>
          <w:rFonts w:ascii="Times New Roman" w:hAnsi="Times New Roman" w:cs="Times New Roman"/>
          <w:sz w:val="24"/>
          <w:szCs w:val="24"/>
        </w:rPr>
        <w:t xml:space="preserve"> </w:t>
      </w:r>
      <w:r w:rsidRPr="00284679" w:rsidR="006915EE">
        <w:rPr>
          <w:rFonts w:ascii="Times New Roman" w:hAnsi="Times New Roman" w:cs="Times New Roman"/>
          <w:sz w:val="24"/>
          <w:szCs w:val="24"/>
        </w:rPr>
        <w:t>disruptions</w:t>
      </w:r>
      <w:r w:rsidRPr="00284679">
        <w:rPr>
          <w:rFonts w:ascii="Times New Roman" w:hAnsi="Times New Roman" w:cs="Times New Roman"/>
          <w:sz w:val="24"/>
          <w:szCs w:val="24"/>
        </w:rPr>
        <w:t xml:space="preserve">, it is likely that the results of </w:t>
      </w:r>
      <w:r w:rsidRPr="00284679" w:rsidR="00614AC5">
        <w:rPr>
          <w:rFonts w:ascii="Times New Roman" w:hAnsi="Times New Roman" w:cs="Times New Roman"/>
          <w:sz w:val="24"/>
          <w:szCs w:val="24"/>
        </w:rPr>
        <w:t>TIMSS 20</w:t>
      </w:r>
      <w:r w:rsidRPr="00284679" w:rsidR="009E41A1">
        <w:rPr>
          <w:rFonts w:ascii="Times New Roman" w:hAnsi="Times New Roman" w:cs="Times New Roman"/>
          <w:sz w:val="24"/>
          <w:szCs w:val="24"/>
        </w:rPr>
        <w:t>23</w:t>
      </w:r>
      <w:r w:rsidRPr="00284679">
        <w:rPr>
          <w:rFonts w:ascii="Times New Roman" w:hAnsi="Times New Roman" w:cs="Times New Roman"/>
          <w:sz w:val="24"/>
          <w:szCs w:val="24"/>
        </w:rPr>
        <w:t xml:space="preserve"> will draw great attention in the United States and elsewhere. It is therefore expected that TIMSS will contribute to ongoing national and international debates and efforts to improve mathematics and science learning and achievement.</w:t>
      </w:r>
    </w:p>
    <w:p w:rsidRPr="00284679" w:rsidR="00D84C9E" w:rsidP="00A9768A" w:rsidRDefault="00D84C9E" w14:paraId="7D94B307" w14:textId="522F0382">
      <w:pPr>
        <w:pStyle w:val="TIMSSOMBHeading2"/>
      </w:pPr>
      <w:bookmarkStart w:name="_Toc260729189" w:id="5"/>
      <w:bookmarkStart w:name="_Toc359323834" w:id="6"/>
      <w:bookmarkStart w:name="_Toc58475959" w:id="7"/>
      <w:r w:rsidRPr="00284679">
        <w:t xml:space="preserve">A.2 </w:t>
      </w:r>
      <w:r w:rsidRPr="00284679">
        <w:tab/>
        <w:t>Purposes and Uses of Data</w:t>
      </w:r>
      <w:bookmarkEnd w:id="5"/>
      <w:bookmarkEnd w:id="6"/>
      <w:bookmarkEnd w:id="7"/>
    </w:p>
    <w:p w:rsidRPr="00284679" w:rsidR="00D84C9E" w:rsidP="00120E54" w:rsidRDefault="00D84C9E" w14:paraId="4CA50210" w14:textId="77777777">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rsidRPr="00284679" w:rsidR="00D84C9E" w:rsidP="00D35EB9" w:rsidRDefault="00D84C9E" w14:paraId="714CF6A7" w14:textId="18EA047A">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Data compiled and collected from TIMSS 20</w:t>
      </w:r>
      <w:r w:rsidRPr="00284679" w:rsidR="00283D2A">
        <w:rPr>
          <w:rFonts w:ascii="Times New Roman" w:hAnsi="Times New Roman" w:cs="Times New Roman"/>
          <w:sz w:val="24"/>
          <w:szCs w:val="24"/>
        </w:rPr>
        <w:t>23</w:t>
      </w:r>
      <w:r w:rsidRPr="00284679">
        <w:rPr>
          <w:rFonts w:ascii="Times New Roman" w:hAnsi="Times New Roman" w:cs="Times New Roman"/>
          <w:sz w:val="24"/>
          <w:szCs w:val="24"/>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Pr="00284679" w:rsidR="00516813">
        <w:rPr>
          <w:rFonts w:ascii="Times New Roman" w:hAnsi="Times New Roman" w:cs="Times New Roman"/>
          <w:sz w:val="24"/>
          <w:szCs w:val="24"/>
        </w:rPr>
        <w:t>y comparative trend data provide</w:t>
      </w:r>
      <w:r w:rsidRPr="00284679">
        <w:rPr>
          <w:rFonts w:ascii="Times New Roman" w:hAnsi="Times New Roman" w:cs="Times New Roman"/>
          <w:sz w:val="24"/>
          <w:szCs w:val="24"/>
        </w:rPr>
        <w:t xml:space="preserve"> key information to inform education policy discussions</w:t>
      </w:r>
      <w:r w:rsidRPr="00284679" w:rsidR="002468AF">
        <w:rPr>
          <w:rFonts w:ascii="Times New Roman" w:hAnsi="Times New Roman" w:cs="Times New Roman"/>
          <w:sz w:val="24"/>
          <w:szCs w:val="24"/>
        </w:rPr>
        <w:t xml:space="preserve"> </w:t>
      </w:r>
      <w:r w:rsidRPr="00284679" w:rsidR="00E42068">
        <w:rPr>
          <w:rFonts w:ascii="Times New Roman" w:hAnsi="Times New Roman" w:cs="Times New Roman"/>
          <w:sz w:val="24"/>
          <w:szCs w:val="24"/>
        </w:rPr>
        <w:t xml:space="preserve">while </w:t>
      </w:r>
      <w:r w:rsidRPr="00284679" w:rsidR="00850EF3">
        <w:rPr>
          <w:rFonts w:ascii="Times New Roman" w:hAnsi="Times New Roman" w:cs="Times New Roman"/>
          <w:sz w:val="24"/>
          <w:szCs w:val="24"/>
        </w:rPr>
        <w:t>identifying existing educational inequalities across socioeconomic, racial/ethnic, and gender line</w:t>
      </w:r>
      <w:r w:rsidRPr="00284679" w:rsidR="0050404C">
        <w:rPr>
          <w:rFonts w:ascii="Times New Roman" w:hAnsi="Times New Roman" w:cs="Times New Roman"/>
          <w:sz w:val="24"/>
          <w:szCs w:val="24"/>
        </w:rPr>
        <w:t xml:space="preserve">s. </w:t>
      </w:r>
    </w:p>
    <w:p w:rsidRPr="00284679" w:rsidR="00D84C9E" w:rsidP="0069197E" w:rsidRDefault="00D84C9E" w14:paraId="309F5284" w14:textId="77777777">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Pr="00284679" w:rsidR="00516813">
        <w:rPr>
          <w:rFonts w:ascii="Times New Roman" w:hAnsi="Times New Roman" w:cs="Times New Roman"/>
          <w:sz w:val="24"/>
          <w:szCs w:val="24"/>
        </w:rPr>
        <w:t xml:space="preserve">informs </w:t>
      </w:r>
      <w:r w:rsidRPr="00284679">
        <w:rPr>
          <w:rFonts w:ascii="Times New Roman" w:hAnsi="Times New Roman" w:cs="Times New Roman"/>
          <w:sz w:val="24"/>
          <w:szCs w:val="24"/>
        </w:rPr>
        <w:t>discussions about how to organize instruction.</w:t>
      </w:r>
    </w:p>
    <w:p w:rsidRPr="00284679" w:rsidR="00516813" w:rsidP="00923089" w:rsidRDefault="00516813" w14:paraId="6B2D5084" w14:textId="179949C3">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NCES’s mandate [Section 406 of the General Education Provisions Act, as amended (20 U.S.C. </w:t>
      </w:r>
      <w:r w:rsidRPr="00284679" w:rsidR="002145B1">
        <w:rPr>
          <w:rFonts w:ascii="Times New Roman" w:hAnsi="Times New Roman" w:cs="Times New Roman"/>
          <w:sz w:val="24"/>
          <w:szCs w:val="24"/>
        </w:rPr>
        <w:t>§</w:t>
      </w:r>
      <w:r w:rsidRPr="00284679">
        <w:rPr>
          <w:rFonts w:ascii="Times New Roman" w:hAnsi="Times New Roman" w:cs="Times New Roman"/>
          <w:sz w:val="24"/>
          <w:szCs w:val="24"/>
        </w:rPr>
        <w:t xml:space="preserve">1221e-1)] specifies that "The purpose of the Center [NCES] shall be to collect and analyze and disseminate statistics </w:t>
      </w:r>
      <w:r w:rsidRPr="00284679">
        <w:rPr>
          <w:rFonts w:ascii="Times New Roman" w:hAnsi="Times New Roman" w:cs="Times New Roman"/>
          <w:sz w:val="24"/>
          <w:szCs w:val="24"/>
        </w:rPr>
        <w:lastRenderedPageBreak/>
        <w:t xml:space="preserve">and other information related to education in the United States and in other nations." and the </w:t>
      </w:r>
      <w:r w:rsidRPr="00284679" w:rsidR="00D74DE1">
        <w:rPr>
          <w:rFonts w:ascii="Times New Roman" w:hAnsi="Times New Roman" w:cs="Times New Roman"/>
          <w:sz w:val="24"/>
          <w:szCs w:val="24"/>
        </w:rPr>
        <w:t>Educational Sciences Reform Act of 2002 (ESRA 2002, 20 U.S.C. §9543</w:t>
      </w:r>
      <w:r w:rsidRPr="00284679">
        <w:rPr>
          <w:rFonts w:ascii="Times New Roman" w:hAnsi="Times New Roman" w:cs="Times New Roman"/>
          <w:sz w:val="24"/>
          <w:szCs w:val="24"/>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is aligned with both the national and international aspects of NCES' mission</w:t>
      </w:r>
      <w:r w:rsidRPr="00284679" w:rsidR="00284679">
        <w:rPr>
          <w:rFonts w:ascii="Times New Roman" w:hAnsi="Times New Roman" w:cs="Times New Roman"/>
          <w:sz w:val="24"/>
          <w:szCs w:val="24"/>
        </w:rPr>
        <w:t>.</w:t>
      </w:r>
    </w:p>
    <w:p w:rsidRPr="0002216F" w:rsidR="00D84C9E" w:rsidP="00A9768A" w:rsidRDefault="00D84C9E" w14:paraId="4476CB7E" w14:textId="2533EFAB">
      <w:pPr>
        <w:pStyle w:val="TIMSSOMBHeading3"/>
      </w:pPr>
      <w:r w:rsidRPr="0002216F">
        <w:t>TIMSS 20</w:t>
      </w:r>
      <w:r w:rsidR="00C30F45">
        <w:t>23</w:t>
      </w:r>
      <w:r w:rsidRPr="0002216F">
        <w:t xml:space="preserve"> Components</w:t>
      </w:r>
      <w:bookmarkStart w:name="_Toc260729190" w:id="8"/>
    </w:p>
    <w:p w:rsidRPr="00284679" w:rsidR="00D84C9E" w:rsidP="0002216F" w:rsidRDefault="00D84C9E" w14:paraId="1C697E36" w14:textId="45F04798">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284679">
        <w:rPr>
          <w:rFonts w:ascii="Times New Roman" w:hAnsi="Times New Roman" w:cs="Times New Roman"/>
          <w:i/>
          <w:sz w:val="24"/>
          <w:szCs w:val="24"/>
        </w:rPr>
        <w:t>knowing</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applying</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reasoning</w:t>
      </w:r>
      <w:r w:rsidRPr="00284679">
        <w:rPr>
          <w:rFonts w:ascii="Times New Roman" w:hAnsi="Times New Roman" w:cs="Times New Roman"/>
          <w:sz w:val="24"/>
          <w:szCs w:val="24"/>
        </w:rPr>
        <w:t xml:space="preserve">. The TIMSS </w:t>
      </w:r>
      <w:r w:rsidRPr="00284679" w:rsidR="00EC461D">
        <w:rPr>
          <w:rFonts w:ascii="Times New Roman" w:hAnsi="Times New Roman" w:cs="Times New Roman"/>
          <w:sz w:val="24"/>
          <w:szCs w:val="24"/>
        </w:rPr>
        <w:t>20</w:t>
      </w:r>
      <w:r w:rsidRPr="00284679" w:rsidR="00CA6A00">
        <w:rPr>
          <w:rFonts w:ascii="Times New Roman" w:hAnsi="Times New Roman" w:cs="Times New Roman"/>
          <w:sz w:val="24"/>
          <w:szCs w:val="24"/>
        </w:rPr>
        <w:t>23</w:t>
      </w:r>
      <w:r w:rsidRPr="00284679" w:rsidR="00EC461D">
        <w:rPr>
          <w:rFonts w:ascii="Times New Roman" w:hAnsi="Times New Roman" w:cs="Times New Roman"/>
          <w:sz w:val="24"/>
          <w:szCs w:val="24"/>
        </w:rPr>
        <w:t xml:space="preserve"> </w:t>
      </w:r>
      <w:r w:rsidRPr="00284679">
        <w:rPr>
          <w:rFonts w:ascii="Times New Roman" w:hAnsi="Times New Roman" w:cs="Times New Roman"/>
          <w:sz w:val="24"/>
          <w:szCs w:val="24"/>
        </w:rPr>
        <w:t xml:space="preserve">frameworks </w:t>
      </w:r>
      <w:r w:rsidRPr="00284679" w:rsidR="005637C5">
        <w:rPr>
          <w:rFonts w:ascii="Times New Roman" w:hAnsi="Times New Roman" w:cs="Times New Roman"/>
          <w:sz w:val="24"/>
          <w:szCs w:val="24"/>
        </w:rPr>
        <w:t>w</w:t>
      </w:r>
      <w:r w:rsidRPr="00284679" w:rsidR="00CA6A00">
        <w:rPr>
          <w:rFonts w:ascii="Times New Roman" w:hAnsi="Times New Roman" w:cs="Times New Roman"/>
          <w:sz w:val="24"/>
          <w:szCs w:val="24"/>
        </w:rPr>
        <w:t xml:space="preserve">ill be </w:t>
      </w:r>
      <w:r w:rsidRPr="00284679" w:rsidR="00C5313F">
        <w:rPr>
          <w:rFonts w:ascii="Times New Roman" w:hAnsi="Times New Roman" w:cs="Times New Roman"/>
          <w:sz w:val="24"/>
          <w:szCs w:val="24"/>
        </w:rPr>
        <w:t xml:space="preserve">published </w:t>
      </w:r>
      <w:r w:rsidRPr="00284679" w:rsidR="00927AED">
        <w:rPr>
          <w:rFonts w:ascii="Times New Roman" w:hAnsi="Times New Roman" w:cs="Times New Roman"/>
          <w:sz w:val="24"/>
          <w:szCs w:val="24"/>
        </w:rPr>
        <w:t>mid</w:t>
      </w:r>
      <w:r w:rsidRPr="00284679" w:rsidR="009E6030">
        <w:rPr>
          <w:rFonts w:ascii="Times New Roman" w:hAnsi="Times New Roman" w:cs="Times New Roman"/>
          <w:sz w:val="24"/>
          <w:szCs w:val="24"/>
        </w:rPr>
        <w:t>-</w:t>
      </w:r>
      <w:r w:rsidRPr="00284679" w:rsidR="00C5313F">
        <w:rPr>
          <w:rFonts w:ascii="Times New Roman" w:hAnsi="Times New Roman" w:cs="Times New Roman"/>
          <w:sz w:val="24"/>
          <w:szCs w:val="24"/>
        </w:rPr>
        <w:t>20</w:t>
      </w:r>
      <w:r w:rsidRPr="00284679" w:rsidR="00927AED">
        <w:rPr>
          <w:rFonts w:ascii="Times New Roman" w:hAnsi="Times New Roman" w:cs="Times New Roman"/>
          <w:sz w:val="24"/>
          <w:szCs w:val="24"/>
        </w:rPr>
        <w:t>21</w:t>
      </w:r>
      <w:r w:rsidRPr="00284679" w:rsidR="00C5313F">
        <w:rPr>
          <w:rFonts w:ascii="Times New Roman" w:hAnsi="Times New Roman" w:cs="Times New Roman"/>
          <w:sz w:val="24"/>
          <w:szCs w:val="24"/>
        </w:rPr>
        <w:t xml:space="preserve"> and </w:t>
      </w:r>
      <w:r w:rsidRPr="00284679" w:rsidR="005637C5">
        <w:rPr>
          <w:rFonts w:ascii="Times New Roman" w:hAnsi="Times New Roman" w:cs="Times New Roman"/>
          <w:sz w:val="24"/>
          <w:szCs w:val="24"/>
        </w:rPr>
        <w:t>are</w:t>
      </w:r>
      <w:r w:rsidRPr="00284679" w:rsidR="00EC461D">
        <w:rPr>
          <w:rFonts w:ascii="Times New Roman" w:hAnsi="Times New Roman" w:cs="Times New Roman"/>
          <w:sz w:val="24"/>
          <w:szCs w:val="24"/>
        </w:rPr>
        <w:t xml:space="preserve"> </w:t>
      </w:r>
      <w:r w:rsidRPr="00284679">
        <w:rPr>
          <w:rFonts w:ascii="Times New Roman" w:hAnsi="Times New Roman" w:cs="Times New Roman"/>
          <w:sz w:val="24"/>
          <w:szCs w:val="24"/>
        </w:rPr>
        <w:t xml:space="preserve">similar to </w:t>
      </w:r>
      <w:r w:rsidRPr="00284679" w:rsidR="00BA1E0C">
        <w:rPr>
          <w:rFonts w:ascii="Times New Roman" w:hAnsi="Times New Roman" w:cs="Times New Roman"/>
          <w:sz w:val="24"/>
          <w:szCs w:val="24"/>
        </w:rPr>
        <w:t xml:space="preserve">the </w:t>
      </w:r>
      <w:r w:rsidRPr="00284679" w:rsidR="00C95AAF">
        <w:rPr>
          <w:rFonts w:ascii="Times New Roman" w:hAnsi="Times New Roman" w:cs="Times New Roman"/>
          <w:sz w:val="24"/>
          <w:szCs w:val="24"/>
        </w:rPr>
        <w:t xml:space="preserve">TIMSS </w:t>
      </w:r>
      <w:r w:rsidRPr="00284679">
        <w:rPr>
          <w:rFonts w:ascii="Times New Roman" w:hAnsi="Times New Roman" w:cs="Times New Roman"/>
          <w:sz w:val="24"/>
          <w:szCs w:val="24"/>
        </w:rPr>
        <w:t>201</w:t>
      </w:r>
      <w:r w:rsidRPr="00284679" w:rsidR="007C3BEA">
        <w:rPr>
          <w:rFonts w:ascii="Times New Roman" w:hAnsi="Times New Roman" w:cs="Times New Roman"/>
          <w:sz w:val="24"/>
          <w:szCs w:val="24"/>
        </w:rPr>
        <w:t>9</w:t>
      </w:r>
      <w:r w:rsidRPr="00284679" w:rsidR="00C95AAF">
        <w:rPr>
          <w:rFonts w:ascii="Times New Roman" w:hAnsi="Times New Roman" w:cs="Times New Roman"/>
          <w:sz w:val="24"/>
          <w:szCs w:val="24"/>
        </w:rPr>
        <w:t xml:space="preserve"> frameworks</w:t>
      </w:r>
      <w:r w:rsidRPr="00284679" w:rsidR="00BA1E0C">
        <w:rPr>
          <w:rFonts w:ascii="Times New Roman" w:hAnsi="Times New Roman" w:cs="Times New Roman"/>
          <w:sz w:val="24"/>
          <w:szCs w:val="24"/>
        </w:rPr>
        <w:t xml:space="preserve">, </w:t>
      </w:r>
      <w:r w:rsidRPr="00284679" w:rsidR="005637C5">
        <w:rPr>
          <w:rFonts w:ascii="Times New Roman" w:hAnsi="Times New Roman" w:cs="Times New Roman"/>
          <w:sz w:val="24"/>
          <w:szCs w:val="24"/>
        </w:rPr>
        <w:t>but</w:t>
      </w:r>
      <w:r w:rsidRPr="00284679">
        <w:rPr>
          <w:rFonts w:ascii="Times New Roman" w:hAnsi="Times New Roman" w:cs="Times New Roman"/>
          <w:sz w:val="24"/>
          <w:szCs w:val="24"/>
        </w:rPr>
        <w:t xml:space="preserve"> slightly revised to provide more specificity for item writers, and to better reflect current curricula in participating countries. </w:t>
      </w:r>
      <w:r w:rsidRPr="00284679" w:rsidR="00EC461D">
        <w:rPr>
          <w:rFonts w:ascii="Times New Roman" w:hAnsi="Times New Roman" w:cs="Times New Roman"/>
          <w:sz w:val="24"/>
          <w:szCs w:val="24"/>
        </w:rPr>
        <w:t xml:space="preserve">It is not anticipated that there will be any </w:t>
      </w:r>
      <w:r w:rsidRPr="00284679">
        <w:rPr>
          <w:rFonts w:ascii="Times New Roman" w:hAnsi="Times New Roman" w:cs="Times New Roman"/>
          <w:sz w:val="24"/>
          <w:szCs w:val="24"/>
        </w:rPr>
        <w:t>revisions to the content domains or cognitive domains, nor to the target percentages for the content domains or cognitive domains at either subject at either grade.</w:t>
      </w:r>
    </w:p>
    <w:p w:rsidRPr="00284679" w:rsidR="00D84C9E" w:rsidP="0002216F" w:rsidRDefault="00D84C9E" w14:paraId="161BA481" w14:textId="77777777">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In fourth</w:t>
      </w:r>
      <w:r w:rsidRPr="00284679" w:rsidR="00743091">
        <w:rPr>
          <w:rFonts w:ascii="Times New Roman" w:hAnsi="Times New Roman" w:cs="Times New Roman"/>
          <w:sz w:val="24"/>
          <w:szCs w:val="24"/>
        </w:rPr>
        <w:t>-</w:t>
      </w:r>
      <w:r w:rsidRPr="00284679">
        <w:rPr>
          <w:rFonts w:ascii="Times New Roman" w:hAnsi="Times New Roman" w:cs="Times New Roman"/>
          <w:sz w:val="24"/>
          <w:szCs w:val="24"/>
        </w:rPr>
        <w:t xml:space="preserve">grade mathematics the cognitive content domains include: </w:t>
      </w:r>
      <w:r w:rsidRPr="00284679">
        <w:rPr>
          <w:rFonts w:ascii="Times New Roman" w:hAnsi="Times New Roman" w:cs="Times New Roman"/>
          <w:i/>
          <w:sz w:val="24"/>
          <w:szCs w:val="24"/>
        </w:rPr>
        <w:t>number</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geometric shapes and measures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data display</w:t>
      </w:r>
      <w:r w:rsidRPr="00284679">
        <w:rPr>
          <w:rFonts w:ascii="Times New Roman" w:hAnsi="Times New Roman" w:cs="Times New Roman"/>
          <w:sz w:val="24"/>
          <w:szCs w:val="24"/>
        </w:rPr>
        <w:t xml:space="preserve">. More advanced content in these three domains are assessed in eighth grade, supplemented by a </w:t>
      </w:r>
      <w:r w:rsidRPr="00284679">
        <w:rPr>
          <w:rFonts w:ascii="Times New Roman" w:hAnsi="Times New Roman" w:cs="Times New Roman"/>
          <w:i/>
          <w:sz w:val="24"/>
          <w:szCs w:val="24"/>
        </w:rPr>
        <w:t>data and chance</w:t>
      </w:r>
      <w:r w:rsidRPr="00284679">
        <w:rPr>
          <w:rFonts w:ascii="Times New Roman" w:hAnsi="Times New Roman" w:cs="Times New Roman"/>
          <w:sz w:val="24"/>
          <w:szCs w:val="24"/>
        </w:rPr>
        <w:t xml:space="preserve"> domain. TIMSS assesses a range of problem-solving situations within mathematics, with about two-thirds of the questions requiring students to use applying and reasoning skills.</w:t>
      </w:r>
    </w:p>
    <w:p w:rsidRPr="00284679" w:rsidR="00D84C9E" w:rsidP="0002216F" w:rsidRDefault="00D84C9E" w14:paraId="3D8295E5" w14:textId="1672AF53">
      <w:pPr>
        <w:spacing w:after="120" w:line="23" w:lineRule="atLeast"/>
        <w:rPr>
          <w:rFonts w:ascii="Times New Roman" w:hAnsi="Times New Roman" w:cs="Times New Roman"/>
          <w:b/>
          <w:sz w:val="24"/>
          <w:szCs w:val="24"/>
        </w:rPr>
      </w:pPr>
      <w:r w:rsidRPr="00284679">
        <w:rPr>
          <w:rFonts w:ascii="Times New Roman" w:hAnsi="Times New Roman" w:cs="Times New Roman"/>
          <w:sz w:val="24"/>
          <w:szCs w:val="24"/>
        </w:rPr>
        <w:t xml:space="preserve">In science at fourth grade, the content domains include: </w:t>
      </w:r>
      <w:r w:rsidRPr="00284679">
        <w:rPr>
          <w:rFonts w:ascii="Times New Roman" w:hAnsi="Times New Roman" w:cs="Times New Roman"/>
          <w:i/>
          <w:sz w:val="24"/>
          <w:szCs w:val="24"/>
        </w:rPr>
        <w:t>life science</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physical science</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earth science</w:t>
      </w:r>
      <w:r w:rsidRPr="00284679">
        <w:rPr>
          <w:rFonts w:ascii="Times New Roman" w:hAnsi="Times New Roman" w:cs="Times New Roman"/>
          <w:sz w:val="24"/>
          <w:szCs w:val="24"/>
        </w:rPr>
        <w:t xml:space="preserve">. At eighth grade the content domains transition to a more discipline-based approach, reflecting the differences in instruction from elementary school. The content domains at eighth grade are: </w:t>
      </w:r>
      <w:r w:rsidRPr="00284679">
        <w:rPr>
          <w:rFonts w:ascii="Times New Roman" w:hAnsi="Times New Roman" w:cs="Times New Roman"/>
          <w:i/>
          <w:sz w:val="24"/>
          <w:szCs w:val="24"/>
        </w:rPr>
        <w:t>biology</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chemistry</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physics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earth science</w:t>
      </w:r>
      <w:r w:rsidRPr="00284679">
        <w:rPr>
          <w:rFonts w:ascii="Times New Roman" w:hAnsi="Times New Roman" w:cs="Times New Roman"/>
          <w:sz w:val="24"/>
          <w:szCs w:val="24"/>
        </w:rPr>
        <w:t>. TIMSS 20</w:t>
      </w:r>
      <w:r w:rsidRPr="00284679" w:rsidR="005943AF">
        <w:rPr>
          <w:rFonts w:ascii="Times New Roman" w:hAnsi="Times New Roman" w:cs="Times New Roman"/>
          <w:sz w:val="24"/>
          <w:szCs w:val="24"/>
        </w:rPr>
        <w:t>23</w:t>
      </w:r>
      <w:r w:rsidRPr="00284679">
        <w:rPr>
          <w:rFonts w:ascii="Times New Roman" w:hAnsi="Times New Roman" w:cs="Times New Roman"/>
          <w:sz w:val="24"/>
          <w:szCs w:val="24"/>
        </w:rPr>
        <w:t xml:space="preserve"> will also measure </w:t>
      </w:r>
      <w:r w:rsidRPr="00284679">
        <w:rPr>
          <w:rFonts w:ascii="Times New Roman" w:hAnsi="Times New Roman" w:cs="Times New Roman"/>
          <w:i/>
          <w:sz w:val="24"/>
          <w:szCs w:val="24"/>
        </w:rPr>
        <w:t>science practices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science inquiry</w:t>
      </w:r>
      <w:r w:rsidRPr="00284679">
        <w:rPr>
          <w:rFonts w:ascii="Times New Roman" w:hAnsi="Times New Roman" w:cs="Times New Roman"/>
          <w:sz w:val="24"/>
          <w:szCs w:val="24"/>
        </w:rPr>
        <w:t>, reflecting recent emphasis on these skills in many countries’ curricula and content standards.</w:t>
      </w:r>
    </w:p>
    <w:p w:rsidRPr="0002216F" w:rsidR="00EE35F5" w:rsidP="00A9768A" w:rsidRDefault="00EE35F5" w14:paraId="55BD5266" w14:textId="77777777">
      <w:pPr>
        <w:pStyle w:val="TIMSSOMBHeading3"/>
      </w:pPr>
      <w:r w:rsidRPr="0002216F">
        <w:t>Assessment Mode</w:t>
      </w:r>
    </w:p>
    <w:p w:rsidRPr="00284679" w:rsidR="00AB02D9" w:rsidP="0002216F" w:rsidRDefault="00EE35F5" w14:paraId="5B0EF596" w14:textId="62065F73">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TIMSS 20</w:t>
      </w:r>
      <w:r w:rsidRPr="00284679" w:rsidR="00321932">
        <w:rPr>
          <w:rFonts w:ascii="Times New Roman" w:hAnsi="Times New Roman" w:cs="Times New Roman"/>
          <w:sz w:val="24"/>
          <w:szCs w:val="24"/>
        </w:rPr>
        <w:t>23</w:t>
      </w:r>
      <w:r w:rsidRPr="00284679">
        <w:rPr>
          <w:rFonts w:ascii="Times New Roman" w:hAnsi="Times New Roman" w:cs="Times New Roman"/>
          <w:sz w:val="24"/>
          <w:szCs w:val="24"/>
        </w:rPr>
        <w:t xml:space="preserve"> </w:t>
      </w:r>
      <w:r w:rsidRPr="00284679" w:rsidR="00BF35CE">
        <w:rPr>
          <w:rFonts w:ascii="Times New Roman" w:hAnsi="Times New Roman" w:cs="Times New Roman"/>
          <w:sz w:val="24"/>
          <w:szCs w:val="24"/>
        </w:rPr>
        <w:t>is</w:t>
      </w:r>
      <w:r w:rsidR="00ED6201">
        <w:rPr>
          <w:rFonts w:ascii="Times New Roman" w:hAnsi="Times New Roman" w:cs="Times New Roman"/>
          <w:sz w:val="24"/>
          <w:szCs w:val="24"/>
        </w:rPr>
        <w:t xml:space="preserve"> mainly</w:t>
      </w:r>
      <w:r w:rsidRPr="00284679" w:rsidR="00BF35CE">
        <w:rPr>
          <w:rFonts w:ascii="Times New Roman" w:hAnsi="Times New Roman" w:cs="Times New Roman"/>
          <w:sz w:val="24"/>
          <w:szCs w:val="24"/>
        </w:rPr>
        <w:t xml:space="preserve"> a digital</w:t>
      </w:r>
      <w:r w:rsidRPr="00284679">
        <w:rPr>
          <w:rFonts w:ascii="Times New Roman" w:hAnsi="Times New Roman" w:cs="Times New Roman"/>
          <w:sz w:val="24"/>
          <w:szCs w:val="24"/>
        </w:rPr>
        <w:t xml:space="preserve"> assessment, </w:t>
      </w:r>
      <w:r w:rsidR="00ED6201">
        <w:rPr>
          <w:rFonts w:ascii="Times New Roman" w:hAnsi="Times New Roman" w:cs="Times New Roman"/>
          <w:sz w:val="24"/>
          <w:szCs w:val="24"/>
        </w:rPr>
        <w:t xml:space="preserve">however </w:t>
      </w:r>
      <w:r w:rsidRPr="00284679" w:rsidR="00BF35CE">
        <w:rPr>
          <w:rFonts w:ascii="Times New Roman" w:hAnsi="Times New Roman" w:cs="Times New Roman"/>
          <w:sz w:val="24"/>
          <w:szCs w:val="24"/>
        </w:rPr>
        <w:t>countries unable to transition to digital assessment will be offered a paper-based option comprising trend items only</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Pr>
          <w:rFonts w:ascii="Times New Roman" w:hAnsi="Times New Roman" w:cs="Times New Roman"/>
          <w:sz w:val="24"/>
          <w:szCs w:val="24"/>
        </w:rPr>
        <w:t>The United States will participate in digitally-based TIMSS</w:t>
      </w:r>
      <w:r w:rsidR="00ED6201">
        <w:rPr>
          <w:rFonts w:ascii="Times New Roman" w:hAnsi="Times New Roman" w:cs="Times New Roman"/>
          <w:sz w:val="24"/>
          <w:szCs w:val="24"/>
        </w:rPr>
        <w:t xml:space="preserve"> (or eTIMSS)</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Pr>
          <w:rFonts w:ascii="Times New Roman" w:hAnsi="Times New Roman" w:cs="Times New Roman"/>
          <w:sz w:val="24"/>
          <w:szCs w:val="24"/>
        </w:rPr>
        <w:t xml:space="preserve">Studies </w:t>
      </w:r>
      <w:r w:rsidRPr="00284679" w:rsidR="00BF35CE">
        <w:rPr>
          <w:rFonts w:ascii="Times New Roman" w:hAnsi="Times New Roman" w:cs="Times New Roman"/>
          <w:sz w:val="24"/>
          <w:szCs w:val="24"/>
        </w:rPr>
        <w:t xml:space="preserve">have been </w:t>
      </w:r>
      <w:r w:rsidRPr="00284679">
        <w:rPr>
          <w:rFonts w:ascii="Times New Roman" w:hAnsi="Times New Roman" w:cs="Times New Roman"/>
          <w:sz w:val="24"/>
          <w:szCs w:val="24"/>
        </w:rPr>
        <w:t>conducted in</w:t>
      </w:r>
      <w:r w:rsidRPr="00284679" w:rsidR="00BF35CE">
        <w:rPr>
          <w:rFonts w:ascii="Times New Roman" w:hAnsi="Times New Roman" w:cs="Times New Roman"/>
          <w:sz w:val="24"/>
          <w:szCs w:val="24"/>
        </w:rPr>
        <w:t xml:space="preserve"> </w:t>
      </w:r>
      <w:r w:rsidRPr="00284679">
        <w:rPr>
          <w:rFonts w:ascii="Times New Roman" w:hAnsi="Times New Roman" w:cs="Times New Roman"/>
          <w:sz w:val="24"/>
          <w:szCs w:val="24"/>
        </w:rPr>
        <w:t>2017, 2018, and 2019 to operationalize the new digital mode of assessment, as well as to analyze mode effects so that the important TIMSS trend reporting can be maintained.</w:t>
      </w:r>
      <w:r w:rsidRPr="00284679" w:rsidR="005915E5">
        <w:rPr>
          <w:rFonts w:ascii="Times New Roman" w:hAnsi="Times New Roman" w:cs="Times New Roman"/>
          <w:sz w:val="24"/>
          <w:szCs w:val="24"/>
        </w:rPr>
        <w:t xml:space="preserve"> </w:t>
      </w:r>
      <w:r w:rsidR="00ED6201">
        <w:rPr>
          <w:rFonts w:ascii="Times New Roman" w:hAnsi="Times New Roman" w:cs="Times New Roman"/>
          <w:sz w:val="24"/>
          <w:szCs w:val="24"/>
        </w:rPr>
        <w:t>eTIMSS was first administered in the TIMSS main study in 2019. Similar to 2019, t</w:t>
      </w:r>
      <w:r w:rsidRPr="00284679">
        <w:rPr>
          <w:rFonts w:ascii="Times New Roman" w:hAnsi="Times New Roman" w:cs="Times New Roman"/>
          <w:sz w:val="24"/>
          <w:szCs w:val="24"/>
        </w:rPr>
        <w:t xml:space="preserve">he assessments </w:t>
      </w:r>
      <w:r w:rsidR="00ED6201">
        <w:rPr>
          <w:rFonts w:ascii="Times New Roman" w:hAnsi="Times New Roman" w:cs="Times New Roman"/>
          <w:sz w:val="24"/>
          <w:szCs w:val="24"/>
        </w:rPr>
        <w:t xml:space="preserve">in 2023 </w:t>
      </w:r>
      <w:r w:rsidRPr="00284679">
        <w:rPr>
          <w:rFonts w:ascii="Times New Roman" w:hAnsi="Times New Roman" w:cs="Times New Roman"/>
          <w:sz w:val="24"/>
          <w:szCs w:val="24"/>
        </w:rPr>
        <w:t xml:space="preserve">will be conducted on </w:t>
      </w:r>
      <w:r w:rsidRPr="00284679" w:rsidR="00D63CB5">
        <w:rPr>
          <w:rFonts w:ascii="Times New Roman" w:hAnsi="Times New Roman" w:cs="Times New Roman"/>
          <w:sz w:val="24"/>
          <w:szCs w:val="24"/>
        </w:rPr>
        <w:t>Chromebook tablets</w:t>
      </w:r>
      <w:r w:rsidRPr="00284679">
        <w:rPr>
          <w:rFonts w:ascii="Times New Roman" w:hAnsi="Times New Roman" w:cs="Times New Roman"/>
          <w:sz w:val="24"/>
          <w:szCs w:val="24"/>
        </w:rPr>
        <w:t xml:space="preserve">, with </w:t>
      </w:r>
      <w:r w:rsidRPr="00284679" w:rsidR="00A80B5E">
        <w:rPr>
          <w:rFonts w:ascii="Times New Roman" w:hAnsi="Times New Roman" w:cs="Times New Roman"/>
          <w:sz w:val="24"/>
          <w:szCs w:val="24"/>
        </w:rPr>
        <w:t>touchscreen capability</w:t>
      </w:r>
      <w:r w:rsidR="00ED6201">
        <w:rPr>
          <w:rFonts w:ascii="Times New Roman" w:hAnsi="Times New Roman" w:cs="Times New Roman"/>
          <w:sz w:val="24"/>
          <w:szCs w:val="24"/>
        </w:rPr>
        <w:t>, if required by the IEA,</w:t>
      </w:r>
      <w:r w:rsidRPr="00284679">
        <w:rPr>
          <w:rFonts w:ascii="Times New Roman" w:hAnsi="Times New Roman" w:cs="Times New Roman"/>
          <w:sz w:val="24"/>
          <w:szCs w:val="24"/>
        </w:rPr>
        <w:t xml:space="preserve"> and </w:t>
      </w:r>
      <w:r w:rsidRPr="00284679" w:rsidR="00A80B5E">
        <w:rPr>
          <w:rFonts w:ascii="Times New Roman" w:hAnsi="Times New Roman" w:cs="Times New Roman"/>
          <w:sz w:val="24"/>
          <w:szCs w:val="24"/>
        </w:rPr>
        <w:t xml:space="preserve">an </w:t>
      </w:r>
      <w:r w:rsidRPr="00284679">
        <w:rPr>
          <w:rFonts w:ascii="Times New Roman" w:hAnsi="Times New Roman" w:cs="Times New Roman"/>
          <w:sz w:val="24"/>
          <w:szCs w:val="24"/>
        </w:rPr>
        <w:t>external key</w:t>
      </w:r>
      <w:r w:rsidRPr="00284679" w:rsidR="00F00646">
        <w:rPr>
          <w:rFonts w:ascii="Times New Roman" w:hAnsi="Times New Roman" w:cs="Times New Roman"/>
          <w:sz w:val="24"/>
          <w:szCs w:val="24"/>
        </w:rPr>
        <w:t>board</w:t>
      </w:r>
      <w:r w:rsidR="00ED6201">
        <w:rPr>
          <w:rFonts w:ascii="Times New Roman" w:hAnsi="Times New Roman" w:cs="Times New Roman"/>
          <w:sz w:val="24"/>
          <w:szCs w:val="24"/>
        </w:rPr>
        <w:t xml:space="preserve"> and mouse</w:t>
      </w:r>
      <w:r w:rsidRPr="00284679" w:rsidR="00F00646">
        <w:rPr>
          <w:rFonts w:ascii="Times New Roman" w:hAnsi="Times New Roman" w:cs="Times New Roman"/>
          <w:sz w:val="24"/>
          <w:szCs w:val="24"/>
        </w:rPr>
        <w:t>.</w:t>
      </w:r>
    </w:p>
    <w:p w:rsidRPr="0002216F" w:rsidR="00D84C9E" w:rsidP="00A9768A" w:rsidRDefault="00D84C9E" w14:paraId="67F04FDC" w14:textId="77777777">
      <w:pPr>
        <w:pStyle w:val="TIMSSOMBHeading3"/>
      </w:pPr>
      <w:r w:rsidRPr="0002216F">
        <w:t>Assessment Instruments</w:t>
      </w:r>
    </w:p>
    <w:p w:rsidRPr="00284679" w:rsidR="00D84C9E" w:rsidP="0002216F" w:rsidRDefault="00D84C9E" w14:paraId="093498FF" w14:textId="37BD8FFC">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In order to minimize burden and to ensure broad subject-matter coverage, TIMSS will use a matrix sampling approach where the mathematics and science items at each grade level are organized into a set of </w:t>
      </w:r>
      <w:r w:rsidRPr="00284679" w:rsidR="001950EB">
        <w:rPr>
          <w:rFonts w:ascii="Times New Roman" w:hAnsi="Times New Roman" w:cs="Times New Roman"/>
          <w:sz w:val="24"/>
          <w:szCs w:val="24"/>
        </w:rPr>
        <w:t>item blocks arranged into digital block combinations</w:t>
      </w:r>
      <w:r w:rsidRPr="00284679">
        <w:rPr>
          <w:rFonts w:ascii="Times New Roman" w:hAnsi="Times New Roman" w:cs="Times New Roman"/>
          <w:sz w:val="24"/>
          <w:szCs w:val="24"/>
        </w:rPr>
        <w:t xml:space="preserve">, with each student taking </w:t>
      </w:r>
      <w:r w:rsidRPr="00284679" w:rsidR="007A4582">
        <w:rPr>
          <w:rFonts w:ascii="Times New Roman" w:hAnsi="Times New Roman" w:cs="Times New Roman"/>
          <w:sz w:val="24"/>
          <w:szCs w:val="24"/>
        </w:rPr>
        <w:t>a subset of the blocks</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sidR="00743091">
        <w:rPr>
          <w:rFonts w:ascii="Times New Roman" w:hAnsi="Times New Roman" w:cs="Times New Roman"/>
          <w:sz w:val="24"/>
          <w:szCs w:val="24"/>
        </w:rPr>
        <w:t>Test items are either multiple-choice or constructed response items.</w:t>
      </w:r>
    </w:p>
    <w:p w:rsidRPr="0002216F" w:rsidR="00D84C9E" w:rsidP="00A9768A" w:rsidRDefault="00D84C9E" w14:paraId="41DE1B98" w14:textId="77777777">
      <w:pPr>
        <w:pStyle w:val="TIMSSOMBHeading3"/>
      </w:pPr>
      <w:r w:rsidRPr="0002216F">
        <w:t>Questionnaires</w:t>
      </w:r>
    </w:p>
    <w:p w:rsidRPr="00166F1F" w:rsidR="00D84C9E" w:rsidP="00FB4B83" w:rsidRDefault="00D84C9E" w14:paraId="00D56F76" w14:textId="66C7BC8D">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background questionnaires for TIMSS </w:t>
      </w:r>
      <w:r w:rsidRPr="00284679" w:rsidR="002A7366">
        <w:rPr>
          <w:rFonts w:ascii="Times New Roman" w:hAnsi="Times New Roman" w:cs="Times New Roman"/>
          <w:sz w:val="24"/>
          <w:szCs w:val="24"/>
        </w:rPr>
        <w:t>20</w:t>
      </w:r>
      <w:r w:rsidRPr="00284679" w:rsidR="007F51BF">
        <w:rPr>
          <w:rFonts w:ascii="Times New Roman" w:hAnsi="Times New Roman" w:cs="Times New Roman"/>
          <w:sz w:val="24"/>
          <w:szCs w:val="24"/>
        </w:rPr>
        <w:t>23</w:t>
      </w:r>
      <w:r w:rsidRPr="00284679" w:rsidR="002A7366">
        <w:rPr>
          <w:rFonts w:ascii="Times New Roman" w:hAnsi="Times New Roman" w:cs="Times New Roman"/>
          <w:sz w:val="24"/>
          <w:szCs w:val="24"/>
        </w:rPr>
        <w:t xml:space="preserve"> </w:t>
      </w:r>
      <w:r w:rsidRPr="00284679" w:rsidR="007A4582">
        <w:rPr>
          <w:rFonts w:ascii="Times New Roman" w:hAnsi="Times New Roman" w:cs="Times New Roman"/>
          <w:sz w:val="24"/>
          <w:szCs w:val="24"/>
        </w:rPr>
        <w:t xml:space="preserve">are being </w:t>
      </w:r>
      <w:r w:rsidRPr="00284679">
        <w:rPr>
          <w:rFonts w:ascii="Times New Roman" w:hAnsi="Times New Roman" w:cs="Times New Roman"/>
          <w:sz w:val="24"/>
          <w:szCs w:val="24"/>
        </w:rPr>
        <w:t xml:space="preserve">developed to address a background questions framework developed internationally. The United States will adapt the questions to fit the U.S. education </w:t>
      </w:r>
      <w:r w:rsidRPr="00166F1F">
        <w:rPr>
          <w:rFonts w:ascii="Times New Roman" w:hAnsi="Times New Roman" w:cs="Times New Roman"/>
          <w:sz w:val="24"/>
          <w:szCs w:val="24"/>
        </w:rPr>
        <w:t xml:space="preserve">context, including adding a few questions, such as about the race/ethnicity of students. </w:t>
      </w:r>
      <w:r w:rsidRPr="00166F1F" w:rsidR="002A7366">
        <w:rPr>
          <w:rFonts w:ascii="Times New Roman" w:hAnsi="Times New Roman" w:cs="Times New Roman"/>
          <w:sz w:val="24"/>
          <w:szCs w:val="24"/>
        </w:rPr>
        <w:t>Teacher and school</w:t>
      </w:r>
      <w:r w:rsidRPr="00166F1F">
        <w:rPr>
          <w:rFonts w:ascii="Times New Roman" w:hAnsi="Times New Roman" w:cs="Times New Roman"/>
          <w:sz w:val="24"/>
          <w:szCs w:val="24"/>
        </w:rPr>
        <w:t xml:space="preserve"> questionnaire</w:t>
      </w:r>
      <w:r w:rsidRPr="00166F1F" w:rsidR="002A7366">
        <w:rPr>
          <w:rFonts w:ascii="Times New Roman" w:hAnsi="Times New Roman" w:cs="Times New Roman"/>
          <w:sz w:val="24"/>
          <w:szCs w:val="24"/>
        </w:rPr>
        <w:t>s</w:t>
      </w:r>
      <w:r w:rsidRPr="00166F1F">
        <w:rPr>
          <w:rFonts w:ascii="Times New Roman" w:hAnsi="Times New Roman" w:cs="Times New Roman"/>
          <w:sz w:val="24"/>
          <w:szCs w:val="24"/>
        </w:rPr>
        <w:t xml:space="preserve"> will be offered online</w:t>
      </w:r>
      <w:r w:rsidRPr="00166F1F" w:rsidR="00F138F3">
        <w:rPr>
          <w:rFonts w:ascii="Times New Roman" w:hAnsi="Times New Roman" w:cs="Times New Roman"/>
          <w:sz w:val="24"/>
          <w:szCs w:val="24"/>
        </w:rPr>
        <w:t xml:space="preserve"> via a web-based survey</w:t>
      </w:r>
      <w:r w:rsidRPr="00166F1F">
        <w:rPr>
          <w:rFonts w:ascii="Times New Roman" w:hAnsi="Times New Roman" w:cs="Times New Roman"/>
          <w:sz w:val="24"/>
          <w:szCs w:val="24"/>
        </w:rPr>
        <w:t xml:space="preserve">. </w:t>
      </w:r>
      <w:r w:rsidRPr="00166F1F" w:rsidR="00C5313F">
        <w:rPr>
          <w:rFonts w:ascii="Times New Roman" w:hAnsi="Times New Roman" w:cs="Times New Roman"/>
          <w:sz w:val="24"/>
          <w:szCs w:val="24"/>
        </w:rPr>
        <w:t>All s</w:t>
      </w:r>
      <w:r w:rsidRPr="00166F1F">
        <w:rPr>
          <w:rFonts w:ascii="Times New Roman" w:hAnsi="Times New Roman" w:cs="Times New Roman"/>
          <w:sz w:val="24"/>
          <w:szCs w:val="24"/>
        </w:rPr>
        <w:t xml:space="preserve">tudents </w:t>
      </w:r>
      <w:r w:rsidRPr="00166F1F" w:rsidR="00C5313F">
        <w:rPr>
          <w:rFonts w:ascii="Times New Roman" w:hAnsi="Times New Roman" w:cs="Times New Roman"/>
          <w:sz w:val="24"/>
          <w:szCs w:val="24"/>
        </w:rPr>
        <w:t>in the field test</w:t>
      </w:r>
      <w:r w:rsidRPr="00166F1F" w:rsidR="000609AC">
        <w:rPr>
          <w:rFonts w:ascii="Times New Roman" w:hAnsi="Times New Roman" w:cs="Times New Roman"/>
          <w:sz w:val="24"/>
          <w:szCs w:val="24"/>
        </w:rPr>
        <w:t xml:space="preserve"> </w:t>
      </w:r>
      <w:r w:rsidRPr="00166F1F">
        <w:rPr>
          <w:rFonts w:ascii="Times New Roman" w:hAnsi="Times New Roman" w:cs="Times New Roman"/>
          <w:sz w:val="24"/>
          <w:szCs w:val="24"/>
        </w:rPr>
        <w:t xml:space="preserve">will </w:t>
      </w:r>
      <w:r w:rsidRPr="00166F1F" w:rsidR="002A7366">
        <w:rPr>
          <w:rFonts w:ascii="Times New Roman" w:hAnsi="Times New Roman" w:cs="Times New Roman"/>
          <w:sz w:val="24"/>
          <w:szCs w:val="24"/>
        </w:rPr>
        <w:t xml:space="preserve">answer their questionnaires </w:t>
      </w:r>
      <w:r w:rsidRPr="00166F1F" w:rsidR="00D86EB0">
        <w:rPr>
          <w:rFonts w:ascii="Times New Roman" w:hAnsi="Times New Roman" w:cs="Times New Roman"/>
          <w:sz w:val="24"/>
          <w:szCs w:val="24"/>
        </w:rPr>
        <w:t>and cognitive assessment questions on Chromebook tablets</w:t>
      </w:r>
      <w:r w:rsidRPr="00166F1F" w:rsidR="00173ACC">
        <w:rPr>
          <w:rFonts w:ascii="Times New Roman" w:hAnsi="Times New Roman" w:cs="Times New Roman"/>
          <w:sz w:val="24"/>
          <w:szCs w:val="24"/>
        </w:rPr>
        <w:t>.</w:t>
      </w:r>
    </w:p>
    <w:p w:rsidRPr="00166F1F" w:rsidR="00AB02D9" w:rsidP="0069197E" w:rsidRDefault="00D84C9E" w14:paraId="1721C229" w14:textId="2393AF71">
      <w:pPr>
        <w:widowControl w:val="0"/>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School Questionnaire</w:t>
      </w:r>
      <w:r w:rsidRPr="00166F1F">
        <w:rPr>
          <w:rFonts w:ascii="Times New Roman" w:hAnsi="Times New Roman" w:cs="Times New Roman"/>
          <w:sz w:val="24"/>
          <w:szCs w:val="24"/>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Pr="00166F1F" w:rsidR="00AB02D9">
        <w:rPr>
          <w:rFonts w:ascii="Times New Roman" w:hAnsi="Times New Roman" w:cs="Times New Roman"/>
          <w:sz w:val="24"/>
          <w:szCs w:val="24"/>
        </w:rPr>
        <w:t xml:space="preserve"> </w:t>
      </w:r>
      <w:r w:rsidRPr="00166F1F" w:rsidR="00743091">
        <w:rPr>
          <w:rFonts w:ascii="Times New Roman" w:hAnsi="Times New Roman" w:cs="Times New Roman"/>
          <w:sz w:val="24"/>
          <w:szCs w:val="24"/>
        </w:rPr>
        <w:t xml:space="preserve">The </w:t>
      </w:r>
      <w:r w:rsidRPr="00166F1F" w:rsidR="00B22092">
        <w:rPr>
          <w:rFonts w:ascii="Times New Roman" w:hAnsi="Times New Roman" w:cs="Times New Roman"/>
          <w:sz w:val="24"/>
          <w:szCs w:val="24"/>
        </w:rPr>
        <w:t xml:space="preserve">TIMSS </w:t>
      </w:r>
      <w:r w:rsidRPr="00166F1F" w:rsidR="00743091">
        <w:rPr>
          <w:rFonts w:ascii="Times New Roman" w:hAnsi="Times New Roman" w:cs="Times New Roman"/>
          <w:sz w:val="24"/>
          <w:szCs w:val="24"/>
        </w:rPr>
        <w:t xml:space="preserve">school questionnaire is expected to take </w:t>
      </w:r>
      <w:r w:rsidRPr="00166F1F" w:rsidR="00087548">
        <w:rPr>
          <w:rFonts w:ascii="Times New Roman" w:hAnsi="Times New Roman" w:cs="Times New Roman"/>
          <w:sz w:val="24"/>
          <w:szCs w:val="24"/>
        </w:rPr>
        <w:t>3</w:t>
      </w:r>
      <w:r w:rsidRPr="00166F1F" w:rsidR="00182E7B">
        <w:rPr>
          <w:rFonts w:ascii="Times New Roman" w:hAnsi="Times New Roman" w:cs="Times New Roman"/>
          <w:sz w:val="24"/>
          <w:szCs w:val="24"/>
        </w:rPr>
        <w:t>0</w:t>
      </w:r>
      <w:r w:rsidRPr="00166F1F" w:rsidR="00743091">
        <w:rPr>
          <w:rFonts w:ascii="Times New Roman" w:hAnsi="Times New Roman" w:cs="Times New Roman"/>
          <w:sz w:val="24"/>
          <w:szCs w:val="24"/>
        </w:rPr>
        <w:t xml:space="preserve"> minutes to complete</w:t>
      </w:r>
      <w:r w:rsidRPr="00166F1F" w:rsidR="00F90091">
        <w:rPr>
          <w:rFonts w:ascii="Times New Roman" w:hAnsi="Times New Roman" w:cs="Times New Roman"/>
          <w:sz w:val="24"/>
          <w:szCs w:val="24"/>
        </w:rPr>
        <w:t xml:space="preserve"> and will be offered online</w:t>
      </w:r>
      <w:r w:rsidRPr="00166F1F" w:rsidR="00423894">
        <w:rPr>
          <w:rFonts w:ascii="Times New Roman" w:hAnsi="Times New Roman" w:cs="Times New Roman"/>
          <w:sz w:val="24"/>
          <w:szCs w:val="24"/>
        </w:rPr>
        <w:t xml:space="preserve"> via a web-based </w:t>
      </w:r>
      <w:r w:rsidRPr="00166F1F" w:rsidR="00423894">
        <w:rPr>
          <w:rFonts w:ascii="Times New Roman" w:hAnsi="Times New Roman" w:cs="Times New Roman"/>
          <w:sz w:val="24"/>
          <w:szCs w:val="24"/>
        </w:rPr>
        <w:lastRenderedPageBreak/>
        <w:t xml:space="preserve">survey. </w:t>
      </w:r>
    </w:p>
    <w:p w:rsidRPr="00166F1F" w:rsidR="00257120" w:rsidP="00574191" w:rsidRDefault="00D84C9E" w14:paraId="05224C88" w14:textId="131FB236">
      <w:pPr>
        <w:widowControl w:val="0"/>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Teacher Questionnaire</w:t>
      </w:r>
      <w:r w:rsidRPr="00166F1F">
        <w:rPr>
          <w:rFonts w:ascii="Times New Roman" w:hAnsi="Times New Roman" w:cs="Times New Roman"/>
          <w:sz w:val="24"/>
          <w:szCs w:val="24"/>
        </w:rPr>
        <w:t>. At grades 4 and 8, mathematics and science teachers of students in selected classes will be asked to complete a teacher questionnaire.</w:t>
      </w:r>
      <w:r w:rsidRPr="00166F1F" w:rsidR="00AB02D9">
        <w:rPr>
          <w:rFonts w:ascii="Times New Roman" w:hAnsi="Times New Roman" w:cs="Times New Roman"/>
          <w:sz w:val="24"/>
          <w:szCs w:val="24"/>
        </w:rPr>
        <w:t xml:space="preserve"> </w:t>
      </w:r>
      <w:r w:rsidRPr="00166F1F">
        <w:rPr>
          <w:rFonts w:ascii="Times New Roman" w:hAnsi="Times New Roman" w:cs="Times New Roman"/>
          <w:sz w:val="24"/>
          <w:szCs w:val="24"/>
        </w:rPr>
        <w:t xml:space="preserve">Teacher questionnaires will include questions about teacher preparation and experience, mathematics and science topics </w:t>
      </w:r>
      <w:r w:rsidRPr="00166F1F" w:rsidR="00257120">
        <w:rPr>
          <w:rFonts w:ascii="Times New Roman" w:hAnsi="Times New Roman" w:cs="Times New Roman"/>
          <w:sz w:val="24"/>
          <w:szCs w:val="24"/>
        </w:rPr>
        <w:t>taught,</w:t>
      </w:r>
      <w:r w:rsidRPr="00166F1F">
        <w:rPr>
          <w:rFonts w:ascii="Times New Roman" w:hAnsi="Times New Roman" w:cs="Times New Roman"/>
          <w:sz w:val="24"/>
          <w:szCs w:val="24"/>
        </w:rPr>
        <w:t xml:space="preserve"> instructional resources and technology, instructional time, instructional engagement, classroom assessment</w:t>
      </w:r>
      <w:r w:rsidRPr="00166F1F" w:rsidR="00853784">
        <w:rPr>
          <w:rFonts w:ascii="Times New Roman" w:hAnsi="Times New Roman" w:cs="Times New Roman"/>
          <w:sz w:val="24"/>
          <w:szCs w:val="24"/>
        </w:rPr>
        <w:t xml:space="preserve">, and </w:t>
      </w:r>
      <w:r w:rsidRPr="00166F1F" w:rsidR="00B547AB">
        <w:rPr>
          <w:rFonts w:ascii="Times New Roman" w:hAnsi="Times New Roman" w:cs="Times New Roman"/>
          <w:sz w:val="24"/>
          <w:szCs w:val="24"/>
        </w:rPr>
        <w:t>technology resources and instruction in their classes.</w:t>
      </w:r>
      <w:r w:rsidRPr="00166F1F" w:rsidR="00AB02D9">
        <w:rPr>
          <w:rFonts w:ascii="Times New Roman" w:hAnsi="Times New Roman" w:cs="Times New Roman"/>
          <w:sz w:val="24"/>
          <w:szCs w:val="24"/>
        </w:rPr>
        <w:t xml:space="preserve"> </w:t>
      </w:r>
      <w:r w:rsidRPr="00166F1F" w:rsidR="00F90091">
        <w:rPr>
          <w:rFonts w:ascii="Times New Roman" w:hAnsi="Times New Roman" w:cs="Times New Roman"/>
          <w:sz w:val="24"/>
          <w:szCs w:val="24"/>
        </w:rPr>
        <w:t xml:space="preserve">The teacher questionnaire is expected to take </w:t>
      </w:r>
      <w:r w:rsidRPr="00166F1F" w:rsidR="00182E7B">
        <w:rPr>
          <w:rFonts w:ascii="Times New Roman" w:hAnsi="Times New Roman" w:cs="Times New Roman"/>
          <w:sz w:val="24"/>
          <w:szCs w:val="24"/>
        </w:rPr>
        <w:t>30</w:t>
      </w:r>
      <w:r w:rsidRPr="00166F1F" w:rsidR="00F90091">
        <w:rPr>
          <w:rFonts w:ascii="Times New Roman" w:hAnsi="Times New Roman" w:cs="Times New Roman"/>
          <w:sz w:val="24"/>
          <w:szCs w:val="24"/>
        </w:rPr>
        <w:t xml:space="preserve"> minutes to complete and will be offered onlin</w:t>
      </w:r>
      <w:r w:rsidRPr="00166F1F" w:rsidR="00E4756C">
        <w:rPr>
          <w:rFonts w:ascii="Times New Roman" w:hAnsi="Times New Roman" w:cs="Times New Roman"/>
          <w:sz w:val="24"/>
          <w:szCs w:val="24"/>
        </w:rPr>
        <w:t xml:space="preserve">e via a web-based survey. </w:t>
      </w:r>
    </w:p>
    <w:p w:rsidRPr="00166F1F" w:rsidR="00C534E5" w:rsidP="0002216F" w:rsidRDefault="00D84C9E" w14:paraId="0FDEADC7" w14:textId="7E425239">
      <w:pPr>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 xml:space="preserve">Student Questionnaire. </w:t>
      </w:r>
      <w:r w:rsidRPr="00166F1F">
        <w:rPr>
          <w:rFonts w:ascii="Times New Roman" w:hAnsi="Times New Roman" w:cs="Times New Roman"/>
          <w:sz w:val="24"/>
          <w:szCs w:val="24"/>
        </w:rPr>
        <w:t xml:space="preserve">Student information will be collected about home resources, </w:t>
      </w:r>
      <w:r w:rsidRPr="00166F1F" w:rsidR="00257120">
        <w:rPr>
          <w:rFonts w:ascii="Times New Roman" w:hAnsi="Times New Roman" w:cs="Times New Roman"/>
          <w:sz w:val="24"/>
          <w:szCs w:val="24"/>
        </w:rPr>
        <w:t xml:space="preserve">student </w:t>
      </w:r>
      <w:r w:rsidRPr="00166F1F">
        <w:rPr>
          <w:rFonts w:ascii="Times New Roman" w:hAnsi="Times New Roman" w:cs="Times New Roman"/>
          <w:sz w:val="24"/>
          <w:szCs w:val="24"/>
        </w:rPr>
        <w:t>motivation, self-concept, self-efficacy, and student characteristics such as gender and race/ethnicity.</w:t>
      </w:r>
      <w:r w:rsidRPr="00166F1F" w:rsidR="00AB02D9">
        <w:rPr>
          <w:rFonts w:ascii="Times New Roman" w:hAnsi="Times New Roman" w:cs="Times New Roman"/>
          <w:sz w:val="24"/>
          <w:szCs w:val="24"/>
        </w:rPr>
        <w:t xml:space="preserve"> </w:t>
      </w:r>
      <w:r w:rsidRPr="00166F1F" w:rsidR="00F90091">
        <w:rPr>
          <w:rFonts w:ascii="Times New Roman" w:hAnsi="Times New Roman" w:cs="Times New Roman"/>
          <w:sz w:val="24"/>
          <w:szCs w:val="24"/>
        </w:rPr>
        <w:t xml:space="preserve">The student questionnaire is expected to take </w:t>
      </w:r>
      <w:r w:rsidRPr="00166F1F" w:rsidR="00182E7B">
        <w:rPr>
          <w:rFonts w:ascii="Times New Roman" w:hAnsi="Times New Roman" w:cs="Times New Roman"/>
          <w:sz w:val="24"/>
          <w:szCs w:val="24"/>
        </w:rPr>
        <w:t>30</w:t>
      </w:r>
      <w:r w:rsidRPr="00166F1F" w:rsidR="00F90091">
        <w:rPr>
          <w:rFonts w:ascii="Times New Roman" w:hAnsi="Times New Roman" w:cs="Times New Roman"/>
          <w:sz w:val="24"/>
          <w:szCs w:val="24"/>
        </w:rPr>
        <w:t xml:space="preserve"> minutes to complete and is administered after the cognitive assessment.</w:t>
      </w:r>
      <w:r w:rsidRPr="00166F1F" w:rsidR="00853784">
        <w:rPr>
          <w:rFonts w:ascii="Times New Roman" w:hAnsi="Times New Roman" w:cs="Times New Roman"/>
          <w:sz w:val="24"/>
          <w:szCs w:val="24"/>
        </w:rPr>
        <w:t xml:space="preserve"> </w:t>
      </w:r>
    </w:p>
    <w:p w:rsidRPr="00166F1F" w:rsidR="00D84C9E" w:rsidP="00A9768A" w:rsidRDefault="00D84C9E" w14:paraId="6CBD5523" w14:textId="23D5CB34">
      <w:pPr>
        <w:pStyle w:val="TIMSSOMBHeading2"/>
      </w:pPr>
      <w:bookmarkStart w:name="_Toc359323835" w:id="9"/>
      <w:bookmarkStart w:name="_Toc58475960" w:id="10"/>
      <w:r w:rsidRPr="00166F1F">
        <w:t>A.3</w:t>
      </w:r>
      <w:r w:rsidRPr="00166F1F">
        <w:tab/>
        <w:t>Improved Information Technology (Reduction of Burden)</w:t>
      </w:r>
      <w:bookmarkEnd w:id="8"/>
      <w:bookmarkEnd w:id="9"/>
      <w:bookmarkEnd w:id="10"/>
    </w:p>
    <w:p w:rsidRPr="00166F1F" w:rsidR="00AB02D9" w:rsidP="0002216F" w:rsidRDefault="00D84C9E" w14:paraId="36781DDC" w14:textId="44A0787D">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The TIMSS 20</w:t>
      </w:r>
      <w:r w:rsidRPr="00166F1F" w:rsidR="00BF086B">
        <w:rPr>
          <w:rFonts w:ascii="Times New Roman" w:hAnsi="Times New Roman" w:cs="Times New Roman"/>
          <w:sz w:val="24"/>
          <w:szCs w:val="24"/>
        </w:rPr>
        <w:t>23</w:t>
      </w:r>
      <w:r w:rsidRPr="00166F1F">
        <w:rPr>
          <w:rFonts w:ascii="Times New Roman" w:hAnsi="Times New Roman" w:cs="Times New Roman"/>
          <w:sz w:val="24"/>
          <w:szCs w:val="24"/>
        </w:rPr>
        <w:t xml:space="preserve"> design and </w:t>
      </w:r>
      <w:r w:rsidRPr="00166F1F" w:rsidR="006E4830">
        <w:rPr>
          <w:rFonts w:ascii="Times New Roman" w:hAnsi="Times New Roman" w:cs="Times New Roman"/>
          <w:sz w:val="24"/>
          <w:szCs w:val="24"/>
        </w:rPr>
        <w:t xml:space="preserve">data collection </w:t>
      </w:r>
      <w:r w:rsidRPr="00166F1F">
        <w:rPr>
          <w:rFonts w:ascii="Times New Roman" w:hAnsi="Times New Roman" w:cs="Times New Roman"/>
          <w:sz w:val="24"/>
          <w:szCs w:val="24"/>
        </w:rPr>
        <w:t xml:space="preserve">procedures are prescribed internationally </w:t>
      </w:r>
      <w:r w:rsidRPr="00166F1F" w:rsidR="006E4830">
        <w:rPr>
          <w:rFonts w:ascii="Times New Roman" w:hAnsi="Times New Roman" w:cs="Times New Roman"/>
          <w:sz w:val="24"/>
          <w:szCs w:val="24"/>
        </w:rPr>
        <w:t>including</w:t>
      </w:r>
      <w:r w:rsidRPr="00166F1F">
        <w:rPr>
          <w:rFonts w:ascii="Times New Roman" w:hAnsi="Times New Roman" w:cs="Times New Roman"/>
          <w:sz w:val="24"/>
          <w:szCs w:val="24"/>
        </w:rPr>
        <w:t xml:space="preserve"> student assessments and questionnaires</w:t>
      </w:r>
      <w:r w:rsidRPr="00166F1F" w:rsidR="0033779B">
        <w:rPr>
          <w:rFonts w:ascii="Times New Roman" w:hAnsi="Times New Roman" w:cs="Times New Roman"/>
          <w:sz w:val="24"/>
          <w:szCs w:val="24"/>
        </w:rPr>
        <w:t xml:space="preserve"> </w:t>
      </w:r>
      <w:r w:rsidRPr="00166F1F" w:rsidR="006E4830">
        <w:rPr>
          <w:rFonts w:ascii="Times New Roman" w:hAnsi="Times New Roman" w:cs="Times New Roman"/>
          <w:sz w:val="24"/>
          <w:szCs w:val="24"/>
        </w:rPr>
        <w:t xml:space="preserve">being </w:t>
      </w:r>
      <w:r w:rsidRPr="00166F1F" w:rsidR="0033779B">
        <w:rPr>
          <w:rFonts w:ascii="Times New Roman" w:hAnsi="Times New Roman" w:cs="Times New Roman"/>
          <w:sz w:val="24"/>
          <w:szCs w:val="24"/>
        </w:rPr>
        <w:t>administered on tablets</w:t>
      </w:r>
      <w:r w:rsidRPr="00166F1F" w:rsidR="008E7FD3">
        <w:rPr>
          <w:rFonts w:ascii="Times New Roman" w:hAnsi="Times New Roman" w:cs="Times New Roman"/>
          <w:sz w:val="24"/>
          <w:szCs w:val="24"/>
        </w:rPr>
        <w:t xml:space="preserve">. </w:t>
      </w:r>
      <w:r w:rsidRPr="00166F1F">
        <w:rPr>
          <w:rFonts w:ascii="Times New Roman" w:hAnsi="Times New Roman" w:cs="Times New Roman"/>
          <w:sz w:val="24"/>
          <w:szCs w:val="24"/>
        </w:rPr>
        <w:t>Each participating nation is expected to adhere to the internationally prescribed design. In the United States, the school and teacher questionnaires will be made available to school administrators and teachers online as the main mode of administration</w:t>
      </w:r>
      <w:r w:rsidRPr="00166F1F" w:rsidR="008E7FD3">
        <w:rPr>
          <w:rFonts w:ascii="Times New Roman" w:hAnsi="Times New Roman" w:cs="Times New Roman"/>
          <w:sz w:val="24"/>
          <w:szCs w:val="24"/>
        </w:rPr>
        <w:t xml:space="preserve">; </w:t>
      </w:r>
      <w:r w:rsidRPr="00166F1F" w:rsidR="003E14D7">
        <w:rPr>
          <w:rFonts w:ascii="Times New Roman" w:hAnsi="Times New Roman" w:cs="Times New Roman"/>
          <w:sz w:val="24"/>
          <w:szCs w:val="24"/>
        </w:rPr>
        <w:t xml:space="preserve">paper-and-pencil </w:t>
      </w:r>
      <w:r w:rsidRPr="00166F1F" w:rsidR="00AB4009">
        <w:rPr>
          <w:rFonts w:ascii="Times New Roman" w:hAnsi="Times New Roman" w:cs="Times New Roman"/>
          <w:sz w:val="24"/>
          <w:szCs w:val="24"/>
        </w:rPr>
        <w:t xml:space="preserve">assessments were phased out during TIMSS 2019. </w:t>
      </w:r>
    </w:p>
    <w:p w:rsidRPr="00166F1F" w:rsidR="00D84C9E" w:rsidP="0002216F" w:rsidRDefault="00BA1C55" w14:paraId="391E3FA3" w14:textId="0319C80B">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A communication website, MyTIMSS USA, was used during the </w:t>
      </w:r>
      <w:r w:rsidRPr="00166F1F" w:rsidR="00C673A7">
        <w:rPr>
          <w:rFonts w:ascii="Times New Roman" w:hAnsi="Times New Roman" w:cs="Times New Roman"/>
          <w:sz w:val="24"/>
          <w:szCs w:val="24"/>
        </w:rPr>
        <w:t>previous iterations of TIMSS</w:t>
      </w:r>
      <w:r w:rsidRPr="00166F1F" w:rsidR="00CD6E9F">
        <w:rPr>
          <w:rFonts w:ascii="Times New Roman" w:hAnsi="Times New Roman" w:cs="Times New Roman"/>
          <w:sz w:val="24"/>
          <w:szCs w:val="24"/>
        </w:rPr>
        <w:t xml:space="preserve"> which is familiar to many </w:t>
      </w:r>
      <w:r w:rsidRPr="00166F1F" w:rsidR="00207CB3">
        <w:rPr>
          <w:rFonts w:ascii="Times New Roman" w:hAnsi="Times New Roman" w:cs="Times New Roman"/>
          <w:sz w:val="24"/>
          <w:szCs w:val="24"/>
        </w:rPr>
        <w:t>states, districts, and schools. A similar portal</w:t>
      </w:r>
      <w:r w:rsidRPr="00166F1F" w:rsidR="00C673A7">
        <w:rPr>
          <w:rFonts w:ascii="Times New Roman" w:hAnsi="Times New Roman" w:cs="Times New Roman"/>
          <w:sz w:val="24"/>
          <w:szCs w:val="24"/>
        </w:rPr>
        <w:t xml:space="preserve"> </w:t>
      </w:r>
      <w:r w:rsidRPr="00166F1F">
        <w:rPr>
          <w:rFonts w:ascii="Times New Roman" w:hAnsi="Times New Roman" w:cs="Times New Roman"/>
          <w:sz w:val="24"/>
          <w:szCs w:val="24"/>
        </w:rPr>
        <w:t xml:space="preserve">will be used </w:t>
      </w:r>
      <w:r w:rsidRPr="00166F1F" w:rsidR="0030272E">
        <w:rPr>
          <w:rFonts w:ascii="Times New Roman" w:hAnsi="Times New Roman" w:cs="Times New Roman"/>
          <w:sz w:val="24"/>
          <w:szCs w:val="24"/>
        </w:rPr>
        <w:t xml:space="preserve">in the </w:t>
      </w:r>
      <w:r w:rsidRPr="00166F1F">
        <w:rPr>
          <w:rFonts w:ascii="Times New Roman" w:hAnsi="Times New Roman" w:cs="Times New Roman"/>
          <w:sz w:val="24"/>
          <w:szCs w:val="24"/>
        </w:rPr>
        <w:t>20</w:t>
      </w:r>
      <w:r w:rsidRPr="00166F1F" w:rsidR="0050762E">
        <w:rPr>
          <w:rFonts w:ascii="Times New Roman" w:hAnsi="Times New Roman" w:cs="Times New Roman"/>
          <w:sz w:val="24"/>
          <w:szCs w:val="24"/>
        </w:rPr>
        <w:t>23</w:t>
      </w:r>
      <w:r w:rsidRPr="00166F1F">
        <w:rPr>
          <w:rFonts w:ascii="Times New Roman" w:hAnsi="Times New Roman" w:cs="Times New Roman"/>
          <w:sz w:val="24"/>
          <w:szCs w:val="24"/>
        </w:rPr>
        <w:t xml:space="preserve"> </w:t>
      </w:r>
      <w:r w:rsidRPr="00166F1F" w:rsidR="0050762E">
        <w:rPr>
          <w:rFonts w:ascii="Times New Roman" w:hAnsi="Times New Roman" w:cs="Times New Roman"/>
          <w:sz w:val="24"/>
          <w:szCs w:val="24"/>
        </w:rPr>
        <w:t>field test</w:t>
      </w:r>
      <w:r w:rsidRPr="00166F1F">
        <w:rPr>
          <w:rFonts w:ascii="Times New Roman" w:hAnsi="Times New Roman" w:cs="Times New Roman"/>
          <w:sz w:val="24"/>
          <w:szCs w:val="24"/>
        </w:rPr>
        <w:t xml:space="preserve"> in order to provide </w:t>
      </w:r>
      <w:r w:rsidRPr="00166F1F" w:rsidR="00C673A7">
        <w:rPr>
          <w:rFonts w:ascii="Times New Roman" w:hAnsi="Times New Roman" w:cs="Times New Roman"/>
          <w:sz w:val="24"/>
          <w:szCs w:val="24"/>
        </w:rPr>
        <w:t>continuity</w:t>
      </w:r>
      <w:r w:rsidRPr="00166F1F" w:rsidR="00F469BB">
        <w:rPr>
          <w:rFonts w:ascii="Times New Roman" w:hAnsi="Times New Roman" w:cs="Times New Roman"/>
          <w:sz w:val="24"/>
          <w:szCs w:val="24"/>
        </w:rPr>
        <w:t xml:space="preserve"> as a </w:t>
      </w:r>
      <w:r w:rsidRPr="00166F1F">
        <w:rPr>
          <w:rFonts w:ascii="Times New Roman" w:hAnsi="Times New Roman" w:cs="Times New Roman"/>
          <w:sz w:val="24"/>
          <w:szCs w:val="24"/>
        </w:rPr>
        <w:t>simple</w:t>
      </w:r>
      <w:r w:rsidRPr="00166F1F" w:rsidR="001303FF">
        <w:rPr>
          <w:rFonts w:ascii="Times New Roman" w:hAnsi="Times New Roman" w:cs="Times New Roman"/>
          <w:sz w:val="24"/>
          <w:szCs w:val="24"/>
        </w:rPr>
        <w:t xml:space="preserve">, single source of information to engage sample schools and maintain high levels of their involvement. </w:t>
      </w:r>
      <w:r w:rsidRPr="00166F1F" w:rsidR="00D84C9E">
        <w:rPr>
          <w:rFonts w:ascii="Times New Roman" w:hAnsi="Times New Roman" w:cs="Times New Roman"/>
          <w:sz w:val="24"/>
          <w:szCs w:val="24"/>
        </w:rPr>
        <w:t>This portal will be used throughout the assessment cycle to inform schools of their tasks and to provide them with easy access to information tailored for their anticipated needs. We plan to gather class and student lists from participating schools electronically using</w:t>
      </w:r>
      <w:r w:rsidRPr="00166F1F" w:rsidR="00FB0D6B">
        <w:rPr>
          <w:rFonts w:ascii="Times New Roman" w:hAnsi="Times New Roman" w:cs="Times New Roman"/>
          <w:sz w:val="24"/>
          <w:szCs w:val="24"/>
        </w:rPr>
        <w:t xml:space="preserve"> </w:t>
      </w:r>
      <w:r w:rsidRPr="00166F1F" w:rsidR="00E00BA2">
        <w:rPr>
          <w:rFonts w:ascii="Times New Roman" w:hAnsi="Times New Roman" w:cs="Times New Roman"/>
          <w:sz w:val="24"/>
          <w:szCs w:val="24"/>
        </w:rPr>
        <w:t>RTI</w:t>
      </w:r>
      <w:r w:rsidRPr="00166F1F" w:rsidR="00D84C9E">
        <w:rPr>
          <w:rFonts w:ascii="Times New Roman" w:hAnsi="Times New Roman" w:cs="Times New Roman"/>
          <w:sz w:val="24"/>
          <w:szCs w:val="24"/>
        </w:rPr>
        <w:t>’s secure</w:t>
      </w:r>
      <w:r w:rsidRPr="00166F1F" w:rsidR="006F75BD">
        <w:rPr>
          <w:rFonts w:ascii="Times New Roman" w:hAnsi="Times New Roman" w:cs="Times New Roman"/>
          <w:sz w:val="24"/>
          <w:szCs w:val="24"/>
        </w:rPr>
        <w:t xml:space="preserve"> roster upload</w:t>
      </w:r>
      <w:r w:rsidRPr="00166F1F" w:rsidR="00D84C9E">
        <w:rPr>
          <w:rFonts w:ascii="Times New Roman" w:hAnsi="Times New Roman" w:cs="Times New Roman"/>
          <w:sz w:val="24"/>
          <w:szCs w:val="24"/>
        </w:rPr>
        <w:t xml:space="preserve"> process. </w:t>
      </w:r>
      <w:r w:rsidRPr="00166F1F" w:rsidR="000F500C">
        <w:rPr>
          <w:rFonts w:ascii="Times New Roman" w:hAnsi="Times New Roman" w:cs="Times New Roman"/>
          <w:sz w:val="24"/>
          <w:szCs w:val="24"/>
        </w:rPr>
        <w:t xml:space="preserve">The </w:t>
      </w:r>
      <w:r w:rsidRPr="00166F1F" w:rsidR="00993430">
        <w:rPr>
          <w:rFonts w:ascii="Times New Roman" w:hAnsi="Times New Roman" w:cs="Times New Roman"/>
          <w:sz w:val="24"/>
          <w:szCs w:val="24"/>
        </w:rPr>
        <w:t>study portal</w:t>
      </w:r>
      <w:r w:rsidRPr="00166F1F" w:rsidR="00D84C9E">
        <w:rPr>
          <w:rFonts w:ascii="Times New Roman" w:hAnsi="Times New Roman" w:cs="Times New Roman"/>
          <w:sz w:val="24"/>
          <w:szCs w:val="24"/>
        </w:rPr>
        <w:t xml:space="preserve"> </w:t>
      </w:r>
      <w:r w:rsidRPr="00166F1F" w:rsidR="00FD2041">
        <w:rPr>
          <w:rFonts w:ascii="Times New Roman" w:hAnsi="Times New Roman" w:cs="Times New Roman"/>
          <w:sz w:val="24"/>
          <w:szCs w:val="24"/>
        </w:rPr>
        <w:t>includes</w:t>
      </w:r>
      <w:r w:rsidRPr="00166F1F" w:rsidR="00D84C9E">
        <w:rPr>
          <w:rFonts w:ascii="Times New Roman" w:hAnsi="Times New Roman" w:cs="Times New Roman"/>
          <w:sz w:val="24"/>
          <w:szCs w:val="24"/>
        </w:rPr>
        <w:t xml:space="preserve"> an electronic system for submitting lists of student information, including student background information in school records.</w:t>
      </w:r>
      <w:r w:rsidRPr="00166F1F" w:rsidR="00FB4B83">
        <w:rPr>
          <w:rFonts w:ascii="Times New Roman" w:hAnsi="Times New Roman" w:cs="Times New Roman"/>
          <w:sz w:val="24"/>
          <w:szCs w:val="24"/>
        </w:rPr>
        <w:t xml:space="preserve"> </w:t>
      </w:r>
      <w:r w:rsidRPr="00166F1F" w:rsidR="00217AE8">
        <w:rPr>
          <w:rFonts w:ascii="Times New Roman" w:hAnsi="Times New Roman" w:cs="Times New Roman"/>
          <w:sz w:val="24"/>
          <w:szCs w:val="24"/>
        </w:rPr>
        <w:t>Electronic rosters</w:t>
      </w:r>
      <w:r w:rsidRPr="00166F1F" w:rsidR="004C4B46">
        <w:rPr>
          <w:rFonts w:ascii="Times New Roman" w:hAnsi="Times New Roman" w:cs="Times New Roman"/>
          <w:sz w:val="24"/>
          <w:szCs w:val="24"/>
        </w:rPr>
        <w:t xml:space="preserve"> </w:t>
      </w:r>
      <w:r w:rsidRPr="00166F1F" w:rsidR="00D84C9E">
        <w:rPr>
          <w:rFonts w:ascii="Times New Roman" w:hAnsi="Times New Roman" w:cs="Times New Roman"/>
          <w:sz w:val="24"/>
          <w:szCs w:val="24"/>
        </w:rPr>
        <w:t>ha</w:t>
      </w:r>
      <w:r w:rsidRPr="00166F1F" w:rsidR="00217AE8">
        <w:rPr>
          <w:rFonts w:ascii="Times New Roman" w:hAnsi="Times New Roman" w:cs="Times New Roman"/>
          <w:sz w:val="24"/>
          <w:szCs w:val="24"/>
        </w:rPr>
        <w:t>ve</w:t>
      </w:r>
      <w:r w:rsidRPr="00166F1F" w:rsidR="00D84C9E">
        <w:rPr>
          <w:rFonts w:ascii="Times New Roman" w:hAnsi="Times New Roman" w:cs="Times New Roman"/>
          <w:sz w:val="24"/>
          <w:szCs w:val="24"/>
        </w:rPr>
        <w:t xml:space="preserve"> been used successfully in </w:t>
      </w:r>
      <w:r w:rsidRPr="00166F1F" w:rsidR="00217AE8">
        <w:rPr>
          <w:rFonts w:ascii="Times New Roman" w:hAnsi="Times New Roman" w:cs="Times New Roman"/>
          <w:sz w:val="24"/>
          <w:szCs w:val="24"/>
        </w:rPr>
        <w:t>NCES studies</w:t>
      </w:r>
      <w:r w:rsidRPr="00166F1F" w:rsidR="00D84C9E">
        <w:rPr>
          <w:rFonts w:ascii="Times New Roman" w:hAnsi="Times New Roman" w:cs="Times New Roman"/>
          <w:sz w:val="24"/>
          <w:szCs w:val="24"/>
        </w:rPr>
        <w:t xml:space="preserve"> for </w:t>
      </w:r>
      <w:r w:rsidRPr="00166F1F" w:rsidR="00960C9F">
        <w:rPr>
          <w:rFonts w:ascii="Times New Roman" w:hAnsi="Times New Roman" w:cs="Times New Roman"/>
          <w:sz w:val="24"/>
          <w:szCs w:val="24"/>
        </w:rPr>
        <w:t xml:space="preserve">more than </w:t>
      </w:r>
      <w:r w:rsidRPr="00166F1F" w:rsidR="00D84C9E">
        <w:rPr>
          <w:rFonts w:ascii="Times New Roman" w:hAnsi="Times New Roman" w:cs="Times New Roman"/>
          <w:sz w:val="24"/>
          <w:szCs w:val="24"/>
        </w:rPr>
        <w:t>10 years</w:t>
      </w:r>
      <w:r w:rsidRPr="00166F1F" w:rsidR="009312A8">
        <w:rPr>
          <w:rFonts w:ascii="Times New Roman" w:hAnsi="Times New Roman" w:cs="Times New Roman"/>
          <w:sz w:val="24"/>
          <w:szCs w:val="24"/>
        </w:rPr>
        <w:t xml:space="preserve"> and s</w:t>
      </w:r>
      <w:r w:rsidRPr="00166F1F" w:rsidR="00D84C9E">
        <w:rPr>
          <w:rFonts w:ascii="Times New Roman" w:hAnsi="Times New Roman" w:cs="Times New Roman"/>
          <w:sz w:val="24"/>
          <w:szCs w:val="24"/>
        </w:rPr>
        <w:t>chools will access the</w:t>
      </w:r>
      <w:r w:rsidRPr="00166F1F" w:rsidR="009312A8">
        <w:rPr>
          <w:rFonts w:ascii="Times New Roman" w:hAnsi="Times New Roman" w:cs="Times New Roman"/>
          <w:sz w:val="24"/>
          <w:szCs w:val="24"/>
        </w:rPr>
        <w:t xml:space="preserve"> electronic</w:t>
      </w:r>
      <w:r w:rsidRPr="00166F1F" w:rsidR="00D84C9E">
        <w:rPr>
          <w:rFonts w:ascii="Times New Roman" w:hAnsi="Times New Roman" w:cs="Times New Roman"/>
          <w:sz w:val="24"/>
          <w:szCs w:val="24"/>
        </w:rPr>
        <w:t xml:space="preserve"> system through </w:t>
      </w:r>
      <w:r w:rsidRPr="00166F1F" w:rsidR="001639A5">
        <w:rPr>
          <w:rFonts w:ascii="Times New Roman" w:hAnsi="Times New Roman" w:cs="Times New Roman"/>
          <w:sz w:val="24"/>
          <w:szCs w:val="24"/>
        </w:rPr>
        <w:t>RTI</w:t>
      </w:r>
      <w:r w:rsidRPr="00166F1F" w:rsidR="00CD02E5">
        <w:rPr>
          <w:rFonts w:ascii="Times New Roman" w:hAnsi="Times New Roman" w:cs="Times New Roman"/>
          <w:sz w:val="24"/>
          <w:szCs w:val="24"/>
        </w:rPr>
        <w:t xml:space="preserve"> </w:t>
      </w:r>
      <w:r w:rsidRPr="00166F1F" w:rsidR="00D84C9E">
        <w:rPr>
          <w:rFonts w:ascii="Times New Roman" w:hAnsi="Times New Roman" w:cs="Times New Roman"/>
          <w:sz w:val="24"/>
          <w:szCs w:val="24"/>
        </w:rPr>
        <w:t>TIMSS website.</w:t>
      </w:r>
    </w:p>
    <w:p w:rsidRPr="00166F1F" w:rsidR="003B367F" w:rsidP="0002216F" w:rsidRDefault="003B367F" w14:paraId="41557970" w14:textId="6CFED142">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A mobile computer lab will be set up for the student session at each participating school. The student session will be completed on tablet-like Chromebook computers with touchscreen capability and an attached keyboard</w:t>
      </w:r>
      <w:r w:rsidR="00ED6201">
        <w:rPr>
          <w:rFonts w:ascii="Times New Roman" w:hAnsi="Times New Roman" w:cs="Times New Roman"/>
          <w:sz w:val="24"/>
          <w:szCs w:val="24"/>
        </w:rPr>
        <w:t xml:space="preserve"> and mouse</w:t>
      </w:r>
      <w:r w:rsidRPr="00166F1F">
        <w:rPr>
          <w:rFonts w:ascii="Times New Roman" w:hAnsi="Times New Roman" w:cs="Times New Roman"/>
          <w:sz w:val="24"/>
          <w:szCs w:val="24"/>
        </w:rPr>
        <w:t>. The computerized assessment is made possible by connecting the Chromebooks to an independent local area network (LAN) housed on a laptop computer set up at the school by study field staff.</w:t>
      </w:r>
      <w:r w:rsidRPr="00166F1F" w:rsidR="00522A3C">
        <w:rPr>
          <w:rFonts w:ascii="Times New Roman" w:hAnsi="Times New Roman" w:cs="Times New Roman"/>
          <w:sz w:val="24"/>
          <w:szCs w:val="24"/>
        </w:rPr>
        <w:t xml:space="preserve"> The eTIMSS player will </w:t>
      </w:r>
      <w:r w:rsidRPr="00166F1F" w:rsidR="00404F5C">
        <w:rPr>
          <w:rFonts w:ascii="Times New Roman" w:hAnsi="Times New Roman" w:cs="Times New Roman"/>
          <w:sz w:val="24"/>
          <w:szCs w:val="24"/>
        </w:rPr>
        <w:t xml:space="preserve">be installed on each Chromebook. </w:t>
      </w:r>
      <w:r w:rsidRPr="00166F1F">
        <w:rPr>
          <w:rFonts w:ascii="Times New Roman" w:hAnsi="Times New Roman" w:cs="Times New Roman"/>
          <w:sz w:val="24"/>
          <w:szCs w:val="24"/>
        </w:rPr>
        <w:t xml:space="preserve">All equipment is provided by the study, and neither the school’s internet access nor any internet access in general is required for the computerized administration of the student session. </w:t>
      </w:r>
    </w:p>
    <w:p w:rsidRPr="00166F1F" w:rsidR="00D84C9E" w:rsidP="00A9768A" w:rsidRDefault="00D84C9E" w14:paraId="2E970A90" w14:textId="393E40A7">
      <w:pPr>
        <w:pStyle w:val="TIMSSOMBHeading2"/>
      </w:pPr>
      <w:bookmarkStart w:name="_Toc115416908" w:id="11"/>
      <w:bookmarkStart w:name="_Toc115417053" w:id="12"/>
      <w:bookmarkStart w:name="_Toc359323836" w:id="13"/>
      <w:bookmarkStart w:name="_Toc58475961" w:id="14"/>
      <w:r w:rsidRPr="00166F1F">
        <w:t>A.4</w:t>
      </w:r>
      <w:r w:rsidRPr="00166F1F">
        <w:tab/>
        <w:t>Efforts to Identify Duplication</w:t>
      </w:r>
      <w:bookmarkEnd w:id="11"/>
      <w:bookmarkEnd w:id="12"/>
      <w:bookmarkEnd w:id="13"/>
      <w:bookmarkEnd w:id="14"/>
    </w:p>
    <w:p w:rsidRPr="00166F1F" w:rsidR="00D84C9E" w:rsidP="003C653B" w:rsidRDefault="00D84C9E" w14:paraId="737CF001" w14:textId="7C202166">
      <w:pPr>
        <w:widowControl w:val="0"/>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w:t>
      </w:r>
      <w:r w:rsidR="006034AA">
        <w:rPr>
          <w:rFonts w:ascii="Times New Roman" w:hAnsi="Times New Roman" w:cs="Times New Roman"/>
          <w:sz w:val="24"/>
          <w:szCs w:val="24"/>
        </w:rPr>
        <w:t xml:space="preserve">The </w:t>
      </w:r>
      <w:r w:rsidRPr="00166F1F">
        <w:rPr>
          <w:rFonts w:ascii="Times New Roman" w:hAnsi="Times New Roman" w:cs="Times New Roman"/>
          <w:sz w:val="24"/>
          <w:szCs w:val="24"/>
        </w:rPr>
        <w:t>TIMSS 20</w:t>
      </w:r>
      <w:r w:rsidRPr="00166F1F" w:rsidR="002239A7">
        <w:rPr>
          <w:rFonts w:ascii="Times New Roman" w:hAnsi="Times New Roman" w:cs="Times New Roman"/>
          <w:sz w:val="24"/>
          <w:szCs w:val="24"/>
        </w:rPr>
        <w:t>23 field test</w:t>
      </w:r>
      <w:r w:rsidRPr="00166F1F">
        <w:rPr>
          <w:rFonts w:ascii="Times New Roman" w:hAnsi="Times New Roman" w:cs="Times New Roman"/>
          <w:sz w:val="24"/>
          <w:szCs w:val="24"/>
        </w:rPr>
        <w:t xml:space="preserve"> does not duplicate these assessments.</w:t>
      </w:r>
    </w:p>
    <w:p w:rsidRPr="00166F1F" w:rsidR="00D84C9E" w:rsidP="00D35EB9" w:rsidRDefault="00D84C9E" w14:paraId="1B105153" w14:textId="176C2344">
      <w:pPr>
        <w:widowControl w:val="0"/>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TIMSS 20</w:t>
      </w:r>
      <w:r w:rsidRPr="00166F1F" w:rsidR="002F161C">
        <w:rPr>
          <w:rFonts w:ascii="Times New Roman" w:hAnsi="Times New Roman" w:cs="Times New Roman"/>
          <w:sz w:val="24"/>
          <w:szCs w:val="24"/>
        </w:rPr>
        <w:t>23</w:t>
      </w:r>
      <w:r w:rsidRPr="00166F1F">
        <w:rPr>
          <w:rFonts w:ascii="Times New Roman" w:hAnsi="Times New Roman" w:cs="Times New Roman"/>
          <w:sz w:val="24"/>
          <w:szCs w:val="24"/>
        </w:rPr>
        <w:t xml:space="preserve"> is part of a program of international cooperative studies of educational achievement supported and funded, in part, by the U.S. Department of Education. These studies represent the U.S. participation in international studies involving approximately 65 countries. As part of international cooperative studies, the United States must collect the same information at the same time as the other </w:t>
      </w:r>
      <w:r w:rsidRPr="00166F1F" w:rsidR="006E4830">
        <w:rPr>
          <w:rFonts w:ascii="Times New Roman" w:hAnsi="Times New Roman" w:cs="Times New Roman"/>
          <w:sz w:val="24"/>
          <w:szCs w:val="24"/>
        </w:rPr>
        <w:t xml:space="preserve">participating </w:t>
      </w:r>
      <w:r w:rsidRPr="00166F1F">
        <w:rPr>
          <w:rFonts w:ascii="Times New Roman" w:hAnsi="Times New Roman" w:cs="Times New Roman"/>
          <w:sz w:val="24"/>
          <w:szCs w:val="24"/>
        </w:rPr>
        <w:t xml:space="preserve">nations for purposes of making both valid international comparisons with other countries and with the previous TIMSS data. While some studies in the United States collect similar, though not identical, </w:t>
      </w:r>
      <w:r w:rsidRPr="00166F1F" w:rsidR="006E4830">
        <w:rPr>
          <w:rFonts w:ascii="Times New Roman" w:hAnsi="Times New Roman" w:cs="Times New Roman"/>
          <w:sz w:val="24"/>
          <w:szCs w:val="24"/>
        </w:rPr>
        <w:t>types</w:t>
      </w:r>
      <w:r w:rsidRPr="00166F1F">
        <w:rPr>
          <w:rFonts w:ascii="Times New Roman" w:hAnsi="Times New Roman" w:cs="Times New Roman"/>
          <w:sz w:val="24"/>
          <w:szCs w:val="24"/>
        </w:rPr>
        <w:t xml:space="preserve"> of information (e.g., NAEP), the data from those studies cannot be substituted for the information collected in TIMSS in that they </w:t>
      </w:r>
      <w:r w:rsidRPr="00166F1F">
        <w:rPr>
          <w:rFonts w:ascii="Times New Roman" w:hAnsi="Times New Roman" w:cs="Times New Roman"/>
          <w:sz w:val="24"/>
          <w:szCs w:val="24"/>
        </w:rPr>
        <w:lastRenderedPageBreak/>
        <w:t xml:space="preserve">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Pr="00166F1F" w:rsidR="006E4830">
        <w:rPr>
          <w:rFonts w:ascii="Times New Roman" w:hAnsi="Times New Roman" w:cs="Times New Roman"/>
          <w:sz w:val="24"/>
          <w:szCs w:val="24"/>
        </w:rPr>
        <w:t>all</w:t>
      </w:r>
      <w:r w:rsidRPr="00166F1F">
        <w:rPr>
          <w:rFonts w:ascii="Times New Roman" w:hAnsi="Times New Roman" w:cs="Times New Roman"/>
          <w:sz w:val="24"/>
          <w:szCs w:val="24"/>
        </w:rPr>
        <w:t xml:space="preserve"> other </w:t>
      </w:r>
      <w:r w:rsidRPr="00166F1F" w:rsidR="006E4830">
        <w:rPr>
          <w:rFonts w:ascii="Times New Roman" w:hAnsi="Times New Roman" w:cs="Times New Roman"/>
          <w:sz w:val="24"/>
          <w:szCs w:val="24"/>
        </w:rPr>
        <w:t xml:space="preserve">participating </w:t>
      </w:r>
      <w:r w:rsidRPr="00166F1F">
        <w:rPr>
          <w:rFonts w:ascii="Times New Roman" w:hAnsi="Times New Roman" w:cs="Times New Roman"/>
          <w:sz w:val="24"/>
          <w:szCs w:val="24"/>
        </w:rPr>
        <w:t>countries. Because the items measuring mathematics and science achievement have been developed with intensive international coordination, any changes to the instruments require international coordination and approval.</w:t>
      </w:r>
    </w:p>
    <w:p w:rsidRPr="00166F1F" w:rsidR="00D84C9E" w:rsidP="00A9768A" w:rsidRDefault="00D84C9E" w14:paraId="5C0C9379" w14:textId="5EE01144">
      <w:pPr>
        <w:pStyle w:val="TIMSSOMBHeading2"/>
      </w:pPr>
      <w:bookmarkStart w:name="_Toc115416909" w:id="15"/>
      <w:bookmarkStart w:name="_Toc115417054" w:id="16"/>
      <w:bookmarkStart w:name="_Toc359323837" w:id="17"/>
      <w:bookmarkStart w:name="_Toc58475962" w:id="18"/>
      <w:r w:rsidRPr="00166F1F">
        <w:t>A.5</w:t>
      </w:r>
      <w:r w:rsidRPr="00166F1F">
        <w:tab/>
        <w:t xml:space="preserve">Minimizing Burden for Small </w:t>
      </w:r>
      <w:bookmarkEnd w:id="15"/>
      <w:bookmarkEnd w:id="16"/>
      <w:r w:rsidRPr="00166F1F">
        <w:t>Entities</w:t>
      </w:r>
      <w:bookmarkEnd w:id="17"/>
      <w:bookmarkEnd w:id="18"/>
    </w:p>
    <w:p w:rsidRPr="00166F1F" w:rsidR="00AB02D9" w:rsidP="0002216F" w:rsidRDefault="00D84C9E" w14:paraId="69827D3E" w14:textId="42B8D03A">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w:t>
      </w:r>
      <w:r w:rsidRPr="00166F1F" w:rsidR="00676A5D">
        <w:rPr>
          <w:rFonts w:ascii="Times New Roman" w:hAnsi="Times New Roman" w:cs="Times New Roman"/>
          <w:sz w:val="24"/>
          <w:szCs w:val="24"/>
        </w:rPr>
        <w:t xml:space="preserve">as much as possible </w:t>
      </w:r>
      <w:r w:rsidRPr="00166F1F">
        <w:rPr>
          <w:rFonts w:ascii="Times New Roman" w:hAnsi="Times New Roman" w:cs="Times New Roman"/>
          <w:sz w:val="24"/>
          <w:szCs w:val="24"/>
        </w:rPr>
        <w:t>overlap with other NCES assessments such as NAEP</w:t>
      </w:r>
      <w:r w:rsidRPr="00166F1F" w:rsidR="001639A5">
        <w:rPr>
          <w:rFonts w:ascii="Times New Roman" w:hAnsi="Times New Roman" w:cs="Times New Roman"/>
          <w:sz w:val="24"/>
          <w:szCs w:val="24"/>
        </w:rPr>
        <w:t xml:space="preserve">. </w:t>
      </w:r>
      <w:r w:rsidRPr="00166F1F">
        <w:rPr>
          <w:rFonts w:ascii="Times New Roman" w:hAnsi="Times New Roman" w:cs="Times New Roman"/>
          <w:sz w:val="24"/>
          <w:szCs w:val="24"/>
        </w:rPr>
        <w:t>In addition, contractor staff will conduct all test administration</w:t>
      </w:r>
      <w:r w:rsidRPr="00166F1F" w:rsidR="00A31725">
        <w:rPr>
          <w:rFonts w:ascii="Times New Roman" w:hAnsi="Times New Roman" w:cs="Times New Roman"/>
          <w:sz w:val="24"/>
          <w:szCs w:val="24"/>
        </w:rPr>
        <w:t>s</w:t>
      </w:r>
      <w:r w:rsidRPr="00166F1F">
        <w:rPr>
          <w:rFonts w:ascii="Times New Roman" w:hAnsi="Times New Roman" w:cs="Times New Roman"/>
          <w:sz w:val="24"/>
          <w:szCs w:val="24"/>
        </w:rPr>
        <w:t xml:space="preserve">, </w:t>
      </w:r>
      <w:r w:rsidRPr="00166F1F" w:rsidR="00A31725">
        <w:rPr>
          <w:rFonts w:ascii="Times New Roman" w:hAnsi="Times New Roman" w:cs="Times New Roman"/>
          <w:sz w:val="24"/>
          <w:szCs w:val="24"/>
        </w:rPr>
        <w:t xml:space="preserve">provide all equipment, </w:t>
      </w:r>
      <w:r w:rsidRPr="00166F1F">
        <w:rPr>
          <w:rFonts w:ascii="Times New Roman" w:hAnsi="Times New Roman" w:cs="Times New Roman"/>
          <w:sz w:val="24"/>
          <w:szCs w:val="24"/>
        </w:rPr>
        <w:t>and will assist with parental notification, sampling, and other tasks as much as possible within each school.</w:t>
      </w:r>
    </w:p>
    <w:p w:rsidRPr="00166F1F" w:rsidR="00D84C9E" w:rsidP="00A9768A" w:rsidRDefault="00D84C9E" w14:paraId="4E0BB021" w14:textId="70581362">
      <w:pPr>
        <w:pStyle w:val="TIMSSOMBHeading2"/>
      </w:pPr>
      <w:bookmarkStart w:name="_Toc115416910" w:id="19"/>
      <w:bookmarkStart w:name="_Toc115417055" w:id="20"/>
      <w:bookmarkStart w:name="_Toc359323838" w:id="21"/>
      <w:bookmarkStart w:name="_Toc58475963" w:id="22"/>
      <w:r w:rsidRPr="00166F1F">
        <w:t>A.6</w:t>
      </w:r>
      <w:r w:rsidRPr="00166F1F">
        <w:tab/>
        <w:t>Frequency of Data Collection</w:t>
      </w:r>
      <w:bookmarkEnd w:id="19"/>
      <w:bookmarkEnd w:id="20"/>
      <w:bookmarkEnd w:id="21"/>
      <w:bookmarkEnd w:id="22"/>
    </w:p>
    <w:p w:rsidRPr="00166F1F" w:rsidR="00D84C9E" w:rsidP="0002216F" w:rsidRDefault="00A31725" w14:paraId="3170BE73" w14:textId="71040821">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The </w:t>
      </w:r>
      <w:r w:rsidRPr="00166F1F" w:rsidR="00F6518C">
        <w:rPr>
          <w:rFonts w:ascii="Times New Roman" w:hAnsi="Times New Roman" w:cs="Times New Roman"/>
          <w:sz w:val="24"/>
          <w:szCs w:val="24"/>
        </w:rPr>
        <w:t xml:space="preserve">TIMSS 2023 field test will </w:t>
      </w:r>
      <w:r w:rsidRPr="00166F1F" w:rsidR="00B63B76">
        <w:rPr>
          <w:rFonts w:ascii="Times New Roman" w:hAnsi="Times New Roman" w:cs="Times New Roman"/>
          <w:sz w:val="24"/>
          <w:szCs w:val="24"/>
        </w:rPr>
        <w:t xml:space="preserve">occur </w:t>
      </w:r>
      <w:r w:rsidRPr="00166F1F" w:rsidR="00D84C9E">
        <w:rPr>
          <w:rFonts w:ascii="Times New Roman" w:hAnsi="Times New Roman" w:cs="Times New Roman"/>
          <w:sz w:val="24"/>
          <w:szCs w:val="24"/>
        </w:rPr>
        <w:t xml:space="preserve">March through April </w:t>
      </w:r>
      <w:r w:rsidRPr="00166F1F">
        <w:rPr>
          <w:rFonts w:ascii="Times New Roman" w:hAnsi="Times New Roman" w:cs="Times New Roman"/>
          <w:sz w:val="24"/>
          <w:szCs w:val="24"/>
        </w:rPr>
        <w:t>20</w:t>
      </w:r>
      <w:r w:rsidRPr="00166F1F" w:rsidR="00381654">
        <w:rPr>
          <w:rFonts w:ascii="Times New Roman" w:hAnsi="Times New Roman" w:cs="Times New Roman"/>
          <w:sz w:val="24"/>
          <w:szCs w:val="24"/>
        </w:rPr>
        <w:t>22</w:t>
      </w:r>
      <w:r w:rsidRPr="00166F1F" w:rsidR="00D84C9E">
        <w:rPr>
          <w:rFonts w:ascii="Times New Roman" w:hAnsi="Times New Roman" w:cs="Times New Roman"/>
          <w:sz w:val="24"/>
          <w:szCs w:val="24"/>
        </w:rPr>
        <w:t xml:space="preserve">. The </w:t>
      </w:r>
      <w:r w:rsidRPr="00166F1F" w:rsidR="00837DB4">
        <w:rPr>
          <w:rFonts w:ascii="Times New Roman" w:hAnsi="Times New Roman" w:cs="Times New Roman"/>
          <w:sz w:val="24"/>
          <w:szCs w:val="24"/>
        </w:rPr>
        <w:t>main study</w:t>
      </w:r>
      <w:r w:rsidRPr="00166F1F" w:rsidR="00D84C9E">
        <w:rPr>
          <w:rFonts w:ascii="Times New Roman" w:hAnsi="Times New Roman" w:cs="Times New Roman"/>
          <w:sz w:val="24"/>
          <w:szCs w:val="24"/>
        </w:rPr>
        <w:t xml:space="preserve"> data collection is scheduled for </w:t>
      </w:r>
      <w:r w:rsidRPr="00166F1F" w:rsidR="00FD2041">
        <w:rPr>
          <w:rFonts w:ascii="Times New Roman" w:hAnsi="Times New Roman" w:cs="Times New Roman"/>
          <w:sz w:val="24"/>
          <w:szCs w:val="24"/>
        </w:rPr>
        <w:t>March through April</w:t>
      </w:r>
      <w:r w:rsidRPr="00166F1F" w:rsidR="009F743C">
        <w:rPr>
          <w:rFonts w:ascii="Times New Roman" w:hAnsi="Times New Roman" w:cs="Times New Roman"/>
          <w:sz w:val="24"/>
          <w:szCs w:val="24"/>
        </w:rPr>
        <w:t xml:space="preserve"> </w:t>
      </w:r>
      <w:r w:rsidRPr="00166F1F" w:rsidR="00D84C9E">
        <w:rPr>
          <w:rFonts w:ascii="Times New Roman" w:hAnsi="Times New Roman" w:cs="Times New Roman"/>
          <w:sz w:val="24"/>
          <w:szCs w:val="24"/>
        </w:rPr>
        <w:t>20</w:t>
      </w:r>
      <w:r w:rsidRPr="00166F1F" w:rsidR="00381654">
        <w:rPr>
          <w:rFonts w:ascii="Times New Roman" w:hAnsi="Times New Roman" w:cs="Times New Roman"/>
          <w:sz w:val="24"/>
          <w:szCs w:val="24"/>
        </w:rPr>
        <w:t>23</w:t>
      </w:r>
      <w:r w:rsidRPr="00166F1F" w:rsidR="00D84C9E">
        <w:rPr>
          <w:rFonts w:ascii="Times New Roman" w:hAnsi="Times New Roman" w:cs="Times New Roman"/>
          <w:sz w:val="24"/>
          <w:szCs w:val="24"/>
        </w:rPr>
        <w:t>. This schedule is prescribed by the international collective for TIMSS, and adherence to this schedule is necessary to establish consistency in survey operations among participating countries as well as to maintain trend lines.</w:t>
      </w:r>
    </w:p>
    <w:p w:rsidRPr="00166F1F" w:rsidR="00D84C9E" w:rsidP="00A9768A" w:rsidRDefault="00D84C9E" w14:paraId="4D472129" w14:textId="6EF82AAE">
      <w:pPr>
        <w:pStyle w:val="TIMSSOMBHeading2"/>
      </w:pPr>
      <w:bookmarkStart w:name="_Toc115416911" w:id="23"/>
      <w:bookmarkStart w:name="_Toc115417056" w:id="24"/>
      <w:bookmarkStart w:name="_Toc359323839" w:id="25"/>
      <w:bookmarkStart w:name="_Toc58475964" w:id="26"/>
      <w:r w:rsidRPr="00166F1F">
        <w:t>A.7</w:t>
      </w:r>
      <w:r w:rsidRPr="00166F1F">
        <w:tab/>
        <w:t>Special Circumstances</w:t>
      </w:r>
      <w:bookmarkEnd w:id="23"/>
      <w:bookmarkEnd w:id="24"/>
      <w:bookmarkEnd w:id="25"/>
      <w:bookmarkEnd w:id="26"/>
    </w:p>
    <w:p w:rsidRPr="00166F1F" w:rsidR="00D84C9E" w:rsidP="0002216F" w:rsidRDefault="00D84C9E" w14:paraId="3CD00480" w14:textId="77777777">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None of the special circumstances identified in the Instructions for Supporting Statement apply to the TIMSS study.</w:t>
      </w:r>
    </w:p>
    <w:p w:rsidRPr="00166F1F" w:rsidR="00D84C9E" w:rsidP="00A9768A" w:rsidRDefault="00D84C9E" w14:paraId="13497DD7" w14:textId="2D765DB5">
      <w:pPr>
        <w:pStyle w:val="TIMSSOMBHeading2"/>
      </w:pPr>
      <w:bookmarkStart w:name="_Toc115416912" w:id="27"/>
      <w:bookmarkStart w:name="_Toc115417057" w:id="28"/>
      <w:bookmarkStart w:name="_Toc359323840" w:id="29"/>
      <w:bookmarkStart w:name="_Toc58475965" w:id="30"/>
      <w:r w:rsidRPr="00166F1F">
        <w:t>A.8</w:t>
      </w:r>
      <w:r w:rsidRPr="00166F1F">
        <w:tab/>
        <w:t>Consultations outside NCES</w:t>
      </w:r>
      <w:bookmarkEnd w:id="27"/>
      <w:bookmarkEnd w:id="28"/>
      <w:bookmarkEnd w:id="29"/>
      <w:bookmarkEnd w:id="30"/>
    </w:p>
    <w:p w:rsidRPr="00166F1F" w:rsidR="00D84C9E" w:rsidP="0002216F" w:rsidRDefault="00D84C9E" w14:paraId="056D64B2" w14:textId="77777777">
      <w:pPr>
        <w:spacing w:after="120" w:line="23" w:lineRule="atLeast"/>
        <w:rPr>
          <w:rFonts w:ascii="Times New Roman" w:hAnsi="Times New Roman" w:cs="Times New Roman"/>
          <w:b/>
          <w:iCs/>
          <w:sz w:val="24"/>
          <w:szCs w:val="24"/>
        </w:rPr>
      </w:pPr>
      <w:r w:rsidRPr="00166F1F">
        <w:rPr>
          <w:rFonts w:ascii="Times New Roman" w:hAnsi="Times New Roman" w:cs="Times New Roman"/>
          <w:sz w:val="24"/>
          <w:szCs w:val="24"/>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rsidRPr="00166F1F" w:rsidR="00D84C9E" w:rsidP="0002216F" w:rsidRDefault="00D84C9E" w14:paraId="50BCADFF" w14:textId="43177BBF">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The majority of the consultations (outside NCES) have involved the </w:t>
      </w:r>
      <w:r w:rsidRPr="00166F1F" w:rsidR="00C95AAF">
        <w:rPr>
          <w:rFonts w:ascii="Times New Roman" w:hAnsi="Times New Roman" w:cs="Times New Roman"/>
          <w:sz w:val="24"/>
          <w:szCs w:val="24"/>
        </w:rPr>
        <w:t>IEA</w:t>
      </w:r>
      <w:r w:rsidRPr="00166F1F" w:rsidR="005D767F">
        <w:rPr>
          <w:rFonts w:ascii="Times New Roman" w:hAnsi="Times New Roman" w:cs="Times New Roman"/>
          <w:sz w:val="24"/>
          <w:szCs w:val="24"/>
        </w:rPr>
        <w:t>-</w:t>
      </w:r>
      <w:r w:rsidRPr="00166F1F" w:rsidR="00C95AAF">
        <w:rPr>
          <w:rFonts w:ascii="Times New Roman" w:hAnsi="Times New Roman" w:cs="Times New Roman"/>
          <w:sz w:val="24"/>
          <w:szCs w:val="24"/>
        </w:rPr>
        <w:t xml:space="preserve">Amsterdam, </w:t>
      </w:r>
      <w:r w:rsidRPr="00166F1F" w:rsidR="005D767F">
        <w:rPr>
          <w:rFonts w:ascii="Times New Roman" w:hAnsi="Times New Roman" w:cs="Times New Roman"/>
          <w:sz w:val="24"/>
          <w:szCs w:val="24"/>
        </w:rPr>
        <w:t xml:space="preserve">in </w:t>
      </w:r>
      <w:r w:rsidRPr="00166F1F" w:rsidR="00C95AAF">
        <w:rPr>
          <w:rFonts w:ascii="Times New Roman" w:hAnsi="Times New Roman" w:cs="Times New Roman"/>
          <w:sz w:val="24"/>
          <w:szCs w:val="24"/>
        </w:rPr>
        <w:t xml:space="preserve">the Netherlands, </w:t>
      </w:r>
      <w:r w:rsidRPr="00166F1F" w:rsidR="005D767F">
        <w:rPr>
          <w:rFonts w:ascii="Times New Roman" w:hAnsi="Times New Roman" w:cs="Times New Roman"/>
          <w:sz w:val="24"/>
          <w:szCs w:val="24"/>
        </w:rPr>
        <w:t xml:space="preserve">the IEA-Data Processing Center (DPC) in </w:t>
      </w:r>
      <w:r w:rsidRPr="00166F1F" w:rsidR="00C95AAF">
        <w:rPr>
          <w:rFonts w:ascii="Times New Roman" w:hAnsi="Times New Roman" w:cs="Times New Roman"/>
          <w:sz w:val="24"/>
          <w:szCs w:val="24"/>
        </w:rPr>
        <w:t xml:space="preserve">Hamburg, Germany, and the </w:t>
      </w:r>
      <w:r w:rsidRPr="00166F1F">
        <w:rPr>
          <w:rFonts w:ascii="Times New Roman" w:hAnsi="Times New Roman" w:cs="Times New Roman"/>
          <w:sz w:val="24"/>
          <w:szCs w:val="24"/>
        </w:rPr>
        <w:t xml:space="preserve">TIMSS International Study Center </w:t>
      </w:r>
      <w:r w:rsidRPr="00166F1F" w:rsidR="005D767F">
        <w:rPr>
          <w:rFonts w:ascii="Times New Roman" w:hAnsi="Times New Roman" w:cs="Times New Roman"/>
          <w:sz w:val="24"/>
          <w:szCs w:val="24"/>
        </w:rPr>
        <w:t xml:space="preserve">(ISC) </w:t>
      </w:r>
      <w:r w:rsidRPr="00166F1F">
        <w:rPr>
          <w:rFonts w:ascii="Times New Roman" w:hAnsi="Times New Roman" w:cs="Times New Roman"/>
          <w:sz w:val="24"/>
          <w:szCs w:val="24"/>
        </w:rPr>
        <w:t xml:space="preserve">at Boston College in the United States. Key to these ongoing consultations are: </w:t>
      </w:r>
      <w:r w:rsidRPr="00166F1F" w:rsidR="002727AF">
        <w:rPr>
          <w:rFonts w:ascii="Times New Roman" w:hAnsi="Times New Roman" w:cs="Times New Roman"/>
          <w:sz w:val="24"/>
          <w:szCs w:val="24"/>
        </w:rPr>
        <w:t xml:space="preserve">Dirk Hastedt </w:t>
      </w:r>
      <w:r w:rsidRPr="00166F1F">
        <w:rPr>
          <w:rFonts w:ascii="Times New Roman" w:hAnsi="Times New Roman" w:cs="Times New Roman"/>
          <w:sz w:val="24"/>
          <w:szCs w:val="24"/>
        </w:rPr>
        <w:t xml:space="preserve">(executive director of the IEA); </w:t>
      </w:r>
      <w:r w:rsidRPr="00166F1F" w:rsidR="005D767F">
        <w:rPr>
          <w:rFonts w:ascii="Times New Roman" w:hAnsi="Times New Roman" w:cs="Times New Roman"/>
          <w:sz w:val="24"/>
          <w:szCs w:val="24"/>
        </w:rPr>
        <w:t xml:space="preserve">Oliver Neuschmidt (head of the IEA Data Processing and Research Center); </w:t>
      </w:r>
      <w:r w:rsidRPr="00166F1F">
        <w:rPr>
          <w:rFonts w:ascii="Times New Roman" w:hAnsi="Times New Roman" w:cs="Times New Roman"/>
          <w:sz w:val="24"/>
          <w:szCs w:val="24"/>
        </w:rPr>
        <w:t xml:space="preserve">Michael Martin, Ina V.S. Mullis, </w:t>
      </w:r>
      <w:r w:rsidR="006034AA">
        <w:rPr>
          <w:rFonts w:ascii="Times New Roman" w:hAnsi="Times New Roman" w:cs="Times New Roman"/>
          <w:sz w:val="24"/>
          <w:szCs w:val="24"/>
        </w:rPr>
        <w:t xml:space="preserve">Dana Kelly, and </w:t>
      </w:r>
      <w:r w:rsidRPr="00166F1F">
        <w:rPr>
          <w:rFonts w:ascii="Times New Roman" w:hAnsi="Times New Roman" w:cs="Times New Roman"/>
          <w:sz w:val="24"/>
          <w:szCs w:val="24"/>
        </w:rPr>
        <w:t>Victoria Centurino</w:t>
      </w:r>
      <w:r w:rsidR="006034AA">
        <w:rPr>
          <w:rFonts w:ascii="Times New Roman" w:hAnsi="Times New Roman" w:cs="Times New Roman"/>
          <w:sz w:val="24"/>
          <w:szCs w:val="24"/>
        </w:rPr>
        <w:t xml:space="preserve"> </w:t>
      </w:r>
      <w:r w:rsidRPr="00166F1F" w:rsidR="005D767F">
        <w:rPr>
          <w:rFonts w:ascii="Times New Roman" w:hAnsi="Times New Roman" w:cs="Times New Roman"/>
          <w:sz w:val="24"/>
          <w:szCs w:val="24"/>
        </w:rPr>
        <w:t>(directors of the ISC TIMSS teams)</w:t>
      </w:r>
      <w:r w:rsidRPr="00166F1F">
        <w:rPr>
          <w:rFonts w:ascii="Times New Roman" w:hAnsi="Times New Roman" w:cs="Times New Roman"/>
          <w:sz w:val="24"/>
          <w:szCs w:val="24"/>
        </w:rPr>
        <w:t>, all of whom have extensive experience in developing and operating international education surveys (especially related to TIMSS).</w:t>
      </w:r>
    </w:p>
    <w:p w:rsidRPr="00166F1F" w:rsidR="00D84C9E" w:rsidP="00A9768A" w:rsidRDefault="00D84C9E" w14:paraId="716BE55A" w14:textId="21F3AA7B">
      <w:pPr>
        <w:pStyle w:val="TIMSSOMBHeading2"/>
      </w:pPr>
      <w:bookmarkStart w:name="_Toc115416913" w:id="31"/>
      <w:bookmarkStart w:name="_Toc115417058" w:id="32"/>
      <w:bookmarkStart w:name="_Toc359323841" w:id="33"/>
      <w:bookmarkStart w:name="_Toc58475966" w:id="34"/>
      <w:r w:rsidRPr="00166F1F">
        <w:t>A.9</w:t>
      </w:r>
      <w:r w:rsidRPr="00166F1F">
        <w:tab/>
      </w:r>
      <w:r w:rsidRPr="00166F1F" w:rsidR="0035393A">
        <w:t xml:space="preserve">Provisions of </w:t>
      </w:r>
      <w:r w:rsidRPr="00166F1F">
        <w:t>Payments or Gifts to Respondents</w:t>
      </w:r>
      <w:bookmarkEnd w:id="31"/>
      <w:bookmarkEnd w:id="32"/>
      <w:bookmarkEnd w:id="33"/>
      <w:bookmarkEnd w:id="34"/>
    </w:p>
    <w:p w:rsidRPr="00166F1F" w:rsidR="00396EA4" w:rsidP="00396EA4" w:rsidRDefault="005767D9" w14:paraId="549C2672" w14:textId="7EBBFD91">
      <w:pPr>
        <w:widowControl w:val="0"/>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In order to achieve acceptable response rates in international studies, </w:t>
      </w:r>
      <w:r w:rsidR="00211B6C">
        <w:rPr>
          <w:rFonts w:ascii="Times New Roman" w:hAnsi="Times New Roman" w:cs="Times New Roman"/>
          <w:sz w:val="24"/>
          <w:szCs w:val="24"/>
        </w:rPr>
        <w:t xml:space="preserve">incentives are typically offered at the school, school staff, and student level to </w:t>
      </w:r>
      <w:r w:rsidRPr="00166F1F">
        <w:rPr>
          <w:rFonts w:ascii="Times New Roman" w:hAnsi="Times New Roman" w:cs="Times New Roman"/>
          <w:sz w:val="24"/>
          <w:szCs w:val="24"/>
        </w:rPr>
        <w:t xml:space="preserve">thank them for their participation and the time they invest in and the space they make available for the international assessments. High response rates are required by both IEA and </w:t>
      </w:r>
      <w:r w:rsidRPr="00166F1F" w:rsidR="00A136A9">
        <w:rPr>
          <w:rFonts w:ascii="Times New Roman" w:hAnsi="Times New Roman" w:cs="Times New Roman"/>
          <w:sz w:val="24"/>
          <w:szCs w:val="24"/>
        </w:rPr>
        <w:t>NCES and</w:t>
      </w:r>
      <w:r w:rsidRPr="00166F1F">
        <w:rPr>
          <w:rFonts w:ascii="Times New Roman" w:hAnsi="Times New Roman" w:cs="Times New Roman"/>
          <w:sz w:val="24"/>
          <w:szCs w:val="24"/>
        </w:rPr>
        <w:t xml:space="preserve"> are difficult to achieve in school-based studies. The U.S. has historically had difficulties in achieving sufficient participation levels. </w:t>
      </w:r>
      <w:r w:rsidR="00396EA4">
        <w:rPr>
          <w:rFonts w:ascii="Times New Roman" w:hAnsi="Times New Roman" w:cs="Times New Roman"/>
          <w:sz w:val="24"/>
          <w:szCs w:val="24"/>
        </w:rPr>
        <w:t>The list of incentives for TIMSS 2023 are introduced in Table 1, followed by a description and justification for each.</w:t>
      </w:r>
      <w:r w:rsidRPr="00166F1F" w:rsidR="00396EA4">
        <w:rPr>
          <w:rFonts w:ascii="Times New Roman" w:hAnsi="Times New Roman" w:cs="Times New Roman"/>
          <w:sz w:val="24"/>
          <w:szCs w:val="24"/>
        </w:rPr>
        <w:t xml:space="preserve"> </w:t>
      </w:r>
    </w:p>
    <w:p w:rsidR="00396EA4" w:rsidRDefault="00396EA4" w14:paraId="6E7F0F2F" w14:textId="7DBFAF79">
      <w:pPr>
        <w:rPr>
          <w:rFonts w:ascii="Times New Roman" w:hAnsi="Times New Roman" w:cs="Times New Roman"/>
        </w:rPr>
      </w:pPr>
      <w:r>
        <w:rPr>
          <w:rFonts w:ascii="Times New Roman" w:hAnsi="Times New Roman" w:cs="Times New Roman"/>
        </w:rPr>
        <w:br w:type="page"/>
      </w:r>
    </w:p>
    <w:p w:rsidRPr="00A95D5A" w:rsidR="0035393A" w:rsidP="00FE0EE5" w:rsidRDefault="0035393A" w14:paraId="16D9041B" w14:textId="69ED18D3">
      <w:pPr>
        <w:widowControl w:val="0"/>
        <w:spacing w:after="60" w:line="23" w:lineRule="atLeast"/>
        <w:ind w:left="450"/>
        <w:rPr>
          <w:rFonts w:ascii="Times New Roman" w:hAnsi="Times New Roman" w:cs="Times New Roman"/>
          <w:b/>
          <w:bCs/>
        </w:rPr>
      </w:pPr>
      <w:r w:rsidRPr="00A95D5A">
        <w:rPr>
          <w:rFonts w:ascii="Times New Roman" w:hAnsi="Times New Roman" w:cs="Times New Roman"/>
          <w:b/>
          <w:bCs/>
        </w:rPr>
        <w:lastRenderedPageBreak/>
        <w:t xml:space="preserve">Table 1. TIMSS 2023 Field Test </w:t>
      </w:r>
      <w:r w:rsidRPr="00A95D5A" w:rsidR="00856F5A">
        <w:rPr>
          <w:rFonts w:ascii="Times New Roman" w:hAnsi="Times New Roman" w:cs="Times New Roman"/>
          <w:b/>
          <w:bCs/>
        </w:rPr>
        <w:t>Incentive Amounts</w:t>
      </w:r>
    </w:p>
    <w:tbl>
      <w:tblPr>
        <w:tblStyle w:val="GridTable1Light"/>
        <w:tblW w:w="9805" w:type="dxa"/>
        <w:jc w:val="center"/>
        <w:tblLook w:val="0620" w:firstRow="1" w:lastRow="0" w:firstColumn="0" w:lastColumn="0" w:noHBand="1" w:noVBand="1"/>
      </w:tblPr>
      <w:tblGrid>
        <w:gridCol w:w="2335"/>
        <w:gridCol w:w="7470"/>
      </w:tblGrid>
      <w:tr w:rsidR="00E973B9" w:rsidTr="00396EA4" w14:paraId="3BFEB018" w14:textId="77777777">
        <w:trPr>
          <w:cnfStyle w:val="100000000000" w:firstRow="1" w:lastRow="0" w:firstColumn="0" w:lastColumn="0" w:oddVBand="0" w:evenVBand="0" w:oddHBand="0" w:evenHBand="0" w:firstRowFirstColumn="0" w:firstRowLastColumn="0" w:lastRowFirstColumn="0" w:lastRowLastColumn="0"/>
          <w:jc w:val="center"/>
        </w:trPr>
        <w:tc>
          <w:tcPr>
            <w:tcW w:w="2335" w:type="dxa"/>
          </w:tcPr>
          <w:p w:rsidR="00E973B9" w:rsidP="0035393A" w:rsidRDefault="00E973B9" w14:paraId="548998F0" w14:textId="1B9DDFED">
            <w:r>
              <w:t>Participant</w:t>
            </w:r>
          </w:p>
        </w:tc>
        <w:tc>
          <w:tcPr>
            <w:tcW w:w="7470" w:type="dxa"/>
          </w:tcPr>
          <w:p w:rsidR="00E973B9" w:rsidP="0035393A" w:rsidRDefault="00E973B9" w14:paraId="3DBD1012" w14:textId="028B5F5C">
            <w:r>
              <w:t>Incentive</w:t>
            </w:r>
          </w:p>
        </w:tc>
      </w:tr>
      <w:tr w:rsidR="00E973B9" w:rsidTr="00396EA4" w14:paraId="40E02873" w14:textId="77777777">
        <w:trPr>
          <w:jc w:val="center"/>
        </w:trPr>
        <w:tc>
          <w:tcPr>
            <w:tcW w:w="2335" w:type="dxa"/>
          </w:tcPr>
          <w:p w:rsidRPr="00A95D5A" w:rsidR="00E973B9" w:rsidP="0035393A" w:rsidRDefault="00E973B9" w14:paraId="34B653CC" w14:textId="5545FC4B">
            <w:pPr>
              <w:rPr>
                <w:sz w:val="20"/>
                <w:szCs w:val="20"/>
              </w:rPr>
            </w:pPr>
            <w:r w:rsidRPr="00A95D5A">
              <w:rPr>
                <w:sz w:val="20"/>
                <w:szCs w:val="20"/>
              </w:rPr>
              <w:t>School</w:t>
            </w:r>
          </w:p>
        </w:tc>
        <w:tc>
          <w:tcPr>
            <w:tcW w:w="7470" w:type="dxa"/>
          </w:tcPr>
          <w:p w:rsidR="00E973B9" w:rsidP="0035393A" w:rsidRDefault="00E973B9" w14:paraId="7BD8419F" w14:textId="10123D90">
            <w:pPr>
              <w:rPr>
                <w:sz w:val="20"/>
                <w:szCs w:val="20"/>
              </w:rPr>
            </w:pPr>
            <w:r w:rsidRPr="00A95D5A">
              <w:rPr>
                <w:sz w:val="20"/>
                <w:szCs w:val="20"/>
              </w:rPr>
              <w:t>$200 or</w:t>
            </w:r>
            <w:r>
              <w:rPr>
                <w:sz w:val="20"/>
                <w:szCs w:val="20"/>
              </w:rPr>
              <w:t xml:space="preserve"> equivalent gift certificate for school supplies</w:t>
            </w:r>
          </w:p>
          <w:p w:rsidRPr="00A95D5A" w:rsidR="00E973B9" w:rsidP="0035393A" w:rsidRDefault="00E973B9" w14:paraId="6C49FD56" w14:textId="77777777">
            <w:pPr>
              <w:rPr>
                <w:sz w:val="20"/>
                <w:szCs w:val="20"/>
              </w:rPr>
            </w:pPr>
          </w:p>
          <w:p w:rsidR="00E973B9" w:rsidP="0035393A" w:rsidRDefault="00E973B9" w14:paraId="3A289FD0" w14:textId="2ADB1B45">
            <w:pPr>
              <w:rPr>
                <w:sz w:val="20"/>
                <w:szCs w:val="20"/>
              </w:rPr>
            </w:pPr>
            <w:r w:rsidRPr="00A95D5A">
              <w:rPr>
                <w:sz w:val="20"/>
                <w:szCs w:val="20"/>
              </w:rPr>
              <w:t>$800</w:t>
            </w:r>
            <w:r>
              <w:rPr>
                <w:sz w:val="20"/>
                <w:szCs w:val="20"/>
              </w:rPr>
              <w:t xml:space="preserve"> or equivalent gift certificate</w:t>
            </w:r>
            <w:r w:rsidRPr="00A95D5A">
              <w:rPr>
                <w:sz w:val="20"/>
                <w:szCs w:val="20"/>
              </w:rPr>
              <w:t xml:space="preserve"> for schools with previous low rates of participation</w:t>
            </w:r>
            <w:r>
              <w:rPr>
                <w:sz w:val="20"/>
                <w:szCs w:val="20"/>
              </w:rPr>
              <w:t xml:space="preserve"> (private schools, public schools selected for other NCES national studies, and all substitute schools)</w:t>
            </w:r>
          </w:p>
          <w:p w:rsidR="00E973B9" w:rsidP="0035393A" w:rsidRDefault="00E973B9" w14:paraId="5F59352C" w14:textId="77777777">
            <w:pPr>
              <w:rPr>
                <w:sz w:val="20"/>
                <w:szCs w:val="20"/>
              </w:rPr>
            </w:pPr>
          </w:p>
          <w:p w:rsidRPr="00A95D5A" w:rsidR="00E973B9" w:rsidP="0035393A" w:rsidRDefault="00E973B9" w14:paraId="51B99319" w14:textId="5FB4C9D2">
            <w:pPr>
              <w:rPr>
                <w:sz w:val="20"/>
                <w:szCs w:val="20"/>
              </w:rPr>
            </w:pPr>
            <w:r>
              <w:rPr>
                <w:sz w:val="20"/>
                <w:szCs w:val="20"/>
              </w:rPr>
              <w:t>Interactive webinar (</w:t>
            </w:r>
            <w:r w:rsidR="006034AA">
              <w:rPr>
                <w:sz w:val="20"/>
                <w:szCs w:val="20"/>
              </w:rPr>
              <w:t xml:space="preserve">for </w:t>
            </w:r>
            <w:r>
              <w:rPr>
                <w:sz w:val="20"/>
                <w:szCs w:val="20"/>
              </w:rPr>
              <w:t xml:space="preserve">up to 3 staff) for schools to select one topic of either social </w:t>
            </w:r>
            <w:r w:rsidR="00656556">
              <w:rPr>
                <w:sz w:val="20"/>
                <w:szCs w:val="20"/>
              </w:rPr>
              <w:t>and</w:t>
            </w:r>
            <w:r>
              <w:rPr>
                <w:sz w:val="20"/>
                <w:szCs w:val="20"/>
              </w:rPr>
              <w:t xml:space="preserve"> emotional learning, project-based learning, or STEM</w:t>
            </w:r>
          </w:p>
        </w:tc>
      </w:tr>
      <w:tr w:rsidR="00E973B9" w:rsidTr="00396EA4" w14:paraId="60C33227" w14:textId="77777777">
        <w:trPr>
          <w:jc w:val="center"/>
        </w:trPr>
        <w:tc>
          <w:tcPr>
            <w:tcW w:w="2335" w:type="dxa"/>
          </w:tcPr>
          <w:p w:rsidRPr="00A95D5A" w:rsidR="00E973B9" w:rsidP="0035393A" w:rsidRDefault="00E973B9" w14:paraId="727C92C0" w14:textId="7942004E">
            <w:pPr>
              <w:rPr>
                <w:sz w:val="20"/>
                <w:szCs w:val="20"/>
              </w:rPr>
            </w:pPr>
            <w:r w:rsidRPr="00A95D5A">
              <w:rPr>
                <w:sz w:val="20"/>
                <w:szCs w:val="20"/>
              </w:rPr>
              <w:t>School coordinator</w:t>
            </w:r>
          </w:p>
        </w:tc>
        <w:tc>
          <w:tcPr>
            <w:tcW w:w="7470" w:type="dxa"/>
          </w:tcPr>
          <w:p w:rsidRPr="00A95D5A" w:rsidR="00E973B9" w:rsidP="0035393A" w:rsidRDefault="00E973B9" w14:paraId="3016BAD3" w14:textId="7082A1B0">
            <w:pPr>
              <w:rPr>
                <w:sz w:val="20"/>
                <w:szCs w:val="20"/>
              </w:rPr>
            </w:pPr>
            <w:r w:rsidRPr="00A95D5A">
              <w:rPr>
                <w:sz w:val="20"/>
                <w:szCs w:val="20"/>
              </w:rPr>
              <w:t>$100</w:t>
            </w:r>
            <w:r>
              <w:rPr>
                <w:sz w:val="20"/>
                <w:szCs w:val="20"/>
              </w:rPr>
              <w:t xml:space="preserve"> or equivalent gift certificate for school supplies</w:t>
            </w:r>
          </w:p>
        </w:tc>
      </w:tr>
      <w:tr w:rsidR="00E973B9" w:rsidTr="00396EA4" w14:paraId="14522E6D" w14:textId="77777777">
        <w:trPr>
          <w:jc w:val="center"/>
        </w:trPr>
        <w:tc>
          <w:tcPr>
            <w:tcW w:w="2335" w:type="dxa"/>
          </w:tcPr>
          <w:p w:rsidRPr="00A95D5A" w:rsidR="00E973B9" w:rsidP="0035393A" w:rsidRDefault="00E973B9" w14:paraId="3B67FC14" w14:textId="4BF3FF5F">
            <w:pPr>
              <w:rPr>
                <w:sz w:val="20"/>
                <w:szCs w:val="20"/>
              </w:rPr>
            </w:pPr>
            <w:r w:rsidRPr="00A95D5A">
              <w:rPr>
                <w:sz w:val="20"/>
                <w:szCs w:val="20"/>
              </w:rPr>
              <w:t>Teacher</w:t>
            </w:r>
          </w:p>
        </w:tc>
        <w:tc>
          <w:tcPr>
            <w:tcW w:w="7470" w:type="dxa"/>
          </w:tcPr>
          <w:p w:rsidRPr="00A95D5A" w:rsidR="00E973B9" w:rsidP="0035393A" w:rsidRDefault="00E973B9" w14:paraId="1F3E530D" w14:textId="07C166AA">
            <w:pPr>
              <w:rPr>
                <w:sz w:val="20"/>
                <w:szCs w:val="20"/>
              </w:rPr>
            </w:pPr>
            <w:r w:rsidRPr="00A95D5A">
              <w:rPr>
                <w:sz w:val="20"/>
                <w:szCs w:val="20"/>
              </w:rPr>
              <w:t xml:space="preserve">$25 or equivalent in gift card for school supplies </w:t>
            </w:r>
          </w:p>
        </w:tc>
      </w:tr>
      <w:tr w:rsidR="00E973B9" w:rsidTr="00396EA4" w14:paraId="178EF2A9" w14:textId="77777777">
        <w:trPr>
          <w:jc w:val="center"/>
        </w:trPr>
        <w:tc>
          <w:tcPr>
            <w:tcW w:w="2335" w:type="dxa"/>
          </w:tcPr>
          <w:p w:rsidRPr="00A95D5A" w:rsidR="00E973B9" w:rsidP="0035393A" w:rsidRDefault="00E973B9" w14:paraId="2FCBCC43" w14:textId="0D470811">
            <w:pPr>
              <w:rPr>
                <w:sz w:val="20"/>
                <w:szCs w:val="20"/>
              </w:rPr>
            </w:pPr>
            <w:r w:rsidRPr="00A95D5A">
              <w:rPr>
                <w:sz w:val="20"/>
                <w:szCs w:val="20"/>
              </w:rPr>
              <w:t>Student</w:t>
            </w:r>
          </w:p>
        </w:tc>
        <w:tc>
          <w:tcPr>
            <w:tcW w:w="7470" w:type="dxa"/>
          </w:tcPr>
          <w:p w:rsidRPr="00A95D5A" w:rsidR="00E973B9" w:rsidP="0035393A" w:rsidRDefault="00E973B9" w14:paraId="410A55ED" w14:textId="3D335A2F">
            <w:pPr>
              <w:rPr>
                <w:sz w:val="20"/>
                <w:szCs w:val="20"/>
              </w:rPr>
            </w:pPr>
            <w:r w:rsidRPr="00A95D5A">
              <w:rPr>
                <w:sz w:val="20"/>
                <w:szCs w:val="20"/>
              </w:rPr>
              <w:t>Token incentive, ~</w:t>
            </w:r>
            <w:r w:rsidR="00013957">
              <w:rPr>
                <w:sz w:val="20"/>
                <w:szCs w:val="20"/>
              </w:rPr>
              <w:t>$</w:t>
            </w:r>
            <w:r w:rsidRPr="00A95D5A">
              <w:rPr>
                <w:sz w:val="20"/>
                <w:szCs w:val="20"/>
              </w:rPr>
              <w:t>4 value</w:t>
            </w:r>
          </w:p>
          <w:p w:rsidR="00E973B9" w:rsidP="0035393A" w:rsidRDefault="00E973B9" w14:paraId="045AD5A2" w14:textId="750E35D0">
            <w:pPr>
              <w:rPr>
                <w:sz w:val="20"/>
                <w:szCs w:val="20"/>
              </w:rPr>
            </w:pPr>
            <w:r w:rsidRPr="00A95D5A">
              <w:rPr>
                <w:sz w:val="20"/>
                <w:szCs w:val="20"/>
              </w:rPr>
              <w:t xml:space="preserve">Certificates of service for </w:t>
            </w:r>
            <w:r w:rsidR="00DB2558">
              <w:rPr>
                <w:sz w:val="20"/>
                <w:szCs w:val="20"/>
              </w:rPr>
              <w:t xml:space="preserve">students </w:t>
            </w:r>
            <w:r w:rsidR="00013957">
              <w:rPr>
                <w:sz w:val="20"/>
                <w:szCs w:val="20"/>
              </w:rPr>
              <w:t>(in schools where permitted)</w:t>
            </w:r>
          </w:p>
          <w:p w:rsidRPr="00A95D5A" w:rsidR="00DB2558" w:rsidP="0035393A" w:rsidRDefault="00DB2558" w14:paraId="3867F6D0" w14:textId="6A298F34">
            <w:pPr>
              <w:rPr>
                <w:sz w:val="20"/>
                <w:szCs w:val="20"/>
              </w:rPr>
            </w:pPr>
            <w:r>
              <w:rPr>
                <w:sz w:val="20"/>
                <w:szCs w:val="20"/>
              </w:rPr>
              <w:t>Community service hours for 8</w:t>
            </w:r>
            <w:r w:rsidRPr="00732A69">
              <w:rPr>
                <w:sz w:val="20"/>
                <w:szCs w:val="20"/>
                <w:vertAlign w:val="superscript"/>
              </w:rPr>
              <w:t>th</w:t>
            </w:r>
            <w:r>
              <w:rPr>
                <w:sz w:val="20"/>
                <w:szCs w:val="20"/>
              </w:rPr>
              <w:t xml:space="preserve"> grade students</w:t>
            </w:r>
            <w:r w:rsidR="00013957">
              <w:rPr>
                <w:sz w:val="20"/>
                <w:szCs w:val="20"/>
              </w:rPr>
              <w:t xml:space="preserve"> (in schools where permitted)</w:t>
            </w:r>
          </w:p>
        </w:tc>
      </w:tr>
    </w:tbl>
    <w:p w:rsidR="00396EA4" w:rsidP="00396EA4" w:rsidRDefault="00396EA4" w14:paraId="63AC0874" w14:textId="77777777">
      <w:pPr>
        <w:widowControl w:val="0"/>
        <w:spacing w:after="120" w:line="23" w:lineRule="atLeast"/>
        <w:rPr>
          <w:rFonts w:ascii="Times New Roman" w:hAnsi="Times New Roman" w:cs="Times New Roman"/>
          <w:sz w:val="24"/>
          <w:szCs w:val="24"/>
        </w:rPr>
      </w:pPr>
      <w:bookmarkStart w:name="_Hlk57015683" w:id="35"/>
    </w:p>
    <w:p w:rsidRPr="00166F1F" w:rsidR="00396EA4" w:rsidP="00396EA4" w:rsidRDefault="00396EA4" w14:paraId="59CD2926" w14:textId="77777777">
      <w:pPr>
        <w:widowControl w:val="0"/>
        <w:spacing w:after="120" w:line="240" w:lineRule="auto"/>
        <w:rPr>
          <w:rFonts w:ascii="Times New Roman" w:hAnsi="Times New Roman" w:cs="Times New Roman"/>
          <w:sz w:val="24"/>
          <w:szCs w:val="24"/>
        </w:rPr>
      </w:pPr>
      <w:r w:rsidRPr="00396EA4">
        <w:rPr>
          <w:rFonts w:ascii="Times New Roman" w:hAnsi="Times New Roman" w:cs="Times New Roman"/>
          <w:b/>
          <w:bCs/>
          <w:sz w:val="24"/>
          <w:szCs w:val="24"/>
        </w:rPr>
        <w:t xml:space="preserve">School incentives. </w:t>
      </w:r>
      <w:r w:rsidRPr="00166F1F">
        <w:rPr>
          <w:rFonts w:ascii="Times New Roman" w:hAnsi="Times New Roman" w:cs="Times New Roman"/>
          <w:sz w:val="24"/>
          <w:szCs w:val="24"/>
        </w:rPr>
        <w:t xml:space="preserve">Based on incentives provided in past administrations of TIMSS and currently offered in other international assessments, schools will </w:t>
      </w:r>
      <w:bookmarkStart w:name="OLE_LINK5" w:id="36"/>
      <w:bookmarkStart w:name="OLE_LINK6" w:id="37"/>
      <w:r w:rsidRPr="00166F1F">
        <w:rPr>
          <w:rFonts w:ascii="Times New Roman" w:hAnsi="Times New Roman" w:cs="Times New Roman"/>
          <w:sz w:val="24"/>
          <w:szCs w:val="24"/>
        </w:rPr>
        <w:t xml:space="preserve">be offered </w:t>
      </w:r>
      <w:bookmarkEnd w:id="36"/>
      <w:bookmarkEnd w:id="37"/>
      <w:r w:rsidRPr="00166F1F">
        <w:rPr>
          <w:rFonts w:ascii="Times New Roman" w:hAnsi="Times New Roman" w:cs="Times New Roman"/>
          <w:sz w:val="24"/>
          <w:szCs w:val="24"/>
        </w:rPr>
        <w:t>$200 for their time in the field test. To address challenges that may be encountered with securing school cooperation for TIMSS 2023 field test, we will utilize a second-tier incentive which will allow us to offer up to $800 to schools that are historically challenging to recruit. The second-tier incentive will be offered to:</w:t>
      </w:r>
    </w:p>
    <w:p w:rsidRPr="00166F1F" w:rsidR="00396EA4" w:rsidP="00396EA4" w:rsidRDefault="00396EA4" w14:paraId="2EB07CEF" w14:textId="77777777">
      <w:pPr>
        <w:pStyle w:val="ListParagraph"/>
        <w:widowControl w:val="0"/>
        <w:numPr>
          <w:ilvl w:val="0"/>
          <w:numId w:val="20"/>
        </w:numPr>
        <w:spacing w:after="120" w:line="23" w:lineRule="atLeast"/>
        <w:rPr>
          <w:rFonts w:ascii="Times New Roman" w:hAnsi="Times New Roman" w:cs="Times New Roman"/>
          <w:sz w:val="24"/>
          <w:szCs w:val="24"/>
        </w:rPr>
      </w:pPr>
      <w:r w:rsidRPr="009D28E7">
        <w:rPr>
          <w:rFonts w:ascii="Times New Roman" w:hAnsi="Times New Roman" w:cs="Times New Roman"/>
          <w:sz w:val="24"/>
          <w:szCs w:val="24"/>
        </w:rPr>
        <w:t>Private schools in the original sample or substitute private schools</w:t>
      </w:r>
      <w:r w:rsidRPr="00166F1F">
        <w:rPr>
          <w:rFonts w:ascii="Times New Roman" w:hAnsi="Times New Roman" w:cs="Times New Roman"/>
          <w:sz w:val="24"/>
          <w:szCs w:val="24"/>
        </w:rPr>
        <w:t xml:space="preserve">. In ICILS 2018, only 40% of original private public schools participated, with the overall rate of about 57% after substitutes were added. </w:t>
      </w:r>
    </w:p>
    <w:p w:rsidRPr="00166F1F" w:rsidR="00396EA4" w:rsidP="00396EA4" w:rsidRDefault="00396EA4" w14:paraId="43B5A667" w14:textId="77777777">
      <w:pPr>
        <w:pStyle w:val="ListParagraph"/>
        <w:widowControl w:val="0"/>
        <w:numPr>
          <w:ilvl w:val="0"/>
          <w:numId w:val="20"/>
        </w:num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Public schools that are selected for and participate in NAEP 2022 and are also selected for the TIMSS 2023 field test. Typically, these schools participate in NAEP because it is required, and refuse participation in TIMSS. </w:t>
      </w:r>
    </w:p>
    <w:p w:rsidRPr="00396EA4" w:rsidR="00396EA4" w:rsidP="00396EA4" w:rsidRDefault="00396EA4" w14:paraId="2ABDA57F" w14:textId="77777777">
      <w:pPr>
        <w:pStyle w:val="ListParagraph"/>
        <w:widowControl w:val="0"/>
        <w:numPr>
          <w:ilvl w:val="0"/>
          <w:numId w:val="20"/>
        </w:numPr>
        <w:spacing w:after="120" w:line="240" w:lineRule="auto"/>
        <w:rPr>
          <w:rFonts w:ascii="Times New Roman" w:hAnsi="Times New Roman" w:cs="Times New Roman"/>
          <w:sz w:val="24"/>
          <w:szCs w:val="24"/>
        </w:rPr>
      </w:pPr>
      <w:r w:rsidRPr="00166F1F">
        <w:rPr>
          <w:rFonts w:ascii="Times New Roman" w:hAnsi="Times New Roman" w:cs="Times New Roman"/>
          <w:sz w:val="24"/>
          <w:szCs w:val="24"/>
        </w:rPr>
        <w:t xml:space="preserve">All substitute schools. During previous TIMSS cycles, original schools typically refused in the mid to late fall </w:t>
      </w:r>
      <w:r w:rsidRPr="00396EA4">
        <w:rPr>
          <w:rFonts w:ascii="Times New Roman" w:hAnsi="Times New Roman" w:cs="Times New Roman"/>
          <w:sz w:val="24"/>
          <w:szCs w:val="24"/>
        </w:rPr>
        <w:t xml:space="preserve">prior to the spring assessment, at which point substitute schools are recruited. Recruitment of substitute schools is a challenging because the school year is already underway, and calendars are set. Also, some states refuse to recruit schools that late in the school year. </w:t>
      </w:r>
    </w:p>
    <w:p w:rsidRPr="00396EA4" w:rsidR="0080476B" w:rsidP="00396EA4" w:rsidRDefault="00F35779" w14:paraId="4E2A642A" w14:textId="3700840A">
      <w:pPr>
        <w:spacing w:line="240" w:lineRule="auto"/>
        <w:rPr>
          <w:rFonts w:ascii="Times New Roman" w:hAnsi="Times New Roman" w:cs="Times New Roman"/>
          <w:sz w:val="24"/>
          <w:szCs w:val="24"/>
        </w:rPr>
      </w:pPr>
      <w:r w:rsidRPr="00396EA4">
        <w:rPr>
          <w:rFonts w:ascii="Times New Roman" w:hAnsi="Times New Roman" w:cs="Times New Roman"/>
          <w:sz w:val="24"/>
          <w:szCs w:val="24"/>
        </w:rPr>
        <w:t>Schools often refuse voluntary studies</w:t>
      </w:r>
      <w:r w:rsidRPr="00396EA4" w:rsidR="0080476B">
        <w:rPr>
          <w:rFonts w:ascii="Times New Roman" w:hAnsi="Times New Roman" w:cs="Times New Roman"/>
          <w:sz w:val="24"/>
          <w:szCs w:val="24"/>
        </w:rPr>
        <w:t xml:space="preserve"> because they </w:t>
      </w:r>
      <w:r w:rsidR="00396EA4">
        <w:rPr>
          <w:rFonts w:ascii="Times New Roman" w:hAnsi="Times New Roman" w:cs="Times New Roman"/>
          <w:sz w:val="24"/>
          <w:szCs w:val="24"/>
        </w:rPr>
        <w:t xml:space="preserve">do not receive a direct benefit and results are not provided in a timely manner. To address this concern, </w:t>
      </w:r>
      <w:r w:rsidRPr="00396EA4">
        <w:rPr>
          <w:rFonts w:ascii="Times New Roman" w:hAnsi="Times New Roman" w:cs="Times New Roman"/>
          <w:sz w:val="24"/>
          <w:szCs w:val="24"/>
        </w:rPr>
        <w:t xml:space="preserve">RTI will </w:t>
      </w:r>
      <w:r w:rsidR="00396EA4">
        <w:rPr>
          <w:rFonts w:ascii="Times New Roman" w:hAnsi="Times New Roman" w:cs="Times New Roman"/>
          <w:sz w:val="24"/>
          <w:szCs w:val="24"/>
        </w:rPr>
        <w:t xml:space="preserve">invite participating schools to have up to three staff attend </w:t>
      </w:r>
      <w:r w:rsidRPr="00396EA4">
        <w:rPr>
          <w:rFonts w:ascii="Times New Roman" w:hAnsi="Times New Roman" w:cs="Times New Roman"/>
          <w:sz w:val="24"/>
          <w:szCs w:val="24"/>
        </w:rPr>
        <w:t>an interactive webinar</w:t>
      </w:r>
      <w:r w:rsidRPr="00396EA4" w:rsidR="0080476B">
        <w:rPr>
          <w:rFonts w:ascii="Times New Roman" w:hAnsi="Times New Roman" w:cs="Times New Roman"/>
          <w:sz w:val="24"/>
          <w:szCs w:val="24"/>
        </w:rPr>
        <w:t>. Each session is approximately 90 minutes in length and will be delivered online as a virtual workshop. S</w:t>
      </w:r>
      <w:r w:rsidR="00396EA4">
        <w:rPr>
          <w:rFonts w:ascii="Times New Roman" w:hAnsi="Times New Roman" w:cs="Times New Roman"/>
          <w:sz w:val="24"/>
          <w:szCs w:val="24"/>
        </w:rPr>
        <w:t xml:space="preserve">taff will be able to choose from one of three timely </w:t>
      </w:r>
      <w:r w:rsidRPr="00396EA4" w:rsidR="00072BD7">
        <w:rPr>
          <w:rFonts w:ascii="Times New Roman" w:hAnsi="Times New Roman" w:cs="Times New Roman"/>
          <w:sz w:val="24"/>
          <w:szCs w:val="24"/>
        </w:rPr>
        <w:t>topics</w:t>
      </w:r>
      <w:r w:rsidRPr="00396EA4" w:rsidR="0080476B">
        <w:rPr>
          <w:rFonts w:ascii="Times New Roman" w:hAnsi="Times New Roman" w:cs="Times New Roman"/>
          <w:sz w:val="24"/>
          <w:szCs w:val="24"/>
        </w:rPr>
        <w:t xml:space="preserve">: </w:t>
      </w:r>
    </w:p>
    <w:p w:rsidRPr="00396EA4" w:rsidR="00396EA4" w:rsidP="00396EA4" w:rsidRDefault="00396EA4" w14:paraId="19987879" w14:textId="77777777">
      <w:pPr>
        <w:pStyle w:val="ListParagraph"/>
        <w:numPr>
          <w:ilvl w:val="0"/>
          <w:numId w:val="22"/>
        </w:numPr>
        <w:spacing w:before="240" w:line="240" w:lineRule="auto"/>
        <w:rPr>
          <w:rFonts w:ascii="Times New Roman" w:hAnsi="Times New Roman" w:cs="Times New Roman"/>
          <w:sz w:val="24"/>
          <w:szCs w:val="24"/>
        </w:rPr>
      </w:pPr>
      <w:r w:rsidRPr="00396EA4">
        <w:rPr>
          <w:rFonts w:ascii="Times New Roman" w:hAnsi="Times New Roman" w:cs="Times New Roman"/>
          <w:sz w:val="24"/>
          <w:szCs w:val="24"/>
        </w:rPr>
        <w:t xml:space="preserve">STEM and Inquiry-Based Learning. This inquiry-based learning session will embed a common language and instructional strategy across disciplines to foster blended learning and other processes that model curiosity, design thinking, and reflective learning. This option will provide a system that maximizes the staff’s opportunity to grow and succeed in teaching STEM through inquiry. </w:t>
      </w:r>
    </w:p>
    <w:p w:rsidR="00A136A9" w:rsidP="00396EA4" w:rsidRDefault="00072BD7" w14:paraId="2932AFA2" w14:textId="3C90123A">
      <w:pPr>
        <w:pStyle w:val="ListParagraph"/>
        <w:numPr>
          <w:ilvl w:val="0"/>
          <w:numId w:val="21"/>
        </w:numPr>
        <w:spacing w:before="240" w:line="240" w:lineRule="auto"/>
        <w:rPr>
          <w:rFonts w:ascii="Times New Roman" w:hAnsi="Times New Roman" w:cs="Times New Roman"/>
          <w:sz w:val="24"/>
          <w:szCs w:val="24"/>
        </w:rPr>
      </w:pPr>
      <w:r w:rsidRPr="00396EA4">
        <w:rPr>
          <w:rFonts w:ascii="Times New Roman" w:hAnsi="Times New Roman" w:cs="Times New Roman"/>
          <w:sz w:val="24"/>
          <w:szCs w:val="24"/>
        </w:rPr>
        <w:t>Social and Emotional Learning</w:t>
      </w:r>
      <w:r w:rsidRPr="00396EA4" w:rsidR="00AE5601">
        <w:rPr>
          <w:rFonts w:ascii="Times New Roman" w:hAnsi="Times New Roman" w:cs="Times New Roman"/>
          <w:sz w:val="24"/>
          <w:szCs w:val="24"/>
        </w:rPr>
        <w:t xml:space="preserve">. </w:t>
      </w:r>
      <w:r w:rsidRPr="00396EA4">
        <w:rPr>
          <w:rFonts w:ascii="Times New Roman" w:hAnsi="Times New Roman" w:cs="Times New Roman"/>
          <w:sz w:val="24"/>
          <w:szCs w:val="24"/>
        </w:rPr>
        <w:t xml:space="preserve">Social and emotional learning (SEL). </w:t>
      </w:r>
      <w:r w:rsidRPr="00396EA4" w:rsidR="00AE5601">
        <w:rPr>
          <w:rFonts w:ascii="Times New Roman" w:hAnsi="Times New Roman" w:cs="Times New Roman"/>
          <w:sz w:val="24"/>
          <w:szCs w:val="24"/>
        </w:rPr>
        <w:t>Schools will learn how to create an environment where SEL can take place and build competence in self-awareness and social awareness in adults.</w:t>
      </w:r>
    </w:p>
    <w:p w:rsidRPr="00396EA4" w:rsidR="00396EA4" w:rsidP="00396EA4" w:rsidRDefault="00396EA4" w14:paraId="7E180B64" w14:textId="6FAA8DF2">
      <w:pPr>
        <w:pStyle w:val="ListParagraph"/>
        <w:numPr>
          <w:ilvl w:val="0"/>
          <w:numId w:val="21"/>
        </w:numPr>
        <w:spacing w:before="240" w:line="240" w:lineRule="auto"/>
        <w:rPr>
          <w:rFonts w:ascii="Times New Roman" w:hAnsi="Times New Roman" w:cs="Times New Roman"/>
          <w:sz w:val="24"/>
          <w:szCs w:val="24"/>
        </w:rPr>
      </w:pPr>
      <w:r w:rsidRPr="00396EA4">
        <w:rPr>
          <w:rFonts w:ascii="Times New Roman" w:hAnsi="Times New Roman" w:cs="Times New Roman"/>
          <w:sz w:val="24"/>
          <w:szCs w:val="24"/>
        </w:rPr>
        <w:t>Project-Based Learning. The session is designed to support inquiry-driven project-based learning (PBL) for educators who are early or intermediate in their exploration of the concept. This workshop will engage participants for designing, assessing, and managing standards-focused exploration as well as using performance assessment to judge the relevant work generated by 21</w:t>
      </w:r>
      <w:r w:rsidRPr="00396EA4">
        <w:rPr>
          <w:rFonts w:ascii="Times New Roman" w:hAnsi="Times New Roman" w:cs="Times New Roman"/>
          <w:sz w:val="24"/>
          <w:szCs w:val="24"/>
          <w:vertAlign w:val="superscript"/>
        </w:rPr>
        <w:t>st</w:t>
      </w:r>
      <w:r w:rsidRPr="00396EA4">
        <w:rPr>
          <w:rFonts w:ascii="Times New Roman" w:hAnsi="Times New Roman" w:cs="Times New Roman"/>
          <w:sz w:val="24"/>
          <w:szCs w:val="24"/>
        </w:rPr>
        <w:t xml:space="preserve">-century learners. </w:t>
      </w:r>
    </w:p>
    <w:p w:rsidRPr="00396EA4" w:rsidR="00021A7D" w:rsidP="00396EA4" w:rsidRDefault="00BC50FA" w14:paraId="34DFD8EA" w14:textId="589422DA">
      <w:pPr>
        <w:spacing w:line="240" w:lineRule="auto"/>
        <w:rPr>
          <w:rFonts w:ascii="Times New Roman" w:hAnsi="Times New Roman" w:cs="Times New Roman"/>
          <w:sz w:val="24"/>
          <w:szCs w:val="24"/>
        </w:rPr>
      </w:pPr>
      <w:r>
        <w:rPr>
          <w:rFonts w:ascii="Times New Roman" w:hAnsi="Times New Roman" w:cs="Times New Roman"/>
          <w:sz w:val="24"/>
          <w:szCs w:val="24"/>
        </w:rPr>
        <w:t>For the TIMSS 2023</w:t>
      </w:r>
      <w:r w:rsidR="00E1326C">
        <w:rPr>
          <w:rFonts w:ascii="Times New Roman" w:hAnsi="Times New Roman" w:cs="Times New Roman"/>
          <w:sz w:val="24"/>
          <w:szCs w:val="24"/>
        </w:rPr>
        <w:t xml:space="preserve"> </w:t>
      </w:r>
      <w:r w:rsidR="002D16F9">
        <w:rPr>
          <w:rFonts w:ascii="Times New Roman" w:hAnsi="Times New Roman" w:cs="Times New Roman"/>
          <w:sz w:val="24"/>
          <w:szCs w:val="24"/>
        </w:rPr>
        <w:t>main study, participating</w:t>
      </w:r>
      <w:r w:rsidRPr="00396EA4" w:rsidR="00021A7D">
        <w:rPr>
          <w:rFonts w:ascii="Times New Roman" w:hAnsi="Times New Roman" w:cs="Times New Roman"/>
          <w:sz w:val="24"/>
          <w:szCs w:val="24"/>
        </w:rPr>
        <w:t xml:space="preserve"> schools will also receive a school-level report; those with sufficient participation will receive indicators of performance. These reports are a requirement for </w:t>
      </w:r>
      <w:r w:rsidRPr="00396EA4" w:rsidR="00021A7D">
        <w:rPr>
          <w:rFonts w:ascii="Times New Roman" w:hAnsi="Times New Roman" w:cs="Times New Roman"/>
          <w:sz w:val="24"/>
          <w:szCs w:val="24"/>
        </w:rPr>
        <w:lastRenderedPageBreak/>
        <w:t xml:space="preserve">participation of many schools in large districts who expect timely, relevant, and actionable data in exchange for participation. The </w:t>
      </w:r>
      <w:r w:rsidRPr="00396EA4" w:rsidR="00643C21">
        <w:rPr>
          <w:rFonts w:ascii="Times New Roman" w:hAnsi="Times New Roman" w:cs="Times New Roman"/>
          <w:sz w:val="24"/>
          <w:szCs w:val="24"/>
        </w:rPr>
        <w:t xml:space="preserve">indicators of performance </w:t>
      </w:r>
      <w:r w:rsidRPr="00396EA4" w:rsidR="00021A7D">
        <w:rPr>
          <w:rFonts w:ascii="Times New Roman" w:hAnsi="Times New Roman" w:cs="Times New Roman"/>
          <w:sz w:val="24"/>
          <w:szCs w:val="24"/>
        </w:rPr>
        <w:t xml:space="preserve">will not contain </w:t>
      </w:r>
      <w:r w:rsidRPr="00396EA4" w:rsidR="00643C21">
        <w:rPr>
          <w:rFonts w:ascii="Times New Roman" w:hAnsi="Times New Roman" w:cs="Times New Roman"/>
          <w:sz w:val="24"/>
          <w:szCs w:val="24"/>
        </w:rPr>
        <w:t>average scale scores, but will contain:</w:t>
      </w:r>
    </w:p>
    <w:p w:rsidRPr="00396EA4" w:rsidR="00643C21" w:rsidP="00396EA4" w:rsidRDefault="00643C21" w14:paraId="3FA9F877" w14:textId="2AFAF1B2">
      <w:pPr>
        <w:pStyle w:val="ListParagraph"/>
        <w:numPr>
          <w:ilvl w:val="0"/>
          <w:numId w:val="23"/>
        </w:numPr>
        <w:spacing w:line="240" w:lineRule="auto"/>
        <w:rPr>
          <w:rFonts w:ascii="Times New Roman" w:hAnsi="Times New Roman" w:cs="Times New Roman"/>
          <w:sz w:val="24"/>
          <w:szCs w:val="24"/>
        </w:rPr>
      </w:pPr>
      <w:r w:rsidRPr="00396EA4">
        <w:rPr>
          <w:rFonts w:ascii="Times New Roman" w:hAnsi="Times New Roman" w:cs="Times New Roman"/>
          <w:sz w:val="24"/>
          <w:szCs w:val="24"/>
        </w:rPr>
        <w:t>Total and item-level math percent correct and science percent correct for participating students and,</w:t>
      </w:r>
    </w:p>
    <w:p w:rsidR="00FB7FD0" w:rsidP="00FB7FD0" w:rsidRDefault="00643C21" w14:paraId="62CAAC7B" w14:textId="47A6E982">
      <w:pPr>
        <w:pStyle w:val="ListParagraph"/>
        <w:numPr>
          <w:ilvl w:val="0"/>
          <w:numId w:val="23"/>
        </w:numPr>
        <w:spacing w:line="240" w:lineRule="auto"/>
        <w:rPr>
          <w:rFonts w:ascii="Times New Roman" w:hAnsi="Times New Roman" w:cs="Times New Roman"/>
          <w:sz w:val="24"/>
          <w:szCs w:val="24"/>
        </w:rPr>
      </w:pPr>
      <w:r w:rsidRPr="00396EA4">
        <w:rPr>
          <w:rFonts w:ascii="Times New Roman" w:hAnsi="Times New Roman" w:cs="Times New Roman"/>
          <w:sz w:val="24"/>
          <w:szCs w:val="24"/>
        </w:rPr>
        <w:t xml:space="preserve">Student attitudes (percentage in categories of the scales) for engaging teaching, liking learning, confidence, and value of the subject as well as summaries of SEL measures. </w:t>
      </w:r>
    </w:p>
    <w:bookmarkEnd w:id="35"/>
    <w:p w:rsidRPr="00C60BD2" w:rsidR="00E973B9" w:rsidP="00396EA4" w:rsidRDefault="00A136A9" w14:paraId="3C919EB7" w14:textId="306BDDDF">
      <w:pPr>
        <w:spacing w:line="240" w:lineRule="auto"/>
        <w:rPr>
          <w:rFonts w:ascii="Times New Roman" w:hAnsi="Times New Roman" w:cs="Times New Roman"/>
          <w:b/>
          <w:bCs/>
          <w:sz w:val="24"/>
          <w:szCs w:val="24"/>
        </w:rPr>
      </w:pPr>
      <w:r w:rsidRPr="00396EA4">
        <w:rPr>
          <w:rFonts w:ascii="Times New Roman" w:hAnsi="Times New Roman" w:cs="Times New Roman"/>
          <w:b/>
          <w:bCs/>
          <w:sz w:val="24"/>
          <w:szCs w:val="24"/>
        </w:rPr>
        <w:t>School Coordinator</w:t>
      </w:r>
      <w:r w:rsidRPr="00396EA4" w:rsidR="00E973B9">
        <w:rPr>
          <w:rFonts w:ascii="Times New Roman" w:hAnsi="Times New Roman" w:cs="Times New Roman"/>
          <w:b/>
          <w:bCs/>
          <w:sz w:val="24"/>
          <w:szCs w:val="24"/>
        </w:rPr>
        <w:t>s</w:t>
      </w:r>
      <w:r w:rsidR="00C60BD2">
        <w:rPr>
          <w:rFonts w:ascii="Times New Roman" w:hAnsi="Times New Roman" w:cs="Times New Roman"/>
          <w:b/>
          <w:bCs/>
          <w:sz w:val="24"/>
          <w:szCs w:val="24"/>
        </w:rPr>
        <w:t xml:space="preserve">. </w:t>
      </w:r>
      <w:r w:rsidRPr="00396EA4" w:rsidR="00E973B9">
        <w:rPr>
          <w:rFonts w:ascii="Times New Roman" w:hAnsi="Times New Roman" w:cs="Times New Roman"/>
          <w:sz w:val="24"/>
          <w:szCs w:val="24"/>
        </w:rPr>
        <w:t xml:space="preserve">School coordinators will be offered a $100 monetary incentive or equivalent gift certificate for school supplies. They play an especially important role in the study and are critical to its success. The coordinator in each participating school will coordinate logistics with RTI; </w:t>
      </w:r>
      <w:r w:rsidR="00C60BD2">
        <w:rPr>
          <w:rFonts w:ascii="Times New Roman" w:hAnsi="Times New Roman" w:cs="Times New Roman"/>
          <w:sz w:val="24"/>
          <w:szCs w:val="24"/>
        </w:rPr>
        <w:t xml:space="preserve">provide class and student list information for sampling; </w:t>
      </w:r>
      <w:r w:rsidRPr="00396EA4" w:rsidR="00E973B9">
        <w:rPr>
          <w:rFonts w:ascii="Times New Roman" w:hAnsi="Times New Roman" w:cs="Times New Roman"/>
          <w:sz w:val="24"/>
          <w:szCs w:val="24"/>
        </w:rPr>
        <w:t xml:space="preserve">communicate with teachers, students, and parents about the study to encourage their participation; </w:t>
      </w:r>
      <w:r w:rsidRPr="00C60BD2" w:rsidR="00E973B9">
        <w:rPr>
          <w:rFonts w:ascii="Times New Roman" w:hAnsi="Times New Roman" w:cs="Times New Roman"/>
          <w:sz w:val="24"/>
          <w:szCs w:val="24"/>
        </w:rPr>
        <w:t>distribute and collect parental consent forms; and assist the session facilitator in ensuring that the sampled students attend the testing sessions.</w:t>
      </w:r>
    </w:p>
    <w:p w:rsidRPr="00C60BD2" w:rsidR="00E973B9" w:rsidP="00C60BD2" w:rsidRDefault="00A136A9" w14:paraId="7463870F" w14:textId="7FBE3058">
      <w:pPr>
        <w:rPr>
          <w:rFonts w:ascii="Times New Roman" w:hAnsi="Times New Roman" w:cs="Times New Roman"/>
          <w:sz w:val="24"/>
          <w:szCs w:val="24"/>
        </w:rPr>
      </w:pPr>
      <w:r w:rsidRPr="00C60BD2">
        <w:rPr>
          <w:rFonts w:ascii="Times New Roman" w:hAnsi="Times New Roman" w:cs="Times New Roman"/>
          <w:b/>
          <w:bCs/>
          <w:sz w:val="24"/>
          <w:szCs w:val="24"/>
        </w:rPr>
        <w:t>Teachers</w:t>
      </w:r>
      <w:r w:rsidRPr="00C60BD2" w:rsidR="00C60BD2">
        <w:rPr>
          <w:rFonts w:ascii="Times New Roman" w:hAnsi="Times New Roman" w:cs="Times New Roman"/>
          <w:b/>
          <w:bCs/>
          <w:sz w:val="24"/>
          <w:szCs w:val="24"/>
        </w:rPr>
        <w:t xml:space="preserve">. </w:t>
      </w:r>
      <w:r w:rsidRPr="00C60BD2" w:rsidR="00E973B9">
        <w:rPr>
          <w:rFonts w:ascii="Times New Roman" w:hAnsi="Times New Roman" w:cs="Times New Roman"/>
          <w:sz w:val="24"/>
          <w:szCs w:val="24"/>
        </w:rPr>
        <w:t>The incentive proposed for students’ teachers is $25 per teacher survey</w:t>
      </w:r>
      <w:r w:rsidRPr="00C60BD2" w:rsidR="00375C04">
        <w:rPr>
          <w:rFonts w:ascii="Times New Roman" w:hAnsi="Times New Roman" w:cs="Times New Roman"/>
          <w:sz w:val="24"/>
          <w:szCs w:val="24"/>
        </w:rPr>
        <w:t xml:space="preserve"> as either a check or gift card for school supplies</w:t>
      </w:r>
      <w:r w:rsidRPr="00C60BD2" w:rsidR="009E0A5A">
        <w:rPr>
          <w:rFonts w:ascii="Times New Roman" w:hAnsi="Times New Roman" w:cs="Times New Roman"/>
          <w:sz w:val="24"/>
          <w:szCs w:val="24"/>
        </w:rPr>
        <w:t xml:space="preserve">. </w:t>
      </w:r>
      <w:r w:rsidRPr="00C60BD2" w:rsidR="00E973B9">
        <w:rPr>
          <w:rFonts w:ascii="Times New Roman" w:hAnsi="Times New Roman" w:cs="Times New Roman"/>
          <w:sz w:val="24"/>
          <w:szCs w:val="24"/>
        </w:rPr>
        <w:t>Th</w:t>
      </w:r>
      <w:r w:rsidRPr="00C60BD2" w:rsidR="009E0A5A">
        <w:rPr>
          <w:rFonts w:ascii="Times New Roman" w:hAnsi="Times New Roman" w:cs="Times New Roman"/>
          <w:sz w:val="24"/>
          <w:szCs w:val="24"/>
        </w:rPr>
        <w:t>is amount is</w:t>
      </w:r>
      <w:r w:rsidRPr="00C60BD2" w:rsidR="00375C04">
        <w:rPr>
          <w:rFonts w:ascii="Times New Roman" w:hAnsi="Times New Roman" w:cs="Times New Roman"/>
          <w:sz w:val="24"/>
          <w:szCs w:val="24"/>
        </w:rPr>
        <w:t xml:space="preserve"> aligned</w:t>
      </w:r>
      <w:r w:rsidRPr="00C60BD2" w:rsidR="009E0A5A">
        <w:rPr>
          <w:rFonts w:ascii="Times New Roman" w:hAnsi="Times New Roman" w:cs="Times New Roman"/>
          <w:sz w:val="24"/>
          <w:szCs w:val="24"/>
        </w:rPr>
        <w:t xml:space="preserve"> </w:t>
      </w:r>
      <w:r w:rsidRPr="00C60BD2" w:rsidR="00E973B9">
        <w:rPr>
          <w:rFonts w:ascii="Times New Roman" w:hAnsi="Times New Roman" w:cs="Times New Roman"/>
          <w:sz w:val="24"/>
          <w:szCs w:val="24"/>
        </w:rPr>
        <w:t xml:space="preserve">with the amounts used </w:t>
      </w:r>
      <w:r w:rsidR="00C60BD2">
        <w:rPr>
          <w:rFonts w:ascii="Times New Roman" w:hAnsi="Times New Roman" w:cs="Times New Roman"/>
          <w:sz w:val="24"/>
          <w:szCs w:val="24"/>
        </w:rPr>
        <w:t xml:space="preserve">on TIMSS 2019 as well as </w:t>
      </w:r>
      <w:r w:rsidRPr="00C60BD2" w:rsidR="00E973B9">
        <w:rPr>
          <w:rFonts w:ascii="Times New Roman" w:hAnsi="Times New Roman" w:cs="Times New Roman"/>
          <w:sz w:val="24"/>
          <w:szCs w:val="24"/>
        </w:rPr>
        <w:t xml:space="preserve">other NCES studies, </w:t>
      </w:r>
      <w:r w:rsidRPr="00C60BD2" w:rsidR="009E0A5A">
        <w:rPr>
          <w:rFonts w:ascii="Times New Roman" w:hAnsi="Times New Roman" w:cs="Times New Roman"/>
          <w:sz w:val="24"/>
          <w:szCs w:val="24"/>
        </w:rPr>
        <w:t>such as PISA and PIRLS.</w:t>
      </w:r>
    </w:p>
    <w:p w:rsidRPr="00251793" w:rsidR="009A1FAA" w:rsidP="00251793" w:rsidRDefault="00A136A9" w14:paraId="3850D507" w14:textId="1BCD7821">
      <w:pPr>
        <w:rPr>
          <w:rFonts w:ascii="Times New Roman" w:hAnsi="Times New Roman" w:cs="Times New Roman"/>
          <w:sz w:val="24"/>
          <w:szCs w:val="24"/>
        </w:rPr>
      </w:pPr>
      <w:r w:rsidRPr="00251793">
        <w:rPr>
          <w:rFonts w:ascii="Times New Roman" w:hAnsi="Times New Roman" w:cs="Times New Roman"/>
          <w:b/>
          <w:bCs/>
          <w:sz w:val="24"/>
          <w:szCs w:val="24"/>
        </w:rPr>
        <w:t>Students</w:t>
      </w:r>
      <w:r w:rsidR="00251793">
        <w:rPr>
          <w:rFonts w:ascii="Times New Roman" w:hAnsi="Times New Roman" w:cs="Times New Roman"/>
          <w:b/>
          <w:bCs/>
          <w:sz w:val="24"/>
          <w:szCs w:val="24"/>
        </w:rPr>
        <w:t xml:space="preserve">. </w:t>
      </w:r>
      <w:r w:rsidRPr="00251793" w:rsidR="009A1FAA">
        <w:rPr>
          <w:rFonts w:ascii="Times New Roman" w:hAnsi="Times New Roman" w:cs="Times New Roman"/>
          <w:sz w:val="24"/>
          <w:szCs w:val="24"/>
        </w:rPr>
        <w:t xml:space="preserve">Consistent with prior administrations of TIMSS, as a token of appreciation for their participation, students will receive a small gift valued at approximately $4. </w:t>
      </w:r>
      <w:r w:rsidR="00251793">
        <w:rPr>
          <w:rFonts w:ascii="Times New Roman" w:hAnsi="Times New Roman" w:cs="Times New Roman"/>
          <w:sz w:val="24"/>
          <w:szCs w:val="24"/>
        </w:rPr>
        <w:t xml:space="preserve">Each participating student in the </w:t>
      </w:r>
      <w:r w:rsidRPr="00251793" w:rsidR="00375C04">
        <w:rPr>
          <w:rFonts w:ascii="Times New Roman" w:hAnsi="Times New Roman" w:cs="Times New Roman"/>
          <w:sz w:val="24"/>
          <w:szCs w:val="24"/>
        </w:rPr>
        <w:t xml:space="preserve">TIMSS 2023 field test will </w:t>
      </w:r>
      <w:r w:rsidR="00251793">
        <w:rPr>
          <w:rFonts w:ascii="Times New Roman" w:hAnsi="Times New Roman" w:cs="Times New Roman"/>
          <w:sz w:val="24"/>
          <w:szCs w:val="24"/>
        </w:rPr>
        <w:t xml:space="preserve">be offered a choice of </w:t>
      </w:r>
      <w:r w:rsidRPr="00251793" w:rsidR="00375C04">
        <w:rPr>
          <w:rFonts w:ascii="Times New Roman" w:hAnsi="Times New Roman" w:cs="Times New Roman"/>
          <w:sz w:val="24"/>
          <w:szCs w:val="24"/>
        </w:rPr>
        <w:t>ear buds</w:t>
      </w:r>
      <w:r w:rsidR="00251793">
        <w:rPr>
          <w:rFonts w:ascii="Times New Roman" w:hAnsi="Times New Roman" w:cs="Times New Roman"/>
          <w:sz w:val="24"/>
          <w:szCs w:val="24"/>
        </w:rPr>
        <w:t xml:space="preserve">, </w:t>
      </w:r>
      <w:r w:rsidRPr="00251793" w:rsidR="00375C04">
        <w:rPr>
          <w:rFonts w:ascii="Times New Roman" w:hAnsi="Times New Roman" w:cs="Times New Roman"/>
          <w:sz w:val="24"/>
          <w:szCs w:val="24"/>
        </w:rPr>
        <w:t xml:space="preserve">a digital watch or </w:t>
      </w:r>
      <w:r w:rsidR="00251793">
        <w:rPr>
          <w:rFonts w:ascii="Times New Roman" w:hAnsi="Times New Roman" w:cs="Times New Roman"/>
          <w:sz w:val="24"/>
          <w:szCs w:val="24"/>
        </w:rPr>
        <w:t xml:space="preserve">a </w:t>
      </w:r>
      <w:r w:rsidRPr="00251793" w:rsidR="00375C04">
        <w:rPr>
          <w:rFonts w:ascii="Times New Roman" w:hAnsi="Times New Roman" w:cs="Times New Roman"/>
          <w:sz w:val="24"/>
          <w:szCs w:val="24"/>
        </w:rPr>
        <w:t xml:space="preserve">pair of sunglasses. </w:t>
      </w:r>
      <w:r w:rsidRPr="00251793" w:rsidR="009A1FAA">
        <w:rPr>
          <w:rFonts w:ascii="Times New Roman" w:hAnsi="Times New Roman" w:cs="Times New Roman"/>
          <w:sz w:val="24"/>
          <w:szCs w:val="24"/>
        </w:rPr>
        <w:t>Students will also receive a certificate with their name thanking them for participating and representing the United States in TIMSS. In schools where it is permitted, eighth-grade students participating in TIMSS may also receive a certificate from the U.S. Department of Education for four hours of volunteer service. Additionally, some schools also offer recognition parties with pizza or other treats for students who participate; however these are not reimbursed by NCES or the contractor. In districts or schools that require active parental consent, which historically has been difficult to collect, we will offer a small party with refreshments for students who bring in their parental consent forms.</w:t>
      </w:r>
    </w:p>
    <w:p w:rsidRPr="00251793" w:rsidR="00D84C9E" w:rsidP="00A9768A" w:rsidRDefault="00D84C9E" w14:paraId="3DF750E5" w14:textId="2FA01295">
      <w:pPr>
        <w:pStyle w:val="TIMSSOMBHeading2"/>
      </w:pPr>
      <w:bookmarkStart w:name="_Toc115416914" w:id="38"/>
      <w:bookmarkStart w:name="_Toc115417059" w:id="39"/>
      <w:bookmarkStart w:name="_Toc359323842" w:id="40"/>
      <w:bookmarkStart w:name="_Toc58475967" w:id="41"/>
      <w:bookmarkStart w:name="OLE_LINK7" w:id="42"/>
      <w:bookmarkStart w:name="OLE_LINK8" w:id="43"/>
      <w:r w:rsidRPr="00251793">
        <w:t>A.10</w:t>
      </w:r>
      <w:r w:rsidRPr="00251793">
        <w:tab/>
        <w:t>Assurance of Confidentiality</w:t>
      </w:r>
      <w:bookmarkEnd w:id="38"/>
      <w:bookmarkEnd w:id="39"/>
      <w:bookmarkEnd w:id="40"/>
      <w:bookmarkEnd w:id="41"/>
    </w:p>
    <w:p w:rsidRPr="00251793" w:rsidR="00C77405" w:rsidP="00C77405" w:rsidRDefault="00C77405" w14:paraId="53E73423" w14:textId="77777777">
      <w:pPr>
        <w:pStyle w:val="L1-FlLSp12"/>
        <w:widowControl w:val="0"/>
        <w:spacing w:after="120" w:line="240" w:lineRule="atLeast"/>
        <w:rPr>
          <w:sz w:val="24"/>
          <w:szCs w:val="24"/>
        </w:rPr>
      </w:pPr>
      <w:r w:rsidRPr="00251793">
        <w:rPr>
          <w:sz w:val="24"/>
          <w:szCs w:val="24"/>
        </w:rPr>
        <w:t>Data security and confidentiality protection procedures have been put in place for TIMSS to ensure that the TIMSS contractor for the U.S. and its subcontractors comply with all privacy requirements, including:</w:t>
      </w:r>
    </w:p>
    <w:p w:rsidRPr="00251793" w:rsidR="00C77405" w:rsidP="00C77405" w:rsidRDefault="00C77405" w14:paraId="67C7FF79" w14:textId="77777777">
      <w:pPr>
        <w:pStyle w:val="P1-StandPara"/>
        <w:numPr>
          <w:ilvl w:val="0"/>
          <w:numId w:val="18"/>
        </w:numPr>
        <w:spacing w:line="276" w:lineRule="auto"/>
        <w:ind w:left="630" w:hanging="371"/>
        <w:jc w:val="left"/>
        <w:rPr>
          <w:sz w:val="24"/>
          <w:szCs w:val="24"/>
        </w:rPr>
      </w:pPr>
      <w:r w:rsidRPr="00251793">
        <w:rPr>
          <w:sz w:val="24"/>
          <w:szCs w:val="24"/>
        </w:rPr>
        <w:t>The statement of work of this contract;</w:t>
      </w:r>
    </w:p>
    <w:p w:rsidRPr="00251793" w:rsidR="00C77405" w:rsidP="00C77405" w:rsidRDefault="00C77405" w14:paraId="7EA0C036" w14:textId="77777777">
      <w:pPr>
        <w:pStyle w:val="P1-StandPara"/>
        <w:numPr>
          <w:ilvl w:val="0"/>
          <w:numId w:val="18"/>
        </w:numPr>
        <w:spacing w:line="276" w:lineRule="auto"/>
        <w:ind w:left="630" w:hanging="371"/>
        <w:jc w:val="left"/>
        <w:rPr>
          <w:sz w:val="24"/>
          <w:szCs w:val="24"/>
        </w:rPr>
      </w:pPr>
      <w:r w:rsidRPr="00251793">
        <w:rPr>
          <w:i/>
          <w:iCs/>
          <w:sz w:val="24"/>
          <w:szCs w:val="24"/>
        </w:rPr>
        <w:t>Privacy Act of 1974</w:t>
      </w:r>
      <w:r w:rsidRPr="00251793">
        <w:rPr>
          <w:sz w:val="24"/>
          <w:szCs w:val="24"/>
        </w:rPr>
        <w:t xml:space="preserve"> (5 U.S.C. §552a);</w:t>
      </w:r>
    </w:p>
    <w:p w:rsidRPr="00251793" w:rsidR="00C77405" w:rsidP="00C77405" w:rsidRDefault="00C77405" w14:paraId="77FAD019" w14:textId="77777777">
      <w:pPr>
        <w:pStyle w:val="P1-StandPara"/>
        <w:numPr>
          <w:ilvl w:val="0"/>
          <w:numId w:val="18"/>
        </w:numPr>
        <w:spacing w:line="276" w:lineRule="auto"/>
        <w:ind w:left="630" w:hanging="371"/>
        <w:jc w:val="left"/>
        <w:rPr>
          <w:sz w:val="24"/>
          <w:szCs w:val="24"/>
        </w:rPr>
      </w:pPr>
      <w:r w:rsidRPr="00251793">
        <w:rPr>
          <w:i/>
          <w:iCs/>
          <w:sz w:val="24"/>
          <w:szCs w:val="24"/>
        </w:rPr>
        <w:t>Family Educational and Privacy Act (FERPA) of 1974</w:t>
      </w:r>
      <w:r w:rsidRPr="00251793">
        <w:rPr>
          <w:sz w:val="24"/>
          <w:szCs w:val="24"/>
        </w:rPr>
        <w:t xml:space="preserve"> (20 U.S.C. §1232(g));</w:t>
      </w:r>
    </w:p>
    <w:p w:rsidRPr="00251793" w:rsidR="00C77405" w:rsidP="00C77405" w:rsidRDefault="00C77405" w14:paraId="6C0E5247" w14:textId="77777777">
      <w:pPr>
        <w:pStyle w:val="P1-StandPara"/>
        <w:numPr>
          <w:ilvl w:val="0"/>
          <w:numId w:val="18"/>
        </w:numPr>
        <w:spacing w:line="276" w:lineRule="auto"/>
        <w:ind w:left="630" w:hanging="371"/>
        <w:jc w:val="left"/>
        <w:rPr>
          <w:sz w:val="24"/>
          <w:szCs w:val="24"/>
        </w:rPr>
      </w:pPr>
      <w:r w:rsidRPr="00251793">
        <w:rPr>
          <w:i/>
          <w:iCs/>
          <w:sz w:val="24"/>
          <w:szCs w:val="24"/>
        </w:rPr>
        <w:t>Privacy Act Regulations</w:t>
      </w:r>
      <w:r w:rsidRPr="00251793">
        <w:rPr>
          <w:iCs/>
          <w:sz w:val="24"/>
          <w:szCs w:val="24"/>
        </w:rPr>
        <w:t xml:space="preserve"> </w:t>
      </w:r>
      <w:r w:rsidRPr="00251793">
        <w:rPr>
          <w:sz w:val="24"/>
          <w:szCs w:val="24"/>
        </w:rPr>
        <w:t>(34 CFR Part 5b);</w:t>
      </w:r>
    </w:p>
    <w:p w:rsidRPr="00251793" w:rsidR="00C77405" w:rsidP="00C77405" w:rsidRDefault="00C77405" w14:paraId="7C777017" w14:textId="77777777">
      <w:pPr>
        <w:pStyle w:val="P1-StandPara"/>
        <w:numPr>
          <w:ilvl w:val="0"/>
          <w:numId w:val="18"/>
        </w:numPr>
        <w:spacing w:line="276" w:lineRule="auto"/>
        <w:ind w:left="630" w:hanging="371"/>
        <w:jc w:val="left"/>
        <w:rPr>
          <w:sz w:val="24"/>
          <w:szCs w:val="24"/>
        </w:rPr>
      </w:pPr>
      <w:r w:rsidRPr="00251793">
        <w:rPr>
          <w:i/>
          <w:iCs/>
          <w:sz w:val="24"/>
          <w:szCs w:val="24"/>
        </w:rPr>
        <w:t>Computer Security Act of 1987</w:t>
      </w:r>
      <w:r w:rsidRPr="00251793">
        <w:rPr>
          <w:iCs/>
          <w:sz w:val="24"/>
          <w:szCs w:val="24"/>
        </w:rPr>
        <w:t>;</w:t>
      </w:r>
    </w:p>
    <w:p w:rsidRPr="00251793" w:rsidR="00C77405" w:rsidP="00C77405" w:rsidRDefault="00C77405" w14:paraId="0D141DC4" w14:textId="77777777">
      <w:pPr>
        <w:pStyle w:val="P1-StandPara"/>
        <w:numPr>
          <w:ilvl w:val="0"/>
          <w:numId w:val="18"/>
        </w:numPr>
        <w:spacing w:line="276" w:lineRule="auto"/>
        <w:ind w:left="630" w:hanging="371"/>
        <w:jc w:val="left"/>
        <w:rPr>
          <w:sz w:val="24"/>
          <w:szCs w:val="24"/>
        </w:rPr>
      </w:pPr>
      <w:r w:rsidRPr="00251793">
        <w:rPr>
          <w:i/>
          <w:iCs/>
          <w:sz w:val="24"/>
          <w:szCs w:val="24"/>
        </w:rPr>
        <w:t>U.S.A. Patriot Act of 2001</w:t>
      </w:r>
      <w:r w:rsidRPr="00251793">
        <w:rPr>
          <w:sz w:val="24"/>
          <w:szCs w:val="24"/>
        </w:rPr>
        <w:t xml:space="preserve"> (P.L. 107-56);</w:t>
      </w:r>
    </w:p>
    <w:p w:rsidRPr="00251793" w:rsidR="00C77405" w:rsidP="00C77405" w:rsidRDefault="00C77405" w14:paraId="57C6A1F9" w14:textId="77777777">
      <w:pPr>
        <w:pStyle w:val="P1-StandPara"/>
        <w:numPr>
          <w:ilvl w:val="0"/>
          <w:numId w:val="18"/>
        </w:numPr>
        <w:spacing w:line="276" w:lineRule="auto"/>
        <w:ind w:left="630" w:hanging="371"/>
        <w:jc w:val="left"/>
        <w:rPr>
          <w:sz w:val="24"/>
          <w:szCs w:val="24"/>
        </w:rPr>
      </w:pPr>
      <w:r w:rsidRPr="00251793">
        <w:rPr>
          <w:i/>
          <w:iCs/>
          <w:sz w:val="24"/>
          <w:szCs w:val="24"/>
        </w:rPr>
        <w:t>Education Sciences Reform Act of 2002</w:t>
      </w:r>
      <w:r w:rsidRPr="00251793">
        <w:rPr>
          <w:iCs/>
          <w:sz w:val="24"/>
          <w:szCs w:val="24"/>
        </w:rPr>
        <w:t xml:space="preserve"> </w:t>
      </w:r>
      <w:r w:rsidRPr="00251793">
        <w:rPr>
          <w:sz w:val="24"/>
          <w:szCs w:val="24"/>
        </w:rPr>
        <w:t>(ESRA 2002, 20 U.S.C. §9573);</w:t>
      </w:r>
    </w:p>
    <w:p w:rsidRPr="00251793" w:rsidR="00C77405" w:rsidP="00C77405" w:rsidRDefault="00C77405" w14:paraId="7A40A904" w14:textId="77777777">
      <w:pPr>
        <w:pStyle w:val="P1-StandPara"/>
        <w:numPr>
          <w:ilvl w:val="0"/>
          <w:numId w:val="18"/>
        </w:numPr>
        <w:spacing w:line="276" w:lineRule="auto"/>
        <w:ind w:left="630" w:hanging="371"/>
        <w:jc w:val="left"/>
        <w:rPr>
          <w:sz w:val="24"/>
          <w:szCs w:val="24"/>
        </w:rPr>
      </w:pPr>
      <w:r w:rsidRPr="00251793">
        <w:rPr>
          <w:i/>
          <w:sz w:val="24"/>
          <w:szCs w:val="24"/>
        </w:rPr>
        <w:t>Confidential Information Protect and Statistical Efficiency Act of 2002</w:t>
      </w:r>
      <w:r w:rsidRPr="00251793">
        <w:rPr>
          <w:sz w:val="24"/>
          <w:szCs w:val="24"/>
        </w:rPr>
        <w:t>;</w:t>
      </w:r>
    </w:p>
    <w:p w:rsidRPr="00251793" w:rsidR="00C77405" w:rsidP="00C77405" w:rsidRDefault="00C77405" w14:paraId="1DA0FD4F" w14:textId="77777777">
      <w:pPr>
        <w:pStyle w:val="P1-StandPara"/>
        <w:numPr>
          <w:ilvl w:val="0"/>
          <w:numId w:val="18"/>
        </w:numPr>
        <w:spacing w:line="276" w:lineRule="auto"/>
        <w:ind w:left="630" w:hanging="371"/>
        <w:jc w:val="left"/>
        <w:rPr>
          <w:sz w:val="24"/>
          <w:szCs w:val="24"/>
        </w:rPr>
      </w:pPr>
      <w:r w:rsidRPr="00251793">
        <w:rPr>
          <w:i/>
          <w:iCs/>
          <w:sz w:val="24"/>
          <w:szCs w:val="24"/>
        </w:rPr>
        <w:t>E-Government Act of 2002</w:t>
      </w:r>
      <w:r w:rsidRPr="00251793">
        <w:rPr>
          <w:iCs/>
          <w:sz w:val="24"/>
          <w:szCs w:val="24"/>
        </w:rPr>
        <w:t>, Title V, Subtitle A;</w:t>
      </w:r>
    </w:p>
    <w:p w:rsidRPr="00251793" w:rsidR="00C77405" w:rsidP="00C77405" w:rsidRDefault="00C77405" w14:paraId="4422871B" w14:textId="77777777">
      <w:pPr>
        <w:pStyle w:val="P1-StandPara"/>
        <w:numPr>
          <w:ilvl w:val="0"/>
          <w:numId w:val="18"/>
        </w:numPr>
        <w:spacing w:line="276" w:lineRule="auto"/>
        <w:ind w:left="630" w:hanging="371"/>
        <w:jc w:val="left"/>
        <w:rPr>
          <w:sz w:val="24"/>
          <w:szCs w:val="24"/>
        </w:rPr>
      </w:pPr>
      <w:r w:rsidRPr="00251793">
        <w:rPr>
          <w:i/>
          <w:iCs/>
          <w:sz w:val="24"/>
          <w:szCs w:val="24"/>
        </w:rPr>
        <w:t>Cybersecurity Enhancement Act of 2015</w:t>
      </w:r>
      <w:r w:rsidRPr="00251793">
        <w:rPr>
          <w:iCs/>
          <w:sz w:val="24"/>
          <w:szCs w:val="24"/>
        </w:rPr>
        <w:t xml:space="preserve"> (6 U.S.C. </w:t>
      </w:r>
      <w:r w:rsidRPr="00251793">
        <w:rPr>
          <w:sz w:val="24"/>
          <w:szCs w:val="24"/>
        </w:rPr>
        <w:t>§</w:t>
      </w:r>
      <w:r w:rsidRPr="00251793">
        <w:rPr>
          <w:iCs/>
          <w:sz w:val="24"/>
          <w:szCs w:val="24"/>
        </w:rPr>
        <w:t>151);</w:t>
      </w:r>
    </w:p>
    <w:p w:rsidRPr="00251793" w:rsidR="00C77405" w:rsidP="00C77405" w:rsidRDefault="00C77405" w14:paraId="7BA5F49E" w14:textId="77777777">
      <w:pPr>
        <w:pStyle w:val="P1-StandPara"/>
        <w:numPr>
          <w:ilvl w:val="0"/>
          <w:numId w:val="18"/>
        </w:numPr>
        <w:spacing w:line="276" w:lineRule="auto"/>
        <w:ind w:left="630" w:hanging="371"/>
        <w:jc w:val="left"/>
        <w:rPr>
          <w:sz w:val="24"/>
          <w:szCs w:val="24"/>
        </w:rPr>
      </w:pPr>
      <w:r w:rsidRPr="00251793">
        <w:rPr>
          <w:sz w:val="24"/>
          <w:szCs w:val="24"/>
        </w:rPr>
        <w:t>The U.S. Department of Education General Handbook for Information Technology Security General Support Systems and Major Applications Inventory Procedures (March 2005);</w:t>
      </w:r>
    </w:p>
    <w:p w:rsidRPr="00251793" w:rsidR="00C77405" w:rsidP="00C77405" w:rsidRDefault="00C77405" w14:paraId="28A63B20" w14:textId="77777777">
      <w:pPr>
        <w:pStyle w:val="P1-StandPara"/>
        <w:numPr>
          <w:ilvl w:val="0"/>
          <w:numId w:val="18"/>
        </w:numPr>
        <w:spacing w:line="276" w:lineRule="auto"/>
        <w:ind w:left="630" w:hanging="371"/>
        <w:jc w:val="left"/>
        <w:rPr>
          <w:sz w:val="24"/>
          <w:szCs w:val="24"/>
        </w:rPr>
      </w:pPr>
      <w:r w:rsidRPr="00251793">
        <w:rPr>
          <w:sz w:val="24"/>
          <w:szCs w:val="24"/>
        </w:rPr>
        <w:t>The U.S. Department of Education Incident Handling Procedures (February 2009);</w:t>
      </w:r>
    </w:p>
    <w:p w:rsidRPr="00251793" w:rsidR="00C77405" w:rsidP="00C77405" w:rsidRDefault="00C77405" w14:paraId="0C36F97E" w14:textId="77777777">
      <w:pPr>
        <w:pStyle w:val="P1-StandPara"/>
        <w:numPr>
          <w:ilvl w:val="0"/>
          <w:numId w:val="18"/>
        </w:numPr>
        <w:spacing w:line="276" w:lineRule="auto"/>
        <w:ind w:left="630" w:hanging="371"/>
        <w:jc w:val="left"/>
        <w:rPr>
          <w:sz w:val="24"/>
          <w:szCs w:val="24"/>
        </w:rPr>
      </w:pPr>
      <w:r w:rsidRPr="00251793">
        <w:rPr>
          <w:sz w:val="24"/>
          <w:szCs w:val="24"/>
        </w:rPr>
        <w:t>The U.S. Department of Education, ACS Directive OM: 5-101, Contractor Employee Personnel Security Screenings;</w:t>
      </w:r>
    </w:p>
    <w:p w:rsidRPr="00251793" w:rsidR="00C77405" w:rsidP="00C77405" w:rsidRDefault="00C77405" w14:paraId="340E1976" w14:textId="77777777">
      <w:pPr>
        <w:pStyle w:val="P1-StandPara"/>
        <w:numPr>
          <w:ilvl w:val="0"/>
          <w:numId w:val="18"/>
        </w:numPr>
        <w:spacing w:line="276" w:lineRule="auto"/>
        <w:ind w:left="630" w:hanging="371"/>
        <w:jc w:val="left"/>
        <w:rPr>
          <w:sz w:val="24"/>
          <w:szCs w:val="24"/>
        </w:rPr>
      </w:pPr>
      <w:r w:rsidRPr="00251793">
        <w:rPr>
          <w:sz w:val="24"/>
          <w:szCs w:val="24"/>
        </w:rPr>
        <w:lastRenderedPageBreak/>
        <w:t>NCES</w:t>
      </w:r>
      <w:r w:rsidRPr="00251793">
        <w:rPr>
          <w:iCs/>
          <w:sz w:val="24"/>
          <w:szCs w:val="24"/>
        </w:rPr>
        <w:t xml:space="preserve"> Statistical Standards; and</w:t>
      </w:r>
    </w:p>
    <w:p w:rsidRPr="00251793" w:rsidR="00C77405" w:rsidP="00C77405" w:rsidRDefault="00C77405" w14:paraId="1BF390AC" w14:textId="77777777">
      <w:pPr>
        <w:pStyle w:val="P1-StandPara"/>
        <w:numPr>
          <w:ilvl w:val="0"/>
          <w:numId w:val="18"/>
        </w:numPr>
        <w:spacing w:after="120" w:line="276" w:lineRule="auto"/>
        <w:ind w:left="630"/>
        <w:jc w:val="left"/>
        <w:rPr>
          <w:sz w:val="24"/>
          <w:szCs w:val="24"/>
        </w:rPr>
      </w:pPr>
      <w:r w:rsidRPr="00251793">
        <w:rPr>
          <w:iCs/>
          <w:sz w:val="24"/>
          <w:szCs w:val="24"/>
        </w:rPr>
        <w:t>A</w:t>
      </w:r>
      <w:r w:rsidRPr="00251793">
        <w:rPr>
          <w:sz w:val="24"/>
          <w:szCs w:val="24"/>
        </w:rPr>
        <w:t>ll new legislation that impacts the data collected through the inter-agency agreement for this study.</w:t>
      </w:r>
    </w:p>
    <w:p w:rsidRPr="00251793" w:rsidR="00C77405" w:rsidP="00C77405" w:rsidRDefault="00C77405" w14:paraId="6A01D0ED" w14:textId="0E778052">
      <w:pPr>
        <w:pStyle w:val="BodyText1"/>
        <w:widowControl w:val="0"/>
        <w:spacing w:line="240" w:lineRule="auto"/>
        <w:rPr>
          <w:rFonts w:ascii="Times New Roman" w:hAnsi="Times New Roman"/>
        </w:rPr>
      </w:pPr>
      <w:r w:rsidRPr="00251793">
        <w:rPr>
          <w:rFonts w:ascii="Times New Roman" w:hAnsi="Times New Roman"/>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5">
        <w:r w:rsidRPr="00251793">
          <w:rPr>
            <w:rFonts w:ascii="Times New Roman" w:hAnsi="Times New Roman"/>
          </w:rPr>
          <w:t>http://nces.ed.gov/statprog/2012/</w:t>
        </w:r>
      </w:hyperlink>
      <w:r w:rsidRPr="00251793">
        <w:rPr>
          <w:rFonts w:ascii="Times New Roman" w:hAnsi="Times New Roman"/>
        </w:rPr>
        <w:t>.</w:t>
      </w:r>
    </w:p>
    <w:p w:rsidRPr="00251793" w:rsidR="00A12163" w:rsidP="003C653B" w:rsidRDefault="0093345D" w14:paraId="62B90803" w14:textId="77777777">
      <w:pPr>
        <w:widowControl w:val="0"/>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Pr="00251793" w:rsidR="00856137">
        <w:rPr>
          <w:rFonts w:ascii="Times New Roman" w:hAnsi="Times New Roman" w:cs="Times New Roman"/>
          <w:sz w:val="24"/>
          <w:szCs w:val="24"/>
        </w:rPr>
        <w:t>-B</w:t>
      </w:r>
      <w:r w:rsidRPr="00251793">
        <w:rPr>
          <w:rFonts w:ascii="Times New Roman" w:hAnsi="Times New Roman" w:cs="Times New Roman"/>
          <w:sz w:val="24"/>
          <w:szCs w:val="24"/>
        </w:rPr>
        <w:t>)</w:t>
      </w:r>
      <w:r w:rsidRPr="00251793" w:rsidR="00A12163">
        <w:rPr>
          <w:rFonts w:ascii="Times New Roman" w:hAnsi="Times New Roman" w:cs="Times New Roman"/>
          <w:sz w:val="24"/>
          <w:szCs w:val="24"/>
        </w:rPr>
        <w:t>.</w:t>
      </w:r>
    </w:p>
    <w:p w:rsidRPr="00251793" w:rsidR="0093345D" w:rsidP="0002216F" w:rsidRDefault="00A12163" w14:paraId="6F7534DA"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Letters to teachers, </w:t>
      </w:r>
      <w:r w:rsidRPr="00251793" w:rsidR="00856137">
        <w:rPr>
          <w:rFonts w:ascii="Times New Roman" w:hAnsi="Times New Roman" w:cs="Times New Roman"/>
          <w:sz w:val="24"/>
          <w:szCs w:val="24"/>
        </w:rPr>
        <w:t>school coordinators, and supporting materials will read (Appendix A-</w:t>
      </w:r>
      <w:r w:rsidRPr="00251793" w:rsidR="00ED6D4E">
        <w:rPr>
          <w:rFonts w:ascii="Times New Roman" w:hAnsi="Times New Roman" w:cs="Times New Roman"/>
          <w:sz w:val="24"/>
          <w:szCs w:val="24"/>
        </w:rPr>
        <w:t>1</w:t>
      </w:r>
      <w:r w:rsidRPr="00251793" w:rsidR="00B63B76">
        <w:rPr>
          <w:rFonts w:ascii="Times New Roman" w:hAnsi="Times New Roman" w:cs="Times New Roman"/>
          <w:sz w:val="24"/>
          <w:szCs w:val="24"/>
        </w:rPr>
        <w:t xml:space="preserve"> and A-</w:t>
      </w:r>
      <w:r w:rsidRPr="00251793" w:rsidR="00ED6D4E">
        <w:rPr>
          <w:rFonts w:ascii="Times New Roman" w:hAnsi="Times New Roman" w:cs="Times New Roman"/>
          <w:sz w:val="24"/>
          <w:szCs w:val="24"/>
        </w:rPr>
        <w:t>2</w:t>
      </w:r>
      <w:r w:rsidRPr="00251793" w:rsidR="00856137">
        <w:rPr>
          <w:rFonts w:ascii="Times New Roman" w:hAnsi="Times New Roman" w:cs="Times New Roman"/>
          <w:sz w:val="24"/>
          <w:szCs w:val="24"/>
        </w:rPr>
        <w:t>):</w:t>
      </w:r>
    </w:p>
    <w:p w:rsidRPr="00251793" w:rsidR="0028124B" w:rsidP="0028124B" w:rsidRDefault="0028124B" w14:paraId="7E798042" w14:textId="77777777">
      <w:pPr>
        <w:spacing w:after="120" w:line="23" w:lineRule="atLeast"/>
        <w:ind w:left="720"/>
        <w:rPr>
          <w:rFonts w:ascii="Times New Roman" w:hAnsi="Times New Roman" w:cs="Times New Roman"/>
          <w:i/>
          <w:sz w:val="24"/>
          <w:szCs w:val="24"/>
        </w:rPr>
      </w:pPr>
      <w:r w:rsidRPr="00251793">
        <w:rPr>
          <w:rFonts w:ascii="Times New Roman" w:hAnsi="Times New Roman" w:cs="Times New Roman"/>
          <w:i/>
          <w:sz w:val="24"/>
          <w:szCs w:val="24"/>
        </w:rPr>
        <w:t xml:space="preserve">NCES is authorized to conduct this study under the Education Sciences Reform Act of 2002 (ESRA 2002, 20 U.S.C. §9543). All of the information you provide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Pr>
          <w:rFonts w:ascii="Times New Roman" w:hAnsi="Times New Roman" w:cs="Times New Roman"/>
          <w:i/>
          <w:sz w:val="24"/>
          <w:szCs w:val="24"/>
        </w:rPr>
        <w:t>).</w:t>
      </w:r>
    </w:p>
    <w:p w:rsidRPr="00251793" w:rsidR="00A12163" w:rsidP="004E108A" w:rsidRDefault="00A12163" w14:paraId="163A67EE"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Letters to states</w:t>
      </w:r>
      <w:r w:rsidRPr="00251793" w:rsidR="005B3FAC">
        <w:rPr>
          <w:rFonts w:ascii="Times New Roman" w:hAnsi="Times New Roman" w:cs="Times New Roman"/>
          <w:sz w:val="24"/>
          <w:szCs w:val="24"/>
        </w:rPr>
        <w:t>,</w:t>
      </w:r>
      <w:r w:rsidRPr="00251793">
        <w:rPr>
          <w:rFonts w:ascii="Times New Roman" w:hAnsi="Times New Roman" w:cs="Times New Roman"/>
          <w:sz w:val="24"/>
          <w:szCs w:val="24"/>
        </w:rPr>
        <w:t xml:space="preserve"> district</w:t>
      </w:r>
      <w:r w:rsidRPr="00251793" w:rsidR="00B63B76">
        <w:rPr>
          <w:rFonts w:ascii="Times New Roman" w:hAnsi="Times New Roman" w:cs="Times New Roman"/>
          <w:sz w:val="24"/>
          <w:szCs w:val="24"/>
        </w:rPr>
        <w:t>s</w:t>
      </w:r>
      <w:r w:rsidRPr="00251793" w:rsidR="005B3FAC">
        <w:rPr>
          <w:rFonts w:ascii="Times New Roman" w:hAnsi="Times New Roman" w:cs="Times New Roman"/>
          <w:sz w:val="24"/>
          <w:szCs w:val="24"/>
        </w:rPr>
        <w:t>, and schools</w:t>
      </w:r>
      <w:r w:rsidRPr="00251793">
        <w:rPr>
          <w:rFonts w:ascii="Times New Roman" w:hAnsi="Times New Roman" w:cs="Times New Roman"/>
          <w:sz w:val="24"/>
          <w:szCs w:val="24"/>
        </w:rPr>
        <w:t xml:space="preserve"> </w:t>
      </w:r>
      <w:r w:rsidRPr="00251793" w:rsidR="005B3FAC">
        <w:rPr>
          <w:rFonts w:ascii="Times New Roman" w:hAnsi="Times New Roman" w:cs="Times New Roman"/>
          <w:sz w:val="24"/>
          <w:szCs w:val="24"/>
        </w:rPr>
        <w:t xml:space="preserve">and parent notification letters and supporting materials </w:t>
      </w:r>
      <w:r w:rsidRPr="00251793">
        <w:rPr>
          <w:rFonts w:ascii="Times New Roman" w:hAnsi="Times New Roman" w:cs="Times New Roman"/>
          <w:sz w:val="24"/>
          <w:szCs w:val="24"/>
        </w:rPr>
        <w:t>will read</w:t>
      </w:r>
      <w:r w:rsidRPr="00251793" w:rsidR="00856137">
        <w:rPr>
          <w:rFonts w:ascii="Times New Roman" w:hAnsi="Times New Roman" w:cs="Times New Roman"/>
          <w:sz w:val="24"/>
          <w:szCs w:val="24"/>
        </w:rPr>
        <w:t xml:space="preserve"> (Appendix A-</w:t>
      </w:r>
      <w:r w:rsidRPr="00251793" w:rsidR="00ED6D4E">
        <w:rPr>
          <w:rFonts w:ascii="Times New Roman" w:hAnsi="Times New Roman" w:cs="Times New Roman"/>
          <w:sz w:val="24"/>
          <w:szCs w:val="24"/>
        </w:rPr>
        <w:t>1</w:t>
      </w:r>
      <w:r w:rsidRPr="00251793" w:rsidR="005B3FAC">
        <w:rPr>
          <w:rFonts w:ascii="Times New Roman" w:hAnsi="Times New Roman" w:cs="Times New Roman"/>
          <w:sz w:val="24"/>
          <w:szCs w:val="24"/>
        </w:rPr>
        <w:t xml:space="preserve">, </w:t>
      </w:r>
      <w:r w:rsidRPr="00251793" w:rsidR="00B63B76">
        <w:rPr>
          <w:rFonts w:ascii="Times New Roman" w:hAnsi="Times New Roman" w:cs="Times New Roman"/>
          <w:sz w:val="24"/>
          <w:szCs w:val="24"/>
        </w:rPr>
        <w:t>A-</w:t>
      </w:r>
      <w:r w:rsidRPr="00251793" w:rsidR="00ED6D4E">
        <w:rPr>
          <w:rFonts w:ascii="Times New Roman" w:hAnsi="Times New Roman" w:cs="Times New Roman"/>
          <w:sz w:val="24"/>
          <w:szCs w:val="24"/>
        </w:rPr>
        <w:t>2</w:t>
      </w:r>
      <w:r w:rsidRPr="00251793" w:rsidR="005B3FAC">
        <w:rPr>
          <w:rFonts w:ascii="Times New Roman" w:hAnsi="Times New Roman" w:cs="Times New Roman"/>
          <w:sz w:val="24"/>
          <w:szCs w:val="24"/>
        </w:rPr>
        <w:t>, B-1, and B-2</w:t>
      </w:r>
      <w:r w:rsidRPr="00251793" w:rsidR="00856137">
        <w:rPr>
          <w:rFonts w:ascii="Times New Roman" w:hAnsi="Times New Roman" w:cs="Times New Roman"/>
          <w:sz w:val="24"/>
          <w:szCs w:val="24"/>
        </w:rPr>
        <w:t>)</w:t>
      </w:r>
      <w:r w:rsidRPr="00251793">
        <w:rPr>
          <w:rFonts w:ascii="Times New Roman" w:hAnsi="Times New Roman" w:cs="Times New Roman"/>
          <w:sz w:val="24"/>
          <w:szCs w:val="24"/>
        </w:rPr>
        <w:t>:</w:t>
      </w:r>
    </w:p>
    <w:p w:rsidRPr="00251793" w:rsidR="00BD34AB" w:rsidP="00BD34AB" w:rsidRDefault="00BD34AB" w14:paraId="59B1C3FD" w14:textId="77777777">
      <w:pPr>
        <w:spacing w:after="120" w:line="23" w:lineRule="atLeast"/>
        <w:ind w:left="720"/>
        <w:rPr>
          <w:rFonts w:ascii="Times New Roman" w:hAnsi="Times New Roman" w:cs="Times New Roman"/>
          <w:i/>
          <w:sz w:val="24"/>
          <w:szCs w:val="24"/>
        </w:rPr>
      </w:pPr>
      <w:r w:rsidRPr="00251793">
        <w:rPr>
          <w:rFonts w:ascii="Times New Roman" w:hAnsi="Times New Roman" w:cs="Times New Roman"/>
          <w:i/>
          <w:sz w:val="24"/>
          <w:szCs w:val="24"/>
        </w:rPr>
        <w:t>NCES is authorized to conduct this study under the Education Sciences Reform Act of 2002 (ESRA 2002, 20 U.S.C. §9543</w:t>
      </w:r>
      <w:r w:rsidRPr="00251793" w:rsidR="00A12163">
        <w:rPr>
          <w:rFonts w:ascii="Times New Roman" w:hAnsi="Times New Roman" w:cs="Times New Roman"/>
          <w:i/>
          <w:sz w:val="24"/>
          <w:szCs w:val="24"/>
        </w:rPr>
        <w:t xml:space="preserve">). </w:t>
      </w:r>
      <w:r w:rsidRPr="00251793">
        <w:rPr>
          <w:rFonts w:ascii="Times New Roman" w:hAnsi="Times New Roman" w:cs="Times New Roman"/>
          <w:i/>
          <w:sz w:val="24"/>
          <w:szCs w:val="24"/>
        </w:rPr>
        <w:t xml:space="preserve">All of the information provided by school staff and students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Pr>
          <w:rFonts w:ascii="Times New Roman" w:hAnsi="Times New Roman" w:cs="Times New Roman"/>
          <w:i/>
          <w:sz w:val="24"/>
          <w:szCs w:val="24"/>
        </w:rPr>
        <w:t>).</w:t>
      </w:r>
    </w:p>
    <w:p w:rsidRPr="00251793" w:rsidR="0093345D" w:rsidP="0002216F" w:rsidRDefault="0093345D" w14:paraId="13B8B966" w14:textId="583385AB">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following statement will appear on the login page for eTIMSS</w:t>
      </w:r>
      <w:r w:rsidRPr="00251793" w:rsidR="009F5786">
        <w:rPr>
          <w:rFonts w:ascii="Times New Roman" w:hAnsi="Times New Roman" w:cs="Times New Roman"/>
          <w:sz w:val="24"/>
          <w:szCs w:val="24"/>
        </w:rPr>
        <w:t xml:space="preserve"> and on the TIMSS portal</w:t>
      </w:r>
      <w:r w:rsidRPr="00251793">
        <w:rPr>
          <w:rFonts w:ascii="Times New Roman" w:hAnsi="Times New Roman" w:cs="Times New Roman"/>
          <w:sz w:val="24"/>
          <w:szCs w:val="24"/>
        </w:rPr>
        <w:t>:</w:t>
      </w:r>
    </w:p>
    <w:p w:rsidRPr="00251793" w:rsidR="0028124B" w:rsidP="0028124B" w:rsidRDefault="0093345D" w14:paraId="30AD3487" w14:textId="77777777">
      <w:pPr>
        <w:spacing w:after="120" w:line="23" w:lineRule="atLeast"/>
        <w:ind w:left="270"/>
        <w:rPr>
          <w:rFonts w:ascii="Times New Roman" w:hAnsi="Times New Roman" w:cs="Times New Roman"/>
          <w:i/>
          <w:sz w:val="24"/>
          <w:szCs w:val="24"/>
        </w:rPr>
      </w:pPr>
      <w:r w:rsidRPr="00251793">
        <w:rPr>
          <w:rFonts w:ascii="Times New Roman" w:hAnsi="Times New Roman" w:cs="Times New Roman"/>
          <w:i/>
          <w:sz w:val="24"/>
          <w:szCs w:val="24"/>
        </w:rPr>
        <w:t>The National Center for Education Statistics (NCES), within the U.S. Department of Education, conducts TIMSS in the United States as authorized by the Education Sciences Reform Act of 2002 (</w:t>
      </w:r>
      <w:r w:rsidRPr="00251793" w:rsidR="00BD34AB">
        <w:rPr>
          <w:rFonts w:ascii="Times New Roman" w:hAnsi="Times New Roman" w:cs="Times New Roman"/>
          <w:i/>
          <w:sz w:val="24"/>
          <w:szCs w:val="24"/>
        </w:rPr>
        <w:t>ESRA 2002, 20 U.S.C. §9543</w:t>
      </w:r>
      <w:r w:rsidRPr="00251793">
        <w:rPr>
          <w:rFonts w:ascii="Times New Roman" w:hAnsi="Times New Roman" w:cs="Times New Roman"/>
          <w:i/>
          <w:sz w:val="24"/>
          <w:szCs w:val="24"/>
        </w:rPr>
        <w:t xml:space="preserve">). </w:t>
      </w:r>
      <w:r w:rsidRPr="00251793" w:rsidR="00BD34AB">
        <w:rPr>
          <w:rFonts w:ascii="Times New Roman" w:hAnsi="Times New Roman" w:cs="Times New Roman"/>
          <w:i/>
          <w:sz w:val="24"/>
          <w:szCs w:val="24"/>
        </w:rPr>
        <w:t xml:space="preserve">All of the information you provide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sidR="0028124B">
        <w:rPr>
          <w:rFonts w:ascii="Times New Roman" w:hAnsi="Times New Roman" w:cs="Times New Roman"/>
          <w:i/>
          <w:sz w:val="24"/>
          <w:szCs w:val="24"/>
        </w:rPr>
        <w:t>).</w:t>
      </w:r>
    </w:p>
    <w:p w:rsidRPr="00251793" w:rsidR="0093345D" w:rsidP="00AA35FD" w:rsidRDefault="0093345D" w14:paraId="7FC4FAE7" w14:textId="77777777">
      <w:pPr>
        <w:pStyle w:val="P1-StandPara"/>
        <w:widowControl w:val="0"/>
        <w:spacing w:line="23" w:lineRule="atLeast"/>
        <w:ind w:left="274" w:firstLine="0"/>
        <w:jc w:val="left"/>
        <w:rPr>
          <w:sz w:val="24"/>
          <w:szCs w:val="24"/>
        </w:rPr>
      </w:pPr>
      <w:r w:rsidRPr="00251793">
        <w:rPr>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251793" w:rsidR="00C74B72">
        <w:rPr>
          <w:sz w:val="24"/>
          <w:szCs w:val="24"/>
        </w:rPr>
        <w:t>30</w:t>
      </w:r>
      <w:r w:rsidRPr="00251793">
        <w:rPr>
          <w:sz w:val="24"/>
          <w:szCs w:val="24"/>
        </w:rPr>
        <w:t xml:space="preserve"> minutes per [</w:t>
      </w:r>
      <w:r w:rsidRPr="00251793">
        <w:rPr>
          <w:i/>
          <w:sz w:val="24"/>
          <w:szCs w:val="24"/>
        </w:rPr>
        <w:t>respondent type</w:t>
      </w:r>
      <w:r w:rsidRPr="00251793">
        <w:rPr>
          <w:sz w:val="24"/>
          <w:szCs w:val="24"/>
        </w:rPr>
        <w:t>], including the time to review instructions [</w:t>
      </w:r>
      <w:r w:rsidRPr="00251793">
        <w:rPr>
          <w:i/>
          <w:sz w:val="24"/>
          <w:szCs w:val="24"/>
        </w:rPr>
        <w:t>, search existing data resources, gather the data needed,</w:t>
      </w:r>
      <w:r w:rsidRPr="00251793">
        <w:rPr>
          <w:sz w:val="24"/>
          <w:szCs w:val="24"/>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Pr="00251793" w:rsidR="00BD34AB">
        <w:rPr>
          <w:sz w:val="24"/>
          <w:szCs w:val="24"/>
        </w:rPr>
        <w:t>Potomac Center Plaza</w:t>
      </w:r>
      <w:r w:rsidRPr="00251793" w:rsidR="00910A79">
        <w:rPr>
          <w:sz w:val="24"/>
          <w:szCs w:val="24"/>
        </w:rPr>
        <w:t>, 55</w:t>
      </w:r>
      <w:r w:rsidRPr="00251793">
        <w:rPr>
          <w:sz w:val="24"/>
          <w:szCs w:val="24"/>
        </w:rPr>
        <w:t>0 12</w:t>
      </w:r>
      <w:r w:rsidRPr="00251793">
        <w:rPr>
          <w:sz w:val="24"/>
          <w:szCs w:val="24"/>
          <w:vertAlign w:val="superscript"/>
        </w:rPr>
        <w:t>th</w:t>
      </w:r>
      <w:r w:rsidRPr="00251793">
        <w:rPr>
          <w:sz w:val="24"/>
          <w:szCs w:val="24"/>
        </w:rPr>
        <w:t xml:space="preserve"> </w:t>
      </w:r>
      <w:r w:rsidRPr="00251793" w:rsidR="00BD34AB">
        <w:rPr>
          <w:sz w:val="24"/>
          <w:szCs w:val="24"/>
        </w:rPr>
        <w:t>Street</w:t>
      </w:r>
      <w:r w:rsidRPr="00251793">
        <w:rPr>
          <w:sz w:val="24"/>
          <w:szCs w:val="24"/>
        </w:rPr>
        <w:t>, SW, 4</w:t>
      </w:r>
      <w:r w:rsidRPr="00251793">
        <w:rPr>
          <w:sz w:val="24"/>
          <w:szCs w:val="24"/>
          <w:vertAlign w:val="superscript"/>
        </w:rPr>
        <w:t>th</w:t>
      </w:r>
      <w:r w:rsidRPr="00251793">
        <w:rPr>
          <w:sz w:val="24"/>
          <w:szCs w:val="24"/>
        </w:rPr>
        <w:t xml:space="preserve"> floor, Washington, DC 20202.</w:t>
      </w:r>
    </w:p>
    <w:p w:rsidRPr="00251793" w:rsidR="0093345D" w:rsidP="0002216F" w:rsidRDefault="0093345D" w14:paraId="42DA6448" w14:textId="291C866A">
      <w:pPr>
        <w:pStyle w:val="P1-StandPara"/>
        <w:spacing w:after="120" w:line="23" w:lineRule="atLeast"/>
        <w:ind w:left="274" w:firstLine="0"/>
        <w:jc w:val="center"/>
        <w:rPr>
          <w:sz w:val="24"/>
          <w:szCs w:val="24"/>
        </w:rPr>
      </w:pPr>
      <w:r w:rsidRPr="00251793">
        <w:rPr>
          <w:sz w:val="24"/>
          <w:szCs w:val="24"/>
        </w:rPr>
        <w:t xml:space="preserve">OMB No. </w:t>
      </w:r>
      <w:r w:rsidR="00062899">
        <w:rPr>
          <w:sz w:val="24"/>
          <w:szCs w:val="24"/>
        </w:rPr>
        <w:t>1850-0695</w:t>
      </w:r>
      <w:r w:rsidRPr="00251793">
        <w:rPr>
          <w:sz w:val="24"/>
          <w:szCs w:val="24"/>
        </w:rPr>
        <w:t>, Approval Expires xx/xx/20</w:t>
      </w:r>
      <w:r w:rsidRPr="00251793" w:rsidR="000A2113">
        <w:rPr>
          <w:sz w:val="24"/>
          <w:szCs w:val="24"/>
        </w:rPr>
        <w:t>xx</w:t>
      </w:r>
      <w:r w:rsidRPr="00251793">
        <w:rPr>
          <w:sz w:val="24"/>
          <w:szCs w:val="24"/>
        </w:rPr>
        <w:t>.</w:t>
      </w:r>
    </w:p>
    <w:p w:rsidRPr="00251793" w:rsidR="00F72443" w:rsidP="00D35EB9" w:rsidRDefault="00762202" w14:paraId="4F45FB71" w14:textId="17AF0D20">
      <w:pPr>
        <w:widowControl w:val="0"/>
        <w:spacing w:after="120" w:line="23" w:lineRule="atLeast"/>
        <w:rPr>
          <w:rFonts w:ascii="Times New Roman" w:hAnsi="Times New Roman" w:cs="Times New Roman"/>
          <w:sz w:val="24"/>
          <w:szCs w:val="24"/>
        </w:rPr>
      </w:pPr>
      <w:bookmarkStart w:name="_Hlk56776299" w:id="44"/>
      <w:r w:rsidRPr="00251793">
        <w:rPr>
          <w:rFonts w:ascii="Times New Roman" w:hAnsi="Times New Roman" w:cs="Times New Roman"/>
          <w:sz w:val="24"/>
          <w:szCs w:val="24"/>
        </w:rPr>
        <w:t>The TIMSS 20</w:t>
      </w:r>
      <w:r w:rsidRPr="00251793" w:rsidR="00856F5A">
        <w:rPr>
          <w:rFonts w:ascii="Times New Roman" w:hAnsi="Times New Roman" w:cs="Times New Roman"/>
          <w:sz w:val="24"/>
          <w:szCs w:val="24"/>
        </w:rPr>
        <w:t>23</w:t>
      </w:r>
      <w:r w:rsidRPr="00251793">
        <w:rPr>
          <w:rFonts w:ascii="Times New Roman" w:hAnsi="Times New Roman" w:cs="Times New Roman"/>
          <w:sz w:val="24"/>
          <w:szCs w:val="24"/>
        </w:rPr>
        <w:t xml:space="preserve"> confidentiality plan includes signing confidentiality agreements and notarized nondisclosure affidavits by all contractor and subcontractor personnel and field workers who will have access to individual identifiers. </w:t>
      </w:r>
      <w:r w:rsidRPr="00251793" w:rsidR="003573C1">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sidRPr="00251793">
        <w:rPr>
          <w:rFonts w:ascii="Times New Roman" w:hAnsi="Times New Roman" w:cs="Times New Roman"/>
          <w:sz w:val="24"/>
          <w:szCs w:val="24"/>
        </w:rPr>
        <w:t xml:space="preserve">Also included in the plan is personnel training regarding the meaning of confidentiality, particularly as it relates to handling requests for information and providing assurance to respondents about the protection of their responses; </w:t>
      </w:r>
      <w:r w:rsidRPr="00251793">
        <w:rPr>
          <w:rFonts w:ascii="Times New Roman" w:hAnsi="Times New Roman" w:cs="Times New Roman"/>
          <w:sz w:val="24"/>
          <w:szCs w:val="24"/>
        </w:rPr>
        <w:lastRenderedPageBreak/>
        <w:t xml:space="preserve">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name="OLE_LINK1" w:id="45"/>
      <w:bookmarkStart w:name="OLE_LINK2" w:id="46"/>
      <w:r w:rsidRPr="00251793" w:rsidR="001220BA">
        <w:rPr>
          <w:rFonts w:ascii="Times New Roman" w:hAnsi="Times New Roman" w:cs="Times New Roman"/>
          <w:sz w:val="24"/>
          <w:szCs w:val="24"/>
        </w:rPr>
        <w:t xml:space="preserve">In </w:t>
      </w:r>
      <w:r w:rsidRPr="00251793" w:rsidR="00F72443">
        <w:rPr>
          <w:rFonts w:ascii="Times New Roman" w:hAnsi="Times New Roman" w:cs="Times New Roman"/>
          <w:sz w:val="24"/>
          <w:szCs w:val="24"/>
        </w:rPr>
        <w:t>eTIMSS</w:t>
      </w:r>
      <w:r w:rsidRPr="00251793" w:rsidR="0062648D">
        <w:rPr>
          <w:rFonts w:ascii="Times New Roman" w:hAnsi="Times New Roman" w:cs="Times New Roman"/>
          <w:sz w:val="24"/>
          <w:szCs w:val="24"/>
        </w:rPr>
        <w:t>,</w:t>
      </w:r>
      <w:r w:rsidRPr="00251793" w:rsidR="00F72443">
        <w:rPr>
          <w:rFonts w:ascii="Times New Roman" w:hAnsi="Times New Roman" w:cs="Times New Roman"/>
          <w:sz w:val="24"/>
          <w:szCs w:val="24"/>
        </w:rPr>
        <w:t xml:space="preserve"> students log into the automated assessment using non-identifying ID’s and thus the resulting data are collected and stored with only the non-identifying TIMSS assigned ID.</w:t>
      </w:r>
      <w:r w:rsidRPr="00251793" w:rsidR="00AB02D9">
        <w:rPr>
          <w:rFonts w:ascii="Times New Roman" w:hAnsi="Times New Roman" w:cs="Times New Roman"/>
          <w:sz w:val="24"/>
          <w:szCs w:val="24"/>
        </w:rPr>
        <w:t xml:space="preserve"> </w:t>
      </w:r>
      <w:r w:rsidRPr="00251793" w:rsidR="00F72443">
        <w:rPr>
          <w:rFonts w:ascii="Times New Roman" w:hAnsi="Times New Roman" w:cs="Times New Roman"/>
          <w:sz w:val="24"/>
          <w:szCs w:val="24"/>
        </w:rPr>
        <w:t xml:space="preserve">The data are collected from the tablets using a process that encrypts the data, and uploads the data onto </w:t>
      </w:r>
      <w:r w:rsidRPr="00251793" w:rsidR="001220BA">
        <w:rPr>
          <w:rFonts w:ascii="Times New Roman" w:hAnsi="Times New Roman" w:cs="Times New Roman"/>
          <w:sz w:val="24"/>
          <w:szCs w:val="24"/>
        </w:rPr>
        <w:t>a</w:t>
      </w:r>
      <w:r w:rsidR="00251793">
        <w:rPr>
          <w:rFonts w:ascii="Times New Roman" w:hAnsi="Times New Roman" w:cs="Times New Roman"/>
          <w:sz w:val="24"/>
          <w:szCs w:val="24"/>
        </w:rPr>
        <w:t>n</w:t>
      </w:r>
      <w:r w:rsidRPr="00251793" w:rsidR="001220BA">
        <w:rPr>
          <w:rFonts w:ascii="Times New Roman" w:hAnsi="Times New Roman" w:cs="Times New Roman"/>
          <w:sz w:val="24"/>
          <w:szCs w:val="24"/>
        </w:rPr>
        <w:t xml:space="preserve"> </w:t>
      </w:r>
      <w:r w:rsidRPr="00251793" w:rsidR="00F07E19">
        <w:rPr>
          <w:rFonts w:ascii="Times New Roman" w:hAnsi="Times New Roman" w:cs="Times New Roman"/>
          <w:sz w:val="24"/>
          <w:szCs w:val="24"/>
        </w:rPr>
        <w:t xml:space="preserve">RTI </w:t>
      </w:r>
      <w:r w:rsidRPr="00251793" w:rsidR="00F72443">
        <w:rPr>
          <w:rFonts w:ascii="Times New Roman" w:hAnsi="Times New Roman" w:cs="Times New Roman"/>
          <w:sz w:val="24"/>
          <w:szCs w:val="24"/>
        </w:rPr>
        <w:t>secure FTP site.</w:t>
      </w:r>
    </w:p>
    <w:bookmarkEnd w:id="44"/>
    <w:p w:rsidRPr="00251793" w:rsidR="00EF5CF5" w:rsidP="0017723B" w:rsidRDefault="00762202" w14:paraId="4ACBFD5C" w14:textId="77777777">
      <w:pPr>
        <w:widowControl w:val="0"/>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NCES understands the legal and ethical need to protect the privacy of the </w:t>
      </w:r>
      <w:r w:rsidRPr="00251793" w:rsidR="00636DC0">
        <w:rPr>
          <w:rFonts w:ascii="Times New Roman" w:hAnsi="Times New Roman" w:cs="Times New Roman"/>
          <w:sz w:val="24"/>
          <w:szCs w:val="24"/>
        </w:rPr>
        <w:t xml:space="preserve">TIMSS </w:t>
      </w:r>
      <w:r w:rsidRPr="00251793">
        <w:rPr>
          <w:rFonts w:ascii="Times New Roman" w:hAnsi="Times New Roman" w:cs="Times New Roman"/>
          <w:sz w:val="24"/>
          <w:szCs w:val="24"/>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Pr="00251793" w:rsidR="00AB3554">
        <w:rPr>
          <w:rFonts w:ascii="Times New Roman" w:hAnsi="Times New Roman" w:cs="Times New Roman"/>
          <w:sz w:val="24"/>
          <w:szCs w:val="24"/>
        </w:rPr>
        <w:t>ESRA 2002 (</w:t>
      </w:r>
      <w:r w:rsidRPr="00251793">
        <w:rPr>
          <w:rFonts w:ascii="Times New Roman" w:hAnsi="Times New Roman" w:cs="Times New Roman"/>
          <w:sz w:val="24"/>
          <w:szCs w:val="24"/>
        </w:rPr>
        <w:t>20 U.S.C.</w:t>
      </w:r>
      <w:r w:rsidRPr="00251793" w:rsidR="00AB3554">
        <w:rPr>
          <w:rFonts w:ascii="Times New Roman" w:hAnsi="Times New Roman" w:cs="Times New Roman"/>
          <w:sz w:val="24"/>
          <w:szCs w:val="24"/>
        </w:rPr>
        <w:t xml:space="preserve"> §</w:t>
      </w:r>
      <w:r w:rsidRPr="00251793">
        <w:rPr>
          <w:rFonts w:ascii="Times New Roman" w:hAnsi="Times New Roman" w:cs="Times New Roman"/>
          <w:sz w:val="24"/>
          <w:szCs w:val="24"/>
        </w:rPr>
        <w:t>9573</w:t>
      </w:r>
      <w:r w:rsidRPr="00251793" w:rsidR="00AB3554">
        <w:rPr>
          <w:rFonts w:ascii="Times New Roman" w:hAnsi="Times New Roman" w:cs="Times New Roman"/>
          <w:sz w:val="24"/>
          <w:szCs w:val="24"/>
        </w:rPr>
        <w:t>)</w:t>
      </w:r>
      <w:r w:rsidRPr="00251793">
        <w:rPr>
          <w:rFonts w:ascii="Times New Roman" w:hAnsi="Times New Roman" w:cs="Times New Roman"/>
          <w:sz w:val="24"/>
          <w:szCs w:val="24"/>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rsidRPr="00251793" w:rsidR="00D84C9E" w:rsidP="00A9768A" w:rsidRDefault="00D84C9E" w14:paraId="0EC38E10" w14:textId="1B4CA766">
      <w:pPr>
        <w:pStyle w:val="TIMSSOMBHeading2"/>
      </w:pPr>
      <w:bookmarkStart w:name="_Toc359323843" w:id="47"/>
      <w:bookmarkStart w:name="_Toc58475968" w:id="48"/>
      <w:bookmarkEnd w:id="42"/>
      <w:bookmarkEnd w:id="43"/>
      <w:bookmarkEnd w:id="45"/>
      <w:bookmarkEnd w:id="46"/>
      <w:r w:rsidRPr="00251793">
        <w:t>A.11</w:t>
      </w:r>
      <w:r w:rsidRPr="00251793">
        <w:tab/>
        <w:t>Sensitive Questions</w:t>
      </w:r>
      <w:bookmarkEnd w:id="47"/>
      <w:bookmarkEnd w:id="48"/>
    </w:p>
    <w:p w:rsidRPr="00251793" w:rsidR="00D84C9E" w:rsidP="0002216F" w:rsidRDefault="004A601E" w14:paraId="7F2DB4E8"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The questionnaires </w:t>
      </w:r>
      <w:r w:rsidRPr="00251793" w:rsidR="00F72443">
        <w:rPr>
          <w:rFonts w:ascii="Times New Roman" w:hAnsi="Times New Roman" w:cs="Times New Roman"/>
          <w:sz w:val="24"/>
          <w:szCs w:val="24"/>
        </w:rPr>
        <w:t>do not have items considered to be of a sensitive nature.</w:t>
      </w:r>
    </w:p>
    <w:p w:rsidRPr="00251793" w:rsidR="00D84C9E" w:rsidP="00A9768A" w:rsidRDefault="00D84C9E" w14:paraId="178211DC" w14:textId="1F34AB8D">
      <w:pPr>
        <w:pStyle w:val="TIMSSOMBHeading2"/>
      </w:pPr>
      <w:bookmarkStart w:name="_Toc115416915" w:id="49"/>
      <w:bookmarkStart w:name="_Toc115417060" w:id="50"/>
      <w:bookmarkStart w:name="_Toc359323844" w:id="51"/>
      <w:bookmarkStart w:name="_Toc58475969" w:id="52"/>
      <w:r w:rsidRPr="00251793">
        <w:t>A.12</w:t>
      </w:r>
      <w:r w:rsidRPr="00251793">
        <w:tab/>
        <w:t>Estimates of Burden</w:t>
      </w:r>
      <w:bookmarkEnd w:id="49"/>
      <w:bookmarkEnd w:id="50"/>
      <w:bookmarkEnd w:id="51"/>
      <w:bookmarkEnd w:id="52"/>
    </w:p>
    <w:p w:rsidRPr="00251793" w:rsidR="00AB02D9" w:rsidP="0002216F" w:rsidRDefault="00753FC9" w14:paraId="73F3D5D9" w14:textId="0E1A09C0">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This request is to conduct </w:t>
      </w:r>
      <w:r w:rsidRPr="00251793" w:rsidR="009F5786">
        <w:rPr>
          <w:rFonts w:ascii="Times New Roman" w:hAnsi="Times New Roman" w:cs="Times New Roman"/>
          <w:sz w:val="24"/>
          <w:szCs w:val="24"/>
        </w:rPr>
        <w:t xml:space="preserve">sampling and recruitment activities for the </w:t>
      </w:r>
      <w:r w:rsidRPr="00251793">
        <w:rPr>
          <w:rFonts w:ascii="Times New Roman" w:hAnsi="Times New Roman" w:cs="Times New Roman"/>
          <w:sz w:val="24"/>
          <w:szCs w:val="24"/>
        </w:rPr>
        <w:t>TIMSS 20</w:t>
      </w:r>
      <w:r w:rsidRPr="00251793" w:rsidR="00F923B9">
        <w:rPr>
          <w:rFonts w:ascii="Times New Roman" w:hAnsi="Times New Roman" w:cs="Times New Roman"/>
          <w:sz w:val="24"/>
          <w:szCs w:val="24"/>
        </w:rPr>
        <w:t>23</w:t>
      </w:r>
      <w:r w:rsidRPr="00251793">
        <w:rPr>
          <w:rFonts w:ascii="Times New Roman" w:hAnsi="Times New Roman" w:cs="Times New Roman"/>
          <w:sz w:val="24"/>
          <w:szCs w:val="24"/>
        </w:rPr>
        <w:t xml:space="preserve"> </w:t>
      </w:r>
      <w:r w:rsidRPr="00251793" w:rsidR="00F923B9">
        <w:rPr>
          <w:rFonts w:ascii="Times New Roman" w:hAnsi="Times New Roman" w:cs="Times New Roman"/>
          <w:sz w:val="24"/>
          <w:szCs w:val="24"/>
        </w:rPr>
        <w:t>field test</w:t>
      </w:r>
      <w:r w:rsidRPr="00251793">
        <w:rPr>
          <w:rFonts w:ascii="Times New Roman" w:hAnsi="Times New Roman" w:cs="Times New Roman"/>
          <w:sz w:val="24"/>
          <w:szCs w:val="24"/>
        </w:rPr>
        <w:t>. Therefore, t</w:t>
      </w:r>
      <w:r w:rsidRPr="00251793" w:rsidR="00D84C9E">
        <w:rPr>
          <w:rFonts w:ascii="Times New Roman" w:hAnsi="Times New Roman" w:cs="Times New Roman"/>
          <w:sz w:val="24"/>
          <w:szCs w:val="24"/>
        </w:rPr>
        <w:t>h</w:t>
      </w:r>
      <w:r w:rsidRPr="00251793">
        <w:rPr>
          <w:rFonts w:ascii="Times New Roman" w:hAnsi="Times New Roman" w:cs="Times New Roman"/>
          <w:sz w:val="24"/>
          <w:szCs w:val="24"/>
        </w:rPr>
        <w:t>e burden estimates include burden for</w:t>
      </w:r>
      <w:r w:rsidRPr="00251793" w:rsidR="00BD2AC5">
        <w:rPr>
          <w:rFonts w:ascii="Times New Roman" w:hAnsi="Times New Roman" w:cs="Times New Roman"/>
          <w:sz w:val="24"/>
          <w:szCs w:val="24"/>
        </w:rPr>
        <w:t xml:space="preserve"> </w:t>
      </w:r>
      <w:r w:rsidRPr="00251793">
        <w:rPr>
          <w:rFonts w:ascii="Times New Roman" w:hAnsi="Times New Roman" w:cs="Times New Roman"/>
          <w:sz w:val="24"/>
          <w:szCs w:val="24"/>
        </w:rPr>
        <w:t xml:space="preserve">(1) </w:t>
      </w:r>
      <w:r w:rsidRPr="00251793" w:rsidR="000A20B6">
        <w:rPr>
          <w:rFonts w:ascii="Times New Roman" w:hAnsi="Times New Roman" w:cs="Times New Roman"/>
          <w:sz w:val="24"/>
          <w:szCs w:val="24"/>
        </w:rPr>
        <w:t>contact</w:t>
      </w:r>
      <w:r w:rsidRPr="00251793">
        <w:rPr>
          <w:rFonts w:ascii="Times New Roman" w:hAnsi="Times New Roman" w:cs="Times New Roman"/>
          <w:sz w:val="24"/>
          <w:szCs w:val="24"/>
        </w:rPr>
        <w:t>ing</w:t>
      </w:r>
      <w:r w:rsidRPr="00251793" w:rsidR="000A20B6">
        <w:rPr>
          <w:rFonts w:ascii="Times New Roman" w:hAnsi="Times New Roman" w:cs="Times New Roman"/>
          <w:sz w:val="24"/>
          <w:szCs w:val="24"/>
        </w:rPr>
        <w:t xml:space="preserve"> states, districts</w:t>
      </w:r>
      <w:r w:rsidRPr="00251793" w:rsidR="004A601E">
        <w:rPr>
          <w:rFonts w:ascii="Times New Roman" w:hAnsi="Times New Roman" w:cs="Times New Roman"/>
          <w:sz w:val="24"/>
          <w:szCs w:val="24"/>
        </w:rPr>
        <w:t>,</w:t>
      </w:r>
      <w:r w:rsidRPr="00251793" w:rsidR="000A20B6">
        <w:rPr>
          <w:rFonts w:ascii="Times New Roman" w:hAnsi="Times New Roman" w:cs="Times New Roman"/>
          <w:sz w:val="24"/>
          <w:szCs w:val="24"/>
        </w:rPr>
        <w:t xml:space="preserve"> schools</w:t>
      </w:r>
      <w:r w:rsidRPr="00251793" w:rsidR="000C71E8">
        <w:rPr>
          <w:rFonts w:ascii="Times New Roman" w:hAnsi="Times New Roman" w:cs="Times New Roman"/>
          <w:sz w:val="24"/>
          <w:szCs w:val="24"/>
        </w:rPr>
        <w:t>, and parents</w:t>
      </w:r>
      <w:r w:rsidRPr="00251793" w:rsidR="000A20B6">
        <w:rPr>
          <w:rFonts w:ascii="Times New Roman" w:hAnsi="Times New Roman" w:cs="Times New Roman"/>
          <w:sz w:val="24"/>
          <w:szCs w:val="24"/>
        </w:rPr>
        <w:t xml:space="preserve"> in order to </w:t>
      </w:r>
      <w:r w:rsidRPr="00251793" w:rsidR="00BD2AC5">
        <w:rPr>
          <w:rFonts w:ascii="Times New Roman" w:hAnsi="Times New Roman" w:cs="Times New Roman"/>
          <w:sz w:val="24"/>
          <w:szCs w:val="24"/>
        </w:rPr>
        <w:t xml:space="preserve">recruit </w:t>
      </w:r>
      <w:r w:rsidRPr="00251793" w:rsidR="00012210">
        <w:rPr>
          <w:rFonts w:ascii="Times New Roman" w:hAnsi="Times New Roman" w:cs="Times New Roman"/>
          <w:sz w:val="24"/>
          <w:szCs w:val="24"/>
        </w:rPr>
        <w:t xml:space="preserve">for the </w:t>
      </w:r>
      <w:r w:rsidRPr="00251793" w:rsidR="00D308E0">
        <w:rPr>
          <w:rFonts w:ascii="Times New Roman" w:hAnsi="Times New Roman" w:cs="Times New Roman"/>
          <w:sz w:val="24"/>
          <w:szCs w:val="24"/>
        </w:rPr>
        <w:t xml:space="preserve">TIMSS </w:t>
      </w:r>
      <w:r w:rsidRPr="00251793" w:rsidR="00012210">
        <w:rPr>
          <w:rFonts w:ascii="Times New Roman" w:hAnsi="Times New Roman" w:cs="Times New Roman"/>
          <w:sz w:val="24"/>
          <w:szCs w:val="24"/>
        </w:rPr>
        <w:t>20</w:t>
      </w:r>
      <w:r w:rsidRPr="00251793" w:rsidR="00F923B9">
        <w:rPr>
          <w:rFonts w:ascii="Times New Roman" w:hAnsi="Times New Roman" w:cs="Times New Roman"/>
          <w:sz w:val="24"/>
          <w:szCs w:val="24"/>
        </w:rPr>
        <w:t>23</w:t>
      </w:r>
      <w:r w:rsidRPr="00251793" w:rsidR="00012210">
        <w:rPr>
          <w:rFonts w:ascii="Times New Roman" w:hAnsi="Times New Roman" w:cs="Times New Roman"/>
          <w:sz w:val="24"/>
          <w:szCs w:val="24"/>
        </w:rPr>
        <w:t xml:space="preserve"> </w:t>
      </w:r>
      <w:r w:rsidRPr="00251793" w:rsidR="00F923B9">
        <w:rPr>
          <w:rFonts w:ascii="Times New Roman" w:hAnsi="Times New Roman" w:cs="Times New Roman"/>
          <w:sz w:val="24"/>
          <w:szCs w:val="24"/>
        </w:rPr>
        <w:t>field test</w:t>
      </w:r>
      <w:r w:rsidRPr="00251793" w:rsidR="00FE6E8E">
        <w:rPr>
          <w:rFonts w:ascii="Times New Roman" w:hAnsi="Times New Roman" w:cs="Times New Roman"/>
          <w:sz w:val="24"/>
          <w:szCs w:val="24"/>
        </w:rPr>
        <w:t xml:space="preserve">, including (a) sending </w:t>
      </w:r>
      <w:r w:rsidRPr="00251793" w:rsidR="00BD2AC5">
        <w:rPr>
          <w:rFonts w:ascii="Times New Roman" w:hAnsi="Times New Roman" w:cs="Times New Roman"/>
          <w:sz w:val="24"/>
          <w:szCs w:val="24"/>
        </w:rPr>
        <w:t xml:space="preserve">recruitment </w:t>
      </w:r>
      <w:r w:rsidRPr="00251793" w:rsidR="00FE6E8E">
        <w:rPr>
          <w:rFonts w:ascii="Times New Roman" w:hAnsi="Times New Roman" w:cs="Times New Roman"/>
          <w:sz w:val="24"/>
          <w:szCs w:val="24"/>
        </w:rPr>
        <w:t xml:space="preserve">letters to districts and schools selected, </w:t>
      </w:r>
      <w:r w:rsidRPr="00251793" w:rsidR="009F5786">
        <w:rPr>
          <w:rFonts w:ascii="Times New Roman" w:hAnsi="Times New Roman" w:cs="Times New Roman"/>
          <w:sz w:val="24"/>
          <w:szCs w:val="24"/>
        </w:rPr>
        <w:t xml:space="preserve">and </w:t>
      </w:r>
      <w:r w:rsidRPr="00251793" w:rsidR="00FE6E8E">
        <w:rPr>
          <w:rFonts w:ascii="Times New Roman" w:hAnsi="Times New Roman" w:cs="Times New Roman"/>
          <w:sz w:val="24"/>
          <w:szCs w:val="24"/>
        </w:rPr>
        <w:t xml:space="preserve">(b) contacting and seeking research approvals from </w:t>
      </w:r>
      <w:r w:rsidRPr="00251793" w:rsidR="00AD7C52">
        <w:rPr>
          <w:rFonts w:ascii="Times New Roman" w:hAnsi="Times New Roman" w:cs="Times New Roman"/>
          <w:sz w:val="24"/>
          <w:szCs w:val="24"/>
        </w:rPr>
        <w:t>s</w:t>
      </w:r>
      <w:r w:rsidRPr="00251793" w:rsidR="00FE6E8E">
        <w:rPr>
          <w:rFonts w:ascii="Times New Roman" w:hAnsi="Times New Roman" w:cs="Times New Roman"/>
          <w:sz w:val="24"/>
          <w:szCs w:val="24"/>
        </w:rPr>
        <w:t xml:space="preserve">pecial </w:t>
      </w:r>
      <w:r w:rsidRPr="00251793" w:rsidR="00AD7C52">
        <w:rPr>
          <w:rFonts w:ascii="Times New Roman" w:hAnsi="Times New Roman" w:cs="Times New Roman"/>
          <w:sz w:val="24"/>
          <w:szCs w:val="24"/>
        </w:rPr>
        <w:t>handling d</w:t>
      </w:r>
      <w:r w:rsidRPr="00251793" w:rsidR="00FE6E8E">
        <w:rPr>
          <w:rFonts w:ascii="Times New Roman" w:hAnsi="Times New Roman" w:cs="Times New Roman"/>
          <w:sz w:val="24"/>
          <w:szCs w:val="24"/>
        </w:rPr>
        <w:t>istricts, where applicable</w:t>
      </w:r>
      <w:r w:rsidRPr="00251793" w:rsidR="009F5786">
        <w:rPr>
          <w:rFonts w:ascii="Times New Roman" w:hAnsi="Times New Roman" w:cs="Times New Roman"/>
          <w:sz w:val="24"/>
          <w:szCs w:val="24"/>
        </w:rPr>
        <w:t>.</w:t>
      </w:r>
      <w:r w:rsidRPr="00251793" w:rsidR="00C55CAD">
        <w:rPr>
          <w:rFonts w:ascii="Times New Roman" w:hAnsi="Times New Roman" w:cs="Times New Roman"/>
          <w:sz w:val="24"/>
          <w:szCs w:val="24"/>
        </w:rPr>
        <w:t xml:space="preserve"> Burden for notifying parents of sampled students about their participation in the field test is also included.</w:t>
      </w:r>
      <w:r w:rsidRPr="00251793">
        <w:rPr>
          <w:rFonts w:ascii="Times New Roman" w:hAnsi="Times New Roman" w:cs="Times New Roman"/>
          <w:sz w:val="24"/>
          <w:szCs w:val="24"/>
        </w:rPr>
        <w:t xml:space="preserve"> </w:t>
      </w:r>
      <w:r w:rsidRPr="00251793" w:rsidR="00D308E0">
        <w:rPr>
          <w:rFonts w:ascii="Times New Roman" w:hAnsi="Times New Roman" w:cs="Times New Roman"/>
          <w:sz w:val="24"/>
          <w:szCs w:val="24"/>
        </w:rPr>
        <w:t>T</w:t>
      </w:r>
      <w:r w:rsidRPr="00251793" w:rsidR="000A20B6">
        <w:rPr>
          <w:rFonts w:ascii="Times New Roman" w:hAnsi="Times New Roman" w:cs="Times New Roman"/>
          <w:sz w:val="24"/>
          <w:szCs w:val="24"/>
        </w:rPr>
        <w:t xml:space="preserve">he </w:t>
      </w:r>
      <w:r w:rsidRPr="00251793" w:rsidR="00D84C9E">
        <w:rPr>
          <w:rFonts w:ascii="Times New Roman" w:hAnsi="Times New Roman" w:cs="Times New Roman"/>
          <w:sz w:val="24"/>
          <w:szCs w:val="24"/>
        </w:rPr>
        <w:t xml:space="preserve">estimated burden </w:t>
      </w:r>
      <w:r w:rsidRPr="00251793" w:rsidR="000A20B6">
        <w:rPr>
          <w:rFonts w:ascii="Times New Roman" w:hAnsi="Times New Roman" w:cs="Times New Roman"/>
          <w:sz w:val="24"/>
          <w:szCs w:val="24"/>
        </w:rPr>
        <w:t>for th</w:t>
      </w:r>
      <w:r w:rsidRPr="00251793" w:rsidR="00D308E0">
        <w:rPr>
          <w:rFonts w:ascii="Times New Roman" w:hAnsi="Times New Roman" w:cs="Times New Roman"/>
          <w:sz w:val="24"/>
          <w:szCs w:val="24"/>
        </w:rPr>
        <w:t>e</w:t>
      </w:r>
      <w:r w:rsidRPr="00251793" w:rsidR="000A20B6">
        <w:rPr>
          <w:rFonts w:ascii="Times New Roman" w:hAnsi="Times New Roman" w:cs="Times New Roman"/>
          <w:sz w:val="24"/>
          <w:szCs w:val="24"/>
        </w:rPr>
        <w:t>se efforts</w:t>
      </w:r>
      <w:r w:rsidRPr="00251793" w:rsidR="00D84C9E">
        <w:rPr>
          <w:rFonts w:ascii="Times New Roman" w:hAnsi="Times New Roman" w:cs="Times New Roman"/>
          <w:sz w:val="24"/>
          <w:szCs w:val="24"/>
        </w:rPr>
        <w:t xml:space="preserve"> </w:t>
      </w:r>
      <w:r w:rsidRPr="00251793" w:rsidR="00D308E0">
        <w:rPr>
          <w:rFonts w:ascii="Times New Roman" w:hAnsi="Times New Roman" w:cs="Times New Roman"/>
          <w:sz w:val="24"/>
          <w:szCs w:val="24"/>
        </w:rPr>
        <w:t xml:space="preserve">is shown </w:t>
      </w:r>
      <w:r w:rsidRPr="00251793" w:rsidR="00D84C9E">
        <w:rPr>
          <w:rFonts w:ascii="Times New Roman" w:hAnsi="Times New Roman" w:cs="Times New Roman"/>
          <w:sz w:val="24"/>
          <w:szCs w:val="24"/>
        </w:rPr>
        <w:t>in Table A.1.</w:t>
      </w:r>
      <w:r w:rsidRPr="00251793" w:rsidR="009F5786">
        <w:rPr>
          <w:rFonts w:ascii="Times New Roman" w:hAnsi="Times New Roman" w:cs="Times New Roman"/>
          <w:sz w:val="24"/>
          <w:szCs w:val="24"/>
        </w:rPr>
        <w:t xml:space="preserve"> Burden for collecting the field test </w:t>
      </w:r>
      <w:r w:rsidRPr="00251793" w:rsidR="00E2465E">
        <w:rPr>
          <w:rFonts w:ascii="Times New Roman" w:hAnsi="Times New Roman" w:cs="Times New Roman"/>
          <w:sz w:val="24"/>
          <w:szCs w:val="24"/>
        </w:rPr>
        <w:t xml:space="preserve">data </w:t>
      </w:r>
      <w:r w:rsidR="00E2465E">
        <w:rPr>
          <w:rFonts w:ascii="Times New Roman" w:hAnsi="Times New Roman" w:cs="Times New Roman"/>
          <w:sz w:val="24"/>
          <w:szCs w:val="24"/>
        </w:rPr>
        <w:t>and</w:t>
      </w:r>
      <w:r w:rsidR="00200DA6">
        <w:rPr>
          <w:rFonts w:ascii="Times New Roman" w:hAnsi="Times New Roman" w:cs="Times New Roman"/>
          <w:sz w:val="24"/>
          <w:szCs w:val="24"/>
        </w:rPr>
        <w:t xml:space="preserve"> for </w:t>
      </w:r>
      <w:r w:rsidR="002D16F9">
        <w:rPr>
          <w:rFonts w:ascii="Times New Roman" w:hAnsi="Times New Roman" w:cs="Times New Roman"/>
          <w:sz w:val="24"/>
          <w:szCs w:val="24"/>
        </w:rPr>
        <w:t>main study</w:t>
      </w:r>
      <w:r w:rsidR="00200DA6">
        <w:rPr>
          <w:rFonts w:ascii="Times New Roman" w:hAnsi="Times New Roman" w:cs="Times New Roman"/>
          <w:sz w:val="24"/>
          <w:szCs w:val="24"/>
        </w:rPr>
        <w:t xml:space="preserve"> recruitment </w:t>
      </w:r>
      <w:r w:rsidRPr="00251793" w:rsidR="009F5786">
        <w:rPr>
          <w:rFonts w:ascii="Times New Roman" w:hAnsi="Times New Roman" w:cs="Times New Roman"/>
          <w:sz w:val="24"/>
          <w:szCs w:val="24"/>
        </w:rPr>
        <w:t>will be provided in the August 2021 submission.</w:t>
      </w:r>
    </w:p>
    <w:p w:rsidRPr="00251793" w:rsidR="000C71E8" w:rsidP="0002216F" w:rsidRDefault="000C71E8" w14:paraId="6C5FD71F" w14:textId="10F4FFDE">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district and school contact letter</w:t>
      </w:r>
      <w:r w:rsidRPr="00251793" w:rsidR="007B39C9">
        <w:rPr>
          <w:rFonts w:ascii="Times New Roman" w:hAnsi="Times New Roman" w:cs="Times New Roman"/>
          <w:sz w:val="24"/>
          <w:szCs w:val="24"/>
        </w:rPr>
        <w:t>s</w:t>
      </w:r>
      <w:r w:rsidRPr="00251793">
        <w:rPr>
          <w:rFonts w:ascii="Times New Roman" w:hAnsi="Times New Roman" w:cs="Times New Roman"/>
          <w:sz w:val="24"/>
          <w:szCs w:val="24"/>
        </w:rPr>
        <w:t xml:space="preserve"> </w:t>
      </w:r>
      <w:r w:rsidRPr="00251793" w:rsidR="002A451C">
        <w:rPr>
          <w:rFonts w:ascii="Times New Roman" w:hAnsi="Times New Roman" w:cs="Times New Roman"/>
          <w:sz w:val="24"/>
          <w:szCs w:val="24"/>
        </w:rPr>
        <w:t xml:space="preserve">for the </w:t>
      </w:r>
      <w:r w:rsidR="00200DA6">
        <w:rPr>
          <w:rFonts w:ascii="Times New Roman" w:hAnsi="Times New Roman" w:cs="Times New Roman"/>
          <w:sz w:val="24"/>
          <w:szCs w:val="24"/>
        </w:rPr>
        <w:t>field test</w:t>
      </w:r>
      <w:r w:rsidRPr="00251793" w:rsidR="002A451C">
        <w:rPr>
          <w:rFonts w:ascii="Times New Roman" w:hAnsi="Times New Roman" w:cs="Times New Roman"/>
          <w:sz w:val="24"/>
          <w:szCs w:val="24"/>
        </w:rPr>
        <w:t xml:space="preserve"> </w:t>
      </w:r>
      <w:r w:rsidRPr="00251793">
        <w:rPr>
          <w:rFonts w:ascii="Times New Roman" w:hAnsi="Times New Roman" w:cs="Times New Roman"/>
          <w:sz w:val="24"/>
          <w:szCs w:val="24"/>
        </w:rPr>
        <w:t xml:space="preserve">are assumed to </w:t>
      </w:r>
      <w:r w:rsidRPr="00251793" w:rsidR="00FE6E8E">
        <w:rPr>
          <w:rFonts w:ascii="Times New Roman" w:hAnsi="Times New Roman" w:cs="Times New Roman"/>
          <w:sz w:val="24"/>
          <w:szCs w:val="24"/>
        </w:rPr>
        <w:t xml:space="preserve">impose small </w:t>
      </w:r>
      <w:r w:rsidRPr="00251793">
        <w:rPr>
          <w:rFonts w:ascii="Times New Roman" w:hAnsi="Times New Roman" w:cs="Times New Roman"/>
          <w:sz w:val="24"/>
          <w:szCs w:val="24"/>
        </w:rPr>
        <w:t xml:space="preserve">burden </w:t>
      </w:r>
      <w:r w:rsidRPr="00251793" w:rsidR="00FE6E8E">
        <w:rPr>
          <w:rFonts w:ascii="Times New Roman" w:hAnsi="Times New Roman" w:cs="Times New Roman"/>
          <w:sz w:val="24"/>
          <w:szCs w:val="24"/>
        </w:rPr>
        <w:t xml:space="preserve">on </w:t>
      </w:r>
      <w:r w:rsidRPr="00251793">
        <w:rPr>
          <w:rFonts w:ascii="Times New Roman" w:hAnsi="Times New Roman" w:cs="Times New Roman"/>
          <w:sz w:val="24"/>
          <w:szCs w:val="24"/>
        </w:rPr>
        <w:t xml:space="preserve">all contacted parties, both those that refuse and those that agree to participate in the TIMSS </w:t>
      </w:r>
      <w:r w:rsidRPr="00251793" w:rsidR="00DD6732">
        <w:rPr>
          <w:rFonts w:ascii="Times New Roman" w:hAnsi="Times New Roman" w:cs="Times New Roman"/>
          <w:sz w:val="24"/>
          <w:szCs w:val="24"/>
        </w:rPr>
        <w:t>studies</w:t>
      </w:r>
      <w:r w:rsidRPr="00251793">
        <w:rPr>
          <w:rFonts w:ascii="Times New Roman" w:hAnsi="Times New Roman" w:cs="Times New Roman"/>
          <w:sz w:val="24"/>
          <w:szCs w:val="24"/>
        </w:rPr>
        <w:t>.</w:t>
      </w:r>
      <w:r w:rsidRPr="00251793" w:rsidR="00FB4B83">
        <w:rPr>
          <w:rFonts w:ascii="Times New Roman" w:hAnsi="Times New Roman" w:cs="Times New Roman"/>
          <w:sz w:val="24"/>
          <w:szCs w:val="24"/>
        </w:rPr>
        <w:t xml:space="preserve"> </w:t>
      </w:r>
      <w:r w:rsidRPr="00251793" w:rsidR="0004422C">
        <w:rPr>
          <w:rFonts w:ascii="Times New Roman" w:hAnsi="Times New Roman" w:cs="Times New Roman"/>
          <w:sz w:val="24"/>
          <w:szCs w:val="24"/>
        </w:rPr>
        <w:t xml:space="preserve">The burden hours have been separated for those districts and schools which elect to participate and those that </w:t>
      </w:r>
      <w:r w:rsidRPr="00251793" w:rsidR="00BF5A76">
        <w:rPr>
          <w:rFonts w:ascii="Times New Roman" w:hAnsi="Times New Roman" w:cs="Times New Roman"/>
          <w:sz w:val="24"/>
          <w:szCs w:val="24"/>
        </w:rPr>
        <w:t>may refuse</w:t>
      </w:r>
      <w:r w:rsidRPr="00251793">
        <w:rPr>
          <w:rFonts w:ascii="Times New Roman" w:hAnsi="Times New Roman" w:cs="Times New Roman"/>
          <w:sz w:val="24"/>
          <w:szCs w:val="24"/>
        </w:rPr>
        <w:t>.</w:t>
      </w:r>
    </w:p>
    <w:p w:rsidRPr="00251793" w:rsidR="009A7F32" w:rsidP="0002216F" w:rsidRDefault="000C71E8" w14:paraId="33CCB2AE" w14:textId="2E892CCD">
      <w:pPr>
        <w:spacing w:after="120" w:line="23" w:lineRule="atLeast"/>
        <w:rPr>
          <w:rFonts w:ascii="Times New Roman" w:hAnsi="Times New Roman" w:cs="Times New Roman"/>
          <w:sz w:val="24"/>
          <w:szCs w:val="24"/>
        </w:rPr>
      </w:pPr>
      <w:bookmarkStart w:name="_Hlk57020265" w:id="53"/>
      <w:r w:rsidRPr="00251793">
        <w:rPr>
          <w:rFonts w:ascii="Times New Roman" w:hAnsi="Times New Roman" w:cs="Times New Roman"/>
          <w:sz w:val="24"/>
          <w:szCs w:val="24"/>
        </w:rPr>
        <w:t xml:space="preserve">The special </w:t>
      </w:r>
      <w:r w:rsidRPr="00251793" w:rsidR="00AD7C52">
        <w:rPr>
          <w:rFonts w:ascii="Times New Roman" w:hAnsi="Times New Roman" w:cs="Times New Roman"/>
          <w:sz w:val="24"/>
          <w:szCs w:val="24"/>
        </w:rPr>
        <w:t>handling</w:t>
      </w:r>
      <w:r w:rsidRPr="00251793">
        <w:rPr>
          <w:rFonts w:ascii="Times New Roman" w:hAnsi="Times New Roman" w:cs="Times New Roman"/>
          <w:sz w:val="24"/>
          <w:szCs w:val="24"/>
        </w:rPr>
        <w:t xml:space="preserve"> districts are those known to require completion of a research application before they will allow schools under their jurisdiction to participate in a study</w:t>
      </w:r>
      <w:bookmarkStart w:name="_Hlk57019948" w:id="54"/>
      <w:r w:rsidRPr="00251793">
        <w:rPr>
          <w:rFonts w:ascii="Times New Roman" w:hAnsi="Times New Roman" w:cs="Times New Roman"/>
          <w:sz w:val="24"/>
          <w:szCs w:val="24"/>
        </w:rPr>
        <w:t xml:space="preserve">. Based on an initial assessment of previous TIMSS data collections, we estimate that there may be </w:t>
      </w:r>
      <w:r w:rsidRPr="00251793" w:rsidR="007B70C3">
        <w:rPr>
          <w:rFonts w:ascii="Times New Roman" w:hAnsi="Times New Roman" w:cs="Times New Roman"/>
          <w:sz w:val="24"/>
          <w:szCs w:val="24"/>
        </w:rPr>
        <w:t>between 10-20</w:t>
      </w:r>
      <w:r w:rsidRPr="00251793">
        <w:rPr>
          <w:rFonts w:ascii="Times New Roman" w:hAnsi="Times New Roman" w:cs="Times New Roman"/>
          <w:sz w:val="24"/>
          <w:szCs w:val="24"/>
        </w:rPr>
        <w:t xml:space="preserve">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 xml:space="preserve">districts in the </w:t>
      </w:r>
      <w:r w:rsidRPr="00251793" w:rsidR="009F5786">
        <w:rPr>
          <w:rFonts w:ascii="Times New Roman" w:hAnsi="Times New Roman" w:cs="Times New Roman"/>
          <w:sz w:val="24"/>
          <w:szCs w:val="24"/>
        </w:rPr>
        <w:t xml:space="preserve">field test </w:t>
      </w:r>
      <w:r w:rsidRPr="00251793">
        <w:rPr>
          <w:rFonts w:ascii="Times New Roman" w:hAnsi="Times New Roman" w:cs="Times New Roman"/>
          <w:sz w:val="24"/>
          <w:szCs w:val="24"/>
        </w:rPr>
        <w:t>sample</w:t>
      </w:r>
      <w:bookmarkEnd w:id="54"/>
      <w:r w:rsidRPr="00251793">
        <w:rPr>
          <w:rFonts w:ascii="Times New Roman" w:hAnsi="Times New Roman" w:cs="Times New Roman"/>
          <w:sz w:val="24"/>
          <w:szCs w:val="24"/>
        </w:rPr>
        <w:t xml:space="preserve">. </w:t>
      </w:r>
      <w:bookmarkEnd w:id="53"/>
      <w:r w:rsidRPr="00251793">
        <w:rPr>
          <w:rFonts w:ascii="Times New Roman" w:hAnsi="Times New Roman" w:cs="Times New Roman"/>
          <w:sz w:val="24"/>
          <w:szCs w:val="24"/>
        </w:rPr>
        <w:t xml:space="preserve">Contacting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Pr="00251793" w:rsidR="00AC20CD">
        <w:rPr>
          <w:rFonts w:ascii="Times New Roman" w:hAnsi="Times New Roman" w:cs="Times New Roman"/>
          <w:sz w:val="24"/>
          <w:szCs w:val="24"/>
        </w:rPr>
        <w:t>the spring of the year preceding the start of the data collection</w:t>
      </w:r>
      <w:r w:rsidRPr="00251793">
        <w:rPr>
          <w:rFonts w:ascii="Times New Roman" w:hAnsi="Times New Roman" w:cs="Times New Roman"/>
          <w:sz w:val="24"/>
          <w:szCs w:val="24"/>
        </w:rPr>
        <w:t xml:space="preserve"> to allow sufficient time for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districts’ review processes. We will continue to work with the</w:t>
      </w:r>
      <w:r w:rsidRPr="00251793" w:rsidR="00AC20CD">
        <w:rPr>
          <w:rFonts w:ascii="Times New Roman" w:hAnsi="Times New Roman" w:cs="Times New Roman"/>
          <w:sz w:val="24"/>
          <w:szCs w:val="24"/>
        </w:rPr>
        <w:t xml:space="preserve">se districts </w:t>
      </w:r>
      <w:r w:rsidRPr="00251793">
        <w:rPr>
          <w:rFonts w:ascii="Times New Roman" w:hAnsi="Times New Roman" w:cs="Times New Roman"/>
          <w:sz w:val="24"/>
          <w:szCs w:val="24"/>
        </w:rPr>
        <w:t xml:space="preserve">until we receive a final response </w:t>
      </w:r>
      <w:r w:rsidRPr="00251793" w:rsidR="00753FC9">
        <w:rPr>
          <w:rFonts w:ascii="Times New Roman" w:hAnsi="Times New Roman" w:cs="Times New Roman"/>
          <w:sz w:val="24"/>
          <w:szCs w:val="24"/>
        </w:rPr>
        <w:t xml:space="preserve">from each district </w:t>
      </w:r>
      <w:r w:rsidRPr="00251793">
        <w:rPr>
          <w:rFonts w:ascii="Times New Roman" w:hAnsi="Times New Roman" w:cs="Times New Roman"/>
          <w:sz w:val="24"/>
          <w:szCs w:val="24"/>
        </w:rPr>
        <w:t xml:space="preserve">(approval or denial of request) up until </w:t>
      </w:r>
      <w:r w:rsidRPr="00251793" w:rsidR="003E0218">
        <w:rPr>
          <w:rFonts w:ascii="Times New Roman" w:hAnsi="Times New Roman" w:cs="Times New Roman"/>
          <w:sz w:val="24"/>
          <w:szCs w:val="24"/>
        </w:rPr>
        <w:t xml:space="preserve">April </w:t>
      </w:r>
      <w:r w:rsidRPr="00251793" w:rsidR="00DD6732">
        <w:rPr>
          <w:rFonts w:ascii="Times New Roman" w:hAnsi="Times New Roman" w:cs="Times New Roman"/>
          <w:sz w:val="24"/>
          <w:szCs w:val="24"/>
        </w:rPr>
        <w:t>1, 20</w:t>
      </w:r>
      <w:r w:rsidRPr="00251793" w:rsidR="009F5786">
        <w:rPr>
          <w:rFonts w:ascii="Times New Roman" w:hAnsi="Times New Roman" w:cs="Times New Roman"/>
          <w:sz w:val="24"/>
          <w:szCs w:val="24"/>
        </w:rPr>
        <w:t>22 for the field test</w:t>
      </w:r>
      <w:r w:rsidRPr="00251793">
        <w:rPr>
          <w:rFonts w:ascii="Times New Roman" w:hAnsi="Times New Roman" w:cs="Times New Roman"/>
          <w:sz w:val="24"/>
          <w:szCs w:val="24"/>
        </w:rPr>
        <w:t>.</w:t>
      </w:r>
    </w:p>
    <w:p w:rsidRPr="00251793" w:rsidR="00FD67CC" w:rsidP="00B77A12" w:rsidRDefault="0094666B" w14:paraId="4EEF7EC6" w14:textId="4F70B895">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t</w:t>
      </w:r>
      <w:r w:rsidRPr="00251793" w:rsidR="00D84C9E">
        <w:rPr>
          <w:rFonts w:ascii="Times New Roman" w:hAnsi="Times New Roman" w:cs="Times New Roman"/>
          <w:sz w:val="24"/>
          <w:szCs w:val="24"/>
        </w:rPr>
        <w:t xml:space="preserve">otal </w:t>
      </w:r>
      <w:r w:rsidRPr="00251793" w:rsidR="00A15852">
        <w:rPr>
          <w:rFonts w:ascii="Times New Roman" w:hAnsi="Times New Roman" w:cs="Times New Roman"/>
          <w:sz w:val="24"/>
          <w:szCs w:val="24"/>
        </w:rPr>
        <w:t>district and school response burden</w:t>
      </w:r>
      <w:r w:rsidRPr="00251793">
        <w:rPr>
          <w:rFonts w:ascii="Times New Roman" w:hAnsi="Times New Roman" w:cs="Times New Roman"/>
          <w:sz w:val="24"/>
          <w:szCs w:val="24"/>
        </w:rPr>
        <w:t xml:space="preserve"> estimate</w:t>
      </w:r>
      <w:r w:rsidRPr="00251793" w:rsidR="00A15852">
        <w:rPr>
          <w:rFonts w:ascii="Times New Roman" w:hAnsi="Times New Roman" w:cs="Times New Roman"/>
          <w:sz w:val="24"/>
          <w:szCs w:val="24"/>
        </w:rPr>
        <w:t xml:space="preserve"> </w:t>
      </w:r>
      <w:r w:rsidRPr="00251793" w:rsidR="00094EAD">
        <w:rPr>
          <w:rFonts w:ascii="Times New Roman" w:hAnsi="Times New Roman" w:cs="Times New Roman"/>
          <w:sz w:val="24"/>
          <w:szCs w:val="24"/>
        </w:rPr>
        <w:t xml:space="preserve">for the </w:t>
      </w:r>
      <w:r w:rsidRPr="00251793" w:rsidR="00F86311">
        <w:rPr>
          <w:rFonts w:ascii="Times New Roman" w:hAnsi="Times New Roman" w:cs="Times New Roman"/>
          <w:sz w:val="24"/>
          <w:szCs w:val="24"/>
        </w:rPr>
        <w:t xml:space="preserve">field test </w:t>
      </w:r>
      <w:r w:rsidRPr="00251793" w:rsidR="00EE1C5E">
        <w:rPr>
          <w:rFonts w:ascii="Times New Roman" w:hAnsi="Times New Roman" w:cs="Times New Roman"/>
          <w:sz w:val="24"/>
          <w:szCs w:val="24"/>
        </w:rPr>
        <w:t xml:space="preserve">recruitment </w:t>
      </w:r>
      <w:r w:rsidRPr="00251793" w:rsidR="00A15852">
        <w:rPr>
          <w:rFonts w:ascii="Times New Roman" w:hAnsi="Times New Roman" w:cs="Times New Roman"/>
          <w:sz w:val="24"/>
          <w:szCs w:val="24"/>
        </w:rPr>
        <w:t>is based on 10 minutes for districts to read materials and respond, and 20 minutes for schools to read materials and respond.</w:t>
      </w:r>
      <w:r w:rsidRPr="00251793" w:rsidR="00AB02D9">
        <w:rPr>
          <w:rFonts w:ascii="Times New Roman" w:hAnsi="Times New Roman" w:cs="Times New Roman"/>
          <w:sz w:val="24"/>
          <w:szCs w:val="24"/>
        </w:rPr>
        <w:t xml:space="preserve"> </w:t>
      </w:r>
      <w:r w:rsidRPr="00251793" w:rsidR="00002FAD">
        <w:rPr>
          <w:rFonts w:ascii="Times New Roman" w:hAnsi="Times New Roman" w:cs="Times New Roman"/>
          <w:sz w:val="24"/>
          <w:szCs w:val="24"/>
        </w:rPr>
        <w:t xml:space="preserve">The total response burden </w:t>
      </w:r>
      <w:r w:rsidRPr="00251793">
        <w:rPr>
          <w:rFonts w:ascii="Times New Roman" w:hAnsi="Times New Roman" w:cs="Times New Roman"/>
          <w:sz w:val="24"/>
          <w:szCs w:val="24"/>
        </w:rPr>
        <w:t xml:space="preserve">estimate </w:t>
      </w:r>
      <w:r w:rsidRPr="00251793" w:rsidR="00002FAD">
        <w:rPr>
          <w:rFonts w:ascii="Times New Roman" w:hAnsi="Times New Roman" w:cs="Times New Roman"/>
          <w:sz w:val="24"/>
          <w:szCs w:val="24"/>
        </w:rPr>
        <w:t xml:space="preserve">for IRB approvals </w:t>
      </w:r>
      <w:r w:rsidRPr="00251793" w:rsidR="00A234D3">
        <w:rPr>
          <w:rFonts w:ascii="Times New Roman" w:hAnsi="Times New Roman" w:cs="Times New Roman"/>
          <w:sz w:val="24"/>
          <w:szCs w:val="24"/>
        </w:rPr>
        <w:t xml:space="preserve">is </w:t>
      </w:r>
      <w:r w:rsidRPr="00251793" w:rsidR="00002FAD">
        <w:rPr>
          <w:rFonts w:ascii="Times New Roman" w:hAnsi="Times New Roman" w:cs="Times New Roman"/>
          <w:sz w:val="24"/>
          <w:szCs w:val="24"/>
        </w:rPr>
        <w:t>based on 120 minutes for staff approval and 60 minutes for panel approval.</w:t>
      </w:r>
      <w:r w:rsidRPr="00251793" w:rsidR="00FB4B83">
        <w:rPr>
          <w:rFonts w:ascii="Times New Roman" w:hAnsi="Times New Roman" w:cs="Times New Roman"/>
          <w:sz w:val="24"/>
          <w:szCs w:val="24"/>
        </w:rPr>
        <w:t xml:space="preserve"> </w:t>
      </w:r>
    </w:p>
    <w:p w:rsidRPr="00251793" w:rsidR="00B77A12" w:rsidP="00B77A12" w:rsidRDefault="00901DC5" w14:paraId="54DF494C" w14:textId="0C92D807">
      <w:pPr>
        <w:spacing w:after="120" w:line="23" w:lineRule="atLeast"/>
        <w:rPr>
          <w:rFonts w:ascii="Times New Roman" w:hAnsi="Times New Roman" w:cs="Times New Roman"/>
          <w:sz w:val="24"/>
          <w:szCs w:val="24"/>
        </w:rPr>
      </w:pPr>
      <w:r w:rsidRPr="002425B8">
        <w:rPr>
          <w:rFonts w:ascii="Times New Roman" w:hAnsi="Times New Roman" w:cs="Times New Roman"/>
          <w:sz w:val="24"/>
          <w:szCs w:val="24"/>
        </w:rPr>
        <w:lastRenderedPageBreak/>
        <w:t>B</w:t>
      </w:r>
      <w:r w:rsidRPr="002425B8" w:rsidR="003A62A3">
        <w:rPr>
          <w:rFonts w:ascii="Times New Roman" w:hAnsi="Times New Roman" w:cs="Times New Roman"/>
          <w:sz w:val="24"/>
          <w:szCs w:val="24"/>
        </w:rPr>
        <w:t>ased on the estimated</w:t>
      </w:r>
      <w:r w:rsidRPr="002425B8" w:rsidR="0094666B">
        <w:rPr>
          <w:rFonts w:ascii="Times New Roman" w:hAnsi="Times New Roman" w:cs="Times New Roman"/>
          <w:sz w:val="24"/>
          <w:szCs w:val="24"/>
        </w:rPr>
        <w:t xml:space="preserve"> hourly rates for principals/administrators</w:t>
      </w:r>
      <w:r w:rsidRPr="002425B8" w:rsidR="0004271D">
        <w:rPr>
          <w:rFonts w:ascii="Times New Roman" w:hAnsi="Times New Roman" w:cs="Times New Roman"/>
          <w:sz w:val="24"/>
          <w:szCs w:val="24"/>
        </w:rPr>
        <w:t xml:space="preserve">, school coordinators, </w:t>
      </w:r>
      <w:r w:rsidRPr="002425B8" w:rsidR="0094666B">
        <w:rPr>
          <w:rFonts w:ascii="Times New Roman" w:hAnsi="Times New Roman" w:cs="Times New Roman"/>
          <w:sz w:val="24"/>
          <w:szCs w:val="24"/>
        </w:rPr>
        <w:t xml:space="preserve">and parents </w:t>
      </w:r>
      <w:r w:rsidRPr="002425B8" w:rsidR="003A62A3">
        <w:rPr>
          <w:rFonts w:ascii="Times New Roman" w:hAnsi="Times New Roman" w:cs="Times New Roman"/>
          <w:sz w:val="24"/>
          <w:szCs w:val="24"/>
        </w:rPr>
        <w:t xml:space="preserve">of </w:t>
      </w:r>
      <w:r w:rsidRPr="002425B8" w:rsidR="0094666B">
        <w:rPr>
          <w:rFonts w:ascii="Times New Roman" w:hAnsi="Times New Roman" w:cs="Times New Roman"/>
          <w:sz w:val="24"/>
          <w:szCs w:val="24"/>
        </w:rPr>
        <w:t>$</w:t>
      </w:r>
      <w:r w:rsidRPr="002425B8" w:rsidR="009806CB">
        <w:rPr>
          <w:rFonts w:ascii="Times New Roman" w:hAnsi="Times New Roman" w:cs="Times New Roman"/>
          <w:sz w:val="24"/>
          <w:szCs w:val="24"/>
        </w:rPr>
        <w:t>4</w:t>
      </w:r>
      <w:r w:rsidRPr="002425B8" w:rsidR="003047CD">
        <w:rPr>
          <w:rFonts w:ascii="Times New Roman" w:hAnsi="Times New Roman" w:cs="Times New Roman"/>
          <w:sz w:val="24"/>
          <w:szCs w:val="24"/>
        </w:rPr>
        <w:t>8</w:t>
      </w:r>
      <w:r w:rsidRPr="002425B8" w:rsidR="009806CB">
        <w:rPr>
          <w:rFonts w:ascii="Times New Roman" w:hAnsi="Times New Roman" w:cs="Times New Roman"/>
          <w:sz w:val="24"/>
          <w:szCs w:val="24"/>
        </w:rPr>
        <w:t>.</w:t>
      </w:r>
      <w:r w:rsidRPr="002425B8" w:rsidR="003047CD">
        <w:rPr>
          <w:rFonts w:ascii="Times New Roman" w:hAnsi="Times New Roman" w:cs="Times New Roman"/>
          <w:sz w:val="24"/>
          <w:szCs w:val="24"/>
        </w:rPr>
        <w:t>24</w:t>
      </w:r>
      <w:r w:rsidRPr="002425B8" w:rsidR="0004271D">
        <w:rPr>
          <w:rFonts w:ascii="Times New Roman" w:hAnsi="Times New Roman" w:cs="Times New Roman"/>
          <w:sz w:val="24"/>
          <w:szCs w:val="24"/>
        </w:rPr>
        <w:t xml:space="preserve">, </w:t>
      </w:r>
      <w:r w:rsidRPr="002425B8" w:rsidR="002F5090">
        <w:rPr>
          <w:rFonts w:ascii="Times New Roman" w:hAnsi="Times New Roman" w:cs="Times New Roman"/>
          <w:sz w:val="24"/>
          <w:szCs w:val="24"/>
        </w:rPr>
        <w:t>$</w:t>
      </w:r>
      <w:r w:rsidRPr="002425B8" w:rsidR="003047CD">
        <w:rPr>
          <w:rFonts w:ascii="Times New Roman" w:hAnsi="Times New Roman" w:cs="Times New Roman"/>
          <w:sz w:val="24"/>
          <w:szCs w:val="24"/>
        </w:rPr>
        <w:t>3</w:t>
      </w:r>
      <w:r w:rsidRPr="002425B8" w:rsidR="00C55CAD">
        <w:rPr>
          <w:rFonts w:ascii="Times New Roman" w:hAnsi="Times New Roman" w:cs="Times New Roman"/>
          <w:sz w:val="24"/>
          <w:szCs w:val="24"/>
        </w:rPr>
        <w:t>1</w:t>
      </w:r>
      <w:r w:rsidRPr="002425B8" w:rsidR="003047CD">
        <w:rPr>
          <w:rFonts w:ascii="Times New Roman" w:hAnsi="Times New Roman" w:cs="Times New Roman"/>
          <w:sz w:val="24"/>
          <w:szCs w:val="24"/>
        </w:rPr>
        <w:t>.7</w:t>
      </w:r>
      <w:r w:rsidRPr="002425B8" w:rsidR="00C55CAD">
        <w:rPr>
          <w:rFonts w:ascii="Times New Roman" w:hAnsi="Times New Roman" w:cs="Times New Roman"/>
          <w:sz w:val="24"/>
          <w:szCs w:val="24"/>
        </w:rPr>
        <w:t>0</w:t>
      </w:r>
      <w:r w:rsidRPr="002425B8" w:rsidR="002F5090">
        <w:rPr>
          <w:rFonts w:ascii="Times New Roman" w:hAnsi="Times New Roman" w:cs="Times New Roman"/>
          <w:sz w:val="24"/>
          <w:szCs w:val="24"/>
        </w:rPr>
        <w:t xml:space="preserve">, </w:t>
      </w:r>
      <w:r w:rsidRPr="002425B8" w:rsidR="0094666B">
        <w:rPr>
          <w:rFonts w:ascii="Times New Roman" w:hAnsi="Times New Roman" w:cs="Times New Roman"/>
          <w:sz w:val="24"/>
          <w:szCs w:val="24"/>
        </w:rPr>
        <w:t>and $</w:t>
      </w:r>
      <w:r w:rsidRPr="002425B8" w:rsidR="009C5F78">
        <w:rPr>
          <w:rFonts w:ascii="Times New Roman" w:hAnsi="Times New Roman" w:cs="Times New Roman"/>
          <w:sz w:val="24"/>
          <w:szCs w:val="24"/>
        </w:rPr>
        <w:t>2</w:t>
      </w:r>
      <w:r w:rsidRPr="002425B8" w:rsidR="003047CD">
        <w:rPr>
          <w:rFonts w:ascii="Times New Roman" w:hAnsi="Times New Roman" w:cs="Times New Roman"/>
          <w:sz w:val="24"/>
          <w:szCs w:val="24"/>
        </w:rPr>
        <w:t>5.72</w:t>
      </w:r>
      <w:r w:rsidRPr="002425B8">
        <w:rPr>
          <w:rFonts w:ascii="Times New Roman" w:hAnsi="Times New Roman" w:cs="Times New Roman"/>
          <w:sz w:val="24"/>
          <w:szCs w:val="24"/>
        </w:rPr>
        <w:t>,</w:t>
      </w:r>
      <w:r w:rsidRPr="002425B8" w:rsidR="003A62A3">
        <w:rPr>
          <w:rFonts w:ascii="Times New Roman" w:hAnsi="Times New Roman" w:cs="Times New Roman"/>
          <w:sz w:val="24"/>
          <w:szCs w:val="24"/>
        </w:rPr>
        <w:t xml:space="preserve"> respectively, and based on </w:t>
      </w:r>
      <w:r w:rsidRPr="002425B8" w:rsidR="00EE1C5E">
        <w:rPr>
          <w:rFonts w:ascii="Times New Roman" w:hAnsi="Times New Roman" w:cs="Times New Roman"/>
          <w:sz w:val="24"/>
          <w:szCs w:val="24"/>
        </w:rPr>
        <w:t xml:space="preserve">the estimated total of </w:t>
      </w:r>
      <w:r w:rsidRPr="002425B8" w:rsidR="00160DD3">
        <w:rPr>
          <w:rFonts w:ascii="Times New Roman" w:hAnsi="Times New Roman" w:cs="Times New Roman"/>
          <w:sz w:val="24"/>
          <w:szCs w:val="24"/>
        </w:rPr>
        <w:t>1,0</w:t>
      </w:r>
      <w:r w:rsidRPr="002425B8" w:rsidR="00957AB7">
        <w:rPr>
          <w:rFonts w:ascii="Times New Roman" w:hAnsi="Times New Roman" w:cs="Times New Roman"/>
          <w:sz w:val="24"/>
          <w:szCs w:val="24"/>
        </w:rPr>
        <w:t>40</w:t>
      </w:r>
      <w:r w:rsidRPr="002425B8" w:rsidR="003A62A3">
        <w:rPr>
          <w:rFonts w:ascii="Times New Roman" w:hAnsi="Times New Roman" w:cs="Times New Roman"/>
          <w:sz w:val="24"/>
          <w:szCs w:val="24"/>
        </w:rPr>
        <w:t xml:space="preserve"> burden hours for </w:t>
      </w:r>
      <w:r w:rsidRPr="002425B8" w:rsidR="00EE1C5E">
        <w:rPr>
          <w:rFonts w:ascii="Times New Roman" w:hAnsi="Times New Roman" w:cs="Times New Roman"/>
          <w:sz w:val="24"/>
          <w:szCs w:val="24"/>
        </w:rPr>
        <w:t>TIMSS 20</w:t>
      </w:r>
      <w:r w:rsidRPr="002425B8" w:rsidR="00F86311">
        <w:rPr>
          <w:rFonts w:ascii="Times New Roman" w:hAnsi="Times New Roman" w:cs="Times New Roman"/>
          <w:sz w:val="24"/>
          <w:szCs w:val="24"/>
        </w:rPr>
        <w:t>23</w:t>
      </w:r>
      <w:r w:rsidRPr="002425B8" w:rsidR="00EE1C5E">
        <w:rPr>
          <w:rFonts w:ascii="Times New Roman" w:hAnsi="Times New Roman" w:cs="Times New Roman"/>
          <w:sz w:val="24"/>
          <w:szCs w:val="24"/>
        </w:rPr>
        <w:t xml:space="preserve"> </w:t>
      </w:r>
      <w:r w:rsidRPr="002425B8" w:rsidR="00F86311">
        <w:rPr>
          <w:rFonts w:ascii="Times New Roman" w:hAnsi="Times New Roman" w:cs="Times New Roman"/>
          <w:sz w:val="24"/>
          <w:szCs w:val="24"/>
        </w:rPr>
        <w:t>field test</w:t>
      </w:r>
      <w:r w:rsidRPr="002425B8" w:rsidR="00EE1C5E">
        <w:rPr>
          <w:rFonts w:ascii="Times New Roman" w:hAnsi="Times New Roman" w:cs="Times New Roman"/>
          <w:sz w:val="24"/>
          <w:szCs w:val="24"/>
        </w:rPr>
        <w:t xml:space="preserve"> recruitment</w:t>
      </w:r>
      <w:r w:rsidRPr="002425B8">
        <w:rPr>
          <w:rFonts w:ascii="Times New Roman" w:hAnsi="Times New Roman" w:cs="Times New Roman"/>
          <w:sz w:val="24"/>
          <w:szCs w:val="24"/>
        </w:rPr>
        <w:t>,</w:t>
      </w:r>
      <w:r w:rsidRPr="002425B8" w:rsidR="0094666B">
        <w:rPr>
          <w:rFonts w:ascii="Times New Roman" w:hAnsi="Times New Roman" w:cs="Times New Roman"/>
          <w:sz w:val="24"/>
          <w:szCs w:val="24"/>
        </w:rPr>
        <w:t xml:space="preserve"> </w:t>
      </w:r>
      <w:r w:rsidRPr="002425B8" w:rsidR="003A62A3">
        <w:rPr>
          <w:rFonts w:ascii="Times New Roman" w:hAnsi="Times New Roman" w:cs="Times New Roman"/>
          <w:sz w:val="24"/>
          <w:szCs w:val="24"/>
        </w:rPr>
        <w:t>the</w:t>
      </w:r>
      <w:r w:rsidRPr="002425B8" w:rsidR="0094666B">
        <w:rPr>
          <w:rFonts w:ascii="Times New Roman" w:hAnsi="Times New Roman" w:cs="Times New Roman"/>
          <w:sz w:val="24"/>
          <w:szCs w:val="24"/>
        </w:rPr>
        <w:t xml:space="preserve"> estimated </w:t>
      </w:r>
      <w:r w:rsidRPr="002425B8" w:rsidR="00EE1C5E">
        <w:rPr>
          <w:rFonts w:ascii="Times New Roman" w:hAnsi="Times New Roman" w:cs="Times New Roman"/>
          <w:sz w:val="24"/>
          <w:szCs w:val="24"/>
        </w:rPr>
        <w:t>respon</w:t>
      </w:r>
      <w:r w:rsidRPr="002425B8" w:rsidR="008F7566">
        <w:rPr>
          <w:rFonts w:ascii="Times New Roman" w:hAnsi="Times New Roman" w:cs="Times New Roman"/>
          <w:sz w:val="24"/>
          <w:szCs w:val="24"/>
        </w:rPr>
        <w:t>dent</w:t>
      </w:r>
      <w:r w:rsidRPr="002425B8" w:rsidR="00EE1C5E">
        <w:rPr>
          <w:rFonts w:ascii="Times New Roman" w:hAnsi="Times New Roman" w:cs="Times New Roman"/>
          <w:sz w:val="24"/>
          <w:szCs w:val="24"/>
        </w:rPr>
        <w:t xml:space="preserve"> </w:t>
      </w:r>
      <w:r w:rsidRPr="002425B8" w:rsidR="0094666B">
        <w:rPr>
          <w:rFonts w:ascii="Times New Roman" w:hAnsi="Times New Roman" w:cs="Times New Roman"/>
          <w:sz w:val="24"/>
          <w:szCs w:val="24"/>
        </w:rPr>
        <w:t xml:space="preserve">burden time cost </w:t>
      </w:r>
      <w:r w:rsidRPr="002425B8" w:rsidR="003A62A3">
        <w:rPr>
          <w:rFonts w:ascii="Times New Roman" w:hAnsi="Times New Roman" w:cs="Times New Roman"/>
          <w:sz w:val="24"/>
          <w:szCs w:val="24"/>
        </w:rPr>
        <w:t>is</w:t>
      </w:r>
      <w:r w:rsidRPr="002425B8" w:rsidR="0094666B">
        <w:rPr>
          <w:rFonts w:ascii="Times New Roman" w:hAnsi="Times New Roman" w:cs="Times New Roman"/>
          <w:sz w:val="24"/>
          <w:szCs w:val="24"/>
        </w:rPr>
        <w:t xml:space="preserve"> $</w:t>
      </w:r>
      <w:r w:rsidRPr="002425B8" w:rsidR="00160DD3">
        <w:rPr>
          <w:rFonts w:ascii="Times New Roman" w:hAnsi="Times New Roman" w:cs="Times New Roman"/>
          <w:sz w:val="24"/>
          <w:szCs w:val="24"/>
        </w:rPr>
        <w:t>3</w:t>
      </w:r>
      <w:r w:rsidRPr="002425B8" w:rsidR="00957AB7">
        <w:rPr>
          <w:rFonts w:ascii="Times New Roman" w:hAnsi="Times New Roman" w:cs="Times New Roman"/>
          <w:sz w:val="24"/>
          <w:szCs w:val="24"/>
        </w:rPr>
        <w:t>5,025</w:t>
      </w:r>
      <w:r w:rsidRPr="002425B8" w:rsidR="00B77A12">
        <w:rPr>
          <w:rFonts w:ascii="Times New Roman" w:hAnsi="Times New Roman" w:cs="Times New Roman"/>
          <w:sz w:val="24"/>
          <w:szCs w:val="24"/>
        </w:rPr>
        <w:t>.</w:t>
      </w:r>
    </w:p>
    <w:p w:rsidR="003B5997" w:rsidP="00FE0EE5" w:rsidRDefault="00EA46D2" w14:paraId="150BBA82" w14:textId="1FCA17BB">
      <w:pPr>
        <w:pStyle w:val="P1-StandPara"/>
        <w:spacing w:line="240" w:lineRule="auto"/>
        <w:ind w:left="1080" w:hanging="900"/>
        <w:jc w:val="left"/>
        <w:rPr>
          <w:b/>
        </w:rPr>
      </w:pPr>
      <w:bookmarkStart w:name="_Hlk57708432" w:id="55"/>
      <w:r w:rsidRPr="00EA46D2">
        <w:rPr>
          <w:b/>
        </w:rPr>
        <w:t xml:space="preserve">Table </w:t>
      </w:r>
      <w:r w:rsidR="00251793">
        <w:rPr>
          <w:b/>
        </w:rPr>
        <w:t>2</w:t>
      </w:r>
      <w:r w:rsidRPr="00EA46D2">
        <w:rPr>
          <w:b/>
        </w:rPr>
        <w:t>. Burden estimates for TIMSS 20</w:t>
      </w:r>
      <w:r w:rsidR="00994A74">
        <w:rPr>
          <w:b/>
        </w:rPr>
        <w:t>23</w:t>
      </w:r>
      <w:r w:rsidRPr="00EA46D2">
        <w:rPr>
          <w:b/>
        </w:rPr>
        <w:t xml:space="preserve"> </w:t>
      </w:r>
      <w:r w:rsidR="00994A74">
        <w:rPr>
          <w:b/>
        </w:rPr>
        <w:t>field test</w:t>
      </w:r>
      <w:r w:rsidRPr="00EA46D2">
        <w:rPr>
          <w:b/>
        </w:rPr>
        <w:t xml:space="preserve"> recruitment</w:t>
      </w:r>
      <w:r w:rsidR="00865C61">
        <w:rPr>
          <w:b/>
        </w:rPr>
        <w:t xml:space="preserve"> </w:t>
      </w:r>
    </w:p>
    <w:tbl>
      <w:tblPr>
        <w:tblW w:w="10604" w:type="dxa"/>
        <w:tblInd w:w="93" w:type="dxa"/>
        <w:tblLook w:val="04A0" w:firstRow="1" w:lastRow="0" w:firstColumn="1" w:lastColumn="0" w:noHBand="0" w:noVBand="1"/>
      </w:tblPr>
      <w:tblGrid>
        <w:gridCol w:w="2422"/>
        <w:gridCol w:w="794"/>
        <w:gridCol w:w="1176"/>
        <w:gridCol w:w="1147"/>
        <w:gridCol w:w="957"/>
        <w:gridCol w:w="1077"/>
        <w:gridCol w:w="777"/>
        <w:gridCol w:w="1127"/>
        <w:gridCol w:w="1127"/>
      </w:tblGrid>
      <w:tr w:rsidRPr="00BF661C" w:rsidR="00E04947" w:rsidTr="00763758" w14:paraId="4F6B3329" w14:textId="5C7D05FF">
        <w:trPr>
          <w:trHeight w:val="144"/>
        </w:trPr>
        <w:tc>
          <w:tcPr>
            <w:tcW w:w="24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F661C" w:rsidR="00E04947" w:rsidP="00D41844" w:rsidRDefault="00E04947" w14:paraId="7DFED527"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Activity</w:t>
            </w:r>
          </w:p>
        </w:tc>
        <w:tc>
          <w:tcPr>
            <w:tcW w:w="794"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344447C2"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Sample size</w:t>
            </w:r>
          </w:p>
        </w:tc>
        <w:tc>
          <w:tcPr>
            <w:tcW w:w="1176"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3A81AA6E"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Expected response rate</w:t>
            </w:r>
          </w:p>
        </w:tc>
        <w:tc>
          <w:tcPr>
            <w:tcW w:w="1147"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1B740658"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Number of respondents</w:t>
            </w:r>
          </w:p>
        </w:tc>
        <w:tc>
          <w:tcPr>
            <w:tcW w:w="957"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4D242347"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Number of responses</w:t>
            </w:r>
          </w:p>
        </w:tc>
        <w:tc>
          <w:tcPr>
            <w:tcW w:w="1077"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7E6A354E" w14:textId="5D8271A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Average Burden Time per Response </w:t>
            </w:r>
            <w:r w:rsidRPr="00BF661C">
              <w:rPr>
                <w:rFonts w:ascii="Times New Roman" w:hAnsi="Times New Roman" w:eastAsia="Times New Roman" w:cs="Times New Roman"/>
                <w:b/>
                <w:bCs/>
                <w:color w:val="000000"/>
                <w:sz w:val="18"/>
                <w:szCs w:val="18"/>
              </w:rPr>
              <w:t>(minutes)</w:t>
            </w:r>
          </w:p>
        </w:tc>
        <w:tc>
          <w:tcPr>
            <w:tcW w:w="777"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4B8BDB5C"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Total burden (hours)</w:t>
            </w:r>
          </w:p>
        </w:tc>
        <w:tc>
          <w:tcPr>
            <w:tcW w:w="1127" w:type="dxa"/>
            <w:tcBorders>
              <w:top w:val="single" w:color="auto" w:sz="4" w:space="0"/>
              <w:left w:val="nil"/>
              <w:bottom w:val="single" w:color="auto" w:sz="4" w:space="0"/>
              <w:right w:val="single" w:color="auto" w:sz="4" w:space="0"/>
            </w:tcBorders>
          </w:tcPr>
          <w:p w:rsidRPr="00BF661C" w:rsidR="00E04947" w:rsidP="00D41844" w:rsidRDefault="00E04947" w14:paraId="1F70D21A" w14:textId="1612D06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Estimated Respondent Average</w:t>
            </w:r>
            <w:r w:rsidRPr="00160DD3" w:rsidR="00160DD3">
              <w:rPr>
                <w:rFonts w:ascii="Times New Roman" w:hAnsi="Times New Roman" w:eastAsia="Times New Roman" w:cs="Times New Roman"/>
                <w:b/>
                <w:bCs/>
                <w:color w:val="000000"/>
                <w:sz w:val="18"/>
                <w:szCs w:val="18"/>
                <w:vertAlign w:val="superscript"/>
              </w:rPr>
              <w:t>1</w:t>
            </w:r>
          </w:p>
        </w:tc>
        <w:tc>
          <w:tcPr>
            <w:tcW w:w="1127" w:type="dxa"/>
            <w:tcBorders>
              <w:top w:val="single" w:color="auto" w:sz="4" w:space="0"/>
              <w:left w:val="nil"/>
              <w:bottom w:val="single" w:color="auto" w:sz="4" w:space="0"/>
              <w:right w:val="single" w:color="auto" w:sz="4" w:space="0"/>
            </w:tcBorders>
          </w:tcPr>
          <w:p w:rsidR="00E04947" w:rsidP="00D41844" w:rsidRDefault="00E04947" w14:paraId="435BF5C8" w14:textId="16BE1D3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Estimated Respondent </w:t>
            </w:r>
            <w:r w:rsidR="008F0D53">
              <w:rPr>
                <w:rFonts w:ascii="Times New Roman" w:hAnsi="Times New Roman" w:eastAsia="Times New Roman" w:cs="Times New Roman"/>
                <w:b/>
                <w:bCs/>
                <w:color w:val="000000"/>
                <w:sz w:val="18"/>
                <w:szCs w:val="18"/>
              </w:rPr>
              <w:t>Burden Time Cost</w:t>
            </w:r>
          </w:p>
        </w:tc>
      </w:tr>
      <w:tr w:rsidRPr="00BF661C" w:rsidR="00D1485C" w:rsidTr="00763758" w14:paraId="0D83AE23" w14:textId="7C76D9EE">
        <w:trPr>
          <w:trHeight w:val="197"/>
        </w:trPr>
        <w:tc>
          <w:tcPr>
            <w:tcW w:w="2422" w:type="dxa"/>
            <w:tcBorders>
              <w:top w:val="nil"/>
              <w:left w:val="single" w:color="auto" w:sz="4" w:space="0"/>
              <w:bottom w:val="single" w:color="auto" w:sz="4" w:space="0"/>
              <w:right w:val="single" w:color="auto" w:sz="4" w:space="0"/>
            </w:tcBorders>
            <w:shd w:val="clear" w:color="000000" w:fill="BFBFBF"/>
            <w:hideMark/>
          </w:tcPr>
          <w:p w:rsidRPr="00BF661C" w:rsidR="00D1485C" w:rsidP="00D1485C" w:rsidRDefault="009F5786" w14:paraId="5E968475" w14:textId="704F4805">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Field Test</w:t>
            </w:r>
            <w:r w:rsidRPr="00BF661C" w:rsidR="00D1485C">
              <w:rPr>
                <w:rFonts w:ascii="Times New Roman" w:hAnsi="Times New Roman" w:eastAsia="Times New Roman" w:cs="Times New Roman"/>
                <w:b/>
                <w:bCs/>
                <w:color w:val="000000"/>
                <w:sz w:val="18"/>
                <w:szCs w:val="18"/>
              </w:rPr>
              <w:t xml:space="preserve"> Recruitment </w:t>
            </w:r>
          </w:p>
        </w:tc>
        <w:tc>
          <w:tcPr>
            <w:tcW w:w="794" w:type="dxa"/>
            <w:tcBorders>
              <w:top w:val="nil"/>
              <w:left w:val="nil"/>
              <w:bottom w:val="single" w:color="auto" w:sz="4" w:space="0"/>
              <w:right w:val="single" w:color="auto" w:sz="4" w:space="0"/>
            </w:tcBorders>
            <w:shd w:val="clear" w:color="000000" w:fill="BFBFBF"/>
            <w:noWrap/>
            <w:hideMark/>
          </w:tcPr>
          <w:p w:rsidRPr="00BF661C" w:rsidR="00D1485C" w:rsidP="00D1485C" w:rsidRDefault="00D1485C" w14:paraId="4F64712B"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 </w:t>
            </w:r>
          </w:p>
        </w:tc>
        <w:tc>
          <w:tcPr>
            <w:tcW w:w="1176"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5B565157"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47"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197B64D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57"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2DD7D3E9"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077"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4BE962A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777"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537A14FA"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27" w:type="dxa"/>
            <w:tcBorders>
              <w:top w:val="nil"/>
              <w:left w:val="nil"/>
              <w:bottom w:val="single" w:color="auto" w:sz="4" w:space="0"/>
              <w:right w:val="single" w:color="auto" w:sz="4" w:space="0"/>
            </w:tcBorders>
            <w:shd w:val="clear" w:color="000000" w:fill="BFBFBF"/>
          </w:tcPr>
          <w:p w:rsidRPr="00BF661C" w:rsidR="00D1485C" w:rsidP="00D1485C" w:rsidRDefault="00D1485C" w14:paraId="13DF8640" w14:textId="2C8AC9AD">
            <w:pPr>
              <w:spacing w:after="0" w:line="240" w:lineRule="auto"/>
              <w:rPr>
                <w:rFonts w:ascii="Times New Roman" w:hAnsi="Times New Roman" w:eastAsia="Times New Roman" w:cs="Times New Roman"/>
                <w:color w:val="000000"/>
                <w:sz w:val="18"/>
                <w:szCs w:val="18"/>
              </w:rPr>
            </w:pPr>
          </w:p>
        </w:tc>
        <w:tc>
          <w:tcPr>
            <w:tcW w:w="1127" w:type="dxa"/>
            <w:tcBorders>
              <w:top w:val="nil"/>
              <w:left w:val="nil"/>
              <w:bottom w:val="single" w:color="auto" w:sz="4" w:space="0"/>
              <w:right w:val="single" w:color="auto" w:sz="4" w:space="0"/>
            </w:tcBorders>
            <w:shd w:val="clear" w:color="000000" w:fill="BFBFBF"/>
          </w:tcPr>
          <w:p w:rsidRPr="00BF661C" w:rsidR="00D1485C" w:rsidP="00D1485C" w:rsidRDefault="00D1485C" w14:paraId="7693764B" w14:textId="77777777">
            <w:pPr>
              <w:spacing w:after="0" w:line="240" w:lineRule="auto"/>
              <w:rPr>
                <w:rFonts w:ascii="Times New Roman" w:hAnsi="Times New Roman" w:eastAsia="Times New Roman" w:cs="Times New Roman"/>
                <w:color w:val="000000"/>
                <w:sz w:val="18"/>
                <w:szCs w:val="18"/>
              </w:rPr>
            </w:pPr>
          </w:p>
        </w:tc>
      </w:tr>
      <w:tr w:rsidRPr="00BF661C" w:rsidR="00603D8E" w:rsidTr="00763758" w14:paraId="745C0DF8" w14:textId="5436143A">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603D8E" w:rsidP="00D1485C" w:rsidRDefault="00603D8E" w14:paraId="0FBC3D19" w14:textId="1B8BA3D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Nonparticipating </w:t>
            </w:r>
            <w:r w:rsidRPr="00BF661C">
              <w:rPr>
                <w:rFonts w:ascii="Times New Roman" w:hAnsi="Times New Roman" w:eastAsia="Times New Roman" w:cs="Times New Roman"/>
                <w:sz w:val="18"/>
                <w:szCs w:val="18"/>
              </w:rPr>
              <w:t>Districts</w:t>
            </w:r>
          </w:p>
        </w:tc>
        <w:tc>
          <w:tcPr>
            <w:tcW w:w="794" w:type="dxa"/>
            <w:vMerge w:val="restart"/>
            <w:tcBorders>
              <w:top w:val="nil"/>
              <w:left w:val="nil"/>
              <w:right w:val="single" w:color="auto" w:sz="4" w:space="0"/>
            </w:tcBorders>
            <w:shd w:val="clear" w:color="auto" w:fill="auto"/>
          </w:tcPr>
          <w:p w:rsidRPr="00BF661C" w:rsidR="00603D8E" w:rsidP="00D1485C" w:rsidRDefault="00311A8B" w14:paraId="0674FB49" w14:textId="6939A05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97</w:t>
            </w:r>
            <w:r w:rsidRPr="00CA7398">
              <w:rPr>
                <w:rFonts w:ascii="Times New Roman" w:hAnsi="Times New Roman" w:eastAsia="Times New Roman"/>
                <w:sz w:val="18"/>
                <w:szCs w:val="18"/>
                <w:vertAlign w:val="superscript"/>
              </w:rPr>
              <w:t>2</w:t>
            </w:r>
          </w:p>
          <w:p w:rsidRPr="00BF661C" w:rsidR="00603D8E" w:rsidP="00D1485C" w:rsidRDefault="00603D8E" w14:paraId="4380AD64" w14:textId="6659A5BD">
            <w:pPr>
              <w:spacing w:after="0" w:line="240" w:lineRule="auto"/>
              <w:jc w:val="center"/>
              <w:rPr>
                <w:rFonts w:ascii="Times New Roman" w:hAnsi="Times New Roman" w:eastAsia="Times New Roman" w:cs="Times New Roman"/>
                <w:sz w:val="18"/>
                <w:szCs w:val="18"/>
              </w:rPr>
            </w:pPr>
          </w:p>
        </w:tc>
        <w:tc>
          <w:tcPr>
            <w:tcW w:w="1176" w:type="dxa"/>
            <w:tcBorders>
              <w:top w:val="nil"/>
              <w:left w:val="nil"/>
              <w:bottom w:val="single" w:color="auto" w:sz="4" w:space="0"/>
              <w:right w:val="single" w:color="auto" w:sz="4" w:space="0"/>
            </w:tcBorders>
            <w:shd w:val="clear" w:color="auto" w:fill="auto"/>
          </w:tcPr>
          <w:p w:rsidRPr="00BF661C" w:rsidR="00603D8E" w:rsidP="00D1485C" w:rsidRDefault="00311A8B" w14:paraId="3A88AFD8" w14:textId="104958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P="00D1485C" w:rsidRDefault="00311A8B" w14:paraId="28CEB521" w14:textId="328F167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29</w:t>
            </w:r>
          </w:p>
        </w:tc>
        <w:tc>
          <w:tcPr>
            <w:tcW w:w="957" w:type="dxa"/>
            <w:tcBorders>
              <w:top w:val="nil"/>
              <w:left w:val="nil"/>
              <w:bottom w:val="single" w:color="auto" w:sz="4" w:space="0"/>
              <w:right w:val="single" w:color="auto" w:sz="4" w:space="0"/>
            </w:tcBorders>
            <w:shd w:val="clear" w:color="auto" w:fill="auto"/>
          </w:tcPr>
          <w:p w:rsidRPr="00BF661C" w:rsidR="00603D8E" w:rsidP="00D1485C" w:rsidRDefault="00311A8B" w14:paraId="1D078DA7" w14:textId="25E004D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29</w:t>
            </w:r>
          </w:p>
        </w:tc>
        <w:tc>
          <w:tcPr>
            <w:tcW w:w="1077" w:type="dxa"/>
            <w:tcBorders>
              <w:top w:val="nil"/>
              <w:left w:val="nil"/>
              <w:bottom w:val="single" w:color="auto" w:sz="4" w:space="0"/>
              <w:right w:val="single" w:color="auto" w:sz="4" w:space="0"/>
            </w:tcBorders>
            <w:shd w:val="clear" w:color="auto" w:fill="auto"/>
          </w:tcPr>
          <w:p w:rsidRPr="00BF661C" w:rsidR="00603D8E" w:rsidP="00D1485C" w:rsidRDefault="00603D8E" w14:paraId="45D21144" w14:textId="750FB54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184206" w:rsidR="00603D8E" w:rsidP="00D1485C" w:rsidRDefault="00416801" w14:paraId="26ED3020" w14:textId="25FE0C3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63E44898" w14:textId="2417459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603D8E" w:rsidDel="00613514" w:rsidP="00D1485C" w:rsidRDefault="004A73F7" w14:paraId="39B2CFA9" w14:textId="1916BABD">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$242</w:t>
            </w:r>
          </w:p>
        </w:tc>
      </w:tr>
      <w:tr w:rsidRPr="00BF661C" w:rsidR="00603D8E" w:rsidTr="00763758" w14:paraId="2C911788" w14:textId="3F57702E">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603D8E" w:rsidP="00D1485C" w:rsidRDefault="00603D8E" w14:paraId="0A90D4D7" w14:textId="45A3178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Participating Districts</w:t>
            </w:r>
          </w:p>
        </w:tc>
        <w:tc>
          <w:tcPr>
            <w:tcW w:w="794" w:type="dxa"/>
            <w:vMerge/>
            <w:tcBorders>
              <w:left w:val="nil"/>
              <w:bottom w:val="single" w:color="auto" w:sz="4" w:space="0"/>
              <w:right w:val="single" w:color="auto" w:sz="4" w:space="0"/>
            </w:tcBorders>
            <w:shd w:val="clear" w:color="auto" w:fill="auto"/>
          </w:tcPr>
          <w:p w:rsidRPr="00BF661C" w:rsidR="00603D8E" w:rsidP="00D1485C" w:rsidRDefault="00603D8E" w14:paraId="7141E563" w14:textId="0DCCD786">
            <w:pPr>
              <w:spacing w:after="0" w:line="240" w:lineRule="auto"/>
              <w:jc w:val="center"/>
              <w:rPr>
                <w:rFonts w:ascii="Times New Roman" w:hAnsi="Times New Roman" w:eastAsia="Times New Roman" w:cs="Times New Roman"/>
                <w:sz w:val="18"/>
                <w:szCs w:val="18"/>
              </w:rPr>
            </w:pPr>
          </w:p>
        </w:tc>
        <w:tc>
          <w:tcPr>
            <w:tcW w:w="1176" w:type="dxa"/>
            <w:tcBorders>
              <w:top w:val="nil"/>
              <w:left w:val="nil"/>
              <w:bottom w:val="single" w:color="auto" w:sz="4" w:space="0"/>
              <w:right w:val="single" w:color="auto" w:sz="4" w:space="0"/>
            </w:tcBorders>
            <w:shd w:val="clear" w:color="auto" w:fill="auto"/>
          </w:tcPr>
          <w:p w:rsidRPr="00BF661C" w:rsidR="00603D8E" w:rsidP="00D1485C" w:rsidRDefault="00311A8B" w14:paraId="080A0A65" w14:textId="78727A2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P="00D1485C" w:rsidRDefault="00311A8B" w14:paraId="043D68E3" w14:textId="4624B37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68</w:t>
            </w:r>
          </w:p>
        </w:tc>
        <w:tc>
          <w:tcPr>
            <w:tcW w:w="957" w:type="dxa"/>
            <w:tcBorders>
              <w:top w:val="nil"/>
              <w:left w:val="nil"/>
              <w:bottom w:val="single" w:color="auto" w:sz="4" w:space="0"/>
              <w:right w:val="single" w:color="auto" w:sz="4" w:space="0"/>
            </w:tcBorders>
            <w:shd w:val="clear" w:color="auto" w:fill="auto"/>
          </w:tcPr>
          <w:p w:rsidRPr="00BF661C" w:rsidR="00603D8E" w:rsidP="00D1485C" w:rsidRDefault="00311A8B" w14:paraId="42ED75AD" w14:textId="2A3AA35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68</w:t>
            </w:r>
          </w:p>
        </w:tc>
        <w:tc>
          <w:tcPr>
            <w:tcW w:w="1077" w:type="dxa"/>
            <w:tcBorders>
              <w:top w:val="nil"/>
              <w:left w:val="nil"/>
              <w:bottom w:val="single" w:color="auto" w:sz="4" w:space="0"/>
              <w:right w:val="single" w:color="auto" w:sz="4" w:space="0"/>
            </w:tcBorders>
            <w:shd w:val="clear" w:color="auto" w:fill="auto"/>
          </w:tcPr>
          <w:p w:rsidRPr="00BF661C" w:rsidR="00603D8E" w:rsidP="00D1485C" w:rsidRDefault="00603D8E" w14:paraId="2AC843F1" w14:textId="42A0B1D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BF661C" w:rsidR="00603D8E" w:rsidP="00D1485C" w:rsidRDefault="00416801" w14:paraId="5FE34313" w14:textId="714C0E2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11</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6D80F617" w14:textId="348080D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B96184" w:rsidDel="00613514" w:rsidRDefault="004A73F7" w14:paraId="1877639D" w14:textId="4C5B2F9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$531</w:t>
            </w:r>
          </w:p>
        </w:tc>
      </w:tr>
      <w:tr w:rsidRPr="00BF661C" w:rsidR="00D1485C" w:rsidTr="00763758" w14:paraId="3D4D5FB8" w14:textId="7791CEBF">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D1485C" w:rsidP="00D1485C" w:rsidRDefault="00D1485C" w14:paraId="554077E6" w14:textId="046C049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District IRB Staff Study Approval</w:t>
            </w:r>
          </w:p>
        </w:tc>
        <w:tc>
          <w:tcPr>
            <w:tcW w:w="794" w:type="dxa"/>
            <w:tcBorders>
              <w:top w:val="nil"/>
              <w:left w:val="nil"/>
              <w:bottom w:val="single" w:color="auto" w:sz="4" w:space="0"/>
              <w:right w:val="single" w:color="auto" w:sz="4" w:space="0"/>
            </w:tcBorders>
            <w:shd w:val="clear" w:color="auto" w:fill="auto"/>
          </w:tcPr>
          <w:p w:rsidRPr="00BF661C" w:rsidR="00D1485C" w:rsidP="00D1485C" w:rsidRDefault="00603D8E" w14:paraId="254494F0" w14:textId="27C62DA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1176" w:type="dxa"/>
            <w:tcBorders>
              <w:top w:val="nil"/>
              <w:left w:val="nil"/>
              <w:bottom w:val="single" w:color="auto" w:sz="4" w:space="0"/>
              <w:right w:val="single" w:color="auto" w:sz="4" w:space="0"/>
            </w:tcBorders>
            <w:shd w:val="clear" w:color="auto" w:fill="auto"/>
          </w:tcPr>
          <w:p w:rsidRPr="00BF661C" w:rsidR="00D1485C" w:rsidP="00D1485C" w:rsidRDefault="00603D8E" w14:paraId="5312819F" w14:textId="3CD3DBB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147" w:type="dxa"/>
            <w:tcBorders>
              <w:top w:val="nil"/>
              <w:left w:val="nil"/>
              <w:bottom w:val="single" w:color="auto" w:sz="4" w:space="0"/>
              <w:right w:val="single" w:color="auto" w:sz="4" w:space="0"/>
            </w:tcBorders>
            <w:shd w:val="clear" w:color="auto" w:fill="auto"/>
          </w:tcPr>
          <w:p w:rsidRPr="00BF661C" w:rsidR="00D1485C" w:rsidP="00D1485C" w:rsidRDefault="00603D8E" w14:paraId="080380B7" w14:textId="26A1739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957" w:type="dxa"/>
            <w:tcBorders>
              <w:top w:val="nil"/>
              <w:left w:val="nil"/>
              <w:bottom w:val="single" w:color="auto" w:sz="4" w:space="0"/>
              <w:right w:val="single" w:color="auto" w:sz="4" w:space="0"/>
            </w:tcBorders>
            <w:shd w:val="clear" w:color="auto" w:fill="auto"/>
          </w:tcPr>
          <w:p w:rsidRPr="00BF661C" w:rsidR="00D1485C" w:rsidP="00D1485C" w:rsidRDefault="00603D8E" w14:paraId="096D98B1" w14:textId="1ADB6B5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1077" w:type="dxa"/>
            <w:tcBorders>
              <w:top w:val="nil"/>
              <w:left w:val="nil"/>
              <w:bottom w:val="single" w:color="auto" w:sz="4" w:space="0"/>
              <w:right w:val="single" w:color="auto" w:sz="4" w:space="0"/>
            </w:tcBorders>
            <w:shd w:val="clear" w:color="auto" w:fill="auto"/>
          </w:tcPr>
          <w:p w:rsidRPr="00BF661C" w:rsidR="00D1485C" w:rsidP="00D1485C" w:rsidRDefault="00603D8E" w14:paraId="4C877838" w14:textId="6EB12D5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BF661C" w:rsidR="00D1485C" w:rsidP="00D1485C" w:rsidRDefault="00603D8E" w14:paraId="041BE5D9" w14:textId="1E2522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40</w:t>
            </w:r>
          </w:p>
        </w:tc>
        <w:tc>
          <w:tcPr>
            <w:tcW w:w="1127" w:type="dxa"/>
            <w:tcBorders>
              <w:top w:val="nil"/>
              <w:left w:val="nil"/>
              <w:bottom w:val="single" w:color="auto" w:sz="4" w:space="0"/>
              <w:right w:val="single" w:color="auto" w:sz="4" w:space="0"/>
            </w:tcBorders>
          </w:tcPr>
          <w:p w:rsidRPr="00BF661C" w:rsidR="00D1485C" w:rsidDel="00613514" w:rsidP="00D1485C" w:rsidRDefault="00BF1992" w14:paraId="2D99F1A4" w14:textId="40DBBAB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D1485C" w:rsidDel="00613514" w:rsidP="00D1485C" w:rsidRDefault="00EA60EC" w14:paraId="2FB576F0" w14:textId="1DF4DB6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$1,930</w:t>
            </w:r>
          </w:p>
        </w:tc>
      </w:tr>
      <w:tr w:rsidRPr="00BF661C" w:rsidR="00D1485C" w:rsidTr="00763758" w14:paraId="4B98C0FC" w14:textId="31AF8D17">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D1485C" w:rsidP="00D1485C" w:rsidRDefault="00D1485C" w14:paraId="5C5DDDEC" w14:textId="134C90FD">
            <w:pPr>
              <w:spacing w:after="0" w:line="240" w:lineRule="auto"/>
              <w:rPr>
                <w:rFonts w:ascii="Times New Roman" w:hAnsi="Times New Roman" w:eastAsia="Times New Roman" w:cs="Times New Roman"/>
                <w:sz w:val="18"/>
                <w:szCs w:val="18"/>
              </w:rPr>
            </w:pPr>
            <w:r w:rsidRPr="00BF661C">
              <w:rPr>
                <w:rFonts w:ascii="Times New Roman" w:hAnsi="Times New Roman" w:eastAsia="Times New Roman" w:cs="Times New Roman"/>
                <w:sz w:val="18"/>
                <w:szCs w:val="18"/>
              </w:rPr>
              <w:t xml:space="preserve">District IRB </w:t>
            </w:r>
            <w:r>
              <w:rPr>
                <w:rFonts w:ascii="Times New Roman" w:hAnsi="Times New Roman" w:eastAsia="Times New Roman" w:cs="Times New Roman"/>
                <w:sz w:val="18"/>
                <w:szCs w:val="18"/>
              </w:rPr>
              <w:t>Panel Study Approval</w:t>
            </w:r>
            <w:r w:rsidR="00CA7398">
              <w:rPr>
                <w:rFonts w:ascii="Times New Roman" w:hAnsi="Times New Roman" w:eastAsia="Times New Roman" w:cs="Times New Roman"/>
                <w:sz w:val="18"/>
                <w:szCs w:val="18"/>
                <w:vertAlign w:val="superscript"/>
              </w:rPr>
              <w:t>3</w:t>
            </w:r>
          </w:p>
        </w:tc>
        <w:tc>
          <w:tcPr>
            <w:tcW w:w="794" w:type="dxa"/>
            <w:tcBorders>
              <w:top w:val="nil"/>
              <w:left w:val="nil"/>
              <w:bottom w:val="single" w:color="auto" w:sz="4" w:space="0"/>
              <w:right w:val="single" w:color="auto" w:sz="4" w:space="0"/>
            </w:tcBorders>
            <w:shd w:val="clear" w:color="auto" w:fill="auto"/>
          </w:tcPr>
          <w:p w:rsidRPr="00BF661C" w:rsidR="00D1485C" w:rsidP="00D1485C" w:rsidRDefault="00603D8E" w14:paraId="18179CE6" w14:textId="584DA45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176" w:type="dxa"/>
            <w:tcBorders>
              <w:top w:val="nil"/>
              <w:left w:val="nil"/>
              <w:bottom w:val="single" w:color="auto" w:sz="4" w:space="0"/>
              <w:right w:val="single" w:color="auto" w:sz="4" w:space="0"/>
            </w:tcBorders>
            <w:shd w:val="clear" w:color="auto" w:fill="auto"/>
          </w:tcPr>
          <w:p w:rsidRPr="00BF661C" w:rsidR="00D1485C" w:rsidP="00D1485C" w:rsidRDefault="00603D8E" w14:paraId="5CEAE830" w14:textId="35A5C37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147" w:type="dxa"/>
            <w:tcBorders>
              <w:top w:val="nil"/>
              <w:left w:val="nil"/>
              <w:bottom w:val="single" w:color="auto" w:sz="4" w:space="0"/>
              <w:right w:val="single" w:color="auto" w:sz="4" w:space="0"/>
            </w:tcBorders>
            <w:shd w:val="clear" w:color="auto" w:fill="auto"/>
          </w:tcPr>
          <w:p w:rsidRPr="00BF661C" w:rsidR="00D1485C" w:rsidP="00D1485C" w:rsidRDefault="00603D8E" w14:paraId="3ADA61F7" w14:textId="334898B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957" w:type="dxa"/>
            <w:tcBorders>
              <w:top w:val="nil"/>
              <w:left w:val="nil"/>
              <w:bottom w:val="single" w:color="auto" w:sz="4" w:space="0"/>
              <w:right w:val="single" w:color="auto" w:sz="4" w:space="0"/>
            </w:tcBorders>
            <w:shd w:val="clear" w:color="auto" w:fill="auto"/>
          </w:tcPr>
          <w:p w:rsidRPr="00BF661C" w:rsidR="00D1485C" w:rsidP="00D1485C" w:rsidRDefault="00603D8E" w14:paraId="66ED031D" w14:textId="0317F20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077" w:type="dxa"/>
            <w:tcBorders>
              <w:top w:val="nil"/>
              <w:left w:val="nil"/>
              <w:bottom w:val="single" w:color="auto" w:sz="4" w:space="0"/>
              <w:right w:val="single" w:color="auto" w:sz="4" w:space="0"/>
            </w:tcBorders>
            <w:shd w:val="clear" w:color="auto" w:fill="auto"/>
          </w:tcPr>
          <w:p w:rsidRPr="00BF661C" w:rsidR="00D1485C" w:rsidP="00D1485C" w:rsidRDefault="00603D8E" w14:paraId="2D9D6D31" w14:textId="48AC19C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BF661C" w:rsidR="00D1485C" w:rsidP="00D1485C" w:rsidRDefault="00603D8E" w14:paraId="0B72BBBC" w14:textId="0D65EC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200</w:t>
            </w:r>
          </w:p>
        </w:tc>
        <w:tc>
          <w:tcPr>
            <w:tcW w:w="1127" w:type="dxa"/>
            <w:tcBorders>
              <w:top w:val="nil"/>
              <w:left w:val="nil"/>
              <w:bottom w:val="single" w:color="auto" w:sz="4" w:space="0"/>
              <w:right w:val="single" w:color="auto" w:sz="4" w:space="0"/>
            </w:tcBorders>
          </w:tcPr>
          <w:p w:rsidRPr="00BF661C" w:rsidR="00D1485C" w:rsidDel="00613514" w:rsidP="00D1485C" w:rsidRDefault="00BF1992" w14:paraId="038F2EC1" w14:textId="48967C3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D1485C" w:rsidDel="00613514" w:rsidP="00D1485C" w:rsidRDefault="00EA60EC" w14:paraId="36C484D2" w14:textId="348AFF2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$9,648</w:t>
            </w:r>
          </w:p>
        </w:tc>
      </w:tr>
      <w:tr w:rsidRPr="00BF661C" w:rsidR="00603D8E" w:rsidTr="00763758" w14:paraId="41ACB426" w14:textId="7FCB548F">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603D8E" w:rsidP="00D1485C" w:rsidRDefault="00603D8E" w14:paraId="3E306B66" w14:textId="23892AB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Original Nonparticipating Eligible Schools</w:t>
            </w:r>
            <w:r w:rsidRPr="00CA7398" w:rsidR="00CA7398">
              <w:rPr>
                <w:rFonts w:ascii="Times New Roman" w:hAnsi="Times New Roman" w:eastAsia="Times New Roman" w:cs="Times New Roman"/>
                <w:sz w:val="18"/>
                <w:szCs w:val="18"/>
                <w:vertAlign w:val="superscript"/>
              </w:rPr>
              <w:t>4</w:t>
            </w:r>
          </w:p>
        </w:tc>
        <w:tc>
          <w:tcPr>
            <w:tcW w:w="794" w:type="dxa"/>
            <w:vMerge w:val="restart"/>
            <w:tcBorders>
              <w:top w:val="nil"/>
              <w:left w:val="nil"/>
              <w:right w:val="single" w:color="auto" w:sz="4" w:space="0"/>
            </w:tcBorders>
            <w:shd w:val="clear" w:color="auto" w:fill="auto"/>
          </w:tcPr>
          <w:p w:rsidRPr="00BF661C" w:rsidR="00603D8E" w:rsidP="00D1485C" w:rsidRDefault="00603D8E" w14:paraId="56D2930C" w14:textId="3B1AD7AC">
            <w:pPr>
              <w:spacing w:after="0" w:line="240" w:lineRule="auto"/>
              <w:jc w:val="center"/>
              <w:rPr>
                <w:rFonts w:ascii="Times New Roman" w:hAnsi="Times New Roman" w:eastAsia="Times New Roman" w:cs="Times New Roman"/>
                <w:sz w:val="18"/>
                <w:szCs w:val="18"/>
              </w:rPr>
            </w:pPr>
          </w:p>
          <w:p w:rsidRPr="00BF661C" w:rsidR="00603D8E" w:rsidP="00D1485C" w:rsidRDefault="00603D8E" w14:paraId="6294F873" w14:textId="0FD0A2E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176" w:type="dxa"/>
            <w:tcBorders>
              <w:top w:val="nil"/>
              <w:left w:val="nil"/>
              <w:bottom w:val="single" w:color="auto" w:sz="4" w:space="0"/>
              <w:right w:val="single" w:color="auto" w:sz="4" w:space="0"/>
            </w:tcBorders>
            <w:shd w:val="clear" w:color="auto" w:fill="auto"/>
          </w:tcPr>
          <w:p w:rsidRPr="00BF661C" w:rsidR="00603D8E" w:rsidP="00D1485C" w:rsidRDefault="00311A8B" w14:paraId="080C5029" w14:textId="51F27FC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P="00D1485C" w:rsidRDefault="00311A8B" w14:paraId="5B6BFC73" w14:textId="00AB8FF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57" w:type="dxa"/>
            <w:tcBorders>
              <w:top w:val="nil"/>
              <w:left w:val="nil"/>
              <w:bottom w:val="single" w:color="auto" w:sz="4" w:space="0"/>
              <w:right w:val="single" w:color="auto" w:sz="4" w:space="0"/>
            </w:tcBorders>
            <w:shd w:val="clear" w:color="auto" w:fill="auto"/>
          </w:tcPr>
          <w:p w:rsidRPr="00BF661C" w:rsidR="00603D8E" w:rsidP="00D1485C" w:rsidRDefault="00311A8B" w14:paraId="58C0B386" w14:textId="3B6A74E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1077" w:type="dxa"/>
            <w:tcBorders>
              <w:top w:val="nil"/>
              <w:left w:val="nil"/>
              <w:bottom w:val="single" w:color="auto" w:sz="4" w:space="0"/>
              <w:right w:val="single" w:color="auto" w:sz="4" w:space="0"/>
            </w:tcBorders>
            <w:shd w:val="clear" w:color="auto" w:fill="auto"/>
          </w:tcPr>
          <w:p w:rsidRPr="00BF661C" w:rsidR="00603D8E" w:rsidP="00D1485C" w:rsidRDefault="00603D8E" w14:paraId="73B3FD29" w14:textId="7029602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603D8E" w:rsidP="00D1485C" w:rsidRDefault="00311A8B" w14:paraId="5B03F3CC" w14:textId="4EB4DD5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42E6A7CB" w14:textId="5028D26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603D8E" w:rsidDel="00613514" w:rsidP="00D1485C" w:rsidRDefault="00B96184" w14:paraId="3677F5AD" w14:textId="5B53BA9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311A8B">
              <w:rPr>
                <w:rFonts w:ascii="Times New Roman" w:hAnsi="Times New Roman" w:eastAsia="Times New Roman" w:cs="Times New Roman"/>
                <w:sz w:val="18"/>
                <w:szCs w:val="18"/>
              </w:rPr>
              <w:t>338</w:t>
            </w:r>
          </w:p>
        </w:tc>
      </w:tr>
      <w:tr w:rsidRPr="00BF661C" w:rsidR="00603D8E" w:rsidTr="00763758" w14:paraId="1BEDB404" w14:textId="7D67FBAB">
        <w:trPr>
          <w:trHeight w:val="144"/>
        </w:trPr>
        <w:tc>
          <w:tcPr>
            <w:tcW w:w="2422" w:type="dxa"/>
            <w:tcBorders>
              <w:top w:val="nil"/>
              <w:left w:val="single" w:color="auto" w:sz="4" w:space="0"/>
              <w:bottom w:val="single" w:color="auto" w:sz="4" w:space="0"/>
              <w:right w:val="single" w:color="auto" w:sz="4" w:space="0"/>
            </w:tcBorders>
            <w:shd w:val="clear" w:color="auto" w:fill="auto"/>
            <w:hideMark/>
          </w:tcPr>
          <w:p w:rsidRPr="00BF661C" w:rsidR="00603D8E" w:rsidP="00D1485C" w:rsidRDefault="00603D8E" w14:paraId="1987E3E2" w14:textId="515172D0">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Original Participating Eligible Schools</w:t>
            </w:r>
          </w:p>
        </w:tc>
        <w:tc>
          <w:tcPr>
            <w:tcW w:w="794" w:type="dxa"/>
            <w:vMerge/>
            <w:tcBorders>
              <w:left w:val="nil"/>
              <w:bottom w:val="single" w:color="auto" w:sz="4" w:space="0"/>
              <w:right w:val="single" w:color="auto" w:sz="4" w:space="0"/>
            </w:tcBorders>
            <w:shd w:val="clear" w:color="auto" w:fill="auto"/>
          </w:tcPr>
          <w:p w:rsidRPr="00BF661C" w:rsidR="00603D8E" w:rsidP="00D1485C" w:rsidRDefault="00603D8E" w14:paraId="0D3E12EC" w14:textId="7EC4969A">
            <w:pPr>
              <w:spacing w:after="0" w:line="240" w:lineRule="auto"/>
              <w:jc w:val="center"/>
              <w:rPr>
                <w:rFonts w:ascii="Times New Roman" w:hAnsi="Times New Roman" w:eastAsia="Times New Roman" w:cs="Times New Roman"/>
                <w:sz w:val="18"/>
                <w:szCs w:val="18"/>
              </w:rPr>
            </w:pPr>
          </w:p>
        </w:tc>
        <w:tc>
          <w:tcPr>
            <w:tcW w:w="1176" w:type="dxa"/>
            <w:tcBorders>
              <w:top w:val="nil"/>
              <w:left w:val="nil"/>
              <w:bottom w:val="single" w:color="auto" w:sz="4" w:space="0"/>
              <w:right w:val="single" w:color="auto" w:sz="4" w:space="0"/>
            </w:tcBorders>
            <w:shd w:val="clear" w:color="auto" w:fill="auto"/>
          </w:tcPr>
          <w:p w:rsidRPr="00BF661C" w:rsidR="00603D8E" w:rsidP="00D1485C" w:rsidRDefault="00311A8B" w14:paraId="21689598" w14:textId="5A638A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P="00D1485C" w:rsidRDefault="00311A8B" w14:paraId="443FA1FD" w14:textId="42E595F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49</w:t>
            </w:r>
          </w:p>
        </w:tc>
        <w:tc>
          <w:tcPr>
            <w:tcW w:w="957" w:type="dxa"/>
            <w:tcBorders>
              <w:top w:val="nil"/>
              <w:left w:val="nil"/>
              <w:bottom w:val="single" w:color="auto" w:sz="4" w:space="0"/>
              <w:right w:val="single" w:color="auto" w:sz="4" w:space="0"/>
            </w:tcBorders>
            <w:shd w:val="clear" w:color="auto" w:fill="auto"/>
          </w:tcPr>
          <w:p w:rsidRPr="00BF661C" w:rsidR="00603D8E" w:rsidP="00D1485C" w:rsidRDefault="00311A8B" w14:paraId="58364279" w14:textId="030C9C3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49</w:t>
            </w:r>
          </w:p>
        </w:tc>
        <w:tc>
          <w:tcPr>
            <w:tcW w:w="1077" w:type="dxa"/>
            <w:tcBorders>
              <w:top w:val="nil"/>
              <w:left w:val="nil"/>
              <w:bottom w:val="single" w:color="auto" w:sz="4" w:space="0"/>
              <w:right w:val="single" w:color="auto" w:sz="4" w:space="0"/>
            </w:tcBorders>
            <w:shd w:val="clear" w:color="auto" w:fill="auto"/>
          </w:tcPr>
          <w:p w:rsidRPr="00BF661C" w:rsidR="00603D8E" w:rsidP="00D1485C" w:rsidRDefault="00603D8E" w14:paraId="34A0F473" w14:textId="20741B4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603D8E" w:rsidP="00D1485C" w:rsidRDefault="00311A8B" w14:paraId="1DCEA71D" w14:textId="40171D9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16</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122072BC" w14:textId="491C93A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603D8E" w:rsidDel="00613514" w:rsidP="00D1485C" w:rsidRDefault="00B96184" w14:paraId="192EDC4A" w14:textId="3267E70D">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311A8B">
              <w:rPr>
                <w:rFonts w:ascii="Times New Roman" w:hAnsi="Times New Roman" w:eastAsia="Times New Roman" w:cs="Times New Roman"/>
                <w:sz w:val="18"/>
                <w:szCs w:val="18"/>
              </w:rPr>
              <w:t>772</w:t>
            </w:r>
          </w:p>
        </w:tc>
      </w:tr>
      <w:tr w:rsidRPr="00BF661C" w:rsidR="00603D8E" w:rsidTr="00763758" w14:paraId="76BDB042" w14:textId="660B534C">
        <w:trPr>
          <w:trHeight w:val="144"/>
        </w:trPr>
        <w:tc>
          <w:tcPr>
            <w:tcW w:w="2422" w:type="dxa"/>
            <w:tcBorders>
              <w:top w:val="nil"/>
              <w:left w:val="single" w:color="auto" w:sz="4" w:space="0"/>
              <w:bottom w:val="single" w:color="auto" w:sz="4" w:space="0"/>
              <w:right w:val="single" w:color="auto" w:sz="4" w:space="0"/>
            </w:tcBorders>
            <w:shd w:val="clear" w:color="auto" w:fill="auto"/>
          </w:tcPr>
          <w:p w:rsidR="00603D8E" w:rsidP="00D1485C" w:rsidRDefault="00603D8E" w14:paraId="25C058B4" w14:textId="730222C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Replacement Nonparticipating Eligible Schools</w:t>
            </w:r>
          </w:p>
        </w:tc>
        <w:tc>
          <w:tcPr>
            <w:tcW w:w="794" w:type="dxa"/>
            <w:vMerge w:val="restart"/>
            <w:tcBorders>
              <w:top w:val="nil"/>
              <w:left w:val="nil"/>
              <w:right w:val="single" w:color="auto" w:sz="4" w:space="0"/>
            </w:tcBorders>
            <w:shd w:val="clear" w:color="auto" w:fill="auto"/>
          </w:tcPr>
          <w:p w:rsidRPr="00BF661C" w:rsidR="00603D8E" w:rsidDel="00613514" w:rsidP="00D1485C" w:rsidRDefault="00603D8E" w14:paraId="5F17BB58" w14:textId="0217530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140</w:t>
            </w:r>
            <w:r w:rsidRPr="00957AB7" w:rsidR="00957AB7">
              <w:rPr>
                <w:rFonts w:ascii="Times New Roman" w:hAnsi="Times New Roman" w:eastAsia="Times New Roman" w:cs="Times New Roman"/>
                <w:sz w:val="18"/>
                <w:szCs w:val="18"/>
                <w:vertAlign w:val="superscript"/>
              </w:rPr>
              <w:t>5</w:t>
            </w:r>
          </w:p>
        </w:tc>
        <w:tc>
          <w:tcPr>
            <w:tcW w:w="1176" w:type="dxa"/>
            <w:tcBorders>
              <w:top w:val="nil"/>
              <w:left w:val="nil"/>
              <w:bottom w:val="single" w:color="auto" w:sz="4" w:space="0"/>
              <w:right w:val="single" w:color="auto" w:sz="4" w:space="0"/>
            </w:tcBorders>
            <w:shd w:val="clear" w:color="auto" w:fill="auto"/>
          </w:tcPr>
          <w:p w:rsidRPr="00BF661C" w:rsidR="00603D8E" w:rsidDel="00613514" w:rsidP="00D1485C" w:rsidRDefault="00957AB7" w14:paraId="2C7B0386" w14:textId="62DE628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Del="00613514" w:rsidP="00D1485C" w:rsidRDefault="00957AB7" w14:paraId="0642FC62" w14:textId="00A3432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57" w:type="dxa"/>
            <w:tcBorders>
              <w:top w:val="nil"/>
              <w:left w:val="nil"/>
              <w:bottom w:val="single" w:color="auto" w:sz="4" w:space="0"/>
              <w:right w:val="single" w:color="auto" w:sz="4" w:space="0"/>
            </w:tcBorders>
            <w:shd w:val="clear" w:color="auto" w:fill="auto"/>
          </w:tcPr>
          <w:p w:rsidRPr="00BF661C" w:rsidR="00603D8E" w:rsidDel="00613514" w:rsidP="00D1485C" w:rsidRDefault="00957AB7" w14:paraId="52D8E0C4" w14:textId="7B31768E">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1077" w:type="dxa"/>
            <w:tcBorders>
              <w:top w:val="nil"/>
              <w:left w:val="nil"/>
              <w:bottom w:val="single" w:color="auto" w:sz="4" w:space="0"/>
              <w:right w:val="single" w:color="auto" w:sz="4" w:space="0"/>
            </w:tcBorders>
            <w:shd w:val="clear" w:color="auto" w:fill="auto"/>
          </w:tcPr>
          <w:p w:rsidRPr="00BF661C" w:rsidR="00603D8E" w:rsidDel="00613514" w:rsidP="00D1485C" w:rsidRDefault="00603D8E" w14:paraId="65339CA3" w14:textId="558EE02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603D8E" w:rsidDel="00613514" w:rsidP="00D1485C" w:rsidRDefault="00957AB7" w14:paraId="080D0677" w14:textId="7477C9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29B36353" w14:textId="68587C0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603D8E" w:rsidDel="00613514" w:rsidP="00D1485C" w:rsidRDefault="00B96184" w14:paraId="5B87815F" w14:textId="2B35AFA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957AB7">
              <w:rPr>
                <w:rFonts w:ascii="Times New Roman" w:hAnsi="Times New Roman" w:eastAsia="Times New Roman" w:cs="Times New Roman"/>
                <w:sz w:val="18"/>
                <w:szCs w:val="18"/>
              </w:rPr>
              <w:t>338</w:t>
            </w:r>
          </w:p>
        </w:tc>
      </w:tr>
      <w:tr w:rsidRPr="00BF661C" w:rsidR="00603D8E" w:rsidTr="00763758" w14:paraId="6ACA4F4E" w14:textId="0E25F831">
        <w:trPr>
          <w:trHeight w:val="144"/>
        </w:trPr>
        <w:tc>
          <w:tcPr>
            <w:tcW w:w="2422" w:type="dxa"/>
            <w:tcBorders>
              <w:top w:val="nil"/>
              <w:left w:val="single" w:color="auto" w:sz="4" w:space="0"/>
              <w:bottom w:val="single" w:color="auto" w:sz="4" w:space="0"/>
              <w:right w:val="single" w:color="auto" w:sz="4" w:space="0"/>
            </w:tcBorders>
            <w:shd w:val="clear" w:color="auto" w:fill="auto"/>
          </w:tcPr>
          <w:p w:rsidR="00603D8E" w:rsidP="00D1485C" w:rsidRDefault="00603D8E" w14:paraId="5D7299AB" w14:textId="351252F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Replacement Participating Eligible Schools</w:t>
            </w:r>
          </w:p>
        </w:tc>
        <w:tc>
          <w:tcPr>
            <w:tcW w:w="794" w:type="dxa"/>
            <w:vMerge/>
            <w:tcBorders>
              <w:left w:val="nil"/>
              <w:bottom w:val="single" w:color="auto" w:sz="4" w:space="0"/>
              <w:right w:val="single" w:color="auto" w:sz="4" w:space="0"/>
            </w:tcBorders>
            <w:shd w:val="clear" w:color="auto" w:fill="auto"/>
          </w:tcPr>
          <w:p w:rsidRPr="00BF661C" w:rsidR="00603D8E" w:rsidDel="00613514" w:rsidP="00D1485C" w:rsidRDefault="00603D8E" w14:paraId="107E26B7" w14:textId="77777777">
            <w:pPr>
              <w:spacing w:after="0" w:line="240" w:lineRule="auto"/>
              <w:jc w:val="center"/>
              <w:rPr>
                <w:rFonts w:ascii="Times New Roman" w:hAnsi="Times New Roman" w:eastAsia="Times New Roman" w:cs="Times New Roman"/>
                <w:sz w:val="18"/>
                <w:szCs w:val="18"/>
              </w:rPr>
            </w:pPr>
          </w:p>
        </w:tc>
        <w:tc>
          <w:tcPr>
            <w:tcW w:w="1176" w:type="dxa"/>
            <w:tcBorders>
              <w:top w:val="nil"/>
              <w:left w:val="nil"/>
              <w:bottom w:val="single" w:color="auto" w:sz="4" w:space="0"/>
              <w:right w:val="single" w:color="auto" w:sz="4" w:space="0"/>
            </w:tcBorders>
            <w:shd w:val="clear" w:color="auto" w:fill="auto"/>
          </w:tcPr>
          <w:p w:rsidRPr="00BF661C" w:rsidR="00603D8E" w:rsidDel="00613514" w:rsidP="00D1485C" w:rsidRDefault="00957AB7" w14:paraId="529FFC0B" w14:textId="405DDE8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50</w:t>
            </w:r>
            <w:r w:rsidR="00603D8E">
              <w:rPr>
                <w:rFonts w:ascii="Times New Roman" w:hAnsi="Times New Roman" w:eastAsia="Times New Roman" w:cs="Times New Roman"/>
                <w:sz w:val="18"/>
                <w:szCs w:val="18"/>
              </w:rPr>
              <w:t>%</w:t>
            </w:r>
          </w:p>
        </w:tc>
        <w:tc>
          <w:tcPr>
            <w:tcW w:w="1147" w:type="dxa"/>
            <w:tcBorders>
              <w:top w:val="nil"/>
              <w:left w:val="nil"/>
              <w:bottom w:val="single" w:color="auto" w:sz="4" w:space="0"/>
              <w:right w:val="single" w:color="auto" w:sz="4" w:space="0"/>
            </w:tcBorders>
            <w:shd w:val="clear" w:color="auto" w:fill="auto"/>
          </w:tcPr>
          <w:p w:rsidRPr="00BF661C" w:rsidR="00603D8E" w:rsidDel="00613514" w:rsidP="00D1485C" w:rsidRDefault="00311A8B" w14:paraId="5E95095C" w14:textId="702F23F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57" w:type="dxa"/>
            <w:tcBorders>
              <w:top w:val="nil"/>
              <w:left w:val="nil"/>
              <w:bottom w:val="single" w:color="auto" w:sz="4" w:space="0"/>
              <w:right w:val="single" w:color="auto" w:sz="4" w:space="0"/>
            </w:tcBorders>
            <w:shd w:val="clear" w:color="auto" w:fill="auto"/>
          </w:tcPr>
          <w:p w:rsidRPr="00BF661C" w:rsidR="00603D8E" w:rsidDel="00613514" w:rsidP="00D1485C" w:rsidRDefault="00311A8B" w14:paraId="169506AF" w14:textId="10E8C93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1077" w:type="dxa"/>
            <w:tcBorders>
              <w:top w:val="nil"/>
              <w:left w:val="nil"/>
              <w:bottom w:val="single" w:color="auto" w:sz="4" w:space="0"/>
              <w:right w:val="single" w:color="auto" w:sz="4" w:space="0"/>
            </w:tcBorders>
            <w:shd w:val="clear" w:color="auto" w:fill="auto"/>
          </w:tcPr>
          <w:p w:rsidRPr="00BF661C" w:rsidR="00603D8E" w:rsidDel="00613514" w:rsidP="00D1485C" w:rsidRDefault="00603D8E" w14:paraId="6E2E2F81" w14:textId="17D0740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603D8E" w:rsidDel="00613514" w:rsidP="00D1485C" w:rsidRDefault="00311A8B" w14:paraId="7CE15016" w14:textId="6D37E12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603D8E" w:rsidDel="00613514" w:rsidP="00D1485C" w:rsidRDefault="00603D8E" w14:paraId="5B9254FC" w14:textId="2599F72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$48.24</w:t>
            </w:r>
          </w:p>
        </w:tc>
        <w:tc>
          <w:tcPr>
            <w:tcW w:w="1127" w:type="dxa"/>
            <w:tcBorders>
              <w:top w:val="nil"/>
              <w:left w:val="nil"/>
              <w:bottom w:val="single" w:color="auto" w:sz="4" w:space="0"/>
              <w:right w:val="single" w:color="auto" w:sz="4" w:space="0"/>
            </w:tcBorders>
          </w:tcPr>
          <w:p w:rsidRPr="00BF661C" w:rsidR="00603D8E" w:rsidDel="00613514" w:rsidP="00D1485C" w:rsidRDefault="00B96184" w14:paraId="61AF31E3" w14:textId="7BE4B81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CA7398">
              <w:rPr>
                <w:rFonts w:ascii="Times New Roman" w:hAnsi="Times New Roman" w:eastAsia="Times New Roman" w:cs="Times New Roman"/>
                <w:sz w:val="18"/>
                <w:szCs w:val="18"/>
              </w:rPr>
              <w:t>338</w:t>
            </w:r>
          </w:p>
        </w:tc>
      </w:tr>
      <w:tr w:rsidRPr="00BF661C" w:rsidR="00D1485C" w:rsidTr="00763758" w14:paraId="74241FDE" w14:textId="7CCE7B86">
        <w:trPr>
          <w:trHeight w:val="144"/>
        </w:trPr>
        <w:tc>
          <w:tcPr>
            <w:tcW w:w="2422" w:type="dxa"/>
            <w:tcBorders>
              <w:top w:val="nil"/>
              <w:left w:val="single" w:color="auto" w:sz="4" w:space="0"/>
              <w:bottom w:val="single" w:color="auto" w:sz="4" w:space="0"/>
              <w:right w:val="single" w:color="auto" w:sz="4" w:space="0"/>
            </w:tcBorders>
            <w:shd w:val="clear" w:color="auto" w:fill="auto"/>
          </w:tcPr>
          <w:p w:rsidR="00D1485C" w:rsidP="00D1485C" w:rsidRDefault="00D1485C" w14:paraId="5A90F43A" w14:textId="178DFF9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School Coordinators</w:t>
            </w:r>
          </w:p>
        </w:tc>
        <w:tc>
          <w:tcPr>
            <w:tcW w:w="794"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05F6288B" w14:textId="52F4FC3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176"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4F7E1D4F" w14:textId="0876C90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147"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34373E1C" w14:textId="2610A6F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957"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46568CEA" w14:textId="56589BE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077"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0168D78F" w14:textId="76EE0DA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240</w:t>
            </w:r>
          </w:p>
        </w:tc>
        <w:tc>
          <w:tcPr>
            <w:tcW w:w="777"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2E2247AA" w14:textId="560E628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280</w:t>
            </w:r>
          </w:p>
        </w:tc>
        <w:tc>
          <w:tcPr>
            <w:tcW w:w="1127" w:type="dxa"/>
            <w:tcBorders>
              <w:top w:val="nil"/>
              <w:left w:val="nil"/>
              <w:bottom w:val="single" w:color="auto" w:sz="4" w:space="0"/>
              <w:right w:val="single" w:color="auto" w:sz="4" w:space="0"/>
            </w:tcBorders>
          </w:tcPr>
          <w:p w:rsidRPr="00BF661C" w:rsidR="00D1485C" w:rsidDel="00613514" w:rsidP="00D1485C" w:rsidRDefault="00BF1992" w14:paraId="2DDE06B3" w14:textId="31F5FBD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r w:rsidR="00B96184">
              <w:rPr>
                <w:rFonts w:ascii="Times New Roman" w:hAnsi="Times New Roman" w:eastAsia="Times New Roman" w:cs="Times New Roman"/>
                <w:sz w:val="18"/>
                <w:szCs w:val="18"/>
              </w:rPr>
              <w:t>1</w:t>
            </w:r>
            <w:r>
              <w:rPr>
                <w:rFonts w:ascii="Times New Roman" w:hAnsi="Times New Roman" w:eastAsia="Times New Roman" w:cs="Times New Roman"/>
                <w:sz w:val="18"/>
                <w:szCs w:val="18"/>
              </w:rPr>
              <w:t>.7</w:t>
            </w:r>
            <w:r w:rsidR="00B96184">
              <w:rPr>
                <w:rFonts w:ascii="Times New Roman" w:hAnsi="Times New Roman" w:eastAsia="Times New Roman" w:cs="Times New Roman"/>
                <w:sz w:val="18"/>
                <w:szCs w:val="18"/>
              </w:rPr>
              <w:t>0</w:t>
            </w:r>
          </w:p>
        </w:tc>
        <w:tc>
          <w:tcPr>
            <w:tcW w:w="1127" w:type="dxa"/>
            <w:tcBorders>
              <w:top w:val="nil"/>
              <w:left w:val="nil"/>
              <w:bottom w:val="single" w:color="auto" w:sz="4" w:space="0"/>
              <w:right w:val="single" w:color="auto" w:sz="4" w:space="0"/>
            </w:tcBorders>
          </w:tcPr>
          <w:p w:rsidRPr="00BF661C" w:rsidR="00D1485C" w:rsidDel="00613514" w:rsidP="00D1485C" w:rsidRDefault="00B96184" w14:paraId="1865B99F" w14:textId="11F1D34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$8,876</w:t>
            </w:r>
          </w:p>
        </w:tc>
      </w:tr>
      <w:tr w:rsidRPr="00BF661C" w:rsidR="00E04947" w:rsidTr="00763758" w14:paraId="1B109E8B" w14:textId="752E8703">
        <w:trPr>
          <w:trHeight w:val="144"/>
        </w:trPr>
        <w:tc>
          <w:tcPr>
            <w:tcW w:w="2422" w:type="dxa"/>
            <w:tcBorders>
              <w:top w:val="nil"/>
              <w:left w:val="single" w:color="auto" w:sz="4" w:space="0"/>
              <w:bottom w:val="single" w:color="auto" w:sz="4" w:space="0"/>
              <w:right w:val="single" w:color="auto" w:sz="4" w:space="0"/>
            </w:tcBorders>
            <w:shd w:val="clear" w:color="auto" w:fill="auto"/>
          </w:tcPr>
          <w:p w:rsidR="00E04947" w:rsidP="00D41844" w:rsidRDefault="00E04947" w14:paraId="556ABFAC" w14:textId="0EA8BD5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Students’ Parents (permission)</w:t>
            </w:r>
          </w:p>
        </w:tc>
        <w:tc>
          <w:tcPr>
            <w:tcW w:w="794" w:type="dxa"/>
            <w:tcBorders>
              <w:top w:val="nil"/>
              <w:left w:val="nil"/>
              <w:bottom w:val="single" w:color="auto" w:sz="4" w:space="0"/>
              <w:right w:val="single" w:color="auto" w:sz="4" w:space="0"/>
            </w:tcBorders>
            <w:shd w:val="clear" w:color="auto" w:fill="auto"/>
          </w:tcPr>
          <w:p w:rsidRPr="00A052BD" w:rsidR="00E04947" w:rsidDel="00613514" w:rsidP="00D41844" w:rsidRDefault="00603D8E" w14:paraId="7B481501" w14:textId="302E6A46">
            <w:pPr>
              <w:spacing w:after="0" w:line="240" w:lineRule="auto"/>
              <w:jc w:val="center"/>
              <w:rPr>
                <w:rFonts w:ascii="Times New Roman" w:hAnsi="Times New Roman" w:eastAsia="Times New Roman" w:cs="Times New Roman"/>
                <w:sz w:val="18"/>
                <w:szCs w:val="18"/>
                <w:vertAlign w:val="superscript"/>
              </w:rPr>
            </w:pPr>
            <w:r>
              <w:rPr>
                <w:rFonts w:ascii="Times New Roman" w:hAnsi="Times New Roman" w:eastAsia="Times New Roman" w:cs="Times New Roman"/>
                <w:sz w:val="18"/>
                <w:szCs w:val="18"/>
              </w:rPr>
              <w:t>3</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150</w:t>
            </w:r>
            <w:r w:rsidR="00A052BD">
              <w:rPr>
                <w:rFonts w:ascii="Times New Roman" w:hAnsi="Times New Roman" w:eastAsia="Times New Roman" w:cs="Times New Roman"/>
                <w:sz w:val="18"/>
                <w:szCs w:val="18"/>
                <w:vertAlign w:val="superscript"/>
              </w:rPr>
              <w:t>6</w:t>
            </w:r>
          </w:p>
        </w:tc>
        <w:tc>
          <w:tcPr>
            <w:tcW w:w="1176"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175ABA4E" w14:textId="153B1D8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90%</w:t>
            </w:r>
          </w:p>
        </w:tc>
        <w:tc>
          <w:tcPr>
            <w:tcW w:w="1147"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0EAA0E64" w14:textId="3515946E">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8</w:t>
            </w:r>
            <w:r w:rsidR="00AD7A88">
              <w:rPr>
                <w:rFonts w:ascii="Times New Roman" w:hAnsi="Times New Roman" w:eastAsia="Times New Roman" w:cs="Times New Roman"/>
                <w:sz w:val="18"/>
                <w:szCs w:val="18"/>
              </w:rPr>
              <w:t>00</w:t>
            </w:r>
          </w:p>
        </w:tc>
        <w:tc>
          <w:tcPr>
            <w:tcW w:w="957"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2CF6D3D1" w14:textId="7FA91C9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8</w:t>
            </w:r>
            <w:r w:rsidR="00AD7A88">
              <w:rPr>
                <w:rFonts w:ascii="Times New Roman" w:hAnsi="Times New Roman" w:eastAsia="Times New Roman" w:cs="Times New Roman"/>
                <w:sz w:val="18"/>
                <w:szCs w:val="18"/>
              </w:rPr>
              <w:t>00</w:t>
            </w:r>
          </w:p>
        </w:tc>
        <w:tc>
          <w:tcPr>
            <w:tcW w:w="1077"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1428C954" w14:textId="3FCC7F5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BF661C" w:rsidR="00E04947" w:rsidDel="00613514" w:rsidP="00D41844" w:rsidRDefault="00AD7A88" w14:paraId="7BC04B2B" w14:textId="72701AB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467</w:t>
            </w:r>
          </w:p>
        </w:tc>
        <w:tc>
          <w:tcPr>
            <w:tcW w:w="1127" w:type="dxa"/>
            <w:tcBorders>
              <w:top w:val="nil"/>
              <w:left w:val="nil"/>
              <w:bottom w:val="single" w:color="auto" w:sz="4" w:space="0"/>
              <w:right w:val="single" w:color="auto" w:sz="4" w:space="0"/>
            </w:tcBorders>
          </w:tcPr>
          <w:p w:rsidRPr="00BF661C" w:rsidR="00E04947" w:rsidDel="00613514" w:rsidP="00D41844" w:rsidRDefault="00BF1992" w14:paraId="19BBFEEA" w14:textId="4414A7E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$25.7</w:t>
            </w:r>
            <w:r w:rsidR="00B50F1A">
              <w:rPr>
                <w:rFonts w:ascii="Times New Roman" w:hAnsi="Times New Roman" w:eastAsia="Times New Roman" w:cs="Times New Roman"/>
                <w:sz w:val="18"/>
                <w:szCs w:val="18"/>
              </w:rPr>
              <w:t>2</w:t>
            </w:r>
          </w:p>
        </w:tc>
        <w:tc>
          <w:tcPr>
            <w:tcW w:w="1127" w:type="dxa"/>
            <w:tcBorders>
              <w:top w:val="nil"/>
              <w:left w:val="nil"/>
              <w:bottom w:val="single" w:color="auto" w:sz="4" w:space="0"/>
              <w:right w:val="single" w:color="auto" w:sz="4" w:space="0"/>
            </w:tcBorders>
          </w:tcPr>
          <w:p w:rsidRPr="00BF661C" w:rsidR="00E04947" w:rsidDel="00613514" w:rsidP="00D41844" w:rsidRDefault="00B96184" w14:paraId="14FE8710" w14:textId="6E4447C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w:t>
            </w:r>
            <w:r w:rsidR="00AD7A88">
              <w:rPr>
                <w:rFonts w:ascii="Times New Roman" w:hAnsi="Times New Roman" w:eastAsia="Times New Roman" w:cs="Times New Roman"/>
                <w:sz w:val="18"/>
                <w:szCs w:val="18"/>
              </w:rPr>
              <w:t>012</w:t>
            </w:r>
          </w:p>
        </w:tc>
      </w:tr>
      <w:tr w:rsidRPr="00BF661C" w:rsidR="00E04947" w:rsidTr="00763758" w14:paraId="3F7C7D66" w14:textId="2F81F2CA">
        <w:trPr>
          <w:trHeight w:val="287"/>
        </w:trPr>
        <w:tc>
          <w:tcPr>
            <w:tcW w:w="2422" w:type="dxa"/>
            <w:tcBorders>
              <w:top w:val="nil"/>
              <w:left w:val="single" w:color="auto" w:sz="4" w:space="0"/>
              <w:bottom w:val="single" w:color="auto" w:sz="4" w:space="0"/>
              <w:right w:val="single" w:color="auto" w:sz="4" w:space="0"/>
            </w:tcBorders>
            <w:shd w:val="clear" w:color="000000" w:fill="FDE9D9"/>
            <w:hideMark/>
          </w:tcPr>
          <w:p w:rsidRPr="00BF661C" w:rsidR="00E04947" w:rsidP="00763758" w:rsidRDefault="00B25F48" w14:paraId="091FC4F0" w14:textId="05079406">
            <w:pPr>
              <w:spacing w:after="0" w:line="240" w:lineRule="auto"/>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 xml:space="preserve">Total </w:t>
            </w:r>
            <w:r w:rsidR="00B85B93">
              <w:rPr>
                <w:rFonts w:ascii="Times New Roman" w:hAnsi="Times New Roman" w:eastAsia="Times New Roman" w:cs="Times New Roman"/>
                <w:b/>
                <w:bCs/>
                <w:i/>
                <w:iCs/>
                <w:sz w:val="18"/>
                <w:szCs w:val="18"/>
              </w:rPr>
              <w:t>Field Test</w:t>
            </w:r>
            <w:r w:rsidR="00E07F3B">
              <w:rPr>
                <w:rFonts w:ascii="Times New Roman" w:hAnsi="Times New Roman" w:eastAsia="Times New Roman" w:cs="Times New Roman"/>
                <w:b/>
                <w:bCs/>
                <w:i/>
                <w:iCs/>
                <w:sz w:val="18"/>
                <w:szCs w:val="18"/>
              </w:rPr>
              <w:t xml:space="preserve"> </w:t>
            </w:r>
            <w:r w:rsidRPr="00BF661C" w:rsidR="00E04947">
              <w:rPr>
                <w:rFonts w:ascii="Times New Roman" w:hAnsi="Times New Roman" w:eastAsia="Times New Roman" w:cs="Times New Roman"/>
                <w:b/>
                <w:bCs/>
                <w:i/>
                <w:iCs/>
                <w:sz w:val="18"/>
                <w:szCs w:val="18"/>
              </w:rPr>
              <w:t xml:space="preserve">Recruitment </w:t>
            </w:r>
          </w:p>
        </w:tc>
        <w:tc>
          <w:tcPr>
            <w:tcW w:w="794" w:type="dxa"/>
            <w:tcBorders>
              <w:top w:val="nil"/>
              <w:left w:val="nil"/>
              <w:bottom w:val="single" w:color="auto" w:sz="4" w:space="0"/>
              <w:right w:val="single" w:color="auto" w:sz="4" w:space="0"/>
            </w:tcBorders>
            <w:shd w:val="clear" w:color="000000" w:fill="FDE9D9"/>
            <w:hideMark/>
          </w:tcPr>
          <w:p w:rsidRPr="00BF661C" w:rsidR="00E04947" w:rsidP="00D41844" w:rsidRDefault="00E04947" w14:paraId="22D2E99B" w14:textId="66B9D46D">
            <w:pPr>
              <w:spacing w:after="0" w:line="240" w:lineRule="auto"/>
              <w:rPr>
                <w:rFonts w:ascii="Times New Roman" w:hAnsi="Times New Roman" w:eastAsia="Times New Roman" w:cs="Times New Roman"/>
                <w:b/>
                <w:bCs/>
                <w:i/>
                <w:iCs/>
                <w:sz w:val="18"/>
                <w:szCs w:val="18"/>
              </w:rPr>
            </w:pPr>
            <w:r w:rsidRPr="00BF661C">
              <w:rPr>
                <w:rFonts w:ascii="Times New Roman" w:hAnsi="Times New Roman" w:eastAsia="Times New Roman" w:cs="Times New Roman"/>
                <w:b/>
                <w:bCs/>
                <w:i/>
                <w:iCs/>
                <w:sz w:val="18"/>
                <w:szCs w:val="18"/>
              </w:rPr>
              <w:t> </w:t>
            </w:r>
            <w:r w:rsidR="00160DD3">
              <w:rPr>
                <w:rFonts w:ascii="Times New Roman" w:hAnsi="Times New Roman" w:eastAsia="Times New Roman" w:cs="Times New Roman"/>
                <w:b/>
                <w:bCs/>
                <w:i/>
                <w:iCs/>
                <w:sz w:val="18"/>
                <w:szCs w:val="18"/>
              </w:rPr>
              <w:t>3,</w:t>
            </w:r>
            <w:r w:rsidR="00957AB7">
              <w:rPr>
                <w:rFonts w:ascii="Times New Roman" w:hAnsi="Times New Roman" w:eastAsia="Times New Roman" w:cs="Times New Roman"/>
                <w:b/>
                <w:bCs/>
                <w:i/>
                <w:iCs/>
                <w:sz w:val="18"/>
                <w:szCs w:val="18"/>
              </w:rPr>
              <w:t>647</w:t>
            </w:r>
          </w:p>
        </w:tc>
        <w:tc>
          <w:tcPr>
            <w:tcW w:w="1176" w:type="dxa"/>
            <w:tcBorders>
              <w:top w:val="nil"/>
              <w:left w:val="nil"/>
              <w:bottom w:val="single" w:color="auto" w:sz="4" w:space="0"/>
              <w:right w:val="single" w:color="auto" w:sz="4" w:space="0"/>
            </w:tcBorders>
            <w:shd w:val="clear" w:color="000000" w:fill="FDE9D9"/>
            <w:hideMark/>
          </w:tcPr>
          <w:p w:rsidRPr="00BF661C" w:rsidR="00E04947" w:rsidP="00D41844" w:rsidRDefault="00E04947" w14:paraId="10589E8D" w14:textId="77777777">
            <w:pPr>
              <w:spacing w:after="0" w:line="240" w:lineRule="auto"/>
              <w:rPr>
                <w:rFonts w:ascii="Times New Roman" w:hAnsi="Times New Roman" w:eastAsia="Times New Roman" w:cs="Times New Roman"/>
                <w:b/>
                <w:bCs/>
                <w:i/>
                <w:iCs/>
                <w:sz w:val="18"/>
                <w:szCs w:val="18"/>
              </w:rPr>
            </w:pPr>
            <w:r w:rsidRPr="00BF661C">
              <w:rPr>
                <w:rFonts w:ascii="Times New Roman" w:hAnsi="Times New Roman" w:eastAsia="Times New Roman" w:cs="Times New Roman"/>
                <w:b/>
                <w:bCs/>
                <w:i/>
                <w:iCs/>
                <w:sz w:val="18"/>
                <w:szCs w:val="18"/>
              </w:rPr>
              <w:t> </w:t>
            </w:r>
          </w:p>
        </w:tc>
        <w:tc>
          <w:tcPr>
            <w:tcW w:w="1147" w:type="dxa"/>
            <w:tcBorders>
              <w:top w:val="nil"/>
              <w:left w:val="nil"/>
              <w:bottom w:val="single" w:color="auto" w:sz="4" w:space="0"/>
              <w:right w:val="single" w:color="auto" w:sz="4" w:space="0"/>
            </w:tcBorders>
            <w:shd w:val="clear" w:color="000000" w:fill="FDE9D9"/>
            <w:hideMark/>
          </w:tcPr>
          <w:p w:rsidRPr="00BF661C" w:rsidR="00E04947" w:rsidP="00D41844" w:rsidRDefault="00160DD3" w14:paraId="32C74663" w14:textId="77B02F88">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w:t>
            </w:r>
            <w:r w:rsidR="00AD7A88">
              <w:rPr>
                <w:rFonts w:ascii="Times New Roman" w:hAnsi="Times New Roman" w:eastAsia="Times New Roman" w:cs="Times New Roman"/>
                <w:b/>
                <w:bCs/>
                <w:i/>
                <w:iCs/>
                <w:sz w:val="18"/>
                <w:szCs w:val="18"/>
              </w:rPr>
              <w:t>199</w:t>
            </w:r>
          </w:p>
        </w:tc>
        <w:tc>
          <w:tcPr>
            <w:tcW w:w="957" w:type="dxa"/>
            <w:tcBorders>
              <w:top w:val="nil"/>
              <w:left w:val="nil"/>
              <w:bottom w:val="single" w:color="auto" w:sz="4" w:space="0"/>
              <w:right w:val="single" w:color="auto" w:sz="4" w:space="0"/>
            </w:tcBorders>
            <w:shd w:val="clear" w:color="000000" w:fill="FDE9D9"/>
            <w:hideMark/>
          </w:tcPr>
          <w:p w:rsidRPr="00BF661C" w:rsidR="00E04947" w:rsidP="00D41844" w:rsidRDefault="00957AB7" w14:paraId="21E42287" w14:textId="03581D32">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w:t>
            </w:r>
            <w:r w:rsidR="00AD7A88">
              <w:rPr>
                <w:rFonts w:ascii="Times New Roman" w:hAnsi="Times New Roman" w:eastAsia="Times New Roman" w:cs="Times New Roman"/>
                <w:b/>
                <w:bCs/>
                <w:i/>
                <w:iCs/>
                <w:sz w:val="18"/>
                <w:szCs w:val="18"/>
              </w:rPr>
              <w:t>199</w:t>
            </w:r>
          </w:p>
        </w:tc>
        <w:tc>
          <w:tcPr>
            <w:tcW w:w="1077" w:type="dxa"/>
            <w:tcBorders>
              <w:top w:val="nil"/>
              <w:left w:val="nil"/>
              <w:bottom w:val="single" w:color="auto" w:sz="4" w:space="0"/>
              <w:right w:val="single" w:color="auto" w:sz="4" w:space="0"/>
            </w:tcBorders>
            <w:shd w:val="clear" w:color="000000" w:fill="FDE9D9"/>
            <w:hideMark/>
          </w:tcPr>
          <w:p w:rsidRPr="00BF661C" w:rsidR="00E04947" w:rsidP="00D41844" w:rsidRDefault="00E04947" w14:paraId="480D515C" w14:textId="77777777">
            <w:pPr>
              <w:spacing w:after="0" w:line="240" w:lineRule="auto"/>
              <w:jc w:val="center"/>
              <w:rPr>
                <w:rFonts w:ascii="Times New Roman" w:hAnsi="Times New Roman" w:eastAsia="Times New Roman" w:cs="Times New Roman"/>
                <w:b/>
                <w:bCs/>
                <w:i/>
                <w:iCs/>
                <w:sz w:val="18"/>
                <w:szCs w:val="18"/>
              </w:rPr>
            </w:pPr>
            <w:r w:rsidRPr="00BF661C">
              <w:rPr>
                <w:rFonts w:ascii="Times New Roman" w:hAnsi="Times New Roman" w:eastAsia="Times New Roman" w:cs="Times New Roman"/>
                <w:b/>
                <w:bCs/>
                <w:i/>
                <w:iCs/>
                <w:sz w:val="18"/>
                <w:szCs w:val="18"/>
              </w:rPr>
              <w:t> </w:t>
            </w:r>
          </w:p>
        </w:tc>
        <w:tc>
          <w:tcPr>
            <w:tcW w:w="777" w:type="dxa"/>
            <w:tcBorders>
              <w:top w:val="nil"/>
              <w:left w:val="nil"/>
              <w:bottom w:val="single" w:color="auto" w:sz="4" w:space="0"/>
              <w:right w:val="single" w:color="auto" w:sz="4" w:space="0"/>
            </w:tcBorders>
            <w:shd w:val="clear" w:color="000000" w:fill="FDE9D9"/>
            <w:hideMark/>
          </w:tcPr>
          <w:p w:rsidRPr="00BF661C" w:rsidR="00E04947" w:rsidP="00D41844" w:rsidRDefault="00160DD3" w14:paraId="41F718BA" w14:textId="0334A723">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1,0</w:t>
            </w:r>
            <w:r w:rsidR="00957AB7">
              <w:rPr>
                <w:rFonts w:ascii="Times New Roman" w:hAnsi="Times New Roman" w:eastAsia="Times New Roman" w:cs="Times New Roman"/>
                <w:b/>
                <w:bCs/>
                <w:i/>
                <w:iCs/>
                <w:sz w:val="18"/>
                <w:szCs w:val="18"/>
              </w:rPr>
              <w:t>4</w:t>
            </w:r>
            <w:r w:rsidR="00AD7A88">
              <w:rPr>
                <w:rFonts w:ascii="Times New Roman" w:hAnsi="Times New Roman" w:eastAsia="Times New Roman" w:cs="Times New Roman"/>
                <w:b/>
                <w:bCs/>
                <w:i/>
                <w:iCs/>
                <w:sz w:val="18"/>
                <w:szCs w:val="18"/>
              </w:rPr>
              <w:t>0</w:t>
            </w:r>
          </w:p>
        </w:tc>
        <w:tc>
          <w:tcPr>
            <w:tcW w:w="1127" w:type="dxa"/>
            <w:tcBorders>
              <w:top w:val="nil"/>
              <w:left w:val="nil"/>
              <w:bottom w:val="single" w:color="auto" w:sz="4" w:space="0"/>
              <w:right w:val="single" w:color="auto" w:sz="4" w:space="0"/>
            </w:tcBorders>
            <w:shd w:val="clear" w:color="000000" w:fill="FDE9D9"/>
          </w:tcPr>
          <w:p w:rsidRPr="00BF661C" w:rsidR="00E04947" w:rsidDel="002B76C5" w:rsidP="00D41844" w:rsidRDefault="00E04947" w14:paraId="5726DEB2" w14:textId="7777777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Pr="00BF661C" w:rsidR="00E04947" w:rsidDel="002B76C5" w:rsidP="00D41844" w:rsidRDefault="00B96184" w14:paraId="274C051A" w14:textId="03AA7699">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w:t>
            </w:r>
            <w:r w:rsidR="00957AB7">
              <w:rPr>
                <w:rFonts w:ascii="Times New Roman" w:hAnsi="Times New Roman" w:eastAsia="Times New Roman" w:cs="Times New Roman"/>
                <w:b/>
                <w:bCs/>
                <w:i/>
                <w:iCs/>
                <w:sz w:val="18"/>
                <w:szCs w:val="18"/>
              </w:rPr>
              <w:t>35,</w:t>
            </w:r>
            <w:r w:rsidR="00AD7A88">
              <w:rPr>
                <w:rFonts w:ascii="Times New Roman" w:hAnsi="Times New Roman" w:eastAsia="Times New Roman" w:cs="Times New Roman"/>
                <w:b/>
                <w:bCs/>
                <w:i/>
                <w:iCs/>
                <w:sz w:val="18"/>
                <w:szCs w:val="18"/>
              </w:rPr>
              <w:t>025</w:t>
            </w:r>
          </w:p>
        </w:tc>
      </w:tr>
    </w:tbl>
    <w:p w:rsidRPr="00F9037E" w:rsidR="003047CD" w:rsidP="003047CD" w:rsidRDefault="002B76C5" w14:paraId="73A0A255" w14:textId="1AE08652">
      <w:pPr>
        <w:pStyle w:val="NoSpacing"/>
        <w:widowControl w:val="0"/>
        <w:spacing w:after="40"/>
        <w:ind w:left="270" w:hanging="270"/>
        <w:rPr>
          <w:rFonts w:asciiTheme="majorHAnsi" w:hAnsiTheme="majorHAnsi"/>
          <w:sz w:val="16"/>
          <w:szCs w:val="16"/>
        </w:rPr>
      </w:pPr>
      <w:bookmarkStart w:name="_Toc115416916" w:id="56"/>
      <w:bookmarkStart w:name="_Toc115417061" w:id="57"/>
      <w:bookmarkStart w:name="_Toc115417228" w:id="58"/>
      <w:bookmarkStart w:name="_Toc359323845" w:id="59"/>
      <w:r w:rsidRPr="00CA7398">
        <w:rPr>
          <w:rStyle w:val="FootnoteReference"/>
          <w:rFonts w:asciiTheme="majorHAnsi" w:hAnsiTheme="majorHAnsi"/>
          <w:sz w:val="16"/>
          <w:szCs w:val="16"/>
        </w:rPr>
        <w:footnoteRef/>
      </w:r>
      <w:r w:rsidRPr="009C5F78">
        <w:t xml:space="preserve"> </w:t>
      </w:r>
      <w:r w:rsidR="003047CD">
        <w:rPr>
          <w:rFonts w:ascii="Cambria" w:hAnsi="Cambria"/>
          <w:sz w:val="16"/>
          <w:szCs w:val="16"/>
        </w:rPr>
        <w:t xml:space="preserve">The average </w:t>
      </w:r>
      <w:r w:rsidRPr="00F9037E" w:rsidR="003047CD">
        <w:rPr>
          <w:rFonts w:asciiTheme="majorHAnsi" w:hAnsiTheme="majorHAnsi"/>
          <w:sz w:val="16"/>
          <w:szCs w:val="16"/>
        </w:rPr>
        <w:t xml:space="preserve">hourly earnings of parents derived from </w:t>
      </w:r>
      <w:r w:rsidRPr="00F9037E" w:rsidR="003047CD">
        <w:rPr>
          <w:rFonts w:asciiTheme="majorHAnsi" w:hAnsiTheme="majorHAnsi"/>
          <w:sz w:val="16"/>
        </w:rPr>
        <w:t>May 2019</w:t>
      </w:r>
      <w:r w:rsidRPr="00F9037E" w:rsidR="003047CD">
        <w:rPr>
          <w:rFonts w:asciiTheme="majorHAnsi" w:hAnsiTheme="majorHAnsi"/>
          <w:sz w:val="16"/>
          <w:szCs w:val="16"/>
        </w:rPr>
        <w:t xml:space="preserve"> Bureau of Labor Statistics (BLS) Occupation Employment Statistics is $25.72, teachers is $30.74, of education administrators is $48.24. If mean hourly wage was not provided, it was computed assuming 2,080 hours per year. The exception is the student wage, which is based on the federal minimum wage. Source: BLS Occupation Employment Statistics, </w:t>
      </w:r>
      <w:hyperlink w:history="1" r:id="rId16">
        <w:r w:rsidRPr="00F9037E" w:rsidR="003047CD">
          <w:rPr>
            <w:rStyle w:val="Hyperlink"/>
            <w:rFonts w:asciiTheme="majorHAnsi" w:hAnsiTheme="majorHAnsi"/>
            <w:sz w:val="16"/>
            <w:szCs w:val="16"/>
          </w:rPr>
          <w:t>http://data.bls.gov/oes/</w:t>
        </w:r>
      </w:hyperlink>
      <w:r w:rsidRPr="00F9037E" w:rsidR="003047CD">
        <w:rPr>
          <w:rFonts w:asciiTheme="majorHAnsi" w:hAnsiTheme="majorHAnsi"/>
          <w:sz w:val="16"/>
          <w:szCs w:val="16"/>
        </w:rPr>
        <w:t xml:space="preserve"> datatype: Occupation codes: All employees (00-0000); Teachers (25-2021); Education Administrators (11-9032); accessed on November 19, 2020.</w:t>
      </w:r>
    </w:p>
    <w:p w:rsidR="00CA7398" w:rsidP="00CA7398" w:rsidRDefault="00B25F48" w14:paraId="4499A5B0" w14:textId="03C7E9C3">
      <w:pPr>
        <w:pStyle w:val="NoSpacing"/>
        <w:widowControl w:val="0"/>
        <w:spacing w:after="40"/>
        <w:ind w:left="270" w:hanging="270"/>
        <w:rPr>
          <w:rFonts w:asciiTheme="majorHAnsi" w:hAnsiTheme="majorHAnsi"/>
          <w:sz w:val="16"/>
          <w:szCs w:val="16"/>
        </w:rPr>
      </w:pPr>
      <w:r w:rsidRPr="00F9037E">
        <w:rPr>
          <w:rStyle w:val="FootnoteReference"/>
          <w:rFonts w:asciiTheme="majorHAnsi" w:hAnsiTheme="majorHAnsi"/>
          <w:sz w:val="16"/>
          <w:szCs w:val="16"/>
        </w:rPr>
        <w:t>2</w:t>
      </w:r>
      <w:r w:rsidR="00CA7398">
        <w:rPr>
          <w:rFonts w:asciiTheme="majorHAnsi" w:hAnsiTheme="majorHAnsi"/>
          <w:sz w:val="16"/>
          <w:szCs w:val="16"/>
        </w:rPr>
        <w:t xml:space="preserve"> </w:t>
      </w:r>
      <w:r w:rsidRPr="00F9037E">
        <w:rPr>
          <w:rFonts w:asciiTheme="majorHAnsi" w:hAnsiTheme="majorHAnsi"/>
          <w:sz w:val="16"/>
          <w:szCs w:val="16"/>
        </w:rPr>
        <w:t xml:space="preserve">Based </w:t>
      </w:r>
      <w:r w:rsidR="00CA7398">
        <w:rPr>
          <w:rFonts w:asciiTheme="majorHAnsi" w:hAnsiTheme="majorHAnsi"/>
          <w:sz w:val="16"/>
          <w:szCs w:val="16"/>
        </w:rPr>
        <w:t>on a simulated sampling</w:t>
      </w:r>
      <w:r w:rsidR="0061533D">
        <w:rPr>
          <w:rFonts w:asciiTheme="majorHAnsi" w:hAnsiTheme="majorHAnsi"/>
          <w:sz w:val="16"/>
          <w:szCs w:val="16"/>
        </w:rPr>
        <w:t xml:space="preserve"> of </w:t>
      </w:r>
      <w:r w:rsidR="00A052BD">
        <w:rPr>
          <w:rFonts w:asciiTheme="majorHAnsi" w:hAnsiTheme="majorHAnsi"/>
          <w:sz w:val="16"/>
          <w:szCs w:val="16"/>
        </w:rPr>
        <w:t>schools.</w:t>
      </w:r>
    </w:p>
    <w:p w:rsidRPr="00CA7398" w:rsidR="00B25F48" w:rsidP="00CA7398" w:rsidRDefault="00CA7398" w14:paraId="6D6CF4F9" w14:textId="4076FF56">
      <w:pPr>
        <w:pStyle w:val="NoSpacing"/>
        <w:widowControl w:val="0"/>
        <w:spacing w:after="40"/>
        <w:ind w:left="270" w:hanging="270"/>
        <w:rPr>
          <w:rFonts w:asciiTheme="majorHAnsi" w:hAnsiTheme="majorHAnsi"/>
          <w:sz w:val="16"/>
          <w:szCs w:val="16"/>
          <w:vertAlign w:val="superscript"/>
        </w:rPr>
      </w:pPr>
      <w:r>
        <w:rPr>
          <w:rStyle w:val="FootnoteReference"/>
          <w:rFonts w:asciiTheme="majorHAnsi" w:hAnsiTheme="majorHAnsi"/>
          <w:sz w:val="16"/>
          <w:szCs w:val="16"/>
        </w:rPr>
        <w:t>3</w:t>
      </w:r>
      <w:r>
        <w:rPr>
          <w:rFonts w:asciiTheme="majorHAnsi" w:hAnsiTheme="majorHAnsi"/>
          <w:sz w:val="16"/>
          <w:szCs w:val="16"/>
        </w:rPr>
        <w:t xml:space="preserve"> Based o</w:t>
      </w:r>
      <w:r w:rsidRPr="00F9037E" w:rsidR="00B25F48">
        <w:rPr>
          <w:rFonts w:asciiTheme="majorHAnsi" w:hAnsiTheme="majorHAnsi"/>
          <w:sz w:val="16"/>
          <w:szCs w:val="16"/>
        </w:rPr>
        <w:t>n the estimate that</w:t>
      </w:r>
      <w:r w:rsidR="00A052BD">
        <w:rPr>
          <w:rFonts w:asciiTheme="majorHAnsi" w:hAnsiTheme="majorHAnsi"/>
          <w:sz w:val="16"/>
          <w:szCs w:val="16"/>
        </w:rPr>
        <w:t>,</w:t>
      </w:r>
      <w:r w:rsidRPr="00F9037E" w:rsidR="00B25F48">
        <w:rPr>
          <w:rFonts w:asciiTheme="majorHAnsi" w:hAnsiTheme="majorHAnsi"/>
          <w:sz w:val="16"/>
          <w:szCs w:val="16"/>
        </w:rPr>
        <w:t xml:space="preserve"> on average</w:t>
      </w:r>
      <w:r w:rsidR="00A052BD">
        <w:rPr>
          <w:rFonts w:asciiTheme="majorHAnsi" w:hAnsiTheme="majorHAnsi"/>
          <w:sz w:val="16"/>
          <w:szCs w:val="16"/>
        </w:rPr>
        <w:t>,</w:t>
      </w:r>
      <w:r w:rsidRPr="00F9037E" w:rsidR="00B25F48">
        <w:rPr>
          <w:rFonts w:asciiTheme="majorHAnsi" w:hAnsiTheme="majorHAnsi"/>
          <w:sz w:val="16"/>
          <w:szCs w:val="16"/>
        </w:rPr>
        <w:t xml:space="preserve"> there will five individuals per panel.</w:t>
      </w:r>
    </w:p>
    <w:p w:rsidR="00530E06" w:rsidP="00522E2C" w:rsidRDefault="00CA7398" w14:paraId="6FA8A7D8" w14:textId="418CDB39">
      <w:pPr>
        <w:pStyle w:val="NoSpacing"/>
        <w:ind w:left="270" w:hanging="270"/>
        <w:rPr>
          <w:b/>
        </w:rPr>
      </w:pPr>
      <w:r w:rsidRPr="00957AB7">
        <w:rPr>
          <w:rStyle w:val="FootnoteReference"/>
          <w:rFonts w:asciiTheme="majorHAnsi" w:hAnsiTheme="majorHAnsi"/>
          <w:sz w:val="16"/>
          <w:szCs w:val="16"/>
        </w:rPr>
        <w:t>4</w:t>
      </w:r>
      <w:r w:rsidRPr="00F9037E" w:rsidR="00530E06">
        <w:rPr>
          <w:i/>
        </w:rPr>
        <w:t xml:space="preserve"> </w:t>
      </w:r>
      <w:r w:rsidRPr="00957AB7" w:rsidR="00530E06">
        <w:rPr>
          <w:rFonts w:asciiTheme="majorHAnsi" w:hAnsiTheme="majorHAnsi"/>
          <w:sz w:val="16"/>
          <w:szCs w:val="16"/>
        </w:rPr>
        <w:t>Satisfactory sampling participation rate includes a final unweighted school response rate of at least 50% of original schools and at least 85% of original plus replacement schools, with original school sample as the denominator.</w:t>
      </w:r>
    </w:p>
    <w:p w:rsidRPr="00957AB7" w:rsidR="00957AB7" w:rsidP="00522E2C" w:rsidRDefault="00957AB7" w14:paraId="53C2FA83" w14:textId="45EDE3C1">
      <w:pPr>
        <w:pStyle w:val="NoSpacing"/>
        <w:ind w:left="270" w:hanging="270"/>
        <w:rPr>
          <w:rFonts w:asciiTheme="majorHAnsi" w:hAnsiTheme="majorHAnsi"/>
          <w:sz w:val="16"/>
          <w:szCs w:val="16"/>
        </w:rPr>
      </w:pPr>
      <w:r w:rsidRPr="00957AB7">
        <w:rPr>
          <w:rStyle w:val="FootnoteReference"/>
          <w:rFonts w:asciiTheme="majorHAnsi" w:hAnsiTheme="majorHAnsi"/>
          <w:sz w:val="16"/>
          <w:szCs w:val="16"/>
        </w:rPr>
        <w:t>5</w:t>
      </w:r>
      <w:r>
        <w:rPr>
          <w:rFonts w:ascii="Times New Roman" w:hAnsi="Times New Roman"/>
          <w:sz w:val="18"/>
          <w:szCs w:val="18"/>
          <w:vertAlign w:val="superscript"/>
        </w:rPr>
        <w:t xml:space="preserve"> </w:t>
      </w:r>
      <w:r w:rsidR="00073447">
        <w:rPr>
          <w:rFonts w:asciiTheme="majorHAnsi" w:hAnsiTheme="majorHAnsi"/>
          <w:sz w:val="16"/>
          <w:szCs w:val="16"/>
        </w:rPr>
        <w:t>Two replacements schools will be sampled for each original school but a replacement school will only be contacted if the original school declines to participate. B</w:t>
      </w:r>
      <w:r w:rsidRPr="00957AB7">
        <w:rPr>
          <w:rFonts w:asciiTheme="majorHAnsi" w:hAnsiTheme="majorHAnsi"/>
          <w:sz w:val="16"/>
          <w:szCs w:val="16"/>
        </w:rPr>
        <w:t>ased on estimated response rates of original participating schools, 42 replacement schools will be contacted, and it is estimated that 50% will participate.</w:t>
      </w:r>
    </w:p>
    <w:bookmarkEnd w:id="55"/>
    <w:p w:rsidRPr="00F9037E" w:rsidR="00530E06" w:rsidP="00B25F48" w:rsidRDefault="00A052BD" w14:paraId="5553866E" w14:textId="5AFFB426">
      <w:pPr>
        <w:pStyle w:val="NoSpacing"/>
        <w:widowControl w:val="0"/>
        <w:spacing w:after="4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6</w:t>
      </w:r>
      <w:r w:rsidR="00522E2C">
        <w:rPr>
          <w:rFonts w:asciiTheme="majorHAnsi" w:hAnsiTheme="majorHAnsi"/>
          <w:sz w:val="16"/>
          <w:szCs w:val="16"/>
        </w:rPr>
        <w:t>Sample size as</w:t>
      </w:r>
      <w:r>
        <w:rPr>
          <w:rFonts w:asciiTheme="majorHAnsi" w:hAnsiTheme="majorHAnsi"/>
          <w:sz w:val="16"/>
          <w:szCs w:val="16"/>
        </w:rPr>
        <w:t xml:space="preserve">sumes that approximately </w:t>
      </w:r>
      <w:r w:rsidR="00522E2C">
        <w:rPr>
          <w:rFonts w:asciiTheme="majorHAnsi" w:hAnsiTheme="majorHAnsi"/>
          <w:sz w:val="16"/>
          <w:szCs w:val="16"/>
        </w:rPr>
        <w:t>one</w:t>
      </w:r>
      <w:r>
        <w:rPr>
          <w:rFonts w:asciiTheme="majorHAnsi" w:hAnsiTheme="majorHAnsi"/>
          <w:sz w:val="16"/>
          <w:szCs w:val="16"/>
        </w:rPr>
        <w:t xml:space="preserve"> percent of students will be </w:t>
      </w:r>
      <w:r w:rsidR="00522E2C">
        <w:rPr>
          <w:rFonts w:asciiTheme="majorHAnsi" w:hAnsiTheme="majorHAnsi"/>
          <w:sz w:val="16"/>
          <w:szCs w:val="16"/>
        </w:rPr>
        <w:t xml:space="preserve">ineligible, and that 90 percent of eligible students’ parents will review permission materials. </w:t>
      </w:r>
    </w:p>
    <w:p w:rsidR="00B25F48" w:rsidP="003047CD" w:rsidRDefault="00B25F48" w14:paraId="328DB276" w14:textId="77777777">
      <w:pPr>
        <w:pStyle w:val="NoSpacing"/>
        <w:widowControl w:val="0"/>
        <w:spacing w:after="40"/>
        <w:ind w:left="270" w:hanging="270"/>
        <w:rPr>
          <w:rFonts w:ascii="Cambria" w:hAnsi="Cambria"/>
          <w:sz w:val="16"/>
          <w:szCs w:val="16"/>
        </w:rPr>
      </w:pPr>
    </w:p>
    <w:p w:rsidRPr="00763758" w:rsidR="00D84C9E" w:rsidP="00A9768A" w:rsidRDefault="00D84C9E" w14:paraId="03BC512C" w14:textId="14DD0A2A">
      <w:pPr>
        <w:pStyle w:val="TIMSSOMBHeading2"/>
        <w:rPr>
          <w:sz w:val="24"/>
          <w:szCs w:val="24"/>
        </w:rPr>
      </w:pPr>
      <w:bookmarkStart w:name="_Toc58475970" w:id="60"/>
      <w:r w:rsidRPr="00763758">
        <w:t>A.13</w:t>
      </w:r>
      <w:r w:rsidRPr="00763758">
        <w:tab/>
        <w:t>Total Annual Cost Burden</w:t>
      </w:r>
      <w:bookmarkEnd w:id="56"/>
      <w:bookmarkEnd w:id="57"/>
      <w:bookmarkEnd w:id="58"/>
      <w:bookmarkEnd w:id="59"/>
      <w:bookmarkEnd w:id="60"/>
    </w:p>
    <w:p w:rsidRPr="00763758" w:rsidR="00D84C9E" w:rsidP="0002216F" w:rsidRDefault="003B682A" w14:paraId="6A82C08D" w14:textId="77777777">
      <w:pPr>
        <w:spacing w:after="120" w:line="23" w:lineRule="atLeast"/>
        <w:rPr>
          <w:rFonts w:ascii="Times New Roman" w:hAnsi="Times New Roman" w:cs="Times New Roman"/>
          <w:sz w:val="24"/>
          <w:szCs w:val="24"/>
        </w:rPr>
      </w:pPr>
      <w:r w:rsidRPr="00763758">
        <w:rPr>
          <w:rFonts w:ascii="Times New Roman" w:hAnsi="Times New Roman" w:cs="Times New Roman"/>
          <w:sz w:val="24"/>
          <w:szCs w:val="24"/>
        </w:rPr>
        <w:t>There are no additional costs to respond beyond the time to respond.</w:t>
      </w:r>
    </w:p>
    <w:p w:rsidRPr="00763758" w:rsidR="00D84C9E" w:rsidP="00A9768A" w:rsidRDefault="00D84C9E" w14:paraId="3521CA93" w14:textId="77777777">
      <w:pPr>
        <w:pStyle w:val="TIMSSOMBHeading2"/>
      </w:pPr>
      <w:bookmarkStart w:name="_Toc359323846" w:id="61"/>
      <w:bookmarkStart w:name="_Toc58475971" w:id="62"/>
      <w:bookmarkStart w:name="_Toc115416917" w:id="63"/>
      <w:bookmarkStart w:name="_Toc115417062" w:id="64"/>
      <w:bookmarkStart w:name="_Toc115417229" w:id="65"/>
      <w:r w:rsidRPr="00763758">
        <w:t>A.14</w:t>
      </w:r>
      <w:r w:rsidRPr="00763758">
        <w:tab/>
        <w:t>Annualized Cost to Federal Government</w:t>
      </w:r>
      <w:bookmarkEnd w:id="61"/>
      <w:bookmarkEnd w:id="62"/>
    </w:p>
    <w:p w:rsidRPr="00763758" w:rsidR="0041289A" w:rsidP="00D41844" w:rsidRDefault="00174A4A" w14:paraId="6C652BB6" w14:textId="3E87740F">
      <w:pPr>
        <w:widowControl w:val="0"/>
        <w:spacing w:after="120" w:line="23" w:lineRule="atLeast"/>
        <w:rPr>
          <w:rFonts w:ascii="Times New Roman" w:hAnsi="Times New Roman" w:cs="Times New Roman"/>
          <w:sz w:val="24"/>
          <w:szCs w:val="24"/>
        </w:rPr>
      </w:pPr>
      <w:r w:rsidRPr="00763758">
        <w:rPr>
          <w:rFonts w:ascii="Times New Roman" w:hAnsi="Times New Roman" w:cs="Times New Roman"/>
          <w:sz w:val="24"/>
          <w:szCs w:val="24"/>
        </w:rPr>
        <w:t xml:space="preserve">The cost to the federal government for conducting </w:t>
      </w:r>
      <w:r w:rsidRPr="00763758" w:rsidR="00AE640C">
        <w:rPr>
          <w:rFonts w:ascii="Times New Roman" w:hAnsi="Times New Roman" w:cs="Times New Roman"/>
          <w:sz w:val="24"/>
          <w:szCs w:val="24"/>
        </w:rPr>
        <w:t>all of the</w:t>
      </w:r>
      <w:r w:rsidRPr="00763758">
        <w:rPr>
          <w:rFonts w:ascii="Times New Roman" w:hAnsi="Times New Roman" w:cs="Times New Roman"/>
          <w:sz w:val="24"/>
          <w:szCs w:val="24"/>
        </w:rPr>
        <w:t xml:space="preserve"> phases of TIMSS </w:t>
      </w:r>
      <w:r w:rsidRPr="00763758" w:rsidR="00B47921">
        <w:rPr>
          <w:rFonts w:ascii="Times New Roman" w:hAnsi="Times New Roman" w:cs="Times New Roman"/>
          <w:sz w:val="24"/>
          <w:szCs w:val="24"/>
        </w:rPr>
        <w:t>2023</w:t>
      </w:r>
      <w:r w:rsidRPr="00763758">
        <w:rPr>
          <w:rFonts w:ascii="Times New Roman" w:hAnsi="Times New Roman" w:cs="Times New Roman"/>
          <w:sz w:val="24"/>
          <w:szCs w:val="24"/>
        </w:rPr>
        <w:t xml:space="preserve">, </w:t>
      </w:r>
      <w:r w:rsidRPr="00763758" w:rsidR="00B47921">
        <w:rPr>
          <w:rFonts w:ascii="Times New Roman" w:hAnsi="Times New Roman" w:cs="Times New Roman"/>
          <w:sz w:val="24"/>
          <w:szCs w:val="24"/>
        </w:rPr>
        <w:t xml:space="preserve">including </w:t>
      </w:r>
      <w:r w:rsidRPr="00763758">
        <w:rPr>
          <w:rFonts w:ascii="Times New Roman" w:hAnsi="Times New Roman" w:cs="Times New Roman"/>
          <w:sz w:val="24"/>
          <w:szCs w:val="24"/>
        </w:rPr>
        <w:t>preparation</w:t>
      </w:r>
      <w:r w:rsidRPr="00763758" w:rsidR="009A086C">
        <w:rPr>
          <w:rFonts w:ascii="Times New Roman" w:hAnsi="Times New Roman" w:cs="Times New Roman"/>
          <w:sz w:val="24"/>
          <w:szCs w:val="24"/>
        </w:rPr>
        <w:t>s</w:t>
      </w:r>
      <w:r w:rsidRPr="00763758">
        <w:rPr>
          <w:rFonts w:ascii="Times New Roman" w:hAnsi="Times New Roman" w:cs="Times New Roman"/>
          <w:sz w:val="24"/>
          <w:szCs w:val="24"/>
        </w:rPr>
        <w:t xml:space="preserve">, </w:t>
      </w:r>
      <w:r w:rsidR="00522E2C">
        <w:rPr>
          <w:rFonts w:ascii="Times New Roman" w:hAnsi="Times New Roman" w:cs="Times New Roman"/>
          <w:sz w:val="24"/>
          <w:szCs w:val="24"/>
        </w:rPr>
        <w:t xml:space="preserve">field test and main study </w:t>
      </w:r>
      <w:r w:rsidRPr="00763758">
        <w:rPr>
          <w:rFonts w:ascii="Times New Roman" w:hAnsi="Times New Roman" w:cs="Times New Roman"/>
          <w:sz w:val="24"/>
          <w:szCs w:val="24"/>
        </w:rPr>
        <w:t>data collection</w:t>
      </w:r>
      <w:r w:rsidRPr="00763758" w:rsidR="00012210">
        <w:rPr>
          <w:rFonts w:ascii="Times New Roman" w:hAnsi="Times New Roman" w:cs="Times New Roman"/>
          <w:sz w:val="24"/>
          <w:szCs w:val="24"/>
        </w:rPr>
        <w:t>,</w:t>
      </w:r>
      <w:r w:rsidRPr="00763758">
        <w:rPr>
          <w:rFonts w:ascii="Times New Roman" w:hAnsi="Times New Roman" w:cs="Times New Roman"/>
          <w:sz w:val="24"/>
          <w:szCs w:val="24"/>
        </w:rPr>
        <w:t xml:space="preserve"> and scoring</w:t>
      </w:r>
      <w:r w:rsidRPr="00763758" w:rsidR="00012210">
        <w:rPr>
          <w:rFonts w:ascii="Times New Roman" w:hAnsi="Times New Roman" w:cs="Times New Roman"/>
          <w:sz w:val="24"/>
          <w:szCs w:val="24"/>
        </w:rPr>
        <w:t xml:space="preserve"> </w:t>
      </w:r>
      <w:r w:rsidRPr="00763758">
        <w:rPr>
          <w:rFonts w:ascii="Times New Roman" w:hAnsi="Times New Roman" w:cs="Times New Roman"/>
          <w:sz w:val="24"/>
          <w:szCs w:val="24"/>
        </w:rPr>
        <w:t xml:space="preserve">is estimated to </w:t>
      </w:r>
      <w:r w:rsidRPr="00EB5EB3">
        <w:rPr>
          <w:rFonts w:ascii="Times New Roman" w:hAnsi="Times New Roman" w:cs="Times New Roman"/>
          <w:sz w:val="24"/>
          <w:szCs w:val="24"/>
        </w:rPr>
        <w:t xml:space="preserve">be </w:t>
      </w:r>
      <w:r w:rsidRPr="00EB5EB3" w:rsidR="001D6C13">
        <w:rPr>
          <w:rFonts w:ascii="Times New Roman" w:hAnsi="Times New Roman" w:cs="Times New Roman"/>
          <w:sz w:val="24"/>
          <w:szCs w:val="24"/>
        </w:rPr>
        <w:t>$</w:t>
      </w:r>
      <w:r w:rsidRPr="00EB5EB3" w:rsidR="00200DA6">
        <w:rPr>
          <w:rFonts w:ascii="Times New Roman" w:hAnsi="Times New Roman" w:cs="Times New Roman"/>
          <w:sz w:val="24"/>
          <w:szCs w:val="24"/>
        </w:rPr>
        <w:t>9,809,064</w:t>
      </w:r>
      <w:r w:rsidRPr="00EB5EB3" w:rsidR="00062899">
        <w:rPr>
          <w:rFonts w:ascii="Times New Roman" w:hAnsi="Times New Roman" w:cs="Times New Roman"/>
          <w:sz w:val="24"/>
          <w:szCs w:val="24"/>
        </w:rPr>
        <w:t xml:space="preserve"> </w:t>
      </w:r>
      <w:r w:rsidRPr="00763758">
        <w:rPr>
          <w:rFonts w:ascii="Times New Roman" w:hAnsi="Times New Roman" w:cs="Times New Roman"/>
          <w:sz w:val="24"/>
          <w:szCs w:val="24"/>
        </w:rPr>
        <w:t xml:space="preserve">over a </w:t>
      </w:r>
      <w:r w:rsidR="00160DD3">
        <w:rPr>
          <w:rFonts w:ascii="Times New Roman" w:hAnsi="Times New Roman" w:cs="Times New Roman"/>
          <w:sz w:val="24"/>
          <w:szCs w:val="24"/>
        </w:rPr>
        <w:t>5</w:t>
      </w:r>
      <w:r w:rsidRPr="00763758">
        <w:rPr>
          <w:rFonts w:ascii="Times New Roman" w:hAnsi="Times New Roman" w:cs="Times New Roman"/>
          <w:sz w:val="24"/>
          <w:szCs w:val="24"/>
        </w:rPr>
        <w:t>-year period</w:t>
      </w:r>
      <w:r w:rsidRPr="00763758" w:rsidR="0041289A">
        <w:rPr>
          <w:rFonts w:ascii="Times New Roman" w:hAnsi="Times New Roman" w:cs="Times New Roman"/>
          <w:sz w:val="24"/>
          <w:szCs w:val="24"/>
        </w:rPr>
        <w:t xml:space="preserve"> (see table breakdown below). </w:t>
      </w:r>
      <w:r w:rsidR="00160DD3">
        <w:rPr>
          <w:rFonts w:ascii="Times New Roman" w:hAnsi="Times New Roman" w:cs="Times New Roman"/>
          <w:sz w:val="24"/>
          <w:szCs w:val="24"/>
        </w:rPr>
        <w:t>F</w:t>
      </w:r>
      <w:r w:rsidRPr="00763758">
        <w:rPr>
          <w:rFonts w:ascii="Times New Roman" w:hAnsi="Times New Roman" w:cs="Times New Roman"/>
          <w:sz w:val="24"/>
          <w:szCs w:val="24"/>
        </w:rPr>
        <w:t>igure</w:t>
      </w:r>
      <w:r w:rsidRPr="00763758" w:rsidR="0041289A">
        <w:rPr>
          <w:rFonts w:ascii="Times New Roman" w:hAnsi="Times New Roman" w:cs="Times New Roman"/>
          <w:sz w:val="24"/>
          <w:szCs w:val="24"/>
        </w:rPr>
        <w:t>s</w:t>
      </w:r>
      <w:r w:rsidRPr="00763758">
        <w:rPr>
          <w:rFonts w:ascii="Times New Roman" w:hAnsi="Times New Roman" w:cs="Times New Roman"/>
          <w:sz w:val="24"/>
          <w:szCs w:val="24"/>
        </w:rPr>
        <w:t xml:space="preserve"> include all direct and indirect costs.</w:t>
      </w:r>
    </w:p>
    <w:tbl>
      <w:tblPr>
        <w:tblW w:w="5000" w:type="pct"/>
        <w:tblLook w:val="04A0" w:firstRow="1" w:lastRow="0" w:firstColumn="1" w:lastColumn="0" w:noHBand="0" w:noVBand="1"/>
      </w:tblPr>
      <w:tblGrid>
        <w:gridCol w:w="7550"/>
        <w:gridCol w:w="2962"/>
      </w:tblGrid>
      <w:tr w:rsidR="00B47921" w:rsidTr="00B47921" w14:paraId="595CDBDB" w14:textId="77777777">
        <w:trPr>
          <w:trHeight w:val="144"/>
        </w:trPr>
        <w:tc>
          <w:tcPr>
            <w:tcW w:w="3591" w:type="pct"/>
            <w:shd w:val="clear" w:color="auto" w:fill="FFFFFF"/>
            <w:vAlign w:val="center"/>
            <w:hideMark/>
          </w:tcPr>
          <w:p w:rsidR="00B47921" w:rsidRDefault="00B47921" w14:paraId="05010D1C" w14:textId="580A085F">
            <w:pPr>
              <w:pStyle w:val="Tabletext"/>
              <w:widowControl w:val="0"/>
              <w:spacing w:before="0" w:after="0" w:line="256" w:lineRule="auto"/>
              <w:rPr>
                <w:rFonts w:asciiTheme="minorHAnsi" w:hAnsiTheme="minorHAnsi"/>
                <w:b/>
              </w:rPr>
            </w:pPr>
            <w:r>
              <w:rPr>
                <w:rFonts w:asciiTheme="minorHAnsi" w:hAnsiTheme="minorHAnsi"/>
                <w:b/>
              </w:rPr>
              <w:t>TIMSS 2023</w:t>
            </w:r>
          </w:p>
        </w:tc>
        <w:tc>
          <w:tcPr>
            <w:tcW w:w="1409" w:type="pct"/>
            <w:shd w:val="clear" w:color="auto" w:fill="FFFFFF"/>
            <w:noWrap/>
            <w:vAlign w:val="center"/>
          </w:tcPr>
          <w:p w:rsidR="00B47921" w:rsidRDefault="00B47921" w14:paraId="14609C67" w14:textId="77777777">
            <w:pPr>
              <w:pStyle w:val="Tabletext"/>
              <w:widowControl w:val="0"/>
              <w:spacing w:before="0" w:after="0" w:line="256" w:lineRule="auto"/>
              <w:jc w:val="right"/>
              <w:rPr>
                <w:rFonts w:asciiTheme="minorHAnsi" w:hAnsiTheme="minorHAnsi"/>
              </w:rPr>
            </w:pPr>
          </w:p>
        </w:tc>
      </w:tr>
      <w:tr w:rsidR="00B47921" w:rsidTr="00B47921" w14:paraId="73FC2754" w14:textId="77777777">
        <w:trPr>
          <w:trHeight w:val="144"/>
        </w:trPr>
        <w:tc>
          <w:tcPr>
            <w:tcW w:w="3591" w:type="pct"/>
            <w:shd w:val="clear" w:color="auto" w:fill="FFFFFF"/>
            <w:vAlign w:val="center"/>
            <w:hideMark/>
          </w:tcPr>
          <w:p w:rsidR="00B47921" w:rsidRDefault="00B47921" w14:paraId="2E28E57E" w14:textId="77777777">
            <w:pPr>
              <w:pStyle w:val="Tabletext"/>
              <w:widowControl w:val="0"/>
              <w:spacing w:before="0" w:after="0" w:line="256" w:lineRule="auto"/>
              <w:ind w:left="615"/>
              <w:rPr>
                <w:rFonts w:asciiTheme="minorHAnsi" w:hAnsiTheme="minorHAnsi"/>
              </w:rPr>
            </w:pPr>
            <w:bookmarkStart w:name="_Hlk57641831" w:id="66"/>
            <w:r>
              <w:rPr>
                <w:rFonts w:asciiTheme="minorHAnsi" w:hAnsiTheme="minorHAnsi"/>
              </w:rPr>
              <w:t>Contract costs</w:t>
            </w:r>
          </w:p>
        </w:tc>
        <w:tc>
          <w:tcPr>
            <w:tcW w:w="1409" w:type="pct"/>
            <w:shd w:val="clear" w:color="auto" w:fill="FFFFFF"/>
            <w:noWrap/>
            <w:vAlign w:val="center"/>
            <w:hideMark/>
          </w:tcPr>
          <w:p w:rsidR="00B47921" w:rsidRDefault="00B47921" w14:paraId="71F8E1D2" w14:textId="6526C202">
            <w:pPr>
              <w:pStyle w:val="Tabletext"/>
              <w:widowControl w:val="0"/>
              <w:spacing w:before="0" w:after="0" w:line="256" w:lineRule="auto"/>
              <w:jc w:val="right"/>
              <w:rPr>
                <w:rFonts w:asciiTheme="minorHAnsi" w:hAnsiTheme="minorHAnsi"/>
              </w:rPr>
            </w:pPr>
          </w:p>
        </w:tc>
      </w:tr>
      <w:tr w:rsidR="00B47921" w:rsidTr="00B47921" w14:paraId="0FF73465" w14:textId="77777777">
        <w:trPr>
          <w:trHeight w:val="144"/>
        </w:trPr>
        <w:tc>
          <w:tcPr>
            <w:tcW w:w="3591" w:type="pct"/>
            <w:shd w:val="clear" w:color="auto" w:fill="FFFFFF"/>
            <w:vAlign w:val="center"/>
            <w:hideMark/>
          </w:tcPr>
          <w:p w:rsidR="00B47921" w:rsidRDefault="00B47921" w14:paraId="2B7DAD0A" w14:textId="3AE79774">
            <w:pPr>
              <w:pStyle w:val="Tabletext"/>
              <w:widowControl w:val="0"/>
              <w:spacing w:before="0" w:after="0" w:line="256" w:lineRule="auto"/>
              <w:ind w:left="1037"/>
              <w:rPr>
                <w:rFonts w:asciiTheme="minorHAnsi" w:hAnsiTheme="minorHAnsi"/>
                <w:i/>
              </w:rPr>
            </w:pPr>
            <w:r>
              <w:rPr>
                <w:rFonts w:asciiTheme="minorHAnsi" w:hAnsiTheme="minorHAnsi"/>
                <w:i/>
              </w:rPr>
              <w:t xml:space="preserve">Instrumentation </w:t>
            </w:r>
            <w:r w:rsidR="0063452C">
              <w:rPr>
                <w:rFonts w:asciiTheme="minorHAnsi" w:hAnsiTheme="minorHAnsi"/>
                <w:i/>
              </w:rPr>
              <w:t>and materials</w:t>
            </w:r>
          </w:p>
        </w:tc>
        <w:tc>
          <w:tcPr>
            <w:tcW w:w="1409" w:type="pct"/>
            <w:shd w:val="clear" w:color="auto" w:fill="FFFFFF"/>
            <w:noWrap/>
            <w:vAlign w:val="center"/>
            <w:hideMark/>
          </w:tcPr>
          <w:p w:rsidR="00B47921" w:rsidRDefault="00B47921" w14:paraId="0F64254A" w14:textId="123CA2F4">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3,428,073</w:t>
            </w:r>
          </w:p>
        </w:tc>
      </w:tr>
      <w:tr w:rsidR="00B47921" w:rsidTr="00B47921" w14:paraId="567C218A" w14:textId="77777777">
        <w:trPr>
          <w:trHeight w:val="144"/>
        </w:trPr>
        <w:tc>
          <w:tcPr>
            <w:tcW w:w="3591" w:type="pct"/>
            <w:shd w:val="clear" w:color="auto" w:fill="FFFFFF"/>
            <w:vAlign w:val="center"/>
            <w:hideMark/>
          </w:tcPr>
          <w:p w:rsidR="00B47921" w:rsidRDefault="00B47921" w14:paraId="19A1B620" w14:textId="77777777">
            <w:pPr>
              <w:pStyle w:val="Tabletext"/>
              <w:widowControl w:val="0"/>
              <w:spacing w:before="0" w:after="0" w:line="256" w:lineRule="auto"/>
              <w:ind w:left="1037"/>
              <w:rPr>
                <w:rFonts w:asciiTheme="minorHAnsi" w:hAnsiTheme="minorHAnsi"/>
                <w:i/>
              </w:rPr>
            </w:pPr>
            <w:r>
              <w:rPr>
                <w:rFonts w:asciiTheme="minorHAnsi" w:hAnsiTheme="minorHAnsi"/>
                <w:i/>
              </w:rPr>
              <w:t>Data Collection</w:t>
            </w:r>
          </w:p>
        </w:tc>
        <w:tc>
          <w:tcPr>
            <w:tcW w:w="1409" w:type="pct"/>
            <w:shd w:val="clear" w:color="auto" w:fill="FFFFFF"/>
            <w:noWrap/>
            <w:vAlign w:val="center"/>
            <w:hideMark/>
          </w:tcPr>
          <w:p w:rsidR="00B47921" w:rsidRDefault="00B47921" w14:paraId="6BD49C46" w14:textId="7F2AC19B">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4,619,157</w:t>
            </w:r>
          </w:p>
        </w:tc>
      </w:tr>
      <w:tr w:rsidR="00B47921" w:rsidTr="00B47921" w14:paraId="79BB2FE7" w14:textId="77777777">
        <w:trPr>
          <w:trHeight w:val="144"/>
        </w:trPr>
        <w:tc>
          <w:tcPr>
            <w:tcW w:w="3591" w:type="pct"/>
            <w:shd w:val="clear" w:color="auto" w:fill="FFFFFF"/>
            <w:vAlign w:val="center"/>
            <w:hideMark/>
          </w:tcPr>
          <w:p w:rsidR="00B47921" w:rsidRDefault="00B47921" w14:paraId="731F8B90" w14:textId="77777777">
            <w:pPr>
              <w:pStyle w:val="Tabletext"/>
              <w:widowControl w:val="0"/>
              <w:spacing w:before="0" w:after="0" w:line="256" w:lineRule="auto"/>
              <w:ind w:left="1037"/>
              <w:rPr>
                <w:rFonts w:asciiTheme="minorHAnsi" w:hAnsiTheme="minorHAnsi"/>
                <w:i/>
              </w:rPr>
            </w:pPr>
            <w:r>
              <w:rPr>
                <w:rFonts w:asciiTheme="minorHAnsi" w:hAnsiTheme="minorHAnsi"/>
                <w:i/>
              </w:rPr>
              <w:t>Systems and data processing</w:t>
            </w:r>
          </w:p>
        </w:tc>
        <w:tc>
          <w:tcPr>
            <w:tcW w:w="1409" w:type="pct"/>
            <w:shd w:val="clear" w:color="auto" w:fill="FFFFFF"/>
            <w:noWrap/>
            <w:vAlign w:val="center"/>
            <w:hideMark/>
          </w:tcPr>
          <w:p w:rsidR="00B47921" w:rsidRDefault="00B47921" w14:paraId="1C3A0AC0" w14:textId="791EA264">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1,761,834</w:t>
            </w:r>
          </w:p>
        </w:tc>
      </w:tr>
      <w:tr w:rsidR="00B47921" w:rsidTr="00B47921" w14:paraId="1B344B71" w14:textId="77777777">
        <w:trPr>
          <w:trHeight w:val="144"/>
        </w:trPr>
        <w:tc>
          <w:tcPr>
            <w:tcW w:w="3591" w:type="pct"/>
            <w:tcBorders>
              <w:top w:val="nil"/>
              <w:left w:val="nil"/>
              <w:bottom w:val="single" w:color="auto" w:sz="12" w:space="0"/>
              <w:right w:val="nil"/>
            </w:tcBorders>
            <w:shd w:val="clear" w:color="auto" w:fill="FFFFFF"/>
            <w:noWrap/>
            <w:vAlign w:val="center"/>
            <w:hideMark/>
          </w:tcPr>
          <w:p w:rsidR="00B47921" w:rsidRDefault="00B47921" w14:paraId="1D29AE0D" w14:textId="77777777">
            <w:pPr>
              <w:pStyle w:val="Tabletext"/>
              <w:keepNext w:val="0"/>
              <w:widowControl w:val="0"/>
              <w:spacing w:before="0" w:after="0" w:line="256" w:lineRule="auto"/>
              <w:ind w:left="975"/>
              <w:rPr>
                <w:rFonts w:asciiTheme="minorHAnsi" w:hAnsiTheme="minorHAnsi"/>
                <w:b/>
              </w:rPr>
            </w:pPr>
            <w:r>
              <w:rPr>
                <w:rFonts w:asciiTheme="minorHAnsi" w:hAnsiTheme="minorHAnsi"/>
                <w:b/>
              </w:rPr>
              <w:t>Total</w:t>
            </w:r>
          </w:p>
        </w:tc>
        <w:tc>
          <w:tcPr>
            <w:tcW w:w="1409" w:type="pct"/>
            <w:tcBorders>
              <w:top w:val="nil"/>
              <w:left w:val="nil"/>
              <w:bottom w:val="single" w:color="auto" w:sz="12" w:space="0"/>
              <w:right w:val="nil"/>
            </w:tcBorders>
            <w:shd w:val="clear" w:color="auto" w:fill="FFFFFF"/>
            <w:noWrap/>
            <w:vAlign w:val="center"/>
            <w:hideMark/>
          </w:tcPr>
          <w:p w:rsidR="00B47921" w:rsidRDefault="00B47921" w14:paraId="6306E962" w14:textId="4A0B3382">
            <w:pPr>
              <w:pStyle w:val="Tabletext"/>
              <w:keepNext w:val="0"/>
              <w:widowControl w:val="0"/>
              <w:spacing w:before="0" w:after="0" w:line="256" w:lineRule="auto"/>
              <w:jc w:val="right"/>
              <w:rPr>
                <w:rFonts w:asciiTheme="minorHAnsi" w:hAnsiTheme="minorHAnsi"/>
                <w:b/>
              </w:rPr>
            </w:pPr>
            <w:r>
              <w:rPr>
                <w:rFonts w:asciiTheme="minorHAnsi" w:hAnsiTheme="minorHAnsi"/>
                <w:b/>
              </w:rPr>
              <w:t xml:space="preserve"> $</w:t>
            </w:r>
            <w:r w:rsidR="004B54F5">
              <w:rPr>
                <w:rFonts w:asciiTheme="minorHAnsi" w:hAnsiTheme="minorHAnsi"/>
                <w:b/>
              </w:rPr>
              <w:t>9,809,064</w:t>
            </w:r>
            <w:r>
              <w:rPr>
                <w:rFonts w:asciiTheme="minorHAnsi" w:hAnsiTheme="minorHAnsi"/>
                <w:b/>
              </w:rPr>
              <w:t xml:space="preserve"> </w:t>
            </w:r>
          </w:p>
        </w:tc>
      </w:tr>
      <w:bookmarkEnd w:id="66"/>
    </w:tbl>
    <w:p w:rsidRPr="005F1028" w:rsidR="0041289A" w:rsidP="005058F4" w:rsidRDefault="0041289A" w14:paraId="2CA2D4AE" w14:textId="77777777">
      <w:pPr>
        <w:spacing w:after="0" w:line="240" w:lineRule="auto"/>
        <w:rPr>
          <w:rFonts w:ascii="Times New Roman" w:hAnsi="Times New Roman" w:cs="Times New Roman"/>
        </w:rPr>
      </w:pPr>
    </w:p>
    <w:p w:rsidRPr="00763758" w:rsidR="00D84C9E" w:rsidP="00A9768A" w:rsidRDefault="00D84C9E" w14:paraId="7DC5DE2A" w14:textId="3ED322DA">
      <w:pPr>
        <w:pStyle w:val="TIMSSOMBHeading2"/>
      </w:pPr>
      <w:bookmarkStart w:name="_Toc359323847" w:id="67"/>
      <w:bookmarkStart w:name="_Toc58475972" w:id="68"/>
      <w:bookmarkEnd w:id="63"/>
      <w:bookmarkEnd w:id="64"/>
      <w:bookmarkEnd w:id="65"/>
      <w:r w:rsidRPr="00763758">
        <w:lastRenderedPageBreak/>
        <w:t>A.15</w:t>
      </w:r>
      <w:r w:rsidRPr="00763758">
        <w:tab/>
        <w:t>Program Changes or Adjustments</w:t>
      </w:r>
      <w:bookmarkEnd w:id="67"/>
      <w:bookmarkEnd w:id="68"/>
    </w:p>
    <w:p w:rsidRPr="00763758" w:rsidR="00D84C9E" w:rsidP="00B85B93" w:rsidRDefault="00B2295E" w14:paraId="449A8A33" w14:textId="63D7CE2A">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Data collection activities for TIMSS 2019 have concluded. The burden estimate presented </w:t>
      </w:r>
      <w:r w:rsidR="00BE5FC1">
        <w:rPr>
          <w:rFonts w:ascii="Times New Roman" w:hAnsi="Times New Roman" w:cs="Times New Roman"/>
          <w:sz w:val="24"/>
          <w:szCs w:val="24"/>
        </w:rPr>
        <w:t>in this revision</w:t>
      </w:r>
      <w:r>
        <w:rPr>
          <w:rFonts w:ascii="Times New Roman" w:hAnsi="Times New Roman" w:cs="Times New Roman"/>
          <w:sz w:val="24"/>
          <w:szCs w:val="24"/>
        </w:rPr>
        <w:t xml:space="preserve"> </w:t>
      </w:r>
      <w:r w:rsidR="00BE5FC1">
        <w:rPr>
          <w:rFonts w:ascii="Times New Roman" w:hAnsi="Times New Roman" w:cs="Times New Roman"/>
          <w:sz w:val="24"/>
          <w:szCs w:val="24"/>
        </w:rPr>
        <w:t xml:space="preserve">is for activities associated with the </w:t>
      </w:r>
      <w:r w:rsidRPr="00763758" w:rsidR="002C7614">
        <w:rPr>
          <w:rFonts w:ascii="Times New Roman" w:hAnsi="Times New Roman" w:cs="Times New Roman"/>
          <w:sz w:val="24"/>
          <w:szCs w:val="24"/>
        </w:rPr>
        <w:t xml:space="preserve">TIMSS 2023 field test, and specifically for the sampling and recruitment activities. The study differs from prior administrations in that the data collection will be entirely electronic and no pilot study will be conducted. </w:t>
      </w:r>
    </w:p>
    <w:p w:rsidRPr="00763758" w:rsidR="00D84C9E" w:rsidP="00A9768A" w:rsidRDefault="00D84C9E" w14:paraId="77B4AD8D" w14:textId="10869510">
      <w:pPr>
        <w:pStyle w:val="TIMSSOMBHeading2"/>
      </w:pPr>
      <w:bookmarkStart w:name="_Toc359323848" w:id="69"/>
      <w:bookmarkStart w:name="_Toc58475973" w:id="70"/>
      <w:bookmarkStart w:name="_Toc115416919" w:id="71"/>
      <w:bookmarkStart w:name="_Toc115417064" w:id="72"/>
      <w:bookmarkStart w:name="_Toc115417231" w:id="73"/>
      <w:r w:rsidRPr="00763758">
        <w:t>A.16</w:t>
      </w:r>
      <w:r w:rsidRPr="00763758">
        <w:tab/>
        <w:t>P</w:t>
      </w:r>
      <w:r w:rsidRPr="00763758" w:rsidR="00FA727B">
        <w:t>ublication Plans and Time Schedule</w:t>
      </w:r>
      <w:bookmarkEnd w:id="69"/>
      <w:bookmarkEnd w:id="70"/>
    </w:p>
    <w:p w:rsidRPr="002D4675" w:rsidR="00D84C9E" w:rsidP="0002216F" w:rsidRDefault="00D84C9E" w14:paraId="6972F10F" w14:textId="632B7F50">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The TIMSS</w:t>
      </w:r>
      <w:r w:rsidRPr="002D4675" w:rsidR="00AC7DE0">
        <w:rPr>
          <w:rFonts w:ascii="Times New Roman" w:hAnsi="Times New Roman" w:cs="Times New Roman"/>
          <w:sz w:val="24"/>
          <w:szCs w:val="24"/>
        </w:rPr>
        <w:t xml:space="preserve"> </w:t>
      </w:r>
      <w:r w:rsidRPr="002D4675">
        <w:rPr>
          <w:rFonts w:ascii="Times New Roman" w:hAnsi="Times New Roman" w:cs="Times New Roman"/>
          <w:sz w:val="24"/>
          <w:szCs w:val="24"/>
        </w:rPr>
        <w:t xml:space="preserve">field test </w:t>
      </w:r>
      <w:r w:rsidRPr="002D4675" w:rsidR="00AC7DE0">
        <w:rPr>
          <w:rFonts w:ascii="Times New Roman" w:hAnsi="Times New Roman" w:cs="Times New Roman"/>
          <w:sz w:val="24"/>
          <w:szCs w:val="24"/>
        </w:rPr>
        <w:t>is</w:t>
      </w:r>
      <w:r w:rsidRPr="002D4675" w:rsidR="00DD346C">
        <w:rPr>
          <w:rFonts w:ascii="Times New Roman" w:hAnsi="Times New Roman" w:cs="Times New Roman"/>
          <w:sz w:val="24"/>
          <w:szCs w:val="24"/>
        </w:rPr>
        <w:t xml:space="preserve"> </w:t>
      </w:r>
      <w:r w:rsidRPr="002D4675">
        <w:rPr>
          <w:rFonts w:ascii="Times New Roman" w:hAnsi="Times New Roman" w:cs="Times New Roman"/>
          <w:sz w:val="24"/>
          <w:szCs w:val="24"/>
        </w:rPr>
        <w:t xml:space="preserve">designed to provide a statistical review of the performance of items on the cognitive assessment and questionnaires in preparation for the main study data collection. </w:t>
      </w:r>
      <w:bookmarkEnd w:id="71"/>
      <w:bookmarkEnd w:id="72"/>
      <w:bookmarkEnd w:id="73"/>
      <w:r w:rsidRPr="002D4675" w:rsidR="003C2103">
        <w:rPr>
          <w:rFonts w:ascii="Times New Roman" w:hAnsi="Times New Roman" w:cs="Times New Roman"/>
          <w:sz w:val="24"/>
          <w:szCs w:val="24"/>
        </w:rPr>
        <w:t>They</w:t>
      </w:r>
      <w:r w:rsidRPr="002D4675" w:rsidR="00AC7DE0">
        <w:rPr>
          <w:rFonts w:ascii="Times New Roman" w:hAnsi="Times New Roman" w:cs="Times New Roman"/>
          <w:sz w:val="24"/>
          <w:szCs w:val="24"/>
        </w:rPr>
        <w:t xml:space="preserve"> will</w:t>
      </w:r>
      <w:r w:rsidRPr="002D4675">
        <w:rPr>
          <w:rFonts w:ascii="Times New Roman" w:hAnsi="Times New Roman" w:cs="Times New Roman"/>
          <w:sz w:val="24"/>
          <w:szCs w:val="24"/>
        </w:rPr>
        <w:t xml:space="preserve"> provide</w:t>
      </w:r>
      <w:r w:rsidRPr="002D4675" w:rsidR="00AC7DE0">
        <w:rPr>
          <w:rFonts w:ascii="Times New Roman" w:hAnsi="Times New Roman" w:cs="Times New Roman"/>
          <w:sz w:val="24"/>
          <w:szCs w:val="24"/>
        </w:rPr>
        <w:t xml:space="preserve"> </w:t>
      </w:r>
      <w:r w:rsidRPr="002D4675">
        <w:rPr>
          <w:rFonts w:ascii="Times New Roman" w:hAnsi="Times New Roman" w:cs="Times New Roman"/>
          <w:sz w:val="24"/>
          <w:szCs w:val="24"/>
        </w:rPr>
        <w:t>valuable</w:t>
      </w:r>
      <w:r w:rsidRPr="002D4675" w:rsidR="00077B5B">
        <w:rPr>
          <w:rFonts w:ascii="Times New Roman" w:hAnsi="Times New Roman" w:cs="Times New Roman"/>
          <w:sz w:val="24"/>
          <w:szCs w:val="24"/>
        </w:rPr>
        <w:t xml:space="preserve"> </w:t>
      </w:r>
      <w:r w:rsidRPr="002D4675">
        <w:rPr>
          <w:rFonts w:ascii="Times New Roman" w:hAnsi="Times New Roman" w:cs="Times New Roman"/>
          <w:sz w:val="24"/>
          <w:szCs w:val="24"/>
        </w:rPr>
        <w:t xml:space="preserve">experience </w:t>
      </w:r>
      <w:r w:rsidRPr="002D4675" w:rsidR="00AC7DE0">
        <w:rPr>
          <w:rFonts w:ascii="Times New Roman" w:hAnsi="Times New Roman" w:cs="Times New Roman"/>
          <w:sz w:val="24"/>
          <w:szCs w:val="24"/>
        </w:rPr>
        <w:t>informing</w:t>
      </w:r>
      <w:r w:rsidRPr="002D4675">
        <w:rPr>
          <w:rFonts w:ascii="Times New Roman" w:hAnsi="Times New Roman" w:cs="Times New Roman"/>
          <w:sz w:val="24"/>
          <w:szCs w:val="24"/>
        </w:rPr>
        <w:t xml:space="preserve"> </w:t>
      </w:r>
      <w:r w:rsidRPr="002D4675" w:rsidR="00077B5B">
        <w:rPr>
          <w:rFonts w:ascii="Times New Roman" w:hAnsi="Times New Roman" w:cs="Times New Roman"/>
          <w:sz w:val="24"/>
          <w:szCs w:val="24"/>
        </w:rPr>
        <w:t xml:space="preserve">TIMSS </w:t>
      </w:r>
      <w:r w:rsidRPr="002D4675" w:rsidR="00AC7DE0">
        <w:rPr>
          <w:rFonts w:ascii="Times New Roman" w:hAnsi="Times New Roman" w:cs="Times New Roman"/>
          <w:sz w:val="24"/>
          <w:szCs w:val="24"/>
        </w:rPr>
        <w:t xml:space="preserve">main study </w:t>
      </w:r>
      <w:r w:rsidRPr="002D4675" w:rsidR="00D647D4">
        <w:rPr>
          <w:rFonts w:ascii="Times New Roman" w:hAnsi="Times New Roman" w:cs="Times New Roman"/>
          <w:sz w:val="24"/>
          <w:szCs w:val="24"/>
        </w:rPr>
        <w:t xml:space="preserve">assessment </w:t>
      </w:r>
      <w:r w:rsidRPr="002D4675" w:rsidR="00077B5B">
        <w:rPr>
          <w:rFonts w:ascii="Times New Roman" w:hAnsi="Times New Roman" w:cs="Times New Roman"/>
          <w:sz w:val="24"/>
          <w:szCs w:val="24"/>
        </w:rPr>
        <w:t xml:space="preserve">on </w:t>
      </w:r>
      <w:r w:rsidRPr="002D4675" w:rsidR="00AC7DE0">
        <w:rPr>
          <w:rFonts w:ascii="Times New Roman" w:hAnsi="Times New Roman" w:cs="Times New Roman"/>
          <w:sz w:val="24"/>
          <w:szCs w:val="24"/>
        </w:rPr>
        <w:t xml:space="preserve">Chromebook </w:t>
      </w:r>
      <w:r w:rsidRPr="002D4675" w:rsidR="00077B5B">
        <w:rPr>
          <w:rFonts w:ascii="Times New Roman" w:hAnsi="Times New Roman" w:cs="Times New Roman"/>
          <w:sz w:val="24"/>
          <w:szCs w:val="24"/>
        </w:rPr>
        <w:t>tablets and the performance of TIMSS items in a digitally-based environment.</w:t>
      </w:r>
      <w:r w:rsidRPr="002D4675" w:rsidR="00AB02D9">
        <w:rPr>
          <w:rFonts w:ascii="Times New Roman" w:hAnsi="Times New Roman" w:cs="Times New Roman"/>
          <w:sz w:val="24"/>
          <w:szCs w:val="24"/>
        </w:rPr>
        <w:t xml:space="preserve"> </w:t>
      </w:r>
      <w:r w:rsidRPr="002D4675" w:rsidR="00763758">
        <w:rPr>
          <w:rFonts w:ascii="Times New Roman" w:hAnsi="Times New Roman" w:cs="Times New Roman"/>
          <w:sz w:val="24"/>
          <w:szCs w:val="24"/>
        </w:rPr>
        <w:t>No field test data will be published.</w:t>
      </w:r>
    </w:p>
    <w:p w:rsidRPr="002D4675" w:rsidR="00D84C9E" w:rsidP="0002216F" w:rsidRDefault="00D84C9E" w14:paraId="7996A995" w14:textId="6AA28CAD">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 xml:space="preserve">Based on the data collected in the main study, the TIMSS International Study Center will prepare separate reports for mathematics and science at grades 4 and 8. These reports will be released </w:t>
      </w:r>
      <w:r w:rsidRPr="002D4675" w:rsidR="003C2103">
        <w:rPr>
          <w:rFonts w:ascii="Times New Roman" w:hAnsi="Times New Roman" w:cs="Times New Roman"/>
          <w:sz w:val="24"/>
          <w:szCs w:val="24"/>
        </w:rPr>
        <w:t>by</w:t>
      </w:r>
      <w:r w:rsidRPr="002D4675">
        <w:rPr>
          <w:rFonts w:ascii="Times New Roman" w:hAnsi="Times New Roman" w:cs="Times New Roman"/>
          <w:sz w:val="24"/>
          <w:szCs w:val="24"/>
        </w:rPr>
        <w:t xml:space="preserve"> December </w:t>
      </w:r>
      <w:r w:rsidRPr="002D4675" w:rsidR="00584B55">
        <w:rPr>
          <w:rFonts w:ascii="Times New Roman" w:hAnsi="Times New Roman" w:cs="Times New Roman"/>
          <w:sz w:val="24"/>
          <w:szCs w:val="24"/>
        </w:rPr>
        <w:t>202</w:t>
      </w:r>
      <w:r w:rsidRPr="002D4675" w:rsidR="002C7614">
        <w:rPr>
          <w:rFonts w:ascii="Times New Roman" w:hAnsi="Times New Roman" w:cs="Times New Roman"/>
          <w:sz w:val="24"/>
          <w:szCs w:val="24"/>
        </w:rPr>
        <w:t>4</w:t>
      </w:r>
      <w:r w:rsidRPr="002D4675">
        <w:rPr>
          <w:rFonts w:ascii="Times New Roman" w:hAnsi="Times New Roman" w:cs="Times New Roman"/>
          <w:sz w:val="24"/>
          <w:szCs w:val="24"/>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w:t>
      </w:r>
      <w:r w:rsidRPr="002D4675" w:rsidR="00763758">
        <w:rPr>
          <w:rFonts w:ascii="Times New Roman" w:hAnsi="Times New Roman" w:cs="Times New Roman"/>
          <w:sz w:val="24"/>
          <w:szCs w:val="24"/>
        </w:rPr>
        <w:t xml:space="preserve">at </w:t>
      </w:r>
      <w:hyperlink w:history="1" w:anchor="/math/intlcompare" r:id="rId17">
        <w:r w:rsidRPr="002D4675" w:rsidR="001974B3">
          <w:rPr>
            <w:rStyle w:val="Hyperlink"/>
            <w:rFonts w:ascii="Times New Roman" w:hAnsi="Times New Roman"/>
            <w:sz w:val="24"/>
            <w:szCs w:val="24"/>
          </w:rPr>
          <w:t>https://nces.ed.gov/timss/results19/index.asp#/math/intlcompare</w:t>
        </w:r>
      </w:hyperlink>
      <w:r w:rsidRPr="002D4675" w:rsidR="001974B3">
        <w:rPr>
          <w:rStyle w:val="Hyperlink"/>
          <w:sz w:val="24"/>
          <w:szCs w:val="24"/>
        </w:rPr>
        <w:t>.</w:t>
      </w:r>
      <w:r w:rsidRPr="002D4675" w:rsidR="00CD5FB9">
        <w:rPr>
          <w:rFonts w:ascii="Times New Roman" w:hAnsi="Times New Roman" w:cs="Times New Roman"/>
          <w:sz w:val="24"/>
          <w:szCs w:val="24"/>
        </w:rPr>
        <w:t xml:space="preserve"> </w:t>
      </w:r>
      <w:r w:rsidRPr="002D4675">
        <w:rPr>
          <w:rFonts w:ascii="Times New Roman" w:hAnsi="Times New Roman" w:cs="Times New Roman"/>
          <w:sz w:val="24"/>
          <w:szCs w:val="24"/>
        </w:rPr>
        <w:t>In the spring of 20</w:t>
      </w:r>
      <w:r w:rsidRPr="002D4675" w:rsidR="00584B55">
        <w:rPr>
          <w:rFonts w:ascii="Times New Roman" w:hAnsi="Times New Roman" w:cs="Times New Roman"/>
          <w:sz w:val="24"/>
          <w:szCs w:val="24"/>
        </w:rPr>
        <w:t>2</w:t>
      </w:r>
      <w:r w:rsidRPr="002D4675" w:rsidR="00CB2824">
        <w:rPr>
          <w:rFonts w:ascii="Times New Roman" w:hAnsi="Times New Roman" w:cs="Times New Roman"/>
          <w:sz w:val="24"/>
          <w:szCs w:val="24"/>
        </w:rPr>
        <w:t>5</w:t>
      </w:r>
      <w:r w:rsidRPr="002D4675">
        <w:rPr>
          <w:rFonts w:ascii="Times New Roman" w:hAnsi="Times New Roman" w:cs="Times New Roman"/>
          <w:sz w:val="24"/>
          <w:szCs w:val="24"/>
        </w:rPr>
        <w:t>, the International Study Center will also prepare technical reports for TIMSS 20</w:t>
      </w:r>
      <w:r w:rsidRPr="002D4675" w:rsidR="009263D5">
        <w:rPr>
          <w:rFonts w:ascii="Times New Roman" w:hAnsi="Times New Roman" w:cs="Times New Roman"/>
          <w:sz w:val="24"/>
          <w:szCs w:val="24"/>
        </w:rPr>
        <w:t>23</w:t>
      </w:r>
      <w:r w:rsidRPr="002D4675">
        <w:rPr>
          <w:rFonts w:ascii="Times New Roman" w:hAnsi="Times New Roman" w:cs="Times New Roman"/>
          <w:sz w:val="24"/>
          <w:szCs w:val="24"/>
        </w:rPr>
        <w:t xml:space="preserve">, describing the design and development of the assessments as well as the scaling procedures, weighting procedures, missing value imputation, and analyses. After the release of the international data, NCES plans to release the national data and an accompanying User’s Guide for </w:t>
      </w:r>
      <w:r w:rsidRPr="002D4675" w:rsidR="001A4E31">
        <w:rPr>
          <w:rFonts w:ascii="Times New Roman" w:hAnsi="Times New Roman" w:cs="Times New Roman"/>
          <w:sz w:val="24"/>
          <w:szCs w:val="24"/>
        </w:rPr>
        <w:t xml:space="preserve">the </w:t>
      </w:r>
      <w:r w:rsidRPr="002D4675">
        <w:rPr>
          <w:rFonts w:ascii="Times New Roman" w:hAnsi="Times New Roman" w:cs="Times New Roman"/>
          <w:sz w:val="24"/>
          <w:szCs w:val="24"/>
        </w:rPr>
        <w:t>study.</w:t>
      </w:r>
    </w:p>
    <w:p w:rsidRPr="002D4675" w:rsidR="00D84C9E" w:rsidP="00D41844" w:rsidRDefault="00D84C9E" w14:paraId="23F4B0DE" w14:textId="56690687">
      <w:pPr>
        <w:widowControl w:val="0"/>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Electronic versions of each publication are made available on the NCES website. Schedules for tabulation and publication of TIMSS 20</w:t>
      </w:r>
      <w:r w:rsidRPr="002D4675" w:rsidR="009263D5">
        <w:rPr>
          <w:rFonts w:ascii="Times New Roman" w:hAnsi="Times New Roman" w:cs="Times New Roman"/>
          <w:sz w:val="24"/>
          <w:szCs w:val="24"/>
        </w:rPr>
        <w:t>23</w:t>
      </w:r>
      <w:r w:rsidRPr="002D4675">
        <w:rPr>
          <w:rFonts w:ascii="Times New Roman" w:hAnsi="Times New Roman" w:cs="Times New Roman"/>
          <w:sz w:val="24"/>
          <w:szCs w:val="24"/>
        </w:rPr>
        <w:t xml:space="preserve"> results in the United States are dependent upon receiving data files from the international sponsoring organization. With this in mind, the expected data collection dates and a tentative reporting schedule are </w:t>
      </w:r>
      <w:r w:rsidRPr="002D4675" w:rsidR="00FE0EE5">
        <w:rPr>
          <w:rFonts w:ascii="Times New Roman" w:hAnsi="Times New Roman" w:cs="Times New Roman"/>
          <w:sz w:val="24"/>
          <w:szCs w:val="24"/>
        </w:rPr>
        <w:t>shown in Table 3.</w:t>
      </w:r>
    </w:p>
    <w:p w:rsidR="00044AA2" w:rsidP="00044AA2" w:rsidRDefault="00044AA2" w14:paraId="267B63F8" w14:textId="77777777">
      <w:pPr>
        <w:widowControl w:val="0"/>
        <w:spacing w:after="120" w:line="23" w:lineRule="atLeast"/>
        <w:rPr>
          <w:rFonts w:ascii="Times New Roman" w:hAnsi="Times New Roman" w:cs="Times New Roman"/>
        </w:rPr>
      </w:pPr>
      <w:r w:rsidRPr="00BB257F">
        <w:rPr>
          <w:rFonts w:ascii="Cambria" w:hAnsi="Cambria"/>
          <w:b/>
        </w:rPr>
        <w:t xml:space="preserve">Table </w:t>
      </w:r>
      <w:r>
        <w:rPr>
          <w:rFonts w:ascii="Cambria" w:hAnsi="Cambria"/>
          <w:b/>
        </w:rPr>
        <w:t>3</w:t>
      </w:r>
      <w:r w:rsidRPr="00BB257F">
        <w:rPr>
          <w:rFonts w:ascii="Cambria" w:hAnsi="Cambria"/>
          <w:b/>
        </w:rPr>
        <w:t xml:space="preserve">. </w:t>
      </w:r>
      <w:r>
        <w:rPr>
          <w:rFonts w:ascii="Cambria" w:hAnsi="Cambria"/>
          <w:b/>
        </w:rPr>
        <w:t>Operational s</w:t>
      </w:r>
      <w:r w:rsidRPr="00BB257F">
        <w:rPr>
          <w:rFonts w:ascii="Cambria" w:hAnsi="Cambria"/>
          <w:b/>
        </w:rPr>
        <w:t xml:space="preserve">chedule for </w:t>
      </w:r>
      <w:r>
        <w:rPr>
          <w:rFonts w:ascii="Cambria" w:hAnsi="Cambria"/>
          <w:b/>
        </w:rPr>
        <w:t>TIMSS 2023 field test and main study</w:t>
      </w:r>
    </w:p>
    <w:tbl>
      <w:tblPr>
        <w:tblStyle w:val="TableGrid"/>
        <w:tblW w:w="10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7380"/>
        <w:gridCol w:w="1620"/>
        <w:gridCol w:w="67"/>
        <w:gridCol w:w="1327"/>
        <w:gridCol w:w="226"/>
      </w:tblGrid>
      <w:tr w:rsidRPr="00883A16" w:rsidR="00044AA2" w:rsidTr="0098674B" w14:paraId="3724E8D5" w14:textId="77777777">
        <w:trPr>
          <w:gridBefore w:val="1"/>
          <w:wBefore w:w="108" w:type="dxa"/>
        </w:trPr>
        <w:tc>
          <w:tcPr>
            <w:tcW w:w="7380" w:type="dxa"/>
            <w:tcBorders>
              <w:top w:val="single" w:color="auto" w:sz="4" w:space="0"/>
              <w:bottom w:val="single" w:color="auto" w:sz="4" w:space="0"/>
            </w:tcBorders>
            <w:shd w:val="clear" w:color="auto" w:fill="C6D9F1" w:themeFill="text2" w:themeFillTint="33"/>
          </w:tcPr>
          <w:p w:rsidRPr="00883A16" w:rsidR="00044AA2" w:rsidP="0098674B" w:rsidRDefault="00044AA2" w14:paraId="66B6F47D" w14:textId="77777777">
            <w:pPr>
              <w:widowControl w:val="0"/>
              <w:spacing w:after="120" w:line="23" w:lineRule="atLeast"/>
              <w:rPr>
                <w:rFonts w:cstheme="minorHAnsi"/>
                <w:b/>
                <w:bCs/>
                <w:sz w:val="20"/>
                <w:szCs w:val="20"/>
              </w:rPr>
            </w:pPr>
            <w:r w:rsidRPr="00883A16">
              <w:rPr>
                <w:rFonts w:cstheme="minorHAnsi"/>
                <w:b/>
                <w:bCs/>
                <w:sz w:val="20"/>
                <w:szCs w:val="20"/>
              </w:rPr>
              <w:t>Activity</w:t>
            </w:r>
          </w:p>
        </w:tc>
        <w:tc>
          <w:tcPr>
            <w:tcW w:w="1620" w:type="dxa"/>
            <w:tcBorders>
              <w:top w:val="single" w:color="auto" w:sz="4" w:space="0"/>
              <w:bottom w:val="single" w:color="auto" w:sz="4" w:space="0"/>
            </w:tcBorders>
            <w:shd w:val="clear" w:color="auto" w:fill="C6D9F1" w:themeFill="text2" w:themeFillTint="33"/>
          </w:tcPr>
          <w:p w:rsidRPr="00883A16" w:rsidR="00044AA2" w:rsidP="0098674B" w:rsidRDefault="00044AA2" w14:paraId="13CE3F9F" w14:textId="77777777">
            <w:pPr>
              <w:widowControl w:val="0"/>
              <w:spacing w:after="120" w:line="23" w:lineRule="atLeast"/>
              <w:rPr>
                <w:rFonts w:cstheme="minorHAnsi"/>
                <w:b/>
                <w:bCs/>
                <w:sz w:val="20"/>
                <w:szCs w:val="20"/>
              </w:rPr>
            </w:pPr>
            <w:r w:rsidRPr="00883A16">
              <w:rPr>
                <w:rFonts w:cstheme="minorHAnsi"/>
                <w:b/>
                <w:bCs/>
                <w:sz w:val="20"/>
                <w:szCs w:val="20"/>
              </w:rPr>
              <w:t>Start Date</w:t>
            </w:r>
          </w:p>
        </w:tc>
        <w:tc>
          <w:tcPr>
            <w:tcW w:w="1620" w:type="dxa"/>
            <w:gridSpan w:val="3"/>
            <w:tcBorders>
              <w:top w:val="single" w:color="auto" w:sz="4" w:space="0"/>
              <w:bottom w:val="single" w:color="auto" w:sz="4" w:space="0"/>
            </w:tcBorders>
            <w:shd w:val="clear" w:color="auto" w:fill="C6D9F1" w:themeFill="text2" w:themeFillTint="33"/>
          </w:tcPr>
          <w:p w:rsidRPr="00883A16" w:rsidR="00044AA2" w:rsidP="0098674B" w:rsidRDefault="00044AA2" w14:paraId="6A6B72ED" w14:textId="77777777">
            <w:pPr>
              <w:widowControl w:val="0"/>
              <w:spacing w:after="120" w:line="23" w:lineRule="atLeast"/>
              <w:rPr>
                <w:rFonts w:cstheme="minorHAnsi"/>
                <w:b/>
                <w:bCs/>
                <w:sz w:val="20"/>
                <w:szCs w:val="20"/>
              </w:rPr>
            </w:pPr>
            <w:r w:rsidRPr="00883A16">
              <w:rPr>
                <w:rFonts w:cstheme="minorHAnsi"/>
                <w:b/>
                <w:bCs/>
                <w:sz w:val="20"/>
                <w:szCs w:val="20"/>
              </w:rPr>
              <w:t>End Date</w:t>
            </w:r>
          </w:p>
        </w:tc>
      </w:tr>
      <w:tr w:rsidRPr="00883A16" w:rsidR="00044AA2" w:rsidTr="0098674B" w14:paraId="459E6CA0" w14:textId="77777777">
        <w:trPr>
          <w:gridBefore w:val="1"/>
          <w:wBefore w:w="108" w:type="dxa"/>
          <w:trHeight w:val="288" w:hRule="exact"/>
        </w:trPr>
        <w:tc>
          <w:tcPr>
            <w:tcW w:w="7380" w:type="dxa"/>
            <w:tcBorders>
              <w:top w:val="single" w:color="auto" w:sz="4" w:space="0"/>
            </w:tcBorders>
          </w:tcPr>
          <w:p w:rsidRPr="00883A16" w:rsidR="00044AA2" w:rsidP="0098674B" w:rsidRDefault="00044AA2" w14:paraId="1E04FB16" w14:textId="77777777">
            <w:pPr>
              <w:widowControl w:val="0"/>
              <w:spacing w:after="120" w:line="23" w:lineRule="atLeast"/>
              <w:rPr>
                <w:rFonts w:cstheme="minorHAnsi"/>
                <w:b/>
                <w:bCs/>
                <w:i/>
                <w:iCs/>
                <w:sz w:val="20"/>
                <w:szCs w:val="20"/>
              </w:rPr>
            </w:pPr>
            <w:r w:rsidRPr="00883A16">
              <w:rPr>
                <w:rFonts w:cstheme="minorHAnsi"/>
                <w:b/>
                <w:bCs/>
                <w:i/>
                <w:iCs/>
                <w:sz w:val="20"/>
                <w:szCs w:val="20"/>
              </w:rPr>
              <w:t>Field Test</w:t>
            </w:r>
          </w:p>
        </w:tc>
        <w:tc>
          <w:tcPr>
            <w:tcW w:w="1620" w:type="dxa"/>
            <w:tcBorders>
              <w:top w:val="single" w:color="auto" w:sz="4" w:space="0"/>
            </w:tcBorders>
          </w:tcPr>
          <w:p w:rsidRPr="00883A16" w:rsidR="00044AA2" w:rsidP="0098674B" w:rsidRDefault="00044AA2" w14:paraId="40214E50" w14:textId="77777777">
            <w:pPr>
              <w:widowControl w:val="0"/>
              <w:spacing w:after="120" w:line="23" w:lineRule="atLeast"/>
              <w:rPr>
                <w:rFonts w:cstheme="minorHAnsi"/>
                <w:sz w:val="20"/>
                <w:szCs w:val="20"/>
              </w:rPr>
            </w:pPr>
          </w:p>
        </w:tc>
        <w:tc>
          <w:tcPr>
            <w:tcW w:w="1620" w:type="dxa"/>
            <w:gridSpan w:val="3"/>
            <w:tcBorders>
              <w:top w:val="single" w:color="auto" w:sz="4" w:space="0"/>
            </w:tcBorders>
          </w:tcPr>
          <w:p w:rsidRPr="00883A16" w:rsidR="00044AA2" w:rsidP="0098674B" w:rsidRDefault="00044AA2" w14:paraId="58C62C4D" w14:textId="77777777">
            <w:pPr>
              <w:widowControl w:val="0"/>
              <w:spacing w:after="120" w:line="23" w:lineRule="atLeast"/>
              <w:rPr>
                <w:rFonts w:cstheme="minorHAnsi"/>
                <w:sz w:val="20"/>
                <w:szCs w:val="20"/>
              </w:rPr>
            </w:pPr>
          </w:p>
        </w:tc>
      </w:tr>
      <w:tr w:rsidRPr="00883A16" w:rsidR="00044AA2" w:rsidTr="0098674B" w14:paraId="7E9D139B" w14:textId="77777777">
        <w:trPr>
          <w:gridAfter w:val="1"/>
          <w:wAfter w:w="226" w:type="dxa"/>
          <w:trHeight w:val="288" w:hRule="exact"/>
        </w:trPr>
        <w:tc>
          <w:tcPr>
            <w:tcW w:w="7488" w:type="dxa"/>
            <w:gridSpan w:val="2"/>
          </w:tcPr>
          <w:p w:rsidRPr="00883A16" w:rsidR="00044AA2" w:rsidP="0098674B" w:rsidRDefault="00044AA2" w14:paraId="69BA0A1E" w14:textId="77777777">
            <w:pPr>
              <w:widowControl w:val="0"/>
              <w:spacing w:after="120" w:line="23" w:lineRule="atLeast"/>
              <w:ind w:left="270"/>
              <w:rPr>
                <w:rFonts w:cstheme="minorHAnsi"/>
                <w:sz w:val="20"/>
                <w:szCs w:val="20"/>
              </w:rPr>
            </w:pPr>
            <w:r w:rsidRPr="00883A16">
              <w:rPr>
                <w:rFonts w:cstheme="minorHAnsi"/>
                <w:bCs/>
                <w:sz w:val="20"/>
                <w:szCs w:val="20"/>
              </w:rPr>
              <w:t>Prepare data collection manuals, forms, assessment materials, and questionnaires</w:t>
            </w:r>
          </w:p>
        </w:tc>
        <w:tc>
          <w:tcPr>
            <w:tcW w:w="1687" w:type="dxa"/>
            <w:gridSpan w:val="2"/>
          </w:tcPr>
          <w:p w:rsidRPr="00883A16" w:rsidR="00044AA2" w:rsidP="0098674B" w:rsidRDefault="00044AA2" w14:paraId="2123127E" w14:textId="77777777">
            <w:pPr>
              <w:widowControl w:val="0"/>
              <w:spacing w:after="120" w:line="23" w:lineRule="atLeast"/>
              <w:rPr>
                <w:rFonts w:cstheme="minorHAnsi"/>
                <w:sz w:val="20"/>
                <w:szCs w:val="20"/>
              </w:rPr>
            </w:pPr>
            <w:r w:rsidRPr="00883A16">
              <w:rPr>
                <w:rFonts w:cstheme="minorHAnsi"/>
                <w:sz w:val="20"/>
                <w:szCs w:val="20"/>
              </w:rPr>
              <w:t>January 2021</w:t>
            </w:r>
          </w:p>
        </w:tc>
        <w:tc>
          <w:tcPr>
            <w:tcW w:w="1327" w:type="dxa"/>
          </w:tcPr>
          <w:p w:rsidRPr="00883A16" w:rsidR="00044AA2" w:rsidP="0098674B" w:rsidRDefault="00044AA2" w14:paraId="59892D56" w14:textId="77777777">
            <w:pPr>
              <w:widowControl w:val="0"/>
              <w:spacing w:after="120" w:line="23" w:lineRule="atLeast"/>
              <w:rPr>
                <w:rFonts w:cstheme="minorHAnsi"/>
                <w:sz w:val="20"/>
                <w:szCs w:val="20"/>
              </w:rPr>
            </w:pPr>
            <w:r w:rsidRPr="00883A16">
              <w:rPr>
                <w:rFonts w:cstheme="minorHAnsi"/>
                <w:sz w:val="20"/>
                <w:szCs w:val="20"/>
              </w:rPr>
              <w:t>March 2022</w:t>
            </w:r>
          </w:p>
        </w:tc>
      </w:tr>
      <w:tr w:rsidRPr="00883A16" w:rsidR="00044AA2" w:rsidTr="0098674B" w14:paraId="0B234F6E" w14:textId="77777777">
        <w:trPr>
          <w:gridAfter w:val="1"/>
          <w:wAfter w:w="226" w:type="dxa"/>
          <w:trHeight w:val="288" w:hRule="exact"/>
        </w:trPr>
        <w:tc>
          <w:tcPr>
            <w:tcW w:w="7488" w:type="dxa"/>
            <w:gridSpan w:val="2"/>
          </w:tcPr>
          <w:p w:rsidRPr="00883A16" w:rsidR="00044AA2" w:rsidP="0098674B" w:rsidRDefault="00044AA2" w14:paraId="6B061991" w14:textId="77777777">
            <w:pPr>
              <w:widowControl w:val="0"/>
              <w:spacing w:after="120" w:line="23" w:lineRule="atLeast"/>
              <w:ind w:left="270"/>
              <w:rPr>
                <w:rFonts w:cstheme="minorHAnsi"/>
                <w:sz w:val="20"/>
                <w:szCs w:val="20"/>
              </w:rPr>
            </w:pPr>
            <w:r w:rsidRPr="00883A16">
              <w:rPr>
                <w:rFonts w:cstheme="minorHAnsi"/>
                <w:sz w:val="20"/>
                <w:szCs w:val="20"/>
              </w:rPr>
              <w:t>Select school sample</w:t>
            </w:r>
          </w:p>
        </w:tc>
        <w:tc>
          <w:tcPr>
            <w:tcW w:w="1687" w:type="dxa"/>
            <w:gridSpan w:val="2"/>
          </w:tcPr>
          <w:p w:rsidRPr="00883A16" w:rsidR="00044AA2" w:rsidP="0098674B" w:rsidRDefault="00044AA2" w14:paraId="640FBE0B" w14:textId="77777777">
            <w:pPr>
              <w:widowControl w:val="0"/>
              <w:spacing w:after="120" w:line="23" w:lineRule="atLeast"/>
              <w:rPr>
                <w:rFonts w:cstheme="minorHAnsi"/>
                <w:sz w:val="20"/>
                <w:szCs w:val="20"/>
              </w:rPr>
            </w:pPr>
            <w:r w:rsidRPr="00883A16">
              <w:rPr>
                <w:rFonts w:cstheme="minorHAnsi"/>
                <w:sz w:val="20"/>
                <w:szCs w:val="20"/>
              </w:rPr>
              <w:t>January 2021</w:t>
            </w:r>
          </w:p>
        </w:tc>
        <w:tc>
          <w:tcPr>
            <w:tcW w:w="1327" w:type="dxa"/>
          </w:tcPr>
          <w:p w:rsidRPr="00883A16" w:rsidR="00044AA2" w:rsidP="0098674B" w:rsidRDefault="00044AA2" w14:paraId="4AFA9B44" w14:textId="77777777">
            <w:pPr>
              <w:widowControl w:val="0"/>
              <w:spacing w:after="120" w:line="23" w:lineRule="atLeast"/>
              <w:rPr>
                <w:rFonts w:cstheme="minorHAnsi"/>
                <w:sz w:val="20"/>
                <w:szCs w:val="20"/>
              </w:rPr>
            </w:pPr>
            <w:r>
              <w:rPr>
                <w:rFonts w:cstheme="minorHAnsi"/>
                <w:sz w:val="20"/>
                <w:szCs w:val="20"/>
              </w:rPr>
              <w:t>April</w:t>
            </w:r>
            <w:r w:rsidRPr="00883A16">
              <w:rPr>
                <w:rFonts w:cstheme="minorHAnsi"/>
                <w:sz w:val="20"/>
                <w:szCs w:val="20"/>
              </w:rPr>
              <w:t xml:space="preserve"> 2021</w:t>
            </w:r>
          </w:p>
        </w:tc>
      </w:tr>
      <w:tr w:rsidRPr="00883A16" w:rsidR="00044AA2" w:rsidTr="0098674B" w14:paraId="7145C35C" w14:textId="77777777">
        <w:trPr>
          <w:gridAfter w:val="1"/>
          <w:wAfter w:w="226" w:type="dxa"/>
          <w:trHeight w:val="288" w:hRule="exact"/>
        </w:trPr>
        <w:tc>
          <w:tcPr>
            <w:tcW w:w="7488" w:type="dxa"/>
            <w:gridSpan w:val="2"/>
          </w:tcPr>
          <w:p w:rsidRPr="00883A16" w:rsidR="00044AA2" w:rsidP="0098674B" w:rsidRDefault="00044AA2" w14:paraId="64AAECA0" w14:textId="77777777">
            <w:pPr>
              <w:widowControl w:val="0"/>
              <w:spacing w:after="120" w:line="23" w:lineRule="atLeast"/>
              <w:ind w:left="270"/>
              <w:rPr>
                <w:rFonts w:cstheme="minorHAnsi"/>
                <w:sz w:val="20"/>
                <w:szCs w:val="20"/>
              </w:rPr>
            </w:pPr>
            <w:r w:rsidRPr="00883A16">
              <w:rPr>
                <w:rFonts w:cstheme="minorHAnsi"/>
                <w:sz w:val="20"/>
                <w:szCs w:val="20"/>
              </w:rPr>
              <w:t>Recruitment of states, districts, schools</w:t>
            </w:r>
          </w:p>
        </w:tc>
        <w:tc>
          <w:tcPr>
            <w:tcW w:w="1687" w:type="dxa"/>
            <w:gridSpan w:val="2"/>
          </w:tcPr>
          <w:p w:rsidRPr="00883A16" w:rsidR="00044AA2" w:rsidP="0098674B" w:rsidRDefault="00044AA2" w14:paraId="0C44A2C6" w14:textId="77777777">
            <w:pPr>
              <w:widowControl w:val="0"/>
              <w:spacing w:after="120" w:line="23" w:lineRule="atLeast"/>
              <w:rPr>
                <w:rFonts w:cstheme="minorHAnsi"/>
                <w:sz w:val="20"/>
                <w:szCs w:val="20"/>
              </w:rPr>
            </w:pPr>
            <w:r w:rsidRPr="00883A16">
              <w:rPr>
                <w:rFonts w:cstheme="minorHAnsi"/>
                <w:sz w:val="20"/>
                <w:szCs w:val="20"/>
              </w:rPr>
              <w:t>May 2021</w:t>
            </w:r>
          </w:p>
        </w:tc>
        <w:tc>
          <w:tcPr>
            <w:tcW w:w="1327" w:type="dxa"/>
          </w:tcPr>
          <w:p w:rsidRPr="00883A16" w:rsidR="00044AA2" w:rsidP="0098674B" w:rsidRDefault="00044AA2" w14:paraId="402547F1"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044AA2" w:rsidTr="0098674B" w14:paraId="4E6F9807" w14:textId="77777777">
        <w:trPr>
          <w:gridAfter w:val="1"/>
          <w:wAfter w:w="226" w:type="dxa"/>
          <w:trHeight w:val="288" w:hRule="exact"/>
        </w:trPr>
        <w:tc>
          <w:tcPr>
            <w:tcW w:w="7488" w:type="dxa"/>
            <w:gridSpan w:val="2"/>
          </w:tcPr>
          <w:p w:rsidRPr="00883A16" w:rsidR="00044AA2" w:rsidP="0098674B" w:rsidRDefault="00044AA2" w14:paraId="1C64A652" w14:textId="77777777">
            <w:pPr>
              <w:widowControl w:val="0"/>
              <w:spacing w:after="120" w:line="23" w:lineRule="atLeast"/>
              <w:ind w:left="270"/>
              <w:rPr>
                <w:rFonts w:cstheme="minorHAnsi"/>
                <w:sz w:val="20"/>
                <w:szCs w:val="20"/>
              </w:rPr>
            </w:pPr>
            <w:r w:rsidRPr="00883A16">
              <w:rPr>
                <w:rFonts w:cstheme="minorHAnsi"/>
                <w:sz w:val="20"/>
                <w:szCs w:val="20"/>
              </w:rPr>
              <w:t>Collect field test data</w:t>
            </w:r>
          </w:p>
        </w:tc>
        <w:tc>
          <w:tcPr>
            <w:tcW w:w="1687" w:type="dxa"/>
            <w:gridSpan w:val="2"/>
          </w:tcPr>
          <w:p w:rsidRPr="00883A16" w:rsidR="00044AA2" w:rsidP="0098674B" w:rsidRDefault="00044AA2" w14:paraId="5C4D620B" w14:textId="77777777">
            <w:pPr>
              <w:widowControl w:val="0"/>
              <w:spacing w:after="120" w:line="23" w:lineRule="atLeast"/>
              <w:rPr>
                <w:rFonts w:cstheme="minorHAnsi"/>
                <w:sz w:val="20"/>
                <w:szCs w:val="20"/>
              </w:rPr>
            </w:pPr>
            <w:r w:rsidRPr="00883A16">
              <w:rPr>
                <w:rFonts w:cstheme="minorHAnsi"/>
                <w:sz w:val="20"/>
                <w:szCs w:val="20"/>
              </w:rPr>
              <w:t>March 2022</w:t>
            </w:r>
          </w:p>
        </w:tc>
        <w:tc>
          <w:tcPr>
            <w:tcW w:w="1327" w:type="dxa"/>
          </w:tcPr>
          <w:p w:rsidRPr="00883A16" w:rsidR="00044AA2" w:rsidP="0098674B" w:rsidRDefault="00044AA2" w14:paraId="1FB71A10"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044AA2" w:rsidTr="0098674B" w14:paraId="6F7ED0D7" w14:textId="77777777">
        <w:trPr>
          <w:gridAfter w:val="1"/>
          <w:wAfter w:w="226" w:type="dxa"/>
          <w:trHeight w:val="288" w:hRule="exact"/>
        </w:trPr>
        <w:tc>
          <w:tcPr>
            <w:tcW w:w="7488" w:type="dxa"/>
            <w:gridSpan w:val="2"/>
          </w:tcPr>
          <w:p w:rsidRPr="00883A16" w:rsidR="00044AA2" w:rsidP="0098674B" w:rsidRDefault="00044AA2" w14:paraId="2A281192" w14:textId="77777777">
            <w:pPr>
              <w:widowControl w:val="0"/>
              <w:ind w:left="270"/>
              <w:rPr>
                <w:rFonts w:cstheme="minorHAnsi"/>
                <w:sz w:val="20"/>
                <w:szCs w:val="20"/>
              </w:rPr>
            </w:pPr>
            <w:r w:rsidRPr="00883A16">
              <w:rPr>
                <w:rFonts w:cstheme="minorHAnsi"/>
                <w:sz w:val="20"/>
                <w:szCs w:val="20"/>
              </w:rPr>
              <w:t>Deliver raw data to international sponsoring organization</w:t>
            </w:r>
          </w:p>
        </w:tc>
        <w:tc>
          <w:tcPr>
            <w:tcW w:w="1687" w:type="dxa"/>
            <w:gridSpan w:val="2"/>
          </w:tcPr>
          <w:p w:rsidRPr="00883A16" w:rsidR="00044AA2" w:rsidP="0098674B" w:rsidRDefault="00044AA2" w14:paraId="5E36DD63"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044AA2" w:rsidP="0098674B" w:rsidRDefault="00044AA2" w14:paraId="79D80683" w14:textId="77777777">
            <w:pPr>
              <w:widowControl w:val="0"/>
              <w:spacing w:after="120" w:line="23" w:lineRule="atLeast"/>
              <w:rPr>
                <w:rFonts w:cstheme="minorHAnsi"/>
                <w:sz w:val="20"/>
                <w:szCs w:val="20"/>
              </w:rPr>
            </w:pPr>
            <w:r w:rsidRPr="00883A16">
              <w:rPr>
                <w:rFonts w:cstheme="minorHAnsi"/>
                <w:sz w:val="20"/>
                <w:szCs w:val="20"/>
              </w:rPr>
              <w:t>May 2022</w:t>
            </w:r>
          </w:p>
        </w:tc>
      </w:tr>
      <w:tr w:rsidRPr="00883A16" w:rsidR="00044AA2" w:rsidTr="0098674B" w14:paraId="6B20A217" w14:textId="77777777">
        <w:trPr>
          <w:gridAfter w:val="1"/>
          <w:wAfter w:w="226" w:type="dxa"/>
          <w:trHeight w:val="288" w:hRule="exact"/>
        </w:trPr>
        <w:tc>
          <w:tcPr>
            <w:tcW w:w="7488" w:type="dxa"/>
            <w:gridSpan w:val="2"/>
          </w:tcPr>
          <w:p w:rsidRPr="00883A16" w:rsidR="00044AA2" w:rsidP="0098674B" w:rsidRDefault="00044AA2" w14:paraId="6F1EAEAE" w14:textId="77777777">
            <w:pPr>
              <w:widowControl w:val="0"/>
              <w:ind w:left="270"/>
              <w:rPr>
                <w:rFonts w:cstheme="minorHAnsi"/>
                <w:sz w:val="20"/>
                <w:szCs w:val="20"/>
              </w:rPr>
            </w:pPr>
            <w:r w:rsidRPr="00883A16">
              <w:rPr>
                <w:rFonts w:cstheme="minorHAnsi"/>
                <w:sz w:val="20"/>
                <w:szCs w:val="20"/>
              </w:rPr>
              <w:t>Review field test results</w:t>
            </w:r>
          </w:p>
          <w:p w:rsidRPr="00883A16" w:rsidR="00044AA2" w:rsidP="0098674B" w:rsidRDefault="00044AA2" w14:paraId="07203CAE" w14:textId="77777777">
            <w:pPr>
              <w:widowControl w:val="0"/>
              <w:spacing w:after="120" w:line="23" w:lineRule="atLeast"/>
              <w:ind w:left="270"/>
              <w:rPr>
                <w:rFonts w:cstheme="minorHAnsi"/>
                <w:sz w:val="20"/>
                <w:szCs w:val="20"/>
              </w:rPr>
            </w:pPr>
          </w:p>
        </w:tc>
        <w:tc>
          <w:tcPr>
            <w:tcW w:w="1687" w:type="dxa"/>
            <w:gridSpan w:val="2"/>
          </w:tcPr>
          <w:p w:rsidRPr="00883A16" w:rsidR="00044AA2" w:rsidP="0098674B" w:rsidRDefault="00044AA2" w14:paraId="7AC48F3D"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044AA2" w:rsidP="0098674B" w:rsidRDefault="00044AA2" w14:paraId="61B8018E" w14:textId="77777777">
            <w:pPr>
              <w:widowControl w:val="0"/>
              <w:spacing w:after="120" w:line="23" w:lineRule="atLeast"/>
              <w:rPr>
                <w:rFonts w:cstheme="minorHAnsi"/>
                <w:sz w:val="20"/>
                <w:szCs w:val="20"/>
              </w:rPr>
            </w:pPr>
            <w:r w:rsidRPr="00883A16">
              <w:rPr>
                <w:rFonts w:cstheme="minorHAnsi"/>
                <w:sz w:val="20"/>
                <w:szCs w:val="20"/>
              </w:rPr>
              <w:t>July 2022</w:t>
            </w:r>
          </w:p>
        </w:tc>
      </w:tr>
      <w:tr w:rsidRPr="00883A16" w:rsidR="00044AA2" w:rsidTr="0098674B" w14:paraId="1476A843" w14:textId="77777777">
        <w:trPr>
          <w:gridBefore w:val="1"/>
          <w:wBefore w:w="108" w:type="dxa"/>
          <w:trHeight w:val="288" w:hRule="exact"/>
        </w:trPr>
        <w:tc>
          <w:tcPr>
            <w:tcW w:w="7380" w:type="dxa"/>
          </w:tcPr>
          <w:p w:rsidRPr="00883A16" w:rsidR="00044AA2" w:rsidP="0098674B" w:rsidRDefault="00044AA2" w14:paraId="5DF72FB5" w14:textId="77777777">
            <w:pPr>
              <w:widowControl w:val="0"/>
              <w:spacing w:after="120" w:line="23" w:lineRule="atLeast"/>
              <w:rPr>
                <w:rFonts w:cstheme="minorHAnsi"/>
                <w:b/>
                <w:bCs/>
                <w:i/>
                <w:iCs/>
                <w:sz w:val="20"/>
                <w:szCs w:val="20"/>
              </w:rPr>
            </w:pPr>
            <w:r w:rsidRPr="00883A16">
              <w:rPr>
                <w:rFonts w:cstheme="minorHAnsi"/>
                <w:b/>
                <w:bCs/>
                <w:i/>
                <w:iCs/>
                <w:sz w:val="20"/>
                <w:szCs w:val="20"/>
              </w:rPr>
              <w:t xml:space="preserve">Main Study </w:t>
            </w:r>
          </w:p>
        </w:tc>
        <w:tc>
          <w:tcPr>
            <w:tcW w:w="1620" w:type="dxa"/>
          </w:tcPr>
          <w:p w:rsidRPr="00883A16" w:rsidR="00044AA2" w:rsidP="0098674B" w:rsidRDefault="00044AA2" w14:paraId="6EEE2D8F" w14:textId="77777777">
            <w:pPr>
              <w:widowControl w:val="0"/>
              <w:spacing w:after="120" w:line="23" w:lineRule="atLeast"/>
              <w:rPr>
                <w:rFonts w:cstheme="minorHAnsi"/>
                <w:sz w:val="20"/>
                <w:szCs w:val="20"/>
              </w:rPr>
            </w:pPr>
          </w:p>
        </w:tc>
        <w:tc>
          <w:tcPr>
            <w:tcW w:w="1620" w:type="dxa"/>
            <w:gridSpan w:val="3"/>
          </w:tcPr>
          <w:p w:rsidRPr="00883A16" w:rsidR="00044AA2" w:rsidP="0098674B" w:rsidRDefault="00044AA2" w14:paraId="4256BBFD" w14:textId="77777777">
            <w:pPr>
              <w:widowControl w:val="0"/>
              <w:spacing w:after="120" w:line="23" w:lineRule="atLeast"/>
              <w:rPr>
                <w:rFonts w:cstheme="minorHAnsi"/>
                <w:sz w:val="20"/>
                <w:szCs w:val="20"/>
              </w:rPr>
            </w:pPr>
          </w:p>
        </w:tc>
      </w:tr>
      <w:tr w:rsidRPr="00883A16" w:rsidR="00044AA2" w:rsidTr="0098674B" w14:paraId="2F31B5CA" w14:textId="77777777">
        <w:trPr>
          <w:gridBefore w:val="1"/>
          <w:wBefore w:w="108" w:type="dxa"/>
          <w:trHeight w:val="288" w:hRule="exact"/>
        </w:trPr>
        <w:tc>
          <w:tcPr>
            <w:tcW w:w="7380" w:type="dxa"/>
          </w:tcPr>
          <w:p w:rsidRPr="00883A16" w:rsidR="00044AA2" w:rsidP="0098674B" w:rsidRDefault="00044AA2" w14:paraId="2721D388" w14:textId="77777777">
            <w:pPr>
              <w:widowControl w:val="0"/>
              <w:ind w:left="360" w:hanging="195"/>
              <w:rPr>
                <w:rFonts w:cstheme="minorHAnsi"/>
                <w:sz w:val="20"/>
                <w:szCs w:val="20"/>
              </w:rPr>
            </w:pPr>
            <w:r w:rsidRPr="00883A16">
              <w:rPr>
                <w:rFonts w:cstheme="minorHAnsi"/>
                <w:sz w:val="20"/>
                <w:szCs w:val="20"/>
              </w:rPr>
              <w:t>Prepare data collection manuals, forms, assessment materials, and questionnaires</w:t>
            </w:r>
          </w:p>
        </w:tc>
        <w:tc>
          <w:tcPr>
            <w:tcW w:w="1620" w:type="dxa"/>
          </w:tcPr>
          <w:p w:rsidRPr="00883A16" w:rsidR="00044AA2" w:rsidP="0098674B" w:rsidRDefault="00044AA2" w14:paraId="57BCBCEE" w14:textId="77777777">
            <w:pPr>
              <w:widowControl w:val="0"/>
              <w:spacing w:after="120" w:line="23" w:lineRule="atLeast"/>
              <w:rPr>
                <w:rFonts w:cstheme="minorHAnsi"/>
                <w:sz w:val="20"/>
                <w:szCs w:val="20"/>
              </w:rPr>
            </w:pPr>
            <w:r>
              <w:rPr>
                <w:rFonts w:cstheme="minorHAnsi"/>
                <w:sz w:val="20"/>
                <w:szCs w:val="20"/>
              </w:rPr>
              <w:t>May 2022</w:t>
            </w:r>
          </w:p>
        </w:tc>
        <w:tc>
          <w:tcPr>
            <w:tcW w:w="1620" w:type="dxa"/>
            <w:gridSpan w:val="3"/>
          </w:tcPr>
          <w:p w:rsidRPr="00883A16" w:rsidR="00044AA2" w:rsidP="0098674B" w:rsidRDefault="00044AA2" w14:paraId="7EA8DCF6" w14:textId="77777777">
            <w:pPr>
              <w:widowControl w:val="0"/>
              <w:spacing w:after="120" w:line="23" w:lineRule="atLeast"/>
              <w:rPr>
                <w:rFonts w:cstheme="minorHAnsi"/>
                <w:sz w:val="20"/>
                <w:szCs w:val="20"/>
              </w:rPr>
            </w:pPr>
            <w:r>
              <w:rPr>
                <w:rFonts w:cstheme="minorHAnsi"/>
                <w:sz w:val="20"/>
                <w:szCs w:val="20"/>
              </w:rPr>
              <w:t>March 2023</w:t>
            </w:r>
          </w:p>
        </w:tc>
      </w:tr>
      <w:tr w:rsidRPr="00883A16" w:rsidR="00044AA2" w:rsidTr="0098674B" w14:paraId="08C1D3AF" w14:textId="77777777">
        <w:trPr>
          <w:gridBefore w:val="1"/>
          <w:wBefore w:w="108" w:type="dxa"/>
          <w:trHeight w:val="288" w:hRule="exact"/>
        </w:trPr>
        <w:tc>
          <w:tcPr>
            <w:tcW w:w="7380" w:type="dxa"/>
          </w:tcPr>
          <w:p w:rsidRPr="00883A16" w:rsidR="00044AA2" w:rsidP="0098674B" w:rsidRDefault="00044AA2" w14:paraId="2117D9EE" w14:textId="77777777">
            <w:pPr>
              <w:widowControl w:val="0"/>
              <w:spacing w:after="120" w:line="23" w:lineRule="atLeast"/>
              <w:ind w:left="360" w:hanging="195"/>
              <w:rPr>
                <w:rFonts w:cstheme="minorHAnsi"/>
                <w:sz w:val="20"/>
                <w:szCs w:val="20"/>
              </w:rPr>
            </w:pPr>
            <w:r w:rsidRPr="00883A16">
              <w:rPr>
                <w:rFonts w:cstheme="minorHAnsi"/>
                <w:sz w:val="20"/>
                <w:szCs w:val="20"/>
              </w:rPr>
              <w:t>Select school sample</w:t>
            </w:r>
          </w:p>
        </w:tc>
        <w:tc>
          <w:tcPr>
            <w:tcW w:w="1620" w:type="dxa"/>
          </w:tcPr>
          <w:p w:rsidRPr="00883A16" w:rsidR="00044AA2" w:rsidP="0098674B" w:rsidRDefault="00044AA2" w14:paraId="2B10473E" w14:textId="77777777">
            <w:pPr>
              <w:widowControl w:val="0"/>
              <w:spacing w:after="120" w:line="23" w:lineRule="atLeast"/>
              <w:rPr>
                <w:rFonts w:cstheme="minorHAnsi"/>
                <w:sz w:val="20"/>
                <w:szCs w:val="20"/>
              </w:rPr>
            </w:pPr>
            <w:r>
              <w:rPr>
                <w:rFonts w:cstheme="minorHAnsi"/>
                <w:sz w:val="20"/>
                <w:szCs w:val="20"/>
              </w:rPr>
              <w:t>March 2021</w:t>
            </w:r>
          </w:p>
        </w:tc>
        <w:tc>
          <w:tcPr>
            <w:tcW w:w="1620" w:type="dxa"/>
            <w:gridSpan w:val="3"/>
          </w:tcPr>
          <w:p w:rsidRPr="00883A16" w:rsidR="00044AA2" w:rsidP="0098674B" w:rsidRDefault="00044AA2" w14:paraId="2A89EFD0" w14:textId="77777777">
            <w:pPr>
              <w:widowControl w:val="0"/>
              <w:spacing w:after="120" w:line="23" w:lineRule="atLeast"/>
              <w:rPr>
                <w:rFonts w:cstheme="minorHAnsi"/>
                <w:sz w:val="20"/>
                <w:szCs w:val="20"/>
              </w:rPr>
            </w:pPr>
            <w:r>
              <w:rPr>
                <w:rFonts w:cstheme="minorHAnsi"/>
                <w:sz w:val="20"/>
                <w:szCs w:val="20"/>
              </w:rPr>
              <w:t>July 2021</w:t>
            </w:r>
          </w:p>
        </w:tc>
      </w:tr>
      <w:tr w:rsidRPr="00883A16" w:rsidR="00044AA2" w:rsidTr="0098674B" w14:paraId="0B726B8B" w14:textId="77777777">
        <w:trPr>
          <w:gridBefore w:val="1"/>
          <w:wBefore w:w="108" w:type="dxa"/>
          <w:trHeight w:val="288" w:hRule="exact"/>
        </w:trPr>
        <w:tc>
          <w:tcPr>
            <w:tcW w:w="7380" w:type="dxa"/>
          </w:tcPr>
          <w:p w:rsidRPr="00883A16" w:rsidR="00044AA2" w:rsidP="0098674B" w:rsidRDefault="00044AA2" w14:paraId="0EE2A13E" w14:textId="77777777">
            <w:pPr>
              <w:widowControl w:val="0"/>
              <w:spacing w:after="120" w:line="23" w:lineRule="atLeast"/>
              <w:ind w:left="360" w:hanging="195"/>
              <w:rPr>
                <w:rFonts w:cstheme="minorHAnsi"/>
                <w:sz w:val="20"/>
                <w:szCs w:val="20"/>
              </w:rPr>
            </w:pPr>
            <w:r w:rsidRPr="00883A16">
              <w:rPr>
                <w:rFonts w:cstheme="minorHAnsi"/>
                <w:sz w:val="20"/>
                <w:szCs w:val="20"/>
              </w:rPr>
              <w:t>Recruitment of states, districts, schools for main study</w:t>
            </w:r>
          </w:p>
        </w:tc>
        <w:tc>
          <w:tcPr>
            <w:tcW w:w="1620" w:type="dxa"/>
          </w:tcPr>
          <w:p w:rsidRPr="00883A16" w:rsidR="00044AA2" w:rsidP="0098674B" w:rsidRDefault="00044AA2" w14:paraId="275071A3" w14:textId="77777777">
            <w:pPr>
              <w:widowControl w:val="0"/>
              <w:spacing w:after="120" w:line="23" w:lineRule="atLeast"/>
              <w:rPr>
                <w:rFonts w:cstheme="minorHAnsi"/>
                <w:sz w:val="20"/>
                <w:szCs w:val="20"/>
              </w:rPr>
            </w:pPr>
            <w:r>
              <w:rPr>
                <w:rFonts w:cstheme="minorHAnsi"/>
                <w:sz w:val="20"/>
                <w:szCs w:val="20"/>
              </w:rPr>
              <w:t>January 2022</w:t>
            </w:r>
          </w:p>
        </w:tc>
        <w:tc>
          <w:tcPr>
            <w:tcW w:w="1620" w:type="dxa"/>
            <w:gridSpan w:val="3"/>
          </w:tcPr>
          <w:p w:rsidRPr="00883A16" w:rsidR="00044AA2" w:rsidP="0098674B" w:rsidRDefault="00044AA2" w14:paraId="542430D6" w14:textId="77777777">
            <w:pPr>
              <w:widowControl w:val="0"/>
              <w:spacing w:after="120" w:line="23" w:lineRule="atLeast"/>
              <w:rPr>
                <w:rFonts w:cstheme="minorHAnsi"/>
                <w:sz w:val="20"/>
                <w:szCs w:val="20"/>
              </w:rPr>
            </w:pPr>
            <w:r>
              <w:rPr>
                <w:rFonts w:cstheme="minorHAnsi"/>
                <w:sz w:val="20"/>
                <w:szCs w:val="20"/>
              </w:rPr>
              <w:t>April 2023</w:t>
            </w:r>
          </w:p>
        </w:tc>
      </w:tr>
      <w:tr w:rsidRPr="00883A16" w:rsidR="00044AA2" w:rsidTr="0098674B" w14:paraId="347D37F1" w14:textId="77777777">
        <w:trPr>
          <w:gridBefore w:val="1"/>
          <w:wBefore w:w="108" w:type="dxa"/>
          <w:trHeight w:val="288" w:hRule="exact"/>
        </w:trPr>
        <w:tc>
          <w:tcPr>
            <w:tcW w:w="7380" w:type="dxa"/>
            <w:vAlign w:val="center"/>
          </w:tcPr>
          <w:p w:rsidRPr="00883A16" w:rsidR="00044AA2" w:rsidP="0098674B" w:rsidRDefault="00044AA2" w14:paraId="3F947941" w14:textId="77777777">
            <w:pPr>
              <w:widowControl w:val="0"/>
              <w:spacing w:after="120" w:line="23" w:lineRule="atLeast"/>
              <w:ind w:left="360" w:hanging="195"/>
              <w:rPr>
                <w:rFonts w:cstheme="minorHAnsi"/>
                <w:sz w:val="20"/>
                <w:szCs w:val="20"/>
              </w:rPr>
            </w:pPr>
            <w:r w:rsidRPr="00883A16">
              <w:rPr>
                <w:rFonts w:cstheme="minorHAnsi"/>
                <w:sz w:val="20"/>
                <w:szCs w:val="20"/>
              </w:rPr>
              <w:t>Collect main study data</w:t>
            </w:r>
          </w:p>
        </w:tc>
        <w:tc>
          <w:tcPr>
            <w:tcW w:w="1620" w:type="dxa"/>
          </w:tcPr>
          <w:p w:rsidRPr="00883A16" w:rsidR="00044AA2" w:rsidP="0098674B" w:rsidRDefault="00044AA2" w14:paraId="3DFC9093" w14:textId="77777777">
            <w:pPr>
              <w:widowControl w:val="0"/>
              <w:spacing w:after="120" w:line="23" w:lineRule="atLeast"/>
              <w:rPr>
                <w:rFonts w:cstheme="minorHAnsi"/>
                <w:sz w:val="20"/>
                <w:szCs w:val="20"/>
              </w:rPr>
            </w:pPr>
            <w:r>
              <w:rPr>
                <w:rFonts w:cstheme="minorHAnsi"/>
                <w:sz w:val="20"/>
                <w:szCs w:val="20"/>
              </w:rPr>
              <w:t>March 2023</w:t>
            </w:r>
          </w:p>
        </w:tc>
        <w:tc>
          <w:tcPr>
            <w:tcW w:w="1620" w:type="dxa"/>
            <w:gridSpan w:val="3"/>
          </w:tcPr>
          <w:p w:rsidRPr="00883A16" w:rsidR="00044AA2" w:rsidP="0098674B" w:rsidRDefault="00044AA2" w14:paraId="1D4328B4" w14:textId="77777777">
            <w:pPr>
              <w:widowControl w:val="0"/>
              <w:spacing w:after="120" w:line="23" w:lineRule="atLeast"/>
              <w:rPr>
                <w:rFonts w:cstheme="minorHAnsi"/>
                <w:sz w:val="20"/>
                <w:szCs w:val="20"/>
              </w:rPr>
            </w:pPr>
            <w:r>
              <w:rPr>
                <w:rFonts w:cstheme="minorHAnsi"/>
                <w:sz w:val="20"/>
                <w:szCs w:val="20"/>
              </w:rPr>
              <w:t>April 2023</w:t>
            </w:r>
          </w:p>
        </w:tc>
      </w:tr>
      <w:tr w:rsidRPr="00883A16" w:rsidR="00044AA2" w:rsidTr="0098674B" w14:paraId="45544825" w14:textId="77777777">
        <w:trPr>
          <w:gridBefore w:val="1"/>
          <w:wBefore w:w="108" w:type="dxa"/>
          <w:trHeight w:val="288" w:hRule="exact"/>
        </w:trPr>
        <w:tc>
          <w:tcPr>
            <w:tcW w:w="7380" w:type="dxa"/>
          </w:tcPr>
          <w:p w:rsidRPr="00883A16" w:rsidR="00044AA2" w:rsidP="0098674B" w:rsidRDefault="00044AA2" w14:paraId="42D7D505" w14:textId="77777777">
            <w:pPr>
              <w:widowControl w:val="0"/>
              <w:spacing w:after="120" w:line="23" w:lineRule="atLeast"/>
              <w:ind w:left="360" w:hanging="195"/>
              <w:rPr>
                <w:rFonts w:cstheme="minorHAnsi"/>
                <w:sz w:val="20"/>
                <w:szCs w:val="20"/>
              </w:rPr>
            </w:pPr>
            <w:r w:rsidRPr="00883A16">
              <w:rPr>
                <w:rFonts w:cstheme="minorHAnsi"/>
                <w:sz w:val="20"/>
                <w:szCs w:val="20"/>
              </w:rPr>
              <w:t>Deliver raw data to international sponsoring organization</w:t>
            </w:r>
          </w:p>
        </w:tc>
        <w:tc>
          <w:tcPr>
            <w:tcW w:w="1620" w:type="dxa"/>
          </w:tcPr>
          <w:p w:rsidRPr="00883A16" w:rsidR="00044AA2" w:rsidP="0098674B" w:rsidRDefault="00044AA2" w14:paraId="6D13EAB1" w14:textId="63F6DB73">
            <w:pPr>
              <w:widowControl w:val="0"/>
              <w:spacing w:after="120" w:line="23" w:lineRule="atLeast"/>
              <w:rPr>
                <w:rFonts w:cstheme="minorHAnsi"/>
                <w:sz w:val="20"/>
                <w:szCs w:val="20"/>
              </w:rPr>
            </w:pPr>
            <w:r>
              <w:rPr>
                <w:rFonts w:cstheme="minorHAnsi"/>
                <w:sz w:val="20"/>
                <w:szCs w:val="20"/>
              </w:rPr>
              <w:t xml:space="preserve">July 2023 </w:t>
            </w:r>
          </w:p>
        </w:tc>
        <w:tc>
          <w:tcPr>
            <w:tcW w:w="1620" w:type="dxa"/>
            <w:gridSpan w:val="3"/>
          </w:tcPr>
          <w:p w:rsidRPr="00883A16" w:rsidR="00044AA2" w:rsidP="0098674B" w:rsidRDefault="00044AA2" w14:paraId="301F8C40" w14:textId="77777777">
            <w:pPr>
              <w:widowControl w:val="0"/>
              <w:spacing w:after="120" w:line="23" w:lineRule="atLeast"/>
              <w:rPr>
                <w:rFonts w:cstheme="minorHAnsi"/>
                <w:sz w:val="20"/>
                <w:szCs w:val="20"/>
              </w:rPr>
            </w:pPr>
            <w:r>
              <w:rPr>
                <w:rFonts w:cstheme="minorHAnsi"/>
                <w:sz w:val="20"/>
                <w:szCs w:val="20"/>
              </w:rPr>
              <w:t xml:space="preserve">July 2023 </w:t>
            </w:r>
          </w:p>
        </w:tc>
      </w:tr>
      <w:tr w:rsidRPr="00883A16" w:rsidR="00044AA2" w:rsidTr="0098674B" w14:paraId="4613F91F" w14:textId="77777777">
        <w:trPr>
          <w:gridBefore w:val="1"/>
          <w:wBefore w:w="108" w:type="dxa"/>
          <w:trHeight w:val="288" w:hRule="exact"/>
        </w:trPr>
        <w:tc>
          <w:tcPr>
            <w:tcW w:w="7380" w:type="dxa"/>
            <w:vAlign w:val="center"/>
          </w:tcPr>
          <w:p w:rsidRPr="00883A16" w:rsidR="00044AA2" w:rsidP="0098674B" w:rsidRDefault="00044AA2" w14:paraId="4D608590" w14:textId="77777777">
            <w:pPr>
              <w:widowControl w:val="0"/>
              <w:spacing w:after="120" w:line="23" w:lineRule="atLeast"/>
              <w:ind w:left="360" w:hanging="195"/>
              <w:rPr>
                <w:rFonts w:cstheme="minorHAnsi"/>
                <w:sz w:val="20"/>
                <w:szCs w:val="20"/>
              </w:rPr>
            </w:pPr>
            <w:r w:rsidRPr="00883A16">
              <w:rPr>
                <w:rFonts w:cstheme="minorHAnsi"/>
                <w:sz w:val="20"/>
                <w:szCs w:val="20"/>
              </w:rPr>
              <w:t>Receive final data files from international sponsors</w:t>
            </w:r>
          </w:p>
        </w:tc>
        <w:tc>
          <w:tcPr>
            <w:tcW w:w="1620" w:type="dxa"/>
          </w:tcPr>
          <w:p w:rsidRPr="00883A16" w:rsidR="00044AA2" w:rsidP="0098674B" w:rsidRDefault="00044AA2" w14:paraId="0AF0C227"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Pr>
          <w:p w:rsidRPr="00883A16" w:rsidR="00044AA2" w:rsidP="0098674B" w:rsidRDefault="00044AA2" w14:paraId="515507AB" w14:textId="77777777">
            <w:pPr>
              <w:widowControl w:val="0"/>
              <w:spacing w:after="120" w:line="23" w:lineRule="atLeast"/>
              <w:rPr>
                <w:rFonts w:cstheme="minorHAnsi"/>
                <w:sz w:val="20"/>
                <w:szCs w:val="20"/>
              </w:rPr>
            </w:pPr>
            <w:r>
              <w:rPr>
                <w:rFonts w:cstheme="minorHAnsi"/>
                <w:sz w:val="20"/>
                <w:szCs w:val="20"/>
              </w:rPr>
              <w:t>June 2024</w:t>
            </w:r>
          </w:p>
        </w:tc>
      </w:tr>
      <w:tr w:rsidRPr="00883A16" w:rsidR="00044AA2" w:rsidTr="0098674B" w14:paraId="7726693B" w14:textId="77777777">
        <w:trPr>
          <w:gridBefore w:val="1"/>
          <w:wBefore w:w="108" w:type="dxa"/>
          <w:trHeight w:val="288" w:hRule="exact"/>
        </w:trPr>
        <w:tc>
          <w:tcPr>
            <w:tcW w:w="7380" w:type="dxa"/>
            <w:tcBorders>
              <w:bottom w:val="single" w:color="auto" w:sz="4" w:space="0"/>
            </w:tcBorders>
          </w:tcPr>
          <w:p w:rsidRPr="00883A16" w:rsidR="00044AA2" w:rsidP="0098674B" w:rsidRDefault="00044AA2" w14:paraId="0748F77A" w14:textId="77777777">
            <w:pPr>
              <w:widowControl w:val="0"/>
              <w:spacing w:after="120" w:line="23" w:lineRule="atLeast"/>
              <w:ind w:left="360" w:hanging="195"/>
              <w:rPr>
                <w:rFonts w:cstheme="minorHAnsi"/>
                <w:sz w:val="20"/>
                <w:szCs w:val="20"/>
              </w:rPr>
            </w:pPr>
            <w:r w:rsidRPr="00883A16">
              <w:rPr>
                <w:rFonts w:cstheme="minorHAnsi"/>
                <w:sz w:val="20"/>
                <w:szCs w:val="20"/>
              </w:rPr>
              <w:t>Produce reports</w:t>
            </w:r>
          </w:p>
        </w:tc>
        <w:tc>
          <w:tcPr>
            <w:tcW w:w="1620" w:type="dxa"/>
            <w:tcBorders>
              <w:bottom w:val="single" w:color="auto" w:sz="4" w:space="0"/>
            </w:tcBorders>
          </w:tcPr>
          <w:p w:rsidRPr="00883A16" w:rsidR="00044AA2" w:rsidP="0098674B" w:rsidRDefault="00044AA2" w14:paraId="154AB54D" w14:textId="17AB9B70">
            <w:pPr>
              <w:widowControl w:val="0"/>
              <w:spacing w:after="120" w:line="23" w:lineRule="atLeast"/>
              <w:rPr>
                <w:rFonts w:cstheme="minorHAnsi"/>
                <w:sz w:val="20"/>
                <w:szCs w:val="20"/>
              </w:rPr>
            </w:pPr>
            <w:r>
              <w:rPr>
                <w:rFonts w:cstheme="minorHAnsi"/>
                <w:sz w:val="20"/>
                <w:szCs w:val="20"/>
              </w:rPr>
              <w:t>June 202</w:t>
            </w:r>
            <w:r w:rsidR="00EF69A6">
              <w:rPr>
                <w:rFonts w:cstheme="minorHAnsi"/>
                <w:sz w:val="20"/>
                <w:szCs w:val="20"/>
              </w:rPr>
              <w:t>4</w:t>
            </w:r>
          </w:p>
        </w:tc>
        <w:tc>
          <w:tcPr>
            <w:tcW w:w="1620" w:type="dxa"/>
            <w:gridSpan w:val="3"/>
            <w:tcBorders>
              <w:bottom w:val="single" w:color="auto" w:sz="4" w:space="0"/>
            </w:tcBorders>
          </w:tcPr>
          <w:p w:rsidRPr="00883A16" w:rsidR="00044AA2" w:rsidP="0098674B" w:rsidRDefault="00044AA2" w14:paraId="6E1A045E" w14:textId="77777777">
            <w:pPr>
              <w:widowControl w:val="0"/>
              <w:spacing w:after="120" w:line="23" w:lineRule="atLeast"/>
              <w:rPr>
                <w:rFonts w:cstheme="minorHAnsi"/>
                <w:sz w:val="20"/>
                <w:szCs w:val="20"/>
              </w:rPr>
            </w:pPr>
            <w:r>
              <w:rPr>
                <w:rFonts w:cstheme="minorHAnsi"/>
                <w:sz w:val="20"/>
                <w:szCs w:val="20"/>
              </w:rPr>
              <w:t>December 2024</w:t>
            </w:r>
          </w:p>
        </w:tc>
      </w:tr>
    </w:tbl>
    <w:p w:rsidR="00FE0EE5" w:rsidP="00D41844" w:rsidRDefault="00FE0EE5" w14:paraId="162C5B63" w14:textId="3EBA9F7C">
      <w:pPr>
        <w:widowControl w:val="0"/>
        <w:spacing w:after="120" w:line="23" w:lineRule="atLeast"/>
        <w:rPr>
          <w:rFonts w:ascii="Times New Roman" w:hAnsi="Times New Roman" w:cs="Times New Roman"/>
        </w:rPr>
      </w:pPr>
    </w:p>
    <w:p w:rsidRPr="00763758" w:rsidR="00FE0EE5" w:rsidP="00FE0EE5" w:rsidRDefault="00FE0EE5" w14:paraId="480B8C52" w14:textId="77777777">
      <w:pPr>
        <w:pStyle w:val="TIMSSOMBHeading2"/>
      </w:pPr>
      <w:bookmarkStart w:name="_Toc115416920" w:id="74"/>
      <w:bookmarkStart w:name="_Toc115417065" w:id="75"/>
      <w:bookmarkStart w:name="_Toc115417232" w:id="76"/>
      <w:bookmarkStart w:name="_Toc359323849" w:id="77"/>
      <w:bookmarkStart w:name="_Toc58475974" w:id="78"/>
      <w:r w:rsidRPr="00763758">
        <w:t>A.17</w:t>
      </w:r>
      <w:r w:rsidRPr="00763758">
        <w:tab/>
        <w:t>Display OMB Expiration Date</w:t>
      </w:r>
      <w:bookmarkEnd w:id="74"/>
      <w:bookmarkEnd w:id="75"/>
      <w:bookmarkEnd w:id="76"/>
      <w:bookmarkEnd w:id="77"/>
      <w:bookmarkEnd w:id="78"/>
    </w:p>
    <w:p w:rsidRPr="002D4675" w:rsidR="00FE0EE5" w:rsidP="00FE0EE5" w:rsidRDefault="00FE0EE5" w14:paraId="7E12F0DD" w14:textId="77777777">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The OMB expiration date will be displayed on all data collection materials.</w:t>
      </w:r>
    </w:p>
    <w:p w:rsidRPr="00763758" w:rsidR="00FE0EE5" w:rsidP="00FE0EE5" w:rsidRDefault="00FE0EE5" w14:paraId="37AF4EA3" w14:textId="77777777">
      <w:pPr>
        <w:pStyle w:val="TIMSSOMBHeading2"/>
      </w:pPr>
      <w:bookmarkStart w:name="_Toc115416921" w:id="79"/>
      <w:bookmarkStart w:name="_Toc115417066" w:id="80"/>
      <w:bookmarkStart w:name="_Toc115417233" w:id="81"/>
      <w:bookmarkStart w:name="_Toc359323850" w:id="82"/>
      <w:bookmarkStart w:name="_Toc58475975" w:id="83"/>
      <w:r w:rsidRPr="00763758">
        <w:lastRenderedPageBreak/>
        <w:t>A.18</w:t>
      </w:r>
      <w:r w:rsidRPr="00763758">
        <w:tab/>
        <w:t>Exceptions to Certification Statement</w:t>
      </w:r>
      <w:bookmarkEnd w:id="79"/>
      <w:bookmarkEnd w:id="80"/>
      <w:bookmarkEnd w:id="81"/>
      <w:bookmarkEnd w:id="82"/>
      <w:bookmarkEnd w:id="83"/>
    </w:p>
    <w:p w:rsidRPr="002D4675" w:rsidR="00FE0EE5" w:rsidP="002D4675" w:rsidRDefault="00FE0EE5" w14:paraId="18852C92" w14:textId="0A0574FB">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No exceptions to the certifications are requested.</w:t>
      </w:r>
    </w:p>
    <w:sectPr w:rsidRPr="002D4675" w:rsidR="00FE0EE5" w:rsidSect="00660616">
      <w:footerReference w:type="default" r:id="rId18"/>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8E196" w14:textId="77777777" w:rsidR="00E6500F" w:rsidRDefault="00E6500F" w:rsidP="00F7180E">
      <w:pPr>
        <w:spacing w:after="0" w:line="240" w:lineRule="auto"/>
      </w:pPr>
      <w:r>
        <w:separator/>
      </w:r>
    </w:p>
  </w:endnote>
  <w:endnote w:type="continuationSeparator" w:id="0">
    <w:p w14:paraId="4F217D4C" w14:textId="77777777" w:rsidR="00E6500F" w:rsidRDefault="00E6500F" w:rsidP="00F7180E">
      <w:pPr>
        <w:spacing w:after="0" w:line="240" w:lineRule="auto"/>
      </w:pPr>
      <w:r>
        <w:continuationSeparator/>
      </w:r>
    </w:p>
  </w:endnote>
  <w:endnote w:type="continuationNotice" w:id="1">
    <w:p w14:paraId="27A5B170" w14:textId="77777777" w:rsidR="00E6500F" w:rsidRDefault="00E65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7BEA" w14:textId="77777777" w:rsidR="00E1326C" w:rsidRDefault="00E1326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68476CF6" w14:textId="77777777" w:rsidR="00E1326C" w:rsidRDefault="00E1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165742"/>
      <w:docPartObj>
        <w:docPartGallery w:val="Page Numbers (Bottom of Page)"/>
        <w:docPartUnique/>
      </w:docPartObj>
    </w:sdtPr>
    <w:sdtEndPr>
      <w:rPr>
        <w:noProof/>
        <w:sz w:val="20"/>
      </w:rPr>
    </w:sdtEndPr>
    <w:sdtContent>
      <w:p w14:paraId="11C6C8C0" w14:textId="77777777" w:rsidR="00E1326C" w:rsidRPr="00D35EB9" w:rsidRDefault="00E1326C"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49D5" w14:textId="77777777" w:rsidR="00E1326C" w:rsidRDefault="00E1326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685395"/>
      <w:docPartObj>
        <w:docPartGallery w:val="Page Numbers (Bottom of Page)"/>
        <w:docPartUnique/>
      </w:docPartObj>
    </w:sdtPr>
    <w:sdtEndPr>
      <w:rPr>
        <w:noProof/>
        <w:sz w:val="20"/>
      </w:rPr>
    </w:sdtEndPr>
    <w:sdtContent>
      <w:p w14:paraId="6CDA3CE3" w14:textId="77777777" w:rsidR="00E1326C" w:rsidRPr="00D35EB9" w:rsidRDefault="00E1326C"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164356"/>
      <w:docPartObj>
        <w:docPartGallery w:val="Page Numbers (Bottom of Page)"/>
        <w:docPartUnique/>
      </w:docPartObj>
    </w:sdtPr>
    <w:sdtEndPr>
      <w:rPr>
        <w:noProof/>
        <w:sz w:val="20"/>
      </w:rPr>
    </w:sdtEndPr>
    <w:sdtContent>
      <w:p w14:paraId="06F7B56F" w14:textId="77777777" w:rsidR="00E1326C" w:rsidRPr="00D35EB9" w:rsidRDefault="00E1326C"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A2EB6" w14:textId="77777777" w:rsidR="00E6500F" w:rsidRDefault="00E6500F" w:rsidP="00F7180E">
      <w:pPr>
        <w:spacing w:after="0" w:line="240" w:lineRule="auto"/>
      </w:pPr>
      <w:r>
        <w:separator/>
      </w:r>
    </w:p>
  </w:footnote>
  <w:footnote w:type="continuationSeparator" w:id="0">
    <w:p w14:paraId="292D40A4" w14:textId="77777777" w:rsidR="00E6500F" w:rsidRDefault="00E6500F" w:rsidP="00F7180E">
      <w:pPr>
        <w:spacing w:after="0" w:line="240" w:lineRule="auto"/>
      </w:pPr>
      <w:r>
        <w:continuationSeparator/>
      </w:r>
    </w:p>
  </w:footnote>
  <w:footnote w:type="continuationNotice" w:id="1">
    <w:p w14:paraId="009CAB37" w14:textId="77777777" w:rsidR="00E6500F" w:rsidRDefault="00E6500F">
      <w:pPr>
        <w:spacing w:after="0" w:line="240" w:lineRule="auto"/>
      </w:pPr>
    </w:p>
  </w:footnote>
  <w:footnote w:id="2">
    <w:p w14:paraId="2E9D4D83" w14:textId="532DB593" w:rsidR="00E1326C" w:rsidRDefault="00E1326C">
      <w:pPr>
        <w:pStyle w:val="FootnoteText"/>
      </w:pPr>
      <w:r>
        <w:rPr>
          <w:rStyle w:val="FootnoteReference"/>
        </w:rPr>
        <w:footnoteRef/>
      </w:r>
      <w:r>
        <w:t xml:space="preserve"> Source: </w:t>
      </w:r>
      <w:r w:rsidRPr="00284679">
        <w:t>https://timssandpirls.bc.edu/timss2023/downloads/T2023_TIMSS_Brochure.pdf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3EB0D" w14:textId="77777777" w:rsidR="00E1326C" w:rsidRDefault="00E13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2D388" w14:textId="77777777" w:rsidR="00E1326C" w:rsidRDefault="00E13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F903" w14:textId="77777777" w:rsidR="00E1326C" w:rsidRDefault="00E13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36B"/>
    <w:multiLevelType w:val="hybridMultilevel"/>
    <w:tmpl w:val="066A8374"/>
    <w:lvl w:ilvl="0" w:tplc="B0E6F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6E2E"/>
    <w:multiLevelType w:val="hybridMultilevel"/>
    <w:tmpl w:val="3180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50F12"/>
    <w:multiLevelType w:val="hybridMultilevel"/>
    <w:tmpl w:val="DE3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D2BD8"/>
    <w:multiLevelType w:val="hybridMultilevel"/>
    <w:tmpl w:val="55E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15:restartNumberingAfterBreak="0">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4"/>
  </w:num>
  <w:num w:numId="4">
    <w:abstractNumId w:val="19"/>
  </w:num>
  <w:num w:numId="5">
    <w:abstractNumId w:val="2"/>
  </w:num>
  <w:num w:numId="6">
    <w:abstractNumId w:val="11"/>
    <w:lvlOverride w:ilvl="0">
      <w:startOverride w:val="1"/>
    </w:lvlOverride>
  </w:num>
  <w:num w:numId="7">
    <w:abstractNumId w:val="16"/>
  </w:num>
  <w:num w:numId="8">
    <w:abstractNumId w:val="8"/>
  </w:num>
  <w:num w:numId="9">
    <w:abstractNumId w:val="13"/>
  </w:num>
  <w:num w:numId="10">
    <w:abstractNumId w:val="17"/>
  </w:num>
  <w:num w:numId="11">
    <w:abstractNumId w:val="6"/>
  </w:num>
  <w:num w:numId="12">
    <w:abstractNumId w:val="10"/>
  </w:num>
  <w:num w:numId="13">
    <w:abstractNumId w:val="21"/>
  </w:num>
  <w:num w:numId="14">
    <w:abstractNumId w:val="12"/>
  </w:num>
  <w:num w:numId="15">
    <w:abstractNumId w:val="1"/>
  </w:num>
  <w:num w:numId="16">
    <w:abstractNumId w:val="9"/>
  </w:num>
  <w:num w:numId="17">
    <w:abstractNumId w:val="18"/>
  </w:num>
  <w:num w:numId="18">
    <w:abstractNumId w:val="15"/>
  </w:num>
  <w:num w:numId="19">
    <w:abstractNumId w:val="20"/>
  </w:num>
  <w:num w:numId="20">
    <w:abstractNumId w:val="3"/>
  </w:num>
  <w:num w:numId="21">
    <w:abstractNumId w:val="5"/>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5"/>
    <w:rsid w:val="0000027B"/>
    <w:rsid w:val="00000D64"/>
    <w:rsid w:val="00001AF9"/>
    <w:rsid w:val="00001CAC"/>
    <w:rsid w:val="00002FAD"/>
    <w:rsid w:val="000037CC"/>
    <w:rsid w:val="00004600"/>
    <w:rsid w:val="00004A60"/>
    <w:rsid w:val="000065E0"/>
    <w:rsid w:val="00007DA1"/>
    <w:rsid w:val="00012210"/>
    <w:rsid w:val="00013957"/>
    <w:rsid w:val="00013E71"/>
    <w:rsid w:val="000172F4"/>
    <w:rsid w:val="00021A7D"/>
    <w:rsid w:val="0002216F"/>
    <w:rsid w:val="00022B31"/>
    <w:rsid w:val="00023CDA"/>
    <w:rsid w:val="00025B3D"/>
    <w:rsid w:val="00025E51"/>
    <w:rsid w:val="00026F57"/>
    <w:rsid w:val="000303F0"/>
    <w:rsid w:val="00030737"/>
    <w:rsid w:val="0003155D"/>
    <w:rsid w:val="00033EB5"/>
    <w:rsid w:val="00034BCE"/>
    <w:rsid w:val="00036133"/>
    <w:rsid w:val="0004146A"/>
    <w:rsid w:val="000414DE"/>
    <w:rsid w:val="0004271D"/>
    <w:rsid w:val="000434BE"/>
    <w:rsid w:val="0004422C"/>
    <w:rsid w:val="00044AA2"/>
    <w:rsid w:val="00051958"/>
    <w:rsid w:val="000609AC"/>
    <w:rsid w:val="00061954"/>
    <w:rsid w:val="00062899"/>
    <w:rsid w:val="000723F8"/>
    <w:rsid w:val="00072670"/>
    <w:rsid w:val="00072BD7"/>
    <w:rsid w:val="00073447"/>
    <w:rsid w:val="0007565D"/>
    <w:rsid w:val="0007719D"/>
    <w:rsid w:val="00077B5B"/>
    <w:rsid w:val="00077DC1"/>
    <w:rsid w:val="00077EF2"/>
    <w:rsid w:val="00082954"/>
    <w:rsid w:val="00082DAF"/>
    <w:rsid w:val="000830F3"/>
    <w:rsid w:val="00087548"/>
    <w:rsid w:val="000904AA"/>
    <w:rsid w:val="00092C45"/>
    <w:rsid w:val="00094EAD"/>
    <w:rsid w:val="00096229"/>
    <w:rsid w:val="000971D7"/>
    <w:rsid w:val="000A04D6"/>
    <w:rsid w:val="000A0B04"/>
    <w:rsid w:val="000A1225"/>
    <w:rsid w:val="000A20B6"/>
    <w:rsid w:val="000A2113"/>
    <w:rsid w:val="000A3DB4"/>
    <w:rsid w:val="000B0492"/>
    <w:rsid w:val="000B3670"/>
    <w:rsid w:val="000B4B91"/>
    <w:rsid w:val="000B5DD7"/>
    <w:rsid w:val="000C0061"/>
    <w:rsid w:val="000C059F"/>
    <w:rsid w:val="000C1263"/>
    <w:rsid w:val="000C4E51"/>
    <w:rsid w:val="000C584C"/>
    <w:rsid w:val="000C71E8"/>
    <w:rsid w:val="000D355E"/>
    <w:rsid w:val="000D6237"/>
    <w:rsid w:val="000D643E"/>
    <w:rsid w:val="000D767F"/>
    <w:rsid w:val="000E2229"/>
    <w:rsid w:val="000E3CD5"/>
    <w:rsid w:val="000E4A52"/>
    <w:rsid w:val="000E50AC"/>
    <w:rsid w:val="000E58E5"/>
    <w:rsid w:val="000E636E"/>
    <w:rsid w:val="000E6C67"/>
    <w:rsid w:val="000E79BA"/>
    <w:rsid w:val="000E7A90"/>
    <w:rsid w:val="000F32CB"/>
    <w:rsid w:val="000F500C"/>
    <w:rsid w:val="000F56F3"/>
    <w:rsid w:val="000F63D5"/>
    <w:rsid w:val="0010099C"/>
    <w:rsid w:val="00101012"/>
    <w:rsid w:val="0010256E"/>
    <w:rsid w:val="00103542"/>
    <w:rsid w:val="001074EA"/>
    <w:rsid w:val="00107C30"/>
    <w:rsid w:val="0011139A"/>
    <w:rsid w:val="001146F5"/>
    <w:rsid w:val="001173B6"/>
    <w:rsid w:val="00120E54"/>
    <w:rsid w:val="0012105A"/>
    <w:rsid w:val="001220BA"/>
    <w:rsid w:val="00122865"/>
    <w:rsid w:val="001303FF"/>
    <w:rsid w:val="00130ED9"/>
    <w:rsid w:val="001314DE"/>
    <w:rsid w:val="00131592"/>
    <w:rsid w:val="00131C5E"/>
    <w:rsid w:val="0013473C"/>
    <w:rsid w:val="00136884"/>
    <w:rsid w:val="00143041"/>
    <w:rsid w:val="00147FEF"/>
    <w:rsid w:val="0015549C"/>
    <w:rsid w:val="0015655A"/>
    <w:rsid w:val="00156876"/>
    <w:rsid w:val="00156FC2"/>
    <w:rsid w:val="00160804"/>
    <w:rsid w:val="00160DD3"/>
    <w:rsid w:val="001639A5"/>
    <w:rsid w:val="00163BAF"/>
    <w:rsid w:val="00166F1F"/>
    <w:rsid w:val="00172B3D"/>
    <w:rsid w:val="00173ACC"/>
    <w:rsid w:val="00173D4F"/>
    <w:rsid w:val="00174A4A"/>
    <w:rsid w:val="00174F04"/>
    <w:rsid w:val="00174F27"/>
    <w:rsid w:val="0017723B"/>
    <w:rsid w:val="00177D06"/>
    <w:rsid w:val="001810EB"/>
    <w:rsid w:val="00182E7B"/>
    <w:rsid w:val="00184206"/>
    <w:rsid w:val="0018480D"/>
    <w:rsid w:val="00186B33"/>
    <w:rsid w:val="001877E7"/>
    <w:rsid w:val="001911E2"/>
    <w:rsid w:val="001922CC"/>
    <w:rsid w:val="0019284A"/>
    <w:rsid w:val="00192AB9"/>
    <w:rsid w:val="00192B30"/>
    <w:rsid w:val="001945A2"/>
    <w:rsid w:val="001950EB"/>
    <w:rsid w:val="001974B3"/>
    <w:rsid w:val="0019775F"/>
    <w:rsid w:val="001A1CE8"/>
    <w:rsid w:val="001A30EA"/>
    <w:rsid w:val="001A4215"/>
    <w:rsid w:val="001A4E31"/>
    <w:rsid w:val="001A6508"/>
    <w:rsid w:val="001B24E0"/>
    <w:rsid w:val="001B55B4"/>
    <w:rsid w:val="001B7263"/>
    <w:rsid w:val="001B7458"/>
    <w:rsid w:val="001B7681"/>
    <w:rsid w:val="001C108D"/>
    <w:rsid w:val="001C268C"/>
    <w:rsid w:val="001C5199"/>
    <w:rsid w:val="001D1A03"/>
    <w:rsid w:val="001D3914"/>
    <w:rsid w:val="001D4537"/>
    <w:rsid w:val="001D4B20"/>
    <w:rsid w:val="001D5640"/>
    <w:rsid w:val="001D6C13"/>
    <w:rsid w:val="001E1878"/>
    <w:rsid w:val="001E335E"/>
    <w:rsid w:val="001E52F0"/>
    <w:rsid w:val="001E7329"/>
    <w:rsid w:val="001E7B8D"/>
    <w:rsid w:val="001F3CE8"/>
    <w:rsid w:val="00200DA6"/>
    <w:rsid w:val="00201895"/>
    <w:rsid w:val="002033A8"/>
    <w:rsid w:val="00203AF9"/>
    <w:rsid w:val="00206901"/>
    <w:rsid w:val="00207774"/>
    <w:rsid w:val="00207CB3"/>
    <w:rsid w:val="00211A9F"/>
    <w:rsid w:val="00211B6C"/>
    <w:rsid w:val="00213A44"/>
    <w:rsid w:val="002145B1"/>
    <w:rsid w:val="002174E6"/>
    <w:rsid w:val="00217AE8"/>
    <w:rsid w:val="002229DB"/>
    <w:rsid w:val="00223459"/>
    <w:rsid w:val="002239A7"/>
    <w:rsid w:val="00223C1C"/>
    <w:rsid w:val="00224E85"/>
    <w:rsid w:val="00226374"/>
    <w:rsid w:val="002309A4"/>
    <w:rsid w:val="00232979"/>
    <w:rsid w:val="00236B6A"/>
    <w:rsid w:val="00241B03"/>
    <w:rsid w:val="002425B8"/>
    <w:rsid w:val="00243721"/>
    <w:rsid w:val="00243847"/>
    <w:rsid w:val="00246136"/>
    <w:rsid w:val="002468AF"/>
    <w:rsid w:val="00246C8C"/>
    <w:rsid w:val="0025019A"/>
    <w:rsid w:val="00250FBF"/>
    <w:rsid w:val="00251793"/>
    <w:rsid w:val="00253183"/>
    <w:rsid w:val="002534D9"/>
    <w:rsid w:val="00255872"/>
    <w:rsid w:val="00257074"/>
    <w:rsid w:val="00257120"/>
    <w:rsid w:val="002622C1"/>
    <w:rsid w:val="00262C6C"/>
    <w:rsid w:val="0026325E"/>
    <w:rsid w:val="0026664B"/>
    <w:rsid w:val="00270C0D"/>
    <w:rsid w:val="002727AF"/>
    <w:rsid w:val="00272949"/>
    <w:rsid w:val="002730CE"/>
    <w:rsid w:val="00276279"/>
    <w:rsid w:val="0028124B"/>
    <w:rsid w:val="00281AC1"/>
    <w:rsid w:val="00282D7F"/>
    <w:rsid w:val="0028305B"/>
    <w:rsid w:val="00283549"/>
    <w:rsid w:val="00283D2A"/>
    <w:rsid w:val="00284679"/>
    <w:rsid w:val="0028580C"/>
    <w:rsid w:val="002863E7"/>
    <w:rsid w:val="00286B58"/>
    <w:rsid w:val="002901F4"/>
    <w:rsid w:val="0029072A"/>
    <w:rsid w:val="0029142E"/>
    <w:rsid w:val="0029371C"/>
    <w:rsid w:val="00294878"/>
    <w:rsid w:val="00297D71"/>
    <w:rsid w:val="002A1021"/>
    <w:rsid w:val="002A17BF"/>
    <w:rsid w:val="002A451C"/>
    <w:rsid w:val="002A51D9"/>
    <w:rsid w:val="002A7366"/>
    <w:rsid w:val="002A7873"/>
    <w:rsid w:val="002B191F"/>
    <w:rsid w:val="002B1E68"/>
    <w:rsid w:val="002B2A54"/>
    <w:rsid w:val="002B3DB9"/>
    <w:rsid w:val="002B699A"/>
    <w:rsid w:val="002B76C5"/>
    <w:rsid w:val="002C109B"/>
    <w:rsid w:val="002C12AA"/>
    <w:rsid w:val="002C15D7"/>
    <w:rsid w:val="002C17EE"/>
    <w:rsid w:val="002C33A7"/>
    <w:rsid w:val="002C3DC6"/>
    <w:rsid w:val="002C4B65"/>
    <w:rsid w:val="002C5883"/>
    <w:rsid w:val="002C7614"/>
    <w:rsid w:val="002C78F6"/>
    <w:rsid w:val="002C7CD8"/>
    <w:rsid w:val="002C7CFC"/>
    <w:rsid w:val="002D16F9"/>
    <w:rsid w:val="002D4675"/>
    <w:rsid w:val="002D4B82"/>
    <w:rsid w:val="002D5357"/>
    <w:rsid w:val="002D5BB7"/>
    <w:rsid w:val="002D6080"/>
    <w:rsid w:val="002D7481"/>
    <w:rsid w:val="002E0664"/>
    <w:rsid w:val="002E1A8E"/>
    <w:rsid w:val="002E3580"/>
    <w:rsid w:val="002E48DF"/>
    <w:rsid w:val="002E58A9"/>
    <w:rsid w:val="002E7697"/>
    <w:rsid w:val="002F01C6"/>
    <w:rsid w:val="002F161C"/>
    <w:rsid w:val="002F1807"/>
    <w:rsid w:val="002F1A88"/>
    <w:rsid w:val="002F2D4A"/>
    <w:rsid w:val="002F39B1"/>
    <w:rsid w:val="002F4DCD"/>
    <w:rsid w:val="002F5090"/>
    <w:rsid w:val="0030027A"/>
    <w:rsid w:val="00300FBB"/>
    <w:rsid w:val="0030272E"/>
    <w:rsid w:val="00303855"/>
    <w:rsid w:val="003047CD"/>
    <w:rsid w:val="00307BF6"/>
    <w:rsid w:val="003108E3"/>
    <w:rsid w:val="00310FD6"/>
    <w:rsid w:val="003118BF"/>
    <w:rsid w:val="00311A8B"/>
    <w:rsid w:val="00315F8C"/>
    <w:rsid w:val="003203B8"/>
    <w:rsid w:val="003210AA"/>
    <w:rsid w:val="00321747"/>
    <w:rsid w:val="00321932"/>
    <w:rsid w:val="00323995"/>
    <w:rsid w:val="00324226"/>
    <w:rsid w:val="00326E02"/>
    <w:rsid w:val="003324DC"/>
    <w:rsid w:val="00333726"/>
    <w:rsid w:val="00333834"/>
    <w:rsid w:val="00336FEF"/>
    <w:rsid w:val="00337227"/>
    <w:rsid w:val="0033779B"/>
    <w:rsid w:val="003404FF"/>
    <w:rsid w:val="00350F78"/>
    <w:rsid w:val="0035393A"/>
    <w:rsid w:val="003573C1"/>
    <w:rsid w:val="00360870"/>
    <w:rsid w:val="0036270F"/>
    <w:rsid w:val="0036320A"/>
    <w:rsid w:val="00364E08"/>
    <w:rsid w:val="00367FDC"/>
    <w:rsid w:val="003724BD"/>
    <w:rsid w:val="00375C04"/>
    <w:rsid w:val="003813B5"/>
    <w:rsid w:val="00381654"/>
    <w:rsid w:val="00382941"/>
    <w:rsid w:val="003839A0"/>
    <w:rsid w:val="00385834"/>
    <w:rsid w:val="0038768D"/>
    <w:rsid w:val="003878E9"/>
    <w:rsid w:val="0039478F"/>
    <w:rsid w:val="00396EA4"/>
    <w:rsid w:val="00397301"/>
    <w:rsid w:val="003A41EB"/>
    <w:rsid w:val="003A462D"/>
    <w:rsid w:val="003A62A3"/>
    <w:rsid w:val="003A79A5"/>
    <w:rsid w:val="003B043D"/>
    <w:rsid w:val="003B11D3"/>
    <w:rsid w:val="003B367F"/>
    <w:rsid w:val="003B545F"/>
    <w:rsid w:val="003B5997"/>
    <w:rsid w:val="003B5E36"/>
    <w:rsid w:val="003B682A"/>
    <w:rsid w:val="003C1897"/>
    <w:rsid w:val="003C2103"/>
    <w:rsid w:val="003C50CB"/>
    <w:rsid w:val="003C653B"/>
    <w:rsid w:val="003C76BF"/>
    <w:rsid w:val="003C7B27"/>
    <w:rsid w:val="003D4D86"/>
    <w:rsid w:val="003D52D0"/>
    <w:rsid w:val="003D5F36"/>
    <w:rsid w:val="003D6651"/>
    <w:rsid w:val="003D6A50"/>
    <w:rsid w:val="003E00A0"/>
    <w:rsid w:val="003E0218"/>
    <w:rsid w:val="003E14D7"/>
    <w:rsid w:val="003E306A"/>
    <w:rsid w:val="003E5A1E"/>
    <w:rsid w:val="003F04EC"/>
    <w:rsid w:val="003F2FC2"/>
    <w:rsid w:val="003F5643"/>
    <w:rsid w:val="003F71E2"/>
    <w:rsid w:val="004000AF"/>
    <w:rsid w:val="00404F5C"/>
    <w:rsid w:val="004078E2"/>
    <w:rsid w:val="00410123"/>
    <w:rsid w:val="004114D8"/>
    <w:rsid w:val="0041289A"/>
    <w:rsid w:val="00412D40"/>
    <w:rsid w:val="0041309A"/>
    <w:rsid w:val="0041479F"/>
    <w:rsid w:val="00414C4E"/>
    <w:rsid w:val="00416358"/>
    <w:rsid w:val="00416801"/>
    <w:rsid w:val="0041749E"/>
    <w:rsid w:val="00423364"/>
    <w:rsid w:val="00423894"/>
    <w:rsid w:val="00425BF3"/>
    <w:rsid w:val="004275A6"/>
    <w:rsid w:val="00427C43"/>
    <w:rsid w:val="00430A82"/>
    <w:rsid w:val="00431098"/>
    <w:rsid w:val="00431D6E"/>
    <w:rsid w:val="004346D8"/>
    <w:rsid w:val="00434B78"/>
    <w:rsid w:val="00436071"/>
    <w:rsid w:val="00436E50"/>
    <w:rsid w:val="0043781F"/>
    <w:rsid w:val="00440B9A"/>
    <w:rsid w:val="004417E4"/>
    <w:rsid w:val="0044251F"/>
    <w:rsid w:val="00443DF5"/>
    <w:rsid w:val="004444F2"/>
    <w:rsid w:val="00445CAE"/>
    <w:rsid w:val="00452621"/>
    <w:rsid w:val="004533A3"/>
    <w:rsid w:val="00453682"/>
    <w:rsid w:val="00453B01"/>
    <w:rsid w:val="004573F5"/>
    <w:rsid w:val="004615FE"/>
    <w:rsid w:val="0046443A"/>
    <w:rsid w:val="0046500F"/>
    <w:rsid w:val="00467D90"/>
    <w:rsid w:val="00470EE0"/>
    <w:rsid w:val="00471853"/>
    <w:rsid w:val="004742A2"/>
    <w:rsid w:val="00475BEA"/>
    <w:rsid w:val="004763DB"/>
    <w:rsid w:val="004802EA"/>
    <w:rsid w:val="004821D3"/>
    <w:rsid w:val="00482D94"/>
    <w:rsid w:val="00484B50"/>
    <w:rsid w:val="0048549F"/>
    <w:rsid w:val="0048589E"/>
    <w:rsid w:val="0048632A"/>
    <w:rsid w:val="00486EC7"/>
    <w:rsid w:val="0048764F"/>
    <w:rsid w:val="00490D2E"/>
    <w:rsid w:val="00491119"/>
    <w:rsid w:val="00491EF3"/>
    <w:rsid w:val="00496A19"/>
    <w:rsid w:val="004970EE"/>
    <w:rsid w:val="004A27CC"/>
    <w:rsid w:val="004A565F"/>
    <w:rsid w:val="004A57F7"/>
    <w:rsid w:val="004A588E"/>
    <w:rsid w:val="004A601E"/>
    <w:rsid w:val="004A6401"/>
    <w:rsid w:val="004A6A65"/>
    <w:rsid w:val="004A73F7"/>
    <w:rsid w:val="004A7BA5"/>
    <w:rsid w:val="004B088C"/>
    <w:rsid w:val="004B2647"/>
    <w:rsid w:val="004B2B81"/>
    <w:rsid w:val="004B544B"/>
    <w:rsid w:val="004B54F5"/>
    <w:rsid w:val="004B5CFD"/>
    <w:rsid w:val="004B6880"/>
    <w:rsid w:val="004C3117"/>
    <w:rsid w:val="004C48C3"/>
    <w:rsid w:val="004C4B46"/>
    <w:rsid w:val="004C4B68"/>
    <w:rsid w:val="004C5459"/>
    <w:rsid w:val="004C7A81"/>
    <w:rsid w:val="004D491B"/>
    <w:rsid w:val="004D5415"/>
    <w:rsid w:val="004D6FF2"/>
    <w:rsid w:val="004E108A"/>
    <w:rsid w:val="004E137D"/>
    <w:rsid w:val="004E1A0E"/>
    <w:rsid w:val="004E1E2A"/>
    <w:rsid w:val="004E2050"/>
    <w:rsid w:val="004F1A52"/>
    <w:rsid w:val="004F1D4F"/>
    <w:rsid w:val="004F2758"/>
    <w:rsid w:val="004F36C0"/>
    <w:rsid w:val="004F6873"/>
    <w:rsid w:val="00501AE2"/>
    <w:rsid w:val="00502233"/>
    <w:rsid w:val="00502E6F"/>
    <w:rsid w:val="0050404C"/>
    <w:rsid w:val="005058F4"/>
    <w:rsid w:val="0050762E"/>
    <w:rsid w:val="005157E4"/>
    <w:rsid w:val="00516813"/>
    <w:rsid w:val="005214C5"/>
    <w:rsid w:val="00522988"/>
    <w:rsid w:val="00522A3C"/>
    <w:rsid w:val="00522E2C"/>
    <w:rsid w:val="00523548"/>
    <w:rsid w:val="00523D18"/>
    <w:rsid w:val="00524C02"/>
    <w:rsid w:val="005257B4"/>
    <w:rsid w:val="00525F21"/>
    <w:rsid w:val="00530E06"/>
    <w:rsid w:val="00533B36"/>
    <w:rsid w:val="00534664"/>
    <w:rsid w:val="00534CB3"/>
    <w:rsid w:val="00536382"/>
    <w:rsid w:val="0054052F"/>
    <w:rsid w:val="0054108D"/>
    <w:rsid w:val="00541105"/>
    <w:rsid w:val="005441B3"/>
    <w:rsid w:val="00544F86"/>
    <w:rsid w:val="005469A0"/>
    <w:rsid w:val="00546A56"/>
    <w:rsid w:val="00546C49"/>
    <w:rsid w:val="005472DD"/>
    <w:rsid w:val="00547F31"/>
    <w:rsid w:val="00550857"/>
    <w:rsid w:val="00553AEE"/>
    <w:rsid w:val="00553EF8"/>
    <w:rsid w:val="0055463F"/>
    <w:rsid w:val="00556991"/>
    <w:rsid w:val="00556DFC"/>
    <w:rsid w:val="005571E7"/>
    <w:rsid w:val="005629AE"/>
    <w:rsid w:val="005637C5"/>
    <w:rsid w:val="005640CD"/>
    <w:rsid w:val="00564E4B"/>
    <w:rsid w:val="00565616"/>
    <w:rsid w:val="00567577"/>
    <w:rsid w:val="005737CF"/>
    <w:rsid w:val="00574191"/>
    <w:rsid w:val="00574249"/>
    <w:rsid w:val="00574B64"/>
    <w:rsid w:val="00574D27"/>
    <w:rsid w:val="0057502D"/>
    <w:rsid w:val="00575C66"/>
    <w:rsid w:val="005767D9"/>
    <w:rsid w:val="00577E3A"/>
    <w:rsid w:val="0058119D"/>
    <w:rsid w:val="00581CDF"/>
    <w:rsid w:val="00584763"/>
    <w:rsid w:val="00584B55"/>
    <w:rsid w:val="0058647C"/>
    <w:rsid w:val="0059028E"/>
    <w:rsid w:val="00591387"/>
    <w:rsid w:val="005915E5"/>
    <w:rsid w:val="00592B8B"/>
    <w:rsid w:val="00593C26"/>
    <w:rsid w:val="005943AF"/>
    <w:rsid w:val="00596C67"/>
    <w:rsid w:val="005A4531"/>
    <w:rsid w:val="005A620D"/>
    <w:rsid w:val="005A7F6C"/>
    <w:rsid w:val="005B1282"/>
    <w:rsid w:val="005B190F"/>
    <w:rsid w:val="005B3FAC"/>
    <w:rsid w:val="005B4B8F"/>
    <w:rsid w:val="005B4D63"/>
    <w:rsid w:val="005B65B2"/>
    <w:rsid w:val="005B7D1C"/>
    <w:rsid w:val="005B7D41"/>
    <w:rsid w:val="005C0234"/>
    <w:rsid w:val="005C09D9"/>
    <w:rsid w:val="005C13F3"/>
    <w:rsid w:val="005C2C74"/>
    <w:rsid w:val="005C3C0E"/>
    <w:rsid w:val="005C52D9"/>
    <w:rsid w:val="005C58D9"/>
    <w:rsid w:val="005C60BB"/>
    <w:rsid w:val="005C68F2"/>
    <w:rsid w:val="005C6ECA"/>
    <w:rsid w:val="005D024C"/>
    <w:rsid w:val="005D05AF"/>
    <w:rsid w:val="005D0BF0"/>
    <w:rsid w:val="005D0F31"/>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34AA"/>
    <w:rsid w:val="00603D8E"/>
    <w:rsid w:val="00606F97"/>
    <w:rsid w:val="00612D31"/>
    <w:rsid w:val="00613514"/>
    <w:rsid w:val="00614AC5"/>
    <w:rsid w:val="00615104"/>
    <w:rsid w:val="0061533D"/>
    <w:rsid w:val="0062078D"/>
    <w:rsid w:val="0062204C"/>
    <w:rsid w:val="0062404C"/>
    <w:rsid w:val="0062648D"/>
    <w:rsid w:val="006268C5"/>
    <w:rsid w:val="006272CD"/>
    <w:rsid w:val="006303E1"/>
    <w:rsid w:val="0063452C"/>
    <w:rsid w:val="00634E67"/>
    <w:rsid w:val="00636373"/>
    <w:rsid w:val="00636625"/>
    <w:rsid w:val="0063690C"/>
    <w:rsid w:val="00636DC0"/>
    <w:rsid w:val="00637613"/>
    <w:rsid w:val="00640C2C"/>
    <w:rsid w:val="006417C5"/>
    <w:rsid w:val="00641B03"/>
    <w:rsid w:val="00643027"/>
    <w:rsid w:val="00643C21"/>
    <w:rsid w:val="00645BD0"/>
    <w:rsid w:val="00646493"/>
    <w:rsid w:val="00650496"/>
    <w:rsid w:val="00651E51"/>
    <w:rsid w:val="00654E59"/>
    <w:rsid w:val="00656556"/>
    <w:rsid w:val="00657743"/>
    <w:rsid w:val="00660616"/>
    <w:rsid w:val="00660D64"/>
    <w:rsid w:val="00660DE4"/>
    <w:rsid w:val="00664D74"/>
    <w:rsid w:val="00664FEF"/>
    <w:rsid w:val="0066595D"/>
    <w:rsid w:val="00665A01"/>
    <w:rsid w:val="006769E5"/>
    <w:rsid w:val="00676A5D"/>
    <w:rsid w:val="0068264A"/>
    <w:rsid w:val="0068529D"/>
    <w:rsid w:val="00686091"/>
    <w:rsid w:val="006862D2"/>
    <w:rsid w:val="00690D14"/>
    <w:rsid w:val="006915EE"/>
    <w:rsid w:val="0069197E"/>
    <w:rsid w:val="006944A3"/>
    <w:rsid w:val="00696A27"/>
    <w:rsid w:val="006A0461"/>
    <w:rsid w:val="006A23D6"/>
    <w:rsid w:val="006A31EB"/>
    <w:rsid w:val="006A3EDD"/>
    <w:rsid w:val="006A4870"/>
    <w:rsid w:val="006A7485"/>
    <w:rsid w:val="006B3091"/>
    <w:rsid w:val="006B5D60"/>
    <w:rsid w:val="006B72DD"/>
    <w:rsid w:val="006B7D33"/>
    <w:rsid w:val="006C2151"/>
    <w:rsid w:val="006C31F4"/>
    <w:rsid w:val="006C31FB"/>
    <w:rsid w:val="006D42AD"/>
    <w:rsid w:val="006D4E92"/>
    <w:rsid w:val="006E4830"/>
    <w:rsid w:val="006E6ACC"/>
    <w:rsid w:val="006E72E4"/>
    <w:rsid w:val="006E7701"/>
    <w:rsid w:val="006F50CD"/>
    <w:rsid w:val="006F6AEA"/>
    <w:rsid w:val="006F75BD"/>
    <w:rsid w:val="006F7C3C"/>
    <w:rsid w:val="006F7EF8"/>
    <w:rsid w:val="00702786"/>
    <w:rsid w:val="007046EC"/>
    <w:rsid w:val="0070555E"/>
    <w:rsid w:val="00706A98"/>
    <w:rsid w:val="00710A60"/>
    <w:rsid w:val="00710A96"/>
    <w:rsid w:val="00713642"/>
    <w:rsid w:val="00713C0B"/>
    <w:rsid w:val="0071457F"/>
    <w:rsid w:val="00715D1E"/>
    <w:rsid w:val="00715EF3"/>
    <w:rsid w:val="007161C4"/>
    <w:rsid w:val="007177BC"/>
    <w:rsid w:val="00724665"/>
    <w:rsid w:val="00724BCC"/>
    <w:rsid w:val="00726715"/>
    <w:rsid w:val="0073026D"/>
    <w:rsid w:val="00731544"/>
    <w:rsid w:val="00732A69"/>
    <w:rsid w:val="007361FD"/>
    <w:rsid w:val="00736D34"/>
    <w:rsid w:val="00737087"/>
    <w:rsid w:val="0073718C"/>
    <w:rsid w:val="0073723F"/>
    <w:rsid w:val="00741E0D"/>
    <w:rsid w:val="00741F9F"/>
    <w:rsid w:val="00743091"/>
    <w:rsid w:val="00743B60"/>
    <w:rsid w:val="00746BB4"/>
    <w:rsid w:val="00750E85"/>
    <w:rsid w:val="00753FC9"/>
    <w:rsid w:val="00754803"/>
    <w:rsid w:val="007601EB"/>
    <w:rsid w:val="0076066D"/>
    <w:rsid w:val="00762202"/>
    <w:rsid w:val="00763758"/>
    <w:rsid w:val="00763A23"/>
    <w:rsid w:val="007665B6"/>
    <w:rsid w:val="00766C84"/>
    <w:rsid w:val="007712EC"/>
    <w:rsid w:val="007717C7"/>
    <w:rsid w:val="00772141"/>
    <w:rsid w:val="0077304C"/>
    <w:rsid w:val="007777CB"/>
    <w:rsid w:val="00782B1E"/>
    <w:rsid w:val="00784BB6"/>
    <w:rsid w:val="00785C1C"/>
    <w:rsid w:val="00795471"/>
    <w:rsid w:val="007A1AAC"/>
    <w:rsid w:val="007A4582"/>
    <w:rsid w:val="007A5180"/>
    <w:rsid w:val="007A5AC0"/>
    <w:rsid w:val="007A61D1"/>
    <w:rsid w:val="007A6EF2"/>
    <w:rsid w:val="007A735E"/>
    <w:rsid w:val="007A7532"/>
    <w:rsid w:val="007A7664"/>
    <w:rsid w:val="007B05A7"/>
    <w:rsid w:val="007B0772"/>
    <w:rsid w:val="007B2B88"/>
    <w:rsid w:val="007B39C9"/>
    <w:rsid w:val="007B5248"/>
    <w:rsid w:val="007B70C3"/>
    <w:rsid w:val="007C32AE"/>
    <w:rsid w:val="007C346A"/>
    <w:rsid w:val="007C3BEA"/>
    <w:rsid w:val="007C755B"/>
    <w:rsid w:val="007D07EE"/>
    <w:rsid w:val="007D0CEC"/>
    <w:rsid w:val="007D158D"/>
    <w:rsid w:val="007D48B5"/>
    <w:rsid w:val="007D7501"/>
    <w:rsid w:val="007D7968"/>
    <w:rsid w:val="007E20B0"/>
    <w:rsid w:val="007E6E6E"/>
    <w:rsid w:val="007E77C3"/>
    <w:rsid w:val="007F29C5"/>
    <w:rsid w:val="007F51BF"/>
    <w:rsid w:val="007F7832"/>
    <w:rsid w:val="007F7AA9"/>
    <w:rsid w:val="00800E72"/>
    <w:rsid w:val="0080476B"/>
    <w:rsid w:val="00804DA6"/>
    <w:rsid w:val="00806B4C"/>
    <w:rsid w:val="00807BD3"/>
    <w:rsid w:val="00814E48"/>
    <w:rsid w:val="00815BE1"/>
    <w:rsid w:val="008164B0"/>
    <w:rsid w:val="00816853"/>
    <w:rsid w:val="00817F59"/>
    <w:rsid w:val="00821077"/>
    <w:rsid w:val="00821DF5"/>
    <w:rsid w:val="0082207E"/>
    <w:rsid w:val="008237F3"/>
    <w:rsid w:val="00825D49"/>
    <w:rsid w:val="00826EDB"/>
    <w:rsid w:val="0083018C"/>
    <w:rsid w:val="00831FD3"/>
    <w:rsid w:val="00835AE5"/>
    <w:rsid w:val="00837DB4"/>
    <w:rsid w:val="00837F38"/>
    <w:rsid w:val="0084260E"/>
    <w:rsid w:val="0084331A"/>
    <w:rsid w:val="00844FAF"/>
    <w:rsid w:val="00845F24"/>
    <w:rsid w:val="008476C0"/>
    <w:rsid w:val="00850104"/>
    <w:rsid w:val="00850EF3"/>
    <w:rsid w:val="00851A3D"/>
    <w:rsid w:val="008526A9"/>
    <w:rsid w:val="00853784"/>
    <w:rsid w:val="00853B3D"/>
    <w:rsid w:val="008542AF"/>
    <w:rsid w:val="00856137"/>
    <w:rsid w:val="00856F5A"/>
    <w:rsid w:val="00860308"/>
    <w:rsid w:val="00861755"/>
    <w:rsid w:val="008635AE"/>
    <w:rsid w:val="008644CB"/>
    <w:rsid w:val="00864B00"/>
    <w:rsid w:val="00865C61"/>
    <w:rsid w:val="00866C7D"/>
    <w:rsid w:val="00870154"/>
    <w:rsid w:val="008744E8"/>
    <w:rsid w:val="008758A7"/>
    <w:rsid w:val="008828C5"/>
    <w:rsid w:val="00883A16"/>
    <w:rsid w:val="00884374"/>
    <w:rsid w:val="00884424"/>
    <w:rsid w:val="00884EFB"/>
    <w:rsid w:val="0088506B"/>
    <w:rsid w:val="00885778"/>
    <w:rsid w:val="00885BF4"/>
    <w:rsid w:val="00887B0D"/>
    <w:rsid w:val="00895067"/>
    <w:rsid w:val="00895D9D"/>
    <w:rsid w:val="0089667B"/>
    <w:rsid w:val="008A1F4F"/>
    <w:rsid w:val="008A2CE5"/>
    <w:rsid w:val="008B098C"/>
    <w:rsid w:val="008B26F1"/>
    <w:rsid w:val="008B2C56"/>
    <w:rsid w:val="008B6CA2"/>
    <w:rsid w:val="008C0075"/>
    <w:rsid w:val="008C5FE8"/>
    <w:rsid w:val="008C659E"/>
    <w:rsid w:val="008C6E83"/>
    <w:rsid w:val="008C7A59"/>
    <w:rsid w:val="008C7BE7"/>
    <w:rsid w:val="008D109F"/>
    <w:rsid w:val="008D18FB"/>
    <w:rsid w:val="008D1E88"/>
    <w:rsid w:val="008D294B"/>
    <w:rsid w:val="008D3366"/>
    <w:rsid w:val="008D3E9C"/>
    <w:rsid w:val="008D52B6"/>
    <w:rsid w:val="008D6FF6"/>
    <w:rsid w:val="008D7233"/>
    <w:rsid w:val="008D7E7C"/>
    <w:rsid w:val="008E3EED"/>
    <w:rsid w:val="008E4AC3"/>
    <w:rsid w:val="008E6D8E"/>
    <w:rsid w:val="008E7FD3"/>
    <w:rsid w:val="008F0D53"/>
    <w:rsid w:val="008F2032"/>
    <w:rsid w:val="008F5F36"/>
    <w:rsid w:val="008F7566"/>
    <w:rsid w:val="008F7BB5"/>
    <w:rsid w:val="00900959"/>
    <w:rsid w:val="0090129F"/>
    <w:rsid w:val="00901DC5"/>
    <w:rsid w:val="00902CA3"/>
    <w:rsid w:val="009066B9"/>
    <w:rsid w:val="00910A79"/>
    <w:rsid w:val="00914BC8"/>
    <w:rsid w:val="00917053"/>
    <w:rsid w:val="00921863"/>
    <w:rsid w:val="00922DAE"/>
    <w:rsid w:val="00923089"/>
    <w:rsid w:val="00923FBA"/>
    <w:rsid w:val="00924096"/>
    <w:rsid w:val="00924205"/>
    <w:rsid w:val="00925C8A"/>
    <w:rsid w:val="009263D5"/>
    <w:rsid w:val="00927AED"/>
    <w:rsid w:val="009312A8"/>
    <w:rsid w:val="00931534"/>
    <w:rsid w:val="0093345D"/>
    <w:rsid w:val="009356FD"/>
    <w:rsid w:val="00936EC0"/>
    <w:rsid w:val="00941A7A"/>
    <w:rsid w:val="00941E03"/>
    <w:rsid w:val="0094253E"/>
    <w:rsid w:val="00942C1F"/>
    <w:rsid w:val="00943B1A"/>
    <w:rsid w:val="00943E7C"/>
    <w:rsid w:val="0094602D"/>
    <w:rsid w:val="009465C9"/>
    <w:rsid w:val="0094666B"/>
    <w:rsid w:val="00947524"/>
    <w:rsid w:val="0094797F"/>
    <w:rsid w:val="0095087A"/>
    <w:rsid w:val="00954C64"/>
    <w:rsid w:val="00955891"/>
    <w:rsid w:val="00957A8E"/>
    <w:rsid w:val="00957AB7"/>
    <w:rsid w:val="0096070B"/>
    <w:rsid w:val="0096090C"/>
    <w:rsid w:val="00960C9F"/>
    <w:rsid w:val="00961630"/>
    <w:rsid w:val="00967ED0"/>
    <w:rsid w:val="00973907"/>
    <w:rsid w:val="00974424"/>
    <w:rsid w:val="00974B24"/>
    <w:rsid w:val="00975A3E"/>
    <w:rsid w:val="009806CB"/>
    <w:rsid w:val="009850EA"/>
    <w:rsid w:val="0098674B"/>
    <w:rsid w:val="00986BE0"/>
    <w:rsid w:val="00986BFE"/>
    <w:rsid w:val="00993430"/>
    <w:rsid w:val="00994A74"/>
    <w:rsid w:val="00994B3A"/>
    <w:rsid w:val="00997832"/>
    <w:rsid w:val="009A086C"/>
    <w:rsid w:val="009A1FAA"/>
    <w:rsid w:val="009A234E"/>
    <w:rsid w:val="009A368A"/>
    <w:rsid w:val="009A6A6C"/>
    <w:rsid w:val="009A6ACF"/>
    <w:rsid w:val="009A6BC4"/>
    <w:rsid w:val="009A7F32"/>
    <w:rsid w:val="009B1160"/>
    <w:rsid w:val="009B1A00"/>
    <w:rsid w:val="009B1C79"/>
    <w:rsid w:val="009B4692"/>
    <w:rsid w:val="009B6A45"/>
    <w:rsid w:val="009C05F3"/>
    <w:rsid w:val="009C1147"/>
    <w:rsid w:val="009C2DBC"/>
    <w:rsid w:val="009C30F8"/>
    <w:rsid w:val="009C4391"/>
    <w:rsid w:val="009C4669"/>
    <w:rsid w:val="009C5F78"/>
    <w:rsid w:val="009C66AD"/>
    <w:rsid w:val="009C6B20"/>
    <w:rsid w:val="009C7812"/>
    <w:rsid w:val="009D28E7"/>
    <w:rsid w:val="009D413A"/>
    <w:rsid w:val="009D7A0C"/>
    <w:rsid w:val="009E0A5A"/>
    <w:rsid w:val="009E263C"/>
    <w:rsid w:val="009E287C"/>
    <w:rsid w:val="009E41A1"/>
    <w:rsid w:val="009E54DF"/>
    <w:rsid w:val="009E5E49"/>
    <w:rsid w:val="009E5F95"/>
    <w:rsid w:val="009E6030"/>
    <w:rsid w:val="009E6161"/>
    <w:rsid w:val="009F0C38"/>
    <w:rsid w:val="009F1CF9"/>
    <w:rsid w:val="009F2028"/>
    <w:rsid w:val="009F2711"/>
    <w:rsid w:val="009F2AA5"/>
    <w:rsid w:val="009F3DA4"/>
    <w:rsid w:val="009F5786"/>
    <w:rsid w:val="009F682E"/>
    <w:rsid w:val="009F6CC3"/>
    <w:rsid w:val="009F743C"/>
    <w:rsid w:val="00A009F4"/>
    <w:rsid w:val="00A01603"/>
    <w:rsid w:val="00A02B5B"/>
    <w:rsid w:val="00A052BD"/>
    <w:rsid w:val="00A052F0"/>
    <w:rsid w:val="00A05C8D"/>
    <w:rsid w:val="00A06B85"/>
    <w:rsid w:val="00A07F01"/>
    <w:rsid w:val="00A12163"/>
    <w:rsid w:val="00A124D9"/>
    <w:rsid w:val="00A136A9"/>
    <w:rsid w:val="00A15852"/>
    <w:rsid w:val="00A16228"/>
    <w:rsid w:val="00A21AB9"/>
    <w:rsid w:val="00A21E52"/>
    <w:rsid w:val="00A222FF"/>
    <w:rsid w:val="00A22461"/>
    <w:rsid w:val="00A234D3"/>
    <w:rsid w:val="00A23A50"/>
    <w:rsid w:val="00A240BF"/>
    <w:rsid w:val="00A247A3"/>
    <w:rsid w:val="00A31725"/>
    <w:rsid w:val="00A34938"/>
    <w:rsid w:val="00A364C4"/>
    <w:rsid w:val="00A40A95"/>
    <w:rsid w:val="00A42EA0"/>
    <w:rsid w:val="00A44FDF"/>
    <w:rsid w:val="00A46301"/>
    <w:rsid w:val="00A46461"/>
    <w:rsid w:val="00A46E9D"/>
    <w:rsid w:val="00A53103"/>
    <w:rsid w:val="00A57877"/>
    <w:rsid w:val="00A607D7"/>
    <w:rsid w:val="00A60C79"/>
    <w:rsid w:val="00A61B8C"/>
    <w:rsid w:val="00A62A26"/>
    <w:rsid w:val="00A65D4A"/>
    <w:rsid w:val="00A679D0"/>
    <w:rsid w:val="00A67F72"/>
    <w:rsid w:val="00A71BD3"/>
    <w:rsid w:val="00A71EC9"/>
    <w:rsid w:val="00A72635"/>
    <w:rsid w:val="00A73500"/>
    <w:rsid w:val="00A80B5E"/>
    <w:rsid w:val="00A81430"/>
    <w:rsid w:val="00A82DF6"/>
    <w:rsid w:val="00A84914"/>
    <w:rsid w:val="00A859E9"/>
    <w:rsid w:val="00A85EF9"/>
    <w:rsid w:val="00A95D5A"/>
    <w:rsid w:val="00A96490"/>
    <w:rsid w:val="00A96EE2"/>
    <w:rsid w:val="00A9768A"/>
    <w:rsid w:val="00AA1979"/>
    <w:rsid w:val="00AA35FD"/>
    <w:rsid w:val="00AA39A6"/>
    <w:rsid w:val="00AA61BB"/>
    <w:rsid w:val="00AA6844"/>
    <w:rsid w:val="00AB014A"/>
    <w:rsid w:val="00AB02D9"/>
    <w:rsid w:val="00AB3554"/>
    <w:rsid w:val="00AB3800"/>
    <w:rsid w:val="00AB4009"/>
    <w:rsid w:val="00AC0A73"/>
    <w:rsid w:val="00AC1ED8"/>
    <w:rsid w:val="00AC20CD"/>
    <w:rsid w:val="00AC25F1"/>
    <w:rsid w:val="00AC54D2"/>
    <w:rsid w:val="00AC716A"/>
    <w:rsid w:val="00AC7DE0"/>
    <w:rsid w:val="00AD1192"/>
    <w:rsid w:val="00AD21C9"/>
    <w:rsid w:val="00AD2C7C"/>
    <w:rsid w:val="00AD316E"/>
    <w:rsid w:val="00AD3F1C"/>
    <w:rsid w:val="00AD58FD"/>
    <w:rsid w:val="00AD78F0"/>
    <w:rsid w:val="00AD7A88"/>
    <w:rsid w:val="00AD7C52"/>
    <w:rsid w:val="00AE134C"/>
    <w:rsid w:val="00AE1B05"/>
    <w:rsid w:val="00AE3513"/>
    <w:rsid w:val="00AE46AC"/>
    <w:rsid w:val="00AE5601"/>
    <w:rsid w:val="00AE640C"/>
    <w:rsid w:val="00AE6F2E"/>
    <w:rsid w:val="00AF5E87"/>
    <w:rsid w:val="00AF7C45"/>
    <w:rsid w:val="00B0090E"/>
    <w:rsid w:val="00B02E07"/>
    <w:rsid w:val="00B046CE"/>
    <w:rsid w:val="00B06662"/>
    <w:rsid w:val="00B11E04"/>
    <w:rsid w:val="00B14070"/>
    <w:rsid w:val="00B14257"/>
    <w:rsid w:val="00B14809"/>
    <w:rsid w:val="00B14B86"/>
    <w:rsid w:val="00B171CC"/>
    <w:rsid w:val="00B202A3"/>
    <w:rsid w:val="00B20735"/>
    <w:rsid w:val="00B2132C"/>
    <w:rsid w:val="00B21A62"/>
    <w:rsid w:val="00B22092"/>
    <w:rsid w:val="00B22356"/>
    <w:rsid w:val="00B2295E"/>
    <w:rsid w:val="00B25F48"/>
    <w:rsid w:val="00B2608C"/>
    <w:rsid w:val="00B3001A"/>
    <w:rsid w:val="00B3298D"/>
    <w:rsid w:val="00B33FAD"/>
    <w:rsid w:val="00B35F39"/>
    <w:rsid w:val="00B37530"/>
    <w:rsid w:val="00B37B59"/>
    <w:rsid w:val="00B42D0D"/>
    <w:rsid w:val="00B44EDD"/>
    <w:rsid w:val="00B45620"/>
    <w:rsid w:val="00B461DD"/>
    <w:rsid w:val="00B4727B"/>
    <w:rsid w:val="00B47795"/>
    <w:rsid w:val="00B47921"/>
    <w:rsid w:val="00B50E55"/>
    <w:rsid w:val="00B50F1A"/>
    <w:rsid w:val="00B521B0"/>
    <w:rsid w:val="00B547AB"/>
    <w:rsid w:val="00B5596E"/>
    <w:rsid w:val="00B55D3A"/>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1310"/>
    <w:rsid w:val="00B8242D"/>
    <w:rsid w:val="00B851DE"/>
    <w:rsid w:val="00B85B93"/>
    <w:rsid w:val="00B879A2"/>
    <w:rsid w:val="00B91E38"/>
    <w:rsid w:val="00B92A25"/>
    <w:rsid w:val="00B94773"/>
    <w:rsid w:val="00B96184"/>
    <w:rsid w:val="00B9765C"/>
    <w:rsid w:val="00BA1C55"/>
    <w:rsid w:val="00BA1E0C"/>
    <w:rsid w:val="00BA4402"/>
    <w:rsid w:val="00BA4BEF"/>
    <w:rsid w:val="00BA6E04"/>
    <w:rsid w:val="00BA728B"/>
    <w:rsid w:val="00BA778B"/>
    <w:rsid w:val="00BB0879"/>
    <w:rsid w:val="00BB08BD"/>
    <w:rsid w:val="00BB0D2E"/>
    <w:rsid w:val="00BB225B"/>
    <w:rsid w:val="00BB5200"/>
    <w:rsid w:val="00BB5917"/>
    <w:rsid w:val="00BC391D"/>
    <w:rsid w:val="00BC50FA"/>
    <w:rsid w:val="00BC62F3"/>
    <w:rsid w:val="00BC6F75"/>
    <w:rsid w:val="00BC7F7A"/>
    <w:rsid w:val="00BD1250"/>
    <w:rsid w:val="00BD1C93"/>
    <w:rsid w:val="00BD212F"/>
    <w:rsid w:val="00BD243C"/>
    <w:rsid w:val="00BD27BA"/>
    <w:rsid w:val="00BD2AC5"/>
    <w:rsid w:val="00BD34AB"/>
    <w:rsid w:val="00BD4A3E"/>
    <w:rsid w:val="00BD63AA"/>
    <w:rsid w:val="00BD6E6F"/>
    <w:rsid w:val="00BE00F6"/>
    <w:rsid w:val="00BE5272"/>
    <w:rsid w:val="00BE5DF7"/>
    <w:rsid w:val="00BE5FC1"/>
    <w:rsid w:val="00BE687B"/>
    <w:rsid w:val="00BF086B"/>
    <w:rsid w:val="00BF1992"/>
    <w:rsid w:val="00BF35CE"/>
    <w:rsid w:val="00BF5A76"/>
    <w:rsid w:val="00BF661C"/>
    <w:rsid w:val="00BF6D64"/>
    <w:rsid w:val="00C017B3"/>
    <w:rsid w:val="00C03676"/>
    <w:rsid w:val="00C049B1"/>
    <w:rsid w:val="00C055DA"/>
    <w:rsid w:val="00C06366"/>
    <w:rsid w:val="00C06604"/>
    <w:rsid w:val="00C0688D"/>
    <w:rsid w:val="00C076BA"/>
    <w:rsid w:val="00C116FC"/>
    <w:rsid w:val="00C155AD"/>
    <w:rsid w:val="00C17F11"/>
    <w:rsid w:val="00C21DA6"/>
    <w:rsid w:val="00C22086"/>
    <w:rsid w:val="00C224D3"/>
    <w:rsid w:val="00C26A90"/>
    <w:rsid w:val="00C30F45"/>
    <w:rsid w:val="00C32CF8"/>
    <w:rsid w:val="00C33505"/>
    <w:rsid w:val="00C33672"/>
    <w:rsid w:val="00C33AF2"/>
    <w:rsid w:val="00C35B67"/>
    <w:rsid w:val="00C43C85"/>
    <w:rsid w:val="00C43DF6"/>
    <w:rsid w:val="00C43E81"/>
    <w:rsid w:val="00C526EC"/>
    <w:rsid w:val="00C5313F"/>
    <w:rsid w:val="00C534E5"/>
    <w:rsid w:val="00C54378"/>
    <w:rsid w:val="00C54C92"/>
    <w:rsid w:val="00C55732"/>
    <w:rsid w:val="00C55CAD"/>
    <w:rsid w:val="00C5689D"/>
    <w:rsid w:val="00C56BD3"/>
    <w:rsid w:val="00C57C4C"/>
    <w:rsid w:val="00C57C85"/>
    <w:rsid w:val="00C60BD2"/>
    <w:rsid w:val="00C62F0C"/>
    <w:rsid w:val="00C661C6"/>
    <w:rsid w:val="00C67141"/>
    <w:rsid w:val="00C673A7"/>
    <w:rsid w:val="00C71000"/>
    <w:rsid w:val="00C74B72"/>
    <w:rsid w:val="00C77405"/>
    <w:rsid w:val="00C80DC6"/>
    <w:rsid w:val="00C851B4"/>
    <w:rsid w:val="00C85E9F"/>
    <w:rsid w:val="00C86DE9"/>
    <w:rsid w:val="00C92D3E"/>
    <w:rsid w:val="00C933CB"/>
    <w:rsid w:val="00C95AAF"/>
    <w:rsid w:val="00C9653C"/>
    <w:rsid w:val="00C96DB2"/>
    <w:rsid w:val="00C97038"/>
    <w:rsid w:val="00C97803"/>
    <w:rsid w:val="00CA2195"/>
    <w:rsid w:val="00CA3062"/>
    <w:rsid w:val="00CA32A8"/>
    <w:rsid w:val="00CA490E"/>
    <w:rsid w:val="00CA63F6"/>
    <w:rsid w:val="00CA6A00"/>
    <w:rsid w:val="00CA6C34"/>
    <w:rsid w:val="00CA7398"/>
    <w:rsid w:val="00CA7F51"/>
    <w:rsid w:val="00CB2824"/>
    <w:rsid w:val="00CB2F4C"/>
    <w:rsid w:val="00CB3CB1"/>
    <w:rsid w:val="00CB53E4"/>
    <w:rsid w:val="00CB699F"/>
    <w:rsid w:val="00CB6E7A"/>
    <w:rsid w:val="00CB7161"/>
    <w:rsid w:val="00CB7908"/>
    <w:rsid w:val="00CC73D6"/>
    <w:rsid w:val="00CD02E5"/>
    <w:rsid w:val="00CD1CAD"/>
    <w:rsid w:val="00CD2382"/>
    <w:rsid w:val="00CD2D3C"/>
    <w:rsid w:val="00CD4386"/>
    <w:rsid w:val="00CD54B3"/>
    <w:rsid w:val="00CD5FB9"/>
    <w:rsid w:val="00CD6D04"/>
    <w:rsid w:val="00CD6E9F"/>
    <w:rsid w:val="00CE0CD0"/>
    <w:rsid w:val="00CE17A4"/>
    <w:rsid w:val="00CE2885"/>
    <w:rsid w:val="00CE5A2E"/>
    <w:rsid w:val="00CE5EFB"/>
    <w:rsid w:val="00CE7E39"/>
    <w:rsid w:val="00CF353C"/>
    <w:rsid w:val="00CF36E0"/>
    <w:rsid w:val="00CF3E6D"/>
    <w:rsid w:val="00CF5A80"/>
    <w:rsid w:val="00CF5CE6"/>
    <w:rsid w:val="00CF69FE"/>
    <w:rsid w:val="00D01C72"/>
    <w:rsid w:val="00D02A53"/>
    <w:rsid w:val="00D072FD"/>
    <w:rsid w:val="00D111C6"/>
    <w:rsid w:val="00D144BA"/>
    <w:rsid w:val="00D1485C"/>
    <w:rsid w:val="00D16893"/>
    <w:rsid w:val="00D16BC7"/>
    <w:rsid w:val="00D203BE"/>
    <w:rsid w:val="00D204F7"/>
    <w:rsid w:val="00D25AEA"/>
    <w:rsid w:val="00D308E0"/>
    <w:rsid w:val="00D30A75"/>
    <w:rsid w:val="00D3144B"/>
    <w:rsid w:val="00D35EB9"/>
    <w:rsid w:val="00D41844"/>
    <w:rsid w:val="00D42873"/>
    <w:rsid w:val="00D43592"/>
    <w:rsid w:val="00D43B3D"/>
    <w:rsid w:val="00D44628"/>
    <w:rsid w:val="00D44D5A"/>
    <w:rsid w:val="00D47CE7"/>
    <w:rsid w:val="00D47E20"/>
    <w:rsid w:val="00D47EAF"/>
    <w:rsid w:val="00D520D7"/>
    <w:rsid w:val="00D530C6"/>
    <w:rsid w:val="00D537A7"/>
    <w:rsid w:val="00D5515F"/>
    <w:rsid w:val="00D56723"/>
    <w:rsid w:val="00D57555"/>
    <w:rsid w:val="00D57A75"/>
    <w:rsid w:val="00D60233"/>
    <w:rsid w:val="00D62AA0"/>
    <w:rsid w:val="00D63CB5"/>
    <w:rsid w:val="00D647D4"/>
    <w:rsid w:val="00D64899"/>
    <w:rsid w:val="00D6676D"/>
    <w:rsid w:val="00D702BE"/>
    <w:rsid w:val="00D737FB"/>
    <w:rsid w:val="00D74DE1"/>
    <w:rsid w:val="00D75870"/>
    <w:rsid w:val="00D76411"/>
    <w:rsid w:val="00D77E93"/>
    <w:rsid w:val="00D84C9E"/>
    <w:rsid w:val="00D8508F"/>
    <w:rsid w:val="00D86EB0"/>
    <w:rsid w:val="00D87B2C"/>
    <w:rsid w:val="00D90997"/>
    <w:rsid w:val="00D918BE"/>
    <w:rsid w:val="00D9343C"/>
    <w:rsid w:val="00D93EB4"/>
    <w:rsid w:val="00D96030"/>
    <w:rsid w:val="00D96F01"/>
    <w:rsid w:val="00DA67C7"/>
    <w:rsid w:val="00DB0724"/>
    <w:rsid w:val="00DB1C53"/>
    <w:rsid w:val="00DB2558"/>
    <w:rsid w:val="00DB5EFE"/>
    <w:rsid w:val="00DB6B33"/>
    <w:rsid w:val="00DB7BC5"/>
    <w:rsid w:val="00DC21FC"/>
    <w:rsid w:val="00DC4BE6"/>
    <w:rsid w:val="00DC66D7"/>
    <w:rsid w:val="00DC6BE3"/>
    <w:rsid w:val="00DC7DC2"/>
    <w:rsid w:val="00DD17EA"/>
    <w:rsid w:val="00DD2031"/>
    <w:rsid w:val="00DD29F9"/>
    <w:rsid w:val="00DD30D8"/>
    <w:rsid w:val="00DD346C"/>
    <w:rsid w:val="00DD5B3F"/>
    <w:rsid w:val="00DD5D66"/>
    <w:rsid w:val="00DD6732"/>
    <w:rsid w:val="00DD6F61"/>
    <w:rsid w:val="00DE08BF"/>
    <w:rsid w:val="00DE12D0"/>
    <w:rsid w:val="00DE3260"/>
    <w:rsid w:val="00DE3539"/>
    <w:rsid w:val="00DE3E9E"/>
    <w:rsid w:val="00DE3F5C"/>
    <w:rsid w:val="00DF0D90"/>
    <w:rsid w:val="00DF0EB3"/>
    <w:rsid w:val="00DF1AC8"/>
    <w:rsid w:val="00DF5370"/>
    <w:rsid w:val="00DF7342"/>
    <w:rsid w:val="00E00BA2"/>
    <w:rsid w:val="00E0211A"/>
    <w:rsid w:val="00E03B2C"/>
    <w:rsid w:val="00E0448C"/>
    <w:rsid w:val="00E0475F"/>
    <w:rsid w:val="00E04947"/>
    <w:rsid w:val="00E07051"/>
    <w:rsid w:val="00E07F3B"/>
    <w:rsid w:val="00E10DC5"/>
    <w:rsid w:val="00E12F75"/>
    <w:rsid w:val="00E1326C"/>
    <w:rsid w:val="00E1397A"/>
    <w:rsid w:val="00E140D2"/>
    <w:rsid w:val="00E20173"/>
    <w:rsid w:val="00E20999"/>
    <w:rsid w:val="00E218C0"/>
    <w:rsid w:val="00E22F36"/>
    <w:rsid w:val="00E244F1"/>
    <w:rsid w:val="00E2465E"/>
    <w:rsid w:val="00E24710"/>
    <w:rsid w:val="00E26C8C"/>
    <w:rsid w:val="00E26F0F"/>
    <w:rsid w:val="00E30183"/>
    <w:rsid w:val="00E309DF"/>
    <w:rsid w:val="00E31FB3"/>
    <w:rsid w:val="00E40871"/>
    <w:rsid w:val="00E41AB1"/>
    <w:rsid w:val="00E42068"/>
    <w:rsid w:val="00E44176"/>
    <w:rsid w:val="00E465F1"/>
    <w:rsid w:val="00E4756C"/>
    <w:rsid w:val="00E5095B"/>
    <w:rsid w:val="00E55059"/>
    <w:rsid w:val="00E64499"/>
    <w:rsid w:val="00E6500F"/>
    <w:rsid w:val="00E66615"/>
    <w:rsid w:val="00E71AAE"/>
    <w:rsid w:val="00E71F51"/>
    <w:rsid w:val="00E72FF9"/>
    <w:rsid w:val="00E73B56"/>
    <w:rsid w:val="00E75FDA"/>
    <w:rsid w:val="00E77FD1"/>
    <w:rsid w:val="00E80269"/>
    <w:rsid w:val="00E825D1"/>
    <w:rsid w:val="00E82693"/>
    <w:rsid w:val="00E82C85"/>
    <w:rsid w:val="00E82D48"/>
    <w:rsid w:val="00E83428"/>
    <w:rsid w:val="00E850B3"/>
    <w:rsid w:val="00E87AB4"/>
    <w:rsid w:val="00E90B9E"/>
    <w:rsid w:val="00E91F9C"/>
    <w:rsid w:val="00E92A1C"/>
    <w:rsid w:val="00E95CD9"/>
    <w:rsid w:val="00E96652"/>
    <w:rsid w:val="00E96BA4"/>
    <w:rsid w:val="00E973B9"/>
    <w:rsid w:val="00EA0160"/>
    <w:rsid w:val="00EA29FB"/>
    <w:rsid w:val="00EA3211"/>
    <w:rsid w:val="00EA38ED"/>
    <w:rsid w:val="00EA46D2"/>
    <w:rsid w:val="00EA4779"/>
    <w:rsid w:val="00EA587D"/>
    <w:rsid w:val="00EA60EC"/>
    <w:rsid w:val="00EB22F1"/>
    <w:rsid w:val="00EB46BA"/>
    <w:rsid w:val="00EB4AFF"/>
    <w:rsid w:val="00EB5374"/>
    <w:rsid w:val="00EB5EB3"/>
    <w:rsid w:val="00EB7956"/>
    <w:rsid w:val="00EC170E"/>
    <w:rsid w:val="00EC461D"/>
    <w:rsid w:val="00EC536F"/>
    <w:rsid w:val="00EC53ED"/>
    <w:rsid w:val="00EC7BDD"/>
    <w:rsid w:val="00ED1289"/>
    <w:rsid w:val="00ED2228"/>
    <w:rsid w:val="00ED43D1"/>
    <w:rsid w:val="00ED531B"/>
    <w:rsid w:val="00ED6201"/>
    <w:rsid w:val="00ED6D4E"/>
    <w:rsid w:val="00EE1159"/>
    <w:rsid w:val="00EE1C5E"/>
    <w:rsid w:val="00EE1E2E"/>
    <w:rsid w:val="00EE275C"/>
    <w:rsid w:val="00EE35F5"/>
    <w:rsid w:val="00EF0C13"/>
    <w:rsid w:val="00EF0FF9"/>
    <w:rsid w:val="00EF1069"/>
    <w:rsid w:val="00EF16A6"/>
    <w:rsid w:val="00EF16B9"/>
    <w:rsid w:val="00EF31A4"/>
    <w:rsid w:val="00EF5CF5"/>
    <w:rsid w:val="00EF6287"/>
    <w:rsid w:val="00EF69A6"/>
    <w:rsid w:val="00F00646"/>
    <w:rsid w:val="00F00C99"/>
    <w:rsid w:val="00F013F0"/>
    <w:rsid w:val="00F02B26"/>
    <w:rsid w:val="00F03ACD"/>
    <w:rsid w:val="00F050B3"/>
    <w:rsid w:val="00F061FA"/>
    <w:rsid w:val="00F07E19"/>
    <w:rsid w:val="00F11CCC"/>
    <w:rsid w:val="00F138F3"/>
    <w:rsid w:val="00F16397"/>
    <w:rsid w:val="00F17395"/>
    <w:rsid w:val="00F203AB"/>
    <w:rsid w:val="00F2242C"/>
    <w:rsid w:val="00F251D2"/>
    <w:rsid w:val="00F25C63"/>
    <w:rsid w:val="00F31DE5"/>
    <w:rsid w:val="00F32703"/>
    <w:rsid w:val="00F32ADD"/>
    <w:rsid w:val="00F331E1"/>
    <w:rsid w:val="00F33726"/>
    <w:rsid w:val="00F3468B"/>
    <w:rsid w:val="00F35779"/>
    <w:rsid w:val="00F367F1"/>
    <w:rsid w:val="00F40C36"/>
    <w:rsid w:val="00F41315"/>
    <w:rsid w:val="00F4222A"/>
    <w:rsid w:val="00F434AE"/>
    <w:rsid w:val="00F459A4"/>
    <w:rsid w:val="00F46205"/>
    <w:rsid w:val="00F46619"/>
    <w:rsid w:val="00F469BB"/>
    <w:rsid w:val="00F46E86"/>
    <w:rsid w:val="00F4713A"/>
    <w:rsid w:val="00F500F6"/>
    <w:rsid w:val="00F52E0A"/>
    <w:rsid w:val="00F60068"/>
    <w:rsid w:val="00F61771"/>
    <w:rsid w:val="00F6344F"/>
    <w:rsid w:val="00F63FC9"/>
    <w:rsid w:val="00F6518C"/>
    <w:rsid w:val="00F659FB"/>
    <w:rsid w:val="00F66118"/>
    <w:rsid w:val="00F7099D"/>
    <w:rsid w:val="00F7180E"/>
    <w:rsid w:val="00F72443"/>
    <w:rsid w:val="00F72E3C"/>
    <w:rsid w:val="00F7515A"/>
    <w:rsid w:val="00F75A48"/>
    <w:rsid w:val="00F81FFD"/>
    <w:rsid w:val="00F826A1"/>
    <w:rsid w:val="00F84770"/>
    <w:rsid w:val="00F85302"/>
    <w:rsid w:val="00F86311"/>
    <w:rsid w:val="00F86D6F"/>
    <w:rsid w:val="00F90091"/>
    <w:rsid w:val="00F9037E"/>
    <w:rsid w:val="00F923B9"/>
    <w:rsid w:val="00F93D7D"/>
    <w:rsid w:val="00F94076"/>
    <w:rsid w:val="00F973AE"/>
    <w:rsid w:val="00FA036A"/>
    <w:rsid w:val="00FA451B"/>
    <w:rsid w:val="00FA727B"/>
    <w:rsid w:val="00FA7AE5"/>
    <w:rsid w:val="00FB0B7D"/>
    <w:rsid w:val="00FB0D6B"/>
    <w:rsid w:val="00FB16DB"/>
    <w:rsid w:val="00FB2FA7"/>
    <w:rsid w:val="00FB4B83"/>
    <w:rsid w:val="00FB5123"/>
    <w:rsid w:val="00FB5398"/>
    <w:rsid w:val="00FB5BDC"/>
    <w:rsid w:val="00FB7FD0"/>
    <w:rsid w:val="00FC531A"/>
    <w:rsid w:val="00FC76F0"/>
    <w:rsid w:val="00FC7B8E"/>
    <w:rsid w:val="00FD0338"/>
    <w:rsid w:val="00FD114B"/>
    <w:rsid w:val="00FD12A3"/>
    <w:rsid w:val="00FD2041"/>
    <w:rsid w:val="00FD249E"/>
    <w:rsid w:val="00FD3C11"/>
    <w:rsid w:val="00FD40BA"/>
    <w:rsid w:val="00FD67CC"/>
    <w:rsid w:val="00FD6A59"/>
    <w:rsid w:val="00FE041E"/>
    <w:rsid w:val="00FE097E"/>
    <w:rsid w:val="00FE0EE5"/>
    <w:rsid w:val="00FE2E67"/>
    <w:rsid w:val="00FE4A6A"/>
    <w:rsid w:val="00FE5887"/>
    <w:rsid w:val="00FE5F0E"/>
    <w:rsid w:val="00FE6E8E"/>
    <w:rsid w:val="00FE7311"/>
    <w:rsid w:val="00FF1176"/>
    <w:rsid w:val="00FF361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D1D29"/>
  <w15:docId w15:val="{2F49C50F-DC8C-4B04-959E-9F75F6F5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846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CB7161"/>
    <w:pPr>
      <w:spacing w:after="0" w:line="240" w:lineRule="auto"/>
    </w:pPr>
    <w:rPr>
      <w:rFonts w:asciiTheme="majorHAnsi" w:eastAsia="Times New Roman" w:hAnsiTheme="majorHAnsi"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 w:type="table" w:styleId="GridTable1Light">
    <w:name w:val="Grid Table 1 Light"/>
    <w:basedOn w:val="TableNormal"/>
    <w:uiPriority w:val="46"/>
    <w:rsid w:val="00856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uiPriority w:val="99"/>
    <w:rsid w:val="00B47921"/>
    <w:pPr>
      <w:keepNext/>
      <w:spacing w:before="20" w:after="20" w:line="240" w:lineRule="auto"/>
      <w:ind w:left="317" w:hanging="317"/>
    </w:pPr>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F86311"/>
    <w:rPr>
      <w:color w:val="800080" w:themeColor="followedHyperlink"/>
      <w:u w:val="single"/>
    </w:rPr>
  </w:style>
  <w:style w:type="character" w:styleId="UnresolvedMention">
    <w:name w:val="Unresolved Mention"/>
    <w:basedOn w:val="DefaultParagraphFont"/>
    <w:uiPriority w:val="99"/>
    <w:semiHidden/>
    <w:unhideWhenUsed/>
    <w:rsid w:val="009E6030"/>
    <w:rPr>
      <w:color w:val="605E5C"/>
      <w:shd w:val="clear" w:color="auto" w:fill="E1DFDD"/>
    </w:rPr>
  </w:style>
  <w:style w:type="character" w:customStyle="1" w:styleId="Heading4Char">
    <w:name w:val="Heading 4 Char"/>
    <w:basedOn w:val="DefaultParagraphFont"/>
    <w:link w:val="Heading4"/>
    <w:uiPriority w:val="9"/>
    <w:rsid w:val="00284679"/>
    <w:rPr>
      <w:rFonts w:asciiTheme="majorHAnsi" w:eastAsiaTheme="majorEastAsia" w:hAnsiTheme="majorHAnsi" w:cstheme="majorBidi"/>
      <w:i/>
      <w:iCs/>
      <w:color w:val="365F91" w:themeColor="accent1" w:themeShade="BF"/>
    </w:rPr>
  </w:style>
  <w:style w:type="paragraph" w:customStyle="1" w:styleId="TIMSSOMBHeading1">
    <w:name w:val="TIMSS OMB Heading 1"/>
    <w:basedOn w:val="Heading2"/>
    <w:qFormat/>
    <w:rsid w:val="00CB7161"/>
    <w:pPr>
      <w:spacing w:before="0" w:after="120" w:line="23" w:lineRule="atLeast"/>
      <w:jc w:val="center"/>
    </w:pPr>
    <w:rPr>
      <w:rFonts w:asciiTheme="majorHAnsi" w:hAnsiTheme="majorHAnsi" w:cs="Times New Roman"/>
      <w:i w:val="0"/>
    </w:rPr>
  </w:style>
  <w:style w:type="paragraph" w:customStyle="1" w:styleId="TIMSSOMBHeading2">
    <w:name w:val="TIMSS OMB Heading 2"/>
    <w:basedOn w:val="Heading3"/>
    <w:qFormat/>
    <w:rsid w:val="00A9768A"/>
  </w:style>
  <w:style w:type="paragraph" w:customStyle="1" w:styleId="TIMSSOMBHeading3">
    <w:name w:val="TIMSS OMB Heading 3"/>
    <w:basedOn w:val="Heading4"/>
    <w:qFormat/>
    <w:rsid w:val="00A9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797">
      <w:bodyDiv w:val="1"/>
      <w:marLeft w:val="0"/>
      <w:marRight w:val="0"/>
      <w:marTop w:val="0"/>
      <w:marBottom w:val="0"/>
      <w:divBdr>
        <w:top w:val="none" w:sz="0" w:space="0" w:color="auto"/>
        <w:left w:val="none" w:sz="0" w:space="0" w:color="auto"/>
        <w:bottom w:val="none" w:sz="0" w:space="0" w:color="auto"/>
        <w:right w:val="none" w:sz="0" w:space="0" w:color="auto"/>
      </w:divBdr>
    </w:div>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027755496">
      <w:bodyDiv w:val="1"/>
      <w:marLeft w:val="0"/>
      <w:marRight w:val="0"/>
      <w:marTop w:val="0"/>
      <w:marBottom w:val="0"/>
      <w:divBdr>
        <w:top w:val="none" w:sz="0" w:space="0" w:color="auto"/>
        <w:left w:val="none" w:sz="0" w:space="0" w:color="auto"/>
        <w:bottom w:val="none" w:sz="0" w:space="0" w:color="auto"/>
        <w:right w:val="none" w:sz="0" w:space="0" w:color="auto"/>
      </w:divBdr>
    </w:div>
    <w:div w:id="1067999791">
      <w:bodyDiv w:val="1"/>
      <w:marLeft w:val="0"/>
      <w:marRight w:val="0"/>
      <w:marTop w:val="0"/>
      <w:marBottom w:val="0"/>
      <w:divBdr>
        <w:top w:val="none" w:sz="0" w:space="0" w:color="auto"/>
        <w:left w:val="none" w:sz="0" w:space="0" w:color="auto"/>
        <w:bottom w:val="none" w:sz="0" w:space="0" w:color="auto"/>
        <w:right w:val="none" w:sz="0" w:space="0" w:color="auto"/>
      </w:divBdr>
    </w:div>
    <w:div w:id="1110735954">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7958842">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05483824">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 w:id="2008704589">
      <w:bodyDiv w:val="1"/>
      <w:marLeft w:val="0"/>
      <w:marRight w:val="0"/>
      <w:marTop w:val="0"/>
      <w:marBottom w:val="0"/>
      <w:divBdr>
        <w:top w:val="none" w:sz="0" w:space="0" w:color="auto"/>
        <w:left w:val="none" w:sz="0" w:space="0" w:color="auto"/>
        <w:bottom w:val="none" w:sz="0" w:space="0" w:color="auto"/>
        <w:right w:val="none" w:sz="0" w:space="0" w:color="auto"/>
      </w:divBdr>
    </w:div>
    <w:div w:id="20786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ces.ed.gov/timss/results19/index.asp" TargetMode="External"/><Relationship Id="rId2" Type="http://schemas.openxmlformats.org/officeDocument/2006/relationships/numbering" Target="numbering.xml"/><Relationship Id="rId16" Type="http://schemas.openxmlformats.org/officeDocument/2006/relationships/hyperlink" Target="http://data.bls.gov/o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9802B-3A79-47A6-A25A-F1A95A53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Choi</dc:creator>
  <cp:keywords/>
  <cp:lastModifiedBy>Clarady, Carrie</cp:lastModifiedBy>
  <cp:revision>7</cp:revision>
  <cp:lastPrinted>2016-08-22T19:34:00Z</cp:lastPrinted>
  <dcterms:created xsi:type="dcterms:W3CDTF">2021-01-04T20:54:00Z</dcterms:created>
  <dcterms:modified xsi:type="dcterms:W3CDTF">2021-01-11T20:25:00Z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