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39F14EF8" w14:textId="77777777">
      <w:pPr>
        <w:jc w:val="center"/>
      </w:pPr>
      <w:bookmarkStart w:name="_GoBack" w:id="0"/>
      <w:bookmarkEnd w:id="0"/>
      <w:smartTag w:uri="urn:schemas-microsoft-com:office:smarttags" w:element="place">
        <w:smartTag w:uri="urn:schemas-microsoft-com:office:smarttags" w:element="country-region">
          <w:r>
            <w:t>UNITED STATES OF AMERICA</w:t>
          </w:r>
        </w:smartTag>
      </w:smartTag>
    </w:p>
    <w:p w:rsidR="00A2604E" w:rsidP="00A2604E" w:rsidRDefault="00A2604E" w14:paraId="796F63BF" w14:textId="77777777">
      <w:pPr>
        <w:jc w:val="center"/>
      </w:pPr>
      <w:r>
        <w:t>FEDERAL ENERGY REGULATORY COMMISSION</w:t>
      </w:r>
    </w:p>
    <w:p w:rsidR="00A2604E" w:rsidP="00A2604E" w:rsidRDefault="00A2604E" w14:paraId="4152868E" w14:textId="77777777"/>
    <w:p w:rsidR="00A2604E" w:rsidP="00A2604E" w:rsidRDefault="00A2604E" w14:paraId="1600CC48" w14:textId="27D3B578">
      <w:pPr>
        <w:jc w:val="center"/>
      </w:pPr>
      <w:r w:rsidRPr="00AC750B">
        <w:t xml:space="preserve">[Docket No. </w:t>
      </w:r>
      <w:r w:rsidR="002E0351">
        <w:t>IC</w:t>
      </w:r>
      <w:r w:rsidR="000E27B5">
        <w:t>2</w:t>
      </w:r>
      <w:r w:rsidR="001B6EFF">
        <w:t>1-</w:t>
      </w:r>
      <w:r w:rsidR="001A3BF7">
        <w:t>5-000</w:t>
      </w:r>
      <w:r w:rsidRPr="00AC750B">
        <w:t>]</w:t>
      </w:r>
    </w:p>
    <w:p w:rsidR="00A2604E" w:rsidP="00A2604E" w:rsidRDefault="00A2604E" w14:paraId="37A99FB4" w14:textId="77777777"/>
    <w:p w:rsidR="00A2604E" w:rsidP="00A2604E" w:rsidRDefault="00A2604E" w14:paraId="0160830D" w14:textId="58A1C3D6">
      <w:pPr>
        <w:jc w:val="center"/>
      </w:pPr>
      <w:r>
        <w:t>COMMISSION INFORMATION COLLECTION ACTIVITIES (</w:t>
      </w:r>
      <w:r w:rsidR="0095311D">
        <w:t>FERC-</w:t>
      </w:r>
      <w:r w:rsidR="003B534C">
        <w:t>725HH</w:t>
      </w:r>
      <w:r>
        <w:t>);</w:t>
      </w:r>
    </w:p>
    <w:p w:rsidR="00A2604E" w:rsidP="00A2604E" w:rsidRDefault="00A2604E" w14:paraId="6E904836" w14:textId="77777777">
      <w:pPr>
        <w:jc w:val="center"/>
      </w:pPr>
      <w:r>
        <w:t>COMMENT REQUEST; EXTENSION</w:t>
      </w:r>
    </w:p>
    <w:p w:rsidR="00810D18" w:rsidP="00810D18" w:rsidRDefault="00810D18" w14:paraId="6FC67CE5" w14:textId="1157AFF8"/>
    <w:p w:rsidR="006E10F4" w:rsidP="00462A82" w:rsidRDefault="00462A82" w14:paraId="05CFF23D" w14:textId="6AEBF188">
      <w:pPr>
        <w:jc w:val="center"/>
      </w:pPr>
      <w:r w:rsidRPr="00462A82">
        <w:t>(</w:t>
      </w:r>
      <w:r w:rsidR="00767CC6">
        <w:t>March 11, 2021</w:t>
      </w:r>
      <w:r w:rsidR="00366BF2">
        <w:t>)</w:t>
      </w:r>
    </w:p>
    <w:p w:rsidRPr="00462A82" w:rsidR="00462A82" w:rsidP="00462A82" w:rsidRDefault="00462A82" w14:paraId="07633F4A" w14:textId="77777777"/>
    <w:p w:rsidR="00A2604E" w:rsidP="00A2604E" w:rsidRDefault="00A2604E" w14:paraId="2B06BEDA" w14:textId="77777777">
      <w:r w:rsidRPr="00AB4DBF">
        <w:rPr>
          <w:b/>
        </w:rPr>
        <w:t>AGENCY:</w:t>
      </w:r>
      <w:r w:rsidRPr="00AB4DBF">
        <w:t xml:space="preserve">  Federal Energy Regulatory Commission.</w:t>
      </w:r>
    </w:p>
    <w:p w:rsidRPr="00AB4DBF" w:rsidR="00A2604E" w:rsidP="00A2604E" w:rsidRDefault="00A2604E" w14:paraId="3CD46B7D" w14:textId="77777777"/>
    <w:p w:rsidR="00A2604E" w:rsidP="00A2604E" w:rsidRDefault="00A2604E" w14:paraId="3C2C8063" w14:textId="77777777">
      <w:pPr>
        <w:spacing w:line="480" w:lineRule="auto"/>
      </w:pPr>
      <w:r w:rsidRPr="00CE64F2">
        <w:rPr>
          <w:b/>
        </w:rPr>
        <w:t>ACTION:</w:t>
      </w:r>
      <w:r>
        <w:t xml:space="preserve">  Notice of information collection and request for comments.</w:t>
      </w:r>
    </w:p>
    <w:p w:rsidR="00A2604E" w:rsidP="00F8646E" w:rsidRDefault="00A2604E" w14:paraId="124637F9" w14:textId="55C9F78A">
      <w:pPr>
        <w:spacing w:line="480" w:lineRule="auto"/>
      </w:pPr>
      <w:r w:rsidRPr="00CE64F2">
        <w:rPr>
          <w:b/>
        </w:rPr>
        <w:t>SUMMARY:</w:t>
      </w:r>
      <w:r>
        <w:t xml:space="preserve">  </w:t>
      </w:r>
      <w:r w:rsidRPr="00FC4DD1" w:rsidR="00FC4DD1">
        <w:t xml:space="preserve">In compliance with the requirements of the Paperwork Reduction Act of 1995, the Federal Energy Regulatory Commission (Commission or FERC) is </w:t>
      </w:r>
      <w:r w:rsidR="00FC4DD1">
        <w:t>inviting p</w:t>
      </w:r>
      <w:r w:rsidRPr="00FC4DD1" w:rsidR="00FC4DD1">
        <w:t>ublic comment</w:t>
      </w:r>
      <w:r w:rsidR="00FC4DD1">
        <w:t>s</w:t>
      </w:r>
      <w:r w:rsidRPr="00FC4DD1" w:rsidR="00FC4DD1">
        <w:t xml:space="preserve"> on the currently approved information collection FERC-725HH (RF Reliability Standards).</w:t>
      </w:r>
      <w:r w:rsidRPr="00C81A97" w:rsidR="00642602">
        <w:t xml:space="preserve"> </w:t>
      </w:r>
    </w:p>
    <w:p w:rsidRPr="007C1916" w:rsidR="007C1916" w:rsidP="007C1916" w:rsidRDefault="00A2604E" w14:paraId="442CCE36" w14:textId="4ADC2A3A">
      <w:pPr>
        <w:spacing w:line="480" w:lineRule="auto"/>
      </w:pPr>
      <w:r w:rsidRPr="00CE64F2">
        <w:rPr>
          <w:b/>
        </w:rPr>
        <w:t>DATES:</w:t>
      </w:r>
      <w:r>
        <w:t xml:space="preserve">  Comments on the collection of information are due </w:t>
      </w:r>
      <w:bookmarkStart w:name="OLE_LINK1" w:id="1"/>
      <w:r w:rsidRPr="007C1916" w:rsidR="007C1916">
        <w:rPr>
          <w:b/>
        </w:rPr>
        <w:t>[</w:t>
      </w:r>
      <w:r w:rsidRPr="00F11631" w:rsidR="00462A82">
        <w:rPr>
          <w:b/>
        </w:rPr>
        <w:t xml:space="preserve">Insert Date 30 </w:t>
      </w:r>
      <w:r w:rsidR="00462A82">
        <w:rPr>
          <w:b/>
        </w:rPr>
        <w:t>d</w:t>
      </w:r>
      <w:r w:rsidRPr="00F11631" w:rsidR="00462A82">
        <w:rPr>
          <w:b/>
        </w:rPr>
        <w:t xml:space="preserve">ays </w:t>
      </w:r>
      <w:r w:rsidR="00462A82">
        <w:rPr>
          <w:b/>
        </w:rPr>
        <w:t>a</w:t>
      </w:r>
      <w:r w:rsidRPr="00F11631" w:rsidR="00462A82">
        <w:rPr>
          <w:b/>
        </w:rPr>
        <w:t xml:space="preserve">fter </w:t>
      </w:r>
      <w:r w:rsidR="00462A82">
        <w:rPr>
          <w:b/>
        </w:rPr>
        <w:t>date of p</w:t>
      </w:r>
      <w:r w:rsidRPr="00F11631" w:rsidR="00462A82">
        <w:rPr>
          <w:b/>
        </w:rPr>
        <w:t xml:space="preserve">ublication </w:t>
      </w:r>
      <w:r w:rsidR="00462A82">
        <w:rPr>
          <w:b/>
        </w:rPr>
        <w:t>i</w:t>
      </w:r>
      <w:r w:rsidRPr="00F11631" w:rsidR="00462A82">
        <w:rPr>
          <w:b/>
        </w:rPr>
        <w:t xml:space="preserve">n </w:t>
      </w:r>
      <w:r w:rsidR="00462A82">
        <w:rPr>
          <w:b/>
        </w:rPr>
        <w:t>t</w:t>
      </w:r>
      <w:r w:rsidRPr="00F11631" w:rsidR="00462A82">
        <w:rPr>
          <w:b/>
        </w:rPr>
        <w:t>he Federal Register</w:t>
      </w:r>
      <w:r w:rsidRPr="00F11631" w:rsidR="007C1916">
        <w:rPr>
          <w:b/>
          <w:caps/>
        </w:rPr>
        <w:t>]</w:t>
      </w:r>
      <w:r w:rsidRPr="00F11631" w:rsidR="00B65A09">
        <w:rPr>
          <w:b/>
          <w:caps/>
        </w:rPr>
        <w:t>.</w:t>
      </w:r>
      <w:r w:rsidRPr="00F11631" w:rsidR="00B65A09">
        <w:rPr>
          <w:caps/>
        </w:rPr>
        <w:t xml:space="preserve">  </w:t>
      </w:r>
    </w:p>
    <w:p w:rsidR="00343A03" w:rsidP="00D50830" w:rsidRDefault="007C1916" w14:paraId="2AFF287E" w14:textId="2D7748B8">
      <w:pPr>
        <w:spacing w:line="480" w:lineRule="auto"/>
      </w:pPr>
      <w:r w:rsidRPr="007C1916">
        <w:rPr>
          <w:b/>
        </w:rPr>
        <w:t>ADDRESSES:</w:t>
      </w:r>
      <w:r w:rsidRPr="007C1916">
        <w:t xml:space="preserve">  </w:t>
      </w:r>
      <w:r w:rsidRPr="00096CAD" w:rsidR="00343A03">
        <w:rPr>
          <w:iCs/>
          <w:szCs w:val="26"/>
        </w:rPr>
        <w:t>Send written comments on FERC-</w:t>
      </w:r>
      <w:r w:rsidR="00DA5859">
        <w:rPr>
          <w:iCs/>
          <w:szCs w:val="26"/>
        </w:rPr>
        <w:t>725HH</w:t>
      </w:r>
      <w:r w:rsidRPr="00096CAD" w:rsidR="00343A03">
        <w:rPr>
          <w:iCs/>
          <w:szCs w:val="26"/>
        </w:rPr>
        <w:t xml:space="preserve"> to </w:t>
      </w:r>
      <w:r w:rsidR="00973D97">
        <w:rPr>
          <w:iCs/>
          <w:szCs w:val="26"/>
        </w:rPr>
        <w:t>the Office of Management and Budget (</w:t>
      </w:r>
      <w:r w:rsidRPr="00096CAD" w:rsidR="00343A03">
        <w:rPr>
          <w:iCs/>
          <w:szCs w:val="26"/>
        </w:rPr>
        <w:t>OMB</w:t>
      </w:r>
      <w:r w:rsidR="00973D97">
        <w:rPr>
          <w:iCs/>
          <w:szCs w:val="26"/>
        </w:rPr>
        <w:t>)</w:t>
      </w:r>
      <w:r w:rsidRPr="00096CAD" w:rsidR="00343A03">
        <w:rPr>
          <w:iCs/>
          <w:szCs w:val="26"/>
        </w:rPr>
        <w:t xml:space="preserve"> through </w:t>
      </w:r>
      <w:hyperlink w:history="1" r:id="rId12">
        <w:r w:rsidRPr="00096CAD" w:rsidR="00343A03">
          <w:rPr>
            <w:rStyle w:val="Hyperlink"/>
            <w:szCs w:val="26"/>
          </w:rPr>
          <w:t>www.reginfo.gov/public/do/PRAMain</w:t>
        </w:r>
      </w:hyperlink>
      <w:r w:rsidRPr="00096CAD" w:rsidR="00343A03">
        <w:rPr>
          <w:szCs w:val="26"/>
        </w:rPr>
        <w:t>,</w:t>
      </w:r>
      <w:r w:rsidRPr="00096CAD" w:rsidR="00343A03">
        <w:rPr>
          <w:iCs/>
          <w:szCs w:val="26"/>
        </w:rPr>
        <w:t xml:space="preserve"> Attention:  Federal Energy Regulatory Commission Desk Officer.  Please identify the OMB control number (1902-0</w:t>
      </w:r>
      <w:r w:rsidR="0056516B">
        <w:rPr>
          <w:iCs/>
          <w:szCs w:val="26"/>
        </w:rPr>
        <w:t>301</w:t>
      </w:r>
      <w:r w:rsidRPr="00096CAD" w:rsidR="00343A03">
        <w:rPr>
          <w:iCs/>
          <w:szCs w:val="26"/>
        </w:rPr>
        <w:t>) in the subject line</w:t>
      </w:r>
      <w:r w:rsidR="00343A03">
        <w:rPr>
          <w:iCs/>
          <w:szCs w:val="26"/>
        </w:rPr>
        <w:t>.  Y</w:t>
      </w:r>
      <w:r w:rsidRPr="00096CAD" w:rsidR="00343A03">
        <w:rPr>
          <w:iCs/>
          <w:szCs w:val="26"/>
        </w:rPr>
        <w:t xml:space="preserve">our comments </w:t>
      </w:r>
      <w:r w:rsidRPr="00096CAD" w:rsidR="00343A03">
        <w:rPr>
          <w:szCs w:val="26"/>
        </w:rPr>
        <w:t xml:space="preserve">should be sent within 30 days of publication of this notice </w:t>
      </w:r>
      <w:r w:rsidR="00343A03">
        <w:rPr>
          <w:szCs w:val="26"/>
        </w:rPr>
        <w:t>in the Federal Register.</w:t>
      </w:r>
    </w:p>
    <w:p w:rsidR="00D50830" w:rsidP="00D50830" w:rsidRDefault="003C5CBE" w14:paraId="79B06EC6" w14:textId="7DCDE740">
      <w:pPr>
        <w:spacing w:line="480" w:lineRule="auto"/>
      </w:pPr>
      <w:r>
        <w:t>Please</w:t>
      </w:r>
      <w:r w:rsidR="00D50830">
        <w:t xml:space="preserve"> submit </w:t>
      </w:r>
      <w:r>
        <w:t xml:space="preserve">copies of your </w:t>
      </w:r>
      <w:r w:rsidR="00D50830">
        <w:t xml:space="preserve">comments </w:t>
      </w:r>
      <w:r w:rsidR="00096CAD">
        <w:t xml:space="preserve">to the Commission </w:t>
      </w:r>
      <w:r w:rsidR="00D50830">
        <w:t>(identified by Docket No. IC2</w:t>
      </w:r>
      <w:r w:rsidR="002C0CA7">
        <w:t>1</w:t>
      </w:r>
      <w:r w:rsidR="00D50830">
        <w:t>-</w:t>
      </w:r>
      <w:r w:rsidR="002C0CA7">
        <w:t>5</w:t>
      </w:r>
      <w:r w:rsidR="00D50830">
        <w:t xml:space="preserve">-000) by </w:t>
      </w:r>
      <w:r w:rsidR="00E8455A">
        <w:t>any</w:t>
      </w:r>
      <w:r w:rsidR="001F0DF4">
        <w:t xml:space="preserve"> </w:t>
      </w:r>
      <w:r w:rsidR="00D50830">
        <w:t>of the following methods:</w:t>
      </w:r>
    </w:p>
    <w:p w:rsidR="00D50830" w:rsidP="00D50830" w:rsidRDefault="00D50830" w14:paraId="0096AAAE" w14:textId="77777777">
      <w:pPr>
        <w:spacing w:line="480" w:lineRule="auto"/>
      </w:pPr>
      <w:r>
        <w:t>•</w:t>
      </w:r>
      <w:r>
        <w:tab/>
        <w:t>eFiling at Commission’s Web Site: http://www.ferc.gov/docs-filing/efiling.asp</w:t>
      </w:r>
    </w:p>
    <w:p w:rsidR="00E8455A" w:rsidP="00D50830" w:rsidRDefault="00D50830" w14:paraId="469F33BE" w14:textId="5FE12D3E">
      <w:pPr>
        <w:spacing w:line="480" w:lineRule="auto"/>
      </w:pPr>
      <w:r>
        <w:lastRenderedPageBreak/>
        <w:t>•</w:t>
      </w:r>
      <w:r>
        <w:tab/>
      </w:r>
      <w:r w:rsidRPr="001A0782" w:rsidR="001A0782">
        <w:t>U.S. Postal Service Mail</w:t>
      </w:r>
      <w:r>
        <w:t>: Persons unable to file electronically may mail similar pleadings to the Federal Energy Regulatory Commission, 888 First Street, NE, Washington, DC 20426.</w:t>
      </w:r>
    </w:p>
    <w:p w:rsidR="00874804" w:rsidP="007C1916" w:rsidRDefault="00E8455A" w14:paraId="44B9EE4F" w14:textId="7E6C2994">
      <w:pPr>
        <w:spacing w:line="480" w:lineRule="auto"/>
      </w:pPr>
      <w:r>
        <w:t>•</w:t>
      </w:r>
      <w:r>
        <w:tab/>
      </w:r>
      <w:r w:rsidRPr="001A0782" w:rsidR="001A0782">
        <w:t xml:space="preserve">Effective </w:t>
      </w:r>
      <w:r w:rsidR="002E71D9">
        <w:t>July 1, 2020</w:t>
      </w:r>
      <w:r w:rsidRPr="001A0782" w:rsidR="001A0782">
        <w:t xml:space="preserve">, delivery of filings other than by eFiling or the U.S. Postal Service should be delivered to </w:t>
      </w:r>
      <w:r w:rsidR="00790B2E">
        <w:t>Federal Energy Regulatory Commission</w:t>
      </w:r>
      <w:r w:rsidRPr="001A0782" w:rsidR="001A0782">
        <w:t>, 12225 Wilkins Avenue, Rockville, Maryland 20852.</w:t>
      </w:r>
    </w:p>
    <w:p w:rsidRPr="00CB7448" w:rsidR="00310EFC" w:rsidP="007C1916" w:rsidRDefault="00A2604E" w14:paraId="1D7D8F0D" w14:textId="084B1D91">
      <w:pPr>
        <w:spacing w:line="480" w:lineRule="auto"/>
        <w:rPr>
          <w:i/>
          <w:szCs w:val="26"/>
        </w:rPr>
      </w:pPr>
      <w:r w:rsidRPr="00CB7448">
        <w:rPr>
          <w:i/>
          <w:szCs w:val="26"/>
        </w:rPr>
        <w:t>Instructions:</w:t>
      </w:r>
    </w:p>
    <w:p w:rsidRPr="00CB7448" w:rsidR="008E5123" w:rsidP="008E5123" w:rsidRDefault="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w:history="1" r:id="rId13">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Pr="00CB7447" w:rsidR="00D50830" w:rsidP="00D50830" w:rsidRDefault="00D50830" w14:paraId="7554CFE1" w14:textId="07B5D675">
      <w:pPr>
        <w:spacing w:line="480" w:lineRule="auto"/>
        <w:rPr>
          <w:sz w:val="24"/>
        </w:rPr>
      </w:pPr>
      <w:r w:rsidRPr="00CB7447">
        <w:rPr>
          <w:i/>
          <w:iCs/>
        </w:rPr>
        <w:t>FERC submissions</w:t>
      </w:r>
      <w:r>
        <w:t xml:space="preserve"> must be formatted and filed in accordance with submission guidelines at: </w:t>
      </w:r>
      <w:hyperlink w:history="1" r:id="rId14">
        <w:r w:rsidRPr="001A0782" w:rsidR="001A0782">
          <w:rPr>
            <w:rStyle w:val="Hyperlink"/>
          </w:rPr>
          <w:t>http://www.ferc.gov</w:t>
        </w:r>
      </w:hyperlink>
      <w:r>
        <w:t>.  For user assistance, contact FERC Online Support by e-mail at ferconlinesupport@ferc.gov, or by phone at:  (866) 208-3676 (toll-free).</w:t>
      </w:r>
    </w:p>
    <w:p w:rsidRPr="00241BFD" w:rsidR="00A2604E" w:rsidP="00A2604E" w:rsidRDefault="00A2604E" w14:paraId="6160E432" w14:textId="69709B51">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5">
        <w:r w:rsidRPr="001A0782" w:rsidR="001A0782">
          <w:rPr>
            <w:rStyle w:val="Hyperlink"/>
          </w:rPr>
          <w:t>http://www.ferc.gov</w:t>
        </w:r>
      </w:hyperlink>
      <w:r>
        <w:t xml:space="preserve">. </w:t>
      </w:r>
    </w:p>
    <w:bookmarkEnd w:id="1"/>
    <w:p w:rsidR="00A2604E" w:rsidP="00A2604E" w:rsidRDefault="00A2604E" w14:paraId="5D1F4BEC" w14:textId="317094D3">
      <w:pPr>
        <w:spacing w:line="480" w:lineRule="auto"/>
      </w:pPr>
      <w:r w:rsidRPr="00656DF0">
        <w:rPr>
          <w:b/>
        </w:rPr>
        <w:t>FOR FURTHER INFORMATION:</w:t>
      </w:r>
      <w:r>
        <w:t xml:space="preserve">  </w:t>
      </w:r>
      <w:r w:rsidRPr="007731D6">
        <w:t>Ellen Brown</w:t>
      </w:r>
      <w:r>
        <w:t xml:space="preserve"> may be reached by e-mail at </w:t>
      </w:r>
      <w:hyperlink w:history="1" r:id="rId16">
        <w:r w:rsidRPr="00006D4B">
          <w:rPr>
            <w:rStyle w:val="Hyperlink"/>
          </w:rPr>
          <w:t>DataClearance@FERC.gov</w:t>
        </w:r>
      </w:hyperlink>
      <w:r w:rsidR="00034C49">
        <w:t xml:space="preserve"> and</w:t>
      </w:r>
      <w:r>
        <w:t xml:space="preserve"> telephone at (202) 502-8663</w:t>
      </w:r>
      <w:r w:rsidR="00754526">
        <w:t>.</w:t>
      </w:r>
    </w:p>
    <w:p w:rsidR="00D06653" w:rsidRDefault="00D06653" w14:paraId="1125E46F" w14:textId="77777777">
      <w:pPr>
        <w:spacing w:after="160" w:line="259" w:lineRule="auto"/>
      </w:pPr>
      <w:r>
        <w:br w:type="page"/>
      </w:r>
    </w:p>
    <w:p w:rsidR="006716EE" w:rsidP="00332888" w:rsidRDefault="00A2604E" w14:paraId="620AE44F" w14:textId="3DF5157D">
      <w:pPr>
        <w:tabs>
          <w:tab w:val="left" w:pos="7880"/>
        </w:tabs>
        <w:spacing w:line="480" w:lineRule="auto"/>
        <w:rPr>
          <w:b/>
        </w:rPr>
      </w:pPr>
      <w:r w:rsidRPr="001C3703">
        <w:rPr>
          <w:b/>
        </w:rPr>
        <w:lastRenderedPageBreak/>
        <w:t>SUPPLEMENTARY INFORMATION:</w:t>
      </w:r>
    </w:p>
    <w:p w:rsidRPr="008E608E" w:rsidR="008E608E" w:rsidP="008E608E" w:rsidRDefault="008E608E" w14:paraId="1C979A23" w14:textId="77777777">
      <w:pPr>
        <w:tabs>
          <w:tab w:val="left" w:pos="7880"/>
        </w:tabs>
        <w:spacing w:line="480" w:lineRule="auto"/>
        <w:rPr>
          <w:bCs/>
        </w:rPr>
      </w:pPr>
      <w:r w:rsidRPr="008E608E">
        <w:rPr>
          <w:bCs/>
          <w:i/>
        </w:rPr>
        <w:t>Title</w:t>
      </w:r>
      <w:r w:rsidRPr="008E608E">
        <w:rPr>
          <w:bCs/>
          <w:iCs/>
        </w:rPr>
        <w:t xml:space="preserve">: </w:t>
      </w:r>
      <w:r w:rsidRPr="008E608E">
        <w:rPr>
          <w:bCs/>
        </w:rPr>
        <w:t>FERC-725HH, RF Reliability Standards.</w:t>
      </w:r>
    </w:p>
    <w:p w:rsidRPr="00AC41E7" w:rsidR="00AC41E7" w:rsidP="008E608E" w:rsidRDefault="008E608E" w14:paraId="1CB818DC" w14:textId="4AE3B907">
      <w:pPr>
        <w:tabs>
          <w:tab w:val="left" w:pos="7880"/>
        </w:tabs>
        <w:spacing w:line="480" w:lineRule="auto"/>
        <w:rPr>
          <w:bCs/>
        </w:rPr>
      </w:pPr>
      <w:r w:rsidRPr="008E608E">
        <w:rPr>
          <w:bCs/>
          <w:i/>
        </w:rPr>
        <w:t>OMB Control No</w:t>
      </w:r>
      <w:r w:rsidRPr="008E608E">
        <w:rPr>
          <w:bCs/>
          <w:iCs/>
        </w:rPr>
        <w:t xml:space="preserve">.: </w:t>
      </w:r>
      <w:r w:rsidRPr="008E608E">
        <w:rPr>
          <w:bCs/>
        </w:rPr>
        <w:t>1902-0</w:t>
      </w:r>
      <w:r>
        <w:rPr>
          <w:bCs/>
        </w:rPr>
        <w:t>301.</w:t>
      </w:r>
    </w:p>
    <w:p w:rsidRPr="008E608E" w:rsidR="008E608E" w:rsidP="008E608E" w:rsidRDefault="008E608E" w14:paraId="638097F7" w14:textId="77777777">
      <w:pPr>
        <w:tabs>
          <w:tab w:val="left" w:pos="7880"/>
        </w:tabs>
        <w:spacing w:line="480" w:lineRule="auto"/>
        <w:rPr>
          <w:bCs/>
        </w:rPr>
      </w:pPr>
      <w:r w:rsidRPr="008E608E">
        <w:rPr>
          <w:bCs/>
          <w:i/>
        </w:rPr>
        <w:t>Type of Request</w:t>
      </w:r>
      <w:r w:rsidRPr="008E608E">
        <w:rPr>
          <w:bCs/>
          <w:iCs/>
        </w:rPr>
        <w:t xml:space="preserve">: </w:t>
      </w:r>
      <w:r w:rsidRPr="008E608E">
        <w:rPr>
          <w:bCs/>
        </w:rPr>
        <w:t>Three-year renewal of FERC-725HH.</w:t>
      </w:r>
    </w:p>
    <w:p w:rsidRPr="008E608E" w:rsidR="008E608E" w:rsidP="008E608E" w:rsidRDefault="008E608E" w14:paraId="5752D8A3" w14:textId="77777777">
      <w:pPr>
        <w:tabs>
          <w:tab w:val="left" w:pos="7880"/>
        </w:tabs>
        <w:spacing w:line="480" w:lineRule="auto"/>
        <w:rPr>
          <w:bCs/>
        </w:rPr>
      </w:pPr>
      <w:r w:rsidRPr="008E608E">
        <w:rPr>
          <w:bCs/>
          <w:i/>
        </w:rPr>
        <w:t>Abstract</w:t>
      </w:r>
      <w:r w:rsidRPr="008E608E">
        <w:rPr>
          <w:bCs/>
          <w:iCs/>
        </w:rPr>
        <w:t xml:space="preserve">: This collection of information pertains to the Commission’s compliance with section 215 of the </w:t>
      </w:r>
      <w:r w:rsidRPr="008E608E">
        <w:rPr>
          <w:bCs/>
        </w:rPr>
        <w:t>Federal Power Act (FPA) (16 U.S.C. 824</w:t>
      </w:r>
      <w:r w:rsidRPr="008E608E">
        <w:rPr>
          <w:bCs/>
          <w:i/>
          <w:iCs/>
        </w:rPr>
        <w:t>o</w:t>
      </w:r>
      <w:r w:rsidRPr="008E608E">
        <w:rPr>
          <w:bCs/>
        </w:rPr>
        <w:t xml:space="preserve">), which enables the Commission </w:t>
      </w:r>
      <w:r w:rsidRPr="008E608E">
        <w:rPr>
          <w:bCs/>
          <w:iCs/>
        </w:rPr>
        <w:t>to strengthen the reliability of the “bulk-power system.”</w:t>
      </w:r>
      <w:r w:rsidRPr="008E608E">
        <w:rPr>
          <w:bCs/>
          <w:iCs/>
          <w:vertAlign w:val="superscript"/>
        </w:rPr>
        <w:footnoteReference w:id="1"/>
      </w:r>
      <w:r w:rsidRPr="008E608E">
        <w:rPr>
          <w:bCs/>
          <w:iCs/>
        </w:rPr>
        <w:t xml:space="preserve">  The Commission’s implementation of FPA section 215 involves review and approval of a system of mandatory Reliability Standards that are established and enforced by an “"Electric Reliability Organization" (ERO).</w:t>
      </w:r>
      <w:r w:rsidRPr="008E608E">
        <w:rPr>
          <w:bCs/>
          <w:iCs/>
          <w:vertAlign w:val="superscript"/>
        </w:rPr>
        <w:footnoteReference w:id="2"/>
      </w:r>
      <w:r w:rsidRPr="008E608E">
        <w:rPr>
          <w:bCs/>
          <w:iCs/>
        </w:rPr>
        <w:t xml:space="preserve">  The </w:t>
      </w:r>
      <w:r w:rsidRPr="008E608E">
        <w:rPr>
          <w:bCs/>
        </w:rPr>
        <w:t>Commission has certified the North American Electric Reliability Corporation (NERC) as the ERO.</w:t>
      </w:r>
      <w:r w:rsidRPr="008E608E">
        <w:rPr>
          <w:bCs/>
          <w:vertAlign w:val="superscript"/>
        </w:rPr>
        <w:footnoteReference w:id="3"/>
      </w:r>
    </w:p>
    <w:p w:rsidRPr="008E608E" w:rsidR="008E608E" w:rsidP="008E608E" w:rsidRDefault="008E608E" w14:paraId="204DD35D" w14:textId="77777777">
      <w:pPr>
        <w:tabs>
          <w:tab w:val="left" w:pos="7880"/>
        </w:tabs>
        <w:spacing w:line="480" w:lineRule="auto"/>
        <w:rPr>
          <w:bCs/>
        </w:rPr>
      </w:pPr>
      <w:r w:rsidRPr="008E608E">
        <w:rPr>
          <w:bCs/>
        </w:rPr>
        <w:t>Reliability Standards that the ERO proposes to the Commission may include Reliability Standards that are proposed to the ERO by a Regional Entity.</w:t>
      </w:r>
      <w:r w:rsidRPr="008E608E">
        <w:rPr>
          <w:bCs/>
          <w:vertAlign w:val="superscript"/>
        </w:rPr>
        <w:footnoteReference w:id="4"/>
      </w:r>
      <w:r w:rsidRPr="008E608E">
        <w:rPr>
          <w:bCs/>
        </w:rPr>
        <w:t xml:space="preserve">  A Regional Entity is an entity that has been approved by the Commission to enforce Reliability Standards under </w:t>
      </w:r>
      <w:r w:rsidRPr="008E608E">
        <w:rPr>
          <w:bCs/>
        </w:rPr>
        <w:lastRenderedPageBreak/>
        <w:t>delegated authority from the ERO.</w:t>
      </w:r>
      <w:r w:rsidRPr="008E608E">
        <w:rPr>
          <w:bCs/>
          <w:vertAlign w:val="superscript"/>
        </w:rPr>
        <w:footnoteReference w:id="5"/>
      </w:r>
      <w:r w:rsidRPr="008E608E">
        <w:rPr>
          <w:bCs/>
        </w:rPr>
        <w:t xml:space="preserve">  On March 17, 2011, the Commission approved a regional Reliability Standard submitted by the ERO that was developed by the </w:t>
      </w:r>
      <w:proofErr w:type="spellStart"/>
      <w:r w:rsidRPr="008E608E">
        <w:rPr>
          <w:bCs/>
        </w:rPr>
        <w:t>ReliabilityFirst</w:t>
      </w:r>
      <w:proofErr w:type="spellEnd"/>
      <w:r w:rsidRPr="008E608E">
        <w:rPr>
          <w:bCs/>
        </w:rPr>
        <w:t xml:space="preserve"> Corporation (RF).</w:t>
      </w:r>
      <w:r w:rsidRPr="008E608E">
        <w:rPr>
          <w:bCs/>
          <w:vertAlign w:val="superscript"/>
        </w:rPr>
        <w:footnoteReference w:id="6"/>
      </w:r>
    </w:p>
    <w:p w:rsidRPr="008E608E" w:rsidR="008E608E" w:rsidP="008E608E" w:rsidRDefault="008E608E" w14:paraId="64B24AB5" w14:textId="10700385">
      <w:pPr>
        <w:tabs>
          <w:tab w:val="left" w:pos="7880"/>
        </w:tabs>
        <w:spacing w:line="480" w:lineRule="auto"/>
        <w:rPr>
          <w:bCs/>
        </w:rPr>
      </w:pPr>
      <w:r w:rsidRPr="008E608E">
        <w:rPr>
          <w:bCs/>
        </w:rPr>
        <w:t>RF promotes bulk electric system reliability in the Eastern Interconnection. RF is the Regional Entity responsible for compliance monitoring and enforcement in the RF region.  In addition, RF provides an environment for the development of Reliability Standards and the coordination of the operating and planning activities of its members as set forth in the RF bylaws.</w:t>
      </w:r>
    </w:p>
    <w:p w:rsidR="008E608E" w:rsidP="008E608E" w:rsidRDefault="008E608E" w14:paraId="26E8FD3D" w14:textId="6084F27E">
      <w:pPr>
        <w:tabs>
          <w:tab w:val="left" w:pos="7880"/>
        </w:tabs>
        <w:spacing w:line="480" w:lineRule="auto"/>
        <w:rPr>
          <w:bCs/>
        </w:rPr>
      </w:pPr>
      <w:r w:rsidRPr="008E608E">
        <w:rPr>
          <w:bCs/>
        </w:rPr>
        <w:t>There is one regional Reliability Standard in the RF region.  The Commission requests renewal of OMB clearance for that regional Reliability Standard, known as BAL-502-RF-03 (Planning Resource Adequacy Analysis, Assessment and Documentation).</w:t>
      </w:r>
    </w:p>
    <w:p w:rsidRPr="00DF121F" w:rsidR="001540CB" w:rsidP="001540CB" w:rsidRDefault="001540CB" w14:paraId="7B4279F0" w14:textId="77777777">
      <w:pPr>
        <w:tabs>
          <w:tab w:val="left" w:pos="7880"/>
        </w:tabs>
        <w:spacing w:line="480" w:lineRule="auto"/>
        <w:rPr>
          <w:bCs/>
        </w:rPr>
      </w:pPr>
      <w:r>
        <w:rPr>
          <w:bCs/>
        </w:rPr>
        <w:t xml:space="preserve">On December 7, 2020, the Commission published a notice in the </w:t>
      </w:r>
      <w:r>
        <w:rPr>
          <w:bCs/>
          <w:i/>
          <w:iCs/>
        </w:rPr>
        <w:t>Federal Register</w:t>
      </w:r>
      <w:r>
        <w:rPr>
          <w:bCs/>
        </w:rPr>
        <w:t xml:space="preserve"> inviting public comments on this information collection for 60 days.  The Commission received no comments in response.</w:t>
      </w:r>
    </w:p>
    <w:p w:rsidRPr="008E608E" w:rsidR="008E608E" w:rsidP="008E608E" w:rsidRDefault="008E608E" w14:paraId="5347CDD3" w14:textId="77777777">
      <w:pPr>
        <w:tabs>
          <w:tab w:val="left" w:pos="7880"/>
        </w:tabs>
        <w:spacing w:line="480" w:lineRule="auto"/>
        <w:rPr>
          <w:bCs/>
        </w:rPr>
      </w:pPr>
      <w:r w:rsidRPr="008E608E">
        <w:rPr>
          <w:bCs/>
          <w:i/>
        </w:rPr>
        <w:t xml:space="preserve">Type of Respondents: </w:t>
      </w:r>
      <w:r w:rsidRPr="008E608E">
        <w:rPr>
          <w:bCs/>
        </w:rPr>
        <w:t>Planning coordinators.</w:t>
      </w:r>
    </w:p>
    <w:p w:rsidRPr="008E608E" w:rsidR="008E608E" w:rsidP="008E608E" w:rsidRDefault="008E608E" w14:paraId="04AFE821" w14:textId="71062DB4">
      <w:pPr>
        <w:tabs>
          <w:tab w:val="left" w:pos="7880"/>
        </w:tabs>
        <w:spacing w:line="480" w:lineRule="auto"/>
        <w:rPr>
          <w:bCs/>
        </w:rPr>
      </w:pPr>
      <w:r w:rsidRPr="008E608E">
        <w:rPr>
          <w:bCs/>
          <w:i/>
        </w:rPr>
        <w:lastRenderedPageBreak/>
        <w:t>Estimate of Annual Burden</w:t>
      </w:r>
      <w:r w:rsidRPr="008E608E">
        <w:rPr>
          <w:bCs/>
          <w:iCs/>
          <w:vertAlign w:val="superscript"/>
        </w:rPr>
        <w:footnoteReference w:id="7"/>
      </w:r>
      <w:r w:rsidRPr="008E608E">
        <w:rPr>
          <w:bCs/>
          <w:iCs/>
        </w:rPr>
        <w:t xml:space="preserve">:  </w:t>
      </w:r>
      <w:r w:rsidRPr="008E608E">
        <w:rPr>
          <w:bCs/>
        </w:rPr>
        <w:t>The estimated burden and cost</w:t>
      </w:r>
      <w:r w:rsidRPr="008E608E">
        <w:rPr>
          <w:bCs/>
          <w:vertAlign w:val="superscript"/>
        </w:rPr>
        <w:footnoteReference w:id="8"/>
      </w:r>
      <w:r w:rsidRPr="008E608E">
        <w:rPr>
          <w:bCs/>
        </w:rPr>
        <w:t xml:space="preserve"> are as follows:</w:t>
      </w:r>
      <w:r w:rsidR="00411081">
        <w:rPr>
          <w:bCs/>
        </w:rPr>
        <w:br/>
      </w:r>
    </w:p>
    <w:tbl>
      <w:tblPr>
        <w:tblW w:w="10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35"/>
        <w:gridCol w:w="1710"/>
        <w:gridCol w:w="1440"/>
        <w:gridCol w:w="1260"/>
        <w:gridCol w:w="1260"/>
        <w:gridCol w:w="1530"/>
        <w:gridCol w:w="1445"/>
      </w:tblGrid>
      <w:tr w:rsidRPr="008E608E" w:rsidR="008E608E" w:rsidTr="00092946" w14:paraId="33E37A79" w14:textId="77777777">
        <w:trPr>
          <w:trHeight w:val="288"/>
        </w:trPr>
        <w:tc>
          <w:tcPr>
            <w:tcW w:w="10080" w:type="dxa"/>
            <w:gridSpan w:val="7"/>
            <w:shd w:val="clear" w:color="auto" w:fill="D9D9D9"/>
          </w:tcPr>
          <w:p w:rsidRPr="008E608E" w:rsidR="008E608E" w:rsidP="00411081" w:rsidRDefault="008E608E" w14:paraId="6B68F09C" w14:textId="77777777">
            <w:pPr>
              <w:tabs>
                <w:tab w:val="left" w:pos="7880"/>
              </w:tabs>
              <w:rPr>
                <w:b/>
                <w:sz w:val="22"/>
              </w:rPr>
            </w:pPr>
            <w:r w:rsidRPr="008E608E">
              <w:rPr>
                <w:b/>
                <w:sz w:val="22"/>
              </w:rPr>
              <w:t>FERC-725HH, RF Reliability Standards</w:t>
            </w:r>
          </w:p>
        </w:tc>
      </w:tr>
      <w:tr w:rsidRPr="008E608E" w:rsidR="008E608E" w:rsidTr="00092946" w14:paraId="374FEC6E" w14:textId="77777777">
        <w:trPr>
          <w:trHeight w:val="744"/>
        </w:trPr>
        <w:tc>
          <w:tcPr>
            <w:tcW w:w="1435" w:type="dxa"/>
            <w:shd w:val="clear" w:color="auto" w:fill="D9D9D9"/>
            <w:vAlign w:val="bottom"/>
          </w:tcPr>
          <w:p w:rsidRPr="008E608E" w:rsidR="008E608E" w:rsidP="00411081" w:rsidRDefault="008E608E" w14:paraId="38DE39B7" w14:textId="77777777">
            <w:pPr>
              <w:tabs>
                <w:tab w:val="left" w:pos="7880"/>
              </w:tabs>
              <w:rPr>
                <w:b/>
                <w:sz w:val="22"/>
              </w:rPr>
            </w:pPr>
            <w:r w:rsidRPr="008E608E">
              <w:rPr>
                <w:b/>
                <w:sz w:val="22"/>
              </w:rPr>
              <w:t xml:space="preserve">Entity </w:t>
            </w:r>
          </w:p>
        </w:tc>
        <w:tc>
          <w:tcPr>
            <w:tcW w:w="1710" w:type="dxa"/>
            <w:shd w:val="clear" w:color="auto" w:fill="D9D9D9"/>
            <w:vAlign w:val="bottom"/>
          </w:tcPr>
          <w:p w:rsidRPr="008E608E" w:rsidR="008E608E" w:rsidP="00411081" w:rsidRDefault="008E608E" w14:paraId="4058FF71" w14:textId="77777777">
            <w:pPr>
              <w:tabs>
                <w:tab w:val="left" w:pos="7880"/>
              </w:tabs>
              <w:rPr>
                <w:b/>
                <w:sz w:val="22"/>
                <w:vertAlign w:val="superscript"/>
              </w:rPr>
            </w:pPr>
            <w:r w:rsidRPr="008E608E">
              <w:rPr>
                <w:b/>
                <w:sz w:val="22"/>
              </w:rPr>
              <w:t>No. of Respondents</w:t>
            </w:r>
            <w:r w:rsidRPr="008E608E">
              <w:rPr>
                <w:b/>
                <w:sz w:val="22"/>
                <w:vertAlign w:val="superscript"/>
              </w:rPr>
              <w:footnoteReference w:id="9"/>
            </w:r>
          </w:p>
          <w:p w:rsidRPr="008E608E" w:rsidR="008E608E" w:rsidP="00411081" w:rsidRDefault="008E608E" w14:paraId="314C6359" w14:textId="77777777">
            <w:pPr>
              <w:tabs>
                <w:tab w:val="left" w:pos="7880"/>
              </w:tabs>
              <w:rPr>
                <w:b/>
                <w:sz w:val="22"/>
              </w:rPr>
            </w:pPr>
            <w:r w:rsidRPr="008E608E">
              <w:rPr>
                <w:b/>
                <w:sz w:val="22"/>
              </w:rPr>
              <w:t>(1)</w:t>
            </w:r>
          </w:p>
        </w:tc>
        <w:tc>
          <w:tcPr>
            <w:tcW w:w="1440" w:type="dxa"/>
            <w:shd w:val="clear" w:color="auto" w:fill="D9D9D9"/>
            <w:vAlign w:val="bottom"/>
          </w:tcPr>
          <w:p w:rsidRPr="008E608E" w:rsidR="008E608E" w:rsidP="00411081" w:rsidRDefault="008E608E" w14:paraId="5A8C2A3E" w14:textId="77777777">
            <w:pPr>
              <w:tabs>
                <w:tab w:val="left" w:pos="7880"/>
              </w:tabs>
              <w:rPr>
                <w:b/>
                <w:sz w:val="22"/>
              </w:rPr>
            </w:pPr>
            <w:r w:rsidRPr="008E608E">
              <w:rPr>
                <w:b/>
                <w:sz w:val="22"/>
              </w:rPr>
              <w:t>Annual No. of Responses per Respondent</w:t>
            </w:r>
          </w:p>
          <w:p w:rsidRPr="008E608E" w:rsidR="008E608E" w:rsidP="00411081" w:rsidRDefault="008E608E" w14:paraId="4E3D6F5A" w14:textId="77777777">
            <w:pPr>
              <w:tabs>
                <w:tab w:val="left" w:pos="7880"/>
              </w:tabs>
              <w:rPr>
                <w:b/>
                <w:sz w:val="22"/>
              </w:rPr>
            </w:pPr>
            <w:r w:rsidRPr="008E608E">
              <w:rPr>
                <w:b/>
                <w:sz w:val="22"/>
              </w:rPr>
              <w:t>(2)</w:t>
            </w:r>
          </w:p>
        </w:tc>
        <w:tc>
          <w:tcPr>
            <w:tcW w:w="1260" w:type="dxa"/>
            <w:shd w:val="clear" w:color="auto" w:fill="D9D9D9"/>
            <w:vAlign w:val="bottom"/>
          </w:tcPr>
          <w:p w:rsidRPr="008E608E" w:rsidR="008E608E" w:rsidP="00411081" w:rsidRDefault="008E608E" w14:paraId="25E5BFF1" w14:textId="77777777">
            <w:pPr>
              <w:tabs>
                <w:tab w:val="left" w:pos="7880"/>
              </w:tabs>
              <w:rPr>
                <w:b/>
                <w:sz w:val="22"/>
              </w:rPr>
            </w:pPr>
            <w:r w:rsidRPr="008E608E">
              <w:rPr>
                <w:b/>
                <w:sz w:val="22"/>
              </w:rPr>
              <w:t>Annual No. of Responses</w:t>
            </w:r>
          </w:p>
          <w:p w:rsidRPr="008E608E" w:rsidR="008E608E" w:rsidP="00411081" w:rsidRDefault="008E608E" w14:paraId="7A0137C5" w14:textId="77777777">
            <w:pPr>
              <w:tabs>
                <w:tab w:val="left" w:pos="7880"/>
              </w:tabs>
              <w:rPr>
                <w:b/>
                <w:sz w:val="22"/>
              </w:rPr>
            </w:pPr>
            <w:r w:rsidRPr="008E608E">
              <w:rPr>
                <w:b/>
                <w:sz w:val="22"/>
              </w:rPr>
              <w:t>(1)*(2)=(3)</w:t>
            </w:r>
          </w:p>
        </w:tc>
        <w:tc>
          <w:tcPr>
            <w:tcW w:w="1260" w:type="dxa"/>
            <w:shd w:val="clear" w:color="auto" w:fill="D9D9D9"/>
            <w:vAlign w:val="bottom"/>
          </w:tcPr>
          <w:p w:rsidRPr="008E608E" w:rsidR="008E608E" w:rsidP="00411081" w:rsidRDefault="008E608E" w14:paraId="1BC57BC0" w14:textId="77777777">
            <w:pPr>
              <w:tabs>
                <w:tab w:val="left" w:pos="7880"/>
              </w:tabs>
              <w:rPr>
                <w:b/>
                <w:sz w:val="22"/>
              </w:rPr>
            </w:pPr>
            <w:r w:rsidRPr="008E608E">
              <w:rPr>
                <w:b/>
                <w:sz w:val="22"/>
              </w:rPr>
              <w:t>Average Burden Hrs. &amp; Cost Per Response ($)</w:t>
            </w:r>
          </w:p>
          <w:p w:rsidRPr="008E608E" w:rsidR="008E608E" w:rsidP="00411081" w:rsidRDefault="008E608E" w14:paraId="02293FE8" w14:textId="77777777">
            <w:pPr>
              <w:tabs>
                <w:tab w:val="left" w:pos="7880"/>
              </w:tabs>
              <w:rPr>
                <w:b/>
                <w:sz w:val="22"/>
              </w:rPr>
            </w:pPr>
            <w:r w:rsidRPr="008E608E">
              <w:rPr>
                <w:b/>
                <w:sz w:val="22"/>
              </w:rPr>
              <w:t>(4)</w:t>
            </w:r>
          </w:p>
        </w:tc>
        <w:tc>
          <w:tcPr>
            <w:tcW w:w="1530" w:type="dxa"/>
            <w:shd w:val="clear" w:color="auto" w:fill="D9D9D9"/>
            <w:vAlign w:val="bottom"/>
          </w:tcPr>
          <w:p w:rsidRPr="008E608E" w:rsidR="008E608E" w:rsidP="00411081" w:rsidRDefault="008E608E" w14:paraId="038561E1" w14:textId="77777777">
            <w:pPr>
              <w:tabs>
                <w:tab w:val="left" w:pos="7880"/>
              </w:tabs>
              <w:rPr>
                <w:b/>
                <w:sz w:val="22"/>
              </w:rPr>
            </w:pPr>
            <w:r w:rsidRPr="008E608E">
              <w:rPr>
                <w:b/>
                <w:sz w:val="22"/>
              </w:rPr>
              <w:t>Total Annual Burden Hours &amp; Total Annual Cost ($)</w:t>
            </w:r>
          </w:p>
          <w:p w:rsidRPr="008E608E" w:rsidR="008E608E" w:rsidP="00411081" w:rsidRDefault="008E608E" w14:paraId="2F08A9DE" w14:textId="77777777">
            <w:pPr>
              <w:tabs>
                <w:tab w:val="left" w:pos="7880"/>
              </w:tabs>
              <w:rPr>
                <w:b/>
                <w:sz w:val="22"/>
              </w:rPr>
            </w:pPr>
            <w:r w:rsidRPr="008E608E">
              <w:rPr>
                <w:b/>
                <w:sz w:val="22"/>
              </w:rPr>
              <w:t>(3)*(4)=(5)</w:t>
            </w:r>
          </w:p>
        </w:tc>
        <w:tc>
          <w:tcPr>
            <w:tcW w:w="1445" w:type="dxa"/>
            <w:shd w:val="clear" w:color="auto" w:fill="D9D9D9"/>
            <w:vAlign w:val="bottom"/>
          </w:tcPr>
          <w:p w:rsidRPr="008E608E" w:rsidR="008E608E" w:rsidP="00411081" w:rsidRDefault="008E608E" w14:paraId="7A696BCC" w14:textId="77777777">
            <w:pPr>
              <w:tabs>
                <w:tab w:val="left" w:pos="7880"/>
              </w:tabs>
              <w:rPr>
                <w:b/>
                <w:sz w:val="22"/>
              </w:rPr>
            </w:pPr>
            <w:r w:rsidRPr="008E608E">
              <w:rPr>
                <w:b/>
                <w:sz w:val="22"/>
              </w:rPr>
              <w:t>Cost per Respondent ($)</w:t>
            </w:r>
          </w:p>
          <w:p w:rsidRPr="008E608E" w:rsidR="008E608E" w:rsidP="00411081" w:rsidRDefault="008E608E" w14:paraId="395970FA" w14:textId="77777777">
            <w:pPr>
              <w:tabs>
                <w:tab w:val="left" w:pos="7880"/>
              </w:tabs>
              <w:rPr>
                <w:b/>
                <w:sz w:val="22"/>
              </w:rPr>
            </w:pPr>
            <w:r w:rsidRPr="008E608E">
              <w:rPr>
                <w:b/>
                <w:sz w:val="22"/>
              </w:rPr>
              <w:t>(5)÷(1)=(6)</w:t>
            </w:r>
          </w:p>
        </w:tc>
      </w:tr>
      <w:tr w:rsidRPr="008E608E" w:rsidR="008E608E" w:rsidTr="00DF121F" w14:paraId="6981706A" w14:textId="77777777">
        <w:trPr>
          <w:trHeight w:val="299"/>
        </w:trPr>
        <w:tc>
          <w:tcPr>
            <w:tcW w:w="1435" w:type="dxa"/>
            <w:vAlign w:val="bottom"/>
          </w:tcPr>
          <w:p w:rsidRPr="008E608E" w:rsidR="008E608E" w:rsidP="00411081" w:rsidRDefault="008E608E" w14:paraId="680FB027" w14:textId="77777777">
            <w:pPr>
              <w:tabs>
                <w:tab w:val="left" w:pos="7880"/>
              </w:tabs>
              <w:rPr>
                <w:bCs/>
                <w:sz w:val="22"/>
              </w:rPr>
            </w:pPr>
            <w:r w:rsidRPr="008E608E">
              <w:rPr>
                <w:bCs/>
                <w:sz w:val="22"/>
              </w:rPr>
              <w:t>Planning Coordinators</w:t>
            </w:r>
          </w:p>
        </w:tc>
        <w:tc>
          <w:tcPr>
            <w:tcW w:w="1710" w:type="dxa"/>
            <w:vAlign w:val="bottom"/>
          </w:tcPr>
          <w:p w:rsidRPr="008E608E" w:rsidR="008E608E" w:rsidP="00DF121F" w:rsidRDefault="008E608E" w14:paraId="3CE5B20B" w14:textId="77777777">
            <w:pPr>
              <w:tabs>
                <w:tab w:val="left" w:pos="7880"/>
              </w:tabs>
              <w:jc w:val="right"/>
              <w:rPr>
                <w:bCs/>
                <w:sz w:val="22"/>
              </w:rPr>
            </w:pPr>
            <w:r w:rsidRPr="008E608E">
              <w:rPr>
                <w:bCs/>
                <w:sz w:val="22"/>
              </w:rPr>
              <w:t>2</w:t>
            </w:r>
          </w:p>
        </w:tc>
        <w:tc>
          <w:tcPr>
            <w:tcW w:w="1440" w:type="dxa"/>
            <w:vAlign w:val="bottom"/>
          </w:tcPr>
          <w:p w:rsidRPr="008E608E" w:rsidR="008E608E" w:rsidP="00DF121F" w:rsidRDefault="008E608E" w14:paraId="52EC1CB9" w14:textId="77777777">
            <w:pPr>
              <w:tabs>
                <w:tab w:val="left" w:pos="7880"/>
              </w:tabs>
              <w:jc w:val="right"/>
              <w:rPr>
                <w:bCs/>
                <w:sz w:val="22"/>
              </w:rPr>
            </w:pPr>
            <w:r w:rsidRPr="008E608E">
              <w:rPr>
                <w:bCs/>
                <w:sz w:val="22"/>
              </w:rPr>
              <w:t>1</w:t>
            </w:r>
          </w:p>
        </w:tc>
        <w:tc>
          <w:tcPr>
            <w:tcW w:w="1260" w:type="dxa"/>
            <w:vAlign w:val="bottom"/>
          </w:tcPr>
          <w:p w:rsidRPr="008E608E" w:rsidR="008E608E" w:rsidP="00DF121F" w:rsidRDefault="008E608E" w14:paraId="4716BF0C" w14:textId="77777777">
            <w:pPr>
              <w:tabs>
                <w:tab w:val="left" w:pos="7880"/>
              </w:tabs>
              <w:jc w:val="right"/>
              <w:rPr>
                <w:bCs/>
                <w:sz w:val="22"/>
              </w:rPr>
            </w:pPr>
            <w:r w:rsidRPr="008E608E">
              <w:rPr>
                <w:bCs/>
                <w:sz w:val="22"/>
              </w:rPr>
              <w:t>2</w:t>
            </w:r>
          </w:p>
        </w:tc>
        <w:tc>
          <w:tcPr>
            <w:tcW w:w="1260" w:type="dxa"/>
            <w:vAlign w:val="bottom"/>
          </w:tcPr>
          <w:p w:rsidRPr="008E608E" w:rsidR="008E608E" w:rsidP="00DF121F" w:rsidRDefault="008E608E" w14:paraId="4EAC0108" w14:textId="77777777">
            <w:pPr>
              <w:tabs>
                <w:tab w:val="left" w:pos="7880"/>
              </w:tabs>
              <w:jc w:val="right"/>
              <w:rPr>
                <w:bCs/>
                <w:sz w:val="22"/>
              </w:rPr>
            </w:pPr>
            <w:r w:rsidRPr="008E608E">
              <w:rPr>
                <w:bCs/>
                <w:sz w:val="22"/>
              </w:rPr>
              <w:t>16 hrs.;</w:t>
            </w:r>
          </w:p>
          <w:p w:rsidRPr="008E608E" w:rsidR="008E608E" w:rsidP="00DF121F" w:rsidRDefault="008E608E" w14:paraId="37B0694C" w14:textId="77777777">
            <w:pPr>
              <w:tabs>
                <w:tab w:val="left" w:pos="7880"/>
              </w:tabs>
              <w:jc w:val="right"/>
              <w:rPr>
                <w:bCs/>
                <w:sz w:val="22"/>
              </w:rPr>
            </w:pPr>
            <w:r w:rsidRPr="008E608E">
              <w:rPr>
                <w:bCs/>
                <w:sz w:val="22"/>
              </w:rPr>
              <w:t>$1,243.52</w:t>
            </w:r>
          </w:p>
        </w:tc>
        <w:tc>
          <w:tcPr>
            <w:tcW w:w="1530" w:type="dxa"/>
            <w:vAlign w:val="bottom"/>
          </w:tcPr>
          <w:p w:rsidRPr="008E608E" w:rsidR="008E608E" w:rsidP="00DF121F" w:rsidRDefault="008E608E" w14:paraId="05C456D7" w14:textId="77777777">
            <w:pPr>
              <w:tabs>
                <w:tab w:val="left" w:pos="7880"/>
              </w:tabs>
              <w:jc w:val="right"/>
              <w:rPr>
                <w:bCs/>
                <w:sz w:val="22"/>
              </w:rPr>
            </w:pPr>
            <w:r w:rsidRPr="008E608E">
              <w:rPr>
                <w:bCs/>
                <w:sz w:val="22"/>
              </w:rPr>
              <w:t>32 hrs.;</w:t>
            </w:r>
          </w:p>
          <w:p w:rsidRPr="008E608E" w:rsidR="008E608E" w:rsidP="00DF121F" w:rsidRDefault="008E608E" w14:paraId="58441B7E" w14:textId="6AC9051A">
            <w:pPr>
              <w:tabs>
                <w:tab w:val="left" w:pos="7880"/>
              </w:tabs>
              <w:jc w:val="right"/>
              <w:rPr>
                <w:bCs/>
                <w:sz w:val="22"/>
              </w:rPr>
            </w:pPr>
            <w:r w:rsidRPr="008E608E">
              <w:rPr>
                <w:bCs/>
                <w:sz w:val="22"/>
              </w:rPr>
              <w:t>$2</w:t>
            </w:r>
            <w:r w:rsidR="00411081">
              <w:rPr>
                <w:bCs/>
                <w:sz w:val="22"/>
              </w:rPr>
              <w:t>,</w:t>
            </w:r>
            <w:r w:rsidRPr="008E608E">
              <w:rPr>
                <w:bCs/>
                <w:sz w:val="22"/>
              </w:rPr>
              <w:t>487.04</w:t>
            </w:r>
          </w:p>
        </w:tc>
        <w:tc>
          <w:tcPr>
            <w:tcW w:w="1445" w:type="dxa"/>
            <w:vAlign w:val="bottom"/>
          </w:tcPr>
          <w:p w:rsidRPr="008E608E" w:rsidR="008E608E" w:rsidP="00DF121F" w:rsidRDefault="008E608E" w14:paraId="47DFA31D" w14:textId="77777777">
            <w:pPr>
              <w:tabs>
                <w:tab w:val="left" w:pos="7880"/>
              </w:tabs>
              <w:jc w:val="right"/>
              <w:rPr>
                <w:bCs/>
                <w:sz w:val="22"/>
              </w:rPr>
            </w:pPr>
            <w:r w:rsidRPr="008E608E">
              <w:rPr>
                <w:bCs/>
                <w:sz w:val="22"/>
              </w:rPr>
              <w:t>$1,243.52</w:t>
            </w:r>
          </w:p>
        </w:tc>
      </w:tr>
    </w:tbl>
    <w:p w:rsidRPr="00BC573B" w:rsidR="00411081" w:rsidP="006436CD" w:rsidRDefault="00411081" w14:paraId="12BFFFE7" w14:textId="77777777">
      <w:pPr>
        <w:tabs>
          <w:tab w:val="left" w:pos="7880"/>
        </w:tabs>
        <w:spacing w:line="480" w:lineRule="auto"/>
        <w:rPr>
          <w:iCs/>
        </w:rPr>
      </w:pPr>
    </w:p>
    <w:p w:rsidR="006436CD" w:rsidP="00BC573B" w:rsidRDefault="006716EE" w14:paraId="1B0676BC" w14:textId="20E1D548">
      <w:pPr>
        <w:tabs>
          <w:tab w:val="left" w:pos="7880"/>
        </w:tabs>
        <w:spacing w:line="480" w:lineRule="auto"/>
      </w:pPr>
      <w:r>
        <w:rPr>
          <w:i/>
        </w:rPr>
        <w:t>C</w:t>
      </w:r>
      <w:r w:rsidRPr="006436CD" w:rsidR="006436CD">
        <w:rPr>
          <w:i/>
        </w:rPr>
        <w:t xml:space="preserve">omments:  </w:t>
      </w:r>
      <w:r w:rsidRPr="006436CD" w:rsidR="006436CD">
        <w:t>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w:t>
      </w:r>
      <w:r w:rsidR="00D31BA5">
        <w:t xml:space="preserve"> </w:t>
      </w:r>
      <w:r w:rsidRPr="006436CD" w:rsidR="006436CD">
        <w:lastRenderedPageBreak/>
        <w:t>clarity of the information collection; and (4) ways to minimize the burden of the collection of information on those who are to respond, including the use of automated collection techniques or other forms of information technology.</w:t>
      </w:r>
    </w:p>
    <w:p w:rsidR="006436CD" w:rsidP="000A29E9" w:rsidRDefault="006436CD" w14:paraId="15CBF2E0" w14:textId="48B1C692">
      <w:pPr>
        <w:tabs>
          <w:tab w:val="left" w:pos="7880"/>
        </w:tabs>
      </w:pPr>
    </w:p>
    <w:p w:rsidR="000A29E9" w:rsidP="000A29E9" w:rsidRDefault="000A29E9" w14:paraId="6F89DAC5" w14:textId="038229D2">
      <w:pPr>
        <w:tabs>
          <w:tab w:val="left" w:pos="7880"/>
        </w:tabs>
      </w:pPr>
    </w:p>
    <w:p w:rsidR="000A29E9" w:rsidP="000A29E9" w:rsidRDefault="000A29E9" w14:paraId="338B0BF8" w14:textId="33581A56">
      <w:pPr>
        <w:tabs>
          <w:tab w:val="left" w:pos="7880"/>
        </w:tabs>
      </w:pPr>
    </w:p>
    <w:p w:rsidRPr="007F5A9A" w:rsidR="007F5A9A" w:rsidP="007F5A9A" w:rsidRDefault="007F5A9A" w14:paraId="087D6037" w14:textId="77777777">
      <w:pPr>
        <w:ind w:firstLine="2606"/>
        <w:jc w:val="center"/>
      </w:pPr>
      <w:r w:rsidRPr="007F5A9A">
        <w:t>Kimberly D. Bose,</w:t>
      </w:r>
    </w:p>
    <w:p w:rsidRPr="000A29E9" w:rsidR="000A29E9" w:rsidP="000A29E9" w:rsidRDefault="007F5A9A" w14:paraId="5B3D6097" w14:textId="3BBEF4AD">
      <w:pPr>
        <w:ind w:firstLine="2606"/>
        <w:jc w:val="center"/>
      </w:pPr>
      <w:r w:rsidRPr="007F5A9A">
        <w:t>Secretary.</w:t>
      </w:r>
    </w:p>
    <w:sectPr w:rsidRPr="000A29E9" w:rsidR="000A29E9" w:rsidSect="00D0665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1144" w14:textId="77777777" w:rsidR="00FC19F3" w:rsidRDefault="00FC19F3" w:rsidP="00B01B16">
      <w:r>
        <w:separator/>
      </w:r>
    </w:p>
  </w:endnote>
  <w:endnote w:type="continuationSeparator" w:id="0">
    <w:p w14:paraId="0CFA3221" w14:textId="77777777" w:rsidR="00FC19F3" w:rsidRDefault="00FC19F3" w:rsidP="00B0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2626F" w14:textId="77777777" w:rsidR="00564BD9" w:rsidRDefault="00564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8FB58" w14:textId="7E7CFB0F" w:rsidR="00D06653" w:rsidRDefault="00D06653">
    <w:pPr>
      <w:pStyle w:val="Footer"/>
      <w:jc w:val="center"/>
    </w:pPr>
  </w:p>
  <w:p w14:paraId="0BE8E212" w14:textId="72EF95F6" w:rsidR="00D06653" w:rsidRDefault="00D06653" w:rsidP="00D06653">
    <w:pPr>
      <w:pStyle w:val="Footer"/>
      <w:tabs>
        <w:tab w:val="clear" w:pos="4680"/>
        <w:tab w:val="clear" w:pos="9360"/>
        <w:tab w:val="left" w:pos="36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0CB" w14:textId="2155C83D" w:rsidR="00D06653" w:rsidRDefault="00D06653">
    <w:pPr>
      <w:pStyle w:val="Footer"/>
      <w:jc w:val="center"/>
    </w:pPr>
  </w:p>
  <w:p w14:paraId="27EF3A72" w14:textId="77777777" w:rsidR="004F30CC" w:rsidRDefault="004F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E6C352" w14:textId="77777777" w:rsidR="00FC19F3" w:rsidRDefault="00FC19F3" w:rsidP="00B01B16">
      <w:r>
        <w:separator/>
      </w:r>
    </w:p>
  </w:footnote>
  <w:footnote w:type="continuationSeparator" w:id="0">
    <w:p w14:paraId="25177EBB" w14:textId="77777777" w:rsidR="00FC19F3" w:rsidRDefault="00FC19F3" w:rsidP="00B01B16">
      <w:r>
        <w:continuationSeparator/>
      </w:r>
    </w:p>
  </w:footnote>
  <w:footnote w:id="1">
    <w:p w14:paraId="33B70AF9" w14:textId="4552B17E" w:rsidR="008E608E" w:rsidRPr="00F26A5C" w:rsidRDefault="008E608E" w:rsidP="008E608E">
      <w:pPr>
        <w:pStyle w:val="FootnoteText"/>
        <w:rPr>
          <w:bCs/>
          <w:sz w:val="26"/>
          <w:szCs w:val="26"/>
        </w:rPr>
      </w:pPr>
      <w:r w:rsidRPr="00F26A5C">
        <w:rPr>
          <w:rStyle w:val="FootnoteReference"/>
          <w:bCs/>
        </w:rPr>
        <w:footnoteRef/>
      </w:r>
      <w:r w:rsidRPr="00F26A5C">
        <w:rPr>
          <w:bCs/>
          <w:sz w:val="26"/>
          <w:szCs w:val="26"/>
        </w:rPr>
        <w:t xml:space="preserve"> FPA section 251(a)(1) defines “bulk-power system” as follows:  “(A) facilities and control systems necessary for operating an interconnected electric energy transmission network (or any portion thereof); and (B) electric energy from generation facilities needed to maintain transmission system reliability.  The term does not include facilities used in the local distribution of electric energy.”</w:t>
      </w:r>
    </w:p>
  </w:footnote>
  <w:footnote w:id="2">
    <w:p w14:paraId="102CBD8A" w14:textId="77777777" w:rsidR="008E608E" w:rsidRPr="00F26A5C" w:rsidRDefault="008E608E" w:rsidP="008E608E">
      <w:pPr>
        <w:pStyle w:val="FootnoteText"/>
        <w:rPr>
          <w:sz w:val="26"/>
          <w:szCs w:val="26"/>
        </w:rPr>
      </w:pPr>
      <w:r w:rsidRPr="00F26A5C">
        <w:rPr>
          <w:rStyle w:val="FootnoteReference"/>
        </w:rPr>
        <w:footnoteRef/>
      </w:r>
      <w:r w:rsidRPr="00F26A5C">
        <w:rPr>
          <w:b/>
          <w:sz w:val="26"/>
          <w:szCs w:val="26"/>
        </w:rPr>
        <w:t xml:space="preserve"> </w:t>
      </w:r>
      <w:r w:rsidRPr="00F26A5C">
        <w:rPr>
          <w:sz w:val="26"/>
          <w:szCs w:val="26"/>
        </w:rPr>
        <w:t>FPA section 215(a)(2) defines “Electric Reliability Organization” as “the organization certified by the Commission under subsection (c) the purpose of which is to establish and enforce reliability standards for the bulk-power system, subject to Commission review.”</w:t>
      </w:r>
    </w:p>
  </w:footnote>
  <w:footnote w:id="3">
    <w:p w14:paraId="1F700AC3" w14:textId="77777777" w:rsidR="008E608E" w:rsidRPr="00F26A5C" w:rsidRDefault="008E608E" w:rsidP="008E608E">
      <w:pPr>
        <w:pStyle w:val="FootnoteText"/>
        <w:rPr>
          <w:bCs/>
          <w:sz w:val="26"/>
          <w:szCs w:val="26"/>
        </w:rPr>
      </w:pPr>
      <w:r w:rsidRPr="00F26A5C">
        <w:rPr>
          <w:rStyle w:val="FootnoteReference"/>
        </w:rPr>
        <w:footnoteRef/>
      </w:r>
      <w:r w:rsidRPr="00F26A5C">
        <w:rPr>
          <w:bCs/>
          <w:sz w:val="26"/>
          <w:szCs w:val="26"/>
        </w:rPr>
        <w:t xml:space="preserve"> </w:t>
      </w:r>
      <w:r w:rsidRPr="00F26A5C">
        <w:rPr>
          <w:bCs/>
          <w:i/>
          <w:sz w:val="26"/>
          <w:szCs w:val="26"/>
        </w:rPr>
        <w:t>North American Electric Reliability Corp.</w:t>
      </w:r>
      <w:r w:rsidRPr="00F26A5C">
        <w:rPr>
          <w:bCs/>
          <w:sz w:val="26"/>
          <w:szCs w:val="26"/>
        </w:rPr>
        <w:t xml:space="preserve">, 116 FERC ¶ 61,062 (ERO Certification Order), </w:t>
      </w:r>
      <w:r w:rsidRPr="00F26A5C">
        <w:rPr>
          <w:bCs/>
          <w:i/>
          <w:sz w:val="26"/>
          <w:szCs w:val="26"/>
        </w:rPr>
        <w:t>order on reh’g &amp; compliance</w:t>
      </w:r>
      <w:r w:rsidRPr="00F26A5C">
        <w:rPr>
          <w:bCs/>
          <w:sz w:val="26"/>
          <w:szCs w:val="26"/>
        </w:rPr>
        <w:t xml:space="preserve">, 117 FERC ¶ 61,126 (2006), </w:t>
      </w:r>
      <w:r w:rsidRPr="00F26A5C">
        <w:rPr>
          <w:bCs/>
          <w:i/>
          <w:sz w:val="26"/>
          <w:szCs w:val="26"/>
        </w:rPr>
        <w:t>aff’d sub nom. Alcoa, Inc. v. FERC</w:t>
      </w:r>
      <w:r w:rsidRPr="00F26A5C">
        <w:rPr>
          <w:bCs/>
          <w:sz w:val="26"/>
          <w:szCs w:val="26"/>
        </w:rPr>
        <w:t>, 564 F.3d 1342 (D.C. Cir. 2009).</w:t>
      </w:r>
    </w:p>
  </w:footnote>
  <w:footnote w:id="4">
    <w:p w14:paraId="28599416" w14:textId="77777777" w:rsidR="008E608E" w:rsidRPr="00F26A5C" w:rsidRDefault="008E608E" w:rsidP="008E608E">
      <w:pPr>
        <w:pStyle w:val="FootnoteText"/>
        <w:rPr>
          <w:sz w:val="26"/>
          <w:szCs w:val="26"/>
        </w:rPr>
      </w:pPr>
      <w:r w:rsidRPr="00F26A5C">
        <w:rPr>
          <w:rStyle w:val="FootnoteReference"/>
        </w:rPr>
        <w:footnoteRef/>
      </w:r>
      <w:r w:rsidRPr="00F26A5C">
        <w:rPr>
          <w:sz w:val="26"/>
          <w:szCs w:val="26"/>
        </w:rPr>
        <w:t xml:space="preserve"> 16 U.S.C. 824</w:t>
      </w:r>
      <w:r w:rsidRPr="00F26A5C">
        <w:rPr>
          <w:i/>
          <w:iCs/>
          <w:sz w:val="26"/>
          <w:szCs w:val="26"/>
        </w:rPr>
        <w:t>o</w:t>
      </w:r>
      <w:r w:rsidRPr="00F26A5C">
        <w:rPr>
          <w:sz w:val="26"/>
          <w:szCs w:val="26"/>
        </w:rPr>
        <w:t xml:space="preserve">(e)(4). </w:t>
      </w:r>
    </w:p>
  </w:footnote>
  <w:footnote w:id="5">
    <w:p w14:paraId="0F92E125" w14:textId="77777777" w:rsidR="008E608E" w:rsidRPr="00F26A5C" w:rsidRDefault="008E608E" w:rsidP="008E608E">
      <w:pPr>
        <w:pStyle w:val="FootnoteText"/>
        <w:rPr>
          <w:sz w:val="26"/>
          <w:szCs w:val="26"/>
        </w:rPr>
      </w:pPr>
      <w:r w:rsidRPr="00F26A5C">
        <w:rPr>
          <w:rStyle w:val="FootnoteReference"/>
        </w:rPr>
        <w:footnoteRef/>
      </w:r>
      <w:r w:rsidRPr="00F26A5C">
        <w:rPr>
          <w:sz w:val="26"/>
          <w:szCs w:val="26"/>
        </w:rPr>
        <w:t xml:space="preserve"> 16 U.S.C. 824</w:t>
      </w:r>
      <w:r w:rsidRPr="00F26A5C">
        <w:rPr>
          <w:i/>
          <w:iCs/>
          <w:sz w:val="26"/>
          <w:szCs w:val="26"/>
        </w:rPr>
        <w:t>o</w:t>
      </w:r>
      <w:r w:rsidRPr="00F26A5C">
        <w:rPr>
          <w:sz w:val="26"/>
          <w:szCs w:val="26"/>
        </w:rPr>
        <w:t xml:space="preserve">(a)(7) and (e)(4). </w:t>
      </w:r>
    </w:p>
  </w:footnote>
  <w:footnote w:id="6">
    <w:p w14:paraId="10D3F10E" w14:textId="77777777" w:rsidR="008E608E" w:rsidRPr="007F5A9A" w:rsidRDefault="008E608E" w:rsidP="008E608E">
      <w:pPr>
        <w:pStyle w:val="FootnoteText"/>
        <w:rPr>
          <w:sz w:val="24"/>
          <w:szCs w:val="26"/>
        </w:rPr>
      </w:pPr>
      <w:r w:rsidRPr="00F26A5C">
        <w:rPr>
          <w:rStyle w:val="FootnoteReference"/>
        </w:rPr>
        <w:footnoteRef/>
      </w:r>
      <w:r w:rsidRPr="00F26A5C">
        <w:rPr>
          <w:sz w:val="26"/>
          <w:szCs w:val="26"/>
        </w:rPr>
        <w:t xml:space="preserve"> </w:t>
      </w:r>
      <w:r w:rsidRPr="00F26A5C">
        <w:rPr>
          <w:i/>
          <w:sz w:val="26"/>
          <w:szCs w:val="26"/>
        </w:rPr>
        <w:t>Planning Resource Adequacy Assessment Reliability Standard</w:t>
      </w:r>
      <w:r w:rsidRPr="00F26A5C">
        <w:rPr>
          <w:sz w:val="26"/>
          <w:szCs w:val="26"/>
        </w:rPr>
        <w:t>, Order No. 747, 134 FERC ¶ 61,212 (2011).</w:t>
      </w:r>
    </w:p>
  </w:footnote>
  <w:footnote w:id="7">
    <w:p w14:paraId="2DD36ACC" w14:textId="77777777" w:rsidR="008E608E" w:rsidRPr="00F26A5C" w:rsidRDefault="008E608E" w:rsidP="008E608E">
      <w:pPr>
        <w:pStyle w:val="FootnoteText"/>
        <w:rPr>
          <w:sz w:val="26"/>
          <w:szCs w:val="26"/>
        </w:rPr>
      </w:pPr>
      <w:r w:rsidRPr="00F26A5C">
        <w:rPr>
          <w:rStyle w:val="FootnoteReference"/>
        </w:rPr>
        <w:footnoteRef/>
      </w:r>
      <w:r w:rsidRPr="00F26A5C">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8">
    <w:p w14:paraId="21632E97" w14:textId="03E08A27" w:rsidR="007F5A9A" w:rsidRPr="00F26A5C" w:rsidRDefault="008E608E" w:rsidP="007F5A9A">
      <w:pPr>
        <w:pStyle w:val="FootnoteText"/>
        <w:rPr>
          <w:sz w:val="26"/>
          <w:szCs w:val="26"/>
        </w:rPr>
      </w:pPr>
      <w:r w:rsidRPr="00F26A5C">
        <w:rPr>
          <w:rStyle w:val="FootnoteReference"/>
        </w:rPr>
        <w:footnoteRef/>
      </w:r>
      <w:r w:rsidRPr="00F26A5C">
        <w:rPr>
          <w:sz w:val="26"/>
          <w:szCs w:val="26"/>
        </w:rPr>
        <w:t xml:space="preserve"> </w:t>
      </w:r>
      <w:bookmarkStart w:id="2" w:name="_Hlk65239473"/>
      <w:r w:rsidR="007F5A9A" w:rsidRPr="00F26A5C">
        <w:rPr>
          <w:sz w:val="26"/>
          <w:szCs w:val="26"/>
        </w:rPr>
        <w:t>T</w:t>
      </w:r>
      <w:r w:rsidRPr="00F26A5C">
        <w:rPr>
          <w:sz w:val="26"/>
          <w:szCs w:val="26"/>
        </w:rPr>
        <w:t xml:space="preserve">he hourly cost </w:t>
      </w:r>
      <w:r w:rsidR="000B27A7" w:rsidRPr="00F26A5C">
        <w:rPr>
          <w:sz w:val="26"/>
          <w:szCs w:val="26"/>
        </w:rPr>
        <w:t xml:space="preserve">($77.72 </w:t>
      </w:r>
      <w:r w:rsidRPr="00F26A5C">
        <w:rPr>
          <w:sz w:val="26"/>
          <w:szCs w:val="26"/>
        </w:rPr>
        <w:t xml:space="preserve">for salary plus benefits) </w:t>
      </w:r>
      <w:r w:rsidR="007F5A9A" w:rsidRPr="00F26A5C">
        <w:rPr>
          <w:sz w:val="26"/>
          <w:szCs w:val="26"/>
        </w:rPr>
        <w:t>is the average of mean hourly salaries and benefits for the following occupations:</w:t>
      </w:r>
    </w:p>
    <w:p w14:paraId="0F9851CB" w14:textId="05B59008" w:rsidR="008E608E" w:rsidRPr="00F26A5C" w:rsidRDefault="008E608E" w:rsidP="007F5A9A">
      <w:pPr>
        <w:pStyle w:val="FootnoteText"/>
        <w:numPr>
          <w:ilvl w:val="3"/>
          <w:numId w:val="5"/>
        </w:numPr>
        <w:ind w:left="0" w:firstLine="0"/>
        <w:rPr>
          <w:sz w:val="26"/>
          <w:szCs w:val="26"/>
        </w:rPr>
      </w:pPr>
      <w:r w:rsidRPr="00F26A5C">
        <w:rPr>
          <w:sz w:val="26"/>
          <w:szCs w:val="26"/>
        </w:rPr>
        <w:t>Manager (Occupation Code 11-0000): $94.84/hour</w:t>
      </w:r>
    </w:p>
    <w:p w14:paraId="61868A0C" w14:textId="77777777" w:rsidR="008E608E" w:rsidRPr="00F26A5C" w:rsidRDefault="008E608E" w:rsidP="008E608E">
      <w:pPr>
        <w:pStyle w:val="FootnoteText"/>
        <w:numPr>
          <w:ilvl w:val="0"/>
          <w:numId w:val="5"/>
        </w:numPr>
        <w:ind w:left="0" w:firstLine="0"/>
        <w:rPr>
          <w:sz w:val="26"/>
          <w:szCs w:val="26"/>
        </w:rPr>
      </w:pPr>
      <w:r w:rsidRPr="00F26A5C">
        <w:rPr>
          <w:sz w:val="26"/>
          <w:szCs w:val="26"/>
        </w:rPr>
        <w:t>Engineer (Occupation Code 17-2071): $85.71/hour</w:t>
      </w:r>
    </w:p>
    <w:p w14:paraId="016ADC22" w14:textId="77777777" w:rsidR="008E608E" w:rsidRPr="00F26A5C" w:rsidRDefault="008E608E" w:rsidP="008E608E">
      <w:pPr>
        <w:pStyle w:val="FootnoteText"/>
        <w:numPr>
          <w:ilvl w:val="0"/>
          <w:numId w:val="5"/>
        </w:numPr>
        <w:ind w:left="0" w:firstLine="0"/>
        <w:rPr>
          <w:sz w:val="26"/>
          <w:szCs w:val="26"/>
        </w:rPr>
      </w:pPr>
      <w:r w:rsidRPr="00F26A5C">
        <w:rPr>
          <w:sz w:val="26"/>
          <w:szCs w:val="26"/>
        </w:rPr>
        <w:t>File Clerk (Occupation Code 43-4071): $52.60/hour</w:t>
      </w:r>
    </w:p>
    <w:p w14:paraId="779B7CFD" w14:textId="39FB7A77" w:rsidR="00AD7C49" w:rsidRPr="00F26A5C" w:rsidRDefault="000B27A7" w:rsidP="00AD7C49">
      <w:pPr>
        <w:pStyle w:val="FootnoteText"/>
        <w:rPr>
          <w:sz w:val="26"/>
          <w:szCs w:val="26"/>
        </w:rPr>
      </w:pPr>
      <w:r w:rsidRPr="00F26A5C">
        <w:rPr>
          <w:sz w:val="26"/>
          <w:szCs w:val="26"/>
        </w:rPr>
        <w:t xml:space="preserve">Salary </w:t>
      </w:r>
      <w:r w:rsidR="00AD7C49" w:rsidRPr="00F26A5C">
        <w:rPr>
          <w:sz w:val="26"/>
          <w:szCs w:val="26"/>
        </w:rPr>
        <w:t xml:space="preserve">and benefits </w:t>
      </w:r>
      <w:r w:rsidRPr="00F26A5C">
        <w:rPr>
          <w:sz w:val="26"/>
          <w:szCs w:val="26"/>
        </w:rPr>
        <w:t>data are from the Bureau of Labor S</w:t>
      </w:r>
      <w:r w:rsidR="00AD7C49" w:rsidRPr="00F26A5C">
        <w:rPr>
          <w:sz w:val="26"/>
          <w:szCs w:val="26"/>
        </w:rPr>
        <w:t xml:space="preserve">tatistics at </w:t>
      </w:r>
      <w:hyperlink r:id="rId1" w:history="1">
        <w:r w:rsidR="00AD7C49" w:rsidRPr="00F26A5C">
          <w:rPr>
            <w:rStyle w:val="Hyperlink"/>
            <w:sz w:val="26"/>
            <w:szCs w:val="26"/>
          </w:rPr>
          <w:t>https://www.bls.gov/oes/current/oes_nat.htm</w:t>
        </w:r>
      </w:hyperlink>
      <w:r w:rsidR="00AD7C49" w:rsidRPr="00F26A5C">
        <w:rPr>
          <w:sz w:val="26"/>
          <w:szCs w:val="26"/>
        </w:rPr>
        <w:t xml:space="preserve"> (salaries) and </w:t>
      </w:r>
      <w:hyperlink r:id="rId2" w:history="1">
        <w:r w:rsidR="00AD7C49" w:rsidRPr="00F26A5C">
          <w:rPr>
            <w:rStyle w:val="Hyperlink"/>
            <w:sz w:val="26"/>
            <w:szCs w:val="26"/>
          </w:rPr>
          <w:t>http://www.bls.gov/news.release/ecec.nr0.htm</w:t>
        </w:r>
      </w:hyperlink>
      <w:r w:rsidR="00AD7C49" w:rsidRPr="00F26A5C">
        <w:rPr>
          <w:rStyle w:val="Hyperlink"/>
          <w:color w:val="auto"/>
          <w:sz w:val="26"/>
          <w:szCs w:val="26"/>
          <w:u w:val="none"/>
        </w:rPr>
        <w:t xml:space="preserve"> (benefits).</w:t>
      </w:r>
      <w:bookmarkEnd w:id="2"/>
    </w:p>
    <w:p w14:paraId="7B8BBBCC" w14:textId="2316EC99" w:rsidR="008E608E" w:rsidRPr="00F26A5C" w:rsidRDefault="008E608E" w:rsidP="008E608E">
      <w:pPr>
        <w:pStyle w:val="FootnoteText"/>
        <w:rPr>
          <w:sz w:val="26"/>
          <w:szCs w:val="26"/>
        </w:rPr>
      </w:pPr>
    </w:p>
  </w:footnote>
  <w:footnote w:id="9">
    <w:p w14:paraId="3AB06AD6" w14:textId="77777777" w:rsidR="008E608E" w:rsidRPr="007F5A9A" w:rsidRDefault="008E608E" w:rsidP="008E608E">
      <w:pPr>
        <w:pStyle w:val="FootnoteText"/>
        <w:rPr>
          <w:sz w:val="24"/>
          <w:szCs w:val="26"/>
          <w:highlight w:val="yellow"/>
        </w:rPr>
      </w:pPr>
      <w:r w:rsidRPr="00F26A5C">
        <w:rPr>
          <w:rStyle w:val="FootnoteReference"/>
        </w:rPr>
        <w:footnoteRef/>
      </w:r>
      <w:r w:rsidRPr="00F26A5C">
        <w:rPr>
          <w:sz w:val="26"/>
          <w:szCs w:val="26"/>
        </w:rPr>
        <w:t xml:space="preserve"> The number of respondents is derived from the NERC Compliance Registry as of October 2, 2020 for the burden associated with the proposed regional Reliability Standard BAL-502-RF-03.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488B" w14:textId="77777777" w:rsidR="00564BD9" w:rsidRDefault="00564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588207"/>
      <w:docPartObj>
        <w:docPartGallery w:val="Page Numbers (Top of Page)"/>
        <w:docPartUnique/>
      </w:docPartObj>
    </w:sdtPr>
    <w:sdtEndPr>
      <w:rPr>
        <w:noProof/>
      </w:rPr>
    </w:sdtEndPr>
    <w:sdtContent>
      <w:p w14:paraId="14BCC816" w14:textId="6AD8A2E3" w:rsidR="000A29E9" w:rsidRDefault="000A29E9">
        <w:pPr>
          <w:pStyle w:val="Header"/>
        </w:pPr>
        <w:r>
          <w:t>Docket No. IC2</w:t>
        </w:r>
        <w:r w:rsidR="00B42E89">
          <w:t>1-5-000</w:t>
        </w:r>
        <w:r>
          <w:tab/>
        </w:r>
        <w:r>
          <w:fldChar w:fldCharType="begin"/>
        </w:r>
        <w:r>
          <w:instrText xml:space="preserve"> PAGE   \* MERGEFORMAT </w:instrText>
        </w:r>
        <w:r>
          <w:fldChar w:fldCharType="separate"/>
        </w:r>
        <w:r>
          <w:rPr>
            <w:noProof/>
          </w:rPr>
          <w:t>2</w:t>
        </w:r>
        <w:r>
          <w:rPr>
            <w:noProof/>
          </w:rPr>
          <w:fldChar w:fldCharType="end"/>
        </w:r>
      </w:p>
    </w:sdtContent>
  </w:sdt>
  <w:p w14:paraId="10170C13" w14:textId="7BC37718" w:rsidR="00BF2D74" w:rsidRDefault="00BF2D74" w:rsidP="00C9709D">
    <w:pPr>
      <w:pStyle w:val="Header"/>
      <w:tabs>
        <w:tab w:val="left" w:pos="2837"/>
        <w:tab w:val="left" w:pos="3194"/>
        <w:tab w:val="left" w:pos="3422"/>
        <w:tab w:val="left" w:pos="3785"/>
        <w:tab w:val="left" w:pos="4149"/>
        <w:tab w:val="left" w:pos="4384"/>
        <w:tab w:val="left" w:pos="56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36CF" w14:textId="7534B6DD" w:rsidR="00291829" w:rsidRDefault="0061610C" w:rsidP="00C9709D">
    <w:pPr>
      <w:pStyle w:val="Header"/>
      <w:tabs>
        <w:tab w:val="left" w:pos="3386"/>
        <w:tab w:val="left" w:pos="3621"/>
        <w:tab w:val="left" w:pos="4484"/>
      </w:tabs>
    </w:pP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453C6417"/>
    <w:multiLevelType w:val="hybridMultilevel"/>
    <w:tmpl w:val="46D4A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6923E7A"/>
    <w:multiLevelType w:val="hybridMultilevel"/>
    <w:tmpl w:val="0A9E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22E1"/>
    <w:rsid w:val="00023EA9"/>
    <w:rsid w:val="000241AE"/>
    <w:rsid w:val="00034C49"/>
    <w:rsid w:val="000459B6"/>
    <w:rsid w:val="00056C5D"/>
    <w:rsid w:val="00062427"/>
    <w:rsid w:val="00096CAD"/>
    <w:rsid w:val="000A0250"/>
    <w:rsid w:val="000A29E9"/>
    <w:rsid w:val="000A3D28"/>
    <w:rsid w:val="000A7E68"/>
    <w:rsid w:val="000B27A7"/>
    <w:rsid w:val="000E2568"/>
    <w:rsid w:val="000E27B5"/>
    <w:rsid w:val="000F0B0E"/>
    <w:rsid w:val="00120A78"/>
    <w:rsid w:val="00121B28"/>
    <w:rsid w:val="001540CB"/>
    <w:rsid w:val="0015578A"/>
    <w:rsid w:val="00155DE9"/>
    <w:rsid w:val="00156BBB"/>
    <w:rsid w:val="001600DF"/>
    <w:rsid w:val="00171725"/>
    <w:rsid w:val="00181BF7"/>
    <w:rsid w:val="001A0782"/>
    <w:rsid w:val="001A3BF7"/>
    <w:rsid w:val="001A6AD6"/>
    <w:rsid w:val="001B6EFF"/>
    <w:rsid w:val="001B78B8"/>
    <w:rsid w:val="001E6510"/>
    <w:rsid w:val="001F0DF4"/>
    <w:rsid w:val="00224BF2"/>
    <w:rsid w:val="00254C99"/>
    <w:rsid w:val="0027452E"/>
    <w:rsid w:val="002746DE"/>
    <w:rsid w:val="00291829"/>
    <w:rsid w:val="00291A43"/>
    <w:rsid w:val="00292E2D"/>
    <w:rsid w:val="00293D56"/>
    <w:rsid w:val="002B7AA8"/>
    <w:rsid w:val="002C0CA7"/>
    <w:rsid w:val="002D5237"/>
    <w:rsid w:val="002E0351"/>
    <w:rsid w:val="002E71D9"/>
    <w:rsid w:val="002F24E8"/>
    <w:rsid w:val="002F3E94"/>
    <w:rsid w:val="002F697A"/>
    <w:rsid w:val="003060F0"/>
    <w:rsid w:val="0030745F"/>
    <w:rsid w:val="00310EFC"/>
    <w:rsid w:val="00311D90"/>
    <w:rsid w:val="003149BC"/>
    <w:rsid w:val="00332888"/>
    <w:rsid w:val="0034195C"/>
    <w:rsid w:val="00343A03"/>
    <w:rsid w:val="00347056"/>
    <w:rsid w:val="00361371"/>
    <w:rsid w:val="00363638"/>
    <w:rsid w:val="00366BF2"/>
    <w:rsid w:val="003673EC"/>
    <w:rsid w:val="00376525"/>
    <w:rsid w:val="003960E0"/>
    <w:rsid w:val="003A1A72"/>
    <w:rsid w:val="003A3189"/>
    <w:rsid w:val="003B4658"/>
    <w:rsid w:val="003B534C"/>
    <w:rsid w:val="003C3E7A"/>
    <w:rsid w:val="003C5CBE"/>
    <w:rsid w:val="003C7BC3"/>
    <w:rsid w:val="003E44AD"/>
    <w:rsid w:val="0040718A"/>
    <w:rsid w:val="00411081"/>
    <w:rsid w:val="00443282"/>
    <w:rsid w:val="00452F36"/>
    <w:rsid w:val="0045734B"/>
    <w:rsid w:val="0046023C"/>
    <w:rsid w:val="00462A82"/>
    <w:rsid w:val="004759C4"/>
    <w:rsid w:val="004764AF"/>
    <w:rsid w:val="00485A51"/>
    <w:rsid w:val="004879AA"/>
    <w:rsid w:val="0049480F"/>
    <w:rsid w:val="004B7B57"/>
    <w:rsid w:val="004C70C8"/>
    <w:rsid w:val="004C77EF"/>
    <w:rsid w:val="004D27A2"/>
    <w:rsid w:val="004F26DA"/>
    <w:rsid w:val="004F30CC"/>
    <w:rsid w:val="00513DA8"/>
    <w:rsid w:val="00514B50"/>
    <w:rsid w:val="00516493"/>
    <w:rsid w:val="0054073B"/>
    <w:rsid w:val="0054746C"/>
    <w:rsid w:val="00553DCD"/>
    <w:rsid w:val="00554D46"/>
    <w:rsid w:val="00564BD9"/>
    <w:rsid w:val="0056516B"/>
    <w:rsid w:val="00585F73"/>
    <w:rsid w:val="005A0148"/>
    <w:rsid w:val="005A2F24"/>
    <w:rsid w:val="005A3F56"/>
    <w:rsid w:val="005B4DA4"/>
    <w:rsid w:val="005C6D4E"/>
    <w:rsid w:val="005D16A1"/>
    <w:rsid w:val="005E1C57"/>
    <w:rsid w:val="005E6D8A"/>
    <w:rsid w:val="005F3DAA"/>
    <w:rsid w:val="005F726F"/>
    <w:rsid w:val="005F729D"/>
    <w:rsid w:val="006128A5"/>
    <w:rsid w:val="00613DC0"/>
    <w:rsid w:val="006144F3"/>
    <w:rsid w:val="00614E41"/>
    <w:rsid w:val="0061610C"/>
    <w:rsid w:val="00634374"/>
    <w:rsid w:val="00637F43"/>
    <w:rsid w:val="00641D33"/>
    <w:rsid w:val="00642602"/>
    <w:rsid w:val="00642803"/>
    <w:rsid w:val="006436CD"/>
    <w:rsid w:val="00644A1B"/>
    <w:rsid w:val="00650FA1"/>
    <w:rsid w:val="006536D8"/>
    <w:rsid w:val="00654BA4"/>
    <w:rsid w:val="006716EE"/>
    <w:rsid w:val="00680D78"/>
    <w:rsid w:val="00695E65"/>
    <w:rsid w:val="006963BC"/>
    <w:rsid w:val="006A34AE"/>
    <w:rsid w:val="006A423E"/>
    <w:rsid w:val="006B170D"/>
    <w:rsid w:val="006C6B0C"/>
    <w:rsid w:val="006E10F4"/>
    <w:rsid w:val="006E75AA"/>
    <w:rsid w:val="006E7CBB"/>
    <w:rsid w:val="0070314D"/>
    <w:rsid w:val="00714F57"/>
    <w:rsid w:val="00727C5E"/>
    <w:rsid w:val="00741C80"/>
    <w:rsid w:val="00747ABD"/>
    <w:rsid w:val="0075009F"/>
    <w:rsid w:val="00754526"/>
    <w:rsid w:val="00767CC6"/>
    <w:rsid w:val="00782ACA"/>
    <w:rsid w:val="00790B2E"/>
    <w:rsid w:val="007B588C"/>
    <w:rsid w:val="007C1916"/>
    <w:rsid w:val="007C6AC2"/>
    <w:rsid w:val="007C729C"/>
    <w:rsid w:val="007F5A9A"/>
    <w:rsid w:val="00803CA2"/>
    <w:rsid w:val="00807CAC"/>
    <w:rsid w:val="00810D18"/>
    <w:rsid w:val="008115BF"/>
    <w:rsid w:val="00812B30"/>
    <w:rsid w:val="0082052B"/>
    <w:rsid w:val="00824D81"/>
    <w:rsid w:val="00836DF9"/>
    <w:rsid w:val="00840F42"/>
    <w:rsid w:val="00853ABC"/>
    <w:rsid w:val="00874804"/>
    <w:rsid w:val="00881405"/>
    <w:rsid w:val="008878A8"/>
    <w:rsid w:val="0089069F"/>
    <w:rsid w:val="00895DA2"/>
    <w:rsid w:val="00897359"/>
    <w:rsid w:val="008A020E"/>
    <w:rsid w:val="008A2691"/>
    <w:rsid w:val="008B6E06"/>
    <w:rsid w:val="008C572B"/>
    <w:rsid w:val="008D25B7"/>
    <w:rsid w:val="008D300A"/>
    <w:rsid w:val="008D5479"/>
    <w:rsid w:val="008E0DF5"/>
    <w:rsid w:val="008E3273"/>
    <w:rsid w:val="008E5123"/>
    <w:rsid w:val="008E608E"/>
    <w:rsid w:val="008E7400"/>
    <w:rsid w:val="008F62B1"/>
    <w:rsid w:val="009179E9"/>
    <w:rsid w:val="00937284"/>
    <w:rsid w:val="00940C0F"/>
    <w:rsid w:val="0095311D"/>
    <w:rsid w:val="00954CCB"/>
    <w:rsid w:val="00973D97"/>
    <w:rsid w:val="009744C8"/>
    <w:rsid w:val="00981886"/>
    <w:rsid w:val="00986FC8"/>
    <w:rsid w:val="00990FEC"/>
    <w:rsid w:val="009A1B08"/>
    <w:rsid w:val="009A6E91"/>
    <w:rsid w:val="009B4450"/>
    <w:rsid w:val="009C25C4"/>
    <w:rsid w:val="009C4A13"/>
    <w:rsid w:val="009C687B"/>
    <w:rsid w:val="009E5557"/>
    <w:rsid w:val="009E66F8"/>
    <w:rsid w:val="009F7DE3"/>
    <w:rsid w:val="00A038F9"/>
    <w:rsid w:val="00A1585A"/>
    <w:rsid w:val="00A2604E"/>
    <w:rsid w:val="00A3722B"/>
    <w:rsid w:val="00A43A4A"/>
    <w:rsid w:val="00A507F0"/>
    <w:rsid w:val="00A664DF"/>
    <w:rsid w:val="00A713D0"/>
    <w:rsid w:val="00A72814"/>
    <w:rsid w:val="00A759B3"/>
    <w:rsid w:val="00A82A29"/>
    <w:rsid w:val="00A8690F"/>
    <w:rsid w:val="00A86D9E"/>
    <w:rsid w:val="00AA4050"/>
    <w:rsid w:val="00AA516A"/>
    <w:rsid w:val="00AA5B0E"/>
    <w:rsid w:val="00AC41E7"/>
    <w:rsid w:val="00AC750B"/>
    <w:rsid w:val="00AC77B8"/>
    <w:rsid w:val="00AD4128"/>
    <w:rsid w:val="00AD4639"/>
    <w:rsid w:val="00AD7C49"/>
    <w:rsid w:val="00AE1F12"/>
    <w:rsid w:val="00AE3A78"/>
    <w:rsid w:val="00AE4155"/>
    <w:rsid w:val="00AE4B7C"/>
    <w:rsid w:val="00AF15FA"/>
    <w:rsid w:val="00AF349B"/>
    <w:rsid w:val="00B01B16"/>
    <w:rsid w:val="00B22DCB"/>
    <w:rsid w:val="00B2382E"/>
    <w:rsid w:val="00B27FCA"/>
    <w:rsid w:val="00B42E89"/>
    <w:rsid w:val="00B447D7"/>
    <w:rsid w:val="00B46F03"/>
    <w:rsid w:val="00B5066A"/>
    <w:rsid w:val="00B56882"/>
    <w:rsid w:val="00B65A09"/>
    <w:rsid w:val="00B76A1F"/>
    <w:rsid w:val="00B82F8C"/>
    <w:rsid w:val="00BA0FBC"/>
    <w:rsid w:val="00BA5479"/>
    <w:rsid w:val="00BB7D82"/>
    <w:rsid w:val="00BC200B"/>
    <w:rsid w:val="00BC573B"/>
    <w:rsid w:val="00BD1DD2"/>
    <w:rsid w:val="00BD74AE"/>
    <w:rsid w:val="00BE3FE7"/>
    <w:rsid w:val="00BF29D8"/>
    <w:rsid w:val="00BF2D74"/>
    <w:rsid w:val="00BF38BC"/>
    <w:rsid w:val="00BF4CC8"/>
    <w:rsid w:val="00C1124F"/>
    <w:rsid w:val="00C15253"/>
    <w:rsid w:val="00C37BFF"/>
    <w:rsid w:val="00C51458"/>
    <w:rsid w:val="00C53580"/>
    <w:rsid w:val="00C55838"/>
    <w:rsid w:val="00C728C5"/>
    <w:rsid w:val="00C77EF7"/>
    <w:rsid w:val="00C81A97"/>
    <w:rsid w:val="00C820F1"/>
    <w:rsid w:val="00C91512"/>
    <w:rsid w:val="00C9709D"/>
    <w:rsid w:val="00CA6636"/>
    <w:rsid w:val="00CA6D76"/>
    <w:rsid w:val="00CB7448"/>
    <w:rsid w:val="00CC6D11"/>
    <w:rsid w:val="00CD37C7"/>
    <w:rsid w:val="00CD57EB"/>
    <w:rsid w:val="00CD5C97"/>
    <w:rsid w:val="00CD786C"/>
    <w:rsid w:val="00CE3598"/>
    <w:rsid w:val="00CF4753"/>
    <w:rsid w:val="00CF71E0"/>
    <w:rsid w:val="00D0083B"/>
    <w:rsid w:val="00D06653"/>
    <w:rsid w:val="00D31BA5"/>
    <w:rsid w:val="00D42209"/>
    <w:rsid w:val="00D44183"/>
    <w:rsid w:val="00D50830"/>
    <w:rsid w:val="00D9761F"/>
    <w:rsid w:val="00DA18AA"/>
    <w:rsid w:val="00DA529F"/>
    <w:rsid w:val="00DA5859"/>
    <w:rsid w:val="00DC5017"/>
    <w:rsid w:val="00DD18FF"/>
    <w:rsid w:val="00DD2ED3"/>
    <w:rsid w:val="00DD7F1B"/>
    <w:rsid w:val="00DF121F"/>
    <w:rsid w:val="00E00865"/>
    <w:rsid w:val="00E024B6"/>
    <w:rsid w:val="00E13A02"/>
    <w:rsid w:val="00E34382"/>
    <w:rsid w:val="00E41DB9"/>
    <w:rsid w:val="00E762BB"/>
    <w:rsid w:val="00E77B33"/>
    <w:rsid w:val="00E8455A"/>
    <w:rsid w:val="00E8661B"/>
    <w:rsid w:val="00E91FD5"/>
    <w:rsid w:val="00EA6337"/>
    <w:rsid w:val="00EA689F"/>
    <w:rsid w:val="00EB749E"/>
    <w:rsid w:val="00EF1D00"/>
    <w:rsid w:val="00EF2866"/>
    <w:rsid w:val="00EF33BE"/>
    <w:rsid w:val="00EF61F2"/>
    <w:rsid w:val="00F0383C"/>
    <w:rsid w:val="00F11631"/>
    <w:rsid w:val="00F24AB0"/>
    <w:rsid w:val="00F26A5C"/>
    <w:rsid w:val="00F309CB"/>
    <w:rsid w:val="00F44A0E"/>
    <w:rsid w:val="00F62A51"/>
    <w:rsid w:val="00F8646E"/>
    <w:rsid w:val="00F9675E"/>
    <w:rsid w:val="00FC19F3"/>
    <w:rsid w:val="00FC3F00"/>
    <w:rsid w:val="00FC4DD1"/>
    <w:rsid w:val="00FE4B8E"/>
    <w:rsid w:val="00FF1D71"/>
    <w:rsid w:val="00FF4B42"/>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54540906">
      <w:bodyDiv w:val="1"/>
      <w:marLeft w:val="0"/>
      <w:marRight w:val="0"/>
      <w:marTop w:val="0"/>
      <w:marBottom w:val="0"/>
      <w:divBdr>
        <w:top w:val="none" w:sz="0" w:space="0" w:color="auto"/>
        <w:left w:val="none" w:sz="0" w:space="0" w:color="auto"/>
        <w:bottom w:val="none" w:sz="0" w:space="0" w:color="auto"/>
        <w:right w:val="none" w:sz="0" w:space="0" w:color="auto"/>
      </w:divBdr>
      <w:divsChild>
        <w:div w:id="888078948">
          <w:marLeft w:val="0"/>
          <w:marRight w:val="0"/>
          <w:marTop w:val="0"/>
          <w:marBottom w:val="0"/>
          <w:divBdr>
            <w:top w:val="none" w:sz="0" w:space="0" w:color="auto"/>
            <w:left w:val="none" w:sz="0" w:space="0" w:color="auto"/>
            <w:bottom w:val="none" w:sz="0" w:space="0" w:color="auto"/>
            <w:right w:val="none" w:sz="0" w:space="0" w:color="auto"/>
          </w:divBdr>
          <w:divsChild>
            <w:div w:id="683243073">
              <w:marLeft w:val="0"/>
              <w:marRight w:val="0"/>
              <w:marTop w:val="0"/>
              <w:marBottom w:val="0"/>
              <w:divBdr>
                <w:top w:val="none" w:sz="0" w:space="0" w:color="auto"/>
                <w:left w:val="none" w:sz="0" w:space="0" w:color="auto"/>
                <w:bottom w:val="none" w:sz="0" w:space="0" w:color="auto"/>
                <w:right w:val="none" w:sz="0" w:space="0" w:color="auto"/>
              </w:divBdr>
              <w:divsChild>
                <w:div w:id="1901355940">
                  <w:marLeft w:val="0"/>
                  <w:marRight w:val="0"/>
                  <w:marTop w:val="0"/>
                  <w:marBottom w:val="0"/>
                  <w:divBdr>
                    <w:top w:val="none" w:sz="0" w:space="0" w:color="auto"/>
                    <w:left w:val="none" w:sz="0" w:space="0" w:color="auto"/>
                    <w:bottom w:val="none" w:sz="0" w:space="0" w:color="auto"/>
                    <w:right w:val="none" w:sz="0" w:space="0" w:color="auto"/>
                  </w:divBdr>
                  <w:divsChild>
                    <w:div w:id="2142768599">
                      <w:marLeft w:val="0"/>
                      <w:marRight w:val="0"/>
                      <w:marTop w:val="0"/>
                      <w:marBottom w:val="0"/>
                      <w:divBdr>
                        <w:top w:val="none" w:sz="0" w:space="0" w:color="auto"/>
                        <w:left w:val="none" w:sz="0" w:space="0" w:color="auto"/>
                        <w:bottom w:val="none" w:sz="0" w:space="0" w:color="auto"/>
                        <w:right w:val="none" w:sz="0" w:space="0" w:color="auto"/>
                      </w:divBdr>
                      <w:divsChild>
                        <w:div w:id="596445815">
                          <w:marLeft w:val="0"/>
                          <w:marRight w:val="0"/>
                          <w:marTop w:val="0"/>
                          <w:marBottom w:val="0"/>
                          <w:divBdr>
                            <w:top w:val="none" w:sz="0" w:space="0" w:color="auto"/>
                            <w:left w:val="none" w:sz="0" w:space="0" w:color="auto"/>
                            <w:bottom w:val="none" w:sz="0" w:space="0" w:color="auto"/>
                            <w:right w:val="none" w:sz="0" w:space="0" w:color="auto"/>
                          </w:divBdr>
                          <w:divsChild>
                            <w:div w:id="1904296979">
                              <w:marLeft w:val="15"/>
                              <w:marRight w:val="195"/>
                              <w:marTop w:val="0"/>
                              <w:marBottom w:val="0"/>
                              <w:divBdr>
                                <w:top w:val="none" w:sz="0" w:space="0" w:color="auto"/>
                                <w:left w:val="none" w:sz="0" w:space="0" w:color="auto"/>
                                <w:bottom w:val="none" w:sz="0" w:space="0" w:color="auto"/>
                                <w:right w:val="none" w:sz="0" w:space="0" w:color="auto"/>
                              </w:divBdr>
                              <w:divsChild>
                                <w:div w:id="1027826855">
                                  <w:marLeft w:val="0"/>
                                  <w:marRight w:val="0"/>
                                  <w:marTop w:val="0"/>
                                  <w:marBottom w:val="0"/>
                                  <w:divBdr>
                                    <w:top w:val="none" w:sz="0" w:space="0" w:color="auto"/>
                                    <w:left w:val="none" w:sz="0" w:space="0" w:color="auto"/>
                                    <w:bottom w:val="none" w:sz="0" w:space="0" w:color="auto"/>
                                    <w:right w:val="none" w:sz="0" w:space="0" w:color="auto"/>
                                  </w:divBdr>
                                  <w:divsChild>
                                    <w:div w:id="616179453">
                                      <w:marLeft w:val="0"/>
                                      <w:marRight w:val="0"/>
                                      <w:marTop w:val="0"/>
                                      <w:marBottom w:val="0"/>
                                      <w:divBdr>
                                        <w:top w:val="none" w:sz="0" w:space="0" w:color="auto"/>
                                        <w:left w:val="none" w:sz="0" w:space="0" w:color="auto"/>
                                        <w:bottom w:val="none" w:sz="0" w:space="0" w:color="auto"/>
                                        <w:right w:val="none" w:sz="0" w:space="0" w:color="auto"/>
                                      </w:divBdr>
                                      <w:divsChild>
                                        <w:div w:id="1514804026">
                                          <w:marLeft w:val="0"/>
                                          <w:marRight w:val="0"/>
                                          <w:marTop w:val="0"/>
                                          <w:marBottom w:val="0"/>
                                          <w:divBdr>
                                            <w:top w:val="none" w:sz="0" w:space="0" w:color="auto"/>
                                            <w:left w:val="none" w:sz="0" w:space="0" w:color="auto"/>
                                            <w:bottom w:val="none" w:sz="0" w:space="0" w:color="auto"/>
                                            <w:right w:val="none" w:sz="0" w:space="0" w:color="auto"/>
                                          </w:divBdr>
                                          <w:divsChild>
                                            <w:div w:id="173955708">
                                              <w:marLeft w:val="0"/>
                                              <w:marRight w:val="0"/>
                                              <w:marTop w:val="0"/>
                                              <w:marBottom w:val="0"/>
                                              <w:divBdr>
                                                <w:top w:val="none" w:sz="0" w:space="0" w:color="auto"/>
                                                <w:left w:val="none" w:sz="0" w:space="0" w:color="auto"/>
                                                <w:bottom w:val="none" w:sz="0" w:space="0" w:color="auto"/>
                                                <w:right w:val="none" w:sz="0" w:space="0" w:color="auto"/>
                                              </w:divBdr>
                                              <w:divsChild>
                                                <w:div w:id="1053695699">
                                                  <w:marLeft w:val="0"/>
                                                  <w:marRight w:val="0"/>
                                                  <w:marTop w:val="0"/>
                                                  <w:marBottom w:val="0"/>
                                                  <w:divBdr>
                                                    <w:top w:val="none" w:sz="0" w:space="0" w:color="auto"/>
                                                    <w:left w:val="none" w:sz="0" w:space="0" w:color="auto"/>
                                                    <w:bottom w:val="none" w:sz="0" w:space="0" w:color="auto"/>
                                                    <w:right w:val="none" w:sz="0" w:space="0" w:color="auto"/>
                                                  </w:divBdr>
                                                  <w:divsChild>
                                                    <w:div w:id="1400205535">
                                                      <w:marLeft w:val="0"/>
                                                      <w:marRight w:val="0"/>
                                                      <w:marTop w:val="0"/>
                                                      <w:marBottom w:val="0"/>
                                                      <w:divBdr>
                                                        <w:top w:val="none" w:sz="0" w:space="0" w:color="auto"/>
                                                        <w:left w:val="none" w:sz="0" w:space="0" w:color="auto"/>
                                                        <w:bottom w:val="none" w:sz="0" w:space="0" w:color="auto"/>
                                                        <w:right w:val="none" w:sz="0" w:space="0" w:color="auto"/>
                                                      </w:divBdr>
                                                      <w:divsChild>
                                                        <w:div w:id="1380084098">
                                                          <w:marLeft w:val="0"/>
                                                          <w:marRight w:val="0"/>
                                                          <w:marTop w:val="0"/>
                                                          <w:marBottom w:val="0"/>
                                                          <w:divBdr>
                                                            <w:top w:val="none" w:sz="0" w:space="0" w:color="auto"/>
                                                            <w:left w:val="none" w:sz="0" w:space="0" w:color="auto"/>
                                                            <w:bottom w:val="none" w:sz="0" w:space="0" w:color="auto"/>
                                                            <w:right w:val="none" w:sz="0" w:space="0" w:color="auto"/>
                                                          </w:divBdr>
                                                          <w:divsChild>
                                                            <w:div w:id="1177427115">
                                                              <w:marLeft w:val="0"/>
                                                              <w:marRight w:val="0"/>
                                                              <w:marTop w:val="0"/>
                                                              <w:marBottom w:val="0"/>
                                                              <w:divBdr>
                                                                <w:top w:val="none" w:sz="0" w:space="0" w:color="auto"/>
                                                                <w:left w:val="none" w:sz="0" w:space="0" w:color="auto"/>
                                                                <w:bottom w:val="none" w:sz="0" w:space="0" w:color="auto"/>
                                                                <w:right w:val="none" w:sz="0" w:space="0" w:color="auto"/>
                                                              </w:divBdr>
                                                              <w:divsChild>
                                                                <w:div w:id="1210843461">
                                                                  <w:marLeft w:val="0"/>
                                                                  <w:marRight w:val="0"/>
                                                                  <w:marTop w:val="735"/>
                                                                  <w:marBottom w:val="0"/>
                                                                  <w:divBdr>
                                                                    <w:top w:val="none" w:sz="0" w:space="0" w:color="auto"/>
                                                                    <w:left w:val="none" w:sz="0" w:space="0" w:color="auto"/>
                                                                    <w:bottom w:val="none" w:sz="0" w:space="0" w:color="auto"/>
                                                                    <w:right w:val="none" w:sz="0" w:space="0" w:color="auto"/>
                                                                  </w:divBdr>
                                                                  <w:divsChild>
                                                                    <w:div w:id="1192954355">
                                                                      <w:marLeft w:val="450"/>
                                                                      <w:marRight w:val="450"/>
                                                                      <w:marTop w:val="0"/>
                                                                      <w:marBottom w:val="0"/>
                                                                      <w:divBdr>
                                                                        <w:top w:val="none" w:sz="0" w:space="0" w:color="auto"/>
                                                                        <w:left w:val="none" w:sz="0" w:space="0" w:color="auto"/>
                                                                        <w:bottom w:val="none" w:sz="0" w:space="0" w:color="auto"/>
                                                                        <w:right w:val="none" w:sz="0" w:space="0" w:color="auto"/>
                                                                      </w:divBdr>
                                                                      <w:divsChild>
                                                                        <w:div w:id="498467825">
                                                                          <w:marLeft w:val="0"/>
                                                                          <w:marRight w:val="45"/>
                                                                          <w:marTop w:val="45"/>
                                                                          <w:marBottom w:val="0"/>
                                                                          <w:divBdr>
                                                                            <w:top w:val="none" w:sz="0" w:space="0" w:color="auto"/>
                                                                            <w:left w:val="none" w:sz="0" w:space="0" w:color="auto"/>
                                                                            <w:bottom w:val="none" w:sz="0" w:space="0" w:color="auto"/>
                                                                            <w:right w:val="none" w:sz="0" w:space="0" w:color="auto"/>
                                                                          </w:divBdr>
                                                                          <w:divsChild>
                                                                            <w:div w:id="141778748">
                                                                              <w:marLeft w:val="0"/>
                                                                              <w:marRight w:val="0"/>
                                                                              <w:marTop w:val="0"/>
                                                                              <w:marBottom w:val="0"/>
                                                                              <w:divBdr>
                                                                                <w:top w:val="none" w:sz="0" w:space="0" w:color="auto"/>
                                                                                <w:left w:val="none" w:sz="0" w:space="0" w:color="auto"/>
                                                                                <w:bottom w:val="none" w:sz="0" w:space="0" w:color="auto"/>
                                                                                <w:right w:val="none" w:sz="0" w:space="0" w:color="auto"/>
                                                                              </w:divBdr>
                                                                              <w:divsChild>
                                                                                <w:div w:id="1805806977">
                                                                                  <w:marLeft w:val="0"/>
                                                                                  <w:marRight w:val="0"/>
                                                                                  <w:marTop w:val="0"/>
                                                                                  <w:marBottom w:val="0"/>
                                                                                  <w:divBdr>
                                                                                    <w:top w:val="none" w:sz="0" w:space="0" w:color="auto"/>
                                                                                    <w:left w:val="none" w:sz="0" w:space="0" w:color="auto"/>
                                                                                    <w:bottom w:val="none" w:sz="0" w:space="0" w:color="auto"/>
                                                                                    <w:right w:val="none" w:sz="0" w:space="0" w:color="auto"/>
                                                                                  </w:divBdr>
                                                                                  <w:divsChild>
                                                                                    <w:div w:id="530922456">
                                                                                      <w:marLeft w:val="0"/>
                                                                                      <w:marRight w:val="0"/>
                                                                                      <w:marTop w:val="0"/>
                                                                                      <w:marBottom w:val="0"/>
                                                                                      <w:divBdr>
                                                                                        <w:top w:val="none" w:sz="0" w:space="0" w:color="auto"/>
                                                                                        <w:left w:val="single" w:sz="6" w:space="0" w:color="auto"/>
                                                                                        <w:bottom w:val="none" w:sz="0" w:space="0" w:color="auto"/>
                                                                                        <w:right w:val="single" w:sz="6" w:space="0" w:color="auto"/>
                                                                                      </w:divBdr>
                                                                                      <w:divsChild>
                                                                                        <w:div w:id="793523905">
                                                                                          <w:marLeft w:val="150"/>
                                                                                          <w:marRight w:val="150"/>
                                                                                          <w:marTop w:val="0"/>
                                                                                          <w:marBottom w:val="0"/>
                                                                                          <w:divBdr>
                                                                                            <w:top w:val="none" w:sz="0" w:space="0" w:color="auto"/>
                                                                                            <w:left w:val="none" w:sz="0" w:space="0" w:color="auto"/>
                                                                                            <w:bottom w:val="none" w:sz="0" w:space="0" w:color="auto"/>
                                                                                            <w:right w:val="none" w:sz="0" w:space="0" w:color="auto"/>
                                                                                          </w:divBdr>
                                                                                          <w:divsChild>
                                                                                            <w:div w:id="1980111174">
                                                                                              <w:marLeft w:val="0"/>
                                                                                              <w:marRight w:val="0"/>
                                                                                              <w:marTop w:val="0"/>
                                                                                              <w:marBottom w:val="0"/>
                                                                                              <w:divBdr>
                                                                                                <w:top w:val="none" w:sz="0" w:space="0" w:color="auto"/>
                                                                                                <w:left w:val="none" w:sz="0" w:space="0" w:color="auto"/>
                                                                                                <w:bottom w:val="none" w:sz="0" w:space="0" w:color="auto"/>
                                                                                                <w:right w:val="none" w:sz="0" w:space="0" w:color="auto"/>
                                                                                              </w:divBdr>
                                                                                              <w:divsChild>
                                                                                                <w:div w:id="326398230">
                                                                                                  <w:marLeft w:val="0"/>
                                                                                                  <w:marRight w:val="0"/>
                                                                                                  <w:marTop w:val="0"/>
                                                                                                  <w:marBottom w:val="0"/>
                                                                                                  <w:divBdr>
                                                                                                    <w:top w:val="none" w:sz="0" w:space="0" w:color="auto"/>
                                                                                                    <w:left w:val="none" w:sz="0" w:space="0" w:color="auto"/>
                                                                                                    <w:bottom w:val="none" w:sz="0" w:space="0" w:color="auto"/>
                                                                                                    <w:right w:val="none" w:sz="0" w:space="0" w:color="auto"/>
                                                                                                  </w:divBdr>
                                                                                                  <w:divsChild>
                                                                                                    <w:div w:id="164899196">
                                                                                                      <w:marLeft w:val="0"/>
                                                                                                      <w:marRight w:val="0"/>
                                                                                                      <w:marTop w:val="0"/>
                                                                                                      <w:marBottom w:val="0"/>
                                                                                                      <w:divBdr>
                                                                                                        <w:top w:val="none" w:sz="0" w:space="0" w:color="auto"/>
                                                                                                        <w:left w:val="none" w:sz="0" w:space="0" w:color="auto"/>
                                                                                                        <w:bottom w:val="none" w:sz="0" w:space="0" w:color="auto"/>
                                                                                                        <w:right w:val="none" w:sz="0" w:space="0" w:color="auto"/>
                                                                                                      </w:divBdr>
                                                                                                      <w:divsChild>
                                                                                                        <w:div w:id="1181892032">
                                                                                                          <w:marLeft w:val="0"/>
                                                                                                          <w:marRight w:val="0"/>
                                                                                                          <w:marTop w:val="0"/>
                                                                                                          <w:marBottom w:val="0"/>
                                                                                                          <w:divBdr>
                                                                                                            <w:top w:val="none" w:sz="0" w:space="0" w:color="auto"/>
                                                                                                            <w:left w:val="none" w:sz="0" w:space="0" w:color="auto"/>
                                                                                                            <w:bottom w:val="none" w:sz="0" w:space="0" w:color="auto"/>
                                                                                                            <w:right w:val="none" w:sz="0" w:space="0" w:color="auto"/>
                                                                                                          </w:divBdr>
                                                                                                          <w:divsChild>
                                                                                                            <w:div w:id="621378941">
                                                                                                              <w:marLeft w:val="0"/>
                                                                                                              <w:marRight w:val="0"/>
                                                                                                              <w:marTop w:val="0"/>
                                                                                                              <w:marBottom w:val="0"/>
                                                                                                              <w:divBdr>
                                                                                                                <w:top w:val="none" w:sz="0" w:space="0" w:color="auto"/>
                                                                                                                <w:left w:val="none" w:sz="0" w:space="0" w:color="auto"/>
                                                                                                                <w:bottom w:val="none" w:sz="0" w:space="0" w:color="auto"/>
                                                                                                                <w:right w:val="none" w:sz="0" w:space="0" w:color="auto"/>
                                                                                                              </w:divBdr>
                                                                                                              <w:divsChild>
                                                                                                                <w:div w:id="16862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901589">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737705732">
      <w:bodyDiv w:val="1"/>
      <w:marLeft w:val="0"/>
      <w:marRight w:val="0"/>
      <w:marTop w:val="0"/>
      <w:marBottom w:val="0"/>
      <w:divBdr>
        <w:top w:val="none" w:sz="0" w:space="0" w:color="auto"/>
        <w:left w:val="none" w:sz="0" w:space="0" w:color="auto"/>
        <w:bottom w:val="none" w:sz="0" w:space="0" w:color="auto"/>
        <w:right w:val="none" w:sz="0" w:space="0" w:color="auto"/>
      </w:divBdr>
      <w:divsChild>
        <w:div w:id="1364595459">
          <w:marLeft w:val="0"/>
          <w:marRight w:val="0"/>
          <w:marTop w:val="0"/>
          <w:marBottom w:val="0"/>
          <w:divBdr>
            <w:top w:val="none" w:sz="0" w:space="0" w:color="auto"/>
            <w:left w:val="none" w:sz="0" w:space="0" w:color="auto"/>
            <w:bottom w:val="none" w:sz="0" w:space="0" w:color="auto"/>
            <w:right w:val="none" w:sz="0" w:space="0" w:color="auto"/>
          </w:divBdr>
          <w:divsChild>
            <w:div w:id="641427155">
              <w:marLeft w:val="0"/>
              <w:marRight w:val="0"/>
              <w:marTop w:val="0"/>
              <w:marBottom w:val="0"/>
              <w:divBdr>
                <w:top w:val="none" w:sz="0" w:space="0" w:color="auto"/>
                <w:left w:val="none" w:sz="0" w:space="0" w:color="auto"/>
                <w:bottom w:val="none" w:sz="0" w:space="0" w:color="auto"/>
                <w:right w:val="none" w:sz="0" w:space="0" w:color="auto"/>
              </w:divBdr>
              <w:divsChild>
                <w:div w:id="1405451567">
                  <w:marLeft w:val="0"/>
                  <w:marRight w:val="0"/>
                  <w:marTop w:val="0"/>
                  <w:marBottom w:val="0"/>
                  <w:divBdr>
                    <w:top w:val="none" w:sz="0" w:space="0" w:color="auto"/>
                    <w:left w:val="none" w:sz="0" w:space="0" w:color="auto"/>
                    <w:bottom w:val="none" w:sz="0" w:space="0" w:color="auto"/>
                    <w:right w:val="none" w:sz="0" w:space="0" w:color="auto"/>
                  </w:divBdr>
                  <w:divsChild>
                    <w:div w:id="224075450">
                      <w:marLeft w:val="0"/>
                      <w:marRight w:val="0"/>
                      <w:marTop w:val="0"/>
                      <w:marBottom w:val="0"/>
                      <w:divBdr>
                        <w:top w:val="none" w:sz="0" w:space="0" w:color="auto"/>
                        <w:left w:val="none" w:sz="0" w:space="0" w:color="auto"/>
                        <w:bottom w:val="none" w:sz="0" w:space="0" w:color="auto"/>
                        <w:right w:val="none" w:sz="0" w:space="0" w:color="auto"/>
                      </w:divBdr>
                      <w:divsChild>
                        <w:div w:id="1220286853">
                          <w:marLeft w:val="0"/>
                          <w:marRight w:val="0"/>
                          <w:marTop w:val="0"/>
                          <w:marBottom w:val="0"/>
                          <w:divBdr>
                            <w:top w:val="none" w:sz="0" w:space="0" w:color="auto"/>
                            <w:left w:val="none" w:sz="0" w:space="0" w:color="auto"/>
                            <w:bottom w:val="none" w:sz="0" w:space="0" w:color="auto"/>
                            <w:right w:val="none" w:sz="0" w:space="0" w:color="auto"/>
                          </w:divBdr>
                          <w:divsChild>
                            <w:div w:id="115563642">
                              <w:marLeft w:val="15"/>
                              <w:marRight w:val="195"/>
                              <w:marTop w:val="0"/>
                              <w:marBottom w:val="0"/>
                              <w:divBdr>
                                <w:top w:val="none" w:sz="0" w:space="0" w:color="auto"/>
                                <w:left w:val="none" w:sz="0" w:space="0" w:color="auto"/>
                                <w:bottom w:val="none" w:sz="0" w:space="0" w:color="auto"/>
                                <w:right w:val="none" w:sz="0" w:space="0" w:color="auto"/>
                              </w:divBdr>
                              <w:divsChild>
                                <w:div w:id="1416635902">
                                  <w:marLeft w:val="0"/>
                                  <w:marRight w:val="0"/>
                                  <w:marTop w:val="0"/>
                                  <w:marBottom w:val="0"/>
                                  <w:divBdr>
                                    <w:top w:val="none" w:sz="0" w:space="0" w:color="auto"/>
                                    <w:left w:val="none" w:sz="0" w:space="0" w:color="auto"/>
                                    <w:bottom w:val="none" w:sz="0" w:space="0" w:color="auto"/>
                                    <w:right w:val="none" w:sz="0" w:space="0" w:color="auto"/>
                                  </w:divBdr>
                                  <w:divsChild>
                                    <w:div w:id="1190417563">
                                      <w:marLeft w:val="0"/>
                                      <w:marRight w:val="0"/>
                                      <w:marTop w:val="0"/>
                                      <w:marBottom w:val="0"/>
                                      <w:divBdr>
                                        <w:top w:val="none" w:sz="0" w:space="0" w:color="auto"/>
                                        <w:left w:val="none" w:sz="0" w:space="0" w:color="auto"/>
                                        <w:bottom w:val="none" w:sz="0" w:space="0" w:color="auto"/>
                                        <w:right w:val="none" w:sz="0" w:space="0" w:color="auto"/>
                                      </w:divBdr>
                                      <w:divsChild>
                                        <w:div w:id="1499690524">
                                          <w:marLeft w:val="0"/>
                                          <w:marRight w:val="0"/>
                                          <w:marTop w:val="0"/>
                                          <w:marBottom w:val="0"/>
                                          <w:divBdr>
                                            <w:top w:val="none" w:sz="0" w:space="0" w:color="auto"/>
                                            <w:left w:val="none" w:sz="0" w:space="0" w:color="auto"/>
                                            <w:bottom w:val="none" w:sz="0" w:space="0" w:color="auto"/>
                                            <w:right w:val="none" w:sz="0" w:space="0" w:color="auto"/>
                                          </w:divBdr>
                                          <w:divsChild>
                                            <w:div w:id="1460758261">
                                              <w:marLeft w:val="0"/>
                                              <w:marRight w:val="0"/>
                                              <w:marTop w:val="0"/>
                                              <w:marBottom w:val="0"/>
                                              <w:divBdr>
                                                <w:top w:val="none" w:sz="0" w:space="0" w:color="auto"/>
                                                <w:left w:val="none" w:sz="0" w:space="0" w:color="auto"/>
                                                <w:bottom w:val="none" w:sz="0" w:space="0" w:color="auto"/>
                                                <w:right w:val="none" w:sz="0" w:space="0" w:color="auto"/>
                                              </w:divBdr>
                                              <w:divsChild>
                                                <w:div w:id="2064404037">
                                                  <w:marLeft w:val="0"/>
                                                  <w:marRight w:val="0"/>
                                                  <w:marTop w:val="0"/>
                                                  <w:marBottom w:val="0"/>
                                                  <w:divBdr>
                                                    <w:top w:val="none" w:sz="0" w:space="0" w:color="auto"/>
                                                    <w:left w:val="none" w:sz="0" w:space="0" w:color="auto"/>
                                                    <w:bottom w:val="none" w:sz="0" w:space="0" w:color="auto"/>
                                                    <w:right w:val="none" w:sz="0" w:space="0" w:color="auto"/>
                                                  </w:divBdr>
                                                  <w:divsChild>
                                                    <w:div w:id="773406010">
                                                      <w:marLeft w:val="0"/>
                                                      <w:marRight w:val="0"/>
                                                      <w:marTop w:val="0"/>
                                                      <w:marBottom w:val="0"/>
                                                      <w:divBdr>
                                                        <w:top w:val="none" w:sz="0" w:space="0" w:color="auto"/>
                                                        <w:left w:val="none" w:sz="0" w:space="0" w:color="auto"/>
                                                        <w:bottom w:val="none" w:sz="0" w:space="0" w:color="auto"/>
                                                        <w:right w:val="none" w:sz="0" w:space="0" w:color="auto"/>
                                                      </w:divBdr>
                                                      <w:divsChild>
                                                        <w:div w:id="62459796">
                                                          <w:marLeft w:val="0"/>
                                                          <w:marRight w:val="0"/>
                                                          <w:marTop w:val="0"/>
                                                          <w:marBottom w:val="0"/>
                                                          <w:divBdr>
                                                            <w:top w:val="none" w:sz="0" w:space="0" w:color="auto"/>
                                                            <w:left w:val="none" w:sz="0" w:space="0" w:color="auto"/>
                                                            <w:bottom w:val="none" w:sz="0" w:space="0" w:color="auto"/>
                                                            <w:right w:val="none" w:sz="0" w:space="0" w:color="auto"/>
                                                          </w:divBdr>
                                                          <w:divsChild>
                                                            <w:div w:id="711349597">
                                                              <w:marLeft w:val="0"/>
                                                              <w:marRight w:val="0"/>
                                                              <w:marTop w:val="0"/>
                                                              <w:marBottom w:val="0"/>
                                                              <w:divBdr>
                                                                <w:top w:val="none" w:sz="0" w:space="0" w:color="auto"/>
                                                                <w:left w:val="none" w:sz="0" w:space="0" w:color="auto"/>
                                                                <w:bottom w:val="none" w:sz="0" w:space="0" w:color="auto"/>
                                                                <w:right w:val="none" w:sz="0" w:space="0" w:color="auto"/>
                                                              </w:divBdr>
                                                              <w:divsChild>
                                                                <w:div w:id="263343641">
                                                                  <w:marLeft w:val="0"/>
                                                                  <w:marRight w:val="0"/>
                                                                  <w:marTop w:val="735"/>
                                                                  <w:marBottom w:val="0"/>
                                                                  <w:divBdr>
                                                                    <w:top w:val="none" w:sz="0" w:space="0" w:color="auto"/>
                                                                    <w:left w:val="none" w:sz="0" w:space="0" w:color="auto"/>
                                                                    <w:bottom w:val="none" w:sz="0" w:space="0" w:color="auto"/>
                                                                    <w:right w:val="none" w:sz="0" w:space="0" w:color="auto"/>
                                                                  </w:divBdr>
                                                                  <w:divsChild>
                                                                    <w:div w:id="1142112734">
                                                                      <w:marLeft w:val="450"/>
                                                                      <w:marRight w:val="450"/>
                                                                      <w:marTop w:val="0"/>
                                                                      <w:marBottom w:val="0"/>
                                                                      <w:divBdr>
                                                                        <w:top w:val="none" w:sz="0" w:space="0" w:color="auto"/>
                                                                        <w:left w:val="none" w:sz="0" w:space="0" w:color="auto"/>
                                                                        <w:bottom w:val="none" w:sz="0" w:space="0" w:color="auto"/>
                                                                        <w:right w:val="none" w:sz="0" w:space="0" w:color="auto"/>
                                                                      </w:divBdr>
                                                                      <w:divsChild>
                                                                        <w:div w:id="92436834">
                                                                          <w:marLeft w:val="0"/>
                                                                          <w:marRight w:val="45"/>
                                                                          <w:marTop w:val="45"/>
                                                                          <w:marBottom w:val="0"/>
                                                                          <w:divBdr>
                                                                            <w:top w:val="none" w:sz="0" w:space="0" w:color="auto"/>
                                                                            <w:left w:val="none" w:sz="0" w:space="0" w:color="auto"/>
                                                                            <w:bottom w:val="none" w:sz="0" w:space="0" w:color="auto"/>
                                                                            <w:right w:val="none" w:sz="0" w:space="0" w:color="auto"/>
                                                                          </w:divBdr>
                                                                          <w:divsChild>
                                                                            <w:div w:id="307706794">
                                                                              <w:marLeft w:val="0"/>
                                                                              <w:marRight w:val="0"/>
                                                                              <w:marTop w:val="0"/>
                                                                              <w:marBottom w:val="0"/>
                                                                              <w:divBdr>
                                                                                <w:top w:val="none" w:sz="0" w:space="0" w:color="auto"/>
                                                                                <w:left w:val="none" w:sz="0" w:space="0" w:color="auto"/>
                                                                                <w:bottom w:val="none" w:sz="0" w:space="0" w:color="auto"/>
                                                                                <w:right w:val="none" w:sz="0" w:space="0" w:color="auto"/>
                                                                              </w:divBdr>
                                                                              <w:divsChild>
                                                                                <w:div w:id="251166209">
                                                                                  <w:marLeft w:val="0"/>
                                                                                  <w:marRight w:val="0"/>
                                                                                  <w:marTop w:val="0"/>
                                                                                  <w:marBottom w:val="0"/>
                                                                                  <w:divBdr>
                                                                                    <w:top w:val="none" w:sz="0" w:space="0" w:color="auto"/>
                                                                                    <w:left w:val="none" w:sz="0" w:space="0" w:color="auto"/>
                                                                                    <w:bottom w:val="none" w:sz="0" w:space="0" w:color="auto"/>
                                                                                    <w:right w:val="none" w:sz="0" w:space="0" w:color="auto"/>
                                                                                  </w:divBdr>
                                                                                  <w:divsChild>
                                                                                    <w:div w:id="98453119">
                                                                                      <w:marLeft w:val="0"/>
                                                                                      <w:marRight w:val="0"/>
                                                                                      <w:marTop w:val="0"/>
                                                                                      <w:marBottom w:val="0"/>
                                                                                      <w:divBdr>
                                                                                        <w:top w:val="none" w:sz="0" w:space="0" w:color="auto"/>
                                                                                        <w:left w:val="single" w:sz="6" w:space="0" w:color="auto"/>
                                                                                        <w:bottom w:val="none" w:sz="0" w:space="0" w:color="auto"/>
                                                                                        <w:right w:val="single" w:sz="6" w:space="0" w:color="auto"/>
                                                                                      </w:divBdr>
                                                                                      <w:divsChild>
                                                                                        <w:div w:id="447119339">
                                                                                          <w:marLeft w:val="150"/>
                                                                                          <w:marRight w:val="150"/>
                                                                                          <w:marTop w:val="0"/>
                                                                                          <w:marBottom w:val="0"/>
                                                                                          <w:divBdr>
                                                                                            <w:top w:val="none" w:sz="0" w:space="0" w:color="auto"/>
                                                                                            <w:left w:val="none" w:sz="0" w:space="0" w:color="auto"/>
                                                                                            <w:bottom w:val="none" w:sz="0" w:space="0" w:color="auto"/>
                                                                                            <w:right w:val="none" w:sz="0" w:space="0" w:color="auto"/>
                                                                                          </w:divBdr>
                                                                                          <w:divsChild>
                                                                                            <w:div w:id="1399665755">
                                                                                              <w:marLeft w:val="0"/>
                                                                                              <w:marRight w:val="0"/>
                                                                                              <w:marTop w:val="0"/>
                                                                                              <w:marBottom w:val="0"/>
                                                                                              <w:divBdr>
                                                                                                <w:top w:val="none" w:sz="0" w:space="0" w:color="auto"/>
                                                                                                <w:left w:val="none" w:sz="0" w:space="0" w:color="auto"/>
                                                                                                <w:bottom w:val="none" w:sz="0" w:space="0" w:color="auto"/>
                                                                                                <w:right w:val="none" w:sz="0" w:space="0" w:color="auto"/>
                                                                                              </w:divBdr>
                                                                                              <w:divsChild>
                                                                                                <w:div w:id="455023390">
                                                                                                  <w:marLeft w:val="0"/>
                                                                                                  <w:marRight w:val="0"/>
                                                                                                  <w:marTop w:val="0"/>
                                                                                                  <w:marBottom w:val="0"/>
                                                                                                  <w:divBdr>
                                                                                                    <w:top w:val="none" w:sz="0" w:space="0" w:color="auto"/>
                                                                                                    <w:left w:val="none" w:sz="0" w:space="0" w:color="auto"/>
                                                                                                    <w:bottom w:val="none" w:sz="0" w:space="0" w:color="auto"/>
                                                                                                    <w:right w:val="none" w:sz="0" w:space="0" w:color="auto"/>
                                                                                                  </w:divBdr>
                                                                                                  <w:divsChild>
                                                                                                    <w:div w:id="1702127297">
                                                                                                      <w:marLeft w:val="0"/>
                                                                                                      <w:marRight w:val="0"/>
                                                                                                      <w:marTop w:val="0"/>
                                                                                                      <w:marBottom w:val="0"/>
                                                                                                      <w:divBdr>
                                                                                                        <w:top w:val="none" w:sz="0" w:space="0" w:color="auto"/>
                                                                                                        <w:left w:val="none" w:sz="0" w:space="0" w:color="auto"/>
                                                                                                        <w:bottom w:val="none" w:sz="0" w:space="0" w:color="auto"/>
                                                                                                        <w:right w:val="none" w:sz="0" w:space="0" w:color="auto"/>
                                                                                                      </w:divBdr>
                                                                                                      <w:divsChild>
                                                                                                        <w:div w:id="1554074525">
                                                                                                          <w:marLeft w:val="0"/>
                                                                                                          <w:marRight w:val="0"/>
                                                                                                          <w:marTop w:val="0"/>
                                                                                                          <w:marBottom w:val="0"/>
                                                                                                          <w:divBdr>
                                                                                                            <w:top w:val="none" w:sz="0" w:space="0" w:color="auto"/>
                                                                                                            <w:left w:val="none" w:sz="0" w:space="0" w:color="auto"/>
                                                                                                            <w:bottom w:val="none" w:sz="0" w:space="0" w:color="auto"/>
                                                                                                            <w:right w:val="none" w:sz="0" w:space="0" w:color="auto"/>
                                                                                                          </w:divBdr>
                                                                                                          <w:divsChild>
                                                                                                            <w:div w:id="48195257">
                                                                                                              <w:marLeft w:val="0"/>
                                                                                                              <w:marRight w:val="0"/>
                                                                                                              <w:marTop w:val="0"/>
                                                                                                              <w:marBottom w:val="0"/>
                                                                                                              <w:divBdr>
                                                                                                                <w:top w:val="none" w:sz="0" w:space="0" w:color="auto"/>
                                                                                                                <w:left w:val="none" w:sz="0" w:space="0" w:color="auto"/>
                                                                                                                <w:bottom w:val="none" w:sz="0" w:space="0" w:color="auto"/>
                                                                                                                <w:right w:val="none" w:sz="0" w:space="0" w:color="auto"/>
                                                                                                              </w:divBdr>
                                                                                                              <w:divsChild>
                                                                                                                <w:div w:id="8360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info.gov/public/do/PRAMai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erc.gov"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2.xml><?xml version="1.0" encoding="utf-8"?>
<ds:datastoreItem xmlns:ds="http://schemas.openxmlformats.org/officeDocument/2006/customXml" ds:itemID="{F3DAD938-CAC8-4BC5-998B-6FA0E450D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F99D482F-7C92-41E1-8497-0B36C4606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886</Words>
  <Characters>5055</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FERC-725HH 30-day notice</vt:lpstr>
    </vt:vector>
  </TitlesOfParts>
  <Manager/>
  <Company/>
  <LinksUpToDate>false</LinksUpToDate>
  <CharactersWithSpaces>5930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Sonneman</dc:creator>
  <cp:keywords/>
  <dc:description/>
  <cp:lastModifiedBy>Jean Sonneman</cp:lastModifiedBy>
  <cp:revision>2</cp:revision>
  <cp:lastPrinted>2016-12-20T13:40:00Z</cp:lastPrinted>
  <dcterms:created xsi:type="dcterms:W3CDTF">2021-03-11T20:09:00Z</dcterms:created>
  <dcterms:modified xsi:type="dcterms:W3CDTF">2021-03-11T20:09:00Z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Enabled">
    <vt:lpwstr>True</vt:lpwstr>
  </property>
  <property fmtid="{D5CDD505-2E9C-101B-9397-08002B2CF9AE}" pid="3" name="MSIP_Label_6155a89b-0f08-4a93-8ea2-8a916d6643b5_SiteId">
    <vt:lpwstr>19caa9e9-04ff-43fa-885f-d77fac387903</vt:lpwstr>
  </property>
  <property fmtid="{D5CDD505-2E9C-101B-9397-08002B2CF9AE}" pid="4" name="MSIP_Label_6155a89b-0f08-4a93-8ea2-8a916d6643b5_Owner">
    <vt:lpwstr>Jean.Sonneman@ferc.gov</vt:lpwstr>
  </property>
  <property fmtid="{D5CDD505-2E9C-101B-9397-08002B2CF9AE}" pid="5" name="MSIP_Label_6155a89b-0f08-4a93-8ea2-8a916d6643b5_SetDate">
    <vt:lpwstr>2021-03-11T20:08:59.7960848Z</vt:lpwstr>
  </property>
  <property fmtid="{D5CDD505-2E9C-101B-9397-08002B2CF9AE}" pid="6" name="MSIP_Label_6155a89b-0f08-4a93-8ea2-8a916d6643b5_Name">
    <vt:lpwstr>General</vt:lpwstr>
  </property>
  <property fmtid="{D5CDD505-2E9C-101B-9397-08002B2CF9AE}" pid="7" name="MSIP_Label_6155a89b-0f08-4a93-8ea2-8a916d6643b5_Application">
    <vt:lpwstr>Microsoft Azure Information Protection</vt:lpwstr>
  </property>
  <property fmtid="{D5CDD505-2E9C-101B-9397-08002B2CF9AE}" pid="8" name="MSIP_Label_6155a89b-0f08-4a93-8ea2-8a916d6643b5_ActionId">
    <vt:lpwstr>89a48846-6534-4f4d-a6a1-5dcf814e073d</vt:lpwstr>
  </property>
  <property fmtid="{D5CDD505-2E9C-101B-9397-08002B2CF9AE}" pid="9" name="MSIP_Label_6155a89b-0f08-4a93-8ea2-8a916d6643b5_Extended_MSFT_Method">
    <vt:lpwstr>Manual</vt:lpwstr>
  </property>
  <property fmtid="{D5CDD505-2E9C-101B-9397-08002B2CF9AE}" pid="10" name="Sensitivity">
    <vt:lpwstr>General</vt:lpwstr>
  </property>
</Properties>
</file>