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3AF1" w:rsidR="007619F1" w:rsidP="008A3AF1" w:rsidRDefault="007619F1" w14:paraId="158DA9EF" w14:textId="77777777">
      <w:pPr>
        <w:tabs>
          <w:tab w:val="left" w:pos="3320"/>
        </w:tabs>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Supporting Statement for</w:t>
      </w:r>
    </w:p>
    <w:p w:rsidRPr="008A3AF1" w:rsidR="007619F1" w:rsidP="008A3AF1" w:rsidRDefault="007619F1" w14:paraId="4909D83D"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 xml:space="preserve">FERC-725S </w:t>
      </w:r>
      <w:r w:rsidR="00EB0C4E">
        <w:rPr>
          <w:rFonts w:ascii="Times New Roman" w:hAnsi="Times New Roman" w:cs="Times New Roman"/>
          <w:b/>
          <w:sz w:val="26"/>
          <w:szCs w:val="26"/>
        </w:rPr>
        <w:t>(</w:t>
      </w:r>
      <w:r w:rsidRPr="008A3AF1">
        <w:rPr>
          <w:rFonts w:ascii="Times New Roman" w:hAnsi="Times New Roman" w:cs="Times New Roman"/>
          <w:b/>
          <w:sz w:val="26"/>
          <w:szCs w:val="26"/>
        </w:rPr>
        <w:t xml:space="preserve">Mandatory Reliability Standards: Emergency Preparedness </w:t>
      </w:r>
    </w:p>
    <w:p w:rsidR="001A002D" w:rsidP="001A002D" w:rsidRDefault="007619F1" w14:paraId="19B9764D" w14:textId="2CE7EF34">
      <w:pPr>
        <w:spacing w:after="0" w:line="240" w:lineRule="auto"/>
        <w:jc w:val="center"/>
      </w:pPr>
      <w:r w:rsidRPr="008A3AF1">
        <w:rPr>
          <w:rFonts w:ascii="Times New Roman" w:hAnsi="Times New Roman" w:cs="Times New Roman"/>
          <w:b/>
          <w:sz w:val="26"/>
          <w:szCs w:val="26"/>
        </w:rPr>
        <w:t>and Operations (EOP) Reliability Standards</w:t>
      </w:r>
      <w:r w:rsidR="001A002D">
        <w:rPr>
          <w:rFonts w:ascii="Times New Roman" w:hAnsi="Times New Roman" w:cs="Times New Roman"/>
          <w:b/>
          <w:sz w:val="26"/>
          <w:szCs w:val="26"/>
        </w:rPr>
        <w:t>)</w:t>
      </w:r>
    </w:p>
    <w:p w:rsidRPr="008A3AF1" w:rsidR="007619F1" w:rsidP="008A3AF1" w:rsidRDefault="007619F1" w14:paraId="37A9DA70" w14:textId="77777777">
      <w:pPr>
        <w:spacing w:after="0" w:line="240" w:lineRule="auto"/>
        <w:jc w:val="center"/>
        <w:rPr>
          <w:rFonts w:ascii="Times New Roman" w:hAnsi="Times New Roman" w:cs="Times New Roman"/>
          <w:b/>
          <w:sz w:val="26"/>
          <w:szCs w:val="26"/>
        </w:rPr>
      </w:pPr>
    </w:p>
    <w:p w:rsidRPr="008A3AF1" w:rsidR="007619F1" w:rsidP="008A3AF1" w:rsidRDefault="007619F1" w14:paraId="0A2DCA7D" w14:textId="420F811D">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Federal Energy Regulatory Commission (Commission or FERC) requests that the Office of Management and Budget (OMB) review </w:t>
      </w:r>
      <w:r w:rsidR="001A002D">
        <w:rPr>
          <w:rFonts w:ascii="Times New Roman" w:hAnsi="Times New Roman" w:cs="Times New Roman"/>
          <w:sz w:val="26"/>
          <w:szCs w:val="26"/>
        </w:rPr>
        <w:t xml:space="preserve">and approve </w:t>
      </w:r>
      <w:r w:rsidRPr="008A3AF1">
        <w:rPr>
          <w:rFonts w:ascii="Times New Roman" w:hAnsi="Times New Roman" w:cs="Times New Roman"/>
          <w:sz w:val="26"/>
          <w:szCs w:val="26"/>
        </w:rPr>
        <w:t xml:space="preserve">FERC-725S (Mandatory Reliability Standards: </w:t>
      </w:r>
      <w:r w:rsidR="0030610E">
        <w:rPr>
          <w:rFonts w:ascii="Times New Roman" w:hAnsi="Times New Roman" w:cs="Times New Roman"/>
          <w:sz w:val="26"/>
          <w:szCs w:val="26"/>
        </w:rPr>
        <w:t xml:space="preserve">Emergency Preparedness and Operations </w:t>
      </w:r>
      <w:r w:rsidRPr="008A3AF1">
        <w:rPr>
          <w:rFonts w:ascii="Times New Roman" w:hAnsi="Times New Roman" w:cs="Times New Roman"/>
          <w:sz w:val="26"/>
          <w:szCs w:val="26"/>
        </w:rPr>
        <w:t>(EOP) Reliability Standards</w:t>
      </w:r>
      <w:r w:rsidR="0030610E">
        <w:rPr>
          <w:rFonts w:ascii="Times New Roman" w:hAnsi="Times New Roman" w:cs="Times New Roman"/>
          <w:sz w:val="26"/>
          <w:szCs w:val="26"/>
        </w:rPr>
        <w:t>)</w:t>
      </w:r>
      <w:r w:rsidRPr="008A3AF1">
        <w:rPr>
          <w:rFonts w:ascii="Times New Roman" w:hAnsi="Times New Roman" w:cs="Times New Roman"/>
          <w:sz w:val="26"/>
          <w:szCs w:val="26"/>
        </w:rPr>
        <w:t xml:space="preserve"> under OMB Control </w:t>
      </w:r>
      <w:r w:rsidR="001A002D">
        <w:rPr>
          <w:rFonts w:ascii="Times New Roman" w:hAnsi="Times New Roman" w:cs="Times New Roman"/>
          <w:sz w:val="26"/>
          <w:szCs w:val="26"/>
        </w:rPr>
        <w:t xml:space="preserve">No. </w:t>
      </w:r>
      <w:r w:rsidRPr="008A3AF1">
        <w:rPr>
          <w:rFonts w:ascii="Times New Roman" w:hAnsi="Times New Roman" w:cs="Times New Roman"/>
          <w:sz w:val="26"/>
          <w:szCs w:val="26"/>
        </w:rPr>
        <w:t>190</w:t>
      </w:r>
      <w:r w:rsidR="0030610E">
        <w:rPr>
          <w:rFonts w:ascii="Times New Roman" w:hAnsi="Times New Roman" w:cs="Times New Roman"/>
          <w:sz w:val="26"/>
          <w:szCs w:val="26"/>
        </w:rPr>
        <w:t>2</w:t>
      </w:r>
      <w:r w:rsidRPr="008A3AF1">
        <w:rPr>
          <w:rFonts w:ascii="Times New Roman" w:hAnsi="Times New Roman" w:cs="Times New Roman"/>
          <w:sz w:val="26"/>
          <w:szCs w:val="26"/>
        </w:rPr>
        <w:t xml:space="preserve">-0270 for a three-year period. </w:t>
      </w:r>
    </w:p>
    <w:p w:rsidRPr="008A3AF1" w:rsidR="007619F1" w:rsidP="008A3AF1" w:rsidRDefault="007619F1" w14:paraId="19BDE20C" w14:textId="77777777">
      <w:pPr>
        <w:spacing w:after="0" w:line="240" w:lineRule="auto"/>
        <w:rPr>
          <w:rFonts w:ascii="Times New Roman" w:hAnsi="Times New Roman" w:cs="Times New Roman"/>
          <w:sz w:val="26"/>
          <w:szCs w:val="26"/>
        </w:rPr>
      </w:pPr>
    </w:p>
    <w:p w:rsidRPr="008A3AF1" w:rsidR="0091341A" w:rsidP="008A3AF1" w:rsidRDefault="0091341A" w14:paraId="2495A886" w14:textId="77777777">
      <w:pPr>
        <w:widowControl w:val="0"/>
        <w:numPr>
          <w:ilvl w:val="0"/>
          <w:numId w:val="1"/>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8A3AF1">
        <w:rPr>
          <w:rFonts w:ascii="Times New Roman" w:hAnsi="Times New Roman" w:cs="Times New Roman"/>
          <w:b/>
          <w:bCs/>
          <w:sz w:val="26"/>
          <w:szCs w:val="26"/>
        </w:rPr>
        <w:t>CIRCUMSTANCES THAT MAKE THE COLLECTION OF INFORMATION NECESSARY</w:t>
      </w:r>
    </w:p>
    <w:p w:rsidRPr="008A3AF1" w:rsidR="0091341A" w:rsidP="008A3AF1" w:rsidRDefault="0091341A" w14:paraId="1C6EDF12"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Pr="008A3AF1" w:rsidR="0091341A" w:rsidP="009B045C" w:rsidRDefault="0091341A" w14:paraId="4717D486" w14:textId="73F7913A">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 xml:space="preserve">Background.  </w:t>
      </w:r>
      <w:r w:rsidRPr="008A3AF1">
        <w:rPr>
          <w:rFonts w:ascii="Times New Roman" w:hAnsi="Times New Roman" w:cs="Times New Roman"/>
          <w:sz w:val="26"/>
          <w:szCs w:val="26"/>
        </w:rPr>
        <w:t>On August 8, 2005, The Electricity Modernization Act of 2005, which is Title XII of the Energy Policy Act of 2005</w:t>
      </w:r>
      <w:r w:rsidRPr="008A3AF1" w:rsidR="00815735">
        <w:rPr>
          <w:rStyle w:val="FootnoteReference"/>
          <w:rFonts w:ascii="Times New Roman" w:hAnsi="Times New Roman" w:cs="Times New Roman"/>
          <w:sz w:val="26"/>
          <w:szCs w:val="26"/>
          <w:vertAlign w:val="superscript"/>
        </w:rPr>
        <w:footnoteReference w:id="1"/>
      </w:r>
      <w:r w:rsidRPr="008A3AF1">
        <w:rPr>
          <w:rFonts w:ascii="Times New Roman" w:hAnsi="Times New Roman" w:cs="Times New Roman"/>
          <w:sz w:val="26"/>
          <w:szCs w:val="26"/>
          <w:vertAlign w:val="superscript"/>
        </w:rPr>
        <w:t xml:space="preserve"> </w:t>
      </w:r>
      <w:r w:rsidRPr="008A3AF1">
        <w:rPr>
          <w:rFonts w:ascii="Times New Roman" w:hAnsi="Times New Roman" w:cs="Times New Roman"/>
          <w:sz w:val="26"/>
          <w:szCs w:val="26"/>
        </w:rPr>
        <w:t>(EPAct 2005), was enacted into law.   EPAct 2005 added a new section 215 to the</w:t>
      </w:r>
      <w:r w:rsidRPr="008A3AF1" w:rsidR="00EA4013">
        <w:rPr>
          <w:rFonts w:ascii="Times New Roman" w:hAnsi="Times New Roman" w:cs="Times New Roman"/>
          <w:sz w:val="26"/>
          <w:szCs w:val="26"/>
        </w:rPr>
        <w:t xml:space="preserve"> Federal Power Act (FPA),</w:t>
      </w:r>
      <w:r w:rsidRPr="008A3AF1" w:rsidR="00EA4013">
        <w:rPr>
          <w:rFonts w:ascii="Times New Roman" w:hAnsi="Times New Roman" w:cs="Times New Roman"/>
          <w:b/>
          <w:sz w:val="26"/>
          <w:szCs w:val="26"/>
          <w:vertAlign w:val="superscript"/>
        </w:rPr>
        <w:footnoteReference w:id="2"/>
      </w:r>
      <w:r w:rsidRPr="008A3AF1" w:rsidR="00EA4013">
        <w:rPr>
          <w:rFonts w:ascii="Times New Roman" w:hAnsi="Times New Roman" w:cs="Times New Roman"/>
          <w:sz w:val="26"/>
          <w:szCs w:val="26"/>
        </w:rPr>
        <w:t xml:space="preserve"> </w:t>
      </w:r>
      <w:r w:rsidRPr="008A3AF1">
        <w:rPr>
          <w:rFonts w:ascii="Times New Roman" w:hAnsi="Times New Roman" w:cs="Times New Roman"/>
          <w:sz w:val="26"/>
          <w:szCs w:val="26"/>
        </w:rPr>
        <w:t xml:space="preserve">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rsidRPr="008A3AF1" w:rsidR="007258AC" w:rsidP="00243D6B" w:rsidRDefault="0091341A" w14:paraId="6C93C1C8" w14:textId="7B8B4F82">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Section 215 of the FPA requires a Commission-certified ERO to develop mandatory and enforceable Reliability Standards, subject to Commission review and approval.   Once approved, the Reliability Standards may be enforced by the ERO subject to Commission oversight or by the Commission independently.   In 2006, the Commission certified North American Electric Reliability Corporation</w:t>
      </w:r>
      <w:r w:rsidRPr="008A3AF1" w:rsidR="007258AC">
        <w:rPr>
          <w:rFonts w:ascii="Times New Roman" w:hAnsi="Times New Roman" w:cs="Times New Roman"/>
          <w:sz w:val="26"/>
          <w:szCs w:val="26"/>
        </w:rPr>
        <w:t xml:space="preserve"> (NERC</w:t>
      </w:r>
      <w:r w:rsidRPr="008A3AF1">
        <w:rPr>
          <w:rFonts w:ascii="Times New Roman" w:hAnsi="Times New Roman" w:cs="Times New Roman"/>
          <w:sz w:val="26"/>
          <w:szCs w:val="26"/>
        </w:rPr>
        <w:t xml:space="preserve">) as the ERO pursuant to section 215 of the FPA. </w:t>
      </w:r>
    </w:p>
    <w:p w:rsidRPr="008A3AF1" w:rsidR="0091341A" w:rsidP="009B045C" w:rsidRDefault="007258AC" w14:paraId="2DB4FAB5" w14:textId="36012D3D">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Pursuant to section 215 of the Federal Power Act (FPA),</w:t>
      </w:r>
      <w:r w:rsidRPr="008A3AF1">
        <w:rPr>
          <w:rFonts w:ascii="Times New Roman" w:hAnsi="Times New Roman" w:cs="Times New Roman"/>
          <w:sz w:val="26"/>
          <w:szCs w:val="26"/>
          <w:vertAlign w:val="superscript"/>
        </w:rPr>
        <w:footnoteReference w:id="3"/>
      </w:r>
      <w:r w:rsidRPr="008A3AF1">
        <w:rPr>
          <w:rFonts w:ascii="Times New Roman" w:hAnsi="Times New Roman" w:cs="Times New Roman"/>
          <w:sz w:val="26"/>
          <w:szCs w:val="26"/>
        </w:rPr>
        <w:t xml:space="preserve"> the Commission </w:t>
      </w:r>
      <w:r w:rsidR="00B33479">
        <w:rPr>
          <w:rFonts w:ascii="Times New Roman" w:hAnsi="Times New Roman" w:cs="Times New Roman"/>
          <w:sz w:val="26"/>
          <w:szCs w:val="26"/>
        </w:rPr>
        <w:t xml:space="preserve">has </w:t>
      </w:r>
      <w:r w:rsidRPr="008A3AF1">
        <w:rPr>
          <w:rFonts w:ascii="Times New Roman" w:hAnsi="Times New Roman" w:cs="Times New Roman"/>
          <w:sz w:val="26"/>
          <w:szCs w:val="26"/>
        </w:rPr>
        <w:t>approve</w:t>
      </w:r>
      <w:r w:rsidR="00B33479">
        <w:rPr>
          <w:rFonts w:ascii="Times New Roman" w:hAnsi="Times New Roman" w:cs="Times New Roman"/>
          <w:sz w:val="26"/>
          <w:szCs w:val="26"/>
        </w:rPr>
        <w:t>d</w:t>
      </w:r>
      <w:r w:rsidRPr="008A3AF1">
        <w:rPr>
          <w:rFonts w:ascii="Times New Roman" w:hAnsi="Times New Roman" w:cs="Times New Roman"/>
          <w:sz w:val="26"/>
          <w:szCs w:val="26"/>
        </w:rPr>
        <w:t xml:space="preserve"> Emergency Preparedness and Operations (EOP) Reliability Standards EOP-004-4 (Event Reporting), EOP-005-3 (System Restoration from Blackstart Resources), EOP-006-3 (System Restoration Coordination), and EOP-008-2 (Loss of Control Center Functionality), submitted by the North American Electric Reliability Corporation (NERC), the Commission-certified Electric Reliability Organization (ERO).  The Commission also approve</w:t>
      </w:r>
      <w:r w:rsidR="005B7D5F">
        <w:rPr>
          <w:rFonts w:ascii="Times New Roman" w:hAnsi="Times New Roman" w:cs="Times New Roman"/>
          <w:sz w:val="26"/>
          <w:szCs w:val="26"/>
        </w:rPr>
        <w:t>d</w:t>
      </w:r>
      <w:r w:rsidRPr="008A3AF1">
        <w:rPr>
          <w:rFonts w:ascii="Times New Roman" w:hAnsi="Times New Roman" w:cs="Times New Roman"/>
          <w:sz w:val="26"/>
          <w:szCs w:val="26"/>
        </w:rPr>
        <w:t xml:space="preserve"> the associated violation risk factors, violation severity levels, implementation plans, and effective dates</w:t>
      </w:r>
      <w:r w:rsidR="000C23DC">
        <w:rPr>
          <w:rFonts w:ascii="Times New Roman" w:hAnsi="Times New Roman" w:cs="Times New Roman"/>
          <w:sz w:val="26"/>
          <w:szCs w:val="26"/>
        </w:rPr>
        <w:t xml:space="preserve"> of the</w:t>
      </w:r>
      <w:r w:rsidR="005B7D5F">
        <w:rPr>
          <w:rFonts w:ascii="Times New Roman" w:hAnsi="Times New Roman" w:cs="Times New Roman"/>
          <w:sz w:val="26"/>
          <w:szCs w:val="26"/>
        </w:rPr>
        <w:t xml:space="preserve"> </w:t>
      </w:r>
      <w:r w:rsidRPr="00CD7772" w:rsidR="00764762">
        <w:rPr>
          <w:rFonts w:ascii="Times New Roman" w:hAnsi="Times New Roman" w:cs="Times New Roman"/>
          <w:iCs/>
          <w:sz w:val="26"/>
          <w:szCs w:val="26"/>
        </w:rPr>
        <w:t xml:space="preserve">Reliability </w:t>
      </w:r>
      <w:r w:rsidRPr="00CD7772" w:rsidR="00764762">
        <w:rPr>
          <w:rFonts w:ascii="Times New Roman" w:hAnsi="Times New Roman" w:cs="Times New Roman"/>
          <w:sz w:val="26"/>
          <w:szCs w:val="26"/>
        </w:rPr>
        <w:t>standards EOP-004-4, EOP-005-3, EOP-006-3 and EOP-008-2, EOP-010-1, and EOP-011-1</w:t>
      </w:r>
      <w:r w:rsidR="005B7D5F">
        <w:rPr>
          <w:rFonts w:ascii="Times New Roman" w:hAnsi="Times New Roman" w:cs="Times New Roman"/>
          <w:sz w:val="26"/>
          <w:szCs w:val="26"/>
        </w:rPr>
        <w:t>.</w:t>
      </w:r>
      <w:r w:rsidRPr="008A3AF1">
        <w:rPr>
          <w:rFonts w:ascii="Times New Roman" w:hAnsi="Times New Roman" w:cs="Times New Roman"/>
          <w:sz w:val="26"/>
          <w:szCs w:val="26"/>
        </w:rPr>
        <w:t xml:space="preserve"> </w:t>
      </w:r>
    </w:p>
    <w:p w:rsidRPr="008A3AF1" w:rsidR="007619F1" w:rsidP="00CC65AF" w:rsidRDefault="0091341A" w14:paraId="1302B81D"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2.</w:t>
      </w:r>
      <w:r w:rsidRPr="008A3AF1" w:rsidR="00B43573">
        <w:rPr>
          <w:rFonts w:ascii="Times New Roman" w:hAnsi="Times New Roman" w:cs="Times New Roman"/>
          <w:sz w:val="26"/>
          <w:szCs w:val="26"/>
        </w:rPr>
        <w:t xml:space="preserve">  </w:t>
      </w:r>
      <w:r w:rsidRPr="008A3AF1">
        <w:rPr>
          <w:rFonts w:ascii="Times New Roman" w:hAnsi="Times New Roman" w:cs="Times New Roman"/>
          <w:b/>
          <w:sz w:val="26"/>
          <w:szCs w:val="26"/>
        </w:rPr>
        <w:t>HOW, BY WHOM, AND FOR WHAT PURPOSE THE INFORMATION IS TO BE USED AND THE CONSEQUENCES OF NOT COLLECTING THE INFORMATION</w:t>
      </w:r>
    </w:p>
    <w:p w:rsidR="00B43573" w:rsidP="00CC65AF" w:rsidRDefault="00B43573" w14:paraId="6A5DF983" w14:textId="622EFB74">
      <w:pPr>
        <w:spacing w:after="0" w:line="240" w:lineRule="auto"/>
        <w:rPr>
          <w:rFonts w:ascii="Times New Roman" w:hAnsi="Times New Roman" w:cs="Times New Roman"/>
          <w:b/>
          <w:sz w:val="26"/>
          <w:szCs w:val="26"/>
        </w:rPr>
      </w:pPr>
    </w:p>
    <w:p w:rsidRPr="00CD7772" w:rsidR="00CD7772" w:rsidP="00CD7772" w:rsidRDefault="00CD7772" w14:paraId="0EEB80A0" w14:textId="60CE28ED">
      <w:pPr>
        <w:spacing w:after="0" w:line="240" w:lineRule="auto"/>
        <w:rPr>
          <w:rFonts w:ascii="Times New Roman" w:hAnsi="Times New Roman" w:eastAsia="Times New Roman" w:cs="Times New Roman"/>
          <w:iCs/>
          <w:sz w:val="26"/>
          <w:szCs w:val="26"/>
        </w:rPr>
      </w:pPr>
      <w:r w:rsidRPr="00CD7772">
        <w:rPr>
          <w:rFonts w:ascii="Times New Roman" w:hAnsi="Times New Roman" w:eastAsia="Times New Roman" w:cs="Times New Roman"/>
          <w:iCs/>
          <w:sz w:val="26"/>
          <w:szCs w:val="26"/>
        </w:rPr>
        <w:t xml:space="preserve">In 2006, the Commission certified North American Electric Reliability Corporation (NERC) as the ERO pursuant to section 215 of the FPA.  FERC-725S consists of </w:t>
      </w:r>
      <w:bookmarkStart w:name="_Hlk55404923" w:id="0"/>
      <w:r w:rsidRPr="00CD7772">
        <w:rPr>
          <w:rFonts w:ascii="Times New Roman" w:hAnsi="Times New Roman" w:eastAsia="Times New Roman" w:cs="Times New Roman"/>
          <w:iCs/>
          <w:sz w:val="26"/>
          <w:szCs w:val="26"/>
        </w:rPr>
        <w:t>Emergency Preparedness and Operations (EOP) Reliability Standards</w:t>
      </w:r>
      <w:bookmarkEnd w:id="0"/>
      <w:r w:rsidRPr="00CD7772">
        <w:rPr>
          <w:rFonts w:ascii="Times New Roman" w:hAnsi="Times New Roman" w:eastAsia="Times New Roman" w:cs="Times New Roman"/>
          <w:iCs/>
          <w:sz w:val="26"/>
          <w:szCs w:val="26"/>
        </w:rPr>
        <w:t xml:space="preserve">, EOP-004-4 (Event Reporting), EOP-005-3 (System Restoration from Blackstart Resources), EOP-006-3 (System Restoration Coordination), and EOP-008-2 (Loss of Control Center Functionality), EOP-010-1 (Geomagnetic Disturbance Operations), and EOP-011-1 (Emergency Operations).  </w:t>
      </w:r>
      <w:bookmarkStart w:name="_Hlk61359837" w:id="1"/>
      <w:r w:rsidR="0076461D">
        <w:rPr>
          <w:rFonts w:ascii="Times New Roman" w:hAnsi="Times New Roman" w:eastAsia="Times New Roman" w:cs="Times New Roman"/>
          <w:iCs/>
          <w:sz w:val="26"/>
          <w:szCs w:val="26"/>
        </w:rPr>
        <w:t xml:space="preserve">These </w:t>
      </w:r>
      <w:r w:rsidRPr="00CD7772">
        <w:rPr>
          <w:rFonts w:ascii="Times New Roman" w:hAnsi="Times New Roman" w:eastAsia="Times New Roman" w:cs="Times New Roman"/>
          <w:iCs/>
          <w:sz w:val="26"/>
          <w:szCs w:val="26"/>
        </w:rPr>
        <w:t xml:space="preserve">Reliability </w:t>
      </w:r>
      <w:r w:rsidR="0076461D">
        <w:rPr>
          <w:rFonts w:ascii="Times New Roman" w:hAnsi="Times New Roman" w:eastAsia="Times New Roman" w:cs="Times New Roman"/>
          <w:sz w:val="26"/>
          <w:szCs w:val="26"/>
        </w:rPr>
        <w:t>S</w:t>
      </w:r>
      <w:r w:rsidRPr="00CD7772">
        <w:rPr>
          <w:rFonts w:ascii="Times New Roman" w:hAnsi="Times New Roman" w:eastAsia="Times New Roman" w:cs="Times New Roman"/>
          <w:sz w:val="26"/>
          <w:szCs w:val="26"/>
        </w:rPr>
        <w:t>tandards</w:t>
      </w:r>
      <w:bookmarkEnd w:id="1"/>
      <w:r w:rsidRPr="00CD7772">
        <w:rPr>
          <w:rFonts w:ascii="Times New Roman" w:hAnsi="Times New Roman" w:eastAsia="Times New Roman" w:cs="Times New Roman"/>
          <w:iCs/>
          <w:sz w:val="26"/>
          <w:szCs w:val="26"/>
        </w:rPr>
        <w:t xml:space="preserve"> enhance reliability by:  </w:t>
      </w:r>
    </w:p>
    <w:p w:rsidRPr="00CD7772" w:rsidR="00CD7772" w:rsidP="00CD7772" w:rsidRDefault="00CD7772" w14:paraId="7BB23038" w14:textId="77777777">
      <w:pPr>
        <w:spacing w:after="0" w:line="240" w:lineRule="auto"/>
        <w:rPr>
          <w:rFonts w:ascii="Times New Roman" w:hAnsi="Times New Roman" w:eastAsia="Times New Roman" w:cs="Times New Roman"/>
          <w:iCs/>
          <w:sz w:val="26"/>
          <w:szCs w:val="26"/>
        </w:rPr>
      </w:pPr>
      <w:r w:rsidRPr="00CD7772">
        <w:rPr>
          <w:rFonts w:ascii="Times New Roman" w:hAnsi="Times New Roman" w:eastAsia="Times New Roman" w:cs="Times New Roman"/>
          <w:iCs/>
          <w:sz w:val="26"/>
          <w:szCs w:val="26"/>
        </w:rPr>
        <w:t xml:space="preserve">(1) providing accurate reporting of events to NERC’s event analysis group to analyze the impact on the reliability of the bulk electric system (Reliability Standard EOP-004-4). </w:t>
      </w:r>
    </w:p>
    <w:p w:rsidRPr="00CD7772" w:rsidR="00CD7772" w:rsidP="00CD7772" w:rsidRDefault="00CD7772" w14:paraId="7DF0DA16" w14:textId="77777777">
      <w:pPr>
        <w:spacing w:after="0" w:line="240" w:lineRule="auto"/>
        <w:rPr>
          <w:rFonts w:ascii="Times New Roman" w:hAnsi="Times New Roman" w:eastAsia="Times New Roman" w:cs="Times New Roman"/>
          <w:iCs/>
          <w:sz w:val="26"/>
          <w:szCs w:val="26"/>
        </w:rPr>
      </w:pPr>
      <w:r w:rsidRPr="00CD7772">
        <w:rPr>
          <w:rFonts w:ascii="Times New Roman" w:hAnsi="Times New Roman" w:eastAsia="Times New Roman" w:cs="Times New Roman"/>
          <w:iCs/>
          <w:sz w:val="26"/>
          <w:szCs w:val="26"/>
        </w:rPr>
        <w:t>(2) delineating the roles and responsibilities of entities that support system restoration from blackstart resources which generate power without the support of the bulk electric system (Reliability Standard EOP-005-3).</w:t>
      </w:r>
    </w:p>
    <w:p w:rsidRPr="00CD7772" w:rsidR="00CD7772" w:rsidP="00CD7772" w:rsidRDefault="00CD7772" w14:paraId="1BEB870A" w14:textId="77777777">
      <w:pPr>
        <w:spacing w:after="0" w:line="240" w:lineRule="auto"/>
        <w:rPr>
          <w:rFonts w:ascii="Times New Roman" w:hAnsi="Times New Roman" w:eastAsia="Times New Roman" w:cs="Times New Roman"/>
          <w:iCs/>
          <w:sz w:val="26"/>
          <w:szCs w:val="26"/>
        </w:rPr>
      </w:pPr>
      <w:r w:rsidRPr="00CD7772">
        <w:rPr>
          <w:rFonts w:ascii="Times New Roman" w:hAnsi="Times New Roman" w:eastAsia="Times New Roman" w:cs="Times New Roman"/>
          <w:iCs/>
          <w:sz w:val="26"/>
          <w:szCs w:val="26"/>
        </w:rPr>
        <w:t>(3) clarifying the procedures and coordination requirements for reliability coordinator personnel to execute system restoration processes (Reliability Standard EOP-006-3).</w:t>
      </w:r>
    </w:p>
    <w:p w:rsidRPr="00CD7772" w:rsidR="00CD7772" w:rsidP="00CD7772" w:rsidRDefault="00CD7772" w14:paraId="35A846A7" w14:textId="77777777">
      <w:pPr>
        <w:spacing w:after="0" w:line="240" w:lineRule="auto"/>
        <w:rPr>
          <w:rFonts w:ascii="Times New Roman" w:hAnsi="Times New Roman" w:eastAsia="Times New Roman" w:cs="Times New Roman"/>
          <w:iCs/>
          <w:sz w:val="26"/>
          <w:szCs w:val="26"/>
        </w:rPr>
      </w:pPr>
      <w:r w:rsidRPr="00CD7772">
        <w:rPr>
          <w:rFonts w:ascii="Times New Roman" w:hAnsi="Times New Roman" w:eastAsia="Times New Roman" w:cs="Times New Roman"/>
          <w:iCs/>
          <w:sz w:val="26"/>
          <w:szCs w:val="26"/>
        </w:rPr>
        <w:t>(4) refining the required elements of an operating plan used to continue reliable operations of the bulk electric system in the event that primary control center functionality is lost (Reliability Standard EOP-008-2).</w:t>
      </w:r>
    </w:p>
    <w:p w:rsidRPr="00CD7772" w:rsidR="00CD7772" w:rsidP="00CD7772" w:rsidRDefault="00CD7772" w14:paraId="13AB3B1B" w14:textId="654D0FA9">
      <w:pPr>
        <w:spacing w:after="0" w:line="240" w:lineRule="auto"/>
        <w:rPr>
          <w:rFonts w:ascii="Times New Roman" w:hAnsi="Times New Roman" w:eastAsia="Times New Roman" w:cs="Times New Roman"/>
          <w:iCs/>
          <w:sz w:val="26"/>
          <w:szCs w:val="26"/>
        </w:rPr>
      </w:pPr>
      <w:r w:rsidRPr="00CD7772">
        <w:rPr>
          <w:rFonts w:ascii="Times New Roman" w:hAnsi="Times New Roman" w:eastAsia="Times New Roman" w:cs="Times New Roman"/>
          <w:iCs/>
          <w:sz w:val="26"/>
          <w:szCs w:val="26"/>
        </w:rPr>
        <w:t>(5) address</w:t>
      </w:r>
      <w:r w:rsidR="00B33479">
        <w:rPr>
          <w:rFonts w:ascii="Times New Roman" w:hAnsi="Times New Roman" w:eastAsia="Times New Roman" w:cs="Times New Roman"/>
          <w:iCs/>
          <w:sz w:val="26"/>
          <w:szCs w:val="26"/>
        </w:rPr>
        <w:t>ing</w:t>
      </w:r>
      <w:r w:rsidRPr="00CD7772">
        <w:rPr>
          <w:rFonts w:ascii="Times New Roman" w:hAnsi="Times New Roman" w:eastAsia="Times New Roman" w:cs="Times New Roman"/>
          <w:iCs/>
          <w:sz w:val="26"/>
          <w:szCs w:val="26"/>
        </w:rPr>
        <w:t xml:space="preserve"> the effects of operating Emergencies by ensuring each Transmission Operator and Balancing Authority has developed Operating Plan(s) to mitigate operating Emergencies, and that those plans are coordinated within a Reliability Coordinator Area (</w:t>
      </w:r>
      <w:r w:rsidRPr="00CD7772">
        <w:rPr>
          <w:rFonts w:ascii="Times New Roman" w:hAnsi="Times New Roman" w:eastAsia="Times New Roman" w:cs="Times New Roman"/>
          <w:sz w:val="26"/>
          <w:szCs w:val="26"/>
        </w:rPr>
        <w:t>EOP-010-1)</w:t>
      </w:r>
      <w:r w:rsidRPr="00CD7772">
        <w:rPr>
          <w:rFonts w:ascii="Times New Roman" w:hAnsi="Times New Roman" w:eastAsia="Times New Roman" w:cs="Times New Roman"/>
          <w:iCs/>
          <w:sz w:val="26"/>
          <w:szCs w:val="26"/>
        </w:rPr>
        <w:t>.</w:t>
      </w:r>
    </w:p>
    <w:p w:rsidRPr="00CD7772" w:rsidR="00CD7772" w:rsidP="00CD7772" w:rsidRDefault="00CD7772" w14:paraId="2B072465" w14:textId="6004EAE1">
      <w:pPr>
        <w:spacing w:after="0" w:line="240" w:lineRule="auto"/>
        <w:rPr>
          <w:rFonts w:ascii="Times New Roman" w:hAnsi="Times New Roman" w:eastAsia="Times New Roman" w:cs="Times New Roman"/>
          <w:iCs/>
          <w:sz w:val="26"/>
          <w:szCs w:val="26"/>
        </w:rPr>
      </w:pPr>
      <w:r w:rsidRPr="00CD7772">
        <w:rPr>
          <w:rFonts w:ascii="Times New Roman" w:hAnsi="Times New Roman" w:eastAsia="Times New Roman" w:cs="Times New Roman"/>
          <w:iCs/>
          <w:sz w:val="26"/>
          <w:szCs w:val="26"/>
        </w:rPr>
        <w:t>(6) streamlin</w:t>
      </w:r>
      <w:r w:rsidR="00B33479">
        <w:rPr>
          <w:rFonts w:ascii="Times New Roman" w:hAnsi="Times New Roman" w:eastAsia="Times New Roman" w:cs="Times New Roman"/>
          <w:iCs/>
          <w:sz w:val="26"/>
          <w:szCs w:val="26"/>
        </w:rPr>
        <w:t>ing</w:t>
      </w:r>
      <w:r w:rsidRPr="00CD7772">
        <w:rPr>
          <w:rFonts w:ascii="Times New Roman" w:hAnsi="Times New Roman" w:eastAsia="Times New Roman" w:cs="Times New Roman"/>
          <w:iCs/>
          <w:sz w:val="26"/>
          <w:szCs w:val="26"/>
        </w:rPr>
        <w:t xml:space="preserve"> the requirements for Emergency operations of the Bulk Electric</w:t>
      </w:r>
    </w:p>
    <w:p w:rsidRPr="00CD7772" w:rsidR="00CD7772" w:rsidP="00CD7772" w:rsidRDefault="00CD7772" w14:paraId="4C0C0943" w14:textId="77777777">
      <w:pPr>
        <w:spacing w:after="0" w:line="240" w:lineRule="auto"/>
        <w:rPr>
          <w:rFonts w:ascii="Times New Roman" w:hAnsi="Times New Roman" w:eastAsia="Times New Roman" w:cs="Times New Roman"/>
          <w:iCs/>
          <w:sz w:val="26"/>
          <w:szCs w:val="26"/>
        </w:rPr>
      </w:pPr>
      <w:r w:rsidRPr="00CD7772">
        <w:rPr>
          <w:rFonts w:ascii="Times New Roman" w:hAnsi="Times New Roman" w:eastAsia="Times New Roman" w:cs="Times New Roman"/>
          <w:iCs/>
          <w:sz w:val="26"/>
          <w:szCs w:val="26"/>
        </w:rPr>
        <w:t>System. Attachment 1, which is incorporated into Requirements R2 and R6, provides the</w:t>
      </w:r>
    </w:p>
    <w:p w:rsidRPr="00CD7772" w:rsidR="00CD7772" w:rsidP="00CD7772" w:rsidRDefault="00CD7772" w14:paraId="04CC2FA0" w14:textId="77777777">
      <w:pPr>
        <w:spacing w:after="0" w:line="240" w:lineRule="auto"/>
        <w:rPr>
          <w:rFonts w:ascii="Times New Roman" w:hAnsi="Times New Roman" w:eastAsia="Times New Roman" w:cs="Times New Roman"/>
          <w:iCs/>
          <w:sz w:val="26"/>
          <w:szCs w:val="26"/>
        </w:rPr>
      </w:pPr>
      <w:r w:rsidRPr="00CD7772">
        <w:rPr>
          <w:rFonts w:ascii="Times New Roman" w:hAnsi="Times New Roman" w:eastAsia="Times New Roman" w:cs="Times New Roman"/>
          <w:iCs/>
          <w:sz w:val="26"/>
          <w:szCs w:val="26"/>
        </w:rPr>
        <w:t>process and descriptions of the levels used by the Reliability Coordinator when communicating the condition of a Balancing Authority that is experiencing an Energy Emergency (EOP-011-1).</w:t>
      </w:r>
    </w:p>
    <w:p w:rsidR="00CD7772" w:rsidRDefault="00CD7772" w14:paraId="47A3CEF4" w14:textId="77777777">
      <w:pPr>
        <w:spacing w:after="0" w:line="240" w:lineRule="auto"/>
        <w:rPr>
          <w:rFonts w:ascii="Times New Roman" w:hAnsi="Times New Roman" w:cs="Times New Roman"/>
          <w:b/>
          <w:sz w:val="26"/>
          <w:szCs w:val="26"/>
        </w:rPr>
      </w:pPr>
    </w:p>
    <w:p w:rsidRPr="008A3AF1" w:rsidR="00B43573" w:rsidRDefault="00B43573" w14:paraId="7D770E78" w14:textId="3A401649">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3.  </w:t>
      </w:r>
      <w:r w:rsidRPr="008A3AF1">
        <w:rPr>
          <w:rFonts w:ascii="Times New Roman" w:hAnsi="Times New Roman" w:cs="Times New Roman"/>
          <w:b/>
          <w:sz w:val="26"/>
          <w:szCs w:val="26"/>
        </w:rPr>
        <w:t>DESCRIBE ANY CONSIDERATION OF THE USE OF IMPROVED TECHNOLOGY TO REDUCE BURDEN AND TECHNICAL OR LEGAL OBSTACLES TO REDUCING BURDEN.</w:t>
      </w:r>
    </w:p>
    <w:p w:rsidRPr="008A3AF1" w:rsidR="00B43573" w:rsidRDefault="00B43573" w14:paraId="5B730B47" w14:textId="77777777">
      <w:pPr>
        <w:spacing w:after="0" w:line="240" w:lineRule="auto"/>
        <w:rPr>
          <w:rFonts w:ascii="Times New Roman" w:hAnsi="Times New Roman" w:cs="Times New Roman"/>
          <w:sz w:val="26"/>
          <w:szCs w:val="26"/>
        </w:rPr>
      </w:pPr>
    </w:p>
    <w:p w:rsidRPr="008A3AF1" w:rsidR="00B43573" w:rsidRDefault="00B43573" w14:paraId="67847C08" w14:textId="37B3B153">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use of current or improved technology and the medium are not covered in Reliability </w:t>
      </w:r>
      <w:r w:rsidRPr="008A3AF1" w:rsidR="00873732">
        <w:rPr>
          <w:rFonts w:ascii="Times New Roman" w:hAnsi="Times New Roman" w:cs="Times New Roman"/>
          <w:sz w:val="26"/>
          <w:szCs w:val="26"/>
        </w:rPr>
        <w:t>Standards and</w:t>
      </w:r>
      <w:r w:rsidRPr="008A3AF1">
        <w:rPr>
          <w:rFonts w:ascii="Times New Roman" w:hAnsi="Times New Roman" w:cs="Times New Roman"/>
          <w:sz w:val="26"/>
          <w:szCs w:val="26"/>
        </w:rPr>
        <w:t xml:space="preserve"> are therefore left to the discretion of each respondent. We think that nearly </w:t>
      </w:r>
      <w:r w:rsidRPr="008A3AF1" w:rsidR="00873732">
        <w:rPr>
          <w:rFonts w:ascii="Times New Roman" w:hAnsi="Times New Roman" w:cs="Times New Roman"/>
          <w:sz w:val="26"/>
          <w:szCs w:val="26"/>
        </w:rPr>
        <w:t>all</w:t>
      </w:r>
      <w:r w:rsidRPr="008A3AF1">
        <w:rPr>
          <w:rFonts w:ascii="Times New Roman" w:hAnsi="Times New Roman" w:cs="Times New Roman"/>
          <w:sz w:val="26"/>
          <w:szCs w:val="26"/>
        </w:rPr>
        <w:t xml:space="preserve"> the respondents are likely to make and keep related records in an electronic format.  Each of the </w:t>
      </w:r>
      <w:r w:rsidR="005D5415">
        <w:rPr>
          <w:rFonts w:ascii="Times New Roman" w:hAnsi="Times New Roman" w:cs="Times New Roman"/>
          <w:sz w:val="26"/>
          <w:szCs w:val="26"/>
        </w:rPr>
        <w:t>six</w:t>
      </w:r>
      <w:r w:rsidRPr="008A3AF1">
        <w:rPr>
          <w:rFonts w:ascii="Times New Roman" w:hAnsi="Times New Roman" w:cs="Times New Roman"/>
          <w:sz w:val="26"/>
          <w:szCs w:val="26"/>
        </w:rPr>
        <w:t xml:space="preserve">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  </w:t>
      </w:r>
    </w:p>
    <w:p w:rsidRPr="008A3AF1" w:rsidR="00876562" w:rsidRDefault="00876562" w14:paraId="6097258E" w14:textId="77777777">
      <w:pPr>
        <w:spacing w:after="0" w:line="240" w:lineRule="auto"/>
        <w:rPr>
          <w:rFonts w:ascii="Times New Roman" w:hAnsi="Times New Roman" w:cs="Times New Roman"/>
          <w:sz w:val="26"/>
          <w:szCs w:val="26"/>
        </w:rPr>
      </w:pPr>
    </w:p>
    <w:p w:rsidRPr="008A3AF1" w:rsidR="00876562" w:rsidRDefault="00876562" w14:paraId="2188B2F2" w14:textId="3D7672D5">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lastRenderedPageBreak/>
        <w:t>These collections do not require industry to file the information with the Commission.  However, they do contain information collection and record retention requirements for which using current technology is an option.</w:t>
      </w:r>
      <w:r w:rsidRPr="008A3AF1">
        <w:rPr>
          <w:rFonts w:ascii="Times New Roman" w:hAnsi="Times New Roman" w:cs="Times New Roman"/>
          <w:b/>
          <w:sz w:val="26"/>
          <w:szCs w:val="26"/>
        </w:rPr>
        <w:t xml:space="preserve">  </w:t>
      </w:r>
    </w:p>
    <w:p w:rsidRPr="008A3AF1" w:rsidR="00876562" w:rsidRDefault="00876562" w14:paraId="1445B925" w14:textId="77777777">
      <w:pPr>
        <w:spacing w:after="0" w:line="240" w:lineRule="auto"/>
        <w:rPr>
          <w:rFonts w:ascii="Times New Roman" w:hAnsi="Times New Roman" w:cs="Times New Roman"/>
          <w:b/>
          <w:sz w:val="26"/>
          <w:szCs w:val="26"/>
        </w:rPr>
      </w:pPr>
    </w:p>
    <w:p w:rsidRPr="008A3AF1" w:rsidR="00B43573" w:rsidRDefault="00B43573" w14:paraId="51DC8201"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4.  </w:t>
      </w:r>
      <w:r w:rsidRPr="008A3AF1">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8A3AF1" w:rsidR="00B43573" w:rsidRDefault="00B43573" w14:paraId="137437BC" w14:textId="77777777">
      <w:pPr>
        <w:spacing w:after="0" w:line="240" w:lineRule="auto"/>
        <w:rPr>
          <w:rFonts w:ascii="Times New Roman" w:hAnsi="Times New Roman" w:cs="Times New Roman"/>
          <w:sz w:val="26"/>
          <w:szCs w:val="26"/>
        </w:rPr>
      </w:pPr>
    </w:p>
    <w:p w:rsidRPr="008A3AF1" w:rsidR="00B43573" w:rsidRDefault="00B43573" w14:paraId="6C8AD2D4" w14:textId="3B5E3B96">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r w:rsidR="00940E51">
        <w:rPr>
          <w:rFonts w:ascii="Times New Roman" w:hAnsi="Times New Roman" w:cs="Times New Roman"/>
          <w:sz w:val="26"/>
          <w:szCs w:val="26"/>
        </w:rPr>
        <w:t xml:space="preserve">EOP </w:t>
      </w:r>
      <w:r w:rsidRPr="008A3AF1">
        <w:rPr>
          <w:rFonts w:ascii="Times New Roman" w:hAnsi="Times New Roman" w:cs="Times New Roman"/>
          <w:sz w:val="26"/>
          <w:szCs w:val="26"/>
        </w:rPr>
        <w:t>Reliability Standards do not duplicate any filing requirements.</w:t>
      </w:r>
    </w:p>
    <w:p w:rsidRPr="008A3AF1" w:rsidR="00A35FA0" w:rsidRDefault="00A35FA0" w14:paraId="24C6FD50" w14:textId="77777777">
      <w:pPr>
        <w:spacing w:after="0" w:line="240" w:lineRule="auto"/>
        <w:rPr>
          <w:rFonts w:ascii="Times New Roman" w:hAnsi="Times New Roman" w:cs="Times New Roman"/>
          <w:sz w:val="26"/>
          <w:szCs w:val="26"/>
        </w:rPr>
      </w:pPr>
    </w:p>
    <w:p w:rsidRPr="008A3AF1" w:rsidR="00A35FA0" w:rsidRDefault="00A35FA0" w14:paraId="00F0A7EE"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5.  </w:t>
      </w:r>
      <w:r w:rsidRPr="008A3AF1">
        <w:rPr>
          <w:rFonts w:ascii="Times New Roman" w:hAnsi="Times New Roman" w:cs="Times New Roman"/>
          <w:b/>
          <w:sz w:val="26"/>
          <w:szCs w:val="26"/>
        </w:rPr>
        <w:t>METHODS USED TO MINIMIZE THE BURDEN IN COLLECTION OF INFORMATION INVOLVING SMALL ENTITIES</w:t>
      </w:r>
    </w:p>
    <w:p w:rsidRPr="008A3AF1" w:rsidR="00A35FA0" w:rsidRDefault="00A35FA0" w14:paraId="2B66FBFA" w14:textId="77777777">
      <w:pPr>
        <w:spacing w:after="0" w:line="240" w:lineRule="auto"/>
        <w:rPr>
          <w:rFonts w:ascii="Times New Roman" w:hAnsi="Times New Roman" w:cs="Times New Roman"/>
          <w:sz w:val="26"/>
          <w:szCs w:val="26"/>
        </w:rPr>
      </w:pPr>
    </w:p>
    <w:p w:rsidRPr="008A3AF1" w:rsidR="00A35FA0" w:rsidRDefault="00A35FA0" w14:paraId="28DD673C" w14:textId="2920AB6E">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w:t>
      </w:r>
    </w:p>
    <w:p w:rsidRPr="008A3AF1" w:rsidR="00B43573" w:rsidP="008A3AF1" w:rsidRDefault="00B43573" w14:paraId="50CE3DBA" w14:textId="77777777">
      <w:pPr>
        <w:spacing w:after="0" w:line="240" w:lineRule="auto"/>
        <w:rPr>
          <w:rFonts w:ascii="Times New Roman" w:hAnsi="Times New Roman" w:cs="Times New Roman"/>
          <w:sz w:val="26"/>
          <w:szCs w:val="26"/>
        </w:rPr>
      </w:pPr>
    </w:p>
    <w:p w:rsidRPr="008A3AF1" w:rsidR="00B43573" w:rsidP="008A3AF1" w:rsidRDefault="00A35FA0" w14:paraId="1322F15C"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6.  </w:t>
      </w:r>
      <w:r w:rsidRPr="008A3AF1" w:rsidR="00B43573">
        <w:rPr>
          <w:rFonts w:ascii="Times New Roman" w:hAnsi="Times New Roman" w:cs="Times New Roman"/>
          <w:b/>
          <w:sz w:val="26"/>
          <w:szCs w:val="26"/>
        </w:rPr>
        <w:t>CONSEQUENCE TO FEDERAL PROGRAM IF COLLECTION WERE CONDUCTED LESS FREQUENTLY</w:t>
      </w:r>
    </w:p>
    <w:p w:rsidRPr="008A3AF1" w:rsidR="00B43573" w:rsidP="008A3AF1" w:rsidRDefault="00B43573" w14:paraId="3E921E0E" w14:textId="77777777">
      <w:pPr>
        <w:spacing w:after="0" w:line="240" w:lineRule="auto"/>
        <w:rPr>
          <w:rFonts w:ascii="Times New Roman" w:hAnsi="Times New Roman" w:cs="Times New Roman"/>
          <w:sz w:val="26"/>
          <w:szCs w:val="26"/>
        </w:rPr>
      </w:pPr>
    </w:p>
    <w:p w:rsidR="009E696E" w:rsidP="008A3AF1" w:rsidRDefault="00B43573" w14:paraId="0864650D" w14:textId="150045F5">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If the requirements of these standards were performed less frequently, NERC would not be provided any</w:t>
      </w:r>
      <w:r w:rsidRPr="008A3AF1" w:rsidR="00A35FA0">
        <w:rPr>
          <w:rFonts w:ascii="Times New Roman" w:hAnsi="Times New Roman" w:cs="Times New Roman"/>
          <w:sz w:val="26"/>
          <w:szCs w:val="26"/>
        </w:rPr>
        <w:t xml:space="preserve"> </w:t>
      </w:r>
      <w:r w:rsidRPr="008A3AF1">
        <w:rPr>
          <w:rFonts w:ascii="Times New Roman" w:hAnsi="Times New Roman" w:cs="Times New Roman"/>
          <w:sz w:val="26"/>
          <w:szCs w:val="26"/>
        </w:rPr>
        <w:t>information to allow assessment of the compliance</w:t>
      </w:r>
      <w:r w:rsidR="00940E51">
        <w:rPr>
          <w:rFonts w:ascii="Times New Roman" w:hAnsi="Times New Roman" w:cs="Times New Roman"/>
          <w:sz w:val="26"/>
          <w:szCs w:val="26"/>
        </w:rPr>
        <w:t xml:space="preserve">. </w:t>
      </w:r>
      <w:r w:rsidRPr="008A3AF1">
        <w:rPr>
          <w:rFonts w:ascii="Times New Roman" w:hAnsi="Times New Roman" w:cs="Times New Roman"/>
          <w:sz w:val="26"/>
          <w:szCs w:val="26"/>
        </w:rPr>
        <w:t xml:space="preserve">Adequate planning for operating emergencies and responding to those emergencies is critical for the </w:t>
      </w:r>
      <w:r w:rsidRPr="008A3AF1" w:rsidR="00177EB9">
        <w:rPr>
          <w:rFonts w:ascii="Times New Roman" w:hAnsi="Times New Roman" w:cs="Times New Roman"/>
          <w:sz w:val="26"/>
          <w:szCs w:val="26"/>
        </w:rPr>
        <w:t>reliab</w:t>
      </w:r>
      <w:r w:rsidR="00177EB9">
        <w:rPr>
          <w:rFonts w:ascii="Times New Roman" w:hAnsi="Times New Roman" w:cs="Times New Roman"/>
          <w:sz w:val="26"/>
          <w:szCs w:val="26"/>
        </w:rPr>
        <w:t>le</w:t>
      </w:r>
      <w:r w:rsidRPr="008A3AF1" w:rsidR="00177EB9">
        <w:rPr>
          <w:rFonts w:ascii="Times New Roman" w:hAnsi="Times New Roman" w:cs="Times New Roman"/>
          <w:sz w:val="26"/>
          <w:szCs w:val="26"/>
        </w:rPr>
        <w:t xml:space="preserve"> </w:t>
      </w:r>
      <w:r w:rsidRPr="008A3AF1">
        <w:rPr>
          <w:rFonts w:ascii="Times New Roman" w:hAnsi="Times New Roman" w:cs="Times New Roman"/>
          <w:sz w:val="26"/>
          <w:szCs w:val="26"/>
        </w:rPr>
        <w:t xml:space="preserve">operation of the bulk power system. </w:t>
      </w:r>
    </w:p>
    <w:p w:rsidRPr="008A3AF1" w:rsidR="00A00C1F" w:rsidP="008A3AF1" w:rsidRDefault="00A00C1F" w14:paraId="0E8563A4" w14:textId="77777777">
      <w:pPr>
        <w:spacing w:after="0" w:line="240" w:lineRule="auto"/>
        <w:rPr>
          <w:rFonts w:ascii="Times New Roman" w:hAnsi="Times New Roman" w:cs="Times New Roman"/>
          <w:sz w:val="26"/>
          <w:szCs w:val="26"/>
        </w:rPr>
      </w:pPr>
    </w:p>
    <w:p w:rsidRPr="008A3AF1" w:rsidR="009E696E" w:rsidP="008A3AF1" w:rsidRDefault="009E696E" w14:paraId="2E4C3BBC" w14:textId="77777777">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EOP-004-4 requires reporting of events by responsible entities. The reportable events under the proposed Reliability Standard are collected and used to examine the underlying causes of events, track subsequent corrective action to prevent recurrence of such events, and develop lessons learned for industry.  </w:t>
      </w:r>
    </w:p>
    <w:p w:rsidRPr="008A3AF1" w:rsidR="009E696E" w:rsidP="008A3AF1" w:rsidRDefault="009E696E" w14:paraId="3D9C54C4" w14:textId="77777777">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EOP-005-3 ensures plans, facilities, and personnel are prepared to enable system restoration from blackstart resources to ensure reliability is maintained during restoration and priority is placed on restoring the Interconnection.  </w:t>
      </w:r>
    </w:p>
    <w:p w:rsidRPr="008A3AF1" w:rsidR="009E696E" w:rsidP="008A3AF1" w:rsidRDefault="009E696E" w14:paraId="316CC942" w14:textId="77777777">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EOP-006-3 establishes how personnel should prepare, execute, and coordinate system restoration processes to maintain reliability and to restore the Interconnection.  </w:t>
      </w:r>
    </w:p>
    <w:p w:rsidR="009E696E" w:rsidP="008A3AF1" w:rsidRDefault="009E696E" w14:paraId="3571AB97" w14:textId="1EAB79B0">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EOP-008-2 ensures continued reliable operations of the bulk electric system if a control center becomes inoperable.  </w:t>
      </w:r>
    </w:p>
    <w:p w:rsidRPr="00A242B0" w:rsidR="00A242B0" w:rsidP="00A242B0" w:rsidRDefault="00A242B0" w14:paraId="33680C29" w14:textId="0AB7D294">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Reliability Standard EOP-010-1 </w:t>
      </w:r>
      <w:r w:rsidRPr="00A242B0">
        <w:rPr>
          <w:rFonts w:ascii="Times New Roman" w:hAnsi="Times New Roman" w:cs="Times New Roman"/>
          <w:sz w:val="26"/>
          <w:szCs w:val="26"/>
        </w:rPr>
        <w:t xml:space="preserve">mitigates the effects of geomagnetic disturbance (GMD) events by implementing Operating Plans, Processes, and Procedures </w:t>
      </w:r>
    </w:p>
    <w:p w:rsidRPr="00A242B0" w:rsidR="00A242B0" w:rsidP="00A242B0" w:rsidRDefault="00A242B0" w14:paraId="7F9F4B1B" w14:textId="149B9211">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Reliability Standard EOP-011-1 </w:t>
      </w:r>
      <w:r w:rsidRPr="00A242B0">
        <w:rPr>
          <w:rFonts w:ascii="Times New Roman" w:hAnsi="Times New Roman" w:cs="Times New Roman"/>
          <w:sz w:val="26"/>
          <w:szCs w:val="26"/>
        </w:rPr>
        <w:t>address</w:t>
      </w:r>
      <w:r>
        <w:rPr>
          <w:rFonts w:ascii="Times New Roman" w:hAnsi="Times New Roman" w:cs="Times New Roman"/>
          <w:sz w:val="26"/>
          <w:szCs w:val="26"/>
        </w:rPr>
        <w:t>es</w:t>
      </w:r>
      <w:r w:rsidRPr="00A242B0">
        <w:rPr>
          <w:rFonts w:ascii="Times New Roman" w:hAnsi="Times New Roman" w:cs="Times New Roman"/>
          <w:sz w:val="26"/>
          <w:szCs w:val="26"/>
        </w:rPr>
        <w:t xml:space="preserve"> the effects of operating Emergencies by ensuring each Transmission Operator and Balancing Authority has developed Operating Plan(s) to mitigate operating Emergencies, and that those plans are coordinated within a Reliability Coordinator Area.</w:t>
      </w:r>
    </w:p>
    <w:p w:rsidRPr="008A3AF1" w:rsidR="00B43573" w:rsidP="008A3AF1" w:rsidRDefault="00B43573" w14:paraId="64D085B0" w14:textId="77777777">
      <w:pPr>
        <w:spacing w:after="0" w:line="240" w:lineRule="auto"/>
        <w:rPr>
          <w:rFonts w:ascii="Times New Roman" w:hAnsi="Times New Roman" w:cs="Times New Roman"/>
          <w:sz w:val="26"/>
          <w:szCs w:val="26"/>
        </w:rPr>
      </w:pPr>
    </w:p>
    <w:p w:rsidRPr="008A3AF1" w:rsidR="00A35FA0" w:rsidP="008A3AF1" w:rsidRDefault="00A35FA0" w14:paraId="2EA595DE"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7.  </w:t>
      </w:r>
      <w:r w:rsidRPr="008A3AF1">
        <w:rPr>
          <w:rFonts w:ascii="Times New Roman" w:hAnsi="Times New Roman" w:cs="Times New Roman"/>
          <w:b/>
          <w:sz w:val="26"/>
          <w:szCs w:val="26"/>
        </w:rPr>
        <w:t>EXPLAIN ANY SPECIAL CIRCUMSTANCES RELATING TO THE INFORMATION COLLECTION</w:t>
      </w:r>
    </w:p>
    <w:p w:rsidRPr="008A3AF1" w:rsidR="00A35FA0" w:rsidP="008A3AF1" w:rsidRDefault="00A35FA0" w14:paraId="217332D4" w14:textId="77777777">
      <w:pPr>
        <w:spacing w:after="0" w:line="240" w:lineRule="auto"/>
        <w:rPr>
          <w:rFonts w:ascii="Times New Roman" w:hAnsi="Times New Roman" w:cs="Times New Roman"/>
          <w:sz w:val="26"/>
          <w:szCs w:val="26"/>
        </w:rPr>
      </w:pPr>
    </w:p>
    <w:p w:rsidRPr="008A3AF1" w:rsidR="00A35FA0" w:rsidP="008A3AF1" w:rsidRDefault="00362388" w14:paraId="5B71A5F0" w14:textId="07EB035B">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There are no s</w:t>
      </w:r>
      <w:r w:rsidRPr="008A3AF1" w:rsidR="00A35FA0">
        <w:rPr>
          <w:rFonts w:ascii="Times New Roman" w:hAnsi="Times New Roman" w:cs="Times New Roman"/>
          <w:sz w:val="26"/>
          <w:szCs w:val="26"/>
        </w:rPr>
        <w:t>pecial circumstances</w:t>
      </w:r>
      <w:r w:rsidRPr="008A3AF1">
        <w:rPr>
          <w:rFonts w:ascii="Times New Roman" w:hAnsi="Times New Roman" w:cs="Times New Roman"/>
          <w:sz w:val="26"/>
          <w:szCs w:val="26"/>
        </w:rPr>
        <w:t xml:space="preserve"> related to th</w:t>
      </w:r>
      <w:r w:rsidR="00177EB9">
        <w:rPr>
          <w:rFonts w:ascii="Times New Roman" w:hAnsi="Times New Roman" w:cs="Times New Roman"/>
          <w:sz w:val="26"/>
          <w:szCs w:val="26"/>
        </w:rPr>
        <w:t>e</w:t>
      </w:r>
      <w:r w:rsidRPr="008A3AF1">
        <w:rPr>
          <w:rFonts w:ascii="Times New Roman" w:hAnsi="Times New Roman" w:cs="Times New Roman"/>
          <w:sz w:val="26"/>
          <w:szCs w:val="26"/>
        </w:rPr>
        <w:t xml:space="preserve"> information collection</w:t>
      </w:r>
      <w:r w:rsidR="00177EB9">
        <w:rPr>
          <w:rFonts w:ascii="Times New Roman" w:hAnsi="Times New Roman" w:cs="Times New Roman"/>
          <w:sz w:val="26"/>
          <w:szCs w:val="26"/>
        </w:rPr>
        <w:t>s</w:t>
      </w:r>
      <w:r w:rsidR="00873732">
        <w:rPr>
          <w:rFonts w:ascii="Times New Roman" w:hAnsi="Times New Roman" w:cs="Times New Roman"/>
          <w:sz w:val="26"/>
          <w:szCs w:val="26"/>
        </w:rPr>
        <w:t>.</w:t>
      </w:r>
    </w:p>
    <w:p w:rsidRPr="008A3AF1" w:rsidR="00A35FA0" w:rsidP="008A3AF1" w:rsidRDefault="00A35FA0" w14:paraId="31F7C77F" w14:textId="77777777">
      <w:pPr>
        <w:spacing w:after="0" w:line="240" w:lineRule="auto"/>
        <w:rPr>
          <w:rFonts w:ascii="Times New Roman" w:hAnsi="Times New Roman" w:cs="Times New Roman"/>
          <w:sz w:val="26"/>
          <w:szCs w:val="26"/>
        </w:rPr>
      </w:pPr>
    </w:p>
    <w:p w:rsidRPr="008A3AF1" w:rsidR="00A35FA0" w:rsidP="008A3AF1" w:rsidRDefault="00A35FA0" w14:paraId="09AD2EC7"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8.  </w:t>
      </w:r>
      <w:r w:rsidRPr="008A3AF1">
        <w:rPr>
          <w:rFonts w:ascii="Times New Roman" w:hAnsi="Times New Roman" w:cs="Times New Roman"/>
          <w:b/>
          <w:sz w:val="26"/>
          <w:szCs w:val="26"/>
        </w:rPr>
        <w:t>DESCRIBE EFFORTS TO CONSULT OUTSIDE THE AGENCY: SUMMARIZE PUBLIC COMMENTS AND THE AGENCY'S RESPONSE TO THESE COMMENTS</w:t>
      </w:r>
    </w:p>
    <w:p w:rsidRPr="008A3AF1" w:rsidR="00A35FA0" w:rsidP="008A3AF1" w:rsidRDefault="00A35FA0" w14:paraId="53E84163" w14:textId="77777777">
      <w:pPr>
        <w:spacing w:after="0" w:line="240" w:lineRule="auto"/>
        <w:rPr>
          <w:rFonts w:ascii="Times New Roman" w:hAnsi="Times New Roman" w:cs="Times New Roman"/>
          <w:sz w:val="26"/>
          <w:szCs w:val="26"/>
        </w:rPr>
      </w:pPr>
    </w:p>
    <w:p w:rsidR="008976AB" w:rsidP="008A3AF1" w:rsidRDefault="00A35FA0" w14:paraId="41359A4F"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w:t>
      </w:r>
      <w:r w:rsidRPr="00D87F10">
        <w:rPr>
          <w:rFonts w:ascii="Times New Roman" w:hAnsi="Times New Roman" w:cs="Times New Roman"/>
          <w:sz w:val="26"/>
          <w:szCs w:val="26"/>
        </w:rPr>
        <w:t>.</w:t>
      </w:r>
      <w:r w:rsidR="00AF0ECF">
        <w:rPr>
          <w:rFonts w:ascii="Times New Roman" w:hAnsi="Times New Roman" w:cs="Times New Roman"/>
          <w:sz w:val="26"/>
          <w:szCs w:val="26"/>
        </w:rPr>
        <w:t xml:space="preserve">  </w:t>
      </w:r>
    </w:p>
    <w:p w:rsidR="008976AB" w:rsidP="008A3AF1" w:rsidRDefault="008976AB" w14:paraId="48B97D0A" w14:textId="77777777">
      <w:pPr>
        <w:spacing w:after="0" w:line="240" w:lineRule="auto"/>
        <w:rPr>
          <w:rFonts w:ascii="Times New Roman" w:hAnsi="Times New Roman" w:cs="Times New Roman"/>
          <w:sz w:val="26"/>
          <w:szCs w:val="26"/>
        </w:rPr>
      </w:pPr>
    </w:p>
    <w:p w:rsidR="008976AB" w:rsidP="008A3AF1" w:rsidRDefault="008976AB" w14:paraId="4E634963" w14:textId="477E4A5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With respect to this request for renewal of control no. 1902-0270, </w:t>
      </w:r>
      <w:r w:rsidR="00AF0ECF">
        <w:rPr>
          <w:rFonts w:ascii="Times New Roman" w:hAnsi="Times New Roman" w:cs="Times New Roman"/>
          <w:sz w:val="26"/>
          <w:szCs w:val="26"/>
        </w:rPr>
        <w:t xml:space="preserve">FERC </w:t>
      </w:r>
      <w:r w:rsidR="00F72FB1">
        <w:rPr>
          <w:rFonts w:ascii="Times New Roman" w:hAnsi="Times New Roman" w:cs="Times New Roman"/>
          <w:sz w:val="26"/>
          <w:szCs w:val="26"/>
        </w:rPr>
        <w:t>publish</w:t>
      </w:r>
      <w:r w:rsidR="00433250">
        <w:rPr>
          <w:rFonts w:ascii="Times New Roman" w:hAnsi="Times New Roman" w:cs="Times New Roman"/>
          <w:sz w:val="26"/>
          <w:szCs w:val="26"/>
        </w:rPr>
        <w:t xml:space="preserve">ed </w:t>
      </w:r>
      <w:r>
        <w:rPr>
          <w:rFonts w:ascii="Times New Roman" w:hAnsi="Times New Roman" w:cs="Times New Roman"/>
          <w:sz w:val="26"/>
          <w:szCs w:val="26"/>
        </w:rPr>
        <w:t xml:space="preserve">a </w:t>
      </w:r>
      <w:r w:rsidR="00AF0ECF">
        <w:rPr>
          <w:rFonts w:ascii="Times New Roman" w:hAnsi="Times New Roman" w:cs="Times New Roman"/>
          <w:sz w:val="26"/>
          <w:szCs w:val="26"/>
        </w:rPr>
        <w:t>public notice</w:t>
      </w:r>
      <w:r>
        <w:rPr>
          <w:rFonts w:ascii="Times New Roman" w:hAnsi="Times New Roman" w:cs="Times New Roman"/>
          <w:sz w:val="26"/>
          <w:szCs w:val="26"/>
        </w:rPr>
        <w:t xml:space="preserve"> and invited public comment on </w:t>
      </w:r>
      <w:r w:rsidR="00F72FB1">
        <w:rPr>
          <w:rFonts w:ascii="Times New Roman" w:hAnsi="Times New Roman" w:cs="Times New Roman"/>
          <w:sz w:val="26"/>
          <w:szCs w:val="26"/>
        </w:rPr>
        <w:t>November</w:t>
      </w:r>
      <w:r>
        <w:rPr>
          <w:rFonts w:ascii="Times New Roman" w:hAnsi="Times New Roman" w:cs="Times New Roman"/>
          <w:sz w:val="26"/>
          <w:szCs w:val="26"/>
        </w:rPr>
        <w:t xml:space="preserve"> 18, 2020 (85 FR 73477).  The comment period ended on January 19, 2021.  The Commission received no comments in response.</w:t>
      </w:r>
    </w:p>
    <w:p w:rsidR="008976AB" w:rsidP="008A3AF1" w:rsidRDefault="008976AB" w14:paraId="40BEF1E6" w14:textId="7852E090">
      <w:pPr>
        <w:spacing w:after="0" w:line="240" w:lineRule="auto"/>
        <w:rPr>
          <w:rFonts w:ascii="Times New Roman" w:hAnsi="Times New Roman" w:cs="Times New Roman"/>
          <w:sz w:val="26"/>
          <w:szCs w:val="26"/>
        </w:rPr>
      </w:pPr>
    </w:p>
    <w:p w:rsidR="00452205" w:rsidP="008A3AF1" w:rsidRDefault="008976AB" w14:paraId="3F7319CC" w14:textId="14FC261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FERC also published a public notice and invited public comment to OMB on </w:t>
      </w:r>
      <w:r w:rsidR="00452205">
        <w:rPr>
          <w:rFonts w:ascii="Times New Roman" w:hAnsi="Times New Roman" w:cs="Times New Roman"/>
          <w:sz w:val="26"/>
          <w:szCs w:val="26"/>
        </w:rPr>
        <w:t>January 27, 2021(86 FR 7289)</w:t>
      </w:r>
      <w:r>
        <w:rPr>
          <w:rFonts w:ascii="Times New Roman" w:hAnsi="Times New Roman" w:cs="Times New Roman"/>
          <w:sz w:val="26"/>
          <w:szCs w:val="26"/>
        </w:rPr>
        <w:t>.</w:t>
      </w:r>
      <w:r w:rsidR="00F72FB1">
        <w:rPr>
          <w:rFonts w:ascii="Times New Roman" w:hAnsi="Times New Roman" w:cs="Times New Roman"/>
          <w:sz w:val="26"/>
          <w:szCs w:val="26"/>
        </w:rPr>
        <w:t xml:space="preserve"> </w:t>
      </w:r>
      <w:r w:rsidRPr="00D87F10" w:rsidR="00A35FA0">
        <w:rPr>
          <w:rFonts w:ascii="Times New Roman" w:hAnsi="Times New Roman" w:cs="Times New Roman"/>
          <w:sz w:val="26"/>
          <w:szCs w:val="26"/>
        </w:rPr>
        <w:t xml:space="preserve"> </w:t>
      </w:r>
    </w:p>
    <w:p w:rsidR="00452205" w:rsidP="008A3AF1" w:rsidRDefault="00452205" w14:paraId="5F282AE0" w14:textId="77777777">
      <w:pPr>
        <w:spacing w:after="0" w:line="240" w:lineRule="auto"/>
        <w:rPr>
          <w:rFonts w:ascii="Times New Roman" w:hAnsi="Times New Roman" w:cs="Times New Roman"/>
          <w:sz w:val="26"/>
          <w:szCs w:val="26"/>
        </w:rPr>
      </w:pPr>
    </w:p>
    <w:p w:rsidRPr="008A3AF1" w:rsidR="00A35FA0" w:rsidP="008A3AF1" w:rsidRDefault="00A35FA0" w14:paraId="721E703C" w14:textId="3DB18AD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9.  </w:t>
      </w:r>
      <w:r w:rsidRPr="008A3AF1">
        <w:rPr>
          <w:rFonts w:ascii="Times New Roman" w:hAnsi="Times New Roman" w:cs="Times New Roman"/>
          <w:b/>
          <w:sz w:val="26"/>
          <w:szCs w:val="26"/>
        </w:rPr>
        <w:t>EXPLAIN ANY PAYMENT OR GIFTS TO RESPONDENTS</w:t>
      </w:r>
    </w:p>
    <w:p w:rsidRPr="008A3AF1" w:rsidR="00A35FA0" w:rsidP="008A3AF1" w:rsidRDefault="00A35FA0" w14:paraId="14C4A3F6" w14:textId="77777777">
      <w:pPr>
        <w:spacing w:after="0" w:line="240" w:lineRule="auto"/>
        <w:rPr>
          <w:rFonts w:ascii="Times New Roman" w:hAnsi="Times New Roman" w:cs="Times New Roman"/>
          <w:sz w:val="26"/>
          <w:szCs w:val="26"/>
        </w:rPr>
      </w:pPr>
    </w:p>
    <w:p w:rsidRPr="008A3AF1" w:rsidR="00A35FA0" w:rsidP="008A3AF1" w:rsidRDefault="00A35FA0" w14:paraId="56D2D913"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No payments or gifts have been made to respondents.</w:t>
      </w:r>
    </w:p>
    <w:p w:rsidRPr="008A3AF1" w:rsidR="00A35FA0" w:rsidP="008A3AF1" w:rsidRDefault="00A35FA0" w14:paraId="71DE9D65" w14:textId="77777777">
      <w:pPr>
        <w:spacing w:after="0" w:line="240" w:lineRule="auto"/>
        <w:rPr>
          <w:rFonts w:ascii="Times New Roman" w:hAnsi="Times New Roman" w:cs="Times New Roman"/>
          <w:sz w:val="26"/>
          <w:szCs w:val="26"/>
        </w:rPr>
      </w:pPr>
    </w:p>
    <w:p w:rsidRPr="008A3AF1" w:rsidR="00A35FA0" w:rsidP="008A3AF1" w:rsidRDefault="00A35FA0" w14:paraId="04491053"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10.  </w:t>
      </w:r>
      <w:r w:rsidRPr="008A3AF1">
        <w:rPr>
          <w:rFonts w:ascii="Times New Roman" w:hAnsi="Times New Roman" w:cs="Times New Roman"/>
          <w:b/>
          <w:sz w:val="26"/>
          <w:szCs w:val="26"/>
        </w:rPr>
        <w:t>DESCRIBE ANY ASSURANCE OF CONFIDENTIALITY PROVIDED TO RESPONDENTS</w:t>
      </w:r>
    </w:p>
    <w:p w:rsidRPr="008A3AF1" w:rsidR="00A35FA0" w:rsidP="008A3AF1" w:rsidRDefault="00A35FA0" w14:paraId="0203F189" w14:textId="77777777">
      <w:pPr>
        <w:spacing w:after="0" w:line="240" w:lineRule="auto"/>
        <w:rPr>
          <w:rFonts w:ascii="Times New Roman" w:hAnsi="Times New Roman" w:cs="Times New Roman"/>
          <w:sz w:val="26"/>
          <w:szCs w:val="26"/>
        </w:rPr>
      </w:pPr>
    </w:p>
    <w:p w:rsidRPr="008A3AF1" w:rsidR="00A35FA0" w:rsidP="008A3AF1" w:rsidRDefault="00A35FA0" w14:paraId="6C55BCC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8A3AF1" w:rsidR="00A35FA0" w:rsidP="008A3AF1" w:rsidRDefault="00A35FA0" w14:paraId="30381E59" w14:textId="77777777">
      <w:pPr>
        <w:spacing w:after="0" w:line="240" w:lineRule="auto"/>
        <w:rPr>
          <w:rFonts w:ascii="Times New Roman" w:hAnsi="Times New Roman" w:cs="Times New Roman"/>
          <w:sz w:val="26"/>
          <w:szCs w:val="26"/>
        </w:rPr>
      </w:pPr>
    </w:p>
    <w:p w:rsidRPr="008A3AF1" w:rsidR="00A35FA0" w:rsidP="008A3AF1" w:rsidRDefault="00A35FA0" w14:paraId="73F11711"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lastRenderedPageBreak/>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Pr="008A3AF1" w:rsidR="00A35FA0" w:rsidP="008A3AF1" w:rsidRDefault="00A35FA0" w14:paraId="030EE61C" w14:textId="77777777">
      <w:pPr>
        <w:spacing w:after="0" w:line="240" w:lineRule="auto"/>
        <w:rPr>
          <w:rFonts w:ascii="Times New Roman" w:hAnsi="Times New Roman" w:cs="Times New Roman"/>
          <w:sz w:val="26"/>
          <w:szCs w:val="26"/>
        </w:rPr>
      </w:pPr>
    </w:p>
    <w:p w:rsidRPr="008A3AF1" w:rsidR="00A35FA0" w:rsidP="008A3AF1" w:rsidRDefault="00A35FA0" w14:paraId="6D9E6842"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11.  </w:t>
      </w:r>
      <w:r w:rsidRPr="008A3AF1">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Pr="008A3AF1" w:rsidR="00A35FA0" w:rsidP="008A3AF1" w:rsidRDefault="00A35FA0" w14:paraId="71128CA2" w14:textId="77777777">
      <w:pPr>
        <w:spacing w:after="0" w:line="240" w:lineRule="auto"/>
        <w:rPr>
          <w:rFonts w:ascii="Times New Roman" w:hAnsi="Times New Roman" w:cs="Times New Roman"/>
          <w:sz w:val="26"/>
          <w:szCs w:val="26"/>
        </w:rPr>
      </w:pPr>
    </w:p>
    <w:p w:rsidRPr="008A3AF1" w:rsidR="00A35FA0" w:rsidP="008A3AF1" w:rsidRDefault="00A35FA0" w14:paraId="6FAA1FE8" w14:textId="42ACB1FD">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These collections do not contain any questions of a sensitive nature.</w:t>
      </w:r>
    </w:p>
    <w:p w:rsidRPr="008A3AF1" w:rsidR="00A35FA0" w:rsidP="008A3AF1" w:rsidRDefault="00A35FA0" w14:paraId="6C96E743" w14:textId="77777777">
      <w:pPr>
        <w:spacing w:after="0" w:line="240" w:lineRule="auto"/>
        <w:rPr>
          <w:rFonts w:ascii="Times New Roman" w:hAnsi="Times New Roman" w:cs="Times New Roman"/>
          <w:sz w:val="26"/>
          <w:szCs w:val="26"/>
        </w:rPr>
      </w:pPr>
    </w:p>
    <w:p w:rsidRPr="008A3AF1" w:rsidR="00A35FA0" w:rsidP="008A3AF1" w:rsidRDefault="00A35FA0" w14:paraId="7432E967"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12.  </w:t>
      </w:r>
      <w:r w:rsidRPr="008A3AF1">
        <w:rPr>
          <w:rFonts w:ascii="Times New Roman" w:hAnsi="Times New Roman" w:cs="Times New Roman"/>
          <w:b/>
          <w:sz w:val="26"/>
          <w:szCs w:val="26"/>
        </w:rPr>
        <w:t>ESTIMATED BURDEN OF COLLECTION OF INFORMATION</w:t>
      </w:r>
    </w:p>
    <w:p w:rsidRPr="008A3AF1" w:rsidR="00A35FA0" w:rsidP="008A3AF1" w:rsidRDefault="00A35FA0" w14:paraId="3D64227F" w14:textId="77777777">
      <w:pPr>
        <w:spacing w:after="0" w:line="240" w:lineRule="auto"/>
        <w:rPr>
          <w:rFonts w:ascii="Times New Roman" w:hAnsi="Times New Roman" w:cs="Times New Roman"/>
          <w:sz w:val="26"/>
          <w:szCs w:val="26"/>
        </w:rPr>
      </w:pPr>
    </w:p>
    <w:p w:rsidR="00A35FA0" w:rsidP="005B7D5F" w:rsidRDefault="00A35FA0" w14:paraId="458C2B6B" w14:textId="5B5D8252">
      <w:pPr>
        <w:tabs>
          <w:tab w:val="left" w:pos="3240"/>
        </w:tabs>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 following table detail</w:t>
      </w:r>
      <w:r w:rsidR="00276B70">
        <w:rPr>
          <w:rFonts w:ascii="Times New Roman" w:hAnsi="Times New Roman" w:cs="Times New Roman"/>
          <w:sz w:val="26"/>
          <w:szCs w:val="26"/>
        </w:rPr>
        <w:t>s</w:t>
      </w:r>
      <w:r w:rsidRPr="00EB4666" w:rsidR="00EB4666">
        <w:t xml:space="preserve"> </w:t>
      </w:r>
      <w:r w:rsidRPr="00EB4666" w:rsidR="00EB4666">
        <w:rPr>
          <w:rFonts w:ascii="Times New Roman" w:hAnsi="Times New Roman" w:cs="Times New Roman"/>
          <w:sz w:val="26"/>
          <w:szCs w:val="26"/>
        </w:rPr>
        <w:t xml:space="preserve">Reliability Standards </w:t>
      </w:r>
      <w:r w:rsidR="00873732">
        <w:rPr>
          <w:rFonts w:ascii="Times New Roman" w:hAnsi="Times New Roman" w:cs="Times New Roman"/>
          <w:sz w:val="26"/>
          <w:szCs w:val="26"/>
        </w:rPr>
        <w:t xml:space="preserve">EOP-010-1, EOP-011-1, </w:t>
      </w:r>
      <w:r w:rsidRPr="00EB4666" w:rsidR="00EB4666">
        <w:rPr>
          <w:rFonts w:ascii="Times New Roman" w:hAnsi="Times New Roman" w:cs="Times New Roman"/>
          <w:sz w:val="26"/>
          <w:szCs w:val="26"/>
        </w:rPr>
        <w:t xml:space="preserve">EOP-004-4, EOP-005-3, EOP-006-3, and EOP-008-2 </w:t>
      </w:r>
      <w:r w:rsidR="00873732">
        <w:rPr>
          <w:rFonts w:ascii="Times New Roman" w:hAnsi="Times New Roman" w:cs="Times New Roman"/>
          <w:sz w:val="26"/>
          <w:szCs w:val="26"/>
        </w:rPr>
        <w:t xml:space="preserve">in </w:t>
      </w:r>
      <w:r w:rsidRPr="00EB4666" w:rsidR="00EB4666">
        <w:rPr>
          <w:rFonts w:ascii="Times New Roman" w:hAnsi="Times New Roman" w:cs="Times New Roman"/>
          <w:sz w:val="26"/>
          <w:szCs w:val="26"/>
        </w:rPr>
        <w:t>FERC-725S (OMB Control No. 1902-0270). The burden</w:t>
      </w:r>
      <w:r w:rsidRPr="005B7D5F" w:rsidR="005D5415">
        <w:rPr>
          <w:rStyle w:val="FootnoteReference"/>
          <w:rFonts w:ascii="Times New Roman" w:hAnsi="Times New Roman" w:cs="Times New Roman"/>
          <w:sz w:val="24"/>
          <w:szCs w:val="26"/>
          <w:vertAlign w:val="superscript"/>
        </w:rPr>
        <w:footnoteReference w:id="4"/>
      </w:r>
      <w:r w:rsidRPr="00EB4666" w:rsidR="00EB4666">
        <w:rPr>
          <w:rFonts w:ascii="Times New Roman" w:hAnsi="Times New Roman" w:cs="Times New Roman"/>
          <w:sz w:val="26"/>
          <w:szCs w:val="26"/>
        </w:rPr>
        <w:t xml:space="preserve"> </w:t>
      </w:r>
      <w:r w:rsidR="00873732">
        <w:rPr>
          <w:rFonts w:ascii="Times New Roman" w:hAnsi="Times New Roman" w:cs="Times New Roman"/>
          <w:sz w:val="26"/>
          <w:szCs w:val="26"/>
        </w:rPr>
        <w:t xml:space="preserve">for </w:t>
      </w:r>
      <w:r w:rsidRPr="00EB4666" w:rsidR="00EB4666">
        <w:rPr>
          <w:rFonts w:ascii="Times New Roman" w:hAnsi="Times New Roman" w:cs="Times New Roman"/>
          <w:sz w:val="26"/>
          <w:szCs w:val="26"/>
        </w:rPr>
        <w:t>FERC-725S reflects an increase from the previous versions of the Reliability Standards in total burden hours and cost based on adjustments in the</w:t>
      </w:r>
      <w:r w:rsidR="005B7D5F">
        <w:rPr>
          <w:rFonts w:ascii="Times New Roman" w:hAnsi="Times New Roman" w:cs="Times New Roman"/>
          <w:sz w:val="26"/>
          <w:szCs w:val="26"/>
        </w:rPr>
        <w:t xml:space="preserve"> </w:t>
      </w:r>
      <w:r w:rsidRPr="00EB4666" w:rsidR="00EB4666">
        <w:rPr>
          <w:rFonts w:ascii="Times New Roman" w:hAnsi="Times New Roman" w:cs="Times New Roman"/>
          <w:sz w:val="26"/>
          <w:szCs w:val="26"/>
        </w:rPr>
        <w:t>additional entities and changes to hourly cost.</w:t>
      </w:r>
      <w:r w:rsidRPr="005B7D5F" w:rsidR="005D5415">
        <w:rPr>
          <w:rStyle w:val="FootnoteReference"/>
          <w:rFonts w:ascii="Times New Roman" w:hAnsi="Times New Roman" w:cs="Times New Roman"/>
          <w:sz w:val="24"/>
          <w:szCs w:val="26"/>
          <w:vertAlign w:val="superscript"/>
        </w:rPr>
        <w:footnoteReference w:id="5"/>
      </w:r>
    </w:p>
    <w:p w:rsidR="00095A3A" w:rsidP="008A3AF1" w:rsidRDefault="00095A3A" w14:paraId="4627D82F" w14:textId="533B9F8B">
      <w:pPr>
        <w:spacing w:after="0" w:line="240" w:lineRule="auto"/>
        <w:rPr>
          <w:rFonts w:ascii="Times New Roman" w:hAnsi="Times New Roman" w:cs="Times New Roman"/>
          <w:sz w:val="26"/>
          <w:szCs w:val="26"/>
        </w:rPr>
      </w:pP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86"/>
        <w:gridCol w:w="1527"/>
        <w:gridCol w:w="1359"/>
        <w:gridCol w:w="1249"/>
        <w:gridCol w:w="1121"/>
        <w:gridCol w:w="1249"/>
        <w:gridCol w:w="1359"/>
      </w:tblGrid>
      <w:tr w:rsidRPr="001A002D" w:rsidR="001A002D" w:rsidTr="001A002D" w14:paraId="76F6ABBB" w14:textId="77777777">
        <w:trPr>
          <w:cantSplit/>
          <w:jc w:val="righ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1A002D" w:rsidR="001A002D" w:rsidP="001A002D" w:rsidRDefault="001A002D" w14:paraId="17717733" w14:textId="4E878493">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FERC-725S</w:t>
            </w:r>
          </w:p>
        </w:tc>
      </w:tr>
      <w:tr w:rsidRPr="001A002D" w:rsidR="001A002D" w:rsidTr="00260BCF" w14:paraId="32B10FED" w14:textId="77777777">
        <w:trPr>
          <w:cantSplit/>
          <w:jc w:val="right"/>
        </w:trPr>
        <w:tc>
          <w:tcPr>
            <w:tcW w:w="795" w:type="pct"/>
            <w:tcBorders>
              <w:top w:val="single" w:color="auto" w:sz="4" w:space="0"/>
              <w:left w:val="single" w:color="auto" w:sz="4" w:space="0"/>
              <w:bottom w:val="single" w:color="auto" w:sz="4" w:space="0"/>
              <w:right w:val="single" w:color="auto" w:sz="4" w:space="0"/>
            </w:tcBorders>
            <w:shd w:val="clear" w:color="auto" w:fill="D9D9D9"/>
            <w:hideMark/>
          </w:tcPr>
          <w:p w:rsidRPr="001A002D" w:rsidR="001A002D" w:rsidP="001A002D" w:rsidRDefault="001A002D" w14:paraId="70270B5C"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Reliability Standard and Associated Requirement</w:t>
            </w:r>
          </w:p>
        </w:tc>
        <w:tc>
          <w:tcPr>
            <w:tcW w:w="55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1A002D" w:rsidR="001A002D" w:rsidP="001A002D" w:rsidRDefault="001A002D" w14:paraId="24EBADF4"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Number of Respondents</w:t>
            </w:r>
            <w:r w:rsidRPr="001A002D">
              <w:rPr>
                <w:rFonts w:ascii="Times New Roman" w:hAnsi="Times New Roman" w:eastAsia="Calibri" w:cs="Times New Roman"/>
                <w:b/>
                <w:sz w:val="26"/>
                <w:szCs w:val="26"/>
                <w:vertAlign w:val="superscript"/>
              </w:rPr>
              <w:footnoteReference w:id="6"/>
            </w:r>
            <w:r w:rsidRPr="001A002D">
              <w:rPr>
                <w:rFonts w:ascii="Times New Roman" w:hAnsi="Times New Roman" w:eastAsia="Calibri" w:cs="Times New Roman"/>
                <w:b/>
                <w:sz w:val="24"/>
                <w:szCs w:val="24"/>
              </w:rPr>
              <w:br/>
              <w:t>(1)</w:t>
            </w:r>
          </w:p>
        </w:tc>
        <w:tc>
          <w:tcPr>
            <w:tcW w:w="99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1A002D" w:rsidR="001A002D" w:rsidP="001A002D" w:rsidRDefault="001A002D" w14:paraId="007D21EA"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Annual Number of Responses per Respondent</w:t>
            </w:r>
          </w:p>
          <w:p w:rsidRPr="001A002D" w:rsidR="001A002D" w:rsidP="001A002D" w:rsidRDefault="001A002D" w14:paraId="5B8AD14B"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(2)</w:t>
            </w:r>
          </w:p>
        </w:tc>
        <w:tc>
          <w:tcPr>
            <w:tcW w:w="66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1A002D" w:rsidR="001A002D" w:rsidP="001A002D" w:rsidRDefault="001A002D" w14:paraId="778C086E"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Total Number of Responses (1)*(2)=(3)</w:t>
            </w:r>
          </w:p>
        </w:tc>
        <w:tc>
          <w:tcPr>
            <w:tcW w:w="59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1A002D" w:rsidR="001A002D" w:rsidP="001A002D" w:rsidRDefault="001A002D" w14:paraId="522C55A0"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Average Burden &amp; Cost Per Response</w:t>
            </w:r>
          </w:p>
          <w:p w:rsidRPr="001A002D" w:rsidR="001A002D" w:rsidP="001A002D" w:rsidRDefault="001A002D" w14:paraId="09DDCA19"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(4)</w:t>
            </w:r>
          </w:p>
        </w:tc>
        <w:tc>
          <w:tcPr>
            <w:tcW w:w="66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1A002D" w:rsidR="001A002D" w:rsidP="001A002D" w:rsidRDefault="001A002D" w14:paraId="1C9ED4EF"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Total Annual Burden &amp; Total Annual Cost</w:t>
            </w:r>
          </w:p>
          <w:p w:rsidRPr="001A002D" w:rsidR="001A002D" w:rsidP="001A002D" w:rsidRDefault="001A002D" w14:paraId="145BA2FA"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(3)*(4)=(5)</w:t>
            </w:r>
          </w:p>
        </w:tc>
        <w:tc>
          <w:tcPr>
            <w:tcW w:w="72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1A002D" w:rsidR="001A002D" w:rsidP="001A002D" w:rsidRDefault="001A002D" w14:paraId="1A88159B"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Cost per Respondent</w:t>
            </w:r>
          </w:p>
          <w:p w:rsidRPr="001A002D" w:rsidR="001A002D" w:rsidP="001A002D" w:rsidRDefault="001A002D" w14:paraId="71B1AB67"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 xml:space="preserve"> ($)</w:t>
            </w:r>
          </w:p>
          <w:p w:rsidRPr="001A002D" w:rsidR="001A002D" w:rsidP="001A002D" w:rsidRDefault="001A002D" w14:paraId="4809954A" w14:textId="77777777">
            <w:pPr>
              <w:widowControl w:val="0"/>
              <w:autoSpaceDE w:val="0"/>
              <w:autoSpaceDN w:val="0"/>
              <w:adjustRightInd w:val="0"/>
              <w:spacing w:after="0" w:line="256" w:lineRule="auto"/>
              <w:jc w:val="center"/>
              <w:rPr>
                <w:rFonts w:ascii="Times New Roman" w:hAnsi="Times New Roman" w:eastAsia="Calibri" w:cs="Times New Roman"/>
                <w:b/>
                <w:sz w:val="24"/>
                <w:szCs w:val="24"/>
              </w:rPr>
            </w:pPr>
            <w:r w:rsidRPr="001A002D">
              <w:rPr>
                <w:rFonts w:ascii="Times New Roman" w:hAnsi="Times New Roman" w:eastAsia="Calibri" w:cs="Times New Roman"/>
                <w:b/>
                <w:sz w:val="24"/>
                <w:szCs w:val="24"/>
              </w:rPr>
              <w:t>(5)÷(1)</w:t>
            </w:r>
          </w:p>
        </w:tc>
      </w:tr>
      <w:tr w:rsidRPr="001A002D" w:rsidR="001A002D" w:rsidTr="001A002D" w14:paraId="21CE9759" w14:textId="77777777">
        <w:trPr>
          <w:cantSplit/>
          <w:jc w:val="right"/>
        </w:trPr>
        <w:tc>
          <w:tcPr>
            <w:tcW w:w="795"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4DBCBAFB" w14:textId="77777777">
            <w:pPr>
              <w:widowControl w:val="0"/>
              <w:autoSpaceDE w:val="0"/>
              <w:autoSpaceDN w:val="0"/>
              <w:adjustRightInd w:val="0"/>
              <w:spacing w:after="0" w:line="256" w:lineRule="auto"/>
              <w:rPr>
                <w:rFonts w:ascii="Times New Roman" w:hAnsi="Times New Roman" w:eastAsia="Calibri" w:cs="Times New Roman"/>
                <w:b/>
                <w:sz w:val="24"/>
                <w:szCs w:val="24"/>
              </w:rPr>
            </w:pPr>
            <w:r w:rsidRPr="001A002D">
              <w:rPr>
                <w:rFonts w:ascii="Times New Roman" w:hAnsi="Times New Roman" w:eastAsia="Calibri" w:cs="Times New Roman"/>
                <w:b/>
                <w:sz w:val="24"/>
                <w:szCs w:val="24"/>
              </w:rPr>
              <w:t>EOP-010-1</w:t>
            </w:r>
          </w:p>
        </w:tc>
        <w:tc>
          <w:tcPr>
            <w:tcW w:w="4205"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A002D" w:rsidR="001A002D" w:rsidP="001A002D" w:rsidRDefault="001A002D" w14:paraId="5C5E1EC0"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p>
        </w:tc>
      </w:tr>
      <w:tr w:rsidRPr="001A002D" w:rsidR="001A002D" w:rsidTr="00260BCF" w14:paraId="6C1037BA" w14:textId="77777777">
        <w:trPr>
          <w:cantSplit/>
          <w:jc w:val="right"/>
        </w:trPr>
        <w:tc>
          <w:tcPr>
            <w:tcW w:w="795"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0D9104E1" w14:textId="77777777">
            <w:pPr>
              <w:spacing w:after="0" w:line="240" w:lineRule="auto"/>
              <w:rPr>
                <w:rFonts w:ascii="Times New Roman" w:hAnsi="Times New Roman" w:eastAsia="Calibri" w:cs="Times New Roman"/>
                <w:sz w:val="24"/>
                <w:szCs w:val="24"/>
              </w:rPr>
            </w:pPr>
          </w:p>
        </w:tc>
        <w:tc>
          <w:tcPr>
            <w:tcW w:w="550"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0F74F386"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181</w:t>
            </w:r>
          </w:p>
        </w:tc>
        <w:tc>
          <w:tcPr>
            <w:tcW w:w="993"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14AF0F9C"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w:t>
            </w:r>
          </w:p>
        </w:tc>
        <w:tc>
          <w:tcPr>
            <w:tcW w:w="668"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1AF6826E"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181</w:t>
            </w:r>
          </w:p>
        </w:tc>
        <w:tc>
          <w:tcPr>
            <w:tcW w:w="599"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7DF6769F"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20 hrs.;</w:t>
            </w:r>
          </w:p>
          <w:p w:rsidRPr="001A002D" w:rsidR="001A002D" w:rsidP="001A002D" w:rsidRDefault="001A002D" w14:paraId="7331A898"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$1,660</w:t>
            </w:r>
          </w:p>
        </w:tc>
        <w:tc>
          <w:tcPr>
            <w:tcW w:w="668"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531DD2B8"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 xml:space="preserve">3,620 hrs.; $300,460 </w:t>
            </w:r>
          </w:p>
        </w:tc>
        <w:tc>
          <w:tcPr>
            <w:tcW w:w="727"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3A29AE4B"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$1,660</w:t>
            </w:r>
          </w:p>
        </w:tc>
      </w:tr>
      <w:tr w:rsidRPr="001A002D" w:rsidR="001A002D" w:rsidTr="00260BCF" w14:paraId="77A4BB08" w14:textId="77777777">
        <w:trPr>
          <w:cantSplit/>
          <w:jc w:val="right"/>
        </w:trPr>
        <w:tc>
          <w:tcPr>
            <w:tcW w:w="795"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4536DB86" w14:textId="77777777">
            <w:pPr>
              <w:widowControl w:val="0"/>
              <w:autoSpaceDE w:val="0"/>
              <w:autoSpaceDN w:val="0"/>
              <w:adjustRightInd w:val="0"/>
              <w:spacing w:after="0" w:line="256" w:lineRule="auto"/>
              <w:rPr>
                <w:rFonts w:ascii="Times New Roman" w:hAnsi="Times New Roman" w:eastAsia="Calibri" w:cs="Times New Roman"/>
                <w:sz w:val="24"/>
                <w:szCs w:val="24"/>
              </w:rPr>
            </w:pPr>
            <w:r w:rsidRPr="001A002D">
              <w:rPr>
                <w:rFonts w:ascii="Times New Roman" w:hAnsi="Times New Roman" w:eastAsia="Calibri" w:cs="Times New Roman"/>
                <w:b/>
                <w:sz w:val="24"/>
                <w:szCs w:val="24"/>
              </w:rPr>
              <w:t>EOP-011-1</w:t>
            </w:r>
          </w:p>
        </w:tc>
        <w:tc>
          <w:tcPr>
            <w:tcW w:w="550"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64906E62" w14:textId="77777777">
            <w:pPr>
              <w:spacing w:after="0" w:line="240" w:lineRule="auto"/>
              <w:rPr>
                <w:rFonts w:ascii="Times New Roman" w:hAnsi="Times New Roman" w:eastAsia="Calibri" w:cs="Times New Roman"/>
                <w:sz w:val="24"/>
                <w:szCs w:val="24"/>
              </w:rPr>
            </w:pPr>
          </w:p>
        </w:tc>
        <w:tc>
          <w:tcPr>
            <w:tcW w:w="993"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13E7831D" w14:textId="77777777">
            <w:pPr>
              <w:spacing w:after="0" w:line="256" w:lineRule="auto"/>
              <w:rPr>
                <w:rFonts w:ascii="Calibri" w:hAnsi="Calibri" w:eastAsia="Calibri" w:cs="Times New Roman"/>
                <w:sz w:val="20"/>
                <w:szCs w:val="20"/>
              </w:rPr>
            </w:pPr>
          </w:p>
        </w:tc>
        <w:tc>
          <w:tcPr>
            <w:tcW w:w="668"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339DBD63" w14:textId="77777777">
            <w:pPr>
              <w:spacing w:after="0" w:line="256" w:lineRule="auto"/>
              <w:rPr>
                <w:rFonts w:ascii="Calibri" w:hAnsi="Calibri" w:eastAsia="Calibri" w:cs="Times New Roman"/>
                <w:sz w:val="20"/>
                <w:szCs w:val="20"/>
              </w:rPr>
            </w:pPr>
          </w:p>
        </w:tc>
        <w:tc>
          <w:tcPr>
            <w:tcW w:w="599"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45774E3D" w14:textId="77777777">
            <w:pPr>
              <w:spacing w:after="0" w:line="256" w:lineRule="auto"/>
              <w:rPr>
                <w:rFonts w:ascii="Calibri" w:hAnsi="Calibri" w:eastAsia="Calibri" w:cs="Times New Roman"/>
                <w:sz w:val="20"/>
                <w:szCs w:val="20"/>
              </w:rPr>
            </w:pPr>
          </w:p>
        </w:tc>
        <w:tc>
          <w:tcPr>
            <w:tcW w:w="668"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0D015ABF" w14:textId="77777777">
            <w:pPr>
              <w:spacing w:after="0" w:line="256" w:lineRule="auto"/>
              <w:rPr>
                <w:rFonts w:ascii="Calibri" w:hAnsi="Calibri" w:eastAsia="Calibri" w:cs="Times New Roman"/>
                <w:sz w:val="20"/>
                <w:szCs w:val="20"/>
              </w:rPr>
            </w:pPr>
          </w:p>
        </w:tc>
        <w:tc>
          <w:tcPr>
            <w:tcW w:w="727"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08030A09" w14:textId="77777777">
            <w:pPr>
              <w:spacing w:after="0" w:line="256" w:lineRule="auto"/>
              <w:rPr>
                <w:rFonts w:ascii="Calibri" w:hAnsi="Calibri" w:eastAsia="Calibri" w:cs="Times New Roman"/>
                <w:sz w:val="20"/>
                <w:szCs w:val="20"/>
              </w:rPr>
            </w:pPr>
          </w:p>
        </w:tc>
      </w:tr>
      <w:tr w:rsidRPr="001A002D" w:rsidR="001A002D" w:rsidTr="00260BCF" w14:paraId="217B57B0" w14:textId="77777777">
        <w:trPr>
          <w:cantSplit/>
          <w:jc w:val="right"/>
        </w:trPr>
        <w:tc>
          <w:tcPr>
            <w:tcW w:w="795"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05A811DA" w14:textId="77777777">
            <w:pPr>
              <w:spacing w:after="0" w:line="256" w:lineRule="auto"/>
              <w:rPr>
                <w:rFonts w:ascii="Calibri" w:hAnsi="Calibri" w:eastAsia="Calibri" w:cs="Times New Roman"/>
                <w:sz w:val="20"/>
                <w:szCs w:val="20"/>
              </w:rPr>
            </w:pPr>
          </w:p>
        </w:tc>
        <w:tc>
          <w:tcPr>
            <w:tcW w:w="550"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1BC19A0F"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12</w:t>
            </w:r>
          </w:p>
        </w:tc>
        <w:tc>
          <w:tcPr>
            <w:tcW w:w="993"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6D3FFE53"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w:t>
            </w:r>
          </w:p>
        </w:tc>
        <w:tc>
          <w:tcPr>
            <w:tcW w:w="668"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4B0C9DED"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12</w:t>
            </w:r>
          </w:p>
        </w:tc>
        <w:tc>
          <w:tcPr>
            <w:tcW w:w="599"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3E137CF7" w14:textId="0B2E1D55">
            <w:pPr>
              <w:widowControl w:val="0"/>
              <w:autoSpaceDE w:val="0"/>
              <w:autoSpaceDN w:val="0"/>
              <w:adjustRightInd w:val="0"/>
              <w:spacing w:after="0" w:line="256" w:lineRule="auto"/>
              <w:ind w:right="-105"/>
              <w:rPr>
                <w:rFonts w:ascii="Times New Roman" w:hAnsi="Times New Roman" w:eastAsia="Calibri" w:cs="Times New Roman"/>
                <w:sz w:val="24"/>
                <w:szCs w:val="24"/>
              </w:rPr>
            </w:pPr>
            <w:r w:rsidRPr="001A002D">
              <w:rPr>
                <w:rFonts w:ascii="Times New Roman" w:hAnsi="Times New Roman" w:eastAsia="Calibri" w:cs="Times New Roman"/>
                <w:sz w:val="24"/>
                <w:szCs w:val="24"/>
              </w:rPr>
              <w:t>1,500</w:t>
            </w:r>
            <w:r w:rsidR="00320B38">
              <w:rPr>
                <w:rFonts w:ascii="Times New Roman" w:hAnsi="Times New Roman" w:eastAsia="Calibri" w:cs="Times New Roman"/>
                <w:sz w:val="24"/>
                <w:szCs w:val="24"/>
              </w:rPr>
              <w:t xml:space="preserve"> </w:t>
            </w:r>
            <w:r w:rsidRPr="001A002D">
              <w:rPr>
                <w:rFonts w:ascii="Times New Roman" w:hAnsi="Times New Roman" w:eastAsia="Calibri" w:cs="Times New Roman"/>
                <w:sz w:val="24"/>
                <w:szCs w:val="24"/>
              </w:rPr>
              <w:t xml:space="preserve">hrs.; </w:t>
            </w:r>
          </w:p>
          <w:p w:rsidRPr="001A002D" w:rsidR="001A002D" w:rsidP="001A002D" w:rsidRDefault="001A002D" w14:paraId="0CADF0D7"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$124,500</w:t>
            </w:r>
          </w:p>
        </w:tc>
        <w:tc>
          <w:tcPr>
            <w:tcW w:w="668"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07FD2B2C" w14:textId="77777777">
            <w:pPr>
              <w:widowControl w:val="0"/>
              <w:autoSpaceDE w:val="0"/>
              <w:autoSpaceDN w:val="0"/>
              <w:adjustRightInd w:val="0"/>
              <w:spacing w:after="0" w:line="256" w:lineRule="auto"/>
              <w:rPr>
                <w:rFonts w:ascii="Times New Roman" w:hAnsi="Times New Roman" w:eastAsia="Calibri" w:cs="Times New Roman"/>
                <w:sz w:val="24"/>
                <w:szCs w:val="24"/>
              </w:rPr>
            </w:pPr>
            <w:r w:rsidRPr="001A002D">
              <w:rPr>
                <w:rFonts w:ascii="Times New Roman" w:hAnsi="Times New Roman" w:eastAsia="Calibri" w:cs="Times New Roman"/>
                <w:sz w:val="24"/>
                <w:szCs w:val="24"/>
              </w:rPr>
              <w:t xml:space="preserve">    18,000 hrs.;</w:t>
            </w:r>
          </w:p>
          <w:p w:rsidRPr="001A002D" w:rsidR="001A002D" w:rsidP="001A002D" w:rsidRDefault="001A002D" w14:paraId="166DD9E7"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$1,494,000</w:t>
            </w:r>
          </w:p>
        </w:tc>
        <w:tc>
          <w:tcPr>
            <w:tcW w:w="727"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0F4D3F20"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$124,500</w:t>
            </w:r>
          </w:p>
        </w:tc>
      </w:tr>
      <w:tr w:rsidRPr="001A002D" w:rsidR="001A002D" w:rsidTr="00260BCF" w14:paraId="1E08609F" w14:textId="77777777">
        <w:trPr>
          <w:cantSplit/>
          <w:jc w:val="right"/>
        </w:trPr>
        <w:tc>
          <w:tcPr>
            <w:tcW w:w="795"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13DFC319" w14:textId="28AE6814">
            <w:pPr>
              <w:widowControl w:val="0"/>
              <w:autoSpaceDE w:val="0"/>
              <w:autoSpaceDN w:val="0"/>
              <w:adjustRightInd w:val="0"/>
              <w:spacing w:after="0" w:line="256" w:lineRule="auto"/>
              <w:rPr>
                <w:rFonts w:ascii="Times New Roman" w:hAnsi="Times New Roman" w:eastAsia="Calibri" w:cs="Times New Roman"/>
                <w:b/>
                <w:sz w:val="24"/>
                <w:szCs w:val="24"/>
              </w:rPr>
            </w:pPr>
            <w:r w:rsidRPr="001A002D">
              <w:rPr>
                <w:rFonts w:ascii="Times New Roman" w:hAnsi="Times New Roman" w:eastAsia="Calibri" w:cs="Times New Roman"/>
                <w:b/>
                <w:sz w:val="24"/>
                <w:szCs w:val="24"/>
              </w:rPr>
              <w:t>EOP-004-4,</w:t>
            </w:r>
            <w:r>
              <w:rPr>
                <w:rFonts w:ascii="Times New Roman" w:hAnsi="Times New Roman" w:eastAsia="Calibri" w:cs="Times New Roman"/>
                <w:b/>
                <w:sz w:val="24"/>
                <w:szCs w:val="24"/>
              </w:rPr>
              <w:t xml:space="preserve"> </w:t>
            </w:r>
            <w:r w:rsidRPr="001A002D">
              <w:rPr>
                <w:rFonts w:ascii="Times New Roman" w:hAnsi="Times New Roman" w:eastAsia="Calibri" w:cs="Times New Roman"/>
                <w:b/>
                <w:sz w:val="24"/>
                <w:szCs w:val="24"/>
              </w:rPr>
              <w:t>EOP-005-3,</w:t>
            </w:r>
            <w:r>
              <w:rPr>
                <w:rFonts w:ascii="Times New Roman" w:hAnsi="Times New Roman" w:eastAsia="Calibri" w:cs="Times New Roman"/>
                <w:b/>
                <w:sz w:val="24"/>
                <w:szCs w:val="24"/>
              </w:rPr>
              <w:t xml:space="preserve">  </w:t>
            </w:r>
            <w:r w:rsidRPr="001A002D">
              <w:rPr>
                <w:rFonts w:ascii="Times New Roman" w:hAnsi="Times New Roman" w:eastAsia="Calibri" w:cs="Times New Roman"/>
                <w:b/>
                <w:sz w:val="24"/>
                <w:szCs w:val="24"/>
              </w:rPr>
              <w:t>EOP-006-3,</w:t>
            </w:r>
            <w:r>
              <w:rPr>
                <w:rFonts w:ascii="Times New Roman" w:hAnsi="Times New Roman" w:eastAsia="Calibri" w:cs="Times New Roman"/>
                <w:b/>
                <w:sz w:val="24"/>
                <w:szCs w:val="24"/>
              </w:rPr>
              <w:t xml:space="preserve"> </w:t>
            </w:r>
            <w:r w:rsidRPr="001A002D">
              <w:rPr>
                <w:rFonts w:ascii="Times New Roman" w:hAnsi="Times New Roman" w:eastAsia="Calibri" w:cs="Times New Roman"/>
                <w:b/>
                <w:sz w:val="24"/>
                <w:szCs w:val="24"/>
              </w:rPr>
              <w:t>EOP-008-2</w:t>
            </w:r>
          </w:p>
        </w:tc>
        <w:tc>
          <w:tcPr>
            <w:tcW w:w="550"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0A4C467D" w14:textId="77777777">
            <w:pPr>
              <w:spacing w:after="0" w:line="240" w:lineRule="auto"/>
              <w:rPr>
                <w:rFonts w:ascii="Times New Roman" w:hAnsi="Times New Roman" w:eastAsia="Calibri" w:cs="Times New Roman"/>
                <w:b/>
                <w:sz w:val="24"/>
                <w:szCs w:val="24"/>
              </w:rPr>
            </w:pPr>
          </w:p>
        </w:tc>
        <w:tc>
          <w:tcPr>
            <w:tcW w:w="993"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2B38E9ED" w14:textId="77777777">
            <w:pPr>
              <w:spacing w:after="0" w:line="256" w:lineRule="auto"/>
              <w:rPr>
                <w:rFonts w:ascii="Calibri" w:hAnsi="Calibri" w:eastAsia="Calibri" w:cs="Times New Roman"/>
                <w:sz w:val="20"/>
                <w:szCs w:val="20"/>
              </w:rPr>
            </w:pPr>
          </w:p>
        </w:tc>
        <w:tc>
          <w:tcPr>
            <w:tcW w:w="668"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4172EBA2" w14:textId="77777777">
            <w:pPr>
              <w:spacing w:after="0" w:line="256" w:lineRule="auto"/>
              <w:rPr>
                <w:rFonts w:ascii="Calibri" w:hAnsi="Calibri" w:eastAsia="Calibri" w:cs="Times New Roman"/>
                <w:sz w:val="20"/>
                <w:szCs w:val="20"/>
              </w:rPr>
            </w:pPr>
          </w:p>
        </w:tc>
        <w:tc>
          <w:tcPr>
            <w:tcW w:w="599"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70C68B14" w14:textId="77777777">
            <w:pPr>
              <w:spacing w:after="0" w:line="256" w:lineRule="auto"/>
              <w:rPr>
                <w:rFonts w:ascii="Calibri" w:hAnsi="Calibri" w:eastAsia="Calibri" w:cs="Times New Roman"/>
                <w:sz w:val="20"/>
                <w:szCs w:val="20"/>
              </w:rPr>
            </w:pPr>
          </w:p>
        </w:tc>
        <w:tc>
          <w:tcPr>
            <w:tcW w:w="668"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0BD26752" w14:textId="77777777">
            <w:pPr>
              <w:spacing w:after="0" w:line="256" w:lineRule="auto"/>
              <w:rPr>
                <w:rFonts w:ascii="Calibri" w:hAnsi="Calibri" w:eastAsia="Calibri" w:cs="Times New Roman"/>
                <w:sz w:val="20"/>
                <w:szCs w:val="20"/>
              </w:rPr>
            </w:pPr>
          </w:p>
        </w:tc>
        <w:tc>
          <w:tcPr>
            <w:tcW w:w="727"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1A002D" w:rsidR="001A002D" w:rsidP="001A002D" w:rsidRDefault="001A002D" w14:paraId="21D25B61" w14:textId="77777777">
            <w:pPr>
              <w:spacing w:after="0" w:line="256" w:lineRule="auto"/>
              <w:rPr>
                <w:rFonts w:ascii="Calibri" w:hAnsi="Calibri" w:eastAsia="Calibri" w:cs="Times New Roman"/>
                <w:sz w:val="20"/>
                <w:szCs w:val="20"/>
              </w:rPr>
            </w:pPr>
          </w:p>
        </w:tc>
      </w:tr>
      <w:tr w:rsidRPr="001A002D" w:rsidR="001A002D" w:rsidTr="00260BCF" w14:paraId="2A71C9A1" w14:textId="77777777">
        <w:trPr>
          <w:cantSplit/>
          <w:jc w:val="right"/>
        </w:trPr>
        <w:tc>
          <w:tcPr>
            <w:tcW w:w="795" w:type="pct"/>
            <w:tcBorders>
              <w:top w:val="single" w:color="auto" w:sz="4" w:space="0"/>
              <w:left w:val="single" w:color="auto" w:sz="4" w:space="0"/>
              <w:bottom w:val="single" w:color="auto" w:sz="4" w:space="0"/>
              <w:right w:val="single" w:color="auto" w:sz="4" w:space="0"/>
            </w:tcBorders>
          </w:tcPr>
          <w:p w:rsidRPr="001A002D" w:rsidR="001A002D" w:rsidP="001A002D" w:rsidRDefault="001A002D" w14:paraId="426F7912" w14:textId="77777777">
            <w:pPr>
              <w:widowControl w:val="0"/>
              <w:autoSpaceDE w:val="0"/>
              <w:autoSpaceDN w:val="0"/>
              <w:adjustRightInd w:val="0"/>
              <w:spacing w:after="0" w:line="256" w:lineRule="auto"/>
              <w:rPr>
                <w:rFonts w:ascii="Times New Roman" w:hAnsi="Times New Roman" w:eastAsia="Calibri" w:cs="Times New Roman"/>
                <w:sz w:val="24"/>
                <w:szCs w:val="24"/>
              </w:rPr>
            </w:pPr>
          </w:p>
        </w:tc>
        <w:tc>
          <w:tcPr>
            <w:tcW w:w="550"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4984820D"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280</w:t>
            </w:r>
          </w:p>
        </w:tc>
        <w:tc>
          <w:tcPr>
            <w:tcW w:w="993"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7B7E16BE"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1</w:t>
            </w:r>
          </w:p>
        </w:tc>
        <w:tc>
          <w:tcPr>
            <w:tcW w:w="668"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2F3B780D"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280</w:t>
            </w:r>
          </w:p>
        </w:tc>
        <w:tc>
          <w:tcPr>
            <w:tcW w:w="599"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17795C79" w14:textId="77777777">
            <w:pPr>
              <w:widowControl w:val="0"/>
              <w:autoSpaceDE w:val="0"/>
              <w:autoSpaceDN w:val="0"/>
              <w:adjustRightInd w:val="0"/>
              <w:spacing w:after="0" w:line="256" w:lineRule="auto"/>
              <w:ind w:left="-14"/>
              <w:rPr>
                <w:rFonts w:ascii="Times New Roman" w:hAnsi="Times New Roman" w:eastAsia="Calibri" w:cs="Times New Roman"/>
                <w:sz w:val="24"/>
                <w:szCs w:val="24"/>
              </w:rPr>
            </w:pPr>
            <w:r w:rsidRPr="001A002D">
              <w:rPr>
                <w:rFonts w:ascii="Times New Roman" w:hAnsi="Times New Roman" w:eastAsia="Calibri" w:cs="Times New Roman"/>
                <w:sz w:val="24"/>
                <w:szCs w:val="24"/>
              </w:rPr>
              <w:t>250.58 hrs.;</w:t>
            </w:r>
          </w:p>
          <w:p w:rsidRPr="001A002D" w:rsidR="001A002D" w:rsidP="001A002D" w:rsidRDefault="001A002D" w14:paraId="25DD47F4"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$20,798</w:t>
            </w:r>
          </w:p>
        </w:tc>
        <w:tc>
          <w:tcPr>
            <w:tcW w:w="668"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351E25BF" w14:textId="77777777">
            <w:pPr>
              <w:widowControl w:val="0"/>
              <w:autoSpaceDE w:val="0"/>
              <w:autoSpaceDN w:val="0"/>
              <w:adjustRightInd w:val="0"/>
              <w:spacing w:after="0" w:line="256" w:lineRule="auto"/>
              <w:rPr>
                <w:rFonts w:ascii="Times New Roman" w:hAnsi="Times New Roman" w:eastAsia="Calibri" w:cs="Times New Roman"/>
                <w:sz w:val="24"/>
                <w:szCs w:val="24"/>
              </w:rPr>
            </w:pPr>
            <w:r w:rsidRPr="001A002D">
              <w:rPr>
                <w:rFonts w:ascii="Times New Roman" w:hAnsi="Times New Roman" w:eastAsia="Calibri" w:cs="Times New Roman"/>
                <w:sz w:val="24"/>
                <w:szCs w:val="24"/>
              </w:rPr>
              <w:t xml:space="preserve"> 70,162.4 hrs.; </w:t>
            </w:r>
          </w:p>
          <w:p w:rsidRPr="001A002D" w:rsidR="001A002D" w:rsidP="001A002D" w:rsidRDefault="001A002D" w14:paraId="609ADC83"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$5,234,440</w:t>
            </w:r>
          </w:p>
        </w:tc>
        <w:tc>
          <w:tcPr>
            <w:tcW w:w="727" w:type="pct"/>
            <w:tcBorders>
              <w:top w:val="single" w:color="auto" w:sz="4" w:space="0"/>
              <w:left w:val="single" w:color="auto" w:sz="4" w:space="0"/>
              <w:bottom w:val="single" w:color="auto" w:sz="4" w:space="0"/>
              <w:right w:val="single" w:color="auto" w:sz="4" w:space="0"/>
            </w:tcBorders>
          </w:tcPr>
          <w:p w:rsidRPr="001A002D" w:rsidR="001A002D" w:rsidP="001A002D" w:rsidRDefault="001A002D" w14:paraId="300A7C69"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p>
          <w:p w:rsidRPr="001A002D" w:rsidR="001A002D" w:rsidP="001A002D" w:rsidRDefault="001A002D" w14:paraId="1D53946D"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r w:rsidRPr="001A002D">
              <w:rPr>
                <w:rFonts w:ascii="Times New Roman" w:hAnsi="Times New Roman" w:eastAsia="Calibri" w:cs="Times New Roman"/>
                <w:sz w:val="24"/>
                <w:szCs w:val="24"/>
              </w:rPr>
              <w:t>$20,798</w:t>
            </w:r>
          </w:p>
        </w:tc>
      </w:tr>
      <w:tr w:rsidRPr="001A002D" w:rsidR="001A002D" w:rsidTr="00260BCF" w14:paraId="775B6ADE" w14:textId="77777777">
        <w:trPr>
          <w:cantSplit/>
          <w:jc w:val="right"/>
        </w:trPr>
        <w:tc>
          <w:tcPr>
            <w:tcW w:w="795" w:type="pct"/>
            <w:tcBorders>
              <w:top w:val="single" w:color="auto" w:sz="4" w:space="0"/>
              <w:left w:val="single" w:color="auto" w:sz="4" w:space="0"/>
              <w:bottom w:val="single" w:color="auto" w:sz="4" w:space="0"/>
              <w:right w:val="single" w:color="auto" w:sz="4" w:space="0"/>
            </w:tcBorders>
            <w:hideMark/>
          </w:tcPr>
          <w:p w:rsidRPr="001A002D" w:rsidR="001A002D" w:rsidP="001A002D" w:rsidRDefault="001A002D" w14:paraId="6A50E985" w14:textId="45DB9544">
            <w:pPr>
              <w:widowControl w:val="0"/>
              <w:autoSpaceDE w:val="0"/>
              <w:autoSpaceDN w:val="0"/>
              <w:adjustRightInd w:val="0"/>
              <w:spacing w:after="0" w:line="256" w:lineRule="auto"/>
              <w:rPr>
                <w:rFonts w:ascii="Times New Roman" w:hAnsi="Times New Roman" w:eastAsia="Calibri" w:cs="Times New Roman"/>
                <w:b/>
                <w:sz w:val="24"/>
                <w:szCs w:val="24"/>
              </w:rPr>
            </w:pPr>
            <w:r w:rsidRPr="001A002D">
              <w:rPr>
                <w:rFonts w:ascii="Times New Roman" w:hAnsi="Times New Roman" w:eastAsia="Calibri" w:cs="Times New Roman"/>
                <w:b/>
                <w:sz w:val="24"/>
                <w:szCs w:val="24"/>
              </w:rPr>
              <w:t>Total EOP</w:t>
            </w:r>
          </w:p>
        </w:tc>
        <w:tc>
          <w:tcPr>
            <w:tcW w:w="550"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A002D" w:rsidR="001A002D" w:rsidP="001A002D" w:rsidRDefault="001A002D" w14:paraId="3D1B90D2" w14:textId="77777777">
            <w:pPr>
              <w:widowControl w:val="0"/>
              <w:autoSpaceDE w:val="0"/>
              <w:autoSpaceDN w:val="0"/>
              <w:adjustRightInd w:val="0"/>
              <w:spacing w:after="0" w:line="256" w:lineRule="auto"/>
              <w:jc w:val="right"/>
              <w:rPr>
                <w:rFonts w:ascii="Times New Roman" w:hAnsi="Times New Roman" w:eastAsia="Calibri" w:cs="Times New Roman"/>
                <w:b/>
                <w:bCs/>
                <w:sz w:val="24"/>
                <w:szCs w:val="24"/>
              </w:rPr>
            </w:pPr>
          </w:p>
          <w:p w:rsidRPr="001A002D" w:rsidR="001A002D" w:rsidP="001A002D" w:rsidRDefault="001A002D" w14:paraId="658FABA4" w14:textId="77777777">
            <w:pPr>
              <w:widowControl w:val="0"/>
              <w:autoSpaceDE w:val="0"/>
              <w:autoSpaceDN w:val="0"/>
              <w:adjustRightInd w:val="0"/>
              <w:spacing w:after="0" w:line="256" w:lineRule="auto"/>
              <w:jc w:val="right"/>
              <w:rPr>
                <w:rFonts w:ascii="Times New Roman" w:hAnsi="Times New Roman" w:eastAsia="Calibri" w:cs="Times New Roman"/>
                <w:b/>
                <w:bCs/>
                <w:sz w:val="24"/>
                <w:szCs w:val="24"/>
              </w:rPr>
            </w:pPr>
            <w:r w:rsidRPr="001A002D">
              <w:rPr>
                <w:rFonts w:ascii="Times New Roman" w:hAnsi="Times New Roman" w:eastAsia="Calibri" w:cs="Times New Roman"/>
                <w:b/>
                <w:bCs/>
                <w:sz w:val="24"/>
                <w:szCs w:val="24"/>
              </w:rPr>
              <w:t>473</w:t>
            </w:r>
          </w:p>
        </w:tc>
        <w:tc>
          <w:tcPr>
            <w:tcW w:w="993" w:type="pct"/>
            <w:tcBorders>
              <w:top w:val="single" w:color="auto" w:sz="4" w:space="0"/>
              <w:left w:val="single" w:color="auto" w:sz="4" w:space="0"/>
              <w:bottom w:val="single" w:color="auto" w:sz="4" w:space="0"/>
              <w:right w:val="single" w:color="auto" w:sz="4" w:space="0"/>
            </w:tcBorders>
          </w:tcPr>
          <w:p w:rsidRPr="001A002D" w:rsidR="001A002D" w:rsidP="001A002D" w:rsidRDefault="001A002D" w14:paraId="53B8AD3C" w14:textId="77777777">
            <w:pPr>
              <w:widowControl w:val="0"/>
              <w:autoSpaceDE w:val="0"/>
              <w:autoSpaceDN w:val="0"/>
              <w:adjustRightInd w:val="0"/>
              <w:spacing w:after="0" w:line="256" w:lineRule="auto"/>
              <w:jc w:val="right"/>
              <w:rPr>
                <w:rFonts w:ascii="Times New Roman" w:hAnsi="Times New Roman" w:eastAsia="Calibri" w:cs="Times New Roman"/>
                <w:b/>
                <w:bCs/>
                <w:sz w:val="24"/>
                <w:szCs w:val="24"/>
              </w:rPr>
            </w:pPr>
          </w:p>
        </w:tc>
        <w:tc>
          <w:tcPr>
            <w:tcW w:w="668" w:type="pct"/>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A002D" w:rsidR="001A002D" w:rsidP="001A002D" w:rsidRDefault="001A002D" w14:paraId="6EDABDE5" w14:textId="77777777">
            <w:pPr>
              <w:widowControl w:val="0"/>
              <w:autoSpaceDE w:val="0"/>
              <w:autoSpaceDN w:val="0"/>
              <w:adjustRightInd w:val="0"/>
              <w:spacing w:after="0" w:line="256" w:lineRule="auto"/>
              <w:jc w:val="right"/>
              <w:rPr>
                <w:rFonts w:ascii="Times New Roman" w:hAnsi="Times New Roman" w:eastAsia="Calibri" w:cs="Times New Roman"/>
                <w:b/>
                <w:bCs/>
                <w:sz w:val="24"/>
                <w:szCs w:val="24"/>
              </w:rPr>
            </w:pPr>
          </w:p>
          <w:p w:rsidRPr="001A002D" w:rsidR="001A002D" w:rsidP="001A002D" w:rsidRDefault="001A002D" w14:paraId="58B3F7FF" w14:textId="77777777">
            <w:pPr>
              <w:widowControl w:val="0"/>
              <w:autoSpaceDE w:val="0"/>
              <w:autoSpaceDN w:val="0"/>
              <w:adjustRightInd w:val="0"/>
              <w:spacing w:after="0" w:line="256" w:lineRule="auto"/>
              <w:jc w:val="right"/>
              <w:rPr>
                <w:rFonts w:ascii="Times New Roman" w:hAnsi="Times New Roman" w:eastAsia="Calibri" w:cs="Times New Roman"/>
                <w:b/>
                <w:bCs/>
                <w:sz w:val="24"/>
                <w:szCs w:val="24"/>
              </w:rPr>
            </w:pPr>
          </w:p>
        </w:tc>
        <w:tc>
          <w:tcPr>
            <w:tcW w:w="599" w:type="pct"/>
            <w:tcBorders>
              <w:top w:val="single" w:color="auto" w:sz="4" w:space="0"/>
              <w:left w:val="single" w:color="auto" w:sz="4" w:space="0"/>
              <w:bottom w:val="single" w:color="auto" w:sz="4" w:space="0"/>
              <w:right w:val="single" w:color="auto" w:sz="4" w:space="0"/>
            </w:tcBorders>
          </w:tcPr>
          <w:p w:rsidRPr="001A002D" w:rsidR="001A002D" w:rsidP="001A002D" w:rsidRDefault="001A002D" w14:paraId="0B3DCA95" w14:textId="77777777">
            <w:pPr>
              <w:widowControl w:val="0"/>
              <w:autoSpaceDE w:val="0"/>
              <w:autoSpaceDN w:val="0"/>
              <w:adjustRightInd w:val="0"/>
              <w:spacing w:after="0" w:line="256" w:lineRule="auto"/>
              <w:jc w:val="right"/>
              <w:rPr>
                <w:rFonts w:ascii="Times New Roman" w:hAnsi="Times New Roman" w:eastAsia="Calibri" w:cs="Times New Roman"/>
                <w:b/>
                <w:bCs/>
                <w:sz w:val="24"/>
                <w:szCs w:val="24"/>
              </w:rPr>
            </w:pPr>
          </w:p>
        </w:tc>
        <w:tc>
          <w:tcPr>
            <w:tcW w:w="668" w:type="pct"/>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1A002D" w:rsidR="001A002D" w:rsidP="001A002D" w:rsidRDefault="001A002D" w14:paraId="5C915A8B" w14:textId="77777777">
            <w:pPr>
              <w:widowControl w:val="0"/>
              <w:autoSpaceDE w:val="0"/>
              <w:autoSpaceDN w:val="0"/>
              <w:adjustRightInd w:val="0"/>
              <w:spacing w:after="0" w:line="256" w:lineRule="auto"/>
              <w:rPr>
                <w:rFonts w:ascii="Times New Roman" w:hAnsi="Times New Roman" w:eastAsia="Calibri" w:cs="Times New Roman"/>
                <w:b/>
                <w:bCs/>
                <w:sz w:val="24"/>
                <w:szCs w:val="24"/>
              </w:rPr>
            </w:pPr>
            <w:r w:rsidRPr="001A002D">
              <w:rPr>
                <w:rFonts w:ascii="Times New Roman" w:hAnsi="Times New Roman" w:eastAsia="Calibri" w:cs="Times New Roman"/>
                <w:b/>
                <w:bCs/>
                <w:sz w:val="24"/>
                <w:szCs w:val="24"/>
              </w:rPr>
              <w:t xml:space="preserve">   91,782 hrs.;</w:t>
            </w:r>
          </w:p>
          <w:p w:rsidRPr="001A002D" w:rsidR="001A002D" w:rsidP="001A002D" w:rsidRDefault="001A002D" w14:paraId="4F4B6AF9" w14:textId="77777777">
            <w:pPr>
              <w:widowControl w:val="0"/>
              <w:autoSpaceDE w:val="0"/>
              <w:autoSpaceDN w:val="0"/>
              <w:adjustRightInd w:val="0"/>
              <w:spacing w:after="0" w:line="256" w:lineRule="auto"/>
              <w:jc w:val="right"/>
              <w:rPr>
                <w:rFonts w:ascii="Times New Roman" w:hAnsi="Times New Roman" w:eastAsia="Calibri" w:cs="Times New Roman"/>
                <w:b/>
                <w:bCs/>
                <w:sz w:val="24"/>
                <w:szCs w:val="24"/>
              </w:rPr>
            </w:pPr>
            <w:r w:rsidRPr="001A002D">
              <w:rPr>
                <w:rFonts w:ascii="Times New Roman" w:hAnsi="Times New Roman" w:eastAsia="Calibri" w:cs="Times New Roman"/>
                <w:b/>
                <w:bCs/>
                <w:sz w:val="24"/>
                <w:szCs w:val="24"/>
              </w:rPr>
              <w:t>$7,028,900</w:t>
            </w:r>
          </w:p>
        </w:tc>
        <w:tc>
          <w:tcPr>
            <w:tcW w:w="727" w:type="pct"/>
            <w:tcBorders>
              <w:top w:val="single" w:color="auto" w:sz="4" w:space="0"/>
              <w:left w:val="single" w:color="auto" w:sz="4" w:space="0"/>
              <w:bottom w:val="single" w:color="auto" w:sz="4" w:space="0"/>
              <w:right w:val="single" w:color="auto" w:sz="4" w:space="0"/>
            </w:tcBorders>
          </w:tcPr>
          <w:p w:rsidRPr="001A002D" w:rsidR="001A002D" w:rsidP="001A002D" w:rsidRDefault="001A002D" w14:paraId="1B53C28D" w14:textId="77777777">
            <w:pPr>
              <w:widowControl w:val="0"/>
              <w:autoSpaceDE w:val="0"/>
              <w:autoSpaceDN w:val="0"/>
              <w:adjustRightInd w:val="0"/>
              <w:spacing w:after="0" w:line="256" w:lineRule="auto"/>
              <w:jc w:val="right"/>
              <w:rPr>
                <w:rFonts w:ascii="Times New Roman" w:hAnsi="Times New Roman" w:eastAsia="Calibri" w:cs="Times New Roman"/>
                <w:sz w:val="24"/>
                <w:szCs w:val="24"/>
              </w:rPr>
            </w:pPr>
          </w:p>
        </w:tc>
      </w:tr>
    </w:tbl>
    <w:p w:rsidRPr="00260BCF" w:rsidR="00CF6415" w:rsidP="00260BCF" w:rsidRDefault="00CF6415" w14:paraId="354652AD" w14:textId="4B442294">
      <w:pPr>
        <w:spacing w:after="160" w:line="240" w:lineRule="auto"/>
        <w:rPr>
          <w:rFonts w:ascii="Times New Roman" w:hAnsi="Times New Roman" w:cs="Times New Roman"/>
          <w:sz w:val="26"/>
          <w:szCs w:val="26"/>
        </w:rPr>
      </w:pPr>
    </w:p>
    <w:p w:rsidRPr="008A3AF1" w:rsidR="00CF6415" w:rsidP="008A3AF1" w:rsidRDefault="00CF6415" w14:paraId="65DE8299"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A3AF1">
        <w:rPr>
          <w:rFonts w:ascii="Times New Roman" w:hAnsi="Times New Roman" w:eastAsia="Times New Roman" w:cs="Times New Roman"/>
          <w:sz w:val="26"/>
          <w:szCs w:val="26"/>
        </w:rPr>
        <w:t xml:space="preserve">13.  </w:t>
      </w:r>
      <w:r w:rsidRPr="008A3AF1">
        <w:rPr>
          <w:rFonts w:ascii="Times New Roman" w:hAnsi="Times New Roman" w:eastAsia="Times New Roman" w:cs="Times New Roman"/>
          <w:b/>
          <w:sz w:val="26"/>
          <w:szCs w:val="26"/>
        </w:rPr>
        <w:t>ESTIMATE OF THE TOTAL ANNUAL COST BURDEN TO RESPONDENTS</w:t>
      </w:r>
    </w:p>
    <w:p w:rsidRPr="008A3AF1" w:rsidR="00CF6415" w:rsidP="008A3AF1" w:rsidRDefault="00CF6415" w14:paraId="244519ED"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A3AF1" w:rsidR="00CF6415" w:rsidP="008A3AF1" w:rsidRDefault="00CF6415" w14:paraId="0A00539F" w14:textId="0FEF7457">
      <w:pPr>
        <w:widowControl w:val="0"/>
        <w:autoSpaceDE w:val="0"/>
        <w:autoSpaceDN w:val="0"/>
        <w:adjustRightInd w:val="0"/>
        <w:spacing w:after="0" w:line="240" w:lineRule="auto"/>
        <w:rPr>
          <w:rFonts w:ascii="Times New Roman" w:hAnsi="Times New Roman" w:eastAsia="Times New Roman" w:cs="Times New Roman"/>
          <w:sz w:val="26"/>
          <w:szCs w:val="26"/>
        </w:rPr>
      </w:pPr>
      <w:r w:rsidRPr="008A3AF1">
        <w:rPr>
          <w:rFonts w:ascii="Times New Roman" w:hAnsi="Times New Roman" w:eastAsia="Times New Roman" w:cs="Times New Roman"/>
          <w:sz w:val="26"/>
          <w:szCs w:val="26"/>
        </w:rPr>
        <w:t>There are no start-up or other non-labor costs.</w:t>
      </w:r>
    </w:p>
    <w:p w:rsidRPr="008A3AF1" w:rsidR="00CF6415" w:rsidP="008A3AF1" w:rsidRDefault="00CF6415" w14:paraId="4994A8EB"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A3AF1" w:rsidR="00CF6415" w:rsidP="008A3AF1" w:rsidRDefault="00CF6415" w14:paraId="67211503"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A3AF1">
        <w:rPr>
          <w:rFonts w:ascii="Times New Roman" w:hAnsi="Times New Roman" w:eastAsia="Times New Roman" w:cs="Times New Roman"/>
          <w:sz w:val="26"/>
          <w:szCs w:val="26"/>
        </w:rPr>
        <w:t>Total Capital and Start-up cost: $0</w:t>
      </w:r>
    </w:p>
    <w:p w:rsidRPr="008A3AF1" w:rsidR="00CF6415" w:rsidP="008A3AF1" w:rsidRDefault="00CF6415" w14:paraId="7B300587"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A3AF1">
        <w:rPr>
          <w:rFonts w:ascii="Times New Roman" w:hAnsi="Times New Roman" w:eastAsia="Times New Roman" w:cs="Times New Roman"/>
          <w:sz w:val="26"/>
          <w:szCs w:val="26"/>
        </w:rPr>
        <w:t>Total Operation, Maintenance, and Purchase of Services: $0</w:t>
      </w:r>
    </w:p>
    <w:p w:rsidRPr="008A3AF1" w:rsidR="00CF6415" w:rsidP="008A3AF1" w:rsidRDefault="00CF6415" w14:paraId="7C510C64"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A3AF1" w:rsidR="00CF6415" w:rsidP="008A3AF1" w:rsidRDefault="00CF6415" w14:paraId="4C555E60"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A3AF1">
        <w:rPr>
          <w:rFonts w:ascii="Times New Roman" w:hAnsi="Times New Roman" w:eastAsia="Times New Roman" w:cs="Times New Roman"/>
          <w:sz w:val="26"/>
          <w:szCs w:val="26"/>
        </w:rPr>
        <w:t>All of the costs in the final rule are associated with burden hours (labor) and described in Questions #12 and #15 in this supporting statement.</w:t>
      </w:r>
    </w:p>
    <w:p w:rsidRPr="008A3AF1" w:rsidR="00CF6415" w:rsidP="008A3AF1" w:rsidRDefault="00CF6415" w14:paraId="02126112" w14:textId="77777777">
      <w:pPr>
        <w:autoSpaceDE w:val="0"/>
        <w:autoSpaceDN w:val="0"/>
        <w:adjustRightInd w:val="0"/>
        <w:spacing w:after="0" w:line="240" w:lineRule="auto"/>
        <w:rPr>
          <w:rFonts w:ascii="Times New Roman" w:hAnsi="Times New Roman" w:eastAsia="Times New Roman" w:cs="Times New Roman"/>
          <w:sz w:val="26"/>
          <w:szCs w:val="26"/>
          <w:u w:val="single"/>
        </w:rPr>
      </w:pPr>
    </w:p>
    <w:p w:rsidRPr="008A3AF1" w:rsidR="00605DCF" w:rsidP="008A3AF1" w:rsidRDefault="00605DCF" w14:paraId="16229B00" w14:textId="777777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14.  ESTIMATED ANNUALIZED COST TO FEDERAL GOVERNMENT</w:t>
      </w:r>
    </w:p>
    <w:p w:rsidRPr="008A3AF1" w:rsidR="00605DCF" w:rsidP="008A3AF1" w:rsidRDefault="00605DCF" w14:paraId="48A10FF7" w14:textId="77777777">
      <w:pPr>
        <w:spacing w:after="0" w:line="240" w:lineRule="auto"/>
        <w:rPr>
          <w:rFonts w:ascii="Times New Roman" w:hAnsi="Times New Roman" w:cs="Times New Roman"/>
          <w:b/>
          <w:bCs/>
          <w:sz w:val="26"/>
          <w:szCs w:val="26"/>
        </w:rPr>
      </w:pPr>
    </w:p>
    <w:p w:rsidRPr="008A3AF1" w:rsidR="00605DCF" w:rsidP="00260BCF" w:rsidRDefault="006F540B" w14:paraId="65EE53B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Regional Entities and NERC do most of the data processing, monitoring and compliance work for Reliability Standards. </w:t>
      </w:r>
      <w:r w:rsidRPr="008A3AF1" w:rsidR="00605DCF">
        <w:rPr>
          <w:rFonts w:ascii="Times New Roman" w:hAnsi="Times New Roman" w:cs="Times New Roman"/>
          <w:sz w:val="26"/>
          <w:szCs w:val="26"/>
        </w:rPr>
        <w:t xml:space="preserve">Any involvement by the Commission is covered under the FERC-725 (OMB Control No. 1902-0255).  </w:t>
      </w:r>
    </w:p>
    <w:p w:rsidRPr="008A3AF1" w:rsidR="00700863" w:rsidP="008A3AF1" w:rsidRDefault="00700863" w14:paraId="030E7D49" w14:textId="77777777">
      <w:pPr>
        <w:spacing w:after="0" w:line="240" w:lineRule="auto"/>
        <w:ind w:firstLine="720"/>
        <w:rPr>
          <w:rFonts w:ascii="Times New Roman" w:hAnsi="Times New Roman" w:cs="Times New Roman"/>
          <w:sz w:val="26"/>
          <w:szCs w:val="26"/>
        </w:rPr>
      </w:pPr>
    </w:p>
    <w:p w:rsidRPr="008A3AF1" w:rsidR="00605DCF" w:rsidP="00260BCF" w:rsidRDefault="00605DCF" w14:paraId="5DE8F8EA" w14:textId="03FE656C">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 Commission does incur the costs associated with obtaining OMB clearance for the t</w:t>
      </w:r>
      <w:r w:rsidRPr="008A3AF1" w:rsidR="00700863">
        <w:rPr>
          <w:rFonts w:ascii="Times New Roman" w:hAnsi="Times New Roman" w:cs="Times New Roman"/>
          <w:sz w:val="26"/>
          <w:szCs w:val="26"/>
        </w:rPr>
        <w:t>wo</w:t>
      </w:r>
      <w:r w:rsidRPr="008A3AF1">
        <w:rPr>
          <w:rFonts w:ascii="Times New Roman" w:hAnsi="Times New Roman" w:cs="Times New Roman"/>
          <w:sz w:val="26"/>
          <w:szCs w:val="26"/>
        </w:rPr>
        <w:t xml:space="preserve"> collections under the Paperwork Reduction Act (PRA).  The PRA Administrative Cost is a Federal Cost associated with preparing, issuing, and submitting materials necessary to comply with the Paperwork Reduction Act (PRA) for rulemakings, orders, or any other vehicle used to create, modify, extend, or discontinue an information collection. FERC estimates the annual cost for this effort to be $</w:t>
      </w:r>
      <w:r w:rsidR="00622D5E">
        <w:rPr>
          <w:rFonts w:ascii="Times New Roman" w:hAnsi="Times New Roman" w:cs="Times New Roman"/>
          <w:sz w:val="26"/>
          <w:szCs w:val="26"/>
        </w:rPr>
        <w:t>6,475</w:t>
      </w:r>
      <w:r w:rsidRPr="008A3AF1" w:rsidR="002A6552">
        <w:rPr>
          <w:rFonts w:ascii="Times New Roman" w:hAnsi="Times New Roman" w:cs="Times New Roman"/>
          <w:sz w:val="26"/>
          <w:szCs w:val="26"/>
        </w:rPr>
        <w:t xml:space="preserve">.00 for </w:t>
      </w:r>
      <w:r w:rsidR="0023717A">
        <w:rPr>
          <w:rFonts w:ascii="Times New Roman" w:hAnsi="Times New Roman" w:cs="Times New Roman"/>
          <w:sz w:val="26"/>
          <w:szCs w:val="26"/>
        </w:rPr>
        <w:t>each</w:t>
      </w:r>
      <w:r w:rsidRPr="008A3AF1" w:rsidR="0023717A">
        <w:rPr>
          <w:rFonts w:ascii="Times New Roman" w:hAnsi="Times New Roman" w:cs="Times New Roman"/>
          <w:sz w:val="26"/>
          <w:szCs w:val="26"/>
        </w:rPr>
        <w:t xml:space="preserve"> </w:t>
      </w:r>
      <w:r w:rsidRPr="008A3AF1" w:rsidR="002A6552">
        <w:rPr>
          <w:rFonts w:ascii="Times New Roman" w:hAnsi="Times New Roman" w:cs="Times New Roman"/>
          <w:sz w:val="26"/>
          <w:szCs w:val="26"/>
        </w:rPr>
        <w:t>of these</w:t>
      </w:r>
      <w:r w:rsidRPr="008A3AF1">
        <w:rPr>
          <w:rFonts w:ascii="Times New Roman" w:hAnsi="Times New Roman" w:cs="Times New Roman"/>
          <w:sz w:val="26"/>
          <w:szCs w:val="26"/>
        </w:rPr>
        <w:t xml:space="preserve"> collections.  </w:t>
      </w:r>
    </w:p>
    <w:p w:rsidRPr="008A3AF1" w:rsidR="00605DCF" w:rsidP="008A3AF1" w:rsidRDefault="00605DCF" w14:paraId="4DA206F8" w14:textId="77777777">
      <w:pPr>
        <w:spacing w:after="0" w:line="240" w:lineRule="auto"/>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8A3AF1" w:rsidR="00605DCF" w:rsidTr="00815735" w14:paraId="3170648E" w14:textId="77777777">
        <w:tc>
          <w:tcPr>
            <w:tcW w:w="3182" w:type="dxa"/>
            <w:tcBorders>
              <w:top w:val="single" w:color="auto" w:sz="4" w:space="0"/>
              <w:left w:val="single" w:color="auto" w:sz="4" w:space="0"/>
              <w:bottom w:val="single" w:color="auto" w:sz="4" w:space="0"/>
              <w:right w:val="single" w:color="auto" w:sz="4" w:space="0"/>
            </w:tcBorders>
            <w:shd w:val="clear" w:color="auto" w:fill="CCCCCC"/>
            <w:hideMark/>
          </w:tcPr>
          <w:p w:rsidRPr="008A3AF1" w:rsidR="00605DCF" w:rsidP="008A3AF1" w:rsidRDefault="00605DCF" w14:paraId="5BF24064" w14:textId="6D93E7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lastRenderedPageBreak/>
              <w:t>FERC-725</w:t>
            </w:r>
            <w:r w:rsidR="00D319F4">
              <w:rPr>
                <w:rFonts w:ascii="Times New Roman" w:hAnsi="Times New Roman" w:cs="Times New Roman"/>
                <w:b/>
                <w:sz w:val="26"/>
                <w:szCs w:val="26"/>
              </w:rPr>
              <w:t>S</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8A3AF1" w:rsidR="00605DCF" w:rsidP="008A3AF1" w:rsidRDefault="00605DCF" w14:paraId="779D3688"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Number of Employees (FTEs)</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8A3AF1" w:rsidR="00605DCF" w:rsidP="008A3AF1" w:rsidRDefault="00605DCF" w14:paraId="6542096C"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Estimated Annual Federal Cost</w:t>
            </w:r>
          </w:p>
        </w:tc>
      </w:tr>
      <w:tr w:rsidRPr="008A3AF1" w:rsidR="00605DCF" w:rsidTr="00815735" w14:paraId="04CA13EA" w14:textId="77777777">
        <w:tc>
          <w:tcPr>
            <w:tcW w:w="3182" w:type="dxa"/>
            <w:tcBorders>
              <w:top w:val="single" w:color="auto" w:sz="4" w:space="0"/>
              <w:left w:val="single" w:color="auto" w:sz="4" w:space="0"/>
              <w:bottom w:val="single" w:color="auto" w:sz="4" w:space="0"/>
              <w:right w:val="single" w:color="auto" w:sz="4" w:space="0"/>
            </w:tcBorders>
            <w:hideMark/>
          </w:tcPr>
          <w:p w:rsidRPr="008A3AF1" w:rsidR="00605DCF" w:rsidP="008A3AF1" w:rsidRDefault="00605DCF" w14:paraId="3FCE59C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Analysis and Processing of filings</w:t>
            </w:r>
          </w:p>
        </w:tc>
        <w:tc>
          <w:tcPr>
            <w:tcW w:w="3201" w:type="dxa"/>
            <w:tcBorders>
              <w:top w:val="single" w:color="auto" w:sz="4" w:space="0"/>
              <w:left w:val="single" w:color="auto" w:sz="4" w:space="0"/>
              <w:bottom w:val="single" w:color="auto" w:sz="4" w:space="0"/>
              <w:right w:val="single" w:color="auto" w:sz="4" w:space="0"/>
            </w:tcBorders>
            <w:vAlign w:val="center"/>
            <w:hideMark/>
          </w:tcPr>
          <w:p w:rsidRPr="008A3AF1" w:rsidR="00605DCF" w:rsidP="008A3AF1" w:rsidRDefault="00605DCF" w14:paraId="6A56F7FD"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2995" w:type="dxa"/>
            <w:tcBorders>
              <w:top w:val="single" w:color="auto" w:sz="4" w:space="0"/>
              <w:left w:val="single" w:color="auto" w:sz="4" w:space="0"/>
              <w:bottom w:val="single" w:color="auto" w:sz="4" w:space="0"/>
              <w:right w:val="single" w:color="auto" w:sz="4" w:space="0"/>
            </w:tcBorders>
            <w:vAlign w:val="center"/>
            <w:hideMark/>
          </w:tcPr>
          <w:p w:rsidRPr="008A3AF1" w:rsidR="00605DCF" w:rsidP="008A3AF1" w:rsidRDefault="00605DCF" w14:paraId="257496CE"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r w:rsidRPr="008A3AF1" w:rsidR="00605DCF" w:rsidTr="00815735" w14:paraId="460431B9" w14:textId="77777777">
        <w:tc>
          <w:tcPr>
            <w:tcW w:w="3182" w:type="dxa"/>
            <w:tcBorders>
              <w:top w:val="single" w:color="auto" w:sz="4" w:space="0"/>
              <w:left w:val="single" w:color="auto" w:sz="4" w:space="0"/>
              <w:bottom w:val="single" w:color="auto" w:sz="4" w:space="0"/>
              <w:right w:val="single" w:color="auto" w:sz="4" w:space="0"/>
            </w:tcBorders>
            <w:hideMark/>
          </w:tcPr>
          <w:p w:rsidRPr="008A3AF1" w:rsidR="00605DCF" w:rsidP="008A3AF1" w:rsidRDefault="00605DCF" w14:paraId="576A9887" w14:textId="77777777">
            <w:pPr>
              <w:spacing w:after="0" w:line="240" w:lineRule="auto"/>
              <w:rPr>
                <w:rFonts w:ascii="Times New Roman" w:hAnsi="Times New Roman" w:cs="Times New Roman"/>
                <w:sz w:val="26"/>
                <w:szCs w:val="26"/>
                <w:vertAlign w:val="superscript"/>
              </w:rPr>
            </w:pPr>
            <w:r w:rsidRPr="008A3AF1">
              <w:rPr>
                <w:rFonts w:ascii="Times New Roman" w:hAnsi="Times New Roman" w:cs="Times New Roman"/>
                <w:sz w:val="26"/>
                <w:szCs w:val="26"/>
              </w:rPr>
              <w:t>Paperwork Reduction Act Administrative Cost</w:t>
            </w:r>
            <w:r w:rsidRPr="008A3AF1" w:rsidR="00A334DD">
              <w:rPr>
                <w:rStyle w:val="FootnoteReference"/>
                <w:rFonts w:ascii="Times New Roman" w:hAnsi="Times New Roman" w:cs="Times New Roman"/>
                <w:sz w:val="26"/>
                <w:szCs w:val="26"/>
                <w:vertAlign w:val="superscript"/>
              </w:rPr>
              <w:footnoteReference w:id="7"/>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A3AF1" w:rsidR="00605DCF" w:rsidP="008A3AF1" w:rsidRDefault="00605DCF" w14:paraId="2F6A4671" w14:textId="77777777">
            <w:pPr>
              <w:spacing w:after="0"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8A3AF1" w:rsidR="00605DCF" w:rsidP="008A3AF1" w:rsidRDefault="00605DCF" w14:paraId="1B1D16E6" w14:textId="3A683BAA">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w:t>
            </w:r>
            <w:r w:rsidR="00260BCF">
              <w:rPr>
                <w:rFonts w:ascii="Times New Roman" w:hAnsi="Times New Roman" w:cs="Times New Roman"/>
                <w:sz w:val="26"/>
                <w:szCs w:val="26"/>
              </w:rPr>
              <w:t>6,475</w:t>
            </w:r>
          </w:p>
        </w:tc>
      </w:tr>
      <w:tr w:rsidRPr="008A3AF1" w:rsidR="00605DCF" w:rsidTr="00815735" w14:paraId="5C1D9D08" w14:textId="77777777">
        <w:tc>
          <w:tcPr>
            <w:tcW w:w="3182" w:type="dxa"/>
            <w:tcBorders>
              <w:top w:val="single" w:color="auto" w:sz="4" w:space="0"/>
              <w:left w:val="single" w:color="auto" w:sz="4" w:space="0"/>
              <w:bottom w:val="single" w:color="auto" w:sz="4" w:space="0"/>
              <w:right w:val="single" w:color="auto" w:sz="4" w:space="0"/>
            </w:tcBorders>
            <w:hideMark/>
          </w:tcPr>
          <w:p w:rsidRPr="008A3AF1" w:rsidR="00605DCF" w:rsidP="008A3AF1" w:rsidRDefault="00605DCF" w14:paraId="29F45A94"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TOTAL</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8A3AF1" w:rsidR="00605DCF" w:rsidP="008A3AF1" w:rsidRDefault="00605DCF" w14:paraId="1E43A779" w14:textId="77777777">
            <w:pPr>
              <w:spacing w:after="0"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8A3AF1" w:rsidR="00605DCF" w:rsidP="008A3AF1" w:rsidRDefault="00605DCF" w14:paraId="247CA048" w14:textId="1D210DA0">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w:t>
            </w:r>
            <w:r w:rsidR="00260BCF">
              <w:rPr>
                <w:rFonts w:ascii="Times New Roman" w:hAnsi="Times New Roman" w:cs="Times New Roman"/>
                <w:sz w:val="26"/>
                <w:szCs w:val="26"/>
              </w:rPr>
              <w:t>6,475</w:t>
            </w:r>
          </w:p>
        </w:tc>
      </w:tr>
    </w:tbl>
    <w:p w:rsidRPr="008A3AF1" w:rsidR="00605DCF" w:rsidP="008A3AF1" w:rsidRDefault="00605DCF" w14:paraId="771E228E" w14:textId="77777777">
      <w:pPr>
        <w:spacing w:after="0" w:line="240" w:lineRule="auto"/>
        <w:rPr>
          <w:rFonts w:ascii="Times New Roman" w:hAnsi="Times New Roman" w:cs="Times New Roman"/>
          <w:sz w:val="26"/>
          <w:szCs w:val="26"/>
        </w:rPr>
      </w:pPr>
    </w:p>
    <w:p w:rsidRPr="008A3AF1" w:rsidR="006F540B" w:rsidP="008A3AF1" w:rsidRDefault="006F540B" w14:paraId="173F33DB" w14:textId="77777777">
      <w:pPr>
        <w:widowControl w:val="0"/>
        <w:autoSpaceDE w:val="0"/>
        <w:autoSpaceDN w:val="0"/>
        <w:adjustRightInd w:val="0"/>
        <w:spacing w:after="0" w:line="240" w:lineRule="auto"/>
        <w:rPr>
          <w:rFonts w:ascii="Times New Roman" w:hAnsi="Times New Roman" w:eastAsia="Times New Roman" w:cs="Times New Roman"/>
          <w:sz w:val="26"/>
          <w:szCs w:val="26"/>
          <w:u w:val="single"/>
        </w:rPr>
      </w:pPr>
    </w:p>
    <w:p w:rsidRPr="008A3AF1" w:rsidR="006F540B" w:rsidP="008A3AF1" w:rsidRDefault="006F540B" w14:paraId="6EB51B64" w14:textId="777777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15. REASONS FOR CHANGES IN BURDEN INCLUDING THE NEED FOR ANY INCREASE</w:t>
      </w:r>
    </w:p>
    <w:p w:rsidRPr="008A3AF1" w:rsidR="006F540B" w:rsidP="008A3AF1" w:rsidRDefault="006F540B" w14:paraId="34E8CC6E" w14:textId="77777777">
      <w:pPr>
        <w:widowControl w:val="0"/>
        <w:autoSpaceDE w:val="0"/>
        <w:autoSpaceDN w:val="0"/>
        <w:adjustRightInd w:val="0"/>
        <w:spacing w:after="0" w:line="240" w:lineRule="auto"/>
        <w:rPr>
          <w:rFonts w:ascii="Times New Roman" w:hAnsi="Times New Roman" w:cs="Times New Roman"/>
          <w:sz w:val="26"/>
          <w:szCs w:val="26"/>
        </w:rPr>
      </w:pPr>
    </w:p>
    <w:p w:rsidRPr="008A3AF1" w:rsidR="006F540B" w:rsidP="008A3AF1" w:rsidRDefault="001B2B65" w14:paraId="74ADA194" w14:textId="525F2011">
      <w:pPr>
        <w:spacing w:line="240" w:lineRule="auto"/>
        <w:rPr>
          <w:rFonts w:ascii="Times New Roman" w:hAnsi="Times New Roman" w:cs="Times New Roman"/>
          <w:bCs/>
          <w:sz w:val="26"/>
          <w:szCs w:val="26"/>
        </w:rPr>
      </w:pPr>
      <w:r w:rsidRPr="001B2B65">
        <w:rPr>
          <w:rFonts w:ascii="Times New Roman" w:hAnsi="Times New Roman" w:cs="Times New Roman"/>
          <w:bCs/>
          <w:sz w:val="26"/>
          <w:szCs w:val="26"/>
        </w:rPr>
        <w:t xml:space="preserve">The following table details Reliability Standards EOP-010-1, EOP-011-1, EOP-004-4, EOP-005-3, EOP-006-3, and EOP-008-2 in FERC-725S (OMB Control No. 1902-0270). The burden </w:t>
      </w:r>
      <w:r w:rsidR="00A84E10">
        <w:rPr>
          <w:rFonts w:ascii="Times New Roman" w:hAnsi="Times New Roman" w:cs="Times New Roman"/>
          <w:bCs/>
          <w:sz w:val="26"/>
          <w:szCs w:val="26"/>
        </w:rPr>
        <w:t xml:space="preserve">being added </w:t>
      </w:r>
      <w:r w:rsidRPr="001B2B65">
        <w:rPr>
          <w:rFonts w:ascii="Times New Roman" w:hAnsi="Times New Roman" w:cs="Times New Roman"/>
          <w:bCs/>
          <w:sz w:val="26"/>
          <w:szCs w:val="26"/>
        </w:rPr>
        <w:t>for FERC-725S reflects an increase from the previous versions of the Reliability Standards in total burden hours and cost based on adjustments in the additional entities and changes to hourly cost</w:t>
      </w:r>
      <w:r w:rsidR="00A84E10">
        <w:rPr>
          <w:rFonts w:ascii="Times New Roman" w:hAnsi="Times New Roman" w:cs="Times New Roman"/>
          <w:bCs/>
          <w:sz w:val="26"/>
          <w:szCs w:val="26"/>
        </w:rPr>
        <w:t xml:space="preserve"> due to normal fluctuations and</w:t>
      </w:r>
      <w:bookmarkStart w:name="_GoBack" w:id="2"/>
      <w:bookmarkEnd w:id="2"/>
      <w:r w:rsidR="00A84E10">
        <w:rPr>
          <w:rFonts w:ascii="Times New Roman" w:hAnsi="Times New Roman" w:cs="Times New Roman"/>
          <w:bCs/>
          <w:sz w:val="26"/>
          <w:szCs w:val="26"/>
        </w:rPr>
        <w:t xml:space="preserve"> accuracy.</w:t>
      </w:r>
    </w:p>
    <w:p w:rsidRPr="008A3AF1" w:rsidR="006F540B" w:rsidP="008A3AF1" w:rsidRDefault="006F540B" w14:paraId="695EBC4E" w14:textId="77777777">
      <w:pPr>
        <w:spacing w:line="240" w:lineRule="auto"/>
        <w:rPr>
          <w:rFonts w:ascii="Times New Roman" w:hAnsi="Times New Roman" w:eastAsia="Calibri" w:cs="Times New Roman"/>
          <w:bCs/>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8A3AF1" w:rsidR="006F540B" w:rsidTr="00815735" w14:paraId="136DB20A" w14:textId="77777777">
        <w:trPr>
          <w:trHeight w:val="870"/>
        </w:trPr>
        <w:tc>
          <w:tcPr>
            <w:tcW w:w="2679" w:type="dxa"/>
            <w:shd w:val="clear" w:color="auto" w:fill="D9D9D9" w:themeFill="background1" w:themeFillShade="D9"/>
            <w:vAlign w:val="bottom"/>
          </w:tcPr>
          <w:p w:rsidRPr="008A3AF1" w:rsidR="006F540B" w:rsidP="008A3AF1" w:rsidRDefault="006F540B" w14:paraId="726AF2DF"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FERC-725S</w:t>
            </w:r>
          </w:p>
        </w:tc>
        <w:tc>
          <w:tcPr>
            <w:tcW w:w="1461" w:type="dxa"/>
            <w:shd w:val="clear" w:color="auto" w:fill="D9D9D9" w:themeFill="background1" w:themeFillShade="D9"/>
            <w:vAlign w:val="bottom"/>
          </w:tcPr>
          <w:p w:rsidRPr="008A3AF1" w:rsidR="006F540B" w:rsidP="008A3AF1" w:rsidRDefault="006F540B" w14:paraId="0BF43C7E"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Total Request</w:t>
            </w:r>
          </w:p>
        </w:tc>
        <w:tc>
          <w:tcPr>
            <w:tcW w:w="1620" w:type="dxa"/>
            <w:shd w:val="clear" w:color="auto" w:fill="D9D9D9" w:themeFill="background1" w:themeFillShade="D9"/>
            <w:vAlign w:val="bottom"/>
          </w:tcPr>
          <w:p w:rsidRPr="008A3AF1" w:rsidR="006F540B" w:rsidP="008A3AF1" w:rsidRDefault="006F540B" w14:paraId="33C15B68"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Previously Approved</w:t>
            </w:r>
          </w:p>
        </w:tc>
        <w:tc>
          <w:tcPr>
            <w:tcW w:w="1800" w:type="dxa"/>
            <w:shd w:val="clear" w:color="auto" w:fill="D9D9D9" w:themeFill="background1" w:themeFillShade="D9"/>
            <w:vAlign w:val="bottom"/>
          </w:tcPr>
          <w:p w:rsidRPr="008A3AF1" w:rsidR="006F540B" w:rsidP="008A3AF1" w:rsidRDefault="006F540B" w14:paraId="1BDC7003"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Adjustment in Estimate</w:t>
            </w:r>
          </w:p>
        </w:tc>
        <w:tc>
          <w:tcPr>
            <w:tcW w:w="1800" w:type="dxa"/>
            <w:shd w:val="clear" w:color="auto" w:fill="D9D9D9" w:themeFill="background1" w:themeFillShade="D9"/>
            <w:vAlign w:val="bottom"/>
          </w:tcPr>
          <w:p w:rsidRPr="008A3AF1" w:rsidR="006F540B" w:rsidP="008A3AF1" w:rsidRDefault="006F540B" w14:paraId="72C1E4A6"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Agency Discretion</w:t>
            </w:r>
          </w:p>
        </w:tc>
      </w:tr>
      <w:tr w:rsidRPr="008A3AF1" w:rsidR="006F540B" w:rsidTr="00815735" w14:paraId="4D75AA10" w14:textId="77777777">
        <w:trPr>
          <w:trHeight w:val="591"/>
        </w:trPr>
        <w:tc>
          <w:tcPr>
            <w:tcW w:w="2679" w:type="dxa"/>
            <w:shd w:val="clear" w:color="auto" w:fill="FFFFFF" w:themeFill="background1"/>
          </w:tcPr>
          <w:p w:rsidRPr="008A3AF1" w:rsidR="006F540B" w:rsidP="008A3AF1" w:rsidRDefault="006F540B" w14:paraId="7253D550" w14:textId="77777777">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Number of Responses</w:t>
            </w:r>
          </w:p>
        </w:tc>
        <w:tc>
          <w:tcPr>
            <w:tcW w:w="1461" w:type="dxa"/>
            <w:shd w:val="clear" w:color="auto" w:fill="FFFFFF" w:themeFill="background1"/>
            <w:vAlign w:val="center"/>
          </w:tcPr>
          <w:p w:rsidRPr="008A3AF1" w:rsidR="006F540B" w:rsidP="008A3AF1" w:rsidRDefault="000C23DC" w14:paraId="152B5A4C" w14:textId="3FF5E9C6">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473</w:t>
            </w:r>
          </w:p>
        </w:tc>
        <w:tc>
          <w:tcPr>
            <w:tcW w:w="1620" w:type="dxa"/>
            <w:shd w:val="clear" w:color="auto" w:fill="FFFFFF" w:themeFill="background1"/>
            <w:vAlign w:val="center"/>
          </w:tcPr>
          <w:p w:rsidRPr="008A3AF1" w:rsidR="006F540B" w:rsidP="008A3AF1" w:rsidRDefault="000C23DC" w14:paraId="3B33CF61" w14:textId="581619C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426</w:t>
            </w:r>
          </w:p>
        </w:tc>
        <w:tc>
          <w:tcPr>
            <w:tcW w:w="1800" w:type="dxa"/>
            <w:shd w:val="clear" w:color="auto" w:fill="FFFFFF" w:themeFill="background1"/>
            <w:vAlign w:val="center"/>
          </w:tcPr>
          <w:p w:rsidRPr="008A3AF1" w:rsidR="006F540B" w:rsidP="008A3AF1" w:rsidRDefault="000C23DC" w14:paraId="4DA797CD" w14:textId="62E7169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47</w:t>
            </w:r>
          </w:p>
        </w:tc>
        <w:tc>
          <w:tcPr>
            <w:tcW w:w="1800" w:type="dxa"/>
            <w:shd w:val="clear" w:color="auto" w:fill="FFFFFF" w:themeFill="background1"/>
            <w:vAlign w:val="center"/>
          </w:tcPr>
          <w:p w:rsidR="00A222FA" w:rsidP="00795D69" w:rsidRDefault="00A222FA" w14:paraId="10E9160C" w14:textId="77777777">
            <w:pPr>
              <w:spacing w:after="0" w:line="240" w:lineRule="auto"/>
              <w:jc w:val="right"/>
              <w:rPr>
                <w:rFonts w:ascii="Times New Roman" w:hAnsi="Times New Roman" w:cs="Times New Roman"/>
                <w:sz w:val="26"/>
                <w:szCs w:val="26"/>
              </w:rPr>
            </w:pPr>
          </w:p>
          <w:p w:rsidR="000A4199" w:rsidP="00795D69" w:rsidRDefault="000C23DC" w14:paraId="309B66F4" w14:textId="565AAD5E">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p w:rsidRPr="008A3AF1" w:rsidR="006F540B" w:rsidP="000A4199" w:rsidRDefault="006F540B" w14:paraId="31776BF7" w14:textId="39C4DCA1">
            <w:pPr>
              <w:spacing w:after="0" w:line="240" w:lineRule="auto"/>
              <w:rPr>
                <w:rFonts w:ascii="Times New Roman" w:hAnsi="Times New Roman" w:cs="Times New Roman"/>
                <w:sz w:val="26"/>
                <w:szCs w:val="26"/>
              </w:rPr>
            </w:pPr>
          </w:p>
        </w:tc>
      </w:tr>
      <w:tr w:rsidRPr="008A3AF1" w:rsidR="006F540B" w:rsidTr="00815735" w14:paraId="745DAC5A" w14:textId="77777777">
        <w:trPr>
          <w:trHeight w:val="98"/>
        </w:trPr>
        <w:tc>
          <w:tcPr>
            <w:tcW w:w="2679" w:type="dxa"/>
            <w:shd w:val="clear" w:color="auto" w:fill="FFFFFF" w:themeFill="background1"/>
          </w:tcPr>
          <w:p w:rsidRPr="008A3AF1" w:rsidR="006F540B" w:rsidP="008A3AF1" w:rsidRDefault="006F540B" w14:paraId="3609FEA8" w14:textId="00C965BC">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Time Burden</w:t>
            </w:r>
          </w:p>
        </w:tc>
        <w:tc>
          <w:tcPr>
            <w:tcW w:w="1461" w:type="dxa"/>
            <w:shd w:val="clear" w:color="auto" w:fill="FFFFFF" w:themeFill="background1"/>
            <w:vAlign w:val="center"/>
          </w:tcPr>
          <w:p w:rsidRPr="008A3AF1" w:rsidR="006F540B" w:rsidP="001116E0" w:rsidRDefault="000C23DC" w14:paraId="387B3A83" w14:textId="482383C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91,782</w:t>
            </w:r>
          </w:p>
        </w:tc>
        <w:tc>
          <w:tcPr>
            <w:tcW w:w="1620" w:type="dxa"/>
            <w:shd w:val="clear" w:color="auto" w:fill="FFFFFF" w:themeFill="background1"/>
            <w:vAlign w:val="center"/>
          </w:tcPr>
          <w:p w:rsidRPr="008A3AF1" w:rsidR="006F540B" w:rsidP="008A3AF1" w:rsidRDefault="000C23DC" w14:paraId="6A80985E" w14:textId="1582E5A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74,605</w:t>
            </w:r>
          </w:p>
        </w:tc>
        <w:tc>
          <w:tcPr>
            <w:tcW w:w="1800" w:type="dxa"/>
            <w:shd w:val="clear" w:color="auto" w:fill="FFFFFF" w:themeFill="background1"/>
            <w:vAlign w:val="center"/>
          </w:tcPr>
          <w:p w:rsidRPr="008A3AF1" w:rsidR="006F540B" w:rsidP="008A3AF1" w:rsidRDefault="000C23DC" w14:paraId="626233C0" w14:textId="59AFE26C">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17,177</w:t>
            </w:r>
          </w:p>
        </w:tc>
        <w:tc>
          <w:tcPr>
            <w:tcW w:w="1800" w:type="dxa"/>
            <w:shd w:val="clear" w:color="auto" w:fill="FFFFFF" w:themeFill="background1"/>
            <w:vAlign w:val="center"/>
          </w:tcPr>
          <w:p w:rsidRPr="008A3AF1" w:rsidR="006F540B" w:rsidP="008A3AF1" w:rsidRDefault="000C23DC" w14:paraId="6C683247" w14:textId="4B8E250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Pr="008A3AF1" w:rsidR="006F540B" w:rsidTr="00815735" w14:paraId="31DEADFB" w14:textId="77777777">
        <w:trPr>
          <w:trHeight w:val="295"/>
        </w:trPr>
        <w:tc>
          <w:tcPr>
            <w:tcW w:w="2679" w:type="dxa"/>
            <w:tcBorders>
              <w:bottom w:val="single" w:color="auto" w:sz="4" w:space="0"/>
            </w:tcBorders>
            <w:shd w:val="clear" w:color="auto" w:fill="FFFFFF" w:themeFill="background1"/>
          </w:tcPr>
          <w:p w:rsidRPr="008A3AF1" w:rsidR="006F540B" w:rsidP="008A3AF1" w:rsidRDefault="006F540B" w14:paraId="48A9DB87" w14:textId="77777777">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Cost Burden ($)</w:t>
            </w:r>
          </w:p>
        </w:tc>
        <w:tc>
          <w:tcPr>
            <w:tcW w:w="1461" w:type="dxa"/>
            <w:tcBorders>
              <w:bottom w:val="single" w:color="auto" w:sz="4" w:space="0"/>
            </w:tcBorders>
            <w:shd w:val="clear" w:color="auto" w:fill="FFFFFF" w:themeFill="background1"/>
            <w:vAlign w:val="center"/>
          </w:tcPr>
          <w:p w:rsidRPr="008A3AF1" w:rsidR="006F540B" w:rsidP="008A3AF1" w:rsidRDefault="004F5FA9" w14:paraId="37579400"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620" w:type="dxa"/>
            <w:tcBorders>
              <w:bottom w:val="single" w:color="auto" w:sz="4" w:space="0"/>
            </w:tcBorders>
            <w:shd w:val="clear" w:color="auto" w:fill="FFFFFF" w:themeFill="background1"/>
            <w:vAlign w:val="center"/>
          </w:tcPr>
          <w:p w:rsidRPr="008A3AF1" w:rsidR="006F540B" w:rsidP="008A3AF1" w:rsidRDefault="00A334DD" w14:paraId="35D58231"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tcBorders>
              <w:bottom w:val="single" w:color="auto" w:sz="4" w:space="0"/>
            </w:tcBorders>
            <w:shd w:val="clear" w:color="auto" w:fill="FFFFFF" w:themeFill="background1"/>
            <w:vAlign w:val="center"/>
          </w:tcPr>
          <w:p w:rsidRPr="008A3AF1" w:rsidR="006F540B" w:rsidP="008A3AF1" w:rsidRDefault="00A334DD" w14:paraId="5AF0627F"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1800" w:type="dxa"/>
            <w:tcBorders>
              <w:bottom w:val="single" w:color="auto" w:sz="4" w:space="0"/>
            </w:tcBorders>
            <w:shd w:val="clear" w:color="auto" w:fill="FFFFFF" w:themeFill="background1"/>
            <w:vAlign w:val="center"/>
          </w:tcPr>
          <w:p w:rsidRPr="008A3AF1" w:rsidR="006F540B" w:rsidP="008A3AF1" w:rsidRDefault="004F5FA9" w14:paraId="52FF9407"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bl>
    <w:p w:rsidRPr="008A3AF1" w:rsidR="00A334DD" w:rsidP="008A3AF1" w:rsidRDefault="00A334DD" w14:paraId="46C53D11" w14:textId="77777777">
      <w:pPr>
        <w:autoSpaceDE w:val="0"/>
        <w:autoSpaceDN w:val="0"/>
        <w:adjustRightInd w:val="0"/>
        <w:spacing w:after="0" w:line="240" w:lineRule="auto"/>
        <w:rPr>
          <w:rFonts w:ascii="Times New Roman" w:hAnsi="Times New Roman" w:eastAsia="Times New Roman" w:cs="Times New Roman"/>
          <w:sz w:val="26"/>
          <w:szCs w:val="26"/>
          <w:u w:val="single"/>
        </w:rPr>
      </w:pPr>
    </w:p>
    <w:p w:rsidR="00A334DD" w:rsidP="008A3AF1" w:rsidRDefault="00A334DD" w14:paraId="17C48893" w14:textId="77777777">
      <w:pPr>
        <w:autoSpaceDE w:val="0"/>
        <w:autoSpaceDN w:val="0"/>
        <w:adjustRightInd w:val="0"/>
        <w:spacing w:after="0" w:line="240" w:lineRule="auto"/>
        <w:rPr>
          <w:rFonts w:ascii="Times New Roman" w:hAnsi="Times New Roman" w:eastAsia="Times New Roman" w:cs="Times New Roman"/>
          <w:b/>
          <w:bCs/>
          <w:sz w:val="26"/>
          <w:szCs w:val="26"/>
        </w:rPr>
      </w:pPr>
      <w:r w:rsidRPr="008A3AF1">
        <w:rPr>
          <w:rFonts w:ascii="Times New Roman" w:hAnsi="Times New Roman" w:eastAsia="Times New Roman" w:cs="Times New Roman"/>
          <w:sz w:val="26"/>
          <w:szCs w:val="26"/>
        </w:rPr>
        <w:t xml:space="preserve">16. </w:t>
      </w:r>
      <w:r w:rsidRPr="008A3AF1">
        <w:rPr>
          <w:rFonts w:ascii="Times New Roman" w:hAnsi="Times New Roman" w:eastAsia="Times New Roman" w:cs="Times New Roman"/>
          <w:b/>
          <w:bCs/>
          <w:sz w:val="26"/>
          <w:szCs w:val="26"/>
        </w:rPr>
        <w:t xml:space="preserve">TIME SCHEDULE FOR THE PUBLICATION OF DATA </w:t>
      </w:r>
    </w:p>
    <w:p w:rsidRPr="008A3AF1" w:rsidR="008A3AF1" w:rsidP="008A3AF1" w:rsidRDefault="008A3AF1" w14:paraId="69B8293F" w14:textId="77777777">
      <w:pPr>
        <w:autoSpaceDE w:val="0"/>
        <w:autoSpaceDN w:val="0"/>
        <w:adjustRightInd w:val="0"/>
        <w:spacing w:after="0" w:line="240" w:lineRule="auto"/>
        <w:rPr>
          <w:rFonts w:ascii="Times New Roman" w:hAnsi="Times New Roman" w:eastAsia="Times New Roman" w:cs="Times New Roman"/>
          <w:sz w:val="26"/>
          <w:szCs w:val="26"/>
        </w:rPr>
      </w:pPr>
    </w:p>
    <w:p w:rsidRPr="008A3AF1" w:rsidR="00A334DD" w:rsidP="008A3AF1" w:rsidRDefault="00A334DD" w14:paraId="5913386B" w14:textId="3E6489C0">
      <w:pPr>
        <w:autoSpaceDE w:val="0"/>
        <w:autoSpaceDN w:val="0"/>
        <w:adjustRightInd w:val="0"/>
        <w:spacing w:after="0" w:line="240" w:lineRule="auto"/>
        <w:rPr>
          <w:rFonts w:ascii="Times New Roman" w:hAnsi="Times New Roman" w:eastAsia="Times New Roman" w:cs="Times New Roman"/>
          <w:sz w:val="26"/>
          <w:szCs w:val="26"/>
        </w:rPr>
      </w:pPr>
      <w:r w:rsidRPr="008A3AF1">
        <w:rPr>
          <w:rFonts w:ascii="Times New Roman" w:hAnsi="Times New Roman" w:eastAsia="Times New Roman" w:cs="Times New Roman"/>
          <w:sz w:val="26"/>
          <w:szCs w:val="26"/>
        </w:rPr>
        <w:t xml:space="preserve">There is no publication of data associated with </w:t>
      </w:r>
      <w:r w:rsidRPr="008A3AF1" w:rsidR="00700863">
        <w:rPr>
          <w:rFonts w:ascii="Times New Roman" w:hAnsi="Times New Roman" w:eastAsia="Times New Roman" w:cs="Times New Roman"/>
          <w:sz w:val="26"/>
          <w:szCs w:val="26"/>
        </w:rPr>
        <w:t>FERC-725S</w:t>
      </w:r>
      <w:r w:rsidRPr="008A3AF1">
        <w:rPr>
          <w:rFonts w:ascii="Times New Roman" w:hAnsi="Times New Roman" w:eastAsia="Times New Roman" w:cs="Times New Roman"/>
          <w:sz w:val="26"/>
          <w:szCs w:val="26"/>
        </w:rPr>
        <w:t xml:space="preserve"> collection</w:t>
      </w:r>
      <w:r w:rsidRPr="008A3AF1" w:rsidR="00700863">
        <w:rPr>
          <w:rFonts w:ascii="Times New Roman" w:hAnsi="Times New Roman" w:eastAsia="Times New Roman" w:cs="Times New Roman"/>
          <w:sz w:val="26"/>
          <w:szCs w:val="26"/>
        </w:rPr>
        <w:t>s</w:t>
      </w:r>
      <w:r w:rsidRPr="008A3AF1">
        <w:rPr>
          <w:rFonts w:ascii="Times New Roman" w:hAnsi="Times New Roman" w:eastAsia="Times New Roman" w:cs="Times New Roman"/>
          <w:sz w:val="26"/>
          <w:szCs w:val="26"/>
        </w:rPr>
        <w:t xml:space="preserve"> of information. </w:t>
      </w:r>
    </w:p>
    <w:p w:rsidRPr="008A3AF1" w:rsidR="00700863" w:rsidP="008A3AF1" w:rsidRDefault="00700863" w14:paraId="5168353D" w14:textId="77777777">
      <w:pPr>
        <w:autoSpaceDE w:val="0"/>
        <w:autoSpaceDN w:val="0"/>
        <w:adjustRightInd w:val="0"/>
        <w:spacing w:after="0" w:line="240" w:lineRule="auto"/>
        <w:rPr>
          <w:rFonts w:ascii="Times New Roman" w:hAnsi="Times New Roman" w:eastAsia="Times New Roman" w:cs="Times New Roman"/>
          <w:sz w:val="26"/>
          <w:szCs w:val="26"/>
        </w:rPr>
      </w:pPr>
    </w:p>
    <w:p w:rsidRPr="008A3AF1" w:rsidR="00A334DD" w:rsidP="008A3AF1" w:rsidRDefault="00A334DD" w14:paraId="25CF533B" w14:textId="77777777">
      <w:pPr>
        <w:autoSpaceDE w:val="0"/>
        <w:autoSpaceDN w:val="0"/>
        <w:adjustRightInd w:val="0"/>
        <w:spacing w:after="0" w:line="240" w:lineRule="auto"/>
        <w:rPr>
          <w:rFonts w:ascii="Times New Roman" w:hAnsi="Times New Roman" w:eastAsia="Times New Roman" w:cs="Times New Roman"/>
          <w:b/>
          <w:bCs/>
          <w:sz w:val="26"/>
          <w:szCs w:val="26"/>
        </w:rPr>
      </w:pPr>
      <w:r w:rsidRPr="008A3AF1">
        <w:rPr>
          <w:rFonts w:ascii="Times New Roman" w:hAnsi="Times New Roman" w:eastAsia="Times New Roman" w:cs="Times New Roman"/>
          <w:sz w:val="26"/>
          <w:szCs w:val="26"/>
        </w:rPr>
        <w:t xml:space="preserve">17. </w:t>
      </w:r>
      <w:r w:rsidRPr="008A3AF1">
        <w:rPr>
          <w:rFonts w:ascii="Times New Roman" w:hAnsi="Times New Roman" w:eastAsia="Times New Roman" w:cs="Times New Roman"/>
          <w:b/>
          <w:bCs/>
          <w:sz w:val="26"/>
          <w:szCs w:val="26"/>
        </w:rPr>
        <w:t xml:space="preserve">DISPLAY OF THE EXPIRATION DATE </w:t>
      </w:r>
    </w:p>
    <w:p w:rsidRPr="008A3AF1" w:rsidR="00700863" w:rsidP="008A3AF1" w:rsidRDefault="00700863" w14:paraId="1DB8D1C2" w14:textId="77777777">
      <w:pPr>
        <w:autoSpaceDE w:val="0"/>
        <w:autoSpaceDN w:val="0"/>
        <w:adjustRightInd w:val="0"/>
        <w:spacing w:after="0" w:line="240" w:lineRule="auto"/>
        <w:rPr>
          <w:rFonts w:ascii="Times New Roman" w:hAnsi="Times New Roman" w:eastAsia="Times New Roman" w:cs="Times New Roman"/>
          <w:sz w:val="26"/>
          <w:szCs w:val="26"/>
        </w:rPr>
      </w:pPr>
    </w:p>
    <w:p w:rsidRPr="008A3AF1" w:rsidR="00A334DD" w:rsidP="008A3AF1" w:rsidRDefault="00A334DD" w14:paraId="5653B25A" w14:textId="77777777">
      <w:pPr>
        <w:autoSpaceDE w:val="0"/>
        <w:autoSpaceDN w:val="0"/>
        <w:adjustRightInd w:val="0"/>
        <w:spacing w:after="0" w:line="240" w:lineRule="auto"/>
        <w:rPr>
          <w:rFonts w:ascii="Times New Roman" w:hAnsi="Times New Roman" w:eastAsia="Times New Roman" w:cs="Times New Roman"/>
          <w:sz w:val="26"/>
          <w:szCs w:val="26"/>
        </w:rPr>
      </w:pPr>
      <w:r w:rsidRPr="008A3AF1">
        <w:rPr>
          <w:rFonts w:ascii="Times New Roman" w:hAnsi="Times New Roman" w:eastAsia="Times New Roman" w:cs="Times New Roman"/>
          <w:sz w:val="26"/>
          <w:szCs w:val="26"/>
        </w:rPr>
        <w:t xml:space="preserve">The expiration dates are posted on ferc.gov at </w:t>
      </w:r>
      <w:hyperlink w:history="1" r:id="rId13">
        <w:r w:rsidRPr="008A3AF1">
          <w:rPr>
            <w:rStyle w:val="Hyperlink"/>
            <w:rFonts w:ascii="Times New Roman" w:hAnsi="Times New Roman" w:eastAsia="Times New Roman" w:cs="Times New Roman"/>
            <w:sz w:val="26"/>
            <w:szCs w:val="26"/>
          </w:rPr>
          <w:t>http://www.ferc.gov/docs-filing/info-collections.asp</w:t>
        </w:r>
      </w:hyperlink>
      <w:r w:rsidRPr="008A3AF1">
        <w:rPr>
          <w:rFonts w:ascii="Times New Roman" w:hAnsi="Times New Roman" w:eastAsia="Times New Roman" w:cs="Times New Roman"/>
          <w:sz w:val="26"/>
          <w:szCs w:val="26"/>
        </w:rPr>
        <w:t xml:space="preserve">  </w:t>
      </w:r>
    </w:p>
    <w:p w:rsidRPr="008A3AF1" w:rsidR="00A334DD" w:rsidP="008A3AF1" w:rsidRDefault="00A334DD" w14:paraId="63EE0D58" w14:textId="77777777">
      <w:pPr>
        <w:autoSpaceDE w:val="0"/>
        <w:autoSpaceDN w:val="0"/>
        <w:adjustRightInd w:val="0"/>
        <w:spacing w:after="0" w:line="240" w:lineRule="auto"/>
        <w:rPr>
          <w:rFonts w:ascii="Times New Roman" w:hAnsi="Times New Roman" w:eastAsia="Times New Roman" w:cs="Times New Roman"/>
          <w:sz w:val="26"/>
          <w:szCs w:val="26"/>
        </w:rPr>
      </w:pPr>
    </w:p>
    <w:p w:rsidR="00A334DD" w:rsidP="008A3AF1" w:rsidRDefault="00A334DD" w14:paraId="3E82E354" w14:textId="77777777">
      <w:pPr>
        <w:autoSpaceDE w:val="0"/>
        <w:autoSpaceDN w:val="0"/>
        <w:adjustRightInd w:val="0"/>
        <w:spacing w:after="0" w:line="240" w:lineRule="auto"/>
        <w:rPr>
          <w:rFonts w:ascii="Times New Roman" w:hAnsi="Times New Roman" w:eastAsia="Times New Roman" w:cs="Times New Roman"/>
          <w:b/>
          <w:bCs/>
          <w:sz w:val="26"/>
          <w:szCs w:val="26"/>
        </w:rPr>
      </w:pPr>
      <w:r w:rsidRPr="008A3AF1">
        <w:rPr>
          <w:rFonts w:ascii="Times New Roman" w:hAnsi="Times New Roman" w:eastAsia="Times New Roman" w:cs="Times New Roman"/>
          <w:sz w:val="26"/>
          <w:szCs w:val="26"/>
        </w:rPr>
        <w:t>18.</w:t>
      </w:r>
      <w:r w:rsidRPr="008A3AF1">
        <w:rPr>
          <w:rFonts w:ascii="Times New Roman" w:hAnsi="Times New Roman" w:eastAsia="Times New Roman" w:cs="Times New Roman"/>
          <w:b/>
          <w:bCs/>
          <w:sz w:val="26"/>
          <w:szCs w:val="26"/>
        </w:rPr>
        <w:t xml:space="preserve">EXCEPTIONS TO THE CERTIFICATION STATEMENT </w:t>
      </w:r>
    </w:p>
    <w:p w:rsidRPr="008A3AF1" w:rsidR="008A3AF1" w:rsidP="008A3AF1" w:rsidRDefault="008A3AF1" w14:paraId="3E57D8BE" w14:textId="77777777">
      <w:pPr>
        <w:autoSpaceDE w:val="0"/>
        <w:autoSpaceDN w:val="0"/>
        <w:adjustRightInd w:val="0"/>
        <w:spacing w:after="0" w:line="240" w:lineRule="auto"/>
        <w:rPr>
          <w:rFonts w:ascii="Times New Roman" w:hAnsi="Times New Roman" w:eastAsia="Times New Roman" w:cs="Times New Roman"/>
          <w:b/>
          <w:bCs/>
          <w:sz w:val="26"/>
          <w:szCs w:val="26"/>
        </w:rPr>
      </w:pPr>
    </w:p>
    <w:p w:rsidRPr="008A3AF1" w:rsidR="00A334DD" w:rsidP="008A3AF1" w:rsidRDefault="00A334DD" w14:paraId="4B22D8F3" w14:textId="4880FC4B">
      <w:pPr>
        <w:autoSpaceDE w:val="0"/>
        <w:autoSpaceDN w:val="0"/>
        <w:adjustRightInd w:val="0"/>
        <w:spacing w:after="0" w:line="240" w:lineRule="auto"/>
        <w:rPr>
          <w:rFonts w:ascii="Times New Roman" w:hAnsi="Times New Roman" w:eastAsia="Times New Roman" w:cs="Times New Roman"/>
          <w:sz w:val="26"/>
          <w:szCs w:val="26"/>
        </w:rPr>
      </w:pPr>
      <w:r w:rsidRPr="008A3AF1">
        <w:rPr>
          <w:rFonts w:ascii="Times New Roman" w:hAnsi="Times New Roman" w:eastAsia="Times New Roman" w:cs="Times New Roman"/>
          <w:sz w:val="26"/>
          <w:szCs w:val="26"/>
        </w:rPr>
        <w:t>There are no exceptions</w:t>
      </w:r>
      <w:r w:rsidRPr="008A3AF1" w:rsidR="002A6552">
        <w:rPr>
          <w:rFonts w:ascii="Times New Roman" w:hAnsi="Times New Roman" w:eastAsia="Times New Roman" w:cs="Times New Roman"/>
          <w:sz w:val="26"/>
          <w:szCs w:val="26"/>
        </w:rPr>
        <w:t xml:space="preserve"> for FERC-725S. </w:t>
      </w:r>
    </w:p>
    <w:p w:rsidRPr="008A3AF1" w:rsidR="006F540B" w:rsidP="008A3AF1" w:rsidRDefault="006F540B" w14:paraId="12E9B9A6" w14:textId="77777777">
      <w:pPr>
        <w:autoSpaceDE w:val="0"/>
        <w:autoSpaceDN w:val="0"/>
        <w:adjustRightInd w:val="0"/>
        <w:spacing w:after="0" w:line="240" w:lineRule="auto"/>
        <w:rPr>
          <w:rFonts w:ascii="Times New Roman" w:hAnsi="Times New Roman" w:eastAsia="Times New Roman" w:cs="Times New Roman"/>
          <w:sz w:val="26"/>
          <w:szCs w:val="26"/>
          <w:u w:val="single"/>
        </w:rPr>
      </w:pPr>
    </w:p>
    <w:p w:rsidRPr="008A3AF1" w:rsidR="006F540B" w:rsidP="008A3AF1" w:rsidRDefault="006F540B" w14:paraId="2B83C0D7" w14:textId="77777777">
      <w:pPr>
        <w:autoSpaceDE w:val="0"/>
        <w:autoSpaceDN w:val="0"/>
        <w:adjustRightInd w:val="0"/>
        <w:spacing w:after="0" w:line="240" w:lineRule="auto"/>
        <w:rPr>
          <w:rFonts w:ascii="Times New Roman" w:hAnsi="Times New Roman" w:eastAsia="Times New Roman" w:cs="Times New Roman"/>
          <w:sz w:val="26"/>
          <w:szCs w:val="26"/>
          <w:u w:val="single"/>
        </w:rPr>
      </w:pPr>
    </w:p>
    <w:p w:rsidRPr="008A3AF1" w:rsidR="00605DCF" w:rsidP="008A3AF1" w:rsidRDefault="00605DCF" w14:paraId="7889C009" w14:textId="77777777">
      <w:pPr>
        <w:autoSpaceDE w:val="0"/>
        <w:autoSpaceDN w:val="0"/>
        <w:adjustRightInd w:val="0"/>
        <w:spacing w:after="0" w:line="240" w:lineRule="auto"/>
        <w:rPr>
          <w:rFonts w:ascii="Times New Roman" w:hAnsi="Times New Roman" w:eastAsia="Times New Roman" w:cs="Times New Roman"/>
          <w:sz w:val="26"/>
          <w:szCs w:val="26"/>
          <w:u w:val="single"/>
        </w:rPr>
      </w:pPr>
    </w:p>
    <w:p w:rsidRPr="008A3AF1" w:rsidR="00CF6415" w:rsidP="008A3AF1" w:rsidRDefault="00CF6415" w14:paraId="5799017E" w14:textId="77777777">
      <w:pPr>
        <w:autoSpaceDE w:val="0"/>
        <w:autoSpaceDN w:val="0"/>
        <w:adjustRightInd w:val="0"/>
        <w:spacing w:after="0" w:line="240" w:lineRule="auto"/>
        <w:rPr>
          <w:rFonts w:ascii="Times New Roman" w:hAnsi="Times New Roman" w:eastAsia="Times New Roman" w:cs="Times New Roman"/>
          <w:sz w:val="26"/>
          <w:szCs w:val="26"/>
          <w:u w:val="single"/>
        </w:rPr>
      </w:pPr>
    </w:p>
    <w:p w:rsidRPr="008A3AF1" w:rsidR="00CF6415" w:rsidP="008A3AF1" w:rsidRDefault="00CF6415" w14:paraId="23DB3217" w14:textId="77777777">
      <w:pPr>
        <w:autoSpaceDE w:val="0"/>
        <w:autoSpaceDN w:val="0"/>
        <w:adjustRightInd w:val="0"/>
        <w:spacing w:after="0" w:line="240" w:lineRule="auto"/>
        <w:rPr>
          <w:rFonts w:ascii="Times New Roman" w:hAnsi="Times New Roman" w:eastAsia="Times New Roman" w:cs="Times New Roman"/>
          <w:sz w:val="26"/>
          <w:szCs w:val="26"/>
          <w:u w:val="single"/>
        </w:rPr>
      </w:pPr>
    </w:p>
    <w:p w:rsidRPr="008A3AF1" w:rsidR="00CF6415" w:rsidP="008A3AF1" w:rsidRDefault="00CF6415" w14:paraId="2B1D64BD" w14:textId="77777777">
      <w:pPr>
        <w:spacing w:after="0" w:line="240" w:lineRule="auto"/>
        <w:rPr>
          <w:rFonts w:ascii="Times New Roman" w:hAnsi="Times New Roman" w:cs="Times New Roman"/>
          <w:sz w:val="26"/>
          <w:szCs w:val="26"/>
        </w:rPr>
      </w:pPr>
    </w:p>
    <w:p w:rsidRPr="008A3AF1" w:rsidR="00A35FA0" w:rsidP="008A3AF1" w:rsidRDefault="00A35FA0" w14:paraId="21AE6BF9" w14:textId="77777777">
      <w:pPr>
        <w:spacing w:after="0" w:line="240" w:lineRule="auto"/>
        <w:rPr>
          <w:rFonts w:ascii="Times New Roman" w:hAnsi="Times New Roman" w:cs="Times New Roman"/>
          <w:sz w:val="26"/>
          <w:szCs w:val="26"/>
        </w:rPr>
      </w:pPr>
    </w:p>
    <w:p w:rsidRPr="008A3AF1" w:rsidR="00A35FA0" w:rsidP="008A3AF1" w:rsidRDefault="00A35FA0" w14:paraId="3B70E39C" w14:textId="77777777">
      <w:pPr>
        <w:spacing w:after="0" w:line="240" w:lineRule="auto"/>
        <w:rPr>
          <w:rFonts w:ascii="Times New Roman" w:hAnsi="Times New Roman" w:cs="Times New Roman"/>
          <w:sz w:val="26"/>
          <w:szCs w:val="26"/>
        </w:rPr>
      </w:pPr>
    </w:p>
    <w:p w:rsidRPr="008A3AF1" w:rsidR="00E70FBF" w:rsidP="008A3AF1" w:rsidRDefault="00E70FBF" w14:paraId="74D89B54" w14:textId="77777777">
      <w:pPr>
        <w:spacing w:line="240" w:lineRule="auto"/>
        <w:jc w:val="center"/>
        <w:rPr>
          <w:rFonts w:ascii="Times New Roman" w:hAnsi="Times New Roman" w:cs="Times New Roman"/>
          <w:sz w:val="26"/>
          <w:szCs w:val="26"/>
        </w:rPr>
      </w:pPr>
    </w:p>
    <w:sectPr w:rsidRPr="008A3AF1" w:rsidR="00E70FB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1E4C5" w14:textId="77777777" w:rsidR="009D2E6F" w:rsidRDefault="009D2E6F" w:rsidP="007619F1">
      <w:pPr>
        <w:spacing w:after="0" w:line="240" w:lineRule="auto"/>
      </w:pPr>
      <w:r>
        <w:separator/>
      </w:r>
    </w:p>
  </w:endnote>
  <w:endnote w:type="continuationSeparator" w:id="0">
    <w:p w14:paraId="674EE830" w14:textId="77777777" w:rsidR="009D2E6F" w:rsidRDefault="009D2E6F" w:rsidP="00761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8DC6" w14:textId="77777777" w:rsidR="001A002D" w:rsidRDefault="001A0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E931" w14:textId="77777777" w:rsidR="001A002D" w:rsidRDefault="001A00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BFE2" w14:textId="77777777" w:rsidR="001A002D" w:rsidRDefault="001A0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AF70" w14:textId="77777777" w:rsidR="009D2E6F" w:rsidRDefault="009D2E6F" w:rsidP="007619F1">
      <w:pPr>
        <w:spacing w:after="0" w:line="240" w:lineRule="auto"/>
      </w:pPr>
      <w:r>
        <w:separator/>
      </w:r>
    </w:p>
  </w:footnote>
  <w:footnote w:type="continuationSeparator" w:id="0">
    <w:p w14:paraId="54BB56EA" w14:textId="77777777" w:rsidR="009D2E6F" w:rsidRDefault="009D2E6F" w:rsidP="007619F1">
      <w:pPr>
        <w:spacing w:after="0" w:line="240" w:lineRule="auto"/>
      </w:pPr>
      <w:r>
        <w:continuationSeparator/>
      </w:r>
    </w:p>
  </w:footnote>
  <w:footnote w:id="1">
    <w:p w14:paraId="20A3CF63" w14:textId="77777777" w:rsidR="00795D69" w:rsidRPr="005B7D5F" w:rsidRDefault="00795D69">
      <w:pPr>
        <w:pStyle w:val="FootnoteText"/>
        <w:rPr>
          <w:sz w:val="24"/>
          <w:szCs w:val="26"/>
        </w:rPr>
      </w:pPr>
      <w:r w:rsidRPr="005B7D5F">
        <w:rPr>
          <w:rStyle w:val="FootnoteReference"/>
          <w:sz w:val="24"/>
          <w:vertAlign w:val="superscript"/>
        </w:rPr>
        <w:footnoteRef/>
      </w:r>
      <w:r>
        <w:t xml:space="preserve"> </w:t>
      </w:r>
      <w:r w:rsidRPr="005B7D5F">
        <w:rPr>
          <w:sz w:val="24"/>
          <w:szCs w:val="26"/>
        </w:rPr>
        <w:t>16 U.S.C. 824d(a)</w:t>
      </w:r>
    </w:p>
  </w:footnote>
  <w:footnote w:id="2">
    <w:p w14:paraId="4757CAC0" w14:textId="7DC3E83D" w:rsidR="00795D69" w:rsidRPr="005B7D5F" w:rsidRDefault="00795D69" w:rsidP="00EA4013">
      <w:pPr>
        <w:pStyle w:val="FootnoteText"/>
        <w:spacing w:after="120"/>
        <w:rPr>
          <w:sz w:val="24"/>
          <w:szCs w:val="26"/>
        </w:rPr>
      </w:pPr>
      <w:r w:rsidRPr="005B7D5F">
        <w:rPr>
          <w:rStyle w:val="FootnoteReference"/>
          <w:sz w:val="24"/>
          <w:szCs w:val="26"/>
          <w:vertAlign w:val="superscript"/>
        </w:rPr>
        <w:footnoteRef/>
      </w:r>
      <w:r w:rsidRPr="005B7D5F">
        <w:rPr>
          <w:sz w:val="24"/>
          <w:szCs w:val="26"/>
        </w:rPr>
        <w:t xml:space="preserve"> 16 U.S.C. 824</w:t>
      </w:r>
      <w:r w:rsidR="006119D2" w:rsidRPr="005B7D5F">
        <w:rPr>
          <w:i/>
          <w:iCs/>
          <w:sz w:val="24"/>
          <w:szCs w:val="26"/>
        </w:rPr>
        <w:t>o</w:t>
      </w:r>
      <w:r w:rsidRPr="005B7D5F">
        <w:rPr>
          <w:sz w:val="24"/>
          <w:szCs w:val="26"/>
        </w:rPr>
        <w:t xml:space="preserve">.  The approved Reliability Standards are available on the Commission’s eLibrary document retrieval system in Docket No. RM17-12-000 and on the NERC website, </w:t>
      </w:r>
      <w:hyperlink r:id="rId1" w:history="1">
        <w:r w:rsidRPr="005B7D5F">
          <w:rPr>
            <w:rStyle w:val="Hyperlink"/>
            <w:sz w:val="24"/>
            <w:szCs w:val="26"/>
          </w:rPr>
          <w:t>www.nerc.com</w:t>
        </w:r>
      </w:hyperlink>
      <w:r w:rsidRPr="005B7D5F">
        <w:rPr>
          <w:sz w:val="24"/>
          <w:szCs w:val="26"/>
        </w:rPr>
        <w:t xml:space="preserve">.  </w:t>
      </w:r>
    </w:p>
  </w:footnote>
  <w:footnote w:id="3">
    <w:p w14:paraId="0E0A1406" w14:textId="5FB175CD" w:rsidR="00795D69" w:rsidRPr="001225B1" w:rsidRDefault="00795D69" w:rsidP="007258AC">
      <w:pPr>
        <w:pStyle w:val="FootnoteText"/>
        <w:spacing w:after="120"/>
        <w:rPr>
          <w:sz w:val="26"/>
          <w:szCs w:val="26"/>
        </w:rPr>
      </w:pPr>
      <w:r w:rsidRPr="005B7D5F">
        <w:rPr>
          <w:rStyle w:val="FootnoteReference"/>
          <w:sz w:val="24"/>
          <w:szCs w:val="26"/>
          <w:vertAlign w:val="superscript"/>
        </w:rPr>
        <w:footnoteRef/>
      </w:r>
      <w:r w:rsidRPr="005B7D5F">
        <w:rPr>
          <w:sz w:val="24"/>
          <w:szCs w:val="26"/>
        </w:rPr>
        <w:t xml:space="preserve"> 16 U.S.C. 824</w:t>
      </w:r>
      <w:r w:rsidR="006119D2" w:rsidRPr="005B7D5F">
        <w:rPr>
          <w:i/>
          <w:iCs/>
          <w:sz w:val="24"/>
          <w:szCs w:val="26"/>
        </w:rPr>
        <w:t>o</w:t>
      </w:r>
      <w:r w:rsidRPr="005B7D5F">
        <w:rPr>
          <w:sz w:val="24"/>
          <w:szCs w:val="26"/>
        </w:rPr>
        <w:t>.</w:t>
      </w:r>
      <w:r>
        <w:rPr>
          <w:sz w:val="26"/>
          <w:szCs w:val="26"/>
        </w:rPr>
        <w:t xml:space="preserve">  </w:t>
      </w:r>
    </w:p>
  </w:footnote>
  <w:footnote w:id="4">
    <w:p w14:paraId="623937F1" w14:textId="024B4C97" w:rsidR="005D5415" w:rsidRPr="005B7D5F" w:rsidRDefault="005D5415">
      <w:pPr>
        <w:pStyle w:val="FootnoteText"/>
        <w:rPr>
          <w:sz w:val="24"/>
        </w:rPr>
      </w:pPr>
      <w:r w:rsidRPr="005B7D5F">
        <w:rPr>
          <w:rStyle w:val="FootnoteReference"/>
          <w:sz w:val="24"/>
          <w:vertAlign w:val="superscript"/>
        </w:rPr>
        <w:footnoteRef/>
      </w:r>
      <w:r>
        <w:t xml:space="preserve"> </w:t>
      </w:r>
      <w:r w:rsidRPr="005B7D5F">
        <w:rPr>
          <w:sz w:val="24"/>
        </w:rPr>
        <w:t>Burden is defined as the total time, effort, or financial resources expended by persons to generate, maintain, retain, or disclose or provide information to or for a Federal agency. For further explanation of what is included in the information collection burden, refer to 5 Code of Federal Regulations 1320.3.</w:t>
      </w:r>
    </w:p>
  </w:footnote>
  <w:footnote w:id="5">
    <w:p w14:paraId="57CAE860" w14:textId="26678619" w:rsidR="005D5415" w:rsidRPr="005B7D5F" w:rsidRDefault="005D5415">
      <w:pPr>
        <w:pStyle w:val="FootnoteText"/>
        <w:rPr>
          <w:sz w:val="24"/>
        </w:rPr>
      </w:pPr>
      <w:r w:rsidRPr="005B7D5F">
        <w:rPr>
          <w:rStyle w:val="FootnoteReference"/>
          <w:sz w:val="24"/>
          <w:vertAlign w:val="superscript"/>
        </w:rPr>
        <w:footnoteRef/>
      </w:r>
      <w:r w:rsidRPr="005B7D5F">
        <w:rPr>
          <w:sz w:val="24"/>
        </w:rPr>
        <w:t xml:space="preserve"> Commission staff estimates that the industry’s skill set and cost (for wages and benefits) for FERC-725S are approximately the same as the Commission’s average cost.  The FERC 2020 average salary plus benefits for one FERC full-time equivalent (FTE) is $172,329/year (or $83.00/hour).</w:t>
      </w:r>
    </w:p>
  </w:footnote>
  <w:footnote w:id="6">
    <w:p w14:paraId="091FCA14" w14:textId="77777777" w:rsidR="001A002D" w:rsidRDefault="001A002D" w:rsidP="001A002D">
      <w:pPr>
        <w:pStyle w:val="FootnoteText"/>
        <w:rPr>
          <w:sz w:val="22"/>
        </w:rPr>
      </w:pPr>
      <w:r w:rsidRPr="005B7D5F">
        <w:rPr>
          <w:rStyle w:val="FootnoteReference"/>
          <w:sz w:val="24"/>
          <w:vertAlign w:val="superscript"/>
        </w:rPr>
        <w:footnoteRef/>
      </w:r>
      <w:r>
        <w:t xml:space="preserve"> </w:t>
      </w:r>
      <w:r>
        <w:rPr>
          <w:sz w:val="24"/>
        </w:rPr>
        <w:t>The number of respondents is based on NERC compliance registration information as of October 2, 2020.</w:t>
      </w:r>
    </w:p>
  </w:footnote>
  <w:footnote w:id="7">
    <w:p w14:paraId="21F11740" w14:textId="6D5A5C43" w:rsidR="00795D69" w:rsidRPr="008A3AF1" w:rsidRDefault="00795D69">
      <w:pPr>
        <w:pStyle w:val="FootnoteText"/>
        <w:rPr>
          <w:sz w:val="26"/>
          <w:szCs w:val="26"/>
        </w:rPr>
      </w:pPr>
      <w:r w:rsidRPr="005B7D5F">
        <w:rPr>
          <w:rStyle w:val="FootnoteReference"/>
          <w:sz w:val="24"/>
          <w:vertAlign w:val="superscript"/>
        </w:rPr>
        <w:footnoteRef/>
      </w:r>
      <w:r>
        <w:t xml:space="preserve"> </w:t>
      </w:r>
      <w:r w:rsidRPr="005B7D5F">
        <w:rPr>
          <w:sz w:val="24"/>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w:t>
      </w:r>
      <w:r w:rsidR="00C1326C" w:rsidRPr="005B7D5F">
        <w:rPr>
          <w:sz w:val="24"/>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C1E3" w14:textId="77777777" w:rsidR="001A002D" w:rsidRDefault="001A0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9CC0" w14:textId="7AE1873A" w:rsidR="00795D69" w:rsidRPr="001A002D" w:rsidRDefault="00795D69">
    <w:pPr>
      <w:pStyle w:val="Header"/>
      <w:rPr>
        <w:rFonts w:ascii="Times New Roman" w:hAnsi="Times New Roman" w:cs="Times New Roman"/>
        <w:sz w:val="24"/>
        <w:szCs w:val="24"/>
      </w:rPr>
    </w:pPr>
    <w:r w:rsidRPr="001A002D">
      <w:rPr>
        <w:rFonts w:ascii="Times New Roman" w:hAnsi="Times New Roman" w:cs="Times New Roman"/>
        <w:sz w:val="24"/>
        <w:szCs w:val="24"/>
      </w:rPr>
      <w:t>FERC-725S (</w:t>
    </w:r>
    <w:r w:rsidR="001A002D" w:rsidRPr="001A002D">
      <w:rPr>
        <w:rFonts w:ascii="Times New Roman" w:hAnsi="Times New Roman" w:cs="Times New Roman"/>
        <w:sz w:val="24"/>
        <w:szCs w:val="24"/>
      </w:rPr>
      <w:t xml:space="preserve">OMB# </w:t>
    </w:r>
    <w:r w:rsidRPr="001A002D">
      <w:rPr>
        <w:rFonts w:ascii="Times New Roman" w:hAnsi="Times New Roman" w:cs="Times New Roman"/>
        <w:sz w:val="24"/>
        <w:szCs w:val="24"/>
      </w:rPr>
      <w:t>1902-0270)</w:t>
    </w:r>
  </w:p>
  <w:p w14:paraId="48DE2E5A" w14:textId="77777777" w:rsidR="00795D69" w:rsidRDefault="00795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D6CE1" w14:textId="77777777" w:rsidR="001A002D" w:rsidRDefault="001A0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146"/>
    <w:multiLevelType w:val="hybridMultilevel"/>
    <w:tmpl w:val="3468F582"/>
    <w:lvl w:ilvl="0" w:tplc="2C2CF324">
      <w:start w:val="1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43DF71EB"/>
    <w:multiLevelType w:val="hybridMultilevel"/>
    <w:tmpl w:val="D696DBA6"/>
    <w:lvl w:ilvl="0" w:tplc="E44A7A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101106"/>
    <w:multiLevelType w:val="hybridMultilevel"/>
    <w:tmpl w:val="9A5E9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05D66"/>
    <w:multiLevelType w:val="hybridMultilevel"/>
    <w:tmpl w:val="D1AA28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EBB5E7C"/>
    <w:multiLevelType w:val="hybridMultilevel"/>
    <w:tmpl w:val="42B6CDF0"/>
    <w:lvl w:ilvl="0" w:tplc="8200A73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E4DD3"/>
    <w:multiLevelType w:val="hybridMultilevel"/>
    <w:tmpl w:val="D20A6F1E"/>
    <w:lvl w:ilvl="0" w:tplc="A8402294">
      <w:start w:val="1"/>
      <w:numFmt w:val="decimal"/>
      <w:lvlText w:val="%1."/>
      <w:lvlJc w:val="left"/>
      <w:pPr>
        <w:tabs>
          <w:tab w:val="num" w:pos="720"/>
        </w:tabs>
      </w:pPr>
      <w:rPr>
        <w:rFonts w:cs="Times New Roman" w:hint="default"/>
        <w:b w:val="0"/>
      </w:rPr>
    </w:lvl>
    <w:lvl w:ilvl="1" w:tplc="FFFFFFFF">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720"/>
        </w:tabs>
        <w:ind w:left="-720" w:hanging="360"/>
      </w:pPr>
      <w:rPr>
        <w:rFonts w:cs="Times New Roman"/>
      </w:rPr>
    </w:lvl>
    <w:lvl w:ilvl="4" w:tplc="FFFFFFFF" w:tentative="1">
      <w:start w:val="1"/>
      <w:numFmt w:val="lowerLetter"/>
      <w:lvlText w:val="%5."/>
      <w:lvlJc w:val="left"/>
      <w:pPr>
        <w:tabs>
          <w:tab w:val="num" w:pos="0"/>
        </w:tabs>
        <w:ind w:hanging="360"/>
      </w:pPr>
      <w:rPr>
        <w:rFonts w:cs="Times New Roman"/>
      </w:rPr>
    </w:lvl>
    <w:lvl w:ilvl="5" w:tplc="FFFFFFFF" w:tentative="1">
      <w:start w:val="1"/>
      <w:numFmt w:val="lowerRoman"/>
      <w:lvlText w:val="%6."/>
      <w:lvlJc w:val="right"/>
      <w:pPr>
        <w:tabs>
          <w:tab w:val="num" w:pos="720"/>
        </w:tabs>
        <w:ind w:left="720" w:hanging="180"/>
      </w:pPr>
      <w:rPr>
        <w:rFonts w:cs="Times New Roman"/>
      </w:rPr>
    </w:lvl>
    <w:lvl w:ilvl="6" w:tplc="FFFFFFFF" w:tentative="1">
      <w:start w:val="1"/>
      <w:numFmt w:val="decimal"/>
      <w:lvlText w:val="%7."/>
      <w:lvlJc w:val="left"/>
      <w:pPr>
        <w:tabs>
          <w:tab w:val="num" w:pos="1440"/>
        </w:tabs>
        <w:ind w:left="1440" w:hanging="360"/>
      </w:pPr>
      <w:rPr>
        <w:rFonts w:cs="Times New Roman"/>
      </w:rPr>
    </w:lvl>
    <w:lvl w:ilvl="7" w:tplc="FFFFFFFF" w:tentative="1">
      <w:start w:val="1"/>
      <w:numFmt w:val="lowerLetter"/>
      <w:lvlText w:val="%8."/>
      <w:lvlJc w:val="left"/>
      <w:pPr>
        <w:tabs>
          <w:tab w:val="num" w:pos="2160"/>
        </w:tabs>
        <w:ind w:left="2160" w:hanging="360"/>
      </w:pPr>
      <w:rPr>
        <w:rFonts w:cs="Times New Roman"/>
      </w:rPr>
    </w:lvl>
    <w:lvl w:ilvl="8" w:tplc="FFFFFFFF" w:tentative="1">
      <w:start w:val="1"/>
      <w:numFmt w:val="lowerRoman"/>
      <w:lvlText w:val="%9."/>
      <w:lvlJc w:val="right"/>
      <w:pPr>
        <w:tabs>
          <w:tab w:val="num" w:pos="2880"/>
        </w:tabs>
        <w:ind w:left="2880" w:hanging="180"/>
      </w:pPr>
      <w:rPr>
        <w:rFonts w:cs="Times New Roman"/>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6"/>
  </w:num>
  <w:num w:numId="7">
    <w:abstractNumId w:val="7"/>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F1"/>
    <w:rsid w:val="00047151"/>
    <w:rsid w:val="000478AE"/>
    <w:rsid w:val="00062356"/>
    <w:rsid w:val="00095A3A"/>
    <w:rsid w:val="000A4199"/>
    <w:rsid w:val="000B5CEC"/>
    <w:rsid w:val="000C23DC"/>
    <w:rsid w:val="000C244E"/>
    <w:rsid w:val="000C6E9A"/>
    <w:rsid w:val="000F2C05"/>
    <w:rsid w:val="00101911"/>
    <w:rsid w:val="001116E0"/>
    <w:rsid w:val="00177EB9"/>
    <w:rsid w:val="001A002D"/>
    <w:rsid w:val="001A1A81"/>
    <w:rsid w:val="001B2B65"/>
    <w:rsid w:val="001D1D8B"/>
    <w:rsid w:val="001D3DB7"/>
    <w:rsid w:val="00206FEA"/>
    <w:rsid w:val="0023717A"/>
    <w:rsid w:val="00243D6B"/>
    <w:rsid w:val="0024520F"/>
    <w:rsid w:val="00260BCF"/>
    <w:rsid w:val="00276B70"/>
    <w:rsid w:val="002A13A6"/>
    <w:rsid w:val="002A6552"/>
    <w:rsid w:val="002A7843"/>
    <w:rsid w:val="002D0C28"/>
    <w:rsid w:val="002E340D"/>
    <w:rsid w:val="0030610E"/>
    <w:rsid w:val="00320B38"/>
    <w:rsid w:val="00362388"/>
    <w:rsid w:val="003F5E78"/>
    <w:rsid w:val="00433250"/>
    <w:rsid w:val="00452205"/>
    <w:rsid w:val="00496654"/>
    <w:rsid w:val="004A6886"/>
    <w:rsid w:val="004B15CD"/>
    <w:rsid w:val="004D6B3B"/>
    <w:rsid w:val="004F5FA9"/>
    <w:rsid w:val="00586A9F"/>
    <w:rsid w:val="0059112B"/>
    <w:rsid w:val="00593013"/>
    <w:rsid w:val="005A365A"/>
    <w:rsid w:val="005A4BCD"/>
    <w:rsid w:val="005B7D5F"/>
    <w:rsid w:val="005D5415"/>
    <w:rsid w:val="005F7519"/>
    <w:rsid w:val="006005EB"/>
    <w:rsid w:val="00605DCF"/>
    <w:rsid w:val="006119D2"/>
    <w:rsid w:val="00622D5E"/>
    <w:rsid w:val="00645526"/>
    <w:rsid w:val="00655B83"/>
    <w:rsid w:val="00682F17"/>
    <w:rsid w:val="006A0468"/>
    <w:rsid w:val="006D021A"/>
    <w:rsid w:val="006F540B"/>
    <w:rsid w:val="00700863"/>
    <w:rsid w:val="007258AC"/>
    <w:rsid w:val="007619F1"/>
    <w:rsid w:val="0076461D"/>
    <w:rsid w:val="00764762"/>
    <w:rsid w:val="007773B7"/>
    <w:rsid w:val="00795D69"/>
    <w:rsid w:val="007B5433"/>
    <w:rsid w:val="00815735"/>
    <w:rsid w:val="00873732"/>
    <w:rsid w:val="00876562"/>
    <w:rsid w:val="008976AB"/>
    <w:rsid w:val="008A3AF1"/>
    <w:rsid w:val="008A4A53"/>
    <w:rsid w:val="008A592D"/>
    <w:rsid w:val="008B4E07"/>
    <w:rsid w:val="008D6D74"/>
    <w:rsid w:val="0091341A"/>
    <w:rsid w:val="00940E51"/>
    <w:rsid w:val="00944249"/>
    <w:rsid w:val="009B045C"/>
    <w:rsid w:val="009D2E6F"/>
    <w:rsid w:val="009E32B9"/>
    <w:rsid w:val="009E696E"/>
    <w:rsid w:val="00A00C1F"/>
    <w:rsid w:val="00A03668"/>
    <w:rsid w:val="00A222FA"/>
    <w:rsid w:val="00A22F50"/>
    <w:rsid w:val="00A242B0"/>
    <w:rsid w:val="00A334DD"/>
    <w:rsid w:val="00A35FA0"/>
    <w:rsid w:val="00A84E10"/>
    <w:rsid w:val="00A90856"/>
    <w:rsid w:val="00AA0907"/>
    <w:rsid w:val="00AB6F72"/>
    <w:rsid w:val="00AC602F"/>
    <w:rsid w:val="00AD5273"/>
    <w:rsid w:val="00AE2162"/>
    <w:rsid w:val="00AF0ECF"/>
    <w:rsid w:val="00B12367"/>
    <w:rsid w:val="00B33479"/>
    <w:rsid w:val="00B43573"/>
    <w:rsid w:val="00B6082C"/>
    <w:rsid w:val="00B76E9A"/>
    <w:rsid w:val="00B907DB"/>
    <w:rsid w:val="00BC0DAC"/>
    <w:rsid w:val="00BC7EB2"/>
    <w:rsid w:val="00BF79AA"/>
    <w:rsid w:val="00C1326C"/>
    <w:rsid w:val="00C171A6"/>
    <w:rsid w:val="00C40A26"/>
    <w:rsid w:val="00C87E75"/>
    <w:rsid w:val="00CB544D"/>
    <w:rsid w:val="00CC65AF"/>
    <w:rsid w:val="00CD7772"/>
    <w:rsid w:val="00CF6415"/>
    <w:rsid w:val="00D319F4"/>
    <w:rsid w:val="00D3612C"/>
    <w:rsid w:val="00D82CBB"/>
    <w:rsid w:val="00D87F10"/>
    <w:rsid w:val="00D90706"/>
    <w:rsid w:val="00DD118D"/>
    <w:rsid w:val="00DD4211"/>
    <w:rsid w:val="00E56364"/>
    <w:rsid w:val="00E70FBF"/>
    <w:rsid w:val="00E76DBE"/>
    <w:rsid w:val="00E87048"/>
    <w:rsid w:val="00E92BEB"/>
    <w:rsid w:val="00E966B0"/>
    <w:rsid w:val="00EA4013"/>
    <w:rsid w:val="00EB0C4E"/>
    <w:rsid w:val="00EB4666"/>
    <w:rsid w:val="00ED773A"/>
    <w:rsid w:val="00EE3337"/>
    <w:rsid w:val="00F12665"/>
    <w:rsid w:val="00F17D16"/>
    <w:rsid w:val="00F37BC5"/>
    <w:rsid w:val="00F72FB1"/>
    <w:rsid w:val="00F828E0"/>
    <w:rsid w:val="00F84929"/>
    <w:rsid w:val="00F84AAD"/>
    <w:rsid w:val="00FB75E7"/>
    <w:rsid w:val="00FD60C9"/>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26D07F"/>
  <w15:docId w15:val="{F6827ECE-B480-44ED-9C33-7D26716C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19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19F1"/>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locked/>
    <w:rsid w:val="007619F1"/>
    <w:rPr>
      <w:rFonts w:ascii="Times New Roman" w:eastAsia="Times New Roman" w:hAnsi="Times New Roman" w:cs="Times New Roman"/>
      <w:sz w:val="20"/>
      <w:szCs w:val="20"/>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unhideWhenUsed/>
    <w:qFormat/>
    <w:rsid w:val="007619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7619F1"/>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rsid w:val="007619F1"/>
  </w:style>
  <w:style w:type="paragraph" w:styleId="Header">
    <w:name w:val="header"/>
    <w:basedOn w:val="Normal"/>
    <w:link w:val="HeaderChar"/>
    <w:uiPriority w:val="99"/>
    <w:unhideWhenUsed/>
    <w:rsid w:val="0076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F1"/>
  </w:style>
  <w:style w:type="paragraph" w:styleId="Footer">
    <w:name w:val="footer"/>
    <w:basedOn w:val="Normal"/>
    <w:link w:val="FooterChar"/>
    <w:uiPriority w:val="99"/>
    <w:unhideWhenUsed/>
    <w:rsid w:val="0076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F1"/>
  </w:style>
  <w:style w:type="paragraph" w:styleId="ListParagraph">
    <w:name w:val="List Paragraph"/>
    <w:basedOn w:val="Normal"/>
    <w:uiPriority w:val="34"/>
    <w:qFormat/>
    <w:rsid w:val="00B43573"/>
    <w:pPr>
      <w:ind w:left="720"/>
      <w:contextualSpacing/>
    </w:pPr>
  </w:style>
  <w:style w:type="character" w:styleId="CommentReference">
    <w:name w:val="annotation reference"/>
    <w:basedOn w:val="DefaultParagraphFont"/>
    <w:uiPriority w:val="99"/>
    <w:semiHidden/>
    <w:unhideWhenUsed/>
    <w:rsid w:val="00CB544D"/>
    <w:rPr>
      <w:sz w:val="16"/>
      <w:szCs w:val="16"/>
    </w:rPr>
  </w:style>
  <w:style w:type="paragraph" w:styleId="CommentText">
    <w:name w:val="annotation text"/>
    <w:basedOn w:val="Normal"/>
    <w:link w:val="CommentTextChar"/>
    <w:uiPriority w:val="99"/>
    <w:semiHidden/>
    <w:unhideWhenUsed/>
    <w:rsid w:val="00CB544D"/>
    <w:pPr>
      <w:spacing w:line="240" w:lineRule="auto"/>
    </w:pPr>
    <w:rPr>
      <w:sz w:val="20"/>
      <w:szCs w:val="20"/>
    </w:rPr>
  </w:style>
  <w:style w:type="character" w:customStyle="1" w:styleId="CommentTextChar">
    <w:name w:val="Comment Text Char"/>
    <w:basedOn w:val="DefaultParagraphFont"/>
    <w:link w:val="CommentText"/>
    <w:uiPriority w:val="99"/>
    <w:semiHidden/>
    <w:rsid w:val="00CB544D"/>
    <w:rPr>
      <w:sz w:val="20"/>
      <w:szCs w:val="20"/>
    </w:rPr>
  </w:style>
  <w:style w:type="paragraph" w:styleId="CommentSubject">
    <w:name w:val="annotation subject"/>
    <w:basedOn w:val="CommentText"/>
    <w:next w:val="CommentText"/>
    <w:link w:val="CommentSubjectChar"/>
    <w:uiPriority w:val="99"/>
    <w:semiHidden/>
    <w:unhideWhenUsed/>
    <w:rsid w:val="00CB544D"/>
    <w:rPr>
      <w:b/>
      <w:bCs/>
    </w:rPr>
  </w:style>
  <w:style w:type="character" w:customStyle="1" w:styleId="CommentSubjectChar">
    <w:name w:val="Comment Subject Char"/>
    <w:basedOn w:val="CommentTextChar"/>
    <w:link w:val="CommentSubject"/>
    <w:uiPriority w:val="99"/>
    <w:semiHidden/>
    <w:rsid w:val="00CB544D"/>
    <w:rPr>
      <w:b/>
      <w:bCs/>
      <w:sz w:val="20"/>
      <w:szCs w:val="20"/>
    </w:rPr>
  </w:style>
  <w:style w:type="paragraph" w:styleId="BalloonText">
    <w:name w:val="Balloon Text"/>
    <w:basedOn w:val="Normal"/>
    <w:link w:val="BalloonTextChar"/>
    <w:uiPriority w:val="99"/>
    <w:semiHidden/>
    <w:unhideWhenUsed/>
    <w:rsid w:val="00CB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44D"/>
    <w:rPr>
      <w:rFonts w:ascii="Segoe UI" w:hAnsi="Segoe UI" w:cs="Segoe UI"/>
      <w:sz w:val="18"/>
      <w:szCs w:val="18"/>
    </w:rPr>
  </w:style>
  <w:style w:type="character" w:styleId="UnresolvedMention">
    <w:name w:val="Unresolved Mention"/>
    <w:basedOn w:val="DefaultParagraphFont"/>
    <w:uiPriority w:val="99"/>
    <w:semiHidden/>
    <w:unhideWhenUsed/>
    <w:rsid w:val="00DD118D"/>
    <w:rPr>
      <w:color w:val="605E5C"/>
      <w:shd w:val="clear" w:color="auto" w:fill="E1DFDD"/>
    </w:rPr>
  </w:style>
  <w:style w:type="character" w:styleId="FollowedHyperlink">
    <w:name w:val="FollowedHyperlink"/>
    <w:basedOn w:val="DefaultParagraphFont"/>
    <w:uiPriority w:val="99"/>
    <w:semiHidden/>
    <w:unhideWhenUsed/>
    <w:rsid w:val="00DD11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096005">
      <w:bodyDiv w:val="1"/>
      <w:marLeft w:val="0"/>
      <w:marRight w:val="0"/>
      <w:marTop w:val="0"/>
      <w:marBottom w:val="0"/>
      <w:divBdr>
        <w:top w:val="none" w:sz="0" w:space="0" w:color="auto"/>
        <w:left w:val="none" w:sz="0" w:space="0" w:color="auto"/>
        <w:bottom w:val="none" w:sz="0" w:space="0" w:color="auto"/>
        <w:right w:val="none" w:sz="0" w:space="0" w:color="auto"/>
      </w:divBdr>
    </w:div>
    <w:div w:id="1025247818">
      <w:bodyDiv w:val="1"/>
      <w:marLeft w:val="0"/>
      <w:marRight w:val="0"/>
      <w:marTop w:val="0"/>
      <w:marBottom w:val="0"/>
      <w:divBdr>
        <w:top w:val="none" w:sz="0" w:space="0" w:color="auto"/>
        <w:left w:val="none" w:sz="0" w:space="0" w:color="auto"/>
        <w:bottom w:val="none" w:sz="0" w:space="0" w:color="auto"/>
        <w:right w:val="none" w:sz="0" w:space="0" w:color="auto"/>
      </w:divBdr>
    </w:div>
    <w:div w:id="1552351484">
      <w:bodyDiv w:val="1"/>
      <w:marLeft w:val="0"/>
      <w:marRight w:val="0"/>
      <w:marTop w:val="0"/>
      <w:marBottom w:val="0"/>
      <w:divBdr>
        <w:top w:val="none" w:sz="0" w:space="0" w:color="auto"/>
        <w:left w:val="none" w:sz="0" w:space="0" w:color="auto"/>
        <w:bottom w:val="none" w:sz="0" w:space="0" w:color="auto"/>
        <w:right w:val="none" w:sz="0" w:space="0" w:color="auto"/>
      </w:divBdr>
    </w:div>
    <w:div w:id="1868058257">
      <w:bodyDiv w:val="1"/>
      <w:marLeft w:val="0"/>
      <w:marRight w:val="0"/>
      <w:marTop w:val="0"/>
      <w:marBottom w:val="0"/>
      <w:divBdr>
        <w:top w:val="none" w:sz="0" w:space="0" w:color="auto"/>
        <w:left w:val="none" w:sz="0" w:space="0" w:color="auto"/>
        <w:bottom w:val="none" w:sz="0" w:space="0" w:color="auto"/>
        <w:right w:val="none" w:sz="0" w:space="0" w:color="auto"/>
      </w:divBdr>
    </w:div>
    <w:div w:id="19577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2018-01-25T00:00:00-05:00</Date>
    <Status xmlns="d6eefc7d-9817-4fa6-84d5-3bc009be21b8">Draft</Status>
    <_x0032__x002e__x0020_Docket_x0020_Number xmlns="d6eefc7d-9817-4fa6-84d5-3bc009be21b8" xsi:nil="true"/>
    <_x0032__x002e__x0020_Collection_x0020_Number xmlns="d6eefc7d-9817-4fa6-84d5-3bc009be21b8">725S</_x0032__x002e__x0020_Collection_x0020_Number>
    <_x0031__x002e__x0020_Docket_x0020_Number xmlns="d6eefc7d-9817-4fa6-84d5-3bc009be21b8">RM17-12</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D4001-BBD2-4083-A283-BF0065B9D82F}">
  <ds:schemaRefs>
    <ds:schemaRef ds:uri="http://schemas.microsoft.com/sharepoint/v3/contenttype/forms"/>
  </ds:schemaRefs>
</ds:datastoreItem>
</file>

<file path=customXml/itemProps2.xml><?xml version="1.0" encoding="utf-8"?>
<ds:datastoreItem xmlns:ds="http://schemas.openxmlformats.org/officeDocument/2006/customXml" ds:itemID="{058A5DAB-57D5-4E04-B39F-3A2DA7C318ED}">
  <ds:schemaRefs>
    <ds:schemaRef ds:uri="Microsoft.SharePoint.Taxonomy.ContentTypeSync"/>
  </ds:schemaRefs>
</ds:datastoreItem>
</file>

<file path=customXml/itemProps3.xml><?xml version="1.0" encoding="utf-8"?>
<ds:datastoreItem xmlns:ds="http://schemas.openxmlformats.org/officeDocument/2006/customXml" ds:itemID="{7B1F3AD3-AFD9-4AD3-8D56-06471B76F136}">
  <ds:schemaRefs>
    <ds:schemaRef ds:uri="http://schemas.microsoft.com/office/2006/metadata/customXsn"/>
  </ds:schemaRefs>
</ds:datastoreItem>
</file>

<file path=customXml/itemProps4.xml><?xml version="1.0" encoding="utf-8"?>
<ds:datastoreItem xmlns:ds="http://schemas.openxmlformats.org/officeDocument/2006/customXml" ds:itemID="{578068C9-64D3-43F3-B909-0C87BD54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D3622-217C-4BB6-B485-336739DA81C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6eefc7d-9817-4fa6-84d5-3bc009be21b8"/>
    <ds:schemaRef ds:uri="http://www.w3.org/XML/1998/namespace"/>
    <ds:schemaRef ds:uri="http://purl.org/dc/dcmitype/"/>
  </ds:schemaRefs>
</ds:datastoreItem>
</file>

<file path=customXml/itemProps6.xml><?xml version="1.0" encoding="utf-8"?>
<ds:datastoreItem xmlns:ds="http://schemas.openxmlformats.org/officeDocument/2006/customXml" ds:itemID="{3698FCB9-AE42-432C-B45A-1A2B9880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Kayla Williams</cp:lastModifiedBy>
  <cp:revision>4</cp:revision>
  <cp:lastPrinted>2018-01-24T19:32:00Z</cp:lastPrinted>
  <dcterms:created xsi:type="dcterms:W3CDTF">2021-01-28T15:52:00Z</dcterms:created>
  <dcterms:modified xsi:type="dcterms:W3CDTF">2021-01-28T15:57:00Z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2021-01-12T20:44:52.3570034Z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20b07127-3666-4b1c-95da-6383640b631d</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