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29FB" w:rsidR="00794663" w:rsidP="00794663" w:rsidRDefault="00794663" w14:paraId="071A8806" w14:textId="77777777">
      <w:pPr>
        <w:jc w:val="center"/>
        <w:rPr>
          <w:szCs w:val="26"/>
        </w:rPr>
      </w:pPr>
      <w:r w:rsidRPr="003B29FB">
        <w:rPr>
          <w:szCs w:val="26"/>
        </w:rPr>
        <w:t>UNITED STATES OF AMERICA</w:t>
      </w:r>
    </w:p>
    <w:p w:rsidRPr="003B29FB" w:rsidR="00794663" w:rsidP="00794663" w:rsidRDefault="00794663" w14:paraId="1FE1003C" w14:textId="77777777">
      <w:pPr>
        <w:jc w:val="center"/>
        <w:rPr>
          <w:szCs w:val="26"/>
        </w:rPr>
      </w:pPr>
      <w:r w:rsidRPr="003B29FB">
        <w:rPr>
          <w:szCs w:val="26"/>
        </w:rPr>
        <w:t>FEDERAL ENERGY REGULATORY COMMISSION</w:t>
      </w:r>
    </w:p>
    <w:p w:rsidRPr="003B29FB" w:rsidR="00794663" w:rsidP="00794663" w:rsidRDefault="00794663" w14:paraId="15D2BE2A" w14:textId="77777777">
      <w:pPr>
        <w:rPr>
          <w:szCs w:val="26"/>
        </w:rPr>
      </w:pPr>
    </w:p>
    <w:p w:rsidRPr="003B29FB" w:rsidR="00794663" w:rsidP="00794663" w:rsidRDefault="00794663" w14:paraId="50D605DB" w14:textId="01789A60">
      <w:pPr>
        <w:jc w:val="center"/>
        <w:rPr>
          <w:szCs w:val="26"/>
        </w:rPr>
      </w:pPr>
      <w:r w:rsidRPr="001475D4">
        <w:rPr>
          <w:szCs w:val="26"/>
        </w:rPr>
        <w:t>[Docket No. IC</w:t>
      </w:r>
      <w:r w:rsidRPr="001475D4" w:rsidR="00F7561E">
        <w:rPr>
          <w:szCs w:val="26"/>
        </w:rPr>
        <w:t>2</w:t>
      </w:r>
      <w:r w:rsidR="001F3FC3">
        <w:rPr>
          <w:szCs w:val="26"/>
        </w:rPr>
        <w:t>1</w:t>
      </w:r>
      <w:r w:rsidRPr="001475D4" w:rsidR="00F7561E">
        <w:rPr>
          <w:szCs w:val="26"/>
        </w:rPr>
        <w:t>-</w:t>
      </w:r>
      <w:r w:rsidR="006213BC">
        <w:rPr>
          <w:szCs w:val="26"/>
        </w:rPr>
        <w:t>6</w:t>
      </w:r>
      <w:r w:rsidRPr="001475D4">
        <w:rPr>
          <w:szCs w:val="26"/>
        </w:rPr>
        <w:t>-000]</w:t>
      </w:r>
    </w:p>
    <w:p w:rsidRPr="003B29FB" w:rsidR="00794663" w:rsidP="00794663" w:rsidRDefault="00794663" w14:paraId="3DAB9007" w14:textId="77777777">
      <w:pPr>
        <w:rPr>
          <w:szCs w:val="26"/>
        </w:rPr>
      </w:pPr>
    </w:p>
    <w:p w:rsidRPr="003B29FB" w:rsidR="00794663" w:rsidP="00794663" w:rsidRDefault="00794663" w14:paraId="067AE651" w14:textId="349FD001">
      <w:pPr>
        <w:jc w:val="center"/>
        <w:rPr>
          <w:szCs w:val="26"/>
        </w:rPr>
      </w:pPr>
      <w:r w:rsidRPr="003B29FB">
        <w:rPr>
          <w:szCs w:val="26"/>
        </w:rPr>
        <w:t>COMMISSION INFORMATION COLLECTION ACTIVITIES (FERC-</w:t>
      </w:r>
      <w:r w:rsidR="006034F8">
        <w:rPr>
          <w:szCs w:val="26"/>
        </w:rPr>
        <w:t>725S</w:t>
      </w:r>
      <w:r w:rsidRPr="003B29FB">
        <w:rPr>
          <w:szCs w:val="26"/>
        </w:rPr>
        <w:t>);</w:t>
      </w:r>
    </w:p>
    <w:p w:rsidRPr="003B29FB" w:rsidR="00794663" w:rsidP="00794663" w:rsidRDefault="00794663" w14:paraId="33E26ECB" w14:textId="430AEBA2">
      <w:pPr>
        <w:jc w:val="center"/>
        <w:rPr>
          <w:szCs w:val="26"/>
        </w:rPr>
      </w:pPr>
      <w:r w:rsidRPr="003B29FB">
        <w:rPr>
          <w:szCs w:val="26"/>
        </w:rPr>
        <w:t>COMMENT REQUEST; EXTENSION</w:t>
      </w:r>
    </w:p>
    <w:p w:rsidRPr="003B29FB" w:rsidR="00794663" w:rsidP="00794663" w:rsidRDefault="00794663" w14:paraId="10C13286" w14:textId="77777777">
      <w:pPr>
        <w:rPr>
          <w:szCs w:val="26"/>
        </w:rPr>
      </w:pPr>
    </w:p>
    <w:p w:rsidR="0015382C" w:rsidP="00054129" w:rsidRDefault="00054129" w14:paraId="76EC36F3" w14:textId="74C45B3C">
      <w:pPr>
        <w:jc w:val="center"/>
        <w:rPr>
          <w:szCs w:val="26"/>
        </w:rPr>
      </w:pPr>
      <w:r w:rsidRPr="00054129">
        <w:rPr>
          <w:szCs w:val="26"/>
        </w:rPr>
        <w:t>(January 21, 2021)</w:t>
      </w:r>
    </w:p>
    <w:p w:rsidRPr="00054129" w:rsidR="00054129" w:rsidP="00054129" w:rsidRDefault="00054129" w14:paraId="2BED134B" w14:textId="77777777">
      <w:pPr>
        <w:rPr>
          <w:szCs w:val="26"/>
        </w:rPr>
      </w:pPr>
    </w:p>
    <w:p w:rsidRPr="003B29FB" w:rsidR="00794663" w:rsidP="00794663" w:rsidRDefault="00794663" w14:paraId="3610ACFF" w14:textId="77777777">
      <w:pPr>
        <w:rPr>
          <w:szCs w:val="26"/>
        </w:rPr>
      </w:pPr>
      <w:r w:rsidRPr="003B29FB">
        <w:rPr>
          <w:b/>
          <w:szCs w:val="26"/>
        </w:rPr>
        <w:t>AGENCY:</w:t>
      </w:r>
      <w:r w:rsidRPr="003B29FB">
        <w:rPr>
          <w:szCs w:val="26"/>
        </w:rPr>
        <w:t xml:space="preserve">  Federal Energy Regulatory Commission.</w:t>
      </w:r>
    </w:p>
    <w:p w:rsidRPr="003B29FB" w:rsidR="00794663" w:rsidP="00794663" w:rsidRDefault="00794663" w14:paraId="38C98283" w14:textId="77777777">
      <w:pPr>
        <w:rPr>
          <w:szCs w:val="26"/>
        </w:rPr>
      </w:pPr>
    </w:p>
    <w:p w:rsidRPr="003B29FB" w:rsidR="00794663" w:rsidP="00794663" w:rsidRDefault="00794663" w14:paraId="25A0A732" w14:textId="14FE77FA">
      <w:pPr>
        <w:spacing w:line="480" w:lineRule="auto"/>
        <w:rPr>
          <w:szCs w:val="26"/>
        </w:rPr>
      </w:pPr>
      <w:r w:rsidRPr="003B29FB">
        <w:rPr>
          <w:b/>
          <w:szCs w:val="26"/>
        </w:rPr>
        <w:t>ACTION:</w:t>
      </w:r>
      <w:r w:rsidRPr="003B29FB">
        <w:rPr>
          <w:szCs w:val="26"/>
        </w:rPr>
        <w:t xml:space="preserve">  Notice of information collection and request for comments.</w:t>
      </w:r>
    </w:p>
    <w:p w:rsidRPr="006034F8" w:rsidR="008524E6" w:rsidP="008524E6" w:rsidRDefault="00794663" w14:paraId="4B04DFCD" w14:textId="150A8FFF">
      <w:pPr>
        <w:spacing w:line="480" w:lineRule="auto"/>
        <w:rPr>
          <w:szCs w:val="26"/>
        </w:rPr>
      </w:pPr>
      <w:r w:rsidRPr="003B29FB">
        <w:rPr>
          <w:b/>
          <w:szCs w:val="26"/>
        </w:rPr>
        <w:t>SUMMARY:</w:t>
      </w:r>
      <w:r w:rsidRPr="003B29FB">
        <w:rPr>
          <w:szCs w:val="26"/>
        </w:rPr>
        <w:t xml:space="preserve">  </w:t>
      </w:r>
      <w:r w:rsidR="008524E6">
        <w:t>In compliance with the requirements of the Paperwork Reduction Act of 1995, the Federal Energy Regulatory Commission (Commission or FERC) is soliciting public comment on the currently approved information collection FERC-725S</w:t>
      </w:r>
      <w:r w:rsidRPr="00A713D0" w:rsidR="008524E6">
        <w:t xml:space="preserve"> </w:t>
      </w:r>
      <w:r w:rsidR="008524E6">
        <w:t>(</w:t>
      </w:r>
      <w:r w:rsidRPr="006034F8" w:rsidR="008524E6">
        <w:rPr>
          <w:iCs/>
          <w:color w:val="000000"/>
          <w:szCs w:val="26"/>
        </w:rPr>
        <w:t>Emergency Preparedness and Operations (EOP) Reliability Standards</w:t>
      </w:r>
      <w:r w:rsidR="008524E6">
        <w:rPr>
          <w:color w:val="000000"/>
          <w:szCs w:val="26"/>
        </w:rPr>
        <w:t>)</w:t>
      </w:r>
      <w:r w:rsidRPr="003B29FB" w:rsidR="008524E6">
        <w:rPr>
          <w:szCs w:val="26"/>
        </w:rPr>
        <w:t xml:space="preserve"> </w:t>
      </w:r>
    </w:p>
    <w:p w:rsidR="008524E6" w:rsidP="008524E6" w:rsidRDefault="008524E6" w14:paraId="41850F0E" w14:textId="3CF2D5E7">
      <w:pPr>
        <w:spacing w:line="480" w:lineRule="auto"/>
      </w:pPr>
      <w:r w:rsidRPr="00642602">
        <w:t xml:space="preserve"> and submitting the information collection to the Office of Management and Budget (OMB) for review.  Any interested person may file comments directly with OMB and should address a copy of those comments to the Commission as </w:t>
      </w:r>
      <w:r w:rsidRPr="00C81A97">
        <w:t xml:space="preserve">explained below. </w:t>
      </w:r>
    </w:p>
    <w:p w:rsidRPr="003B29FB" w:rsidR="004E3713" w:rsidP="004E3713" w:rsidRDefault="004E3713" w14:paraId="31C49F04" w14:textId="5FA30570">
      <w:pPr>
        <w:spacing w:line="480" w:lineRule="auto"/>
        <w:rPr>
          <w:szCs w:val="26"/>
        </w:rPr>
      </w:pPr>
      <w:r w:rsidRPr="003B29FB">
        <w:rPr>
          <w:szCs w:val="26"/>
        </w:rPr>
        <w:t xml:space="preserve"> </w:t>
      </w:r>
      <w:r w:rsidRPr="003B29FB">
        <w:rPr>
          <w:b/>
          <w:szCs w:val="26"/>
        </w:rPr>
        <w:t>DATES:</w:t>
      </w:r>
      <w:r w:rsidRPr="003B29FB">
        <w:rPr>
          <w:szCs w:val="26"/>
        </w:rPr>
        <w:t xml:space="preserve">  Comments on the collection of information are due</w:t>
      </w:r>
      <w:r w:rsidRPr="003B29FB">
        <w:rPr>
          <w:b/>
          <w:szCs w:val="26"/>
        </w:rPr>
        <w:t xml:space="preserve"> [</w:t>
      </w:r>
      <w:r w:rsidR="00DF4B69">
        <w:rPr>
          <w:b/>
          <w:szCs w:val="26"/>
        </w:rPr>
        <w:t xml:space="preserve">Insert Date </w:t>
      </w:r>
      <w:r w:rsidR="00CF478E">
        <w:rPr>
          <w:b/>
          <w:szCs w:val="26"/>
        </w:rPr>
        <w:t>3</w:t>
      </w:r>
      <w:r w:rsidRPr="003B29FB">
        <w:rPr>
          <w:b/>
          <w:szCs w:val="26"/>
        </w:rPr>
        <w:t xml:space="preserve">0 days after </w:t>
      </w:r>
      <w:r w:rsidR="00A54C23">
        <w:rPr>
          <w:b/>
          <w:szCs w:val="26"/>
        </w:rPr>
        <w:t xml:space="preserve">date of </w:t>
      </w:r>
      <w:r w:rsidRPr="003B29FB">
        <w:rPr>
          <w:b/>
          <w:szCs w:val="26"/>
        </w:rPr>
        <w:t>publication in the Federal Register].</w:t>
      </w:r>
      <w:r w:rsidRPr="003B29FB">
        <w:rPr>
          <w:szCs w:val="26"/>
        </w:rPr>
        <w:t xml:space="preserve"> </w:t>
      </w:r>
    </w:p>
    <w:p w:rsidRPr="007219DE" w:rsidR="00CF478E" w:rsidP="00CF478E" w:rsidRDefault="00CF478E" w14:paraId="1DB184EF" w14:textId="1CAB0017">
      <w:pPr>
        <w:rPr>
          <w:szCs w:val="26"/>
        </w:rPr>
      </w:pPr>
      <w:r w:rsidRPr="007219DE">
        <w:rPr>
          <w:b/>
          <w:szCs w:val="26"/>
        </w:rPr>
        <w:t>ADDRESSES:</w:t>
      </w:r>
      <w:r w:rsidRPr="007219DE">
        <w:rPr>
          <w:szCs w:val="26"/>
        </w:rPr>
        <w:t xml:space="preserve">  You may submit comments (identified by Docket No. IC2</w:t>
      </w:r>
      <w:r w:rsidRPr="0070024F">
        <w:rPr>
          <w:szCs w:val="26"/>
        </w:rPr>
        <w:t>1</w:t>
      </w:r>
      <w:r w:rsidRPr="007219DE">
        <w:rPr>
          <w:szCs w:val="26"/>
        </w:rPr>
        <w:t>-</w:t>
      </w:r>
      <w:r w:rsidR="00E636D5">
        <w:rPr>
          <w:szCs w:val="26"/>
        </w:rPr>
        <w:t>6</w:t>
      </w:r>
      <w:r w:rsidRPr="007219DE">
        <w:rPr>
          <w:szCs w:val="26"/>
        </w:rPr>
        <w:t>-000) by</w:t>
      </w:r>
    </w:p>
    <w:p w:rsidRPr="007219DE" w:rsidR="00CF478E" w:rsidP="00CF478E" w:rsidRDefault="00CF478E" w14:paraId="3E459586" w14:textId="77777777">
      <w:pPr>
        <w:rPr>
          <w:szCs w:val="26"/>
        </w:rPr>
      </w:pPr>
      <w:r w:rsidRPr="007219DE">
        <w:rPr>
          <w:szCs w:val="26"/>
        </w:rPr>
        <w:t xml:space="preserve"> </w:t>
      </w:r>
    </w:p>
    <w:p w:rsidRPr="007219DE" w:rsidR="00CF478E" w:rsidP="00CF478E" w:rsidRDefault="00CF478E" w14:paraId="0E860136" w14:textId="77777777">
      <w:pPr>
        <w:rPr>
          <w:szCs w:val="26"/>
        </w:rPr>
      </w:pPr>
      <w:r w:rsidRPr="007219DE">
        <w:rPr>
          <w:szCs w:val="26"/>
        </w:rPr>
        <w:t>one of the following methods:</w:t>
      </w:r>
      <w:r w:rsidRPr="007219DE">
        <w:rPr>
          <w:szCs w:val="26"/>
        </w:rPr>
        <w:tab/>
      </w:r>
      <w:r w:rsidRPr="007219DE">
        <w:rPr>
          <w:szCs w:val="26"/>
        </w:rPr>
        <w:tab/>
      </w:r>
    </w:p>
    <w:p w:rsidRPr="007219DE" w:rsidR="00CF478E" w:rsidP="00CF478E" w:rsidRDefault="00CF478E" w14:paraId="45E92BB0" w14:textId="77777777">
      <w:pPr>
        <w:rPr>
          <w:szCs w:val="26"/>
        </w:rPr>
      </w:pPr>
    </w:p>
    <w:p w:rsidRPr="007219DE" w:rsidR="00CF478E" w:rsidP="00CF478E" w:rsidRDefault="00CF478E" w14:paraId="1D3DEC2F" w14:textId="77777777">
      <w:pPr>
        <w:numPr>
          <w:ilvl w:val="0"/>
          <w:numId w:val="1"/>
        </w:numPr>
        <w:tabs>
          <w:tab w:val="num" w:pos="1080"/>
        </w:tabs>
        <w:spacing w:line="480" w:lineRule="auto"/>
        <w:ind w:left="1080"/>
        <w:rPr>
          <w:rStyle w:val="Hyperlink"/>
          <w:color w:val="auto"/>
          <w:u w:val="none"/>
        </w:rPr>
      </w:pPr>
      <w:bookmarkStart w:name="OLE_LINK1" w:id="0"/>
      <w:r w:rsidRPr="007219DE">
        <w:t xml:space="preserve">eFiling at Commission’s Web Site: </w:t>
      </w:r>
      <w:hyperlink w:history="1" r:id="rId12">
        <w:r w:rsidRPr="007219DE">
          <w:rPr>
            <w:rStyle w:val="Hyperlink"/>
          </w:rPr>
          <w:t>http://www.ferc.gov</w:t>
        </w:r>
      </w:hyperlink>
    </w:p>
    <w:p w:rsidRPr="007219DE" w:rsidR="00CF478E" w:rsidP="00CF478E" w:rsidRDefault="00CF478E" w14:paraId="6B9A9A78" w14:textId="77777777">
      <w:pPr>
        <w:numPr>
          <w:ilvl w:val="0"/>
          <w:numId w:val="1"/>
        </w:numPr>
        <w:tabs>
          <w:tab w:val="num" w:pos="1080"/>
        </w:tabs>
        <w:spacing w:line="480" w:lineRule="auto"/>
        <w:ind w:left="1080"/>
      </w:pPr>
      <w:r w:rsidRPr="007219DE">
        <w:t>U.S. Postal Service Mail: Persons unable to file electronically may mail similar pleadings to the Federal Energy Regulatory Commission, 888 First Street, NE, Washington, DC 20426</w:t>
      </w:r>
    </w:p>
    <w:p w:rsidRPr="007219DE" w:rsidR="00CF478E" w:rsidP="00CF478E" w:rsidRDefault="00CF478E" w14:paraId="2524CDCE" w14:textId="77777777">
      <w:pPr>
        <w:pStyle w:val="ListParagraph"/>
        <w:numPr>
          <w:ilvl w:val="0"/>
          <w:numId w:val="7"/>
        </w:numPr>
        <w:spacing w:line="480" w:lineRule="auto"/>
        <w:ind w:left="1080"/>
      </w:pPr>
      <w:r w:rsidRPr="007219DE">
        <w:lastRenderedPageBreak/>
        <w:t>Effective 7/1/2020, delivery of filings other than by eFiling or the U.S. Postal Service should be delivered to</w:t>
      </w:r>
      <w:r w:rsidRPr="007654ED">
        <w:t xml:space="preserve"> </w:t>
      </w:r>
      <w:r>
        <w:t>Federal Energy Regulatory Commission, Office of the Secretary</w:t>
      </w:r>
      <w:r w:rsidRPr="007219DE">
        <w:t xml:space="preserve"> 12225 Wilkins Avenue, Rockville, Maryland 20852.</w:t>
      </w:r>
    </w:p>
    <w:p w:rsidRPr="007219DE" w:rsidR="00CF478E" w:rsidP="00CF478E" w:rsidRDefault="00CF478E" w14:paraId="0FF81402" w14:textId="77777777">
      <w:pPr>
        <w:spacing w:line="480" w:lineRule="auto"/>
      </w:pPr>
      <w:r w:rsidRPr="007219DE">
        <w:rPr>
          <w:i/>
        </w:rPr>
        <w:t xml:space="preserve">Instructions: </w:t>
      </w:r>
      <w:r w:rsidRPr="007219DE">
        <w:t xml:space="preserve">All submissions must be formatted and filed in accordance with submission guidelines at:   </w:t>
      </w:r>
      <w:hyperlink w:history="1" r:id="rId13">
        <w:r w:rsidRPr="007219DE">
          <w:rPr>
            <w:rStyle w:val="Hyperlink"/>
          </w:rPr>
          <w:t>http://www.ferc.gov</w:t>
        </w:r>
      </w:hyperlink>
      <w:r w:rsidRPr="007219DE">
        <w:t>.  For user assistance, contact FERC Online Support by e-mail at ferconlinesupport@ferc.gov, or by phone at (866) 208-3676 (toll-free).</w:t>
      </w:r>
    </w:p>
    <w:p w:rsidRPr="007219DE" w:rsidR="00CF478E" w:rsidP="00CF478E" w:rsidRDefault="00CF478E" w14:paraId="3B243EBC" w14:textId="77777777">
      <w:pPr>
        <w:spacing w:line="480" w:lineRule="auto"/>
      </w:pPr>
      <w:r w:rsidRPr="007219DE">
        <w:rPr>
          <w:i/>
        </w:rPr>
        <w:t>Docket:</w:t>
      </w:r>
      <w:r w:rsidRPr="007219DE">
        <w:t xml:space="preserve"> Users interested in receiving automatic notification of activity in this docket or in viewing/downloading comments and issuances in this docket may do so at </w:t>
      </w:r>
      <w:hyperlink w:history="1" r:id="rId14">
        <w:r w:rsidRPr="007219DE">
          <w:rPr>
            <w:rStyle w:val="Hyperlink"/>
          </w:rPr>
          <w:t>http://www.ferc.gov</w:t>
        </w:r>
      </w:hyperlink>
      <w:r w:rsidRPr="007219DE">
        <w:t xml:space="preserve">. </w:t>
      </w:r>
    </w:p>
    <w:bookmarkEnd w:id="0"/>
    <w:p w:rsidRPr="007219DE" w:rsidR="00CF478E" w:rsidP="00CF478E" w:rsidRDefault="00CF478E" w14:paraId="78877A00" w14:textId="74BD0382">
      <w:pPr>
        <w:spacing w:line="480" w:lineRule="auto"/>
        <w:rPr>
          <w:szCs w:val="26"/>
        </w:rPr>
      </w:pPr>
      <w:r w:rsidRPr="007219DE">
        <w:rPr>
          <w:b/>
          <w:szCs w:val="26"/>
        </w:rPr>
        <w:t>FOR FURTHER INFORMATION</w:t>
      </w:r>
      <w:r w:rsidR="00054129">
        <w:rPr>
          <w:b/>
          <w:szCs w:val="26"/>
        </w:rPr>
        <w:t xml:space="preserve"> CONTACT</w:t>
      </w:r>
      <w:r w:rsidRPr="007219DE">
        <w:rPr>
          <w:b/>
          <w:szCs w:val="26"/>
        </w:rPr>
        <w:t>:</w:t>
      </w:r>
      <w:r w:rsidRPr="007219DE">
        <w:rPr>
          <w:szCs w:val="26"/>
        </w:rPr>
        <w:t xml:space="preserve">  Ellen Brown may be reached by e-mail at </w:t>
      </w:r>
      <w:hyperlink w:history="1" r:id="rId15">
        <w:r w:rsidRPr="007219DE">
          <w:rPr>
            <w:rStyle w:val="Hyperlink"/>
            <w:szCs w:val="26"/>
          </w:rPr>
          <w:t>DataClearance@FERC.gov</w:t>
        </w:r>
      </w:hyperlink>
      <w:r w:rsidRPr="007219DE">
        <w:rPr>
          <w:szCs w:val="26"/>
        </w:rPr>
        <w:t>, telephone at (202) 502-8663.</w:t>
      </w:r>
    </w:p>
    <w:p w:rsidRPr="003B29FB" w:rsidR="004E3713" w:rsidP="004E3713" w:rsidRDefault="004E3713" w14:paraId="2A9D27D1" w14:textId="77777777">
      <w:pPr>
        <w:spacing w:line="480" w:lineRule="auto"/>
        <w:rPr>
          <w:szCs w:val="26"/>
        </w:rPr>
      </w:pPr>
      <w:r w:rsidRPr="003B29FB">
        <w:rPr>
          <w:szCs w:val="26"/>
        </w:rPr>
        <w:t xml:space="preserve"> </w:t>
      </w:r>
      <w:r w:rsidRPr="003B29FB">
        <w:rPr>
          <w:b/>
          <w:szCs w:val="26"/>
        </w:rPr>
        <w:t>SUPPLEMENTARY INFORMATION:</w:t>
      </w:r>
      <w:r w:rsidRPr="003B29FB">
        <w:rPr>
          <w:szCs w:val="26"/>
        </w:rPr>
        <w:t xml:space="preserve">  </w:t>
      </w:r>
    </w:p>
    <w:p w:rsidRPr="003B29FB" w:rsidR="004E3713" w:rsidP="004E3713" w:rsidRDefault="004E3713" w14:paraId="6A0D460E" w14:textId="177C1A1E">
      <w:pPr>
        <w:spacing w:line="480" w:lineRule="auto"/>
        <w:rPr>
          <w:color w:val="000000"/>
          <w:szCs w:val="26"/>
        </w:rPr>
      </w:pPr>
      <w:r w:rsidRPr="003B29FB">
        <w:rPr>
          <w:i/>
          <w:szCs w:val="26"/>
        </w:rPr>
        <w:t xml:space="preserve">Title: </w:t>
      </w:r>
      <w:r w:rsidRPr="003B29FB">
        <w:rPr>
          <w:szCs w:val="26"/>
        </w:rPr>
        <w:t>FERC-</w:t>
      </w:r>
      <w:r w:rsidR="001F3FC3">
        <w:rPr>
          <w:szCs w:val="26"/>
        </w:rPr>
        <w:t>725S</w:t>
      </w:r>
      <w:r w:rsidRPr="003B29FB">
        <w:rPr>
          <w:szCs w:val="26"/>
        </w:rPr>
        <w:t xml:space="preserve">, </w:t>
      </w:r>
      <w:r w:rsidRPr="00011C52" w:rsidR="00011C52">
        <w:rPr>
          <w:iCs/>
          <w:color w:val="000000"/>
          <w:szCs w:val="26"/>
        </w:rPr>
        <w:t>Emergency Preparedness and Operations (EOP) Reliability Standards</w:t>
      </w:r>
    </w:p>
    <w:p w:rsidRPr="003B29FB" w:rsidR="004E3713" w:rsidP="004E3713" w:rsidRDefault="004E3713" w14:paraId="1A456BB8" w14:textId="1C1CA7F3">
      <w:pPr>
        <w:spacing w:line="480" w:lineRule="auto"/>
        <w:rPr>
          <w:szCs w:val="26"/>
        </w:rPr>
      </w:pPr>
      <w:r w:rsidRPr="003B29FB">
        <w:rPr>
          <w:i/>
          <w:szCs w:val="26"/>
        </w:rPr>
        <w:t>OMB Control No.:</w:t>
      </w:r>
      <w:r w:rsidRPr="003B29FB">
        <w:rPr>
          <w:szCs w:val="26"/>
        </w:rPr>
        <w:t xml:space="preserve"> 1902-0</w:t>
      </w:r>
      <w:r w:rsidR="001F3FC3">
        <w:rPr>
          <w:szCs w:val="26"/>
        </w:rPr>
        <w:t>270</w:t>
      </w:r>
    </w:p>
    <w:p w:rsidRPr="003B29FB" w:rsidR="004E3713" w:rsidP="004E3713" w:rsidRDefault="004E3713" w14:paraId="74422325" w14:textId="7060C1FE">
      <w:pPr>
        <w:spacing w:line="480" w:lineRule="auto"/>
        <w:rPr>
          <w:szCs w:val="26"/>
        </w:rPr>
      </w:pPr>
      <w:r w:rsidRPr="003B29FB">
        <w:rPr>
          <w:i/>
          <w:szCs w:val="26"/>
        </w:rPr>
        <w:t>Type of Request:</w:t>
      </w:r>
      <w:r w:rsidRPr="003B29FB">
        <w:rPr>
          <w:szCs w:val="26"/>
        </w:rPr>
        <w:t xml:space="preserve"> Three-year approval of the FERC-</w:t>
      </w:r>
      <w:r w:rsidR="001F3FC3">
        <w:rPr>
          <w:szCs w:val="26"/>
        </w:rPr>
        <w:t>725S</w:t>
      </w:r>
      <w:r w:rsidRPr="003B29FB">
        <w:rPr>
          <w:szCs w:val="26"/>
        </w:rPr>
        <w:t xml:space="preserve"> information collection requirements with no changes to the current reporting requirements.</w:t>
      </w:r>
    </w:p>
    <w:p w:rsidRPr="007F0E94" w:rsidR="007F0E94" w:rsidP="007F0E94" w:rsidRDefault="004E3713" w14:paraId="29BA17E0" w14:textId="42A7D4F3">
      <w:pPr>
        <w:spacing w:line="480" w:lineRule="auto"/>
        <w:rPr>
          <w:iCs/>
          <w:szCs w:val="26"/>
        </w:rPr>
      </w:pPr>
      <w:r w:rsidRPr="003B29FB">
        <w:rPr>
          <w:i/>
          <w:szCs w:val="26"/>
        </w:rPr>
        <w:t xml:space="preserve">Abstract: </w:t>
      </w:r>
      <w:r w:rsidRPr="001F3FC3" w:rsidR="001F3FC3">
        <w:rPr>
          <w:iCs/>
          <w:szCs w:val="26"/>
        </w:rPr>
        <w:t>The Electricity Modernization Act of 2005, which is Title XII of the Energy Policy Act of 2005</w:t>
      </w:r>
      <w:r w:rsidRPr="001F3FC3" w:rsidR="001F3FC3">
        <w:rPr>
          <w:iCs/>
          <w:szCs w:val="26"/>
          <w:vertAlign w:val="superscript"/>
        </w:rPr>
        <w:t xml:space="preserve"> </w:t>
      </w:r>
      <w:r w:rsidRPr="001F3FC3" w:rsidR="001F3FC3">
        <w:rPr>
          <w:iCs/>
          <w:szCs w:val="26"/>
        </w:rPr>
        <w:t>(EPAct 2005), added a new section 215 to the Federal Power Act (FPA)</w:t>
      </w:r>
      <w:r w:rsidR="00963ECA">
        <w:rPr>
          <w:iCs/>
          <w:szCs w:val="26"/>
        </w:rPr>
        <w:t>.</w:t>
      </w:r>
      <w:r w:rsidRPr="001F3FC3" w:rsidR="001F3FC3">
        <w:rPr>
          <w:b/>
          <w:iCs/>
          <w:szCs w:val="26"/>
          <w:vertAlign w:val="superscript"/>
        </w:rPr>
        <w:footnoteReference w:id="2"/>
      </w:r>
      <w:r w:rsidRPr="001F3FC3" w:rsidR="001F3FC3">
        <w:rPr>
          <w:iCs/>
          <w:szCs w:val="26"/>
        </w:rPr>
        <w:t xml:space="preserve"> </w:t>
      </w:r>
      <w:r w:rsidR="00A27273">
        <w:rPr>
          <w:iCs/>
          <w:szCs w:val="26"/>
        </w:rPr>
        <w:t xml:space="preserve"> FPA section 215</w:t>
      </w:r>
      <w:r w:rsidRPr="001F3FC3" w:rsidR="001F3FC3">
        <w:rPr>
          <w:iCs/>
          <w:szCs w:val="26"/>
        </w:rPr>
        <w:t xml:space="preserve"> requires a Commission-certified Electric Reliability </w:t>
      </w:r>
      <w:r w:rsidRPr="001F3FC3" w:rsidR="001F3FC3">
        <w:rPr>
          <w:iCs/>
          <w:szCs w:val="26"/>
        </w:rPr>
        <w:lastRenderedPageBreak/>
        <w:t>Organization (ERO) to develop mandatory and enforceable Reliability Standards, subject to Commission review and approval.  Section 215 of the FPA requires a Commission-certified ERO to develop mandatory and enforceable Reliability Standards, subject to Commission review and approval</w:t>
      </w:r>
      <w:bookmarkStart w:name="_Hlk61359709" w:id="1"/>
      <w:r w:rsidRPr="001F3FC3" w:rsidR="001F3FC3">
        <w:rPr>
          <w:iCs/>
          <w:szCs w:val="26"/>
        </w:rPr>
        <w:t xml:space="preserve">.   In 2006, the Commission certified North American Electric Reliability Corporation (NERC) as the ERO pursuant to section 215 of the FPA. </w:t>
      </w:r>
      <w:r w:rsidR="003C648B">
        <w:rPr>
          <w:iCs/>
          <w:szCs w:val="26"/>
        </w:rPr>
        <w:t xml:space="preserve"> </w:t>
      </w:r>
      <w:r w:rsidR="007F0E94">
        <w:rPr>
          <w:iCs/>
          <w:szCs w:val="26"/>
        </w:rPr>
        <w:t xml:space="preserve">FERC-725S consists of </w:t>
      </w:r>
      <w:bookmarkStart w:name="_Hlk55404923" w:id="2"/>
      <w:r w:rsidRPr="007F0E94" w:rsidR="007F0E94">
        <w:rPr>
          <w:iCs/>
          <w:szCs w:val="26"/>
        </w:rPr>
        <w:t>Emergency Preparedness and Operations (EOP) Reliability Standards</w:t>
      </w:r>
      <w:bookmarkEnd w:id="2"/>
      <w:r w:rsidR="007F0E94">
        <w:rPr>
          <w:iCs/>
          <w:szCs w:val="26"/>
        </w:rPr>
        <w:t>,</w:t>
      </w:r>
      <w:r w:rsidRPr="007F0E94" w:rsidR="007F0E94">
        <w:rPr>
          <w:iCs/>
          <w:szCs w:val="26"/>
        </w:rPr>
        <w:t xml:space="preserve"> EOP-004-4 (Event Reporting), EOP-005-3 (System Restoration from Blackstart Resources), EOP-006-3 (System Restoration Coordination), EOP-008-2 (Loss of Control Center Functionality), </w:t>
      </w:r>
      <w:r w:rsidRPr="001F227E" w:rsidR="001F227E">
        <w:rPr>
          <w:iCs/>
          <w:szCs w:val="26"/>
        </w:rPr>
        <w:t xml:space="preserve">EOP-010-1 </w:t>
      </w:r>
      <w:r w:rsidR="001F227E">
        <w:rPr>
          <w:iCs/>
          <w:szCs w:val="26"/>
        </w:rPr>
        <w:t>(</w:t>
      </w:r>
      <w:r w:rsidRPr="001F227E" w:rsidR="001F227E">
        <w:rPr>
          <w:iCs/>
          <w:szCs w:val="26"/>
        </w:rPr>
        <w:t>Geomagnetic Disturbance Operations</w:t>
      </w:r>
      <w:r w:rsidR="001F227E">
        <w:rPr>
          <w:iCs/>
          <w:szCs w:val="26"/>
        </w:rPr>
        <w:t xml:space="preserve">), and </w:t>
      </w:r>
      <w:r w:rsidRPr="001F227E" w:rsidR="001F227E">
        <w:rPr>
          <w:iCs/>
          <w:szCs w:val="26"/>
        </w:rPr>
        <w:t xml:space="preserve">EOP-011-1 </w:t>
      </w:r>
      <w:r w:rsidR="001F227E">
        <w:rPr>
          <w:iCs/>
          <w:szCs w:val="26"/>
        </w:rPr>
        <w:t>(</w:t>
      </w:r>
      <w:r w:rsidRPr="001F227E" w:rsidR="001F227E">
        <w:rPr>
          <w:iCs/>
          <w:szCs w:val="26"/>
        </w:rPr>
        <w:t>Emergency Operations</w:t>
      </w:r>
      <w:r w:rsidR="001F227E">
        <w:rPr>
          <w:iCs/>
          <w:szCs w:val="26"/>
        </w:rPr>
        <w:t>)</w:t>
      </w:r>
      <w:r w:rsidR="003C648B">
        <w:rPr>
          <w:iCs/>
          <w:szCs w:val="26"/>
        </w:rPr>
        <w:t>.</w:t>
      </w:r>
      <w:r w:rsidRPr="007F0E94" w:rsidR="007F0E94">
        <w:rPr>
          <w:iCs/>
          <w:szCs w:val="26"/>
        </w:rPr>
        <w:t xml:space="preserve">  </w:t>
      </w:r>
      <w:r w:rsidR="00932323">
        <w:rPr>
          <w:iCs/>
          <w:szCs w:val="26"/>
        </w:rPr>
        <w:t xml:space="preserve">These </w:t>
      </w:r>
      <w:r w:rsidR="007F0E94">
        <w:rPr>
          <w:iCs/>
          <w:szCs w:val="26"/>
        </w:rPr>
        <w:t xml:space="preserve">Reliability </w:t>
      </w:r>
      <w:r w:rsidR="00932323">
        <w:rPr>
          <w:szCs w:val="26"/>
        </w:rPr>
        <w:t>S</w:t>
      </w:r>
      <w:r w:rsidR="007F0E94">
        <w:rPr>
          <w:szCs w:val="26"/>
        </w:rPr>
        <w:t xml:space="preserve">tandards </w:t>
      </w:r>
      <w:r w:rsidRPr="007F0E94" w:rsidR="007F0E94">
        <w:rPr>
          <w:iCs/>
          <w:szCs w:val="26"/>
        </w:rPr>
        <w:t xml:space="preserve">enhance reliability by:  </w:t>
      </w:r>
    </w:p>
    <w:p w:rsidRPr="007F0E94" w:rsidR="007F0E94" w:rsidP="007F0E94" w:rsidRDefault="007F0E94" w14:paraId="6332BF2B" w14:textId="6425B748">
      <w:pPr>
        <w:spacing w:line="480" w:lineRule="auto"/>
        <w:rPr>
          <w:iCs/>
          <w:szCs w:val="26"/>
        </w:rPr>
      </w:pPr>
      <w:r w:rsidRPr="007F0E94">
        <w:rPr>
          <w:iCs/>
          <w:szCs w:val="26"/>
        </w:rPr>
        <w:t>(1) providing accurate reporting of events to NERC’s event analysis group to analyze the impact on the reliability of the bulk electric system (Reliability Standard EOP-004-4)</w:t>
      </w:r>
      <w:r w:rsidR="00742FAA">
        <w:rPr>
          <w:iCs/>
          <w:szCs w:val="26"/>
        </w:rPr>
        <w:t>.</w:t>
      </w:r>
      <w:r w:rsidRPr="007F0E94">
        <w:rPr>
          <w:iCs/>
          <w:szCs w:val="26"/>
        </w:rPr>
        <w:t xml:space="preserve"> </w:t>
      </w:r>
    </w:p>
    <w:p w:rsidRPr="007F0E94" w:rsidR="007F0E94" w:rsidP="007F0E94" w:rsidRDefault="007F0E94" w14:paraId="2CDCC9CF" w14:textId="0220F70D">
      <w:pPr>
        <w:spacing w:line="480" w:lineRule="auto"/>
        <w:rPr>
          <w:iCs/>
          <w:szCs w:val="26"/>
        </w:rPr>
      </w:pPr>
      <w:r w:rsidRPr="007F0E94">
        <w:rPr>
          <w:iCs/>
          <w:szCs w:val="26"/>
        </w:rPr>
        <w:t>(2) delineating the roles and responsibilities of entities that support system restoration from blackstart resources which generate power without the support of the bulk electric system (Reliability Standard EOP-005-3)</w:t>
      </w:r>
      <w:r w:rsidR="00742FAA">
        <w:rPr>
          <w:iCs/>
          <w:szCs w:val="26"/>
        </w:rPr>
        <w:t>.</w:t>
      </w:r>
    </w:p>
    <w:p w:rsidRPr="007F0E94" w:rsidR="007F0E94" w:rsidP="007F0E94" w:rsidRDefault="007F0E94" w14:paraId="2D36E756" w14:textId="21899038">
      <w:pPr>
        <w:spacing w:line="480" w:lineRule="auto"/>
        <w:rPr>
          <w:iCs/>
          <w:szCs w:val="26"/>
        </w:rPr>
      </w:pPr>
      <w:r w:rsidRPr="007F0E94">
        <w:rPr>
          <w:iCs/>
          <w:szCs w:val="26"/>
        </w:rPr>
        <w:t>(3) clarifying the procedures and coordination requirements for reliability coordinator personnel to execute system restoration processes (Reliability Standard EOP-006-3)</w:t>
      </w:r>
      <w:r w:rsidR="00742FAA">
        <w:rPr>
          <w:iCs/>
          <w:szCs w:val="26"/>
        </w:rPr>
        <w:t>.</w:t>
      </w:r>
    </w:p>
    <w:p w:rsidR="007F0E94" w:rsidP="007F0E94" w:rsidRDefault="007F0E94" w14:paraId="2E559F9E" w14:textId="356E7814">
      <w:pPr>
        <w:spacing w:line="480" w:lineRule="auto"/>
        <w:rPr>
          <w:iCs/>
          <w:szCs w:val="26"/>
        </w:rPr>
      </w:pPr>
      <w:r w:rsidRPr="007F0E94">
        <w:rPr>
          <w:iCs/>
          <w:szCs w:val="26"/>
        </w:rPr>
        <w:t>(4) refining the required elements of an operating plan used to continue reliable operations of the bulk electric system in the event that primary control center functionality is lost (Reliability Standard EOP-008-2).</w:t>
      </w:r>
    </w:p>
    <w:p w:rsidR="00CA3BC5" w:rsidP="00CA3BC5" w:rsidRDefault="00CA3BC5" w14:paraId="01058AD7" w14:textId="4A14DDF6">
      <w:pPr>
        <w:spacing w:line="480" w:lineRule="auto"/>
        <w:rPr>
          <w:iCs/>
          <w:szCs w:val="26"/>
        </w:rPr>
      </w:pPr>
      <w:r>
        <w:rPr>
          <w:iCs/>
          <w:szCs w:val="26"/>
        </w:rPr>
        <w:t xml:space="preserve">(5) </w:t>
      </w:r>
      <w:r w:rsidRPr="00CA3BC5">
        <w:rPr>
          <w:iCs/>
          <w:szCs w:val="26"/>
        </w:rPr>
        <w:t>address</w:t>
      </w:r>
      <w:r w:rsidR="00D85915">
        <w:rPr>
          <w:iCs/>
          <w:szCs w:val="26"/>
        </w:rPr>
        <w:t>ing</w:t>
      </w:r>
      <w:r w:rsidRPr="00CA3BC5">
        <w:rPr>
          <w:iCs/>
          <w:szCs w:val="26"/>
        </w:rPr>
        <w:t xml:space="preserve"> the effects of operating Emergencies by ensuring each Transmission Operator and Balancing Authority has developed Operating Plan(s) to mitigate operating </w:t>
      </w:r>
      <w:r w:rsidRPr="00CA3BC5">
        <w:rPr>
          <w:iCs/>
          <w:szCs w:val="26"/>
        </w:rPr>
        <w:lastRenderedPageBreak/>
        <w:t>Emergencies, and that those plans are coordinated within a Reliability Coordinator Area</w:t>
      </w:r>
      <w:r>
        <w:rPr>
          <w:iCs/>
          <w:szCs w:val="26"/>
        </w:rPr>
        <w:t xml:space="preserve"> (</w:t>
      </w:r>
      <w:r>
        <w:rPr>
          <w:szCs w:val="26"/>
        </w:rPr>
        <w:t>EOP-010-1)</w:t>
      </w:r>
      <w:r>
        <w:rPr>
          <w:iCs/>
          <w:szCs w:val="26"/>
        </w:rPr>
        <w:t>.</w:t>
      </w:r>
    </w:p>
    <w:p w:rsidRPr="00CA3BC5" w:rsidR="00CA3BC5" w:rsidP="00CA3BC5" w:rsidRDefault="00CA3BC5" w14:paraId="0E4EC837" w14:textId="3BA1535B">
      <w:pPr>
        <w:spacing w:line="480" w:lineRule="auto"/>
        <w:rPr>
          <w:iCs/>
          <w:szCs w:val="26"/>
        </w:rPr>
      </w:pPr>
      <w:r>
        <w:rPr>
          <w:iCs/>
          <w:szCs w:val="26"/>
        </w:rPr>
        <w:t xml:space="preserve">(6) </w:t>
      </w:r>
      <w:r w:rsidRPr="00CA3BC5">
        <w:rPr>
          <w:iCs/>
          <w:szCs w:val="26"/>
        </w:rPr>
        <w:t>streamlin</w:t>
      </w:r>
      <w:r w:rsidR="00D85915">
        <w:rPr>
          <w:iCs/>
          <w:szCs w:val="26"/>
        </w:rPr>
        <w:t>ing</w:t>
      </w:r>
      <w:r w:rsidRPr="00CA3BC5">
        <w:rPr>
          <w:iCs/>
          <w:szCs w:val="26"/>
        </w:rPr>
        <w:t xml:space="preserve"> the requirements for Emergency operations of the Bulk Electric</w:t>
      </w:r>
    </w:p>
    <w:p w:rsidRPr="00CA3BC5" w:rsidR="00CA3BC5" w:rsidP="00CA3BC5" w:rsidRDefault="00CA3BC5" w14:paraId="7F639AA7" w14:textId="77777777">
      <w:pPr>
        <w:spacing w:line="480" w:lineRule="auto"/>
        <w:rPr>
          <w:iCs/>
          <w:szCs w:val="26"/>
        </w:rPr>
      </w:pPr>
      <w:r w:rsidRPr="00CA3BC5">
        <w:rPr>
          <w:iCs/>
          <w:szCs w:val="26"/>
        </w:rPr>
        <w:t>System. Attachment 1, which is incorporated into Requirements R2 and R6, provides the</w:t>
      </w:r>
    </w:p>
    <w:p w:rsidR="00CA3BC5" w:rsidP="007F0E94" w:rsidRDefault="00CA3BC5" w14:paraId="14F85059" w14:textId="2A34435B">
      <w:pPr>
        <w:spacing w:line="480" w:lineRule="auto"/>
        <w:rPr>
          <w:iCs/>
          <w:szCs w:val="26"/>
        </w:rPr>
      </w:pPr>
      <w:r w:rsidRPr="00CA3BC5">
        <w:rPr>
          <w:iCs/>
          <w:szCs w:val="26"/>
        </w:rPr>
        <w:t>process and descriptions of the levels used by the Reliability Coordinator when communicating</w:t>
      </w:r>
      <w:r>
        <w:rPr>
          <w:iCs/>
          <w:szCs w:val="26"/>
        </w:rPr>
        <w:t xml:space="preserve"> </w:t>
      </w:r>
      <w:r w:rsidRPr="00CA3BC5">
        <w:rPr>
          <w:iCs/>
          <w:szCs w:val="26"/>
        </w:rPr>
        <w:t>the condition of a Balancing Authority that is experiencing an Energy Emergency</w:t>
      </w:r>
      <w:r>
        <w:rPr>
          <w:iCs/>
          <w:szCs w:val="26"/>
        </w:rPr>
        <w:t xml:space="preserve"> (</w:t>
      </w:r>
      <w:r w:rsidRPr="00CA3BC5">
        <w:rPr>
          <w:iCs/>
          <w:szCs w:val="26"/>
        </w:rPr>
        <w:t>EOP-01</w:t>
      </w:r>
      <w:r>
        <w:rPr>
          <w:iCs/>
          <w:szCs w:val="26"/>
        </w:rPr>
        <w:t>1</w:t>
      </w:r>
      <w:r w:rsidRPr="00CA3BC5">
        <w:rPr>
          <w:iCs/>
          <w:szCs w:val="26"/>
        </w:rPr>
        <w:t>-1</w:t>
      </w:r>
      <w:r>
        <w:rPr>
          <w:iCs/>
          <w:szCs w:val="26"/>
        </w:rPr>
        <w:t>).</w:t>
      </w:r>
    </w:p>
    <w:bookmarkEnd w:id="1"/>
    <w:p w:rsidR="00CF478E" w:rsidP="007F0E94" w:rsidRDefault="00CF478E" w14:paraId="3208B13F" w14:textId="1A20ADD5">
      <w:pPr>
        <w:spacing w:line="480" w:lineRule="auto"/>
        <w:rPr>
          <w:iCs/>
          <w:szCs w:val="26"/>
        </w:rPr>
      </w:pPr>
      <w:r w:rsidRPr="00CF478E">
        <w:rPr>
          <w:iCs/>
          <w:szCs w:val="26"/>
        </w:rPr>
        <w:t xml:space="preserve">The 60-day notice was published on November </w:t>
      </w:r>
      <w:r>
        <w:rPr>
          <w:iCs/>
          <w:szCs w:val="26"/>
        </w:rPr>
        <w:t>18</w:t>
      </w:r>
      <w:r w:rsidRPr="00CF478E">
        <w:rPr>
          <w:iCs/>
          <w:szCs w:val="26"/>
        </w:rPr>
        <w:t>, 2020 (85 FR 7</w:t>
      </w:r>
      <w:r>
        <w:rPr>
          <w:iCs/>
          <w:szCs w:val="26"/>
        </w:rPr>
        <w:t>3477</w:t>
      </w:r>
      <w:r w:rsidRPr="00CF478E">
        <w:rPr>
          <w:iCs/>
          <w:szCs w:val="26"/>
        </w:rPr>
        <w:t>), and no comments were received.</w:t>
      </w:r>
    </w:p>
    <w:p w:rsidRPr="007E3F01" w:rsidR="007E3F01" w:rsidP="007E3F01" w:rsidRDefault="007E3F01" w14:paraId="52E50E47" w14:textId="5587DD08">
      <w:pPr>
        <w:spacing w:line="480" w:lineRule="auto"/>
        <w:rPr>
          <w:iCs/>
          <w:szCs w:val="26"/>
        </w:rPr>
      </w:pPr>
      <w:r w:rsidRPr="007E3F01">
        <w:rPr>
          <w:i/>
          <w:iCs/>
          <w:szCs w:val="26"/>
        </w:rPr>
        <w:t xml:space="preserve">Type of Respondents: </w:t>
      </w:r>
      <w:r w:rsidRPr="007E3F01">
        <w:rPr>
          <w:iCs/>
          <w:szCs w:val="26"/>
        </w:rPr>
        <w:t xml:space="preserve">Public utilities subject to the </w:t>
      </w:r>
      <w:r w:rsidR="003C648B">
        <w:rPr>
          <w:iCs/>
          <w:szCs w:val="26"/>
        </w:rPr>
        <w:t>FPA.</w:t>
      </w:r>
    </w:p>
    <w:p w:rsidR="007E3F01" w:rsidP="007F0E94" w:rsidRDefault="007E3F01" w14:paraId="452C684A" w14:textId="50970988">
      <w:pPr>
        <w:spacing w:line="480" w:lineRule="auto"/>
        <w:rPr>
          <w:iCs/>
          <w:szCs w:val="26"/>
        </w:rPr>
      </w:pPr>
      <w:r w:rsidRPr="007E3F01">
        <w:rPr>
          <w:i/>
          <w:iCs/>
          <w:szCs w:val="26"/>
        </w:rPr>
        <w:t>Estimate of Annual Burden</w:t>
      </w:r>
      <w:r w:rsidRPr="007E3F01">
        <w:rPr>
          <w:b/>
          <w:i/>
          <w:iCs/>
          <w:szCs w:val="26"/>
          <w:vertAlign w:val="superscript"/>
        </w:rPr>
        <w:footnoteReference w:id="3"/>
      </w:r>
      <w:r w:rsidRPr="007E3F01">
        <w:rPr>
          <w:i/>
          <w:iCs/>
          <w:szCs w:val="26"/>
        </w:rPr>
        <w:t>and cost</w:t>
      </w:r>
      <w:r w:rsidRPr="007E3F01">
        <w:rPr>
          <w:b/>
          <w:i/>
          <w:iCs/>
          <w:szCs w:val="26"/>
          <w:vertAlign w:val="superscript"/>
        </w:rPr>
        <w:footnoteReference w:id="4"/>
      </w:r>
      <w:r w:rsidRPr="007E3F01">
        <w:rPr>
          <w:i/>
          <w:iCs/>
          <w:szCs w:val="26"/>
        </w:rPr>
        <w:t xml:space="preserve">: </w:t>
      </w:r>
      <w:r w:rsidR="00A04525">
        <w:rPr>
          <w:szCs w:val="26"/>
        </w:rPr>
        <w:t>With the exception of adjustments due to the Commission’s recent experience with this information collection, t</w:t>
      </w:r>
      <w:r w:rsidRPr="007E3F01">
        <w:rPr>
          <w:iCs/>
          <w:szCs w:val="26"/>
        </w:rPr>
        <w:t xml:space="preserve">he Commission estimates </w:t>
      </w:r>
      <w:r w:rsidRPr="007E3F01" w:rsidR="000047DC">
        <w:rPr>
          <w:iCs/>
          <w:szCs w:val="26"/>
        </w:rPr>
        <w:t>there</w:t>
      </w:r>
      <w:r w:rsidRPr="007E3F01">
        <w:rPr>
          <w:iCs/>
          <w:szCs w:val="26"/>
        </w:rPr>
        <w:t xml:space="preserve"> will be no changes in the annual public reporting burden for the FERC-735S, as follows:</w:t>
      </w:r>
    </w:p>
    <w:p w:rsidR="00054129" w:rsidP="007F0E94" w:rsidRDefault="00054129" w14:paraId="4D559111" w14:textId="64C65251">
      <w:pPr>
        <w:spacing w:line="480" w:lineRule="auto"/>
        <w:rPr>
          <w:iCs/>
          <w:szCs w:val="26"/>
        </w:rPr>
      </w:pPr>
    </w:p>
    <w:p w:rsidR="00054129" w:rsidP="007F0E94" w:rsidRDefault="00054129" w14:paraId="2750DAE6" w14:textId="77777777">
      <w:pPr>
        <w:spacing w:line="480" w:lineRule="auto"/>
        <w:rPr>
          <w:iCs/>
          <w:szCs w:val="26"/>
        </w:rPr>
      </w:pPr>
    </w:p>
    <w:p w:rsidRPr="007F0E94" w:rsidR="007E3F01" w:rsidP="007F0E94" w:rsidRDefault="007E3F01" w14:paraId="798E1891" w14:textId="77777777">
      <w:pPr>
        <w:spacing w:line="480" w:lineRule="auto"/>
        <w:rPr>
          <w:iCs/>
          <w:szCs w:val="26"/>
        </w:rPr>
      </w:pPr>
    </w:p>
    <w:tbl>
      <w:tblPr>
        <w:tblW w:w="552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3"/>
        <w:gridCol w:w="1608"/>
        <w:gridCol w:w="1430"/>
        <w:gridCol w:w="1313"/>
        <w:gridCol w:w="1360"/>
        <w:gridCol w:w="1610"/>
        <w:gridCol w:w="1438"/>
      </w:tblGrid>
      <w:tr w:rsidRPr="006034F8" w:rsidR="006034F8" w:rsidTr="004D2736" w14:paraId="09E1024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6034F8" w:rsidR="006034F8" w:rsidP="00E21B4E" w:rsidRDefault="006034F8" w14:paraId="4FBC67A5" w14:textId="4FB00332">
            <w:pPr>
              <w:widowControl w:val="0"/>
              <w:autoSpaceDE w:val="0"/>
              <w:autoSpaceDN w:val="0"/>
              <w:adjustRightInd w:val="0"/>
              <w:jc w:val="center"/>
              <w:rPr>
                <w:rFonts w:eastAsia="Calibri"/>
                <w:b/>
                <w:sz w:val="24"/>
              </w:rPr>
            </w:pPr>
            <w:r w:rsidRPr="006034F8">
              <w:rPr>
                <w:rFonts w:eastAsia="Calibri"/>
                <w:b/>
                <w:sz w:val="24"/>
              </w:rPr>
              <w:lastRenderedPageBreak/>
              <w:t>FERC-725S</w:t>
            </w:r>
          </w:p>
        </w:tc>
      </w:tr>
      <w:tr w:rsidRPr="006034F8" w:rsidR="006034F8" w:rsidTr="004D2736" w14:paraId="48F12830"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hideMark/>
          </w:tcPr>
          <w:p w:rsidRPr="006034F8" w:rsidR="006034F8" w:rsidP="006034F8" w:rsidRDefault="006034F8" w14:paraId="18222A41" w14:textId="77777777">
            <w:pPr>
              <w:widowControl w:val="0"/>
              <w:autoSpaceDE w:val="0"/>
              <w:autoSpaceDN w:val="0"/>
              <w:adjustRightInd w:val="0"/>
              <w:jc w:val="center"/>
              <w:rPr>
                <w:rFonts w:eastAsia="Calibri"/>
                <w:b/>
                <w:sz w:val="24"/>
              </w:rPr>
            </w:pPr>
            <w:r w:rsidRPr="006034F8">
              <w:rPr>
                <w:rFonts w:eastAsia="Calibri"/>
                <w:b/>
                <w:sz w:val="24"/>
              </w:rPr>
              <w:t>Reliability Standard and Associated Requirement</w:t>
            </w:r>
          </w:p>
        </w:tc>
        <w:tc>
          <w:tcPr>
            <w:tcW w:w="77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71BBB0C3" w14:textId="5422526D">
            <w:pPr>
              <w:widowControl w:val="0"/>
              <w:autoSpaceDE w:val="0"/>
              <w:autoSpaceDN w:val="0"/>
              <w:adjustRightInd w:val="0"/>
              <w:jc w:val="center"/>
              <w:rPr>
                <w:rFonts w:eastAsia="Calibri"/>
                <w:b/>
                <w:sz w:val="24"/>
              </w:rPr>
            </w:pPr>
            <w:r w:rsidRPr="006034F8">
              <w:rPr>
                <w:rFonts w:eastAsia="Calibri"/>
                <w:b/>
                <w:sz w:val="24"/>
              </w:rPr>
              <w:t>Number of Respondents</w:t>
            </w:r>
            <w:r w:rsidR="00BB7005">
              <w:rPr>
                <w:rStyle w:val="FootnoteReference"/>
                <w:rFonts w:eastAsia="Calibri"/>
                <w:b w:val="0"/>
              </w:rPr>
              <w:footnoteReference w:id="5"/>
            </w:r>
            <w:r w:rsidRPr="006034F8">
              <w:rPr>
                <w:rFonts w:eastAsia="Calibri"/>
                <w:b/>
                <w:sz w:val="24"/>
              </w:rPr>
              <w:br/>
              <w:t>(1)</w:t>
            </w:r>
          </w:p>
        </w:tc>
        <w:tc>
          <w:tcPr>
            <w:tcW w:w="69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48792F09" w14:textId="77777777">
            <w:pPr>
              <w:widowControl w:val="0"/>
              <w:autoSpaceDE w:val="0"/>
              <w:autoSpaceDN w:val="0"/>
              <w:adjustRightInd w:val="0"/>
              <w:jc w:val="center"/>
              <w:rPr>
                <w:rFonts w:eastAsia="Calibri"/>
                <w:b/>
                <w:sz w:val="24"/>
              </w:rPr>
            </w:pPr>
            <w:r w:rsidRPr="006034F8">
              <w:rPr>
                <w:rFonts w:eastAsia="Calibri"/>
                <w:b/>
                <w:sz w:val="24"/>
              </w:rPr>
              <w:t>Annual Number of Responses per Respondent</w:t>
            </w:r>
          </w:p>
          <w:p w:rsidRPr="006034F8" w:rsidR="006034F8" w:rsidP="006034F8" w:rsidRDefault="006034F8" w14:paraId="6C0E5265" w14:textId="77777777">
            <w:pPr>
              <w:widowControl w:val="0"/>
              <w:autoSpaceDE w:val="0"/>
              <w:autoSpaceDN w:val="0"/>
              <w:adjustRightInd w:val="0"/>
              <w:jc w:val="center"/>
              <w:rPr>
                <w:rFonts w:eastAsia="Calibri"/>
                <w:b/>
                <w:sz w:val="24"/>
              </w:rPr>
            </w:pPr>
            <w:r w:rsidRPr="006034F8">
              <w:rPr>
                <w:rFonts w:eastAsia="Calibri"/>
                <w:b/>
                <w:sz w:val="24"/>
              </w:rPr>
              <w:t>(2)</w:t>
            </w:r>
          </w:p>
        </w:tc>
        <w:tc>
          <w:tcPr>
            <w:tcW w:w="63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7C7BDCA2" w14:textId="77777777">
            <w:pPr>
              <w:widowControl w:val="0"/>
              <w:autoSpaceDE w:val="0"/>
              <w:autoSpaceDN w:val="0"/>
              <w:adjustRightInd w:val="0"/>
              <w:jc w:val="center"/>
              <w:rPr>
                <w:rFonts w:eastAsia="Calibri"/>
                <w:b/>
                <w:sz w:val="24"/>
              </w:rPr>
            </w:pPr>
            <w:r w:rsidRPr="006034F8">
              <w:rPr>
                <w:rFonts w:eastAsia="Calibri"/>
                <w:b/>
                <w:sz w:val="24"/>
              </w:rPr>
              <w:t>Total Number of Responses (1)*(2)=(3)</w:t>
            </w:r>
          </w:p>
        </w:tc>
        <w:tc>
          <w:tcPr>
            <w:tcW w:w="66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36CC1B14" w14:textId="6DB92197">
            <w:pPr>
              <w:widowControl w:val="0"/>
              <w:autoSpaceDE w:val="0"/>
              <w:autoSpaceDN w:val="0"/>
              <w:adjustRightInd w:val="0"/>
              <w:jc w:val="center"/>
              <w:rPr>
                <w:rFonts w:eastAsia="Calibri"/>
                <w:b/>
                <w:sz w:val="24"/>
              </w:rPr>
            </w:pPr>
            <w:r w:rsidRPr="006034F8">
              <w:rPr>
                <w:rFonts w:eastAsia="Calibri"/>
                <w:b/>
                <w:sz w:val="24"/>
              </w:rPr>
              <w:t>Average Burden &amp; Cost Per Response</w:t>
            </w:r>
          </w:p>
          <w:p w:rsidRPr="006034F8" w:rsidR="006034F8" w:rsidP="006034F8" w:rsidRDefault="006034F8" w14:paraId="4F379B37" w14:textId="77777777">
            <w:pPr>
              <w:widowControl w:val="0"/>
              <w:autoSpaceDE w:val="0"/>
              <w:autoSpaceDN w:val="0"/>
              <w:adjustRightInd w:val="0"/>
              <w:jc w:val="center"/>
              <w:rPr>
                <w:rFonts w:eastAsia="Calibri"/>
                <w:b/>
                <w:sz w:val="24"/>
              </w:rPr>
            </w:pPr>
            <w:r w:rsidRPr="006034F8">
              <w:rPr>
                <w:rFonts w:eastAsia="Calibri"/>
                <w:b/>
                <w:sz w:val="24"/>
              </w:rPr>
              <w:t>(4)</w:t>
            </w:r>
          </w:p>
        </w:tc>
        <w:tc>
          <w:tcPr>
            <w:tcW w:w="78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234A7BBA" w14:textId="15BD65FA">
            <w:pPr>
              <w:widowControl w:val="0"/>
              <w:autoSpaceDE w:val="0"/>
              <w:autoSpaceDN w:val="0"/>
              <w:adjustRightInd w:val="0"/>
              <w:jc w:val="center"/>
              <w:rPr>
                <w:rFonts w:eastAsia="Calibri"/>
                <w:b/>
                <w:sz w:val="24"/>
              </w:rPr>
            </w:pPr>
            <w:r w:rsidRPr="006034F8">
              <w:rPr>
                <w:rFonts w:eastAsia="Calibri"/>
                <w:b/>
                <w:sz w:val="24"/>
              </w:rPr>
              <w:t>Total Annual Burden &amp; Total Annual Cost</w:t>
            </w:r>
          </w:p>
          <w:p w:rsidRPr="006034F8" w:rsidR="006034F8" w:rsidP="006034F8" w:rsidRDefault="006034F8" w14:paraId="7B7953E0" w14:textId="77777777">
            <w:pPr>
              <w:widowControl w:val="0"/>
              <w:autoSpaceDE w:val="0"/>
              <w:autoSpaceDN w:val="0"/>
              <w:adjustRightInd w:val="0"/>
              <w:jc w:val="center"/>
              <w:rPr>
                <w:rFonts w:eastAsia="Calibri"/>
                <w:b/>
                <w:sz w:val="24"/>
              </w:rPr>
            </w:pPr>
            <w:r w:rsidRPr="006034F8">
              <w:rPr>
                <w:rFonts w:eastAsia="Calibri"/>
                <w:b/>
                <w:sz w:val="24"/>
              </w:rPr>
              <w:t>(3)*(4)=(5)</w:t>
            </w:r>
          </w:p>
        </w:tc>
        <w:tc>
          <w:tcPr>
            <w:tcW w:w="6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6034F8" w:rsidR="006034F8" w:rsidP="006034F8" w:rsidRDefault="006034F8" w14:paraId="7893B940" w14:textId="77777777">
            <w:pPr>
              <w:widowControl w:val="0"/>
              <w:autoSpaceDE w:val="0"/>
              <w:autoSpaceDN w:val="0"/>
              <w:adjustRightInd w:val="0"/>
              <w:jc w:val="center"/>
              <w:rPr>
                <w:rFonts w:eastAsia="Calibri"/>
                <w:b/>
                <w:sz w:val="24"/>
              </w:rPr>
            </w:pPr>
            <w:r w:rsidRPr="006034F8">
              <w:rPr>
                <w:rFonts w:eastAsia="Calibri"/>
                <w:b/>
                <w:sz w:val="24"/>
              </w:rPr>
              <w:t>Cost per Respondent</w:t>
            </w:r>
          </w:p>
          <w:p w:rsidRPr="006034F8" w:rsidR="006034F8" w:rsidP="006034F8" w:rsidRDefault="006034F8" w14:paraId="5636B646" w14:textId="77777777">
            <w:pPr>
              <w:widowControl w:val="0"/>
              <w:autoSpaceDE w:val="0"/>
              <w:autoSpaceDN w:val="0"/>
              <w:adjustRightInd w:val="0"/>
              <w:jc w:val="center"/>
              <w:rPr>
                <w:rFonts w:eastAsia="Calibri"/>
                <w:b/>
                <w:sz w:val="24"/>
              </w:rPr>
            </w:pPr>
            <w:r w:rsidRPr="006034F8">
              <w:rPr>
                <w:rFonts w:eastAsia="Calibri"/>
                <w:b/>
                <w:sz w:val="24"/>
              </w:rPr>
              <w:t xml:space="preserve"> ($)</w:t>
            </w:r>
          </w:p>
          <w:p w:rsidRPr="006034F8" w:rsidR="006034F8" w:rsidP="006034F8" w:rsidRDefault="006034F8" w14:paraId="0BFB762C" w14:textId="77777777">
            <w:pPr>
              <w:widowControl w:val="0"/>
              <w:autoSpaceDE w:val="0"/>
              <w:autoSpaceDN w:val="0"/>
              <w:adjustRightInd w:val="0"/>
              <w:jc w:val="center"/>
              <w:rPr>
                <w:rFonts w:eastAsia="Calibri"/>
                <w:b/>
                <w:sz w:val="24"/>
              </w:rPr>
            </w:pPr>
            <w:r w:rsidRPr="006034F8">
              <w:rPr>
                <w:rFonts w:eastAsia="Calibri"/>
                <w:b/>
                <w:sz w:val="24"/>
              </w:rPr>
              <w:t>(5)÷(1)</w:t>
            </w:r>
          </w:p>
        </w:tc>
      </w:tr>
      <w:tr w:rsidRPr="006034F8" w:rsidR="006034F8" w:rsidTr="004D2736" w14:paraId="2777E776"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669F87BC" w14:textId="47467BFB">
            <w:pPr>
              <w:widowControl w:val="0"/>
              <w:autoSpaceDE w:val="0"/>
              <w:autoSpaceDN w:val="0"/>
              <w:adjustRightInd w:val="0"/>
              <w:jc w:val="right"/>
              <w:rPr>
                <w:rFonts w:eastAsia="Calibri"/>
                <w:b/>
                <w:sz w:val="24"/>
              </w:rPr>
            </w:pPr>
            <w:r w:rsidRPr="006034F8">
              <w:rPr>
                <w:rFonts w:eastAsia="Calibri"/>
                <w:b/>
                <w:sz w:val="24"/>
              </w:rPr>
              <w:t>EOP-0</w:t>
            </w:r>
            <w:r w:rsidR="00132130">
              <w:rPr>
                <w:rFonts w:eastAsia="Calibri"/>
                <w:b/>
                <w:sz w:val="24"/>
              </w:rPr>
              <w:t>10-1</w:t>
            </w:r>
          </w:p>
        </w:tc>
        <w:tc>
          <w:tcPr>
            <w:tcW w:w="4243"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034F8" w:rsidR="006034F8" w:rsidP="00E21B4E" w:rsidRDefault="006034F8" w14:paraId="11273062" w14:textId="77777777">
            <w:pPr>
              <w:widowControl w:val="0"/>
              <w:autoSpaceDE w:val="0"/>
              <w:autoSpaceDN w:val="0"/>
              <w:adjustRightInd w:val="0"/>
              <w:jc w:val="right"/>
              <w:rPr>
                <w:rFonts w:eastAsia="Calibri"/>
                <w:sz w:val="24"/>
              </w:rPr>
            </w:pPr>
          </w:p>
        </w:tc>
      </w:tr>
      <w:tr w:rsidRPr="006034F8" w:rsidR="006034F8" w:rsidTr="004D2736" w14:paraId="72F6A910"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034F8" w14:paraId="547B8DD6" w14:textId="1DFDEDE1">
            <w:pPr>
              <w:widowControl w:val="0"/>
              <w:autoSpaceDE w:val="0"/>
              <w:autoSpaceDN w:val="0"/>
              <w:adjustRightInd w:val="0"/>
              <w:jc w:val="right"/>
              <w:rPr>
                <w:rFonts w:eastAsia="Calibri"/>
                <w:sz w:val="24"/>
              </w:rPr>
            </w:pPr>
          </w:p>
        </w:tc>
        <w:tc>
          <w:tcPr>
            <w:tcW w:w="776" w:type="pct"/>
            <w:tcBorders>
              <w:top w:val="single" w:color="auto" w:sz="4" w:space="0"/>
              <w:left w:val="single" w:color="auto" w:sz="4" w:space="0"/>
              <w:bottom w:val="single" w:color="auto" w:sz="4" w:space="0"/>
              <w:right w:val="single" w:color="auto" w:sz="4" w:space="0"/>
            </w:tcBorders>
          </w:tcPr>
          <w:p w:rsidRPr="006034F8" w:rsidR="006034F8" w:rsidP="00E21B4E" w:rsidRDefault="006E28F7" w14:paraId="66798264" w14:textId="40D0F79B">
            <w:pPr>
              <w:widowControl w:val="0"/>
              <w:autoSpaceDE w:val="0"/>
              <w:autoSpaceDN w:val="0"/>
              <w:adjustRightInd w:val="0"/>
              <w:jc w:val="right"/>
              <w:rPr>
                <w:rFonts w:eastAsia="Calibri"/>
                <w:sz w:val="24"/>
              </w:rPr>
            </w:pPr>
            <w:r>
              <w:rPr>
                <w:rFonts w:eastAsia="Calibri"/>
                <w:sz w:val="24"/>
              </w:rPr>
              <w:t>181</w:t>
            </w:r>
          </w:p>
        </w:tc>
        <w:tc>
          <w:tcPr>
            <w:tcW w:w="693"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034F8" w14:paraId="5E8C2512" w14:textId="1802A457">
            <w:pPr>
              <w:widowControl w:val="0"/>
              <w:autoSpaceDE w:val="0"/>
              <w:autoSpaceDN w:val="0"/>
              <w:adjustRightInd w:val="0"/>
              <w:jc w:val="right"/>
              <w:rPr>
                <w:rFonts w:eastAsia="Calibri"/>
                <w:sz w:val="24"/>
              </w:rPr>
            </w:pPr>
            <w:r w:rsidRPr="006034F8">
              <w:rPr>
                <w:rFonts w:eastAsia="Calibri"/>
                <w:sz w:val="24"/>
              </w:rPr>
              <w:t>1</w:t>
            </w:r>
          </w:p>
        </w:tc>
        <w:tc>
          <w:tcPr>
            <w:tcW w:w="636"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E28F7" w14:paraId="41770F36" w14:textId="2BB7CFD3">
            <w:pPr>
              <w:widowControl w:val="0"/>
              <w:autoSpaceDE w:val="0"/>
              <w:autoSpaceDN w:val="0"/>
              <w:adjustRightInd w:val="0"/>
              <w:jc w:val="right"/>
              <w:rPr>
                <w:rFonts w:eastAsia="Calibri"/>
                <w:sz w:val="24"/>
              </w:rPr>
            </w:pPr>
            <w:r>
              <w:rPr>
                <w:rFonts w:eastAsia="Calibri"/>
                <w:sz w:val="24"/>
              </w:rPr>
              <w:t>181</w:t>
            </w:r>
          </w:p>
        </w:tc>
        <w:tc>
          <w:tcPr>
            <w:tcW w:w="660" w:type="pct"/>
            <w:tcBorders>
              <w:top w:val="single" w:color="auto" w:sz="4" w:space="0"/>
              <w:left w:val="single" w:color="auto" w:sz="4" w:space="0"/>
              <w:bottom w:val="single" w:color="auto" w:sz="4" w:space="0"/>
              <w:right w:val="single" w:color="auto" w:sz="4" w:space="0"/>
            </w:tcBorders>
            <w:hideMark/>
          </w:tcPr>
          <w:p w:rsidRPr="006034F8" w:rsidR="006034F8" w:rsidP="00E21B4E" w:rsidRDefault="00F24212" w14:paraId="5D76B776" w14:textId="04C6CCEC">
            <w:pPr>
              <w:widowControl w:val="0"/>
              <w:autoSpaceDE w:val="0"/>
              <w:autoSpaceDN w:val="0"/>
              <w:adjustRightInd w:val="0"/>
              <w:jc w:val="right"/>
              <w:rPr>
                <w:rFonts w:eastAsia="Calibri"/>
                <w:sz w:val="24"/>
              </w:rPr>
            </w:pPr>
            <w:r>
              <w:rPr>
                <w:rFonts w:eastAsia="Calibri"/>
                <w:sz w:val="24"/>
              </w:rPr>
              <w:t>20</w:t>
            </w:r>
            <w:r w:rsidRPr="006034F8" w:rsidR="006034F8">
              <w:rPr>
                <w:rFonts w:eastAsia="Calibri"/>
                <w:sz w:val="24"/>
              </w:rPr>
              <w:t xml:space="preserve"> hrs.</w:t>
            </w:r>
            <w:r w:rsidR="00132130">
              <w:rPr>
                <w:rFonts w:eastAsia="Calibri"/>
                <w:sz w:val="24"/>
              </w:rPr>
              <w:t>;</w:t>
            </w:r>
          </w:p>
          <w:p w:rsidRPr="006034F8" w:rsidR="006034F8" w:rsidP="00E21B4E" w:rsidRDefault="006034F8" w14:paraId="2E6918C3" w14:textId="3586939B">
            <w:pPr>
              <w:widowControl w:val="0"/>
              <w:autoSpaceDE w:val="0"/>
              <w:autoSpaceDN w:val="0"/>
              <w:adjustRightInd w:val="0"/>
              <w:jc w:val="right"/>
              <w:rPr>
                <w:rFonts w:eastAsia="Calibri"/>
                <w:sz w:val="24"/>
              </w:rPr>
            </w:pPr>
            <w:r w:rsidRPr="006034F8">
              <w:rPr>
                <w:rFonts w:eastAsia="Calibri"/>
                <w:sz w:val="24"/>
              </w:rPr>
              <w:t>$</w:t>
            </w:r>
            <w:r w:rsidR="00F24212">
              <w:rPr>
                <w:rFonts w:eastAsia="Calibri"/>
                <w:sz w:val="24"/>
              </w:rPr>
              <w:t>1,660</w:t>
            </w:r>
          </w:p>
          <w:p w:rsidRPr="006034F8" w:rsidR="006034F8" w:rsidP="00E21B4E" w:rsidRDefault="006034F8" w14:paraId="0B278D04" w14:textId="08D8A3B8">
            <w:pPr>
              <w:widowControl w:val="0"/>
              <w:autoSpaceDE w:val="0"/>
              <w:autoSpaceDN w:val="0"/>
              <w:adjustRightInd w:val="0"/>
              <w:jc w:val="right"/>
              <w:rPr>
                <w:rFonts w:eastAsia="Calibri"/>
                <w:sz w:val="24"/>
              </w:rPr>
            </w:pPr>
          </w:p>
        </w:tc>
        <w:tc>
          <w:tcPr>
            <w:tcW w:w="781" w:type="pct"/>
            <w:tcBorders>
              <w:top w:val="single" w:color="auto" w:sz="4" w:space="0"/>
              <w:left w:val="single" w:color="auto" w:sz="4" w:space="0"/>
              <w:bottom w:val="single" w:color="auto" w:sz="4" w:space="0"/>
              <w:right w:val="single" w:color="auto" w:sz="4" w:space="0"/>
            </w:tcBorders>
            <w:hideMark/>
          </w:tcPr>
          <w:p w:rsidRPr="006034F8" w:rsidR="006034F8" w:rsidP="00E21B4E" w:rsidRDefault="00132130" w14:paraId="543A8F27" w14:textId="5012FD57">
            <w:pPr>
              <w:widowControl w:val="0"/>
              <w:autoSpaceDE w:val="0"/>
              <w:autoSpaceDN w:val="0"/>
              <w:adjustRightInd w:val="0"/>
              <w:jc w:val="right"/>
              <w:rPr>
                <w:rFonts w:eastAsia="Calibri"/>
                <w:sz w:val="24"/>
              </w:rPr>
            </w:pPr>
            <w:r>
              <w:rPr>
                <w:rFonts w:eastAsia="Calibri"/>
                <w:sz w:val="24"/>
              </w:rPr>
              <w:t>3,</w:t>
            </w:r>
            <w:r w:rsidR="006E28F7">
              <w:rPr>
                <w:rFonts w:eastAsia="Calibri"/>
                <w:sz w:val="24"/>
              </w:rPr>
              <w:t>620</w:t>
            </w:r>
            <w:r w:rsidRPr="006034F8" w:rsidR="006E28F7">
              <w:rPr>
                <w:rFonts w:eastAsia="Calibri"/>
                <w:sz w:val="24"/>
              </w:rPr>
              <w:t xml:space="preserve"> </w:t>
            </w:r>
            <w:r w:rsidRPr="006034F8" w:rsidR="006034F8">
              <w:rPr>
                <w:rFonts w:eastAsia="Calibri"/>
                <w:sz w:val="24"/>
              </w:rPr>
              <w:t>hrs.</w:t>
            </w:r>
            <w:r>
              <w:rPr>
                <w:rFonts w:eastAsia="Calibri"/>
                <w:sz w:val="24"/>
              </w:rPr>
              <w:t>;</w:t>
            </w:r>
            <w:r w:rsidRPr="006034F8" w:rsidR="006034F8">
              <w:rPr>
                <w:rFonts w:eastAsia="Calibri"/>
                <w:sz w:val="24"/>
              </w:rPr>
              <w:t xml:space="preserve"> $</w:t>
            </w:r>
            <w:r w:rsidR="006E28F7">
              <w:rPr>
                <w:rFonts w:eastAsia="Calibri"/>
                <w:sz w:val="24"/>
              </w:rPr>
              <w:t>300</w:t>
            </w:r>
            <w:r w:rsidR="00DB20B1">
              <w:rPr>
                <w:rFonts w:eastAsia="Calibri"/>
                <w:sz w:val="24"/>
              </w:rPr>
              <w:t>,</w:t>
            </w:r>
            <w:r w:rsidR="006E28F7">
              <w:rPr>
                <w:rFonts w:eastAsia="Calibri"/>
                <w:sz w:val="24"/>
              </w:rPr>
              <w:t>460</w:t>
            </w:r>
            <w:r w:rsidRPr="006034F8" w:rsidR="006E28F7">
              <w:rPr>
                <w:rFonts w:eastAsia="Calibri"/>
                <w:sz w:val="24"/>
              </w:rPr>
              <w:t xml:space="preserve"> </w:t>
            </w:r>
          </w:p>
          <w:p w:rsidRPr="006034F8" w:rsidR="006034F8" w:rsidP="00E21B4E" w:rsidRDefault="006034F8" w14:paraId="10936BB7" w14:textId="1310DC1B">
            <w:pPr>
              <w:widowControl w:val="0"/>
              <w:autoSpaceDE w:val="0"/>
              <w:autoSpaceDN w:val="0"/>
              <w:adjustRightInd w:val="0"/>
              <w:jc w:val="right"/>
              <w:rPr>
                <w:rFonts w:eastAsia="Calibri"/>
                <w:sz w:val="24"/>
              </w:rPr>
            </w:pPr>
          </w:p>
        </w:tc>
        <w:tc>
          <w:tcPr>
            <w:tcW w:w="694" w:type="pct"/>
            <w:tcBorders>
              <w:top w:val="single" w:color="auto" w:sz="4" w:space="0"/>
              <w:left w:val="single" w:color="auto" w:sz="4" w:space="0"/>
              <w:bottom w:val="single" w:color="auto" w:sz="4" w:space="0"/>
              <w:right w:val="single" w:color="auto" w:sz="4" w:space="0"/>
            </w:tcBorders>
          </w:tcPr>
          <w:p w:rsidRPr="006034F8" w:rsidR="006034F8" w:rsidP="00E21B4E" w:rsidRDefault="00132130" w14:paraId="1B003B7B" w14:textId="18866CF6">
            <w:pPr>
              <w:widowControl w:val="0"/>
              <w:autoSpaceDE w:val="0"/>
              <w:autoSpaceDN w:val="0"/>
              <w:adjustRightInd w:val="0"/>
              <w:jc w:val="right"/>
              <w:rPr>
                <w:rFonts w:eastAsia="Calibri"/>
                <w:sz w:val="24"/>
              </w:rPr>
            </w:pPr>
            <w:r>
              <w:rPr>
                <w:rFonts w:eastAsia="Calibri"/>
                <w:sz w:val="24"/>
              </w:rPr>
              <w:t>$</w:t>
            </w:r>
            <w:r w:rsidR="00694FB4">
              <w:rPr>
                <w:rFonts w:eastAsia="Calibri"/>
                <w:sz w:val="24"/>
              </w:rPr>
              <w:t>1,660</w:t>
            </w:r>
          </w:p>
        </w:tc>
      </w:tr>
      <w:tr w:rsidRPr="006034F8" w:rsidR="006034F8" w:rsidTr="004D2736" w14:paraId="65A96A7E"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7BC0B150" w14:textId="132B76D3">
            <w:pPr>
              <w:widowControl w:val="0"/>
              <w:autoSpaceDE w:val="0"/>
              <w:autoSpaceDN w:val="0"/>
              <w:adjustRightInd w:val="0"/>
              <w:jc w:val="right"/>
              <w:rPr>
                <w:rFonts w:eastAsia="Calibri"/>
                <w:sz w:val="24"/>
              </w:rPr>
            </w:pPr>
            <w:r w:rsidRPr="006034F8">
              <w:rPr>
                <w:rFonts w:eastAsia="Calibri"/>
                <w:b/>
                <w:sz w:val="24"/>
              </w:rPr>
              <w:t>EOP-</w:t>
            </w:r>
            <w:r w:rsidR="00132130">
              <w:rPr>
                <w:rFonts w:eastAsia="Calibri"/>
                <w:b/>
                <w:sz w:val="24"/>
              </w:rPr>
              <w:t>011-1</w:t>
            </w:r>
          </w:p>
        </w:tc>
        <w:tc>
          <w:tcPr>
            <w:tcW w:w="77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2A5F367C" w14:textId="5FA8F9B5">
            <w:pPr>
              <w:widowControl w:val="0"/>
              <w:autoSpaceDE w:val="0"/>
              <w:autoSpaceDN w:val="0"/>
              <w:adjustRightInd w:val="0"/>
              <w:jc w:val="right"/>
              <w:rPr>
                <w:rFonts w:eastAsia="Calibri"/>
                <w:sz w:val="24"/>
              </w:rPr>
            </w:pPr>
          </w:p>
        </w:tc>
        <w:tc>
          <w:tcPr>
            <w:tcW w:w="69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21BA0698" w14:textId="70807436">
            <w:pPr>
              <w:widowControl w:val="0"/>
              <w:autoSpaceDE w:val="0"/>
              <w:autoSpaceDN w:val="0"/>
              <w:adjustRightInd w:val="0"/>
              <w:jc w:val="right"/>
              <w:rPr>
                <w:rFonts w:eastAsia="Calibri"/>
                <w:sz w:val="24"/>
              </w:rPr>
            </w:pPr>
          </w:p>
        </w:tc>
        <w:tc>
          <w:tcPr>
            <w:tcW w:w="63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789BBCFF" w14:textId="0AF72532">
            <w:pPr>
              <w:widowControl w:val="0"/>
              <w:autoSpaceDE w:val="0"/>
              <w:autoSpaceDN w:val="0"/>
              <w:adjustRightInd w:val="0"/>
              <w:jc w:val="right"/>
              <w:rPr>
                <w:rFonts w:eastAsia="Calibri"/>
                <w:sz w:val="24"/>
              </w:rPr>
            </w:pPr>
          </w:p>
        </w:tc>
        <w:tc>
          <w:tcPr>
            <w:tcW w:w="66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4A130CE8" w14:textId="465AA018">
            <w:pPr>
              <w:widowControl w:val="0"/>
              <w:autoSpaceDE w:val="0"/>
              <w:autoSpaceDN w:val="0"/>
              <w:adjustRightInd w:val="0"/>
              <w:jc w:val="right"/>
              <w:rPr>
                <w:rFonts w:eastAsia="Calibri"/>
                <w:sz w:val="24"/>
              </w:rPr>
            </w:pPr>
          </w:p>
        </w:tc>
        <w:tc>
          <w:tcPr>
            <w:tcW w:w="78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1504904F" w14:textId="1DBC83A6">
            <w:pPr>
              <w:widowControl w:val="0"/>
              <w:autoSpaceDE w:val="0"/>
              <w:autoSpaceDN w:val="0"/>
              <w:adjustRightInd w:val="0"/>
              <w:jc w:val="right"/>
              <w:rPr>
                <w:rFonts w:eastAsia="Calibri"/>
                <w:sz w:val="24"/>
              </w:rPr>
            </w:pPr>
          </w:p>
        </w:tc>
        <w:tc>
          <w:tcPr>
            <w:tcW w:w="694"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691F0255" w14:textId="6413435B">
            <w:pPr>
              <w:widowControl w:val="0"/>
              <w:autoSpaceDE w:val="0"/>
              <w:autoSpaceDN w:val="0"/>
              <w:adjustRightInd w:val="0"/>
              <w:jc w:val="right"/>
              <w:rPr>
                <w:rFonts w:eastAsia="Calibri"/>
                <w:sz w:val="24"/>
              </w:rPr>
            </w:pPr>
          </w:p>
        </w:tc>
      </w:tr>
      <w:tr w:rsidRPr="006034F8" w:rsidR="006034F8" w:rsidTr="004D2736" w14:paraId="68F3A86A"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034F8" w14:paraId="2F674807" w14:textId="319BA436">
            <w:pPr>
              <w:widowControl w:val="0"/>
              <w:autoSpaceDE w:val="0"/>
              <w:autoSpaceDN w:val="0"/>
              <w:adjustRightInd w:val="0"/>
              <w:jc w:val="right"/>
              <w:rPr>
                <w:rFonts w:eastAsia="Calibri"/>
                <w:sz w:val="24"/>
              </w:rPr>
            </w:pPr>
          </w:p>
        </w:tc>
        <w:tc>
          <w:tcPr>
            <w:tcW w:w="776"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E28F7" w14:paraId="28430FBC" w14:textId="038DE45A">
            <w:pPr>
              <w:widowControl w:val="0"/>
              <w:autoSpaceDE w:val="0"/>
              <w:autoSpaceDN w:val="0"/>
              <w:adjustRightInd w:val="0"/>
              <w:jc w:val="right"/>
              <w:rPr>
                <w:rFonts w:eastAsia="Calibri"/>
                <w:sz w:val="24"/>
              </w:rPr>
            </w:pPr>
            <w:r>
              <w:rPr>
                <w:rFonts w:eastAsia="Calibri"/>
                <w:sz w:val="24"/>
              </w:rPr>
              <w:t>12</w:t>
            </w:r>
          </w:p>
        </w:tc>
        <w:tc>
          <w:tcPr>
            <w:tcW w:w="693" w:type="pct"/>
            <w:tcBorders>
              <w:top w:val="single" w:color="auto" w:sz="4" w:space="0"/>
              <w:left w:val="single" w:color="auto" w:sz="4" w:space="0"/>
              <w:bottom w:val="single" w:color="auto" w:sz="4" w:space="0"/>
              <w:right w:val="single" w:color="auto" w:sz="4" w:space="0"/>
            </w:tcBorders>
            <w:hideMark/>
          </w:tcPr>
          <w:p w:rsidRPr="006034F8" w:rsidR="006034F8" w:rsidP="00E21B4E" w:rsidRDefault="00DD12B8" w14:paraId="2FBF54F2" w14:textId="024F45C5">
            <w:pPr>
              <w:widowControl w:val="0"/>
              <w:autoSpaceDE w:val="0"/>
              <w:autoSpaceDN w:val="0"/>
              <w:adjustRightInd w:val="0"/>
              <w:jc w:val="right"/>
              <w:rPr>
                <w:rFonts w:eastAsia="Calibri"/>
                <w:sz w:val="24"/>
              </w:rPr>
            </w:pPr>
            <w:r>
              <w:rPr>
                <w:rFonts w:eastAsia="Calibri"/>
                <w:sz w:val="24"/>
              </w:rPr>
              <w:t>1</w:t>
            </w:r>
          </w:p>
        </w:tc>
        <w:tc>
          <w:tcPr>
            <w:tcW w:w="636"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E28F7" w14:paraId="5A2AA3DA" w14:textId="757DF9D4">
            <w:pPr>
              <w:widowControl w:val="0"/>
              <w:autoSpaceDE w:val="0"/>
              <w:autoSpaceDN w:val="0"/>
              <w:adjustRightInd w:val="0"/>
              <w:jc w:val="right"/>
              <w:rPr>
                <w:rFonts w:eastAsia="Calibri"/>
                <w:sz w:val="24"/>
              </w:rPr>
            </w:pPr>
            <w:r>
              <w:rPr>
                <w:rFonts w:eastAsia="Calibri"/>
                <w:sz w:val="24"/>
              </w:rPr>
              <w:t>12</w:t>
            </w:r>
          </w:p>
        </w:tc>
        <w:tc>
          <w:tcPr>
            <w:tcW w:w="660" w:type="pct"/>
            <w:tcBorders>
              <w:top w:val="single" w:color="auto" w:sz="4" w:space="0"/>
              <w:left w:val="single" w:color="auto" w:sz="4" w:space="0"/>
              <w:bottom w:val="single" w:color="auto" w:sz="4" w:space="0"/>
              <w:right w:val="single" w:color="auto" w:sz="4" w:space="0"/>
            </w:tcBorders>
            <w:hideMark/>
          </w:tcPr>
          <w:p w:rsidRPr="006034F8" w:rsidR="006034F8" w:rsidP="00E21B4E" w:rsidRDefault="00782DAA" w14:paraId="50F2E870" w14:textId="25B93A83">
            <w:pPr>
              <w:widowControl w:val="0"/>
              <w:autoSpaceDE w:val="0"/>
              <w:autoSpaceDN w:val="0"/>
              <w:adjustRightInd w:val="0"/>
              <w:ind w:right="-105"/>
              <w:jc w:val="right"/>
              <w:rPr>
                <w:rFonts w:eastAsia="Calibri"/>
                <w:sz w:val="24"/>
              </w:rPr>
            </w:pPr>
            <w:r>
              <w:rPr>
                <w:rFonts w:eastAsia="Calibri"/>
                <w:sz w:val="24"/>
              </w:rPr>
              <w:t>1,500</w:t>
            </w:r>
            <w:r w:rsidR="00283CBC">
              <w:rPr>
                <w:rFonts w:eastAsia="Calibri"/>
                <w:sz w:val="24"/>
              </w:rPr>
              <w:t xml:space="preserve"> </w:t>
            </w:r>
            <w:r w:rsidR="00601F1E">
              <w:rPr>
                <w:rFonts w:eastAsia="Calibri"/>
                <w:sz w:val="24"/>
              </w:rPr>
              <w:t>h</w:t>
            </w:r>
            <w:r w:rsidR="00283CBC">
              <w:rPr>
                <w:rFonts w:eastAsia="Calibri"/>
                <w:sz w:val="24"/>
              </w:rPr>
              <w:t>rs.</w:t>
            </w:r>
            <w:r w:rsidR="00132130">
              <w:rPr>
                <w:rFonts w:eastAsia="Calibri"/>
                <w:sz w:val="24"/>
              </w:rPr>
              <w:t>;</w:t>
            </w:r>
            <w:r w:rsidRPr="006034F8" w:rsidR="006034F8">
              <w:rPr>
                <w:rFonts w:eastAsia="Calibri"/>
                <w:sz w:val="24"/>
              </w:rPr>
              <w:t xml:space="preserve"> </w:t>
            </w:r>
          </w:p>
          <w:p w:rsidRPr="006034F8" w:rsidR="006034F8" w:rsidP="00E21B4E" w:rsidRDefault="006034F8" w14:paraId="1E6B9F5A" w14:textId="1DCAAE7C">
            <w:pPr>
              <w:widowControl w:val="0"/>
              <w:autoSpaceDE w:val="0"/>
              <w:autoSpaceDN w:val="0"/>
              <w:adjustRightInd w:val="0"/>
              <w:jc w:val="right"/>
              <w:rPr>
                <w:rFonts w:eastAsia="Calibri"/>
                <w:sz w:val="24"/>
              </w:rPr>
            </w:pPr>
            <w:r w:rsidRPr="006034F8">
              <w:rPr>
                <w:rFonts w:eastAsia="Calibri"/>
                <w:sz w:val="24"/>
              </w:rPr>
              <w:t>$</w:t>
            </w:r>
            <w:r w:rsidR="0032340E">
              <w:rPr>
                <w:rFonts w:eastAsia="Calibri"/>
                <w:sz w:val="24"/>
              </w:rPr>
              <w:t>124,500</w:t>
            </w:r>
          </w:p>
        </w:tc>
        <w:tc>
          <w:tcPr>
            <w:tcW w:w="781" w:type="pct"/>
            <w:tcBorders>
              <w:top w:val="single" w:color="auto" w:sz="4" w:space="0"/>
              <w:left w:val="single" w:color="auto" w:sz="4" w:space="0"/>
              <w:bottom w:val="single" w:color="auto" w:sz="4" w:space="0"/>
              <w:right w:val="single" w:color="auto" w:sz="4" w:space="0"/>
            </w:tcBorders>
            <w:hideMark/>
          </w:tcPr>
          <w:p w:rsidRPr="006034F8" w:rsidR="006034F8" w:rsidP="00E21B4E" w:rsidRDefault="00283CBC" w14:paraId="58BFD9E4" w14:textId="0BAF06EB">
            <w:pPr>
              <w:widowControl w:val="0"/>
              <w:autoSpaceDE w:val="0"/>
              <w:autoSpaceDN w:val="0"/>
              <w:adjustRightInd w:val="0"/>
              <w:jc w:val="right"/>
              <w:rPr>
                <w:rFonts w:eastAsia="Calibri"/>
                <w:sz w:val="24"/>
              </w:rPr>
            </w:pPr>
            <w:r>
              <w:rPr>
                <w:rFonts w:eastAsia="Calibri"/>
                <w:sz w:val="24"/>
              </w:rPr>
              <w:t xml:space="preserve">   </w:t>
            </w:r>
            <w:r w:rsidR="00601F1E">
              <w:rPr>
                <w:rFonts w:eastAsia="Calibri"/>
                <w:sz w:val="24"/>
              </w:rPr>
              <w:t xml:space="preserve"> </w:t>
            </w:r>
            <w:r w:rsidR="006E28F7">
              <w:rPr>
                <w:rFonts w:eastAsia="Calibri"/>
                <w:sz w:val="24"/>
              </w:rPr>
              <w:t>18</w:t>
            </w:r>
            <w:r w:rsidR="00782DAA">
              <w:rPr>
                <w:rFonts w:eastAsia="Calibri"/>
                <w:sz w:val="24"/>
              </w:rPr>
              <w:t>,</w:t>
            </w:r>
            <w:r w:rsidR="006E28F7">
              <w:rPr>
                <w:rFonts w:eastAsia="Calibri"/>
                <w:sz w:val="24"/>
              </w:rPr>
              <w:t xml:space="preserve">000 </w:t>
            </w:r>
            <w:r>
              <w:rPr>
                <w:rFonts w:eastAsia="Calibri"/>
                <w:sz w:val="24"/>
              </w:rPr>
              <w:t>hrs.</w:t>
            </w:r>
            <w:r w:rsidR="00132130">
              <w:rPr>
                <w:rFonts w:eastAsia="Calibri"/>
                <w:sz w:val="24"/>
              </w:rPr>
              <w:t>;</w:t>
            </w:r>
          </w:p>
          <w:p w:rsidRPr="006034F8" w:rsidR="006034F8" w:rsidP="00E21B4E" w:rsidRDefault="006034F8" w14:paraId="4E6E9298" w14:textId="12BDB900">
            <w:pPr>
              <w:widowControl w:val="0"/>
              <w:autoSpaceDE w:val="0"/>
              <w:autoSpaceDN w:val="0"/>
              <w:adjustRightInd w:val="0"/>
              <w:jc w:val="right"/>
              <w:rPr>
                <w:rFonts w:eastAsia="Calibri"/>
                <w:sz w:val="24"/>
              </w:rPr>
            </w:pPr>
            <w:r w:rsidRPr="006034F8">
              <w:rPr>
                <w:rFonts w:eastAsia="Calibri"/>
                <w:sz w:val="24"/>
              </w:rPr>
              <w:t>$</w:t>
            </w:r>
            <w:r w:rsidR="00DB20B1">
              <w:rPr>
                <w:rFonts w:eastAsia="Calibri"/>
                <w:sz w:val="24"/>
              </w:rPr>
              <w:t>1</w:t>
            </w:r>
            <w:r w:rsidR="0032340E">
              <w:rPr>
                <w:rFonts w:eastAsia="Calibri"/>
                <w:sz w:val="24"/>
              </w:rPr>
              <w:t>,</w:t>
            </w:r>
            <w:r w:rsidR="006E28F7">
              <w:rPr>
                <w:rFonts w:eastAsia="Calibri"/>
                <w:sz w:val="24"/>
              </w:rPr>
              <w:t>494</w:t>
            </w:r>
            <w:r w:rsidR="0032340E">
              <w:rPr>
                <w:rFonts w:eastAsia="Calibri"/>
                <w:sz w:val="24"/>
              </w:rPr>
              <w:t>,</w:t>
            </w:r>
            <w:r w:rsidR="006E28F7">
              <w:rPr>
                <w:rFonts w:eastAsia="Calibri"/>
                <w:sz w:val="24"/>
              </w:rPr>
              <w:t>000</w:t>
            </w:r>
          </w:p>
        </w:tc>
        <w:tc>
          <w:tcPr>
            <w:tcW w:w="694" w:type="pct"/>
            <w:tcBorders>
              <w:top w:val="single" w:color="auto" w:sz="4" w:space="0"/>
              <w:left w:val="single" w:color="auto" w:sz="4" w:space="0"/>
              <w:bottom w:val="single" w:color="auto" w:sz="4" w:space="0"/>
              <w:right w:val="single" w:color="auto" w:sz="4" w:space="0"/>
            </w:tcBorders>
            <w:hideMark/>
          </w:tcPr>
          <w:p w:rsidRPr="006034F8" w:rsidR="006034F8" w:rsidP="00E21B4E" w:rsidRDefault="00132130" w14:paraId="02FAC211" w14:textId="5C1BF0B4">
            <w:pPr>
              <w:widowControl w:val="0"/>
              <w:autoSpaceDE w:val="0"/>
              <w:autoSpaceDN w:val="0"/>
              <w:adjustRightInd w:val="0"/>
              <w:jc w:val="right"/>
              <w:rPr>
                <w:rFonts w:eastAsia="Calibri"/>
                <w:sz w:val="24"/>
              </w:rPr>
            </w:pPr>
            <w:r>
              <w:rPr>
                <w:rFonts w:eastAsia="Calibri"/>
                <w:sz w:val="24"/>
              </w:rPr>
              <w:t>$</w:t>
            </w:r>
            <w:r w:rsidR="00694FB4">
              <w:rPr>
                <w:rFonts w:eastAsia="Calibri"/>
                <w:sz w:val="24"/>
              </w:rPr>
              <w:t>124,500</w:t>
            </w:r>
          </w:p>
        </w:tc>
      </w:tr>
      <w:tr w:rsidRPr="006034F8" w:rsidR="006034F8" w:rsidTr="004D2736" w14:paraId="3FFF680E" w14:textId="77777777">
        <w:trPr>
          <w:cantSplit/>
        </w:trPr>
        <w:tc>
          <w:tcPr>
            <w:tcW w:w="75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382801B2" w14:textId="3267F1CB">
            <w:pPr>
              <w:widowControl w:val="0"/>
              <w:autoSpaceDE w:val="0"/>
              <w:autoSpaceDN w:val="0"/>
              <w:adjustRightInd w:val="0"/>
              <w:jc w:val="right"/>
              <w:rPr>
                <w:rFonts w:eastAsia="Calibri"/>
                <w:b/>
                <w:sz w:val="24"/>
              </w:rPr>
            </w:pPr>
            <w:r w:rsidRPr="006034F8">
              <w:rPr>
                <w:rFonts w:eastAsia="Calibri"/>
                <w:b/>
                <w:sz w:val="24"/>
              </w:rPr>
              <w:t>EOP-004</w:t>
            </w:r>
            <w:r w:rsidR="00132130">
              <w:rPr>
                <w:rFonts w:eastAsia="Calibri"/>
                <w:b/>
                <w:sz w:val="24"/>
              </w:rPr>
              <w:t>-</w:t>
            </w:r>
            <w:r w:rsidRPr="006034F8">
              <w:rPr>
                <w:rFonts w:eastAsia="Calibri"/>
                <w:b/>
                <w:sz w:val="24"/>
              </w:rPr>
              <w:t>4</w:t>
            </w:r>
            <w:r w:rsidR="00132130">
              <w:rPr>
                <w:rFonts w:eastAsia="Calibri"/>
                <w:b/>
                <w:sz w:val="24"/>
              </w:rPr>
              <w:t>,EOP-005-3,EOP-006-3,EOP-008-2</w:t>
            </w:r>
          </w:p>
          <w:p w:rsidRPr="006034F8" w:rsidR="006034F8" w:rsidP="00E21B4E" w:rsidRDefault="006034F8" w14:paraId="17CE46D5" w14:textId="69496D7C">
            <w:pPr>
              <w:widowControl w:val="0"/>
              <w:autoSpaceDE w:val="0"/>
              <w:autoSpaceDN w:val="0"/>
              <w:adjustRightInd w:val="0"/>
              <w:jc w:val="right"/>
              <w:rPr>
                <w:rFonts w:eastAsia="Calibri"/>
                <w:sz w:val="24"/>
              </w:rPr>
            </w:pPr>
          </w:p>
        </w:tc>
        <w:tc>
          <w:tcPr>
            <w:tcW w:w="77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5F801745" w14:textId="31750C5A">
            <w:pPr>
              <w:widowControl w:val="0"/>
              <w:autoSpaceDE w:val="0"/>
              <w:autoSpaceDN w:val="0"/>
              <w:adjustRightInd w:val="0"/>
              <w:jc w:val="right"/>
              <w:rPr>
                <w:rFonts w:eastAsia="Calibri"/>
                <w:sz w:val="24"/>
              </w:rPr>
            </w:pPr>
          </w:p>
        </w:tc>
        <w:tc>
          <w:tcPr>
            <w:tcW w:w="69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50098D41" w14:textId="7267ADBC">
            <w:pPr>
              <w:widowControl w:val="0"/>
              <w:autoSpaceDE w:val="0"/>
              <w:autoSpaceDN w:val="0"/>
              <w:adjustRightInd w:val="0"/>
              <w:jc w:val="right"/>
              <w:rPr>
                <w:rFonts w:eastAsia="Calibri"/>
                <w:sz w:val="24"/>
              </w:rPr>
            </w:pPr>
          </w:p>
        </w:tc>
        <w:tc>
          <w:tcPr>
            <w:tcW w:w="63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197CD2A1" w14:textId="0E810BB9">
            <w:pPr>
              <w:widowControl w:val="0"/>
              <w:autoSpaceDE w:val="0"/>
              <w:autoSpaceDN w:val="0"/>
              <w:adjustRightInd w:val="0"/>
              <w:jc w:val="right"/>
              <w:rPr>
                <w:rFonts w:eastAsia="Calibri"/>
                <w:sz w:val="24"/>
              </w:rPr>
            </w:pPr>
          </w:p>
        </w:tc>
        <w:tc>
          <w:tcPr>
            <w:tcW w:w="66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473FDAC8" w14:textId="07AB6697">
            <w:pPr>
              <w:widowControl w:val="0"/>
              <w:autoSpaceDE w:val="0"/>
              <w:autoSpaceDN w:val="0"/>
              <w:adjustRightInd w:val="0"/>
              <w:jc w:val="right"/>
              <w:rPr>
                <w:rFonts w:eastAsia="Calibri"/>
                <w:sz w:val="24"/>
              </w:rPr>
            </w:pPr>
          </w:p>
        </w:tc>
        <w:tc>
          <w:tcPr>
            <w:tcW w:w="78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0FD18F1B" w14:textId="558B730A">
            <w:pPr>
              <w:widowControl w:val="0"/>
              <w:autoSpaceDE w:val="0"/>
              <w:autoSpaceDN w:val="0"/>
              <w:adjustRightInd w:val="0"/>
              <w:jc w:val="right"/>
              <w:rPr>
                <w:rFonts w:eastAsia="Calibri"/>
                <w:sz w:val="24"/>
              </w:rPr>
            </w:pPr>
          </w:p>
        </w:tc>
        <w:tc>
          <w:tcPr>
            <w:tcW w:w="694"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6034F8" w:rsidR="006034F8" w:rsidP="00E21B4E" w:rsidRDefault="006034F8" w14:paraId="756BB4AE" w14:textId="61C92BB6">
            <w:pPr>
              <w:widowControl w:val="0"/>
              <w:autoSpaceDE w:val="0"/>
              <w:autoSpaceDN w:val="0"/>
              <w:adjustRightInd w:val="0"/>
              <w:jc w:val="right"/>
              <w:rPr>
                <w:rFonts w:eastAsia="Calibri"/>
                <w:sz w:val="24"/>
              </w:rPr>
            </w:pPr>
          </w:p>
        </w:tc>
      </w:tr>
      <w:tr w:rsidRPr="006034F8" w:rsidR="006034F8" w:rsidTr="004D2736" w14:paraId="33FD15B5"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132130" w:rsidP="00E21B4E" w:rsidRDefault="00132130" w14:paraId="0045F835" w14:textId="3AF76C6E">
            <w:pPr>
              <w:widowControl w:val="0"/>
              <w:autoSpaceDE w:val="0"/>
              <w:autoSpaceDN w:val="0"/>
              <w:adjustRightInd w:val="0"/>
              <w:jc w:val="right"/>
              <w:rPr>
                <w:rFonts w:eastAsia="Calibri"/>
                <w:sz w:val="24"/>
              </w:rPr>
            </w:pPr>
          </w:p>
          <w:p w:rsidRPr="006034F8" w:rsidR="006034F8" w:rsidP="00E21B4E" w:rsidRDefault="006034F8" w14:paraId="4447A9D7" w14:textId="58B3D3C8">
            <w:pPr>
              <w:widowControl w:val="0"/>
              <w:autoSpaceDE w:val="0"/>
              <w:autoSpaceDN w:val="0"/>
              <w:adjustRightInd w:val="0"/>
              <w:jc w:val="right"/>
              <w:rPr>
                <w:rFonts w:eastAsia="Calibri"/>
                <w:sz w:val="24"/>
              </w:rPr>
            </w:pPr>
          </w:p>
        </w:tc>
        <w:tc>
          <w:tcPr>
            <w:tcW w:w="776"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E28F7" w14:paraId="0C4B8542" w14:textId="136EE6FB">
            <w:pPr>
              <w:widowControl w:val="0"/>
              <w:autoSpaceDE w:val="0"/>
              <w:autoSpaceDN w:val="0"/>
              <w:adjustRightInd w:val="0"/>
              <w:jc w:val="right"/>
              <w:rPr>
                <w:rFonts w:eastAsia="Calibri"/>
                <w:sz w:val="24"/>
              </w:rPr>
            </w:pPr>
            <w:r>
              <w:rPr>
                <w:rFonts w:eastAsia="Calibri"/>
                <w:sz w:val="24"/>
              </w:rPr>
              <w:t>280</w:t>
            </w:r>
          </w:p>
        </w:tc>
        <w:tc>
          <w:tcPr>
            <w:tcW w:w="693"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034F8" w14:paraId="4843FAE2" w14:textId="436BD46F">
            <w:pPr>
              <w:widowControl w:val="0"/>
              <w:autoSpaceDE w:val="0"/>
              <w:autoSpaceDN w:val="0"/>
              <w:adjustRightInd w:val="0"/>
              <w:jc w:val="right"/>
              <w:rPr>
                <w:rFonts w:eastAsia="Calibri"/>
                <w:sz w:val="24"/>
              </w:rPr>
            </w:pPr>
            <w:r w:rsidRPr="006034F8">
              <w:rPr>
                <w:rFonts w:eastAsia="Calibri"/>
                <w:sz w:val="24"/>
              </w:rPr>
              <w:t>1</w:t>
            </w:r>
          </w:p>
        </w:tc>
        <w:tc>
          <w:tcPr>
            <w:tcW w:w="636"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E28F7" w14:paraId="72FC9BFF" w14:textId="209FE495">
            <w:pPr>
              <w:widowControl w:val="0"/>
              <w:autoSpaceDE w:val="0"/>
              <w:autoSpaceDN w:val="0"/>
              <w:adjustRightInd w:val="0"/>
              <w:jc w:val="right"/>
              <w:rPr>
                <w:rFonts w:eastAsia="Calibri"/>
                <w:sz w:val="24"/>
              </w:rPr>
            </w:pPr>
            <w:r>
              <w:rPr>
                <w:rFonts w:eastAsia="Calibri"/>
                <w:sz w:val="24"/>
              </w:rPr>
              <w:t>280</w:t>
            </w:r>
          </w:p>
        </w:tc>
        <w:tc>
          <w:tcPr>
            <w:tcW w:w="660" w:type="pct"/>
            <w:tcBorders>
              <w:top w:val="single" w:color="auto" w:sz="4" w:space="0"/>
              <w:left w:val="single" w:color="auto" w:sz="4" w:space="0"/>
              <w:bottom w:val="single" w:color="auto" w:sz="4" w:space="0"/>
              <w:right w:val="single" w:color="auto" w:sz="4" w:space="0"/>
            </w:tcBorders>
            <w:hideMark/>
          </w:tcPr>
          <w:p w:rsidRPr="006034F8" w:rsidR="006034F8" w:rsidP="00E21B4E" w:rsidRDefault="004D2736" w14:paraId="262B154A" w14:textId="1B5F4D12">
            <w:pPr>
              <w:widowControl w:val="0"/>
              <w:autoSpaceDE w:val="0"/>
              <w:autoSpaceDN w:val="0"/>
              <w:adjustRightInd w:val="0"/>
              <w:ind w:left="-14"/>
              <w:jc w:val="right"/>
              <w:rPr>
                <w:rFonts w:eastAsia="Calibri"/>
                <w:sz w:val="24"/>
              </w:rPr>
            </w:pPr>
            <w:r>
              <w:rPr>
                <w:rFonts w:eastAsia="Calibri"/>
                <w:sz w:val="24"/>
              </w:rPr>
              <w:t>250.58</w:t>
            </w:r>
            <w:r w:rsidR="00283CBC">
              <w:rPr>
                <w:rFonts w:eastAsia="Calibri"/>
                <w:sz w:val="24"/>
              </w:rPr>
              <w:t xml:space="preserve"> hrs.</w:t>
            </w:r>
            <w:r w:rsidRPr="006034F8" w:rsidR="006034F8">
              <w:rPr>
                <w:rFonts w:eastAsia="Calibri"/>
                <w:sz w:val="24"/>
              </w:rPr>
              <w:t>;</w:t>
            </w:r>
          </w:p>
          <w:p w:rsidRPr="006034F8" w:rsidR="006034F8" w:rsidP="00E21B4E" w:rsidRDefault="006034F8" w14:paraId="000C77D3" w14:textId="4FEB85C9">
            <w:pPr>
              <w:widowControl w:val="0"/>
              <w:autoSpaceDE w:val="0"/>
              <w:autoSpaceDN w:val="0"/>
              <w:adjustRightInd w:val="0"/>
              <w:jc w:val="right"/>
              <w:rPr>
                <w:rFonts w:eastAsia="Calibri"/>
                <w:sz w:val="24"/>
              </w:rPr>
            </w:pPr>
            <w:r w:rsidRPr="006034F8">
              <w:rPr>
                <w:rFonts w:eastAsia="Calibri"/>
                <w:sz w:val="24"/>
              </w:rPr>
              <w:t>$</w:t>
            </w:r>
            <w:r w:rsidR="0032340E">
              <w:rPr>
                <w:rFonts w:eastAsia="Calibri"/>
                <w:sz w:val="24"/>
              </w:rPr>
              <w:t>20,798</w:t>
            </w:r>
          </w:p>
        </w:tc>
        <w:tc>
          <w:tcPr>
            <w:tcW w:w="781"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034F8" w14:paraId="45C10AB9" w14:textId="6D294E64">
            <w:pPr>
              <w:widowControl w:val="0"/>
              <w:autoSpaceDE w:val="0"/>
              <w:autoSpaceDN w:val="0"/>
              <w:adjustRightInd w:val="0"/>
              <w:jc w:val="right"/>
              <w:rPr>
                <w:rFonts w:eastAsia="Calibri"/>
                <w:sz w:val="24"/>
              </w:rPr>
            </w:pPr>
            <w:r w:rsidRPr="006034F8">
              <w:rPr>
                <w:rFonts w:eastAsia="Calibri"/>
                <w:sz w:val="24"/>
              </w:rPr>
              <w:t xml:space="preserve"> </w:t>
            </w:r>
            <w:r w:rsidR="00793E3B">
              <w:rPr>
                <w:rFonts w:eastAsia="Calibri"/>
                <w:sz w:val="24"/>
              </w:rPr>
              <w:t>70</w:t>
            </w:r>
            <w:r w:rsidR="004D2736">
              <w:rPr>
                <w:rFonts w:eastAsia="Calibri"/>
                <w:sz w:val="24"/>
              </w:rPr>
              <w:t>,</w:t>
            </w:r>
            <w:r w:rsidR="00793E3B">
              <w:rPr>
                <w:rFonts w:eastAsia="Calibri"/>
                <w:sz w:val="24"/>
              </w:rPr>
              <w:t xml:space="preserve">162.4 </w:t>
            </w:r>
            <w:r w:rsidR="0032340E">
              <w:rPr>
                <w:rFonts w:eastAsia="Calibri"/>
                <w:sz w:val="24"/>
              </w:rPr>
              <w:t>hrs.</w:t>
            </w:r>
            <w:r w:rsidRPr="006034F8">
              <w:rPr>
                <w:rFonts w:eastAsia="Calibri"/>
                <w:sz w:val="24"/>
              </w:rPr>
              <w:t>;</w:t>
            </w:r>
            <w:r w:rsidR="00577316">
              <w:rPr>
                <w:rFonts w:eastAsia="Calibri"/>
                <w:sz w:val="24"/>
              </w:rPr>
              <w:t xml:space="preserve"> </w:t>
            </w:r>
          </w:p>
          <w:p w:rsidRPr="006034F8" w:rsidR="006034F8" w:rsidP="00E21B4E" w:rsidRDefault="006034F8" w14:paraId="16520D46" w14:textId="03D3CCD9">
            <w:pPr>
              <w:widowControl w:val="0"/>
              <w:autoSpaceDE w:val="0"/>
              <w:autoSpaceDN w:val="0"/>
              <w:adjustRightInd w:val="0"/>
              <w:jc w:val="right"/>
              <w:rPr>
                <w:rFonts w:eastAsia="Calibri"/>
                <w:sz w:val="24"/>
              </w:rPr>
            </w:pPr>
            <w:r w:rsidRPr="006034F8">
              <w:rPr>
                <w:rFonts w:eastAsia="Calibri"/>
                <w:sz w:val="24"/>
              </w:rPr>
              <w:t>$</w:t>
            </w:r>
            <w:r w:rsidR="00601F1E">
              <w:rPr>
                <w:rFonts w:eastAsia="Calibri"/>
                <w:sz w:val="24"/>
              </w:rPr>
              <w:t>5</w:t>
            </w:r>
            <w:r w:rsidR="0032340E">
              <w:rPr>
                <w:rFonts w:eastAsia="Calibri"/>
                <w:sz w:val="24"/>
              </w:rPr>
              <w:t>,</w:t>
            </w:r>
            <w:r w:rsidR="00601F1E">
              <w:rPr>
                <w:rFonts w:eastAsia="Calibri"/>
                <w:sz w:val="24"/>
              </w:rPr>
              <w:t>234</w:t>
            </w:r>
            <w:r w:rsidR="0032340E">
              <w:rPr>
                <w:rFonts w:eastAsia="Calibri"/>
                <w:sz w:val="24"/>
              </w:rPr>
              <w:t>,</w:t>
            </w:r>
            <w:r w:rsidR="00601F1E">
              <w:rPr>
                <w:rFonts w:eastAsia="Calibri"/>
                <w:sz w:val="24"/>
              </w:rPr>
              <w:t>440</w:t>
            </w:r>
          </w:p>
        </w:tc>
        <w:tc>
          <w:tcPr>
            <w:tcW w:w="694" w:type="pct"/>
            <w:tcBorders>
              <w:top w:val="single" w:color="auto" w:sz="4" w:space="0"/>
              <w:left w:val="single" w:color="auto" w:sz="4" w:space="0"/>
              <w:bottom w:val="single" w:color="auto" w:sz="4" w:space="0"/>
              <w:right w:val="single" w:color="auto" w:sz="4" w:space="0"/>
            </w:tcBorders>
            <w:hideMark/>
          </w:tcPr>
          <w:p w:rsidR="00577316" w:rsidP="00E21B4E" w:rsidRDefault="00577316" w14:paraId="6226F0CD" w14:textId="77777777">
            <w:pPr>
              <w:widowControl w:val="0"/>
              <w:autoSpaceDE w:val="0"/>
              <w:autoSpaceDN w:val="0"/>
              <w:adjustRightInd w:val="0"/>
              <w:jc w:val="right"/>
              <w:rPr>
                <w:rFonts w:eastAsia="Calibri"/>
                <w:sz w:val="24"/>
              </w:rPr>
            </w:pPr>
          </w:p>
          <w:p w:rsidRPr="006034F8" w:rsidR="006034F8" w:rsidP="00E21B4E" w:rsidRDefault="006034F8" w14:paraId="3DD5DBEE" w14:textId="3019A04A">
            <w:pPr>
              <w:widowControl w:val="0"/>
              <w:autoSpaceDE w:val="0"/>
              <w:autoSpaceDN w:val="0"/>
              <w:adjustRightInd w:val="0"/>
              <w:jc w:val="right"/>
              <w:rPr>
                <w:rFonts w:eastAsia="Calibri"/>
                <w:sz w:val="24"/>
              </w:rPr>
            </w:pPr>
            <w:r w:rsidRPr="006034F8">
              <w:rPr>
                <w:rFonts w:eastAsia="Calibri"/>
                <w:sz w:val="24"/>
              </w:rPr>
              <w:t>$</w:t>
            </w:r>
            <w:r w:rsidR="00694FB4">
              <w:rPr>
                <w:rFonts w:eastAsia="Calibri"/>
                <w:sz w:val="24"/>
              </w:rPr>
              <w:t>20,798</w:t>
            </w:r>
          </w:p>
          <w:p w:rsidRPr="006034F8" w:rsidR="006034F8" w:rsidP="00E21B4E" w:rsidRDefault="006034F8" w14:paraId="64D3FF7C" w14:textId="056F0FA6">
            <w:pPr>
              <w:widowControl w:val="0"/>
              <w:autoSpaceDE w:val="0"/>
              <w:autoSpaceDN w:val="0"/>
              <w:adjustRightInd w:val="0"/>
              <w:jc w:val="right"/>
              <w:rPr>
                <w:rFonts w:eastAsia="Calibri"/>
                <w:sz w:val="24"/>
              </w:rPr>
            </w:pPr>
          </w:p>
        </w:tc>
      </w:tr>
      <w:tr w:rsidRPr="006034F8" w:rsidR="006034F8" w:rsidTr="004D2736" w14:paraId="321994EA" w14:textId="77777777">
        <w:trPr>
          <w:cantSplit/>
        </w:trPr>
        <w:tc>
          <w:tcPr>
            <w:tcW w:w="757" w:type="pct"/>
            <w:tcBorders>
              <w:top w:val="single" w:color="auto" w:sz="4" w:space="0"/>
              <w:left w:val="single" w:color="auto" w:sz="4" w:space="0"/>
              <w:bottom w:val="single" w:color="auto" w:sz="4" w:space="0"/>
              <w:right w:val="single" w:color="auto" w:sz="4" w:space="0"/>
            </w:tcBorders>
            <w:hideMark/>
          </w:tcPr>
          <w:p w:rsidRPr="006034F8" w:rsidR="006034F8" w:rsidP="00E21B4E" w:rsidRDefault="006034F8" w14:paraId="3D204787" w14:textId="0AB5C76E">
            <w:pPr>
              <w:widowControl w:val="0"/>
              <w:autoSpaceDE w:val="0"/>
              <w:autoSpaceDN w:val="0"/>
              <w:adjustRightInd w:val="0"/>
              <w:jc w:val="right"/>
              <w:rPr>
                <w:rFonts w:eastAsia="Calibri"/>
                <w:b/>
                <w:sz w:val="24"/>
              </w:rPr>
            </w:pPr>
            <w:r w:rsidRPr="006034F8">
              <w:rPr>
                <w:rFonts w:eastAsia="Calibri"/>
                <w:b/>
                <w:sz w:val="24"/>
              </w:rPr>
              <w:t xml:space="preserve">Total  </w:t>
            </w:r>
            <w:r w:rsidR="00132130">
              <w:rPr>
                <w:rFonts w:eastAsia="Calibri"/>
                <w:b/>
                <w:sz w:val="24"/>
              </w:rPr>
              <w:t>EOP</w:t>
            </w:r>
          </w:p>
        </w:tc>
        <w:tc>
          <w:tcPr>
            <w:tcW w:w="77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D2736" w:rsidR="004D2736" w:rsidP="00E21B4E" w:rsidRDefault="004D2736" w14:paraId="33205EB3" w14:textId="77777777">
            <w:pPr>
              <w:widowControl w:val="0"/>
              <w:autoSpaceDE w:val="0"/>
              <w:autoSpaceDN w:val="0"/>
              <w:adjustRightInd w:val="0"/>
              <w:jc w:val="right"/>
              <w:rPr>
                <w:rFonts w:eastAsia="Calibri"/>
                <w:b/>
                <w:bCs/>
                <w:sz w:val="24"/>
              </w:rPr>
            </w:pPr>
          </w:p>
          <w:p w:rsidRPr="004D2736" w:rsidR="006034F8" w:rsidP="00E21B4E" w:rsidRDefault="00793E3B" w14:paraId="1A64E761" w14:textId="6F664565">
            <w:pPr>
              <w:widowControl w:val="0"/>
              <w:autoSpaceDE w:val="0"/>
              <w:autoSpaceDN w:val="0"/>
              <w:adjustRightInd w:val="0"/>
              <w:jc w:val="right"/>
              <w:rPr>
                <w:rFonts w:eastAsia="Calibri"/>
                <w:b/>
                <w:bCs/>
                <w:sz w:val="24"/>
              </w:rPr>
            </w:pPr>
            <w:r>
              <w:rPr>
                <w:rFonts w:eastAsia="Calibri"/>
                <w:b/>
                <w:bCs/>
                <w:sz w:val="24"/>
              </w:rPr>
              <w:t>473</w:t>
            </w:r>
          </w:p>
        </w:tc>
        <w:tc>
          <w:tcPr>
            <w:tcW w:w="693" w:type="pct"/>
            <w:tcBorders>
              <w:top w:val="single" w:color="auto" w:sz="4" w:space="0"/>
              <w:left w:val="single" w:color="auto" w:sz="4" w:space="0"/>
              <w:bottom w:val="single" w:color="auto" w:sz="4" w:space="0"/>
              <w:right w:val="single" w:color="auto" w:sz="4" w:space="0"/>
            </w:tcBorders>
          </w:tcPr>
          <w:p w:rsidRPr="004D2736" w:rsidR="006034F8" w:rsidP="00E21B4E" w:rsidRDefault="006034F8" w14:paraId="2C0D25D8" w14:textId="5353ACAF">
            <w:pPr>
              <w:widowControl w:val="0"/>
              <w:autoSpaceDE w:val="0"/>
              <w:autoSpaceDN w:val="0"/>
              <w:adjustRightInd w:val="0"/>
              <w:jc w:val="right"/>
              <w:rPr>
                <w:rFonts w:eastAsia="Calibri"/>
                <w:b/>
                <w:bCs/>
                <w:sz w:val="24"/>
              </w:rPr>
            </w:pPr>
          </w:p>
        </w:tc>
        <w:tc>
          <w:tcPr>
            <w:tcW w:w="636"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D2736" w:rsidR="006034F8" w:rsidP="00E21B4E" w:rsidRDefault="006034F8" w14:paraId="06DB9F71" w14:textId="77777777">
            <w:pPr>
              <w:widowControl w:val="0"/>
              <w:autoSpaceDE w:val="0"/>
              <w:autoSpaceDN w:val="0"/>
              <w:adjustRightInd w:val="0"/>
              <w:jc w:val="right"/>
              <w:rPr>
                <w:rFonts w:eastAsia="Calibri"/>
                <w:b/>
                <w:bCs/>
                <w:sz w:val="24"/>
              </w:rPr>
            </w:pPr>
          </w:p>
          <w:p w:rsidRPr="004D2736" w:rsidR="00400DBB" w:rsidP="00E21B4E" w:rsidRDefault="00400DBB" w14:paraId="0F718C64" w14:textId="129FC1BD">
            <w:pPr>
              <w:widowControl w:val="0"/>
              <w:autoSpaceDE w:val="0"/>
              <w:autoSpaceDN w:val="0"/>
              <w:adjustRightInd w:val="0"/>
              <w:jc w:val="right"/>
              <w:rPr>
                <w:rFonts w:eastAsia="Calibri"/>
                <w:b/>
                <w:bCs/>
                <w:sz w:val="24"/>
              </w:rPr>
            </w:pPr>
          </w:p>
        </w:tc>
        <w:tc>
          <w:tcPr>
            <w:tcW w:w="660" w:type="pct"/>
            <w:tcBorders>
              <w:top w:val="single" w:color="auto" w:sz="4" w:space="0"/>
              <w:left w:val="single" w:color="auto" w:sz="4" w:space="0"/>
              <w:bottom w:val="single" w:color="auto" w:sz="4" w:space="0"/>
              <w:right w:val="single" w:color="auto" w:sz="4" w:space="0"/>
            </w:tcBorders>
          </w:tcPr>
          <w:p w:rsidRPr="004D2736" w:rsidR="006034F8" w:rsidP="00E21B4E" w:rsidRDefault="006034F8" w14:paraId="12237F4B" w14:textId="64B14557">
            <w:pPr>
              <w:widowControl w:val="0"/>
              <w:autoSpaceDE w:val="0"/>
              <w:autoSpaceDN w:val="0"/>
              <w:adjustRightInd w:val="0"/>
              <w:jc w:val="right"/>
              <w:rPr>
                <w:rFonts w:eastAsia="Calibri"/>
                <w:b/>
                <w:bCs/>
                <w:sz w:val="24"/>
              </w:rPr>
            </w:pPr>
          </w:p>
        </w:tc>
        <w:tc>
          <w:tcPr>
            <w:tcW w:w="781"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6034F8" w:rsidP="00E21B4E" w:rsidRDefault="006213BC" w14:paraId="0E2E2ECD" w14:textId="33CD792A">
            <w:pPr>
              <w:widowControl w:val="0"/>
              <w:autoSpaceDE w:val="0"/>
              <w:autoSpaceDN w:val="0"/>
              <w:adjustRightInd w:val="0"/>
              <w:jc w:val="right"/>
              <w:rPr>
                <w:rFonts w:eastAsia="Calibri"/>
                <w:b/>
                <w:bCs/>
                <w:sz w:val="24"/>
              </w:rPr>
            </w:pPr>
            <w:r>
              <w:rPr>
                <w:rFonts w:eastAsia="Calibri"/>
                <w:b/>
                <w:bCs/>
                <w:sz w:val="24"/>
              </w:rPr>
              <w:t xml:space="preserve">   </w:t>
            </w:r>
            <w:r w:rsidR="008936E0">
              <w:rPr>
                <w:rFonts w:eastAsia="Calibri"/>
                <w:b/>
                <w:bCs/>
                <w:sz w:val="24"/>
              </w:rPr>
              <w:t>91</w:t>
            </w:r>
            <w:r w:rsidR="004D2736">
              <w:rPr>
                <w:rFonts w:eastAsia="Calibri"/>
                <w:b/>
                <w:bCs/>
                <w:sz w:val="24"/>
              </w:rPr>
              <w:t>,</w:t>
            </w:r>
            <w:r w:rsidR="008936E0">
              <w:rPr>
                <w:rFonts w:eastAsia="Calibri"/>
                <w:b/>
                <w:bCs/>
                <w:sz w:val="24"/>
              </w:rPr>
              <w:t xml:space="preserve">782 </w:t>
            </w:r>
            <w:r w:rsidR="0032340E">
              <w:rPr>
                <w:rFonts w:eastAsia="Calibri"/>
                <w:b/>
                <w:bCs/>
                <w:sz w:val="24"/>
              </w:rPr>
              <w:t>hrs.</w:t>
            </w:r>
            <w:r w:rsidR="004D2736">
              <w:rPr>
                <w:rFonts w:eastAsia="Calibri"/>
                <w:b/>
                <w:bCs/>
                <w:sz w:val="24"/>
              </w:rPr>
              <w:t>;</w:t>
            </w:r>
          </w:p>
          <w:p w:rsidRPr="004D2736" w:rsidR="004D2736" w:rsidP="00E21B4E" w:rsidRDefault="004D2736" w14:paraId="76D7251A" w14:textId="3FDD907F">
            <w:pPr>
              <w:widowControl w:val="0"/>
              <w:autoSpaceDE w:val="0"/>
              <w:autoSpaceDN w:val="0"/>
              <w:adjustRightInd w:val="0"/>
              <w:jc w:val="right"/>
              <w:rPr>
                <w:rFonts w:eastAsia="Calibri"/>
                <w:b/>
                <w:bCs/>
                <w:sz w:val="24"/>
              </w:rPr>
            </w:pPr>
            <w:r>
              <w:rPr>
                <w:rFonts w:eastAsia="Calibri"/>
                <w:b/>
                <w:bCs/>
                <w:sz w:val="24"/>
              </w:rPr>
              <w:t>$</w:t>
            </w:r>
            <w:r w:rsidR="008936E0">
              <w:rPr>
                <w:rFonts w:eastAsia="Calibri"/>
                <w:b/>
                <w:bCs/>
                <w:sz w:val="24"/>
              </w:rPr>
              <w:t>7</w:t>
            </w:r>
            <w:r w:rsidR="0079109D">
              <w:rPr>
                <w:rFonts w:eastAsia="Calibri"/>
                <w:b/>
                <w:bCs/>
                <w:sz w:val="24"/>
              </w:rPr>
              <w:t>,</w:t>
            </w:r>
            <w:r w:rsidR="008936E0">
              <w:rPr>
                <w:rFonts w:eastAsia="Calibri"/>
                <w:b/>
                <w:bCs/>
                <w:sz w:val="24"/>
              </w:rPr>
              <w:t>028</w:t>
            </w:r>
            <w:r w:rsidR="0079109D">
              <w:rPr>
                <w:rFonts w:eastAsia="Calibri"/>
                <w:b/>
                <w:bCs/>
                <w:sz w:val="24"/>
              </w:rPr>
              <w:t>,</w:t>
            </w:r>
            <w:r w:rsidR="008936E0">
              <w:rPr>
                <w:rFonts w:eastAsia="Calibri"/>
                <w:b/>
                <w:bCs/>
                <w:sz w:val="24"/>
              </w:rPr>
              <w:t>900</w:t>
            </w:r>
          </w:p>
        </w:tc>
        <w:tc>
          <w:tcPr>
            <w:tcW w:w="694" w:type="pct"/>
          </w:tcPr>
          <w:p w:rsidRPr="006034F8" w:rsidR="006034F8" w:rsidP="00E21B4E" w:rsidRDefault="006034F8" w14:paraId="36B753E0" w14:textId="77777777">
            <w:pPr>
              <w:widowControl w:val="0"/>
              <w:autoSpaceDE w:val="0"/>
              <w:autoSpaceDN w:val="0"/>
              <w:adjustRightInd w:val="0"/>
              <w:jc w:val="right"/>
              <w:rPr>
                <w:rFonts w:eastAsia="Calibri"/>
                <w:sz w:val="24"/>
              </w:rPr>
            </w:pPr>
          </w:p>
        </w:tc>
      </w:tr>
    </w:tbl>
    <w:p w:rsidRPr="001F3FC3" w:rsidR="001F3FC3" w:rsidP="001F3FC3" w:rsidRDefault="001F3FC3" w14:paraId="6667AE0D" w14:textId="77777777">
      <w:pPr>
        <w:spacing w:line="480" w:lineRule="auto"/>
        <w:rPr>
          <w:iCs/>
          <w:szCs w:val="26"/>
        </w:rPr>
      </w:pPr>
    </w:p>
    <w:p w:rsidR="00054129" w:rsidP="003B29FB" w:rsidRDefault="003B29FB" w14:paraId="6719BB90" w14:textId="77777777">
      <w:pPr>
        <w:spacing w:line="480" w:lineRule="auto"/>
        <w:rPr>
          <w:szCs w:val="26"/>
        </w:rPr>
      </w:pPr>
      <w:r w:rsidRPr="003B29FB">
        <w:rPr>
          <w:i/>
          <w:szCs w:val="26"/>
        </w:rPr>
        <w:t xml:space="preserve">Comments:  </w:t>
      </w:r>
      <w:r w:rsidRPr="003B29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054129" w:rsidP="003B29FB" w:rsidRDefault="00054129" w14:paraId="5B49F602" w14:textId="77777777">
      <w:pPr>
        <w:spacing w:line="480" w:lineRule="auto"/>
        <w:rPr>
          <w:szCs w:val="26"/>
        </w:rPr>
      </w:pPr>
    </w:p>
    <w:p w:rsidR="00054129" w:rsidP="003B29FB" w:rsidRDefault="00054129" w14:paraId="3365EA0C" w14:textId="77777777">
      <w:pPr>
        <w:spacing w:line="480" w:lineRule="auto"/>
        <w:rPr>
          <w:szCs w:val="26"/>
        </w:rPr>
      </w:pPr>
    </w:p>
    <w:p w:rsidR="00054129" w:rsidP="003B29FB" w:rsidRDefault="00054129" w14:paraId="4B139B39" w14:textId="77777777">
      <w:pPr>
        <w:spacing w:line="480" w:lineRule="auto"/>
        <w:rPr>
          <w:szCs w:val="26"/>
        </w:rPr>
      </w:pPr>
    </w:p>
    <w:p w:rsidR="0015382C" w:rsidP="003B29FB" w:rsidRDefault="003B29FB" w14:paraId="31B7D841" w14:textId="67D0A9EB">
      <w:pPr>
        <w:spacing w:line="480" w:lineRule="auto"/>
        <w:rPr>
          <w:szCs w:val="26"/>
        </w:rPr>
      </w:pPr>
      <w:bookmarkStart w:name="_GoBack" w:id="3"/>
      <w:bookmarkEnd w:id="3"/>
      <w:r w:rsidRPr="003B29FB">
        <w:rPr>
          <w:szCs w:val="26"/>
        </w:rPr>
        <w:lastRenderedPageBreak/>
        <w:t xml:space="preserve">collection of information on those who are to respond, including the use of automated </w:t>
      </w:r>
    </w:p>
    <w:p w:rsidR="003B29FB" w:rsidP="003B29FB" w:rsidRDefault="003B29FB" w14:paraId="50E8392C" w14:textId="7174757B">
      <w:pPr>
        <w:spacing w:line="480" w:lineRule="auto"/>
        <w:rPr>
          <w:szCs w:val="26"/>
        </w:rPr>
      </w:pPr>
      <w:r w:rsidRPr="003B29FB">
        <w:rPr>
          <w:szCs w:val="26"/>
        </w:rPr>
        <w:t xml:space="preserve">collection techniques or other forms of information technology.  </w:t>
      </w:r>
    </w:p>
    <w:p w:rsidR="0015382C" w:rsidP="0015382C" w:rsidRDefault="0015382C" w14:paraId="1BCBDC1B" w14:textId="42AB728D">
      <w:pPr>
        <w:rPr>
          <w:szCs w:val="26"/>
        </w:rPr>
      </w:pPr>
    </w:p>
    <w:p w:rsidR="0015382C" w:rsidP="0015382C" w:rsidRDefault="0015382C" w14:paraId="46566A02" w14:textId="4715CE67">
      <w:pPr>
        <w:rPr>
          <w:szCs w:val="26"/>
        </w:rPr>
      </w:pPr>
    </w:p>
    <w:p w:rsidR="0015382C" w:rsidP="0015382C" w:rsidRDefault="0015382C" w14:paraId="2A9C2B19" w14:textId="26D2A853">
      <w:pPr>
        <w:rPr>
          <w:szCs w:val="26"/>
        </w:rPr>
      </w:pPr>
    </w:p>
    <w:p w:rsidR="0015382C" w:rsidP="0015382C" w:rsidRDefault="0015382C" w14:paraId="7A904E18" w14:textId="5BA56E6C">
      <w:pPr>
        <w:rPr>
          <w:szCs w:val="26"/>
        </w:rPr>
      </w:pPr>
    </w:p>
    <w:p w:rsidRPr="0015382C" w:rsidR="0015382C" w:rsidP="0015382C" w:rsidRDefault="0015382C" w14:paraId="748A10C1" w14:textId="363654F0">
      <w:pPr>
        <w:ind w:firstLine="2606"/>
        <w:jc w:val="center"/>
      </w:pPr>
      <w:r w:rsidRPr="0015382C">
        <w:t>Nathaniel J. Davis, Sr.,</w:t>
      </w:r>
    </w:p>
    <w:p w:rsidRPr="0015382C" w:rsidR="0015382C" w:rsidP="0015382C" w:rsidRDefault="0015382C" w14:paraId="5D1A8491" w14:textId="5D654A89">
      <w:pPr>
        <w:ind w:firstLine="2606"/>
        <w:jc w:val="center"/>
      </w:pPr>
      <w:r w:rsidRPr="0015382C">
        <w:t>Deputy Secretary.</w:t>
      </w:r>
    </w:p>
    <w:p w:rsidRPr="003B29FB" w:rsidR="0015382C" w:rsidP="0015382C" w:rsidRDefault="0015382C" w14:paraId="703E0672" w14:textId="77777777">
      <w:pPr>
        <w:rPr>
          <w:szCs w:val="26"/>
        </w:rPr>
      </w:pPr>
    </w:p>
    <w:sectPr w:rsidRPr="003B29FB" w:rsidR="0015382C" w:rsidSect="00DF4B6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5B541" w14:textId="77777777" w:rsidR="00006CED" w:rsidRDefault="00006CED" w:rsidP="003B29FB">
      <w:r>
        <w:separator/>
      </w:r>
    </w:p>
  </w:endnote>
  <w:endnote w:type="continuationSeparator" w:id="0">
    <w:p w14:paraId="5A4A9CB2" w14:textId="77777777" w:rsidR="00006CED" w:rsidRDefault="00006CED" w:rsidP="003B29FB">
      <w:r>
        <w:continuationSeparator/>
      </w:r>
    </w:p>
  </w:endnote>
  <w:endnote w:type="continuationNotice" w:id="1">
    <w:p w14:paraId="378A2939" w14:textId="77777777" w:rsidR="00006CED" w:rsidRDefault="00006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66BA" w14:textId="77777777" w:rsidR="006213BC" w:rsidRDefault="0062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5FBC" w14:textId="77777777" w:rsidR="006213BC" w:rsidRDefault="00621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093B" w14:textId="77777777" w:rsidR="006213BC" w:rsidRDefault="0062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2681" w14:textId="77777777" w:rsidR="00006CED" w:rsidRDefault="00006CED" w:rsidP="003B29FB">
      <w:r>
        <w:separator/>
      </w:r>
    </w:p>
  </w:footnote>
  <w:footnote w:type="continuationSeparator" w:id="0">
    <w:p w14:paraId="5BF12C87" w14:textId="77777777" w:rsidR="00006CED" w:rsidRDefault="00006CED" w:rsidP="003B29FB">
      <w:r>
        <w:continuationSeparator/>
      </w:r>
    </w:p>
  </w:footnote>
  <w:footnote w:type="continuationNotice" w:id="1">
    <w:p w14:paraId="75B9C974" w14:textId="77777777" w:rsidR="00006CED" w:rsidRDefault="00006CED"/>
  </w:footnote>
  <w:footnote w:id="2">
    <w:p w14:paraId="6A3756FC" w14:textId="2A3B011E" w:rsidR="001F3FC3" w:rsidRDefault="001F3FC3" w:rsidP="00054129">
      <w:pPr>
        <w:pStyle w:val="FootnoteText"/>
        <w:spacing w:after="120"/>
        <w:ind w:firstLine="720"/>
        <w:rPr>
          <w:sz w:val="26"/>
          <w:szCs w:val="26"/>
        </w:rPr>
      </w:pPr>
      <w:r>
        <w:rPr>
          <w:rStyle w:val="FootnoteReference"/>
        </w:rPr>
        <w:footnoteRef/>
      </w:r>
      <w:r>
        <w:rPr>
          <w:sz w:val="26"/>
          <w:szCs w:val="26"/>
        </w:rPr>
        <w:t xml:space="preserve"> 16 U.S.C. 824</w:t>
      </w:r>
      <w:r w:rsidRPr="00DB7094">
        <w:rPr>
          <w:i/>
          <w:iCs/>
          <w:sz w:val="26"/>
          <w:szCs w:val="26"/>
        </w:rPr>
        <w:t>o</w:t>
      </w:r>
      <w:r>
        <w:rPr>
          <w:sz w:val="26"/>
          <w:szCs w:val="26"/>
        </w:rPr>
        <w:t xml:space="preserve">.  The approved Reliability Standards are available on the Commission’s eLibrary document retrieval system on the NERC website, </w:t>
      </w:r>
      <w:hyperlink r:id="rId1" w:history="1">
        <w:r>
          <w:rPr>
            <w:rStyle w:val="Hyperlink"/>
            <w:sz w:val="26"/>
            <w:szCs w:val="26"/>
          </w:rPr>
          <w:t>www.nerc.com</w:t>
        </w:r>
      </w:hyperlink>
      <w:r>
        <w:rPr>
          <w:sz w:val="26"/>
          <w:szCs w:val="26"/>
        </w:rPr>
        <w:t xml:space="preserve">.  </w:t>
      </w:r>
    </w:p>
  </w:footnote>
  <w:footnote w:id="3">
    <w:p w14:paraId="0DE171A7" w14:textId="77777777" w:rsidR="007E3F01" w:rsidRPr="00277B18" w:rsidRDefault="007E3F01" w:rsidP="00054129">
      <w:pPr>
        <w:pStyle w:val="FootnoteText"/>
        <w:ind w:firstLine="720"/>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1CD1C067" w14:textId="623AB0EB" w:rsidR="007E3F01" w:rsidRDefault="007E3F01" w:rsidP="00054129">
      <w:pPr>
        <w:pStyle w:val="FootnoteText"/>
        <w:ind w:firstLine="720"/>
      </w:pPr>
      <w:r>
        <w:rPr>
          <w:rStyle w:val="FootnoteReference"/>
        </w:rPr>
        <w:footnoteRef/>
      </w:r>
      <w:r>
        <w:t xml:space="preserve"> </w:t>
      </w:r>
      <w:r w:rsidRPr="00010429">
        <w:rPr>
          <w:sz w:val="26"/>
          <w:szCs w:val="26"/>
        </w:rPr>
        <w:t xml:space="preserve">Commission staff estimates that the industry’s skill set and cost (for wages and benefits) for </w:t>
      </w:r>
      <w:r w:rsidRPr="002F3236">
        <w:rPr>
          <w:sz w:val="26"/>
          <w:szCs w:val="26"/>
        </w:rPr>
        <w:t>FERC-</w:t>
      </w:r>
      <w:r w:rsidR="0016739B">
        <w:rPr>
          <w:sz w:val="26"/>
          <w:szCs w:val="26"/>
        </w:rPr>
        <w:t>725S</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Pr>
          <w:sz w:val="26"/>
          <w:szCs w:val="26"/>
        </w:rPr>
        <w:t>.</w:t>
      </w:r>
    </w:p>
  </w:footnote>
  <w:footnote w:id="5">
    <w:p w14:paraId="43C0F3E4" w14:textId="795213F1" w:rsidR="00BB7005" w:rsidRDefault="00BB7005" w:rsidP="00054129">
      <w:pPr>
        <w:pStyle w:val="FootnoteText"/>
        <w:ind w:firstLine="720"/>
      </w:pPr>
      <w:r>
        <w:rPr>
          <w:rStyle w:val="FootnoteReference"/>
        </w:rPr>
        <w:footnoteRef/>
      </w:r>
      <w:r>
        <w:t xml:space="preserve"> </w:t>
      </w:r>
      <w:r w:rsidRPr="00DB7094">
        <w:rPr>
          <w:sz w:val="24"/>
        </w:rPr>
        <w:t xml:space="preserve">The number of respondents is </w:t>
      </w:r>
      <w:r w:rsidR="003C648B">
        <w:rPr>
          <w:sz w:val="24"/>
        </w:rPr>
        <w:t xml:space="preserve">based on </w:t>
      </w:r>
      <w:r w:rsidRPr="00DB7094">
        <w:rPr>
          <w:sz w:val="24"/>
        </w:rPr>
        <w:t>NERC compliance registration information as of October 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D4C5" w14:textId="77777777" w:rsidR="006213BC" w:rsidRDefault="00621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149317"/>
      <w:docPartObj>
        <w:docPartGallery w:val="Page Numbers (Top of Page)"/>
        <w:docPartUnique/>
      </w:docPartObj>
    </w:sdtPr>
    <w:sdtEndPr>
      <w:rPr>
        <w:noProof/>
      </w:rPr>
    </w:sdtEndPr>
    <w:sdtContent>
      <w:p w14:paraId="7B0A1907" w14:textId="05886CDC" w:rsidR="002C393B" w:rsidRDefault="002C393B" w:rsidP="00DF4B69">
        <w:pPr>
          <w:pStyle w:val="Header"/>
        </w:pPr>
        <w:r w:rsidRPr="004E2FB0">
          <w:t>Docket No. IC2</w:t>
        </w:r>
        <w:r w:rsidR="00BD2747">
          <w:t>1</w:t>
        </w:r>
        <w:r w:rsidRPr="004E2FB0">
          <w:t>-</w:t>
        </w:r>
        <w:r w:rsidR="006213BC">
          <w:t>6</w:t>
        </w:r>
        <w:r w:rsidRPr="004E2FB0">
          <w:t>-000</w:t>
        </w:r>
        <w:r>
          <w:tab/>
        </w:r>
        <w:r>
          <w:fldChar w:fldCharType="begin"/>
        </w:r>
        <w:r>
          <w:instrText xml:space="preserve"> PAGE   \* MERGEFORMAT </w:instrText>
        </w:r>
        <w:r>
          <w:fldChar w:fldCharType="separate"/>
        </w:r>
        <w:r>
          <w:rPr>
            <w:noProof/>
          </w:rPr>
          <w:t>2</w:t>
        </w:r>
        <w:r>
          <w:rPr>
            <w:noProof/>
          </w:rPr>
          <w:fldChar w:fldCharType="end"/>
        </w:r>
      </w:p>
    </w:sdtContent>
  </w:sdt>
  <w:p w14:paraId="3ADA0C13" w14:textId="0333F351" w:rsidR="002C393B" w:rsidRDefault="002C3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0C2B" w14:textId="77777777" w:rsidR="006213BC" w:rsidRDefault="00621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47DC"/>
    <w:rsid w:val="00006CED"/>
    <w:rsid w:val="00011C52"/>
    <w:rsid w:val="000172C7"/>
    <w:rsid w:val="00022DBB"/>
    <w:rsid w:val="00036603"/>
    <w:rsid w:val="000518A2"/>
    <w:rsid w:val="00054129"/>
    <w:rsid w:val="000A418D"/>
    <w:rsid w:val="000A58CB"/>
    <w:rsid w:val="000D7516"/>
    <w:rsid w:val="00131F71"/>
    <w:rsid w:val="00132130"/>
    <w:rsid w:val="001475D4"/>
    <w:rsid w:val="0015382C"/>
    <w:rsid w:val="0016739B"/>
    <w:rsid w:val="00173CA3"/>
    <w:rsid w:val="001777DC"/>
    <w:rsid w:val="00186C2C"/>
    <w:rsid w:val="001B207F"/>
    <w:rsid w:val="001F227E"/>
    <w:rsid w:val="001F3FC3"/>
    <w:rsid w:val="00231A26"/>
    <w:rsid w:val="00252E84"/>
    <w:rsid w:val="002612D3"/>
    <w:rsid w:val="00264E27"/>
    <w:rsid w:val="002701BA"/>
    <w:rsid w:val="002836AC"/>
    <w:rsid w:val="00283CBC"/>
    <w:rsid w:val="0029053F"/>
    <w:rsid w:val="002C393B"/>
    <w:rsid w:val="002E1429"/>
    <w:rsid w:val="002F0A84"/>
    <w:rsid w:val="002F3236"/>
    <w:rsid w:val="0032340E"/>
    <w:rsid w:val="00342638"/>
    <w:rsid w:val="00351412"/>
    <w:rsid w:val="003566B1"/>
    <w:rsid w:val="00395DD9"/>
    <w:rsid w:val="003A79FD"/>
    <w:rsid w:val="003B29FB"/>
    <w:rsid w:val="003B7027"/>
    <w:rsid w:val="003C02D9"/>
    <w:rsid w:val="003C648B"/>
    <w:rsid w:val="00400DBB"/>
    <w:rsid w:val="004313D5"/>
    <w:rsid w:val="004519B3"/>
    <w:rsid w:val="00465EEC"/>
    <w:rsid w:val="004A559F"/>
    <w:rsid w:val="004B2BA4"/>
    <w:rsid w:val="004D2736"/>
    <w:rsid w:val="004D676B"/>
    <w:rsid w:val="004E2FB0"/>
    <w:rsid w:val="004E3713"/>
    <w:rsid w:val="005068D1"/>
    <w:rsid w:val="00550E9B"/>
    <w:rsid w:val="00577316"/>
    <w:rsid w:val="00593F21"/>
    <w:rsid w:val="00597DAA"/>
    <w:rsid w:val="005B22D0"/>
    <w:rsid w:val="006002E6"/>
    <w:rsid w:val="00601F1E"/>
    <w:rsid w:val="006034F8"/>
    <w:rsid w:val="006213BC"/>
    <w:rsid w:val="00661FC3"/>
    <w:rsid w:val="00694FB4"/>
    <w:rsid w:val="006B4F0D"/>
    <w:rsid w:val="006C7623"/>
    <w:rsid w:val="006D6D65"/>
    <w:rsid w:val="006E28F7"/>
    <w:rsid w:val="006F2190"/>
    <w:rsid w:val="00717629"/>
    <w:rsid w:val="00720D4E"/>
    <w:rsid w:val="00737175"/>
    <w:rsid w:val="00742FAA"/>
    <w:rsid w:val="00780EED"/>
    <w:rsid w:val="00782DAA"/>
    <w:rsid w:val="0079109D"/>
    <w:rsid w:val="00791623"/>
    <w:rsid w:val="00793E3B"/>
    <w:rsid w:val="00794663"/>
    <w:rsid w:val="007A3197"/>
    <w:rsid w:val="007A6A95"/>
    <w:rsid w:val="007E05B2"/>
    <w:rsid w:val="007E3F01"/>
    <w:rsid w:val="007F0A13"/>
    <w:rsid w:val="007F0E94"/>
    <w:rsid w:val="007F1C1F"/>
    <w:rsid w:val="00833713"/>
    <w:rsid w:val="008524E6"/>
    <w:rsid w:val="008614F2"/>
    <w:rsid w:val="00871AC1"/>
    <w:rsid w:val="00877D33"/>
    <w:rsid w:val="00883FF9"/>
    <w:rsid w:val="008936E0"/>
    <w:rsid w:val="00893AF9"/>
    <w:rsid w:val="00896FD7"/>
    <w:rsid w:val="008C4FC4"/>
    <w:rsid w:val="008D20FF"/>
    <w:rsid w:val="00910883"/>
    <w:rsid w:val="00917388"/>
    <w:rsid w:val="00932323"/>
    <w:rsid w:val="00934564"/>
    <w:rsid w:val="00963ECA"/>
    <w:rsid w:val="00984421"/>
    <w:rsid w:val="00987B8C"/>
    <w:rsid w:val="00995791"/>
    <w:rsid w:val="009A394E"/>
    <w:rsid w:val="009C2DB3"/>
    <w:rsid w:val="009E59D7"/>
    <w:rsid w:val="00A04525"/>
    <w:rsid w:val="00A1596F"/>
    <w:rsid w:val="00A27273"/>
    <w:rsid w:val="00A54C23"/>
    <w:rsid w:val="00A60763"/>
    <w:rsid w:val="00AD1402"/>
    <w:rsid w:val="00AE477D"/>
    <w:rsid w:val="00B22C21"/>
    <w:rsid w:val="00B27225"/>
    <w:rsid w:val="00B33F20"/>
    <w:rsid w:val="00B46664"/>
    <w:rsid w:val="00B57E5D"/>
    <w:rsid w:val="00B81DBF"/>
    <w:rsid w:val="00B844CF"/>
    <w:rsid w:val="00B922FD"/>
    <w:rsid w:val="00B94DBD"/>
    <w:rsid w:val="00BB6D1C"/>
    <w:rsid w:val="00BB7005"/>
    <w:rsid w:val="00BD2747"/>
    <w:rsid w:val="00BF5F40"/>
    <w:rsid w:val="00C243C3"/>
    <w:rsid w:val="00C57D75"/>
    <w:rsid w:val="00C74F4E"/>
    <w:rsid w:val="00CA3BC5"/>
    <w:rsid w:val="00CC18E2"/>
    <w:rsid w:val="00CC40C3"/>
    <w:rsid w:val="00CE1512"/>
    <w:rsid w:val="00CF478E"/>
    <w:rsid w:val="00D23082"/>
    <w:rsid w:val="00D35412"/>
    <w:rsid w:val="00D651FD"/>
    <w:rsid w:val="00D85915"/>
    <w:rsid w:val="00DB20B1"/>
    <w:rsid w:val="00DB7094"/>
    <w:rsid w:val="00DD12B8"/>
    <w:rsid w:val="00DF4B69"/>
    <w:rsid w:val="00E21B4E"/>
    <w:rsid w:val="00E237C2"/>
    <w:rsid w:val="00E26ABB"/>
    <w:rsid w:val="00E4588B"/>
    <w:rsid w:val="00E535B8"/>
    <w:rsid w:val="00E5742E"/>
    <w:rsid w:val="00E57AB0"/>
    <w:rsid w:val="00E636D5"/>
    <w:rsid w:val="00E7333B"/>
    <w:rsid w:val="00E77220"/>
    <w:rsid w:val="00EF2008"/>
    <w:rsid w:val="00F1351F"/>
    <w:rsid w:val="00F24212"/>
    <w:rsid w:val="00F40FE9"/>
    <w:rsid w:val="00F7561E"/>
    <w:rsid w:val="00F960EB"/>
    <w:rsid w:val="00FA0BD0"/>
    <w:rsid w:val="00FA13EE"/>
    <w:rsid w:val="00FA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569001188">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337459909">
      <w:bodyDiv w:val="1"/>
      <w:marLeft w:val="0"/>
      <w:marRight w:val="0"/>
      <w:marTop w:val="0"/>
      <w:marBottom w:val="0"/>
      <w:divBdr>
        <w:top w:val="none" w:sz="0" w:space="0" w:color="auto"/>
        <w:left w:val="none" w:sz="0" w:space="0" w:color="auto"/>
        <w:bottom w:val="none" w:sz="0" w:space="0" w:color="auto"/>
        <w:right w:val="none" w:sz="0" w:space="0" w:color="auto"/>
      </w:divBdr>
    </w:div>
    <w:div w:id="1879127911">
      <w:bodyDiv w:val="1"/>
      <w:marLeft w:val="0"/>
      <w:marRight w:val="0"/>
      <w:marTop w:val="0"/>
      <w:marBottom w:val="0"/>
      <w:divBdr>
        <w:top w:val="none" w:sz="0" w:space="0" w:color="auto"/>
        <w:left w:val="none" w:sz="0" w:space="0" w:color="auto"/>
        <w:bottom w:val="none" w:sz="0" w:space="0" w:color="auto"/>
        <w:right w:val="none" w:sz="0" w:space="0" w:color="auto"/>
      </w:divBdr>
    </w:div>
    <w:div w:id="18983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1447-C4F6-42EE-ACC9-2AF08EEA09AC}">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3.xml><?xml version="1.0" encoding="utf-8"?>
<ds:datastoreItem xmlns:ds="http://schemas.openxmlformats.org/officeDocument/2006/customXml" ds:itemID="{3A0EF1E5-3C17-459F-9BC3-DBC78EF3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5.xml><?xml version="1.0" encoding="utf-8"?>
<ds:datastoreItem xmlns:ds="http://schemas.openxmlformats.org/officeDocument/2006/customXml" ds:itemID="{C716EC0C-7560-4947-9837-9808F6453E0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4</ap:TotalTime>
  <ap:Pages>6</ap:Pages>
  <ap:Words>1018</ap:Words>
  <ap:Characters>5808</ap:Characters>
  <ap:Application>Microsoft Office Word</ap:Application>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6813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2021-01-21T13:52:00.0000000Z</dcterms:created>
  <dcterms:modified xsi:type="dcterms:W3CDTF">2021-01-21T14:02:00.0000000Z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