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027F9" w:rsidR="00AD1160" w:rsidP="00AD1160" w:rsidRDefault="00AD1160" w14:paraId="3E693EE1" w14:textId="77777777">
      <w:pPr>
        <w:spacing w:after="0" w:line="240" w:lineRule="auto"/>
        <w:jc w:val="center"/>
        <w:rPr>
          <w:rFonts w:ascii="Times New Roman" w:hAnsi="Times New Roman" w:eastAsia="Times New Roman" w:cs="Times New Roman"/>
          <w:sz w:val="26"/>
          <w:szCs w:val="26"/>
        </w:rPr>
      </w:pPr>
      <w:r w:rsidRPr="000027F9">
        <w:rPr>
          <w:rFonts w:ascii="Times New Roman" w:hAnsi="Times New Roman" w:eastAsia="Times New Roman" w:cs="Times New Roman"/>
          <w:sz w:val="26"/>
          <w:szCs w:val="26"/>
        </w:rPr>
        <w:t>UNITED STATES OF AMERICA</w:t>
      </w:r>
    </w:p>
    <w:p w:rsidR="00AD1160" w:rsidP="00AD1160" w:rsidRDefault="00AD1160" w14:paraId="669E2284" w14:textId="77777777">
      <w:pPr>
        <w:spacing w:after="0" w:line="240" w:lineRule="auto"/>
        <w:jc w:val="center"/>
        <w:rPr>
          <w:rFonts w:ascii="Times New Roman" w:hAnsi="Times New Roman" w:eastAsia="Times New Roman" w:cs="Times New Roman"/>
          <w:sz w:val="26"/>
          <w:szCs w:val="26"/>
        </w:rPr>
      </w:pPr>
      <w:r w:rsidRPr="000027F9">
        <w:rPr>
          <w:rFonts w:ascii="Times New Roman" w:hAnsi="Times New Roman" w:eastAsia="Times New Roman" w:cs="Times New Roman"/>
          <w:sz w:val="26"/>
          <w:szCs w:val="26"/>
        </w:rPr>
        <w:t>FEDERAL ENERGY REGULATORY COMMISSION</w:t>
      </w:r>
    </w:p>
    <w:p w:rsidRPr="000027F9" w:rsidR="00A635C5" w:rsidP="00AD1160" w:rsidRDefault="00A635C5" w14:paraId="5B9F078E" w14:textId="77777777">
      <w:pPr>
        <w:spacing w:after="0" w:line="240" w:lineRule="auto"/>
        <w:jc w:val="center"/>
        <w:rPr>
          <w:rFonts w:ascii="Times New Roman" w:hAnsi="Times New Roman" w:eastAsia="Times New Roman" w:cs="Times New Roman"/>
          <w:sz w:val="26"/>
          <w:szCs w:val="26"/>
        </w:rPr>
      </w:pPr>
    </w:p>
    <w:p w:rsidRPr="000027F9" w:rsidR="00AD1160" w:rsidP="00AD1160" w:rsidRDefault="00AD1160" w14:paraId="7EF1B81C" w14:textId="571F0B11">
      <w:pPr>
        <w:spacing w:after="0" w:line="240" w:lineRule="auto"/>
        <w:jc w:val="center"/>
        <w:rPr>
          <w:rFonts w:ascii="Times New Roman" w:hAnsi="Times New Roman" w:eastAsia="Times New Roman" w:cs="Times New Roman"/>
          <w:sz w:val="26"/>
          <w:szCs w:val="26"/>
        </w:rPr>
      </w:pPr>
      <w:r w:rsidRPr="00677263">
        <w:rPr>
          <w:rFonts w:ascii="Times New Roman" w:hAnsi="Times New Roman" w:eastAsia="Times New Roman" w:cs="Times New Roman"/>
          <w:sz w:val="26"/>
          <w:szCs w:val="26"/>
        </w:rPr>
        <w:t xml:space="preserve">[Docket No. </w:t>
      </w:r>
      <w:r w:rsidR="006A0104">
        <w:rPr>
          <w:rFonts w:ascii="Times New Roman" w:hAnsi="Times New Roman" w:eastAsia="Times New Roman" w:cs="Times New Roman"/>
          <w:sz w:val="26"/>
          <w:szCs w:val="26"/>
        </w:rPr>
        <w:t>RD</w:t>
      </w:r>
      <w:r w:rsidR="001E69D2">
        <w:rPr>
          <w:rFonts w:ascii="Times New Roman" w:hAnsi="Times New Roman" w:eastAsia="Times New Roman" w:cs="Times New Roman"/>
          <w:sz w:val="26"/>
          <w:szCs w:val="26"/>
        </w:rPr>
        <w:t>20</w:t>
      </w:r>
      <w:r w:rsidR="006A0104">
        <w:rPr>
          <w:rFonts w:ascii="Times New Roman" w:hAnsi="Times New Roman" w:eastAsia="Times New Roman" w:cs="Times New Roman"/>
          <w:sz w:val="26"/>
          <w:szCs w:val="26"/>
        </w:rPr>
        <w:t>-</w:t>
      </w:r>
      <w:r w:rsidR="001E69D2">
        <w:rPr>
          <w:rFonts w:ascii="Times New Roman" w:hAnsi="Times New Roman" w:eastAsia="Times New Roman" w:cs="Times New Roman"/>
          <w:sz w:val="26"/>
          <w:szCs w:val="26"/>
        </w:rPr>
        <w:t>4</w:t>
      </w:r>
      <w:r w:rsidR="006A0104">
        <w:rPr>
          <w:rFonts w:ascii="Times New Roman" w:hAnsi="Times New Roman" w:eastAsia="Times New Roman" w:cs="Times New Roman"/>
          <w:sz w:val="26"/>
          <w:szCs w:val="26"/>
        </w:rPr>
        <w:t>-000</w:t>
      </w:r>
      <w:r w:rsidRPr="000027F9">
        <w:rPr>
          <w:rFonts w:ascii="Times New Roman" w:hAnsi="Times New Roman" w:eastAsia="Times New Roman" w:cs="Times New Roman"/>
          <w:sz w:val="26"/>
          <w:szCs w:val="26"/>
        </w:rPr>
        <w:t>]</w:t>
      </w:r>
    </w:p>
    <w:p w:rsidRPr="000027F9" w:rsidR="00AD1160" w:rsidP="00AD1160" w:rsidRDefault="00AD1160" w14:paraId="1A310F19" w14:textId="77777777">
      <w:pPr>
        <w:spacing w:after="0" w:line="240" w:lineRule="auto"/>
        <w:rPr>
          <w:rFonts w:ascii="Times New Roman" w:hAnsi="Times New Roman" w:eastAsia="Times New Roman" w:cs="Times New Roman"/>
          <w:sz w:val="26"/>
          <w:szCs w:val="26"/>
        </w:rPr>
      </w:pPr>
    </w:p>
    <w:p w:rsidRPr="000027F9" w:rsidR="00AD1160" w:rsidP="00AD1160" w:rsidRDefault="00AD1160" w14:paraId="671CEE8C" w14:textId="77777777">
      <w:pPr>
        <w:spacing w:after="0" w:line="240" w:lineRule="auto"/>
        <w:jc w:val="center"/>
        <w:rPr>
          <w:rFonts w:ascii="Times New Roman" w:hAnsi="Times New Roman" w:eastAsia="Times New Roman" w:cs="Times New Roman"/>
          <w:sz w:val="26"/>
          <w:szCs w:val="26"/>
        </w:rPr>
      </w:pPr>
      <w:r w:rsidRPr="000027F9">
        <w:rPr>
          <w:rFonts w:ascii="Times New Roman" w:hAnsi="Times New Roman" w:eastAsia="Times New Roman" w:cs="Times New Roman"/>
          <w:sz w:val="26"/>
          <w:szCs w:val="26"/>
        </w:rPr>
        <w:t xml:space="preserve">COMMISSION INFORMATION COLLECTION ACTIVITIES </w:t>
      </w:r>
    </w:p>
    <w:p w:rsidRPr="000027F9" w:rsidR="00AD1160" w:rsidP="00AD1160" w:rsidRDefault="00AD1160" w14:paraId="5BF8611A" w14:textId="2948183D">
      <w:pPr>
        <w:spacing w:after="0" w:line="240" w:lineRule="auto"/>
        <w:jc w:val="center"/>
        <w:rPr>
          <w:rFonts w:ascii="Times New Roman" w:hAnsi="Times New Roman" w:eastAsia="Times New Roman" w:cs="Times New Roman"/>
          <w:sz w:val="26"/>
          <w:szCs w:val="26"/>
        </w:rPr>
      </w:pPr>
      <w:r w:rsidRPr="000027F9">
        <w:rPr>
          <w:rFonts w:ascii="Times New Roman" w:hAnsi="Times New Roman" w:eastAsia="Times New Roman" w:cs="Times New Roman"/>
          <w:sz w:val="26"/>
          <w:szCs w:val="26"/>
        </w:rPr>
        <w:t>(FERC-725</w:t>
      </w:r>
      <w:r w:rsidR="001E69D2">
        <w:rPr>
          <w:rFonts w:ascii="Times New Roman" w:hAnsi="Times New Roman" w:eastAsia="Times New Roman" w:cs="Times New Roman"/>
          <w:sz w:val="26"/>
          <w:szCs w:val="26"/>
        </w:rPr>
        <w:t xml:space="preserve">A, </w:t>
      </w:r>
      <w:r w:rsidR="00174260">
        <w:rPr>
          <w:rFonts w:ascii="Times New Roman" w:hAnsi="Times New Roman" w:eastAsia="Times New Roman" w:cs="Times New Roman"/>
          <w:sz w:val="26"/>
          <w:szCs w:val="26"/>
        </w:rPr>
        <w:t xml:space="preserve">FERC-725D, FERC-725F, </w:t>
      </w:r>
      <w:r w:rsidR="001E69D2">
        <w:rPr>
          <w:rFonts w:ascii="Times New Roman" w:hAnsi="Times New Roman" w:eastAsia="Times New Roman" w:cs="Times New Roman"/>
          <w:sz w:val="26"/>
          <w:szCs w:val="26"/>
        </w:rPr>
        <w:t>FERC-725G, FERC-725L,</w:t>
      </w:r>
      <w:r w:rsidR="00174260">
        <w:rPr>
          <w:rFonts w:ascii="Times New Roman" w:hAnsi="Times New Roman" w:eastAsia="Times New Roman" w:cs="Times New Roman"/>
          <w:sz w:val="26"/>
          <w:szCs w:val="26"/>
        </w:rPr>
        <w:t xml:space="preserve"> </w:t>
      </w:r>
      <w:r w:rsidR="00470404">
        <w:rPr>
          <w:rFonts w:ascii="Times New Roman" w:hAnsi="Times New Roman" w:eastAsia="Times New Roman" w:cs="Times New Roman"/>
          <w:sz w:val="26"/>
          <w:szCs w:val="26"/>
        </w:rPr>
        <w:t xml:space="preserve">and </w:t>
      </w:r>
      <w:r w:rsidR="005108E5">
        <w:rPr>
          <w:rFonts w:ascii="Times New Roman" w:hAnsi="Times New Roman" w:eastAsia="Times New Roman" w:cs="Times New Roman"/>
          <w:sz w:val="26"/>
          <w:szCs w:val="26"/>
        </w:rPr>
        <w:t>FERC-725Z</w:t>
      </w:r>
      <w:r w:rsidRPr="000027F9">
        <w:rPr>
          <w:rFonts w:ascii="Times New Roman" w:hAnsi="Times New Roman" w:eastAsia="Times New Roman" w:cs="Times New Roman"/>
          <w:sz w:val="26"/>
          <w:szCs w:val="26"/>
        </w:rPr>
        <w:t>)</w:t>
      </w:r>
      <w:r w:rsidR="005A005A">
        <w:rPr>
          <w:rFonts w:ascii="Times New Roman" w:hAnsi="Times New Roman" w:eastAsia="Times New Roman" w:cs="Times New Roman"/>
          <w:sz w:val="26"/>
          <w:szCs w:val="26"/>
        </w:rPr>
        <w:t xml:space="preserve">; </w:t>
      </w:r>
    </w:p>
    <w:p w:rsidRPr="000027F9" w:rsidR="00AD1160" w:rsidP="00AD1160" w:rsidRDefault="00AD1160" w14:paraId="62B20007" w14:textId="58FA965B">
      <w:pPr>
        <w:spacing w:after="0" w:line="240" w:lineRule="auto"/>
        <w:jc w:val="center"/>
        <w:rPr>
          <w:rFonts w:ascii="Times New Roman" w:hAnsi="Times New Roman" w:eastAsia="Times New Roman" w:cs="Times New Roman"/>
          <w:sz w:val="26"/>
          <w:szCs w:val="26"/>
        </w:rPr>
      </w:pPr>
      <w:r w:rsidRPr="000027F9">
        <w:rPr>
          <w:rFonts w:ascii="Times New Roman" w:hAnsi="Times New Roman" w:eastAsia="Times New Roman" w:cs="Times New Roman"/>
          <w:sz w:val="26"/>
          <w:szCs w:val="26"/>
        </w:rPr>
        <w:t xml:space="preserve">COMMENT REQUEST; </w:t>
      </w:r>
      <w:r w:rsidR="006765FB">
        <w:rPr>
          <w:rFonts w:ascii="Times New Roman" w:hAnsi="Times New Roman" w:eastAsia="Times New Roman" w:cs="Times New Roman"/>
          <w:sz w:val="26"/>
          <w:szCs w:val="26"/>
        </w:rPr>
        <w:t>REVISION</w:t>
      </w:r>
    </w:p>
    <w:p w:rsidRPr="000027F9" w:rsidR="00AD1160" w:rsidP="00AD1160" w:rsidRDefault="00AD1160" w14:paraId="61B807B9" w14:textId="77777777">
      <w:pPr>
        <w:spacing w:after="0" w:line="240" w:lineRule="auto"/>
        <w:rPr>
          <w:rFonts w:ascii="Times New Roman" w:hAnsi="Times New Roman" w:eastAsia="Times New Roman" w:cs="Times New Roman"/>
          <w:sz w:val="26"/>
          <w:szCs w:val="26"/>
        </w:rPr>
      </w:pPr>
    </w:p>
    <w:p w:rsidR="004F4CD7" w:rsidP="009B40B8" w:rsidRDefault="009B40B8" w14:paraId="36E9EC28" w14:textId="5580005D">
      <w:pPr>
        <w:spacing w:after="0" w:line="240" w:lineRule="auto"/>
        <w:jc w:val="center"/>
        <w:rPr>
          <w:rFonts w:ascii="Times New Roman" w:hAnsi="Times New Roman" w:eastAsia="Times New Roman" w:cs="Times New Roman"/>
          <w:sz w:val="26"/>
          <w:szCs w:val="26"/>
        </w:rPr>
      </w:pPr>
      <w:r w:rsidRPr="009B40B8">
        <w:rPr>
          <w:rFonts w:ascii="Times New Roman" w:hAnsi="Times New Roman" w:eastAsia="Times New Roman" w:cs="Times New Roman"/>
          <w:sz w:val="26"/>
          <w:szCs w:val="26"/>
        </w:rPr>
        <w:t>(July 17, 2020)</w:t>
      </w:r>
    </w:p>
    <w:p w:rsidRPr="009B40B8" w:rsidR="009B40B8" w:rsidP="009B40B8" w:rsidRDefault="009B40B8" w14:paraId="2A9AE294" w14:textId="77777777">
      <w:pPr>
        <w:spacing w:after="0" w:line="240" w:lineRule="auto"/>
        <w:rPr>
          <w:rFonts w:ascii="Times New Roman" w:hAnsi="Times New Roman" w:eastAsia="Times New Roman" w:cs="Times New Roman"/>
          <w:sz w:val="26"/>
          <w:szCs w:val="26"/>
        </w:rPr>
      </w:pPr>
    </w:p>
    <w:p w:rsidRPr="000027F9" w:rsidR="00AD1160" w:rsidP="00AD1160" w:rsidRDefault="00AD1160" w14:paraId="212EB5E6" w14:textId="77777777">
      <w:pPr>
        <w:spacing w:after="0" w:line="240" w:lineRule="auto"/>
        <w:rPr>
          <w:rFonts w:ascii="Times New Roman" w:hAnsi="Times New Roman" w:eastAsia="Times New Roman" w:cs="Times New Roman"/>
          <w:sz w:val="26"/>
          <w:szCs w:val="26"/>
        </w:rPr>
      </w:pPr>
      <w:r w:rsidRPr="000027F9">
        <w:rPr>
          <w:rFonts w:ascii="Times New Roman" w:hAnsi="Times New Roman" w:eastAsia="Times New Roman" w:cs="Times New Roman"/>
          <w:b/>
          <w:sz w:val="26"/>
          <w:szCs w:val="26"/>
        </w:rPr>
        <w:t>AGENCY:</w:t>
      </w:r>
      <w:r w:rsidRPr="000027F9">
        <w:rPr>
          <w:rFonts w:ascii="Times New Roman" w:hAnsi="Times New Roman" w:eastAsia="Times New Roman" w:cs="Times New Roman"/>
          <w:sz w:val="26"/>
          <w:szCs w:val="26"/>
        </w:rPr>
        <w:t xml:space="preserve">  Federal Energy Regulatory Commission.</w:t>
      </w:r>
    </w:p>
    <w:p w:rsidRPr="000027F9" w:rsidR="00AD1160" w:rsidP="00AD1160" w:rsidRDefault="00AD1160" w14:paraId="1804F1A7" w14:textId="77777777">
      <w:pPr>
        <w:spacing w:after="0" w:line="240" w:lineRule="auto"/>
        <w:rPr>
          <w:rFonts w:ascii="Times New Roman" w:hAnsi="Times New Roman" w:eastAsia="Times New Roman" w:cs="Times New Roman"/>
          <w:sz w:val="26"/>
          <w:szCs w:val="26"/>
        </w:rPr>
      </w:pPr>
    </w:p>
    <w:p w:rsidRPr="000027F9" w:rsidR="00AD1160" w:rsidP="00AD1160" w:rsidRDefault="00AD1160" w14:paraId="10B756E2" w14:textId="4DD6A7C3">
      <w:pPr>
        <w:spacing w:after="0" w:line="480" w:lineRule="auto"/>
        <w:rPr>
          <w:rFonts w:ascii="Times New Roman" w:hAnsi="Times New Roman" w:eastAsia="Times New Roman" w:cs="Times New Roman"/>
          <w:sz w:val="26"/>
          <w:szCs w:val="26"/>
        </w:rPr>
      </w:pPr>
      <w:r w:rsidRPr="000027F9">
        <w:rPr>
          <w:rFonts w:ascii="Times New Roman" w:hAnsi="Times New Roman" w:eastAsia="Times New Roman" w:cs="Times New Roman"/>
          <w:b/>
          <w:sz w:val="26"/>
          <w:szCs w:val="26"/>
        </w:rPr>
        <w:t>ACTION:</w:t>
      </w:r>
      <w:r w:rsidRPr="000027F9">
        <w:rPr>
          <w:rFonts w:ascii="Times New Roman" w:hAnsi="Times New Roman" w:eastAsia="Times New Roman" w:cs="Times New Roman"/>
          <w:sz w:val="26"/>
          <w:szCs w:val="26"/>
        </w:rPr>
        <w:t xml:space="preserve">  Notice of </w:t>
      </w:r>
      <w:r w:rsidR="00B242FC">
        <w:rPr>
          <w:rFonts w:ascii="Times New Roman" w:hAnsi="Times New Roman" w:eastAsia="Times New Roman" w:cs="Times New Roman"/>
          <w:sz w:val="26"/>
          <w:szCs w:val="26"/>
        </w:rPr>
        <w:t xml:space="preserve">revised </w:t>
      </w:r>
      <w:r w:rsidRPr="000027F9">
        <w:rPr>
          <w:rFonts w:ascii="Times New Roman" w:hAnsi="Times New Roman" w:eastAsia="Times New Roman" w:cs="Times New Roman"/>
          <w:sz w:val="26"/>
          <w:szCs w:val="26"/>
        </w:rPr>
        <w:t>information collection</w:t>
      </w:r>
      <w:r w:rsidR="00470404">
        <w:rPr>
          <w:rFonts w:ascii="Times New Roman" w:hAnsi="Times New Roman" w:eastAsia="Times New Roman" w:cs="Times New Roman"/>
          <w:sz w:val="26"/>
          <w:szCs w:val="26"/>
        </w:rPr>
        <w:t>s</w:t>
      </w:r>
      <w:r w:rsidRPr="000027F9">
        <w:rPr>
          <w:rFonts w:ascii="Times New Roman" w:hAnsi="Times New Roman" w:eastAsia="Times New Roman" w:cs="Times New Roman"/>
          <w:sz w:val="26"/>
          <w:szCs w:val="26"/>
        </w:rPr>
        <w:t xml:space="preserve"> and request for comments.</w:t>
      </w:r>
    </w:p>
    <w:p w:rsidRPr="000027F9" w:rsidR="00AD1160" w:rsidP="000027F9" w:rsidRDefault="00AD1160" w14:paraId="648CCCF4" w14:textId="62BAC259">
      <w:pPr>
        <w:spacing w:after="0" w:line="480" w:lineRule="auto"/>
        <w:rPr>
          <w:rFonts w:ascii="Times New Roman" w:hAnsi="Times New Roman" w:eastAsia="Times New Roman" w:cs="Times New Roman"/>
          <w:sz w:val="26"/>
          <w:szCs w:val="26"/>
        </w:rPr>
      </w:pPr>
      <w:r w:rsidRPr="000027F9">
        <w:rPr>
          <w:rFonts w:ascii="Times New Roman" w:hAnsi="Times New Roman" w:eastAsia="Times New Roman" w:cs="Times New Roman"/>
          <w:b/>
          <w:sz w:val="26"/>
          <w:szCs w:val="26"/>
        </w:rPr>
        <w:t>SUMMARY:</w:t>
      </w:r>
      <w:r w:rsidRPr="000027F9">
        <w:rPr>
          <w:rFonts w:ascii="Times New Roman" w:hAnsi="Times New Roman" w:eastAsia="Times New Roman" w:cs="Times New Roman"/>
          <w:sz w:val="26"/>
          <w:szCs w:val="26"/>
        </w:rPr>
        <w:t xml:space="preserve">  In compliance with the requirements of the Paperwork Reduction Act of 1995</w:t>
      </w:r>
      <w:r w:rsidR="00F30EAD">
        <w:rPr>
          <w:rFonts w:ascii="Times New Roman" w:hAnsi="Times New Roman" w:eastAsia="Times New Roman" w:cs="Times New Roman"/>
          <w:sz w:val="26"/>
          <w:szCs w:val="26"/>
        </w:rPr>
        <w:t>,</w:t>
      </w:r>
      <w:r w:rsidR="00A34EA2">
        <w:rPr>
          <w:rFonts w:ascii="Times New Roman" w:hAnsi="Times New Roman" w:eastAsia="Times New Roman" w:cs="Times New Roman"/>
          <w:sz w:val="26"/>
          <w:szCs w:val="26"/>
        </w:rPr>
        <w:t xml:space="preserve"> </w:t>
      </w:r>
      <w:r w:rsidRPr="000027F9">
        <w:rPr>
          <w:rFonts w:ascii="Times New Roman" w:hAnsi="Times New Roman" w:eastAsia="Times New Roman" w:cs="Times New Roman"/>
          <w:sz w:val="26"/>
          <w:szCs w:val="26"/>
        </w:rPr>
        <w:t xml:space="preserve">the Federal Energy Regulatory Commission (Commission or FERC) </w:t>
      </w:r>
      <w:r w:rsidRPr="00B242FC" w:rsidR="00B242FC">
        <w:rPr>
          <w:rFonts w:ascii="Times New Roman" w:hAnsi="Times New Roman" w:eastAsia="Times New Roman" w:cs="Times New Roman"/>
          <w:sz w:val="26"/>
          <w:szCs w:val="26"/>
        </w:rPr>
        <w:t>is soliciting public comment on revision</w:t>
      </w:r>
      <w:r w:rsidR="00DD4828">
        <w:rPr>
          <w:rFonts w:ascii="Times New Roman" w:hAnsi="Times New Roman" w:eastAsia="Times New Roman" w:cs="Times New Roman"/>
          <w:sz w:val="26"/>
          <w:szCs w:val="26"/>
        </w:rPr>
        <w:t>s</w:t>
      </w:r>
      <w:r w:rsidRPr="00B242FC" w:rsidR="00B242FC">
        <w:rPr>
          <w:rFonts w:ascii="Times New Roman" w:hAnsi="Times New Roman" w:eastAsia="Times New Roman" w:cs="Times New Roman"/>
          <w:sz w:val="26"/>
          <w:szCs w:val="26"/>
        </w:rPr>
        <w:t xml:space="preserve"> to the information collection</w:t>
      </w:r>
      <w:r w:rsidR="00991FC5">
        <w:rPr>
          <w:rFonts w:ascii="Times New Roman" w:hAnsi="Times New Roman" w:eastAsia="Times New Roman" w:cs="Times New Roman"/>
          <w:sz w:val="26"/>
          <w:szCs w:val="26"/>
        </w:rPr>
        <w:t>s</w:t>
      </w:r>
      <w:r w:rsidRPr="00B242FC" w:rsidR="00B242FC">
        <w:rPr>
          <w:rFonts w:ascii="Times New Roman" w:hAnsi="Times New Roman" w:eastAsia="Times New Roman" w:cs="Times New Roman"/>
          <w:sz w:val="26"/>
          <w:szCs w:val="26"/>
        </w:rPr>
        <w:t xml:space="preserve">, </w:t>
      </w:r>
      <w:r w:rsidRPr="000027F9" w:rsidR="00991FC5">
        <w:rPr>
          <w:rFonts w:ascii="Times New Roman" w:hAnsi="Times New Roman" w:eastAsia="Times New Roman" w:cs="Times New Roman"/>
          <w:sz w:val="26"/>
          <w:szCs w:val="26"/>
        </w:rPr>
        <w:t>FERC-725</w:t>
      </w:r>
      <w:r w:rsidR="00991FC5">
        <w:rPr>
          <w:rFonts w:ascii="Times New Roman" w:hAnsi="Times New Roman" w:eastAsia="Times New Roman" w:cs="Times New Roman"/>
          <w:sz w:val="26"/>
          <w:szCs w:val="26"/>
        </w:rPr>
        <w:t xml:space="preserve">A </w:t>
      </w:r>
      <w:r w:rsidRPr="00B242FC" w:rsidR="00991FC5">
        <w:rPr>
          <w:rFonts w:ascii="Times New Roman" w:hAnsi="Times New Roman" w:eastAsia="Times New Roman" w:cs="Times New Roman"/>
          <w:sz w:val="26"/>
          <w:szCs w:val="26"/>
        </w:rPr>
        <w:t>(Mandatory Reliability Standards</w:t>
      </w:r>
      <w:r w:rsidR="008C1FF1">
        <w:rPr>
          <w:rFonts w:ascii="Times New Roman" w:hAnsi="Times New Roman" w:eastAsia="Times New Roman" w:cs="Times New Roman"/>
          <w:sz w:val="26"/>
          <w:szCs w:val="26"/>
        </w:rPr>
        <w:t xml:space="preserve"> for the Bulk-Power System</w:t>
      </w:r>
      <w:r w:rsidRPr="00B242FC" w:rsidR="00991FC5">
        <w:rPr>
          <w:rFonts w:ascii="Times New Roman" w:hAnsi="Times New Roman" w:eastAsia="Times New Roman" w:cs="Times New Roman"/>
          <w:sz w:val="26"/>
          <w:szCs w:val="26"/>
        </w:rPr>
        <w:t>)</w:t>
      </w:r>
      <w:r w:rsidR="00991FC5">
        <w:rPr>
          <w:rFonts w:ascii="Times New Roman" w:hAnsi="Times New Roman" w:eastAsia="Times New Roman" w:cs="Times New Roman"/>
          <w:sz w:val="26"/>
          <w:szCs w:val="26"/>
        </w:rPr>
        <w:t xml:space="preserve">, FERC-725D </w:t>
      </w:r>
      <w:r w:rsidRPr="00B242FC" w:rsidR="00991FC5">
        <w:rPr>
          <w:rFonts w:ascii="Times New Roman" w:hAnsi="Times New Roman" w:eastAsia="Times New Roman" w:cs="Times New Roman"/>
          <w:sz w:val="26"/>
          <w:szCs w:val="26"/>
        </w:rPr>
        <w:t>(</w:t>
      </w:r>
      <w:r w:rsidRPr="004017B7" w:rsidR="004017B7">
        <w:rPr>
          <w:rFonts w:ascii="Times New Roman" w:hAnsi="Times New Roman" w:eastAsia="Times New Roman" w:cs="Times New Roman"/>
          <w:sz w:val="26"/>
          <w:szCs w:val="26"/>
        </w:rPr>
        <w:t>Facilities Design, Connections and Maintenance Reliability Standards</w:t>
      </w:r>
      <w:r w:rsidRPr="00B242FC" w:rsidR="00991FC5">
        <w:rPr>
          <w:rFonts w:ascii="Times New Roman" w:hAnsi="Times New Roman" w:eastAsia="Times New Roman" w:cs="Times New Roman"/>
          <w:sz w:val="26"/>
          <w:szCs w:val="26"/>
        </w:rPr>
        <w:t>)</w:t>
      </w:r>
      <w:r w:rsidR="00991FC5">
        <w:rPr>
          <w:rFonts w:ascii="Times New Roman" w:hAnsi="Times New Roman" w:eastAsia="Times New Roman" w:cs="Times New Roman"/>
          <w:sz w:val="26"/>
          <w:szCs w:val="26"/>
        </w:rPr>
        <w:t xml:space="preserve">, FERC-725F </w:t>
      </w:r>
      <w:r w:rsidRPr="00B242FC" w:rsidR="00991FC5">
        <w:rPr>
          <w:rFonts w:ascii="Times New Roman" w:hAnsi="Times New Roman" w:eastAsia="Times New Roman" w:cs="Times New Roman"/>
          <w:sz w:val="26"/>
          <w:szCs w:val="26"/>
        </w:rPr>
        <w:t>(</w:t>
      </w:r>
      <w:r w:rsidRPr="00777427" w:rsidR="00777427">
        <w:rPr>
          <w:rFonts w:ascii="Times New Roman" w:hAnsi="Times New Roman" w:eastAsia="Times New Roman" w:cs="Times New Roman"/>
          <w:sz w:val="26"/>
          <w:szCs w:val="26"/>
        </w:rPr>
        <w:t>Mandatory Reliability Standard for Nuclear Plant Interface Coordination</w:t>
      </w:r>
      <w:r w:rsidRPr="00B242FC" w:rsidR="00991FC5">
        <w:rPr>
          <w:rFonts w:ascii="Times New Roman" w:hAnsi="Times New Roman" w:eastAsia="Times New Roman" w:cs="Times New Roman"/>
          <w:sz w:val="26"/>
          <w:szCs w:val="26"/>
        </w:rPr>
        <w:t>)</w:t>
      </w:r>
      <w:r w:rsidR="00991FC5">
        <w:rPr>
          <w:rFonts w:ascii="Times New Roman" w:hAnsi="Times New Roman" w:eastAsia="Times New Roman" w:cs="Times New Roman"/>
          <w:sz w:val="26"/>
          <w:szCs w:val="26"/>
        </w:rPr>
        <w:t xml:space="preserve">, FERC-725G </w:t>
      </w:r>
      <w:r w:rsidRPr="00B242FC" w:rsidR="00991FC5">
        <w:rPr>
          <w:rFonts w:ascii="Times New Roman" w:hAnsi="Times New Roman" w:eastAsia="Times New Roman" w:cs="Times New Roman"/>
          <w:sz w:val="26"/>
          <w:szCs w:val="26"/>
        </w:rPr>
        <w:t>(</w:t>
      </w:r>
      <w:r w:rsidRPr="00837AB7" w:rsidR="00837AB7">
        <w:rPr>
          <w:rFonts w:ascii="Times New Roman" w:hAnsi="Times New Roman" w:eastAsia="Times New Roman" w:cs="Times New Roman"/>
          <w:sz w:val="26"/>
          <w:szCs w:val="26"/>
        </w:rPr>
        <w:t>Reliability Standards for the Bulk Power System: PRC Reliability Standards</w:t>
      </w:r>
      <w:r w:rsidRPr="00B242FC" w:rsidR="00991FC5">
        <w:rPr>
          <w:rFonts w:ascii="Times New Roman" w:hAnsi="Times New Roman" w:eastAsia="Times New Roman" w:cs="Times New Roman"/>
          <w:sz w:val="26"/>
          <w:szCs w:val="26"/>
        </w:rPr>
        <w:t>)</w:t>
      </w:r>
      <w:r w:rsidR="00991FC5">
        <w:rPr>
          <w:rFonts w:ascii="Times New Roman" w:hAnsi="Times New Roman" w:eastAsia="Times New Roman" w:cs="Times New Roman"/>
          <w:sz w:val="26"/>
          <w:szCs w:val="26"/>
        </w:rPr>
        <w:t xml:space="preserve">, FERC-725L </w:t>
      </w:r>
      <w:r w:rsidRPr="00B242FC" w:rsidR="00991FC5">
        <w:rPr>
          <w:rFonts w:ascii="Times New Roman" w:hAnsi="Times New Roman" w:eastAsia="Times New Roman" w:cs="Times New Roman"/>
          <w:sz w:val="26"/>
          <w:szCs w:val="26"/>
        </w:rPr>
        <w:t>(</w:t>
      </w:r>
      <w:r w:rsidRPr="00777427" w:rsidR="00777427">
        <w:rPr>
          <w:rFonts w:ascii="Times New Roman" w:hAnsi="Times New Roman" w:eastAsia="Times New Roman" w:cs="Times New Roman"/>
          <w:sz w:val="26"/>
          <w:szCs w:val="26"/>
        </w:rPr>
        <w:t>Mandatory Reliability Standards for the Bulk-Power System: MOD Reliability Standards</w:t>
      </w:r>
      <w:r w:rsidRPr="00B242FC" w:rsidR="00991FC5">
        <w:rPr>
          <w:rFonts w:ascii="Times New Roman" w:hAnsi="Times New Roman" w:eastAsia="Times New Roman" w:cs="Times New Roman"/>
          <w:sz w:val="26"/>
          <w:szCs w:val="26"/>
        </w:rPr>
        <w:t>)</w:t>
      </w:r>
      <w:r w:rsidR="00991FC5">
        <w:rPr>
          <w:rFonts w:ascii="Times New Roman" w:hAnsi="Times New Roman" w:eastAsia="Times New Roman" w:cs="Times New Roman"/>
          <w:sz w:val="26"/>
          <w:szCs w:val="26"/>
        </w:rPr>
        <w:t xml:space="preserve">, </w:t>
      </w:r>
      <w:r w:rsidR="001C4C4C">
        <w:rPr>
          <w:rFonts w:ascii="Times New Roman" w:hAnsi="Times New Roman" w:eastAsia="Times New Roman" w:cs="Times New Roman"/>
          <w:sz w:val="26"/>
          <w:szCs w:val="26"/>
        </w:rPr>
        <w:t xml:space="preserve">and </w:t>
      </w:r>
      <w:r w:rsidR="00991FC5">
        <w:rPr>
          <w:rFonts w:ascii="Times New Roman" w:hAnsi="Times New Roman" w:eastAsia="Times New Roman" w:cs="Times New Roman"/>
          <w:sz w:val="26"/>
          <w:szCs w:val="26"/>
        </w:rPr>
        <w:t>FERC-725Z</w:t>
      </w:r>
      <w:r w:rsidRPr="00B242FC" w:rsidR="00991FC5">
        <w:rPr>
          <w:rFonts w:ascii="Times New Roman" w:hAnsi="Times New Roman" w:eastAsia="Times New Roman" w:cs="Times New Roman"/>
          <w:sz w:val="26"/>
          <w:szCs w:val="26"/>
        </w:rPr>
        <w:t xml:space="preserve"> </w:t>
      </w:r>
      <w:r w:rsidRPr="00B242FC" w:rsidR="00B242FC">
        <w:rPr>
          <w:rFonts w:ascii="Times New Roman" w:hAnsi="Times New Roman" w:eastAsia="Times New Roman" w:cs="Times New Roman"/>
          <w:sz w:val="26"/>
          <w:szCs w:val="26"/>
        </w:rPr>
        <w:t>(</w:t>
      </w:r>
      <w:r w:rsidRPr="00606999" w:rsidR="00837AB7">
        <w:rPr>
          <w:rFonts w:ascii="Times New Roman" w:hAnsi="Times New Roman" w:cs="Times New Roman"/>
          <w:sz w:val="26"/>
          <w:szCs w:val="26"/>
        </w:rPr>
        <w:t>Mandatory Reliability Standards:  IRO Reliability Standards</w:t>
      </w:r>
      <w:r w:rsidRPr="00B242FC" w:rsidR="00B242FC">
        <w:rPr>
          <w:rFonts w:ascii="Times New Roman" w:hAnsi="Times New Roman" w:eastAsia="Times New Roman" w:cs="Times New Roman"/>
          <w:sz w:val="26"/>
          <w:szCs w:val="26"/>
        </w:rPr>
        <w:t>)</w:t>
      </w:r>
      <w:r w:rsidR="00332BA5">
        <w:rPr>
          <w:rFonts w:ascii="Times New Roman" w:hAnsi="Times New Roman" w:eastAsia="Times New Roman" w:cs="Times New Roman"/>
          <w:sz w:val="26"/>
          <w:szCs w:val="26"/>
        </w:rPr>
        <w:t>, in Docket No. RD</w:t>
      </w:r>
      <w:r w:rsidR="00991FC5">
        <w:rPr>
          <w:rFonts w:ascii="Times New Roman" w:hAnsi="Times New Roman" w:eastAsia="Times New Roman" w:cs="Times New Roman"/>
          <w:sz w:val="26"/>
          <w:szCs w:val="26"/>
        </w:rPr>
        <w:t>20</w:t>
      </w:r>
      <w:r w:rsidR="00332BA5">
        <w:rPr>
          <w:rFonts w:ascii="Times New Roman" w:hAnsi="Times New Roman" w:eastAsia="Times New Roman" w:cs="Times New Roman"/>
          <w:sz w:val="26"/>
          <w:szCs w:val="26"/>
        </w:rPr>
        <w:t>-</w:t>
      </w:r>
      <w:r w:rsidR="00991FC5">
        <w:rPr>
          <w:rFonts w:ascii="Times New Roman" w:hAnsi="Times New Roman" w:eastAsia="Times New Roman" w:cs="Times New Roman"/>
          <w:sz w:val="26"/>
          <w:szCs w:val="26"/>
        </w:rPr>
        <w:t>4</w:t>
      </w:r>
      <w:r w:rsidR="00332BA5">
        <w:rPr>
          <w:rFonts w:ascii="Times New Roman" w:hAnsi="Times New Roman" w:eastAsia="Times New Roman" w:cs="Times New Roman"/>
          <w:sz w:val="26"/>
          <w:szCs w:val="26"/>
        </w:rPr>
        <w:t>-000</w:t>
      </w:r>
      <w:r w:rsidR="00991FC5">
        <w:rPr>
          <w:rFonts w:ascii="Times New Roman" w:hAnsi="Times New Roman" w:eastAsia="Times New Roman" w:cs="Times New Roman"/>
          <w:sz w:val="26"/>
          <w:szCs w:val="26"/>
        </w:rPr>
        <w:t xml:space="preserve"> </w:t>
      </w:r>
      <w:r w:rsidR="00B242FC">
        <w:rPr>
          <w:rFonts w:ascii="Times New Roman" w:hAnsi="Times New Roman" w:eastAsia="Times New Roman" w:cs="Times New Roman"/>
          <w:sz w:val="26"/>
          <w:szCs w:val="26"/>
        </w:rPr>
        <w:t>and will be</w:t>
      </w:r>
      <w:r w:rsidRPr="000027F9">
        <w:rPr>
          <w:rFonts w:ascii="Times New Roman" w:hAnsi="Times New Roman" w:eastAsia="Times New Roman" w:cs="Times New Roman"/>
          <w:sz w:val="26"/>
          <w:szCs w:val="26"/>
        </w:rPr>
        <w:t xml:space="preserve"> submitting </w:t>
      </w:r>
      <w:r w:rsidR="004017B7">
        <w:rPr>
          <w:rFonts w:ascii="Times New Roman" w:hAnsi="Times New Roman" w:eastAsia="Times New Roman" w:cs="Times New Roman"/>
          <w:sz w:val="26"/>
          <w:szCs w:val="26"/>
        </w:rPr>
        <w:t xml:space="preserve">them </w:t>
      </w:r>
      <w:r w:rsidRPr="000027F9">
        <w:rPr>
          <w:rFonts w:ascii="Times New Roman" w:hAnsi="Times New Roman" w:eastAsia="Times New Roman" w:cs="Times New Roman"/>
          <w:sz w:val="26"/>
          <w:szCs w:val="26"/>
        </w:rPr>
        <w:t xml:space="preserve">to the Office of Management and Budget (OMB) for review of the </w:t>
      </w:r>
      <w:r w:rsidR="004017B7">
        <w:rPr>
          <w:rFonts w:ascii="Times New Roman" w:hAnsi="Times New Roman" w:eastAsia="Times New Roman" w:cs="Times New Roman"/>
          <w:sz w:val="26"/>
          <w:szCs w:val="26"/>
        </w:rPr>
        <w:t xml:space="preserve">respective </w:t>
      </w:r>
      <w:r w:rsidRPr="000027F9">
        <w:rPr>
          <w:rFonts w:ascii="Times New Roman" w:hAnsi="Times New Roman" w:eastAsia="Times New Roman" w:cs="Times New Roman"/>
          <w:sz w:val="26"/>
          <w:szCs w:val="26"/>
        </w:rPr>
        <w:t xml:space="preserve">information collection requirements.  </w:t>
      </w:r>
    </w:p>
    <w:p w:rsidRPr="00973DF1" w:rsidR="00A371CE" w:rsidP="00AD1160" w:rsidRDefault="00AD1160" w14:paraId="089F96F8" w14:textId="60E93016">
      <w:pPr>
        <w:spacing w:after="0" w:line="480" w:lineRule="auto"/>
        <w:rPr>
          <w:rFonts w:ascii="Times New Roman" w:hAnsi="Times New Roman" w:eastAsia="Times New Roman" w:cs="Times New Roman"/>
          <w:b/>
          <w:sz w:val="26"/>
          <w:szCs w:val="26"/>
        </w:rPr>
      </w:pPr>
      <w:r w:rsidRPr="00AD1160">
        <w:rPr>
          <w:rFonts w:ascii="Times New Roman" w:hAnsi="Times New Roman" w:eastAsia="Times New Roman" w:cs="Times New Roman"/>
          <w:b/>
          <w:sz w:val="26"/>
          <w:szCs w:val="26"/>
        </w:rPr>
        <w:t>DATES:</w:t>
      </w:r>
      <w:r w:rsidRPr="00AD1160">
        <w:rPr>
          <w:rFonts w:ascii="Times New Roman" w:hAnsi="Times New Roman" w:eastAsia="Times New Roman" w:cs="Times New Roman"/>
          <w:sz w:val="26"/>
          <w:szCs w:val="26"/>
        </w:rPr>
        <w:t xml:space="preserve">  Comments on the collection</w:t>
      </w:r>
      <w:r w:rsidR="00143CB0">
        <w:rPr>
          <w:rFonts w:ascii="Times New Roman" w:hAnsi="Times New Roman" w:eastAsia="Times New Roman" w:cs="Times New Roman"/>
          <w:sz w:val="26"/>
          <w:szCs w:val="26"/>
        </w:rPr>
        <w:t>s</w:t>
      </w:r>
      <w:r w:rsidRPr="00AD1160">
        <w:rPr>
          <w:rFonts w:ascii="Times New Roman" w:hAnsi="Times New Roman" w:eastAsia="Times New Roman" w:cs="Times New Roman"/>
          <w:sz w:val="26"/>
          <w:szCs w:val="26"/>
        </w:rPr>
        <w:t xml:space="preserve"> of information are due </w:t>
      </w:r>
      <w:r w:rsidRPr="00973DF1">
        <w:rPr>
          <w:rFonts w:ascii="Times New Roman" w:hAnsi="Times New Roman" w:eastAsia="Times New Roman" w:cs="Times New Roman"/>
          <w:b/>
          <w:sz w:val="26"/>
          <w:szCs w:val="26"/>
        </w:rPr>
        <w:t>[</w:t>
      </w:r>
      <w:r w:rsidR="006870DD">
        <w:rPr>
          <w:rFonts w:ascii="Times New Roman" w:hAnsi="Times New Roman" w:eastAsia="Times New Roman" w:cs="Times New Roman"/>
          <w:b/>
          <w:sz w:val="26"/>
          <w:szCs w:val="26"/>
        </w:rPr>
        <w:t xml:space="preserve">Insert date </w:t>
      </w:r>
      <w:r w:rsidRPr="00973DF1">
        <w:rPr>
          <w:rFonts w:ascii="Times New Roman" w:hAnsi="Times New Roman" w:eastAsia="Times New Roman" w:cs="Times New Roman"/>
          <w:b/>
          <w:sz w:val="26"/>
          <w:szCs w:val="26"/>
        </w:rPr>
        <w:t xml:space="preserve">60 days after </w:t>
      </w:r>
      <w:r w:rsidR="004F4CD7">
        <w:rPr>
          <w:rFonts w:ascii="Times New Roman" w:hAnsi="Times New Roman" w:eastAsia="Times New Roman" w:cs="Times New Roman"/>
          <w:b/>
          <w:sz w:val="26"/>
          <w:szCs w:val="26"/>
        </w:rPr>
        <w:t xml:space="preserve">date of </w:t>
      </w:r>
      <w:r w:rsidRPr="00973DF1">
        <w:rPr>
          <w:rFonts w:ascii="Times New Roman" w:hAnsi="Times New Roman" w:eastAsia="Times New Roman" w:cs="Times New Roman"/>
          <w:b/>
          <w:sz w:val="26"/>
          <w:szCs w:val="26"/>
        </w:rPr>
        <w:t xml:space="preserve">publication in the Federal Register]. </w:t>
      </w:r>
    </w:p>
    <w:p w:rsidR="00152CD4" w:rsidP="00152CD4" w:rsidRDefault="00AD1160" w14:paraId="6D6F51E7" w14:textId="1512F0B4">
      <w:pPr>
        <w:spacing w:after="0" w:line="480" w:lineRule="auto"/>
        <w:rPr>
          <w:rFonts w:ascii="Times New Roman" w:hAnsi="Times New Roman" w:eastAsia="Times New Roman" w:cs="Times New Roman"/>
          <w:sz w:val="26"/>
          <w:szCs w:val="26"/>
        </w:rPr>
      </w:pPr>
      <w:r w:rsidRPr="000027F9">
        <w:rPr>
          <w:rFonts w:ascii="Times New Roman" w:hAnsi="Times New Roman" w:eastAsia="Times New Roman" w:cs="Times New Roman"/>
          <w:b/>
          <w:sz w:val="26"/>
          <w:szCs w:val="26"/>
        </w:rPr>
        <w:lastRenderedPageBreak/>
        <w:t>ADDRESSES:</w:t>
      </w:r>
      <w:r w:rsidRPr="000027F9">
        <w:rPr>
          <w:rFonts w:ascii="Times New Roman" w:hAnsi="Times New Roman" w:eastAsia="Times New Roman" w:cs="Times New Roman"/>
          <w:sz w:val="26"/>
          <w:szCs w:val="26"/>
        </w:rPr>
        <w:t xml:space="preserve">  </w:t>
      </w:r>
      <w:bookmarkStart w:name="OLE_LINK1" w:id="0"/>
      <w:r w:rsidR="00152CD4">
        <w:rPr>
          <w:rFonts w:ascii="Times New Roman" w:hAnsi="Times New Roman" w:eastAsia="Times New Roman" w:cs="Times New Roman"/>
          <w:sz w:val="26"/>
          <w:szCs w:val="26"/>
        </w:rPr>
        <w:t xml:space="preserve">You may submit comments identified by Docket No. </w:t>
      </w:r>
      <w:r w:rsidR="00D75CA1">
        <w:rPr>
          <w:rFonts w:ascii="Times New Roman" w:hAnsi="Times New Roman" w:eastAsia="Times New Roman" w:cs="Times New Roman"/>
          <w:sz w:val="26"/>
          <w:szCs w:val="26"/>
        </w:rPr>
        <w:t>RD</w:t>
      </w:r>
      <w:r w:rsidR="001C4C4C">
        <w:rPr>
          <w:rFonts w:ascii="Times New Roman" w:hAnsi="Times New Roman" w:eastAsia="Times New Roman" w:cs="Times New Roman"/>
          <w:sz w:val="26"/>
          <w:szCs w:val="26"/>
        </w:rPr>
        <w:t>20</w:t>
      </w:r>
      <w:r w:rsidR="00D75CA1">
        <w:rPr>
          <w:rFonts w:ascii="Times New Roman" w:hAnsi="Times New Roman" w:eastAsia="Times New Roman" w:cs="Times New Roman"/>
          <w:sz w:val="26"/>
          <w:szCs w:val="26"/>
        </w:rPr>
        <w:t>-</w:t>
      </w:r>
      <w:r w:rsidR="001C4C4C">
        <w:rPr>
          <w:rFonts w:ascii="Times New Roman" w:hAnsi="Times New Roman" w:eastAsia="Times New Roman" w:cs="Times New Roman"/>
          <w:sz w:val="26"/>
          <w:szCs w:val="26"/>
        </w:rPr>
        <w:t>4</w:t>
      </w:r>
      <w:r w:rsidR="00D75CA1">
        <w:rPr>
          <w:rFonts w:ascii="Times New Roman" w:hAnsi="Times New Roman" w:eastAsia="Times New Roman" w:cs="Times New Roman"/>
          <w:sz w:val="26"/>
          <w:szCs w:val="26"/>
        </w:rPr>
        <w:t>-000</w:t>
      </w:r>
      <w:r w:rsidR="001C4C4C">
        <w:rPr>
          <w:rFonts w:ascii="Times New Roman" w:hAnsi="Times New Roman" w:eastAsia="Times New Roman" w:cs="Times New Roman"/>
          <w:sz w:val="26"/>
          <w:szCs w:val="26"/>
        </w:rPr>
        <w:t xml:space="preserve"> </w:t>
      </w:r>
      <w:r w:rsidR="00152CD4">
        <w:rPr>
          <w:rFonts w:ascii="Times New Roman" w:hAnsi="Times New Roman" w:eastAsia="Times New Roman" w:cs="Times New Roman"/>
          <w:sz w:val="26"/>
          <w:szCs w:val="26"/>
        </w:rPr>
        <w:t>by either of the following methods:</w:t>
      </w:r>
    </w:p>
    <w:p w:rsidRPr="00152CD4" w:rsidR="00AD1160" w:rsidP="00152CD4" w:rsidRDefault="00AD1160" w14:paraId="62A5F264" w14:textId="72B2314F">
      <w:pPr>
        <w:pStyle w:val="ListParagraph"/>
        <w:numPr>
          <w:ilvl w:val="0"/>
          <w:numId w:val="4"/>
        </w:numPr>
        <w:spacing w:after="0" w:line="480" w:lineRule="auto"/>
        <w:rPr>
          <w:rFonts w:ascii="Times New Roman" w:hAnsi="Times New Roman" w:eastAsia="Times New Roman" w:cs="Times New Roman"/>
          <w:sz w:val="26"/>
          <w:szCs w:val="26"/>
        </w:rPr>
      </w:pPr>
      <w:r w:rsidRPr="00152CD4">
        <w:rPr>
          <w:rFonts w:ascii="Times New Roman" w:hAnsi="Times New Roman" w:eastAsia="Times New Roman" w:cs="Times New Roman"/>
          <w:sz w:val="26"/>
          <w:szCs w:val="26"/>
        </w:rPr>
        <w:t xml:space="preserve">eFiling at Commission’s Web Site: </w:t>
      </w:r>
      <w:hyperlink w:history="1" r:id="rId12">
        <w:r w:rsidRPr="00152CD4">
          <w:rPr>
            <w:rStyle w:val="Hyperlink"/>
            <w:rFonts w:ascii="Times New Roman" w:hAnsi="Times New Roman" w:eastAsia="Times New Roman" w:cs="Times New Roman"/>
            <w:sz w:val="26"/>
            <w:szCs w:val="26"/>
          </w:rPr>
          <w:t>http://www.ferc.gov/docs-filing/efiling.asp</w:t>
        </w:r>
      </w:hyperlink>
    </w:p>
    <w:p w:rsidR="00445B3C" w:rsidP="00143CB0" w:rsidRDefault="00445B3C" w14:paraId="68FC0B7D" w14:textId="41FA7E5B">
      <w:pPr>
        <w:numPr>
          <w:ilvl w:val="0"/>
          <w:numId w:val="2"/>
        </w:numPr>
        <w:spacing w:after="0" w:line="48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U.S. Postal Service </w:t>
      </w:r>
      <w:r w:rsidRPr="00143CB0" w:rsidR="00143CB0">
        <w:rPr>
          <w:rFonts w:ascii="Times New Roman" w:hAnsi="Times New Roman" w:eastAsia="Times New Roman" w:cs="Times New Roman"/>
          <w:sz w:val="26"/>
          <w:szCs w:val="26"/>
        </w:rPr>
        <w:t xml:space="preserve">Mail: Persons unable to file electronically may mail similar pleadings to the Federal Energy Regulatory Commission, 888 First Street, NE, Washington, DC 20426. </w:t>
      </w:r>
    </w:p>
    <w:p w:rsidRPr="000027F9" w:rsidR="00AD1160" w:rsidP="00143CB0" w:rsidRDefault="00643D4E" w14:paraId="1350E0B0" w14:textId="41CE4658">
      <w:pPr>
        <w:numPr>
          <w:ilvl w:val="0"/>
          <w:numId w:val="2"/>
        </w:numPr>
        <w:spacing w:after="0" w:line="48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Effective 7/1/2020, d</w:t>
      </w:r>
      <w:r w:rsidR="00445B3C">
        <w:rPr>
          <w:rFonts w:ascii="Times New Roman" w:hAnsi="Times New Roman" w:eastAsia="Times New Roman" w:cs="Times New Roman"/>
          <w:sz w:val="26"/>
          <w:szCs w:val="26"/>
        </w:rPr>
        <w:t>elivery of filings other than by eFiling or the U.S. Postal Service</w:t>
      </w:r>
      <w:r w:rsidRPr="00143CB0" w:rsidR="00143CB0">
        <w:rPr>
          <w:rFonts w:ascii="Times New Roman" w:hAnsi="Times New Roman" w:eastAsia="Times New Roman" w:cs="Times New Roman"/>
          <w:sz w:val="26"/>
          <w:szCs w:val="26"/>
        </w:rPr>
        <w:t xml:space="preserve"> should be delivered to Health and Human Services, 12225 Wilkins Avenue, Rockville, Maryland 20852.</w:t>
      </w:r>
      <w:r w:rsidRPr="000027F9" w:rsidDel="00143CB0" w:rsidR="00143CB0">
        <w:rPr>
          <w:rFonts w:ascii="Times New Roman" w:hAnsi="Times New Roman" w:eastAsia="Times New Roman" w:cs="Times New Roman"/>
          <w:sz w:val="26"/>
          <w:szCs w:val="26"/>
        </w:rPr>
        <w:t xml:space="preserve"> </w:t>
      </w:r>
    </w:p>
    <w:p w:rsidRPr="000027F9" w:rsidR="00AD1160" w:rsidP="00AD1160" w:rsidRDefault="00AD1160" w14:paraId="20C88B2B" w14:textId="391AAB52">
      <w:pPr>
        <w:spacing w:after="0" w:line="480" w:lineRule="auto"/>
        <w:rPr>
          <w:rFonts w:ascii="Times New Roman" w:hAnsi="Times New Roman" w:eastAsia="Times New Roman" w:cs="Times New Roman"/>
          <w:sz w:val="26"/>
          <w:szCs w:val="26"/>
        </w:rPr>
      </w:pPr>
      <w:r w:rsidRPr="000027F9">
        <w:rPr>
          <w:rFonts w:ascii="Times New Roman" w:hAnsi="Times New Roman" w:eastAsia="Times New Roman" w:cs="Times New Roman"/>
          <w:i/>
          <w:sz w:val="26"/>
          <w:szCs w:val="26"/>
        </w:rPr>
        <w:t xml:space="preserve">Instructions: </w:t>
      </w:r>
      <w:r w:rsidRPr="000027F9">
        <w:rPr>
          <w:rFonts w:ascii="Times New Roman" w:hAnsi="Times New Roman" w:eastAsia="Times New Roman" w:cs="Times New Roman"/>
          <w:sz w:val="26"/>
          <w:szCs w:val="26"/>
        </w:rPr>
        <w:t xml:space="preserve">All submissions must be formatted and filed in accordance with submission guidelines at: </w:t>
      </w:r>
      <w:hyperlink w:history="1" r:id="rId13">
        <w:r w:rsidRPr="000027F9">
          <w:rPr>
            <w:rStyle w:val="Hyperlink"/>
            <w:rFonts w:ascii="Times New Roman" w:hAnsi="Times New Roman" w:eastAsia="Times New Roman" w:cs="Times New Roman"/>
            <w:sz w:val="26"/>
            <w:szCs w:val="26"/>
          </w:rPr>
          <w:t>http://www.ferc.gov/help/submission-guide.asp</w:t>
        </w:r>
      </w:hyperlink>
      <w:r w:rsidRPr="000027F9">
        <w:rPr>
          <w:rFonts w:ascii="Times New Roman" w:hAnsi="Times New Roman" w:eastAsia="Times New Roman" w:cs="Times New Roman"/>
          <w:sz w:val="26"/>
          <w:szCs w:val="26"/>
        </w:rPr>
        <w:t>.  For user assistance</w:t>
      </w:r>
      <w:r w:rsidR="00924AC8">
        <w:rPr>
          <w:rFonts w:ascii="Times New Roman" w:hAnsi="Times New Roman" w:eastAsia="Times New Roman" w:cs="Times New Roman"/>
          <w:sz w:val="26"/>
          <w:szCs w:val="26"/>
        </w:rPr>
        <w:t>,</w:t>
      </w:r>
      <w:r w:rsidRPr="000027F9">
        <w:rPr>
          <w:rFonts w:ascii="Times New Roman" w:hAnsi="Times New Roman" w:eastAsia="Times New Roman" w:cs="Times New Roman"/>
          <w:sz w:val="26"/>
          <w:szCs w:val="26"/>
        </w:rPr>
        <w:t xml:space="preserve"> contact FERC Online Support by e-mail at ferconlinesupport@ferc.gov, or by phone at:  (866) 208-3676 (toll-free).</w:t>
      </w:r>
    </w:p>
    <w:p w:rsidRPr="000027F9" w:rsidR="00AD1160" w:rsidP="00AD1160" w:rsidRDefault="00AD1160" w14:paraId="488FB22F" w14:textId="4F2B39F0">
      <w:pPr>
        <w:spacing w:after="0" w:line="480" w:lineRule="auto"/>
        <w:rPr>
          <w:rFonts w:ascii="Times New Roman" w:hAnsi="Times New Roman" w:eastAsia="Times New Roman" w:cs="Times New Roman"/>
          <w:sz w:val="26"/>
          <w:szCs w:val="26"/>
        </w:rPr>
      </w:pPr>
      <w:r w:rsidRPr="000027F9">
        <w:rPr>
          <w:rFonts w:ascii="Times New Roman" w:hAnsi="Times New Roman" w:eastAsia="Times New Roman" w:cs="Times New Roman"/>
          <w:i/>
          <w:sz w:val="26"/>
          <w:szCs w:val="26"/>
        </w:rPr>
        <w:t>Docket:</w:t>
      </w:r>
      <w:r w:rsidRPr="000027F9">
        <w:rPr>
          <w:rFonts w:ascii="Times New Roman" w:hAnsi="Times New Roman" w:eastAsia="Times New Roman" w:cs="Times New Roman"/>
          <w:sz w:val="26"/>
          <w:szCs w:val="26"/>
        </w:rPr>
        <w:t xml:space="preserve"> Users interested in receiving automatic notification of activity in this docket or in viewing/downloading comments and issuances in this docket may do so at </w:t>
      </w:r>
      <w:hyperlink w:history="1" r:id="rId14">
        <w:r w:rsidRPr="000027F9">
          <w:rPr>
            <w:rStyle w:val="Hyperlink"/>
            <w:rFonts w:ascii="Times New Roman" w:hAnsi="Times New Roman" w:eastAsia="Times New Roman" w:cs="Times New Roman"/>
            <w:sz w:val="26"/>
            <w:szCs w:val="26"/>
          </w:rPr>
          <w:t>http://www.ferc.gov/docs-filing/docs-filing.asp</w:t>
        </w:r>
      </w:hyperlink>
      <w:r w:rsidRPr="000027F9">
        <w:rPr>
          <w:rFonts w:ascii="Times New Roman" w:hAnsi="Times New Roman" w:eastAsia="Times New Roman" w:cs="Times New Roman"/>
          <w:sz w:val="26"/>
          <w:szCs w:val="26"/>
        </w:rPr>
        <w:t xml:space="preserve">. </w:t>
      </w:r>
    </w:p>
    <w:bookmarkEnd w:id="0"/>
    <w:p w:rsidRPr="000027F9" w:rsidR="00AD1160" w:rsidP="00AD1160" w:rsidRDefault="00AD1160" w14:paraId="4BB38C71" w14:textId="496E8EE8">
      <w:pPr>
        <w:spacing w:after="0" w:line="480" w:lineRule="auto"/>
        <w:rPr>
          <w:rFonts w:ascii="Times New Roman" w:hAnsi="Times New Roman" w:eastAsia="Times New Roman" w:cs="Times New Roman"/>
          <w:sz w:val="26"/>
          <w:szCs w:val="26"/>
        </w:rPr>
      </w:pPr>
      <w:r w:rsidRPr="000027F9">
        <w:rPr>
          <w:rFonts w:ascii="Times New Roman" w:hAnsi="Times New Roman" w:eastAsia="Times New Roman" w:cs="Times New Roman"/>
          <w:b/>
          <w:sz w:val="26"/>
          <w:szCs w:val="26"/>
        </w:rPr>
        <w:t>FOR FURTHER INFORMATION:</w:t>
      </w:r>
      <w:r w:rsidRPr="000027F9">
        <w:rPr>
          <w:rFonts w:ascii="Times New Roman" w:hAnsi="Times New Roman" w:eastAsia="Times New Roman" w:cs="Times New Roman"/>
          <w:sz w:val="26"/>
          <w:szCs w:val="26"/>
        </w:rPr>
        <w:t xml:space="preserve">  Ellen Brown may be reached by e-mail at </w:t>
      </w:r>
      <w:hyperlink w:history="1" r:id="rId15">
        <w:r w:rsidRPr="000027F9">
          <w:rPr>
            <w:rStyle w:val="Hyperlink"/>
            <w:rFonts w:ascii="Times New Roman" w:hAnsi="Times New Roman" w:eastAsia="Times New Roman" w:cs="Times New Roman"/>
            <w:sz w:val="26"/>
            <w:szCs w:val="26"/>
          </w:rPr>
          <w:t>DataClearance@FERC.gov</w:t>
        </w:r>
      </w:hyperlink>
      <w:r w:rsidRPr="000027F9">
        <w:rPr>
          <w:rFonts w:ascii="Times New Roman" w:hAnsi="Times New Roman" w:eastAsia="Times New Roman" w:cs="Times New Roman"/>
          <w:sz w:val="26"/>
          <w:szCs w:val="26"/>
        </w:rPr>
        <w:t xml:space="preserve">, </w:t>
      </w:r>
      <w:r w:rsidR="00143CB0">
        <w:rPr>
          <w:rFonts w:ascii="Times New Roman" w:hAnsi="Times New Roman" w:eastAsia="Times New Roman" w:cs="Times New Roman"/>
          <w:sz w:val="26"/>
          <w:szCs w:val="26"/>
        </w:rPr>
        <w:t xml:space="preserve">and </w:t>
      </w:r>
      <w:r w:rsidRPr="000027F9">
        <w:rPr>
          <w:rFonts w:ascii="Times New Roman" w:hAnsi="Times New Roman" w:eastAsia="Times New Roman" w:cs="Times New Roman"/>
          <w:sz w:val="26"/>
          <w:szCs w:val="26"/>
        </w:rPr>
        <w:t>telephone at (202) 502-8663.</w:t>
      </w:r>
    </w:p>
    <w:p w:rsidRPr="00AD1160" w:rsidR="00AD1160" w:rsidP="00AD1160" w:rsidRDefault="00AD1160" w14:paraId="421F9CF3" w14:textId="77777777">
      <w:pPr>
        <w:spacing w:after="0" w:line="480" w:lineRule="auto"/>
        <w:rPr>
          <w:rFonts w:ascii="Times New Roman" w:hAnsi="Times New Roman" w:eastAsia="Times New Roman" w:cs="Times New Roman"/>
          <w:sz w:val="26"/>
          <w:szCs w:val="26"/>
        </w:rPr>
      </w:pPr>
      <w:r w:rsidRPr="00AD1160">
        <w:rPr>
          <w:rFonts w:ascii="Times New Roman" w:hAnsi="Times New Roman" w:eastAsia="Times New Roman" w:cs="Times New Roman"/>
          <w:b/>
          <w:sz w:val="26"/>
          <w:szCs w:val="26"/>
        </w:rPr>
        <w:t>SUPPLEMENTARY INFORMATION:</w:t>
      </w:r>
      <w:r w:rsidRPr="00AD1160">
        <w:rPr>
          <w:rFonts w:ascii="Times New Roman" w:hAnsi="Times New Roman" w:eastAsia="Times New Roman" w:cs="Times New Roman"/>
          <w:sz w:val="26"/>
          <w:szCs w:val="26"/>
        </w:rPr>
        <w:t xml:space="preserve">  </w:t>
      </w:r>
    </w:p>
    <w:p w:rsidRPr="000027F9" w:rsidR="00AD1160" w:rsidP="00AD1160" w:rsidRDefault="00AD1160" w14:paraId="51D4DE35" w14:textId="0B505ADC">
      <w:pPr>
        <w:spacing w:after="0" w:line="480" w:lineRule="auto"/>
        <w:rPr>
          <w:rFonts w:ascii="Times New Roman" w:hAnsi="Times New Roman" w:eastAsia="Times New Roman" w:cs="Times New Roman"/>
          <w:sz w:val="26"/>
          <w:szCs w:val="26"/>
        </w:rPr>
      </w:pPr>
      <w:r w:rsidRPr="000027F9">
        <w:rPr>
          <w:rFonts w:ascii="Times New Roman" w:hAnsi="Times New Roman" w:eastAsia="Times New Roman" w:cs="Times New Roman"/>
          <w:i/>
          <w:sz w:val="26"/>
          <w:szCs w:val="26"/>
        </w:rPr>
        <w:t>Title</w:t>
      </w:r>
      <w:r w:rsidR="001C4C4C">
        <w:rPr>
          <w:rFonts w:ascii="Times New Roman" w:hAnsi="Times New Roman" w:eastAsia="Times New Roman" w:cs="Times New Roman"/>
          <w:i/>
          <w:sz w:val="26"/>
          <w:szCs w:val="26"/>
        </w:rPr>
        <w:t>s</w:t>
      </w:r>
      <w:r w:rsidRPr="000027F9">
        <w:rPr>
          <w:rFonts w:ascii="Times New Roman" w:hAnsi="Times New Roman" w:eastAsia="Times New Roman" w:cs="Times New Roman"/>
          <w:i/>
          <w:sz w:val="26"/>
          <w:szCs w:val="26"/>
        </w:rPr>
        <w:t xml:space="preserve">: </w:t>
      </w:r>
      <w:r w:rsidRPr="000027F9" w:rsidR="001C4C4C">
        <w:rPr>
          <w:rFonts w:ascii="Times New Roman" w:hAnsi="Times New Roman" w:eastAsia="Times New Roman" w:cs="Times New Roman"/>
          <w:sz w:val="26"/>
          <w:szCs w:val="26"/>
        </w:rPr>
        <w:t>FERC-725</w:t>
      </w:r>
      <w:r w:rsidR="001C4C4C">
        <w:rPr>
          <w:rFonts w:ascii="Times New Roman" w:hAnsi="Times New Roman" w:eastAsia="Times New Roman" w:cs="Times New Roman"/>
          <w:sz w:val="26"/>
          <w:szCs w:val="26"/>
        </w:rPr>
        <w:t xml:space="preserve">A, </w:t>
      </w:r>
      <w:r w:rsidRPr="00B242FC" w:rsidR="001C4C4C">
        <w:rPr>
          <w:rFonts w:ascii="Times New Roman" w:hAnsi="Times New Roman" w:eastAsia="Times New Roman" w:cs="Times New Roman"/>
          <w:sz w:val="26"/>
          <w:szCs w:val="26"/>
        </w:rPr>
        <w:t>Mandatory Reliability Standards</w:t>
      </w:r>
      <w:r w:rsidR="001C4C4C">
        <w:rPr>
          <w:rFonts w:ascii="Times New Roman" w:hAnsi="Times New Roman" w:eastAsia="Times New Roman" w:cs="Times New Roman"/>
          <w:sz w:val="26"/>
          <w:szCs w:val="26"/>
        </w:rPr>
        <w:t xml:space="preserve"> for the Bulk-Power System; FERC-725D, </w:t>
      </w:r>
      <w:r w:rsidRPr="004017B7" w:rsidR="001C4C4C">
        <w:rPr>
          <w:rFonts w:ascii="Times New Roman" w:hAnsi="Times New Roman" w:eastAsia="Times New Roman" w:cs="Times New Roman"/>
          <w:sz w:val="26"/>
          <w:szCs w:val="26"/>
        </w:rPr>
        <w:t>Facilities Design, Connections and Maintenance Reliability Standards</w:t>
      </w:r>
      <w:r w:rsidR="001C4C4C">
        <w:rPr>
          <w:rFonts w:ascii="Times New Roman" w:hAnsi="Times New Roman" w:eastAsia="Times New Roman" w:cs="Times New Roman"/>
          <w:sz w:val="26"/>
          <w:szCs w:val="26"/>
        </w:rPr>
        <w:t>; FERC-</w:t>
      </w:r>
      <w:r w:rsidR="001C4C4C">
        <w:rPr>
          <w:rFonts w:ascii="Times New Roman" w:hAnsi="Times New Roman" w:eastAsia="Times New Roman" w:cs="Times New Roman"/>
          <w:sz w:val="26"/>
          <w:szCs w:val="26"/>
        </w:rPr>
        <w:lastRenderedPageBreak/>
        <w:t xml:space="preserve">725F, </w:t>
      </w:r>
      <w:r w:rsidRPr="00777427" w:rsidR="001C4C4C">
        <w:rPr>
          <w:rFonts w:ascii="Times New Roman" w:hAnsi="Times New Roman" w:eastAsia="Times New Roman" w:cs="Times New Roman"/>
          <w:sz w:val="26"/>
          <w:szCs w:val="26"/>
        </w:rPr>
        <w:t>Mandatory Reliability Standard for Nuclear Plant Interface Coordination</w:t>
      </w:r>
      <w:r w:rsidR="001C4C4C">
        <w:rPr>
          <w:rFonts w:ascii="Times New Roman" w:hAnsi="Times New Roman" w:eastAsia="Times New Roman" w:cs="Times New Roman"/>
          <w:sz w:val="26"/>
          <w:szCs w:val="26"/>
        </w:rPr>
        <w:t xml:space="preserve">; FERC-725G, </w:t>
      </w:r>
      <w:r w:rsidRPr="00837AB7" w:rsidR="001C4C4C">
        <w:rPr>
          <w:rFonts w:ascii="Times New Roman" w:hAnsi="Times New Roman" w:eastAsia="Times New Roman" w:cs="Times New Roman"/>
          <w:sz w:val="26"/>
          <w:szCs w:val="26"/>
        </w:rPr>
        <w:t>Reliability Standards for the Bulk Power System: PRC Reliability Standards</w:t>
      </w:r>
      <w:r w:rsidR="001C4C4C">
        <w:rPr>
          <w:rFonts w:ascii="Times New Roman" w:hAnsi="Times New Roman" w:eastAsia="Times New Roman" w:cs="Times New Roman"/>
          <w:sz w:val="26"/>
          <w:szCs w:val="26"/>
        </w:rPr>
        <w:t xml:space="preserve">; FERC-725L, </w:t>
      </w:r>
      <w:r w:rsidRPr="00777427" w:rsidR="001C4C4C">
        <w:rPr>
          <w:rFonts w:ascii="Times New Roman" w:hAnsi="Times New Roman" w:eastAsia="Times New Roman" w:cs="Times New Roman"/>
          <w:sz w:val="26"/>
          <w:szCs w:val="26"/>
        </w:rPr>
        <w:t>Mandatory Reliability Standards for the Bulk-Power System: MOD Reliability Standards</w:t>
      </w:r>
      <w:r w:rsidR="001C4C4C">
        <w:rPr>
          <w:rFonts w:ascii="Times New Roman" w:hAnsi="Times New Roman" w:eastAsia="Times New Roman" w:cs="Times New Roman"/>
          <w:sz w:val="26"/>
          <w:szCs w:val="26"/>
        </w:rPr>
        <w:t xml:space="preserve">; </w:t>
      </w:r>
      <w:r w:rsidR="00056AB4">
        <w:rPr>
          <w:rFonts w:ascii="Times New Roman" w:hAnsi="Times New Roman" w:eastAsia="Times New Roman" w:cs="Times New Roman"/>
          <w:sz w:val="26"/>
          <w:szCs w:val="26"/>
        </w:rPr>
        <w:t xml:space="preserve">and </w:t>
      </w:r>
      <w:r w:rsidR="001C4C4C">
        <w:rPr>
          <w:rFonts w:ascii="Times New Roman" w:hAnsi="Times New Roman" w:eastAsia="Times New Roman" w:cs="Times New Roman"/>
          <w:sz w:val="26"/>
          <w:szCs w:val="26"/>
        </w:rPr>
        <w:t>FERC-725Z,</w:t>
      </w:r>
      <w:r w:rsidRPr="00B242FC" w:rsidR="001C4C4C">
        <w:rPr>
          <w:rFonts w:ascii="Times New Roman" w:hAnsi="Times New Roman" w:eastAsia="Times New Roman" w:cs="Times New Roman"/>
          <w:sz w:val="26"/>
          <w:szCs w:val="26"/>
        </w:rPr>
        <w:t xml:space="preserve"> </w:t>
      </w:r>
      <w:r w:rsidRPr="00606999" w:rsidR="001C4C4C">
        <w:rPr>
          <w:rFonts w:ascii="Times New Roman" w:hAnsi="Times New Roman" w:cs="Times New Roman"/>
          <w:sz w:val="26"/>
          <w:szCs w:val="26"/>
        </w:rPr>
        <w:t>Mandatory Reliability Standards:</w:t>
      </w:r>
      <w:r w:rsidR="002A74EB">
        <w:rPr>
          <w:rFonts w:ascii="Times New Roman" w:hAnsi="Times New Roman" w:cs="Times New Roman"/>
          <w:sz w:val="26"/>
          <w:szCs w:val="26"/>
        </w:rPr>
        <w:t xml:space="preserve"> </w:t>
      </w:r>
      <w:r w:rsidRPr="00606999" w:rsidR="001C4C4C">
        <w:rPr>
          <w:rFonts w:ascii="Times New Roman" w:hAnsi="Times New Roman" w:cs="Times New Roman"/>
          <w:sz w:val="26"/>
          <w:szCs w:val="26"/>
        </w:rPr>
        <w:t>IRO Reliability</w:t>
      </w:r>
      <w:r w:rsidR="001C4C4C">
        <w:rPr>
          <w:rFonts w:ascii="Times New Roman" w:hAnsi="Times New Roman" w:cs="Times New Roman"/>
          <w:sz w:val="26"/>
          <w:szCs w:val="26"/>
        </w:rPr>
        <w:t xml:space="preserve"> </w:t>
      </w:r>
      <w:r w:rsidRPr="00606999" w:rsidR="001C4C4C">
        <w:rPr>
          <w:rFonts w:ascii="Times New Roman" w:hAnsi="Times New Roman" w:cs="Times New Roman"/>
          <w:sz w:val="26"/>
          <w:szCs w:val="26"/>
        </w:rPr>
        <w:t>Standards</w:t>
      </w:r>
      <w:r w:rsidR="001C4C4C">
        <w:rPr>
          <w:rFonts w:ascii="Times New Roman" w:hAnsi="Times New Roman" w:cs="Times New Roman"/>
          <w:sz w:val="26"/>
          <w:szCs w:val="26"/>
        </w:rPr>
        <w:t>.</w:t>
      </w:r>
    </w:p>
    <w:p w:rsidR="00152CD4" w:rsidP="00AD1160" w:rsidRDefault="00AD1160" w14:paraId="6E5D7F7A" w14:textId="3F293A96">
      <w:pPr>
        <w:tabs>
          <w:tab w:val="center" w:pos="4680"/>
        </w:tabs>
        <w:spacing w:after="0" w:line="480" w:lineRule="auto"/>
        <w:rPr>
          <w:rFonts w:ascii="Times New Roman" w:hAnsi="Times New Roman" w:eastAsia="Times New Roman" w:cs="Times New Roman"/>
          <w:sz w:val="26"/>
          <w:szCs w:val="26"/>
        </w:rPr>
      </w:pPr>
      <w:r w:rsidRPr="000027F9">
        <w:rPr>
          <w:rFonts w:ascii="Times New Roman" w:hAnsi="Times New Roman" w:eastAsia="Times New Roman" w:cs="Times New Roman"/>
          <w:i/>
          <w:sz w:val="26"/>
          <w:szCs w:val="26"/>
        </w:rPr>
        <w:t>OMB Control No</w:t>
      </w:r>
      <w:r w:rsidR="00056AB4">
        <w:rPr>
          <w:rFonts w:ascii="Times New Roman" w:hAnsi="Times New Roman" w:eastAsia="Times New Roman" w:cs="Times New Roman"/>
          <w:i/>
          <w:sz w:val="26"/>
          <w:szCs w:val="26"/>
        </w:rPr>
        <w:t>s</w:t>
      </w:r>
      <w:r w:rsidRPr="000027F9">
        <w:rPr>
          <w:rFonts w:ascii="Times New Roman" w:hAnsi="Times New Roman" w:eastAsia="Times New Roman" w:cs="Times New Roman"/>
          <w:i/>
          <w:sz w:val="26"/>
          <w:szCs w:val="26"/>
        </w:rPr>
        <w:t xml:space="preserve">.: </w:t>
      </w:r>
      <w:r w:rsidRPr="000027F9">
        <w:rPr>
          <w:rFonts w:ascii="Times New Roman" w:hAnsi="Times New Roman" w:eastAsia="Times New Roman" w:cs="Times New Roman"/>
          <w:sz w:val="26"/>
          <w:szCs w:val="26"/>
        </w:rPr>
        <w:t>1902-</w:t>
      </w:r>
      <w:r w:rsidR="00F651F6">
        <w:rPr>
          <w:rFonts w:ascii="Times New Roman" w:hAnsi="Times New Roman" w:eastAsia="Times New Roman" w:cs="Times New Roman"/>
          <w:sz w:val="26"/>
          <w:szCs w:val="26"/>
        </w:rPr>
        <w:t>0244</w:t>
      </w:r>
      <w:r w:rsidR="00056AB4">
        <w:rPr>
          <w:rFonts w:ascii="Times New Roman" w:hAnsi="Times New Roman" w:eastAsia="Times New Roman" w:cs="Times New Roman"/>
          <w:sz w:val="26"/>
          <w:szCs w:val="26"/>
        </w:rPr>
        <w:t xml:space="preserve"> (</w:t>
      </w:r>
      <w:r w:rsidRPr="000027F9" w:rsidR="00056AB4">
        <w:rPr>
          <w:rFonts w:ascii="Times New Roman" w:hAnsi="Times New Roman" w:eastAsia="Times New Roman" w:cs="Times New Roman"/>
          <w:sz w:val="26"/>
          <w:szCs w:val="26"/>
        </w:rPr>
        <w:t>FERC-725</w:t>
      </w:r>
      <w:r w:rsidR="00056AB4">
        <w:rPr>
          <w:rFonts w:ascii="Times New Roman" w:hAnsi="Times New Roman" w:eastAsia="Times New Roman" w:cs="Times New Roman"/>
          <w:sz w:val="26"/>
          <w:szCs w:val="26"/>
        </w:rPr>
        <w:t xml:space="preserve">A); </w:t>
      </w:r>
      <w:r w:rsidRPr="000027F9" w:rsidR="00056AB4">
        <w:rPr>
          <w:rFonts w:ascii="Times New Roman" w:hAnsi="Times New Roman" w:eastAsia="Times New Roman" w:cs="Times New Roman"/>
          <w:sz w:val="26"/>
          <w:szCs w:val="26"/>
        </w:rPr>
        <w:t>1902-</w:t>
      </w:r>
      <w:r w:rsidR="007E7CED">
        <w:rPr>
          <w:rFonts w:ascii="Times New Roman" w:hAnsi="Times New Roman" w:eastAsia="Times New Roman" w:cs="Times New Roman"/>
          <w:sz w:val="26"/>
          <w:szCs w:val="26"/>
        </w:rPr>
        <w:t>0247</w:t>
      </w:r>
      <w:r w:rsidR="00056AB4">
        <w:rPr>
          <w:rFonts w:ascii="Times New Roman" w:hAnsi="Times New Roman" w:eastAsia="Times New Roman" w:cs="Times New Roman"/>
          <w:sz w:val="26"/>
          <w:szCs w:val="26"/>
        </w:rPr>
        <w:t xml:space="preserve"> (FERC-725D); </w:t>
      </w:r>
      <w:r w:rsidRPr="000027F9" w:rsidR="00056AB4">
        <w:rPr>
          <w:rFonts w:ascii="Times New Roman" w:hAnsi="Times New Roman" w:eastAsia="Times New Roman" w:cs="Times New Roman"/>
          <w:sz w:val="26"/>
          <w:szCs w:val="26"/>
        </w:rPr>
        <w:t>1902-</w:t>
      </w:r>
      <w:r w:rsidR="007E7CED">
        <w:rPr>
          <w:rFonts w:ascii="Times New Roman" w:hAnsi="Times New Roman" w:eastAsia="Times New Roman" w:cs="Times New Roman"/>
          <w:sz w:val="26"/>
          <w:szCs w:val="26"/>
        </w:rPr>
        <w:t>0249</w:t>
      </w:r>
      <w:r w:rsidR="00056AB4">
        <w:rPr>
          <w:rFonts w:ascii="Times New Roman" w:hAnsi="Times New Roman" w:eastAsia="Times New Roman" w:cs="Times New Roman"/>
          <w:sz w:val="26"/>
          <w:szCs w:val="26"/>
        </w:rPr>
        <w:t xml:space="preserve"> (FERC-725F); </w:t>
      </w:r>
      <w:r w:rsidRPr="000027F9" w:rsidR="00056AB4">
        <w:rPr>
          <w:rFonts w:ascii="Times New Roman" w:hAnsi="Times New Roman" w:eastAsia="Times New Roman" w:cs="Times New Roman"/>
          <w:sz w:val="26"/>
          <w:szCs w:val="26"/>
        </w:rPr>
        <w:t>1902-</w:t>
      </w:r>
      <w:r w:rsidR="007E7CED">
        <w:rPr>
          <w:rFonts w:ascii="Times New Roman" w:hAnsi="Times New Roman" w:eastAsia="Times New Roman" w:cs="Times New Roman"/>
          <w:sz w:val="26"/>
          <w:szCs w:val="26"/>
        </w:rPr>
        <w:t>0252</w:t>
      </w:r>
      <w:r w:rsidR="00056AB4">
        <w:rPr>
          <w:rFonts w:ascii="Times New Roman" w:hAnsi="Times New Roman" w:eastAsia="Times New Roman" w:cs="Times New Roman"/>
          <w:sz w:val="26"/>
          <w:szCs w:val="26"/>
        </w:rPr>
        <w:t xml:space="preserve"> (FERC-725G); </w:t>
      </w:r>
      <w:r w:rsidRPr="000027F9" w:rsidR="00056AB4">
        <w:rPr>
          <w:rFonts w:ascii="Times New Roman" w:hAnsi="Times New Roman" w:eastAsia="Times New Roman" w:cs="Times New Roman"/>
          <w:sz w:val="26"/>
          <w:szCs w:val="26"/>
        </w:rPr>
        <w:t>1902-</w:t>
      </w:r>
      <w:r w:rsidR="007E7CED">
        <w:rPr>
          <w:rFonts w:ascii="Times New Roman" w:hAnsi="Times New Roman" w:eastAsia="Times New Roman" w:cs="Times New Roman"/>
          <w:sz w:val="26"/>
          <w:szCs w:val="26"/>
        </w:rPr>
        <w:t>0261</w:t>
      </w:r>
      <w:r w:rsidR="00056AB4">
        <w:rPr>
          <w:rFonts w:ascii="Times New Roman" w:hAnsi="Times New Roman" w:eastAsia="Times New Roman" w:cs="Times New Roman"/>
          <w:sz w:val="26"/>
          <w:szCs w:val="26"/>
        </w:rPr>
        <w:t xml:space="preserve"> (FERC-725L); and </w:t>
      </w:r>
      <w:r w:rsidRPr="000027F9" w:rsidR="00056AB4">
        <w:rPr>
          <w:rFonts w:ascii="Times New Roman" w:hAnsi="Times New Roman" w:eastAsia="Times New Roman" w:cs="Times New Roman"/>
          <w:sz w:val="26"/>
          <w:szCs w:val="26"/>
        </w:rPr>
        <w:t>1902-</w:t>
      </w:r>
      <w:r w:rsidR="007E7CED">
        <w:rPr>
          <w:rFonts w:ascii="Times New Roman" w:hAnsi="Times New Roman" w:eastAsia="Times New Roman" w:cs="Times New Roman"/>
          <w:sz w:val="26"/>
          <w:szCs w:val="26"/>
        </w:rPr>
        <w:t>0276</w:t>
      </w:r>
      <w:r w:rsidR="00056AB4">
        <w:rPr>
          <w:rFonts w:ascii="Times New Roman" w:hAnsi="Times New Roman" w:eastAsia="Times New Roman" w:cs="Times New Roman"/>
          <w:sz w:val="26"/>
          <w:szCs w:val="26"/>
        </w:rPr>
        <w:t xml:space="preserve"> (FERC-725Z)</w:t>
      </w:r>
    </w:p>
    <w:p w:rsidRPr="000027F9" w:rsidR="00AD1160" w:rsidP="00AD1160" w:rsidRDefault="00152CD4" w14:paraId="13F05E90" w14:textId="2455CA8E">
      <w:pPr>
        <w:tabs>
          <w:tab w:val="center" w:pos="4680"/>
        </w:tabs>
        <w:spacing w:after="0" w:line="480" w:lineRule="auto"/>
        <w:rPr>
          <w:rFonts w:ascii="Times New Roman" w:hAnsi="Times New Roman" w:eastAsia="Times New Roman" w:cs="Times New Roman"/>
          <w:sz w:val="26"/>
          <w:szCs w:val="26"/>
        </w:rPr>
      </w:pPr>
      <w:r>
        <w:rPr>
          <w:rFonts w:ascii="Times New Roman" w:hAnsi="Times New Roman" w:eastAsia="Times New Roman" w:cs="Times New Roman"/>
          <w:i/>
          <w:sz w:val="26"/>
          <w:szCs w:val="26"/>
        </w:rPr>
        <w:t xml:space="preserve">Type of Request: </w:t>
      </w:r>
      <w:r w:rsidR="00B55213">
        <w:rPr>
          <w:rFonts w:ascii="Times New Roman" w:hAnsi="Times New Roman" w:eastAsia="Times New Roman" w:cs="Times New Roman"/>
          <w:sz w:val="26"/>
          <w:szCs w:val="26"/>
        </w:rPr>
        <w:t>Revision</w:t>
      </w:r>
      <w:r w:rsidR="007E7CED">
        <w:rPr>
          <w:rFonts w:ascii="Times New Roman" w:hAnsi="Times New Roman" w:eastAsia="Times New Roman" w:cs="Times New Roman"/>
          <w:sz w:val="26"/>
          <w:szCs w:val="26"/>
        </w:rPr>
        <w:t>s</w:t>
      </w:r>
      <w:r w:rsidR="00B55213">
        <w:rPr>
          <w:rFonts w:ascii="Times New Roman" w:hAnsi="Times New Roman" w:eastAsia="Times New Roman" w:cs="Times New Roman"/>
          <w:sz w:val="26"/>
          <w:szCs w:val="26"/>
        </w:rPr>
        <w:t xml:space="preserve"> to</w:t>
      </w:r>
      <w:r>
        <w:rPr>
          <w:rFonts w:ascii="Times New Roman" w:hAnsi="Times New Roman" w:eastAsia="Times New Roman" w:cs="Times New Roman"/>
          <w:sz w:val="26"/>
          <w:szCs w:val="26"/>
        </w:rPr>
        <w:t xml:space="preserve"> </w:t>
      </w:r>
      <w:r w:rsidRPr="000027F9" w:rsidR="007E7CED">
        <w:rPr>
          <w:rFonts w:ascii="Times New Roman" w:hAnsi="Times New Roman" w:eastAsia="Times New Roman" w:cs="Times New Roman"/>
          <w:sz w:val="26"/>
          <w:szCs w:val="26"/>
        </w:rPr>
        <w:t>FERC-725</w:t>
      </w:r>
      <w:r w:rsidR="007E7CED">
        <w:rPr>
          <w:rFonts w:ascii="Times New Roman" w:hAnsi="Times New Roman" w:eastAsia="Times New Roman" w:cs="Times New Roman"/>
          <w:sz w:val="26"/>
          <w:szCs w:val="26"/>
        </w:rPr>
        <w:t xml:space="preserve">A, FERC-725D, FERC-725F, FERC-725G, FERC-725L, and FERC-725Z </w:t>
      </w:r>
      <w:r>
        <w:rPr>
          <w:rFonts w:ascii="Times New Roman" w:hAnsi="Times New Roman" w:eastAsia="Times New Roman" w:cs="Times New Roman"/>
          <w:sz w:val="26"/>
          <w:szCs w:val="26"/>
        </w:rPr>
        <w:t xml:space="preserve">information collection requirements, as </w:t>
      </w:r>
      <w:r w:rsidR="00B55213">
        <w:rPr>
          <w:rFonts w:ascii="Times New Roman" w:hAnsi="Times New Roman" w:eastAsia="Times New Roman" w:cs="Times New Roman"/>
          <w:sz w:val="26"/>
          <w:szCs w:val="26"/>
        </w:rPr>
        <w:t>discussed in</w:t>
      </w:r>
      <w:r w:rsidR="0000297F">
        <w:rPr>
          <w:rFonts w:ascii="Times New Roman" w:hAnsi="Times New Roman" w:eastAsia="Times New Roman" w:cs="Times New Roman"/>
          <w:sz w:val="26"/>
          <w:szCs w:val="26"/>
        </w:rPr>
        <w:t xml:space="preserve"> Docket No. </w:t>
      </w:r>
      <w:r w:rsidR="004E2CDE">
        <w:rPr>
          <w:rFonts w:ascii="Times New Roman" w:hAnsi="Times New Roman" w:eastAsia="Times New Roman" w:cs="Times New Roman"/>
          <w:sz w:val="26"/>
          <w:szCs w:val="26"/>
        </w:rPr>
        <w:t>RD</w:t>
      </w:r>
      <w:r w:rsidR="007E7CED">
        <w:rPr>
          <w:rFonts w:ascii="Times New Roman" w:hAnsi="Times New Roman" w:eastAsia="Times New Roman" w:cs="Times New Roman"/>
          <w:sz w:val="26"/>
          <w:szCs w:val="26"/>
        </w:rPr>
        <w:t>20</w:t>
      </w:r>
      <w:r w:rsidR="004E2CDE">
        <w:rPr>
          <w:rFonts w:ascii="Times New Roman" w:hAnsi="Times New Roman" w:eastAsia="Times New Roman" w:cs="Times New Roman"/>
          <w:sz w:val="26"/>
          <w:szCs w:val="26"/>
        </w:rPr>
        <w:t>-</w:t>
      </w:r>
      <w:r w:rsidR="007E7CED">
        <w:rPr>
          <w:rFonts w:ascii="Times New Roman" w:hAnsi="Times New Roman" w:eastAsia="Times New Roman" w:cs="Times New Roman"/>
          <w:sz w:val="26"/>
          <w:szCs w:val="26"/>
        </w:rPr>
        <w:t>4</w:t>
      </w:r>
      <w:r w:rsidR="004E2CDE">
        <w:rPr>
          <w:rFonts w:ascii="Times New Roman" w:hAnsi="Times New Roman" w:eastAsia="Times New Roman" w:cs="Times New Roman"/>
          <w:sz w:val="26"/>
          <w:szCs w:val="26"/>
        </w:rPr>
        <w:t>-000</w:t>
      </w:r>
      <w:r w:rsidR="006A0104">
        <w:rPr>
          <w:rFonts w:ascii="Times New Roman" w:hAnsi="Times New Roman" w:eastAsia="Times New Roman" w:cs="Times New Roman"/>
          <w:sz w:val="26"/>
          <w:szCs w:val="26"/>
        </w:rPr>
        <w:t>.</w:t>
      </w:r>
    </w:p>
    <w:p w:rsidR="001875B8" w:rsidP="001875B8" w:rsidRDefault="00AD1160" w14:paraId="4EC170E3" w14:textId="1901A8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Times New Roman" w:cs="Times New Roman"/>
          <w:sz w:val="26"/>
          <w:szCs w:val="26"/>
        </w:rPr>
      </w:pPr>
      <w:r w:rsidRPr="00D0758C">
        <w:rPr>
          <w:rFonts w:ascii="Times New Roman" w:hAnsi="Times New Roman" w:eastAsia="Times New Roman" w:cs="Times New Roman"/>
          <w:i/>
          <w:sz w:val="26"/>
          <w:szCs w:val="26"/>
        </w:rPr>
        <w:t>Abstract:</w:t>
      </w:r>
      <w:r w:rsidRPr="000027F9">
        <w:rPr>
          <w:rFonts w:ascii="Times New Roman" w:hAnsi="Times New Roman" w:eastAsia="Times New Roman" w:cs="Times New Roman"/>
          <w:i/>
          <w:sz w:val="26"/>
          <w:szCs w:val="26"/>
        </w:rPr>
        <w:t xml:space="preserve"> </w:t>
      </w:r>
      <w:r w:rsidR="007C3DC5">
        <w:rPr>
          <w:rFonts w:ascii="Times New Roman" w:hAnsi="Times New Roman" w:eastAsia="Times New Roman" w:cs="Times New Roman"/>
          <w:sz w:val="26"/>
          <w:szCs w:val="26"/>
        </w:rPr>
        <w:t>T</w:t>
      </w:r>
      <w:r w:rsidRPr="007C3DC5" w:rsidR="007C3DC5">
        <w:rPr>
          <w:rFonts w:ascii="Times New Roman" w:hAnsi="Times New Roman" w:eastAsia="Times New Roman" w:cs="Times New Roman"/>
          <w:sz w:val="26"/>
          <w:szCs w:val="26"/>
        </w:rPr>
        <w:t xml:space="preserve">he North American Electric Reliability Corporation (NERC) filed </w:t>
      </w:r>
      <w:r w:rsidR="000D7DE8">
        <w:rPr>
          <w:rFonts w:ascii="Times New Roman" w:hAnsi="Times New Roman" w:eastAsia="Times New Roman" w:cs="Times New Roman"/>
          <w:sz w:val="26"/>
          <w:szCs w:val="26"/>
        </w:rPr>
        <w:t xml:space="preserve">a </w:t>
      </w:r>
      <w:r w:rsidRPr="007C3DC5" w:rsidR="007C3DC5">
        <w:rPr>
          <w:rFonts w:ascii="Times New Roman" w:hAnsi="Times New Roman" w:eastAsia="Times New Roman" w:cs="Times New Roman"/>
          <w:sz w:val="26"/>
          <w:szCs w:val="26"/>
        </w:rPr>
        <w:t>petition</w:t>
      </w:r>
      <w:r w:rsidR="007C3DC5">
        <w:rPr>
          <w:rFonts w:ascii="Times New Roman" w:hAnsi="Times New Roman" w:eastAsia="Times New Roman" w:cs="Times New Roman"/>
          <w:sz w:val="26"/>
          <w:szCs w:val="26"/>
        </w:rPr>
        <w:t xml:space="preserve"> to modify </w:t>
      </w:r>
      <w:r w:rsidR="000D7DE8">
        <w:rPr>
          <w:rFonts w:ascii="Times New Roman" w:hAnsi="Times New Roman" w:eastAsia="Times New Roman" w:cs="Times New Roman"/>
          <w:sz w:val="26"/>
          <w:szCs w:val="26"/>
        </w:rPr>
        <w:t>seven</w:t>
      </w:r>
      <w:r w:rsidR="007C3DC5">
        <w:rPr>
          <w:rFonts w:ascii="Times New Roman" w:hAnsi="Times New Roman" w:eastAsia="Times New Roman" w:cs="Times New Roman"/>
          <w:sz w:val="26"/>
          <w:szCs w:val="26"/>
        </w:rPr>
        <w:t xml:space="preserve"> Reliability Standards.    </w:t>
      </w:r>
    </w:p>
    <w:p w:rsidR="00A34EA2" w:rsidP="00814056" w:rsidRDefault="001875B8" w14:paraId="5C4751C6" w14:textId="53292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ab/>
        <w:t xml:space="preserve">On </w:t>
      </w:r>
      <w:r w:rsidR="000D7DE8">
        <w:rPr>
          <w:rFonts w:ascii="Times New Roman" w:hAnsi="Times New Roman" w:eastAsia="Times New Roman" w:cs="Times New Roman"/>
          <w:sz w:val="26"/>
          <w:szCs w:val="26"/>
        </w:rPr>
        <w:t>February 21, 2020</w:t>
      </w:r>
      <w:r>
        <w:rPr>
          <w:rFonts w:ascii="Times New Roman" w:hAnsi="Times New Roman" w:eastAsia="Times New Roman" w:cs="Times New Roman"/>
          <w:sz w:val="26"/>
          <w:szCs w:val="26"/>
        </w:rPr>
        <w:t>, NERC filed a petition in Docket No. RD</w:t>
      </w:r>
      <w:r w:rsidR="000D7DE8">
        <w:rPr>
          <w:rFonts w:ascii="Times New Roman" w:hAnsi="Times New Roman" w:eastAsia="Times New Roman" w:cs="Times New Roman"/>
          <w:sz w:val="26"/>
          <w:szCs w:val="26"/>
        </w:rPr>
        <w:t>20</w:t>
      </w:r>
      <w:r>
        <w:rPr>
          <w:rFonts w:ascii="Times New Roman" w:hAnsi="Times New Roman" w:eastAsia="Times New Roman" w:cs="Times New Roman"/>
          <w:sz w:val="26"/>
          <w:szCs w:val="26"/>
        </w:rPr>
        <w:t>-</w:t>
      </w:r>
      <w:r w:rsidR="000D7DE8">
        <w:rPr>
          <w:rFonts w:ascii="Times New Roman" w:hAnsi="Times New Roman" w:eastAsia="Times New Roman" w:cs="Times New Roman"/>
          <w:sz w:val="26"/>
          <w:szCs w:val="26"/>
        </w:rPr>
        <w:t>4</w:t>
      </w:r>
      <w:r>
        <w:rPr>
          <w:rFonts w:ascii="Times New Roman" w:hAnsi="Times New Roman" w:eastAsia="Times New Roman" w:cs="Times New Roman"/>
          <w:sz w:val="26"/>
          <w:szCs w:val="26"/>
        </w:rPr>
        <w:t>-000</w:t>
      </w:r>
      <w:r>
        <w:rPr>
          <w:rStyle w:val="FootnoteReference"/>
          <w:rFonts w:eastAsia="Times New Roman" w:cs="Times New Roman"/>
        </w:rPr>
        <w:footnoteReference w:id="1"/>
      </w:r>
      <w:r>
        <w:rPr>
          <w:rFonts w:ascii="Times New Roman" w:hAnsi="Times New Roman" w:eastAsia="Times New Roman" w:cs="Times New Roman"/>
          <w:sz w:val="26"/>
          <w:szCs w:val="26"/>
        </w:rPr>
        <w:t xml:space="preserve"> requesting Commission approval of:  </w:t>
      </w:r>
    </w:p>
    <w:p w:rsidR="0074600D" w:rsidP="00EA05C0" w:rsidRDefault="0074600D" w14:paraId="63311F4B" w14:textId="65533570">
      <w:pPr>
        <w:pStyle w:val="ListParagraph"/>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Times New Roman" w:cs="Times New Roman"/>
          <w:sz w:val="26"/>
          <w:szCs w:val="26"/>
        </w:rPr>
      </w:pPr>
      <w:r w:rsidRPr="00EA05C0">
        <w:rPr>
          <w:rFonts w:ascii="Times New Roman" w:hAnsi="Times New Roman" w:eastAsia="Times New Roman" w:cs="Times New Roman"/>
          <w:sz w:val="26"/>
          <w:szCs w:val="26"/>
        </w:rPr>
        <w:t xml:space="preserve">Reliability Standard TOP-003-4 </w:t>
      </w:r>
      <w:r>
        <w:rPr>
          <w:rFonts w:ascii="Times New Roman" w:hAnsi="Times New Roman" w:eastAsia="Times New Roman" w:cs="Times New Roman"/>
          <w:sz w:val="26"/>
          <w:szCs w:val="26"/>
        </w:rPr>
        <w:t>(</w:t>
      </w:r>
      <w:r w:rsidRPr="00EA05C0">
        <w:rPr>
          <w:rFonts w:ascii="Times New Roman" w:hAnsi="Times New Roman" w:eastAsia="Times New Roman" w:cs="Times New Roman"/>
          <w:sz w:val="26"/>
          <w:szCs w:val="26"/>
        </w:rPr>
        <w:t>Operational Reliability Data</w:t>
      </w:r>
      <w:r>
        <w:rPr>
          <w:rFonts w:ascii="Times New Roman" w:hAnsi="Times New Roman" w:eastAsia="Times New Roman" w:cs="Times New Roman"/>
          <w:sz w:val="26"/>
          <w:szCs w:val="26"/>
        </w:rPr>
        <w:t>),</w:t>
      </w:r>
    </w:p>
    <w:p w:rsidRPr="00EA05C0" w:rsidR="00EA05C0" w:rsidP="00EA05C0" w:rsidRDefault="00EA05C0" w14:paraId="361E61FD" w14:textId="680A0365">
      <w:pPr>
        <w:pStyle w:val="ListParagraph"/>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Times New Roman" w:cs="Times New Roman"/>
          <w:sz w:val="26"/>
          <w:szCs w:val="26"/>
        </w:rPr>
      </w:pPr>
      <w:r w:rsidRPr="00EA05C0">
        <w:rPr>
          <w:rFonts w:ascii="Times New Roman" w:hAnsi="Times New Roman" w:eastAsia="Times New Roman" w:cs="Times New Roman"/>
          <w:sz w:val="26"/>
          <w:szCs w:val="26"/>
        </w:rPr>
        <w:t xml:space="preserve">Reliability Standard FAC-002-3 </w:t>
      </w:r>
      <w:r w:rsidR="002268EA">
        <w:rPr>
          <w:rFonts w:ascii="Times New Roman" w:hAnsi="Times New Roman" w:eastAsia="Times New Roman" w:cs="Times New Roman"/>
          <w:sz w:val="26"/>
          <w:szCs w:val="26"/>
        </w:rPr>
        <w:t>(</w:t>
      </w:r>
      <w:r w:rsidRPr="00EA05C0">
        <w:rPr>
          <w:rFonts w:ascii="Times New Roman" w:hAnsi="Times New Roman" w:eastAsia="Times New Roman" w:cs="Times New Roman"/>
          <w:sz w:val="26"/>
          <w:szCs w:val="26"/>
        </w:rPr>
        <w:t>Facility Interconnection Studies</w:t>
      </w:r>
      <w:r w:rsidR="002268EA">
        <w:rPr>
          <w:rFonts w:ascii="Times New Roman" w:hAnsi="Times New Roman" w:eastAsia="Times New Roman" w:cs="Times New Roman"/>
          <w:sz w:val="26"/>
          <w:szCs w:val="26"/>
        </w:rPr>
        <w:t>)</w:t>
      </w:r>
      <w:r>
        <w:rPr>
          <w:rFonts w:ascii="Times New Roman" w:hAnsi="Times New Roman" w:eastAsia="Times New Roman" w:cs="Times New Roman"/>
          <w:sz w:val="26"/>
          <w:szCs w:val="26"/>
        </w:rPr>
        <w:t>,</w:t>
      </w:r>
    </w:p>
    <w:p w:rsidRPr="00EA05C0" w:rsidR="0074600D" w:rsidP="0074600D" w:rsidRDefault="0074600D" w14:paraId="1C4A0D3E" w14:textId="77777777">
      <w:pPr>
        <w:pStyle w:val="ListParagraph"/>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Times New Roman" w:cs="Times New Roman"/>
          <w:sz w:val="26"/>
          <w:szCs w:val="26"/>
        </w:rPr>
      </w:pPr>
      <w:r w:rsidRPr="00EA05C0">
        <w:rPr>
          <w:rFonts w:ascii="Times New Roman" w:hAnsi="Times New Roman" w:eastAsia="Times New Roman" w:cs="Times New Roman"/>
          <w:sz w:val="26"/>
          <w:szCs w:val="26"/>
        </w:rPr>
        <w:t xml:space="preserve">Reliability Standard NUC-001-4 </w:t>
      </w:r>
      <w:r>
        <w:rPr>
          <w:rFonts w:ascii="Times New Roman" w:hAnsi="Times New Roman" w:eastAsia="Times New Roman" w:cs="Times New Roman"/>
          <w:sz w:val="26"/>
          <w:szCs w:val="26"/>
        </w:rPr>
        <w:t>(</w:t>
      </w:r>
      <w:r w:rsidRPr="00EA05C0">
        <w:rPr>
          <w:rFonts w:ascii="Times New Roman" w:hAnsi="Times New Roman" w:eastAsia="Times New Roman" w:cs="Times New Roman"/>
          <w:sz w:val="26"/>
          <w:szCs w:val="26"/>
        </w:rPr>
        <w:t>Nuclear Plant Interface Coordination</w:t>
      </w:r>
      <w:r>
        <w:rPr>
          <w:rFonts w:ascii="Times New Roman" w:hAnsi="Times New Roman" w:eastAsia="Times New Roman" w:cs="Times New Roman"/>
          <w:sz w:val="26"/>
          <w:szCs w:val="26"/>
        </w:rPr>
        <w:t>),</w:t>
      </w:r>
    </w:p>
    <w:p w:rsidR="0074600D" w:rsidP="0074600D" w:rsidRDefault="0074600D" w14:paraId="4DD6C601" w14:textId="51FC085C">
      <w:pPr>
        <w:pStyle w:val="ListParagraph"/>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6"/>
          <w:szCs w:val="26"/>
        </w:rPr>
      </w:pPr>
      <w:r w:rsidRPr="00EA05C0">
        <w:rPr>
          <w:rFonts w:ascii="Times New Roman" w:hAnsi="Times New Roman" w:eastAsia="Times New Roman" w:cs="Times New Roman"/>
          <w:sz w:val="26"/>
          <w:szCs w:val="26"/>
        </w:rPr>
        <w:t xml:space="preserve">Reliability Standard PRC-006-4 </w:t>
      </w:r>
      <w:r>
        <w:rPr>
          <w:rFonts w:ascii="Times New Roman" w:hAnsi="Times New Roman" w:eastAsia="Times New Roman" w:cs="Times New Roman"/>
          <w:sz w:val="26"/>
          <w:szCs w:val="26"/>
        </w:rPr>
        <w:t>(</w:t>
      </w:r>
      <w:r w:rsidRPr="00EA05C0">
        <w:rPr>
          <w:rFonts w:ascii="Times New Roman" w:hAnsi="Times New Roman" w:eastAsia="Times New Roman" w:cs="Times New Roman"/>
          <w:sz w:val="26"/>
          <w:szCs w:val="26"/>
        </w:rPr>
        <w:t>Automatic Underfrequency Load Shedding</w:t>
      </w:r>
      <w:r>
        <w:rPr>
          <w:rFonts w:ascii="Times New Roman" w:hAnsi="Times New Roman" w:eastAsia="Times New Roman" w:cs="Times New Roman"/>
          <w:sz w:val="26"/>
          <w:szCs w:val="26"/>
        </w:rPr>
        <w:t>),</w:t>
      </w:r>
    </w:p>
    <w:p w:rsidR="0074600D" w:rsidP="0074600D" w:rsidRDefault="0074600D" w14:paraId="43DC7B3A" w14:textId="77777777">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6"/>
          <w:szCs w:val="26"/>
        </w:rPr>
      </w:pPr>
    </w:p>
    <w:p w:rsidRPr="00EA05C0" w:rsidR="0074600D" w:rsidP="0074600D" w:rsidRDefault="0074600D" w14:paraId="7A83763E" w14:textId="77777777">
      <w:pPr>
        <w:pStyle w:val="ListParagraph"/>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Times New Roman" w:cs="Times New Roman"/>
          <w:sz w:val="26"/>
          <w:szCs w:val="26"/>
        </w:rPr>
      </w:pPr>
      <w:r w:rsidRPr="00EA05C0">
        <w:rPr>
          <w:rFonts w:ascii="Times New Roman" w:hAnsi="Times New Roman" w:eastAsia="Times New Roman" w:cs="Times New Roman"/>
          <w:sz w:val="26"/>
          <w:szCs w:val="26"/>
        </w:rPr>
        <w:lastRenderedPageBreak/>
        <w:t xml:space="preserve">Reliability Standard MOD-031-3 </w:t>
      </w:r>
      <w:r>
        <w:rPr>
          <w:rFonts w:ascii="Times New Roman" w:hAnsi="Times New Roman" w:eastAsia="Times New Roman" w:cs="Times New Roman"/>
          <w:sz w:val="26"/>
          <w:szCs w:val="26"/>
        </w:rPr>
        <w:t>(</w:t>
      </w:r>
      <w:r w:rsidRPr="00EA05C0">
        <w:rPr>
          <w:rFonts w:ascii="Times New Roman" w:hAnsi="Times New Roman" w:eastAsia="Times New Roman" w:cs="Times New Roman"/>
          <w:sz w:val="26"/>
          <w:szCs w:val="26"/>
        </w:rPr>
        <w:t>Demand and Energy Data</w:t>
      </w:r>
      <w:r>
        <w:rPr>
          <w:rFonts w:ascii="Times New Roman" w:hAnsi="Times New Roman" w:eastAsia="Times New Roman" w:cs="Times New Roman"/>
          <w:sz w:val="26"/>
          <w:szCs w:val="26"/>
        </w:rPr>
        <w:t>),</w:t>
      </w:r>
    </w:p>
    <w:p w:rsidR="0074600D" w:rsidP="0074600D" w:rsidRDefault="0074600D" w14:paraId="205C1A7E" w14:textId="134473DC">
      <w:pPr>
        <w:pStyle w:val="ListParagraph"/>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6"/>
          <w:szCs w:val="26"/>
        </w:rPr>
      </w:pPr>
      <w:r w:rsidRPr="00EA05C0">
        <w:rPr>
          <w:rFonts w:ascii="Times New Roman" w:hAnsi="Times New Roman" w:eastAsia="Times New Roman" w:cs="Times New Roman"/>
          <w:sz w:val="26"/>
          <w:szCs w:val="26"/>
        </w:rPr>
        <w:t xml:space="preserve">Reliability Standard MOD-033-2 </w:t>
      </w:r>
      <w:r>
        <w:rPr>
          <w:rFonts w:ascii="Times New Roman" w:hAnsi="Times New Roman" w:eastAsia="Times New Roman" w:cs="Times New Roman"/>
          <w:sz w:val="26"/>
          <w:szCs w:val="26"/>
        </w:rPr>
        <w:t>(</w:t>
      </w:r>
      <w:r w:rsidRPr="00EA05C0">
        <w:rPr>
          <w:rFonts w:ascii="Times New Roman" w:hAnsi="Times New Roman" w:eastAsia="Times New Roman" w:cs="Times New Roman"/>
          <w:sz w:val="26"/>
          <w:szCs w:val="26"/>
        </w:rPr>
        <w:t>Steady-State and Dynamic System Model</w:t>
      </w:r>
      <w:r>
        <w:rPr>
          <w:rFonts w:ascii="Times New Roman" w:hAnsi="Times New Roman" w:eastAsia="Times New Roman" w:cs="Times New Roman"/>
          <w:sz w:val="26"/>
          <w:szCs w:val="26"/>
        </w:rPr>
        <w:t xml:space="preserve"> </w:t>
      </w:r>
      <w:r w:rsidRPr="00EA05C0">
        <w:rPr>
          <w:rFonts w:ascii="Times New Roman" w:hAnsi="Times New Roman" w:eastAsia="Times New Roman" w:cs="Times New Roman"/>
          <w:sz w:val="26"/>
          <w:szCs w:val="26"/>
        </w:rPr>
        <w:t>Validation</w:t>
      </w:r>
      <w:r>
        <w:rPr>
          <w:rFonts w:ascii="Times New Roman" w:hAnsi="Times New Roman" w:eastAsia="Times New Roman" w:cs="Times New Roman"/>
          <w:sz w:val="26"/>
          <w:szCs w:val="26"/>
        </w:rPr>
        <w:t>), and</w:t>
      </w:r>
    </w:p>
    <w:p w:rsidR="0074600D" w:rsidP="0074600D" w:rsidRDefault="0074600D" w14:paraId="74C8218E" w14:textId="77777777">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6"/>
          <w:szCs w:val="26"/>
        </w:rPr>
      </w:pPr>
    </w:p>
    <w:p w:rsidR="00A34EA2" w:rsidP="0074600D" w:rsidRDefault="00EA05C0" w14:paraId="1A055CEE" w14:textId="257A7124">
      <w:pPr>
        <w:pStyle w:val="ListParagraph"/>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6"/>
          <w:szCs w:val="26"/>
        </w:rPr>
      </w:pPr>
      <w:r w:rsidRPr="00EA05C0">
        <w:rPr>
          <w:rFonts w:ascii="Times New Roman" w:hAnsi="Times New Roman" w:eastAsia="Times New Roman" w:cs="Times New Roman"/>
          <w:sz w:val="26"/>
          <w:szCs w:val="26"/>
        </w:rPr>
        <w:t xml:space="preserve">Reliability Standard IRO-010-3 </w:t>
      </w:r>
      <w:r w:rsidR="002268EA">
        <w:rPr>
          <w:rFonts w:ascii="Times New Roman" w:hAnsi="Times New Roman" w:eastAsia="Times New Roman" w:cs="Times New Roman"/>
          <w:sz w:val="26"/>
          <w:szCs w:val="26"/>
        </w:rPr>
        <w:t>(</w:t>
      </w:r>
      <w:r w:rsidRPr="00EA05C0">
        <w:rPr>
          <w:rFonts w:ascii="Times New Roman" w:hAnsi="Times New Roman" w:eastAsia="Times New Roman" w:cs="Times New Roman"/>
          <w:sz w:val="26"/>
          <w:szCs w:val="26"/>
        </w:rPr>
        <w:t>Reliability Coordinator Data Specification and</w:t>
      </w:r>
      <w:r>
        <w:rPr>
          <w:rFonts w:ascii="Times New Roman" w:hAnsi="Times New Roman" w:eastAsia="Times New Roman" w:cs="Times New Roman"/>
          <w:sz w:val="26"/>
          <w:szCs w:val="26"/>
        </w:rPr>
        <w:t xml:space="preserve"> </w:t>
      </w:r>
      <w:r w:rsidRPr="00EA05C0">
        <w:rPr>
          <w:rFonts w:ascii="Times New Roman" w:hAnsi="Times New Roman" w:eastAsia="Times New Roman" w:cs="Times New Roman"/>
          <w:sz w:val="26"/>
          <w:szCs w:val="26"/>
        </w:rPr>
        <w:t>Collection</w:t>
      </w:r>
      <w:r w:rsidR="002268EA">
        <w:rPr>
          <w:rFonts w:ascii="Times New Roman" w:hAnsi="Times New Roman" w:eastAsia="Times New Roman" w:cs="Times New Roman"/>
          <w:sz w:val="26"/>
          <w:szCs w:val="26"/>
        </w:rPr>
        <w:t>)</w:t>
      </w:r>
    </w:p>
    <w:p w:rsidRPr="0074600D" w:rsidR="0074600D" w:rsidP="0074600D" w:rsidRDefault="0074600D" w14:paraId="175C0D1B" w14:textId="77777777">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6"/>
          <w:szCs w:val="26"/>
        </w:rPr>
      </w:pPr>
    </w:p>
    <w:p w:rsidRPr="003E1402" w:rsidR="003E1402" w:rsidP="003E1402" w:rsidRDefault="00A34EA2" w14:paraId="72F48749" w14:textId="1573FE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ab/>
      </w:r>
      <w:r w:rsidR="003E1402">
        <w:rPr>
          <w:rFonts w:ascii="Times New Roman" w:hAnsi="Times New Roman" w:eastAsia="Times New Roman" w:cs="Times New Roman"/>
          <w:sz w:val="26"/>
          <w:szCs w:val="26"/>
        </w:rPr>
        <w:t>NERC is requesting approval of the seven proposed Reliability Standards p</w:t>
      </w:r>
      <w:r w:rsidRPr="003E1402" w:rsidR="003E1402">
        <w:rPr>
          <w:rFonts w:ascii="Times New Roman" w:hAnsi="Times New Roman" w:eastAsia="Times New Roman" w:cs="Times New Roman"/>
          <w:sz w:val="26"/>
          <w:szCs w:val="26"/>
        </w:rPr>
        <w:t>ursuant to Section 215(d)(1) of the Federal Power Act (“FPA”)</w:t>
      </w:r>
      <w:r w:rsidR="003E1402">
        <w:rPr>
          <w:rStyle w:val="FootnoteReference"/>
          <w:rFonts w:eastAsia="Times New Roman" w:cs="Times New Roman"/>
        </w:rPr>
        <w:footnoteReference w:id="2"/>
      </w:r>
      <w:r w:rsidRPr="003E1402" w:rsidR="003E1402">
        <w:rPr>
          <w:rFonts w:ascii="Times New Roman" w:hAnsi="Times New Roman" w:eastAsia="Times New Roman" w:cs="Times New Roman"/>
          <w:sz w:val="26"/>
          <w:szCs w:val="26"/>
        </w:rPr>
        <w:t xml:space="preserve"> and Section 39.5</w:t>
      </w:r>
      <w:r w:rsidR="003E1402">
        <w:rPr>
          <w:rStyle w:val="FootnoteReference"/>
          <w:rFonts w:eastAsia="Times New Roman" w:cs="Times New Roman"/>
        </w:rPr>
        <w:footnoteReference w:id="3"/>
      </w:r>
      <w:r w:rsidRPr="003E1402" w:rsidR="003E1402">
        <w:rPr>
          <w:rFonts w:ascii="Times New Roman" w:hAnsi="Times New Roman" w:eastAsia="Times New Roman" w:cs="Times New Roman"/>
          <w:sz w:val="26"/>
          <w:szCs w:val="26"/>
        </w:rPr>
        <w:t xml:space="preserve"> of the</w:t>
      </w:r>
    </w:p>
    <w:p w:rsidRPr="00BD1658" w:rsidR="001875B8" w:rsidP="003358FD" w:rsidRDefault="003E1402" w14:paraId="78022A8E" w14:textId="1422A5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Times New Roman" w:cs="Times New Roman"/>
          <w:sz w:val="26"/>
          <w:szCs w:val="26"/>
        </w:rPr>
      </w:pPr>
      <w:r w:rsidRPr="003E1402">
        <w:rPr>
          <w:rFonts w:ascii="Times New Roman" w:hAnsi="Times New Roman" w:eastAsia="Times New Roman" w:cs="Times New Roman"/>
          <w:sz w:val="26"/>
          <w:szCs w:val="26"/>
        </w:rPr>
        <w:t>Federal Energy Regulatory Commission’s (“FERC” or “Commission”) regulations</w:t>
      </w:r>
      <w:r w:rsidR="00625685">
        <w:rPr>
          <w:rFonts w:ascii="Times New Roman" w:hAnsi="Times New Roman" w:eastAsia="Times New Roman" w:cs="Times New Roman"/>
          <w:sz w:val="26"/>
          <w:szCs w:val="26"/>
        </w:rPr>
        <w:t>.</w:t>
      </w:r>
      <w:r w:rsidRPr="003E1402">
        <w:rPr>
          <w:rFonts w:ascii="Times New Roman" w:hAnsi="Times New Roman" w:eastAsia="Times New Roman" w:cs="Times New Roman"/>
          <w:sz w:val="26"/>
          <w:szCs w:val="26"/>
        </w:rPr>
        <w:t xml:space="preserve"> </w:t>
      </w:r>
      <w:r w:rsidR="00390BF3">
        <w:rPr>
          <w:rFonts w:ascii="Times New Roman" w:hAnsi="Times New Roman" w:eastAsia="Times New Roman" w:cs="Times New Roman"/>
          <w:sz w:val="26"/>
          <w:szCs w:val="26"/>
        </w:rPr>
        <w:t xml:space="preserve"> </w:t>
      </w:r>
      <w:r w:rsidRPr="00BD1658" w:rsidR="001875B8">
        <w:rPr>
          <w:rFonts w:ascii="Times New Roman" w:hAnsi="Times New Roman" w:eastAsia="Times New Roman" w:cs="Times New Roman"/>
          <w:sz w:val="26"/>
          <w:szCs w:val="26"/>
        </w:rPr>
        <w:t xml:space="preserve">The </w:t>
      </w:r>
      <w:r w:rsidRPr="003358FD" w:rsidR="003358FD">
        <w:rPr>
          <w:rFonts w:ascii="Times New Roman" w:hAnsi="Times New Roman" w:eastAsia="Times New Roman" w:cs="Times New Roman"/>
          <w:sz w:val="26"/>
          <w:szCs w:val="26"/>
        </w:rPr>
        <w:t>revisions in the proposed Reliability Standards will</w:t>
      </w:r>
      <w:r w:rsidR="003358FD">
        <w:rPr>
          <w:rFonts w:ascii="Times New Roman" w:hAnsi="Times New Roman" w:eastAsia="Times New Roman" w:cs="Times New Roman"/>
          <w:sz w:val="26"/>
          <w:szCs w:val="26"/>
        </w:rPr>
        <w:t xml:space="preserve"> </w:t>
      </w:r>
      <w:r w:rsidRPr="003358FD" w:rsidR="003358FD">
        <w:rPr>
          <w:rFonts w:ascii="Times New Roman" w:hAnsi="Times New Roman" w:eastAsia="Times New Roman" w:cs="Times New Roman"/>
          <w:sz w:val="26"/>
          <w:szCs w:val="26"/>
        </w:rPr>
        <w:t>align these standards with the previously-approved changes to the NERC registration criteria</w:t>
      </w:r>
      <w:r w:rsidR="003358FD">
        <w:rPr>
          <w:rStyle w:val="FootnoteReference"/>
          <w:rFonts w:eastAsia="Times New Roman" w:cs="Times New Roman"/>
        </w:rPr>
        <w:footnoteReference w:id="4"/>
      </w:r>
      <w:r w:rsidRPr="003358FD" w:rsidR="003358FD">
        <w:rPr>
          <w:rFonts w:ascii="Times New Roman" w:hAnsi="Times New Roman" w:eastAsia="Times New Roman" w:cs="Times New Roman"/>
          <w:sz w:val="26"/>
          <w:szCs w:val="26"/>
        </w:rPr>
        <w:t xml:space="preserve"> by</w:t>
      </w:r>
      <w:r w:rsidR="003358FD">
        <w:rPr>
          <w:rFonts w:ascii="Times New Roman" w:hAnsi="Times New Roman" w:eastAsia="Times New Roman" w:cs="Times New Roman"/>
          <w:sz w:val="26"/>
          <w:szCs w:val="26"/>
        </w:rPr>
        <w:t xml:space="preserve"> </w:t>
      </w:r>
      <w:r w:rsidRPr="003358FD" w:rsidR="003358FD">
        <w:rPr>
          <w:rFonts w:ascii="Times New Roman" w:hAnsi="Times New Roman" w:eastAsia="Times New Roman" w:cs="Times New Roman"/>
          <w:sz w:val="26"/>
          <w:szCs w:val="26"/>
        </w:rPr>
        <w:t>removing reference to entities</w:t>
      </w:r>
      <w:r w:rsidR="005C2307">
        <w:rPr>
          <w:rStyle w:val="FootnoteReference"/>
          <w:rFonts w:eastAsia="Times New Roman" w:cs="Times New Roman"/>
        </w:rPr>
        <w:footnoteReference w:id="5"/>
      </w:r>
      <w:r w:rsidRPr="003358FD" w:rsidR="003358FD">
        <w:rPr>
          <w:rFonts w:ascii="Times New Roman" w:hAnsi="Times New Roman" w:eastAsia="Times New Roman" w:cs="Times New Roman"/>
          <w:sz w:val="26"/>
          <w:szCs w:val="26"/>
        </w:rPr>
        <w:t xml:space="preserve"> that are no longer registered with NERC.</w:t>
      </w:r>
      <w:r w:rsidR="005C2307">
        <w:rPr>
          <w:rFonts w:ascii="Times New Roman" w:hAnsi="Times New Roman" w:eastAsia="Times New Roman" w:cs="Times New Roman"/>
          <w:sz w:val="26"/>
          <w:szCs w:val="26"/>
        </w:rPr>
        <w:t xml:space="preserve">  </w:t>
      </w:r>
      <w:r w:rsidRPr="003358FD" w:rsidR="003358FD">
        <w:rPr>
          <w:rFonts w:ascii="Times New Roman" w:hAnsi="Times New Roman" w:eastAsia="Times New Roman" w:cs="Times New Roman"/>
          <w:sz w:val="26"/>
          <w:szCs w:val="26"/>
        </w:rPr>
        <w:t>In proposed Reliability</w:t>
      </w:r>
      <w:r w:rsidR="003358FD">
        <w:rPr>
          <w:rFonts w:ascii="Times New Roman" w:hAnsi="Times New Roman" w:eastAsia="Times New Roman" w:cs="Times New Roman"/>
          <w:sz w:val="26"/>
          <w:szCs w:val="26"/>
        </w:rPr>
        <w:t xml:space="preserve"> </w:t>
      </w:r>
      <w:r w:rsidRPr="003358FD" w:rsidR="003358FD">
        <w:rPr>
          <w:rFonts w:ascii="Times New Roman" w:hAnsi="Times New Roman" w:eastAsia="Times New Roman" w:cs="Times New Roman"/>
          <w:sz w:val="26"/>
          <w:szCs w:val="26"/>
        </w:rPr>
        <w:t xml:space="preserve">Standard PRC-006-4, NERC adds the UFLS-only Distribution Provider as an applicable entity. </w:t>
      </w:r>
      <w:r w:rsidR="00390BF3">
        <w:rPr>
          <w:rFonts w:ascii="Times New Roman" w:hAnsi="Times New Roman" w:eastAsia="Times New Roman" w:cs="Times New Roman"/>
          <w:sz w:val="26"/>
          <w:szCs w:val="26"/>
        </w:rPr>
        <w:t xml:space="preserve"> </w:t>
      </w:r>
      <w:r w:rsidRPr="003358FD" w:rsidR="003358FD">
        <w:rPr>
          <w:rFonts w:ascii="Times New Roman" w:hAnsi="Times New Roman" w:eastAsia="Times New Roman" w:cs="Times New Roman"/>
          <w:sz w:val="26"/>
          <w:szCs w:val="26"/>
        </w:rPr>
        <w:t>In</w:t>
      </w:r>
      <w:r w:rsidR="0070016F">
        <w:rPr>
          <w:rFonts w:ascii="Times New Roman" w:hAnsi="Times New Roman" w:eastAsia="Times New Roman" w:cs="Times New Roman"/>
          <w:sz w:val="26"/>
          <w:szCs w:val="26"/>
        </w:rPr>
        <w:t xml:space="preserve"> </w:t>
      </w:r>
      <w:r w:rsidRPr="003358FD" w:rsidR="003358FD">
        <w:rPr>
          <w:rFonts w:ascii="Times New Roman" w:hAnsi="Times New Roman" w:eastAsia="Times New Roman" w:cs="Times New Roman"/>
          <w:sz w:val="26"/>
          <w:szCs w:val="26"/>
        </w:rPr>
        <w:t>two instances, NERC has proposed changes that will promote consistent use of the term Planning</w:t>
      </w:r>
      <w:r w:rsidR="003358FD">
        <w:rPr>
          <w:rFonts w:ascii="Times New Roman" w:hAnsi="Times New Roman" w:eastAsia="Times New Roman" w:cs="Times New Roman"/>
          <w:sz w:val="26"/>
          <w:szCs w:val="26"/>
        </w:rPr>
        <w:t xml:space="preserve"> </w:t>
      </w:r>
      <w:r w:rsidRPr="003358FD" w:rsidR="003358FD">
        <w:rPr>
          <w:rFonts w:ascii="Times New Roman" w:hAnsi="Times New Roman" w:eastAsia="Times New Roman" w:cs="Times New Roman"/>
          <w:sz w:val="26"/>
          <w:szCs w:val="26"/>
        </w:rPr>
        <w:t>Coordinator across the Reliability Standards.</w:t>
      </w:r>
      <w:r w:rsidR="00BC37B2">
        <w:rPr>
          <w:rStyle w:val="FootnoteReference"/>
          <w:rFonts w:eastAsia="Times New Roman" w:cs="Times New Roman"/>
        </w:rPr>
        <w:footnoteReference w:id="6"/>
      </w:r>
    </w:p>
    <w:p w:rsidRPr="00814056" w:rsidR="00814056" w:rsidP="00814056" w:rsidRDefault="00962E03" w14:paraId="70539872" w14:textId="106CCC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ab/>
      </w:r>
      <w:r w:rsidRPr="00814056" w:rsidR="00814056">
        <w:rPr>
          <w:rFonts w:ascii="Times New Roman" w:hAnsi="Times New Roman" w:eastAsia="Times New Roman" w:cs="Times New Roman"/>
          <w:sz w:val="26"/>
          <w:szCs w:val="26"/>
        </w:rPr>
        <w:t>The Commission’s request to OMB will reflect the following:</w:t>
      </w:r>
    </w:p>
    <w:p w:rsidR="0074600D" w:rsidP="0074600D" w:rsidRDefault="0074600D" w14:paraId="785024E2" w14:textId="28BC0C4F">
      <w:pPr>
        <w:pStyle w:val="ListParagraph"/>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Times New Roman" w:hAnsi="Times New Roman" w:eastAsia="Times New Roman" w:cs="Times New Roman"/>
          <w:sz w:val="26"/>
          <w:szCs w:val="26"/>
        </w:rPr>
      </w:pPr>
      <w:r w:rsidRPr="004E4A13">
        <w:rPr>
          <w:rFonts w:ascii="Times New Roman" w:hAnsi="Times New Roman" w:eastAsia="Times New Roman" w:cs="Times New Roman"/>
          <w:sz w:val="26"/>
          <w:szCs w:val="26"/>
        </w:rPr>
        <w:lastRenderedPageBreak/>
        <w:t xml:space="preserve">Elimination of the burden associated with the load-serving entity (LSE) function in Requirement R5 of </w:t>
      </w:r>
      <w:r w:rsidR="00390BF3">
        <w:rPr>
          <w:rFonts w:ascii="Times New Roman" w:hAnsi="Times New Roman" w:eastAsia="Times New Roman" w:cs="Times New Roman"/>
          <w:sz w:val="26"/>
          <w:szCs w:val="26"/>
        </w:rPr>
        <w:t xml:space="preserve">proposed </w:t>
      </w:r>
      <w:r w:rsidRPr="004E4A13">
        <w:rPr>
          <w:rFonts w:ascii="Times New Roman" w:hAnsi="Times New Roman" w:eastAsia="Times New Roman" w:cs="Times New Roman"/>
          <w:sz w:val="26"/>
          <w:szCs w:val="26"/>
        </w:rPr>
        <w:t>Reliability Standard TOP-003-4 .</w:t>
      </w:r>
      <w:r>
        <w:rPr>
          <w:rStyle w:val="FootnoteReference"/>
          <w:rFonts w:eastAsia="Times New Roman" w:cs="Times New Roman"/>
        </w:rPr>
        <w:footnoteReference w:id="7"/>
      </w:r>
      <w:r w:rsidRPr="004E4A13">
        <w:rPr>
          <w:rFonts w:ascii="Times New Roman" w:hAnsi="Times New Roman" w:eastAsia="Times New Roman" w:cs="Times New Roman"/>
          <w:sz w:val="26"/>
          <w:szCs w:val="26"/>
        </w:rPr>
        <w:t xml:space="preserve"> The petition states that the currently effective standard is applicable to the transmission operator, balancing authority, generator owner, generator operator, load-serving entity, transmission owner, and distribution </w:t>
      </w:r>
      <w:r>
        <w:rPr>
          <w:rFonts w:ascii="Times New Roman" w:hAnsi="Times New Roman" w:eastAsia="Times New Roman" w:cs="Times New Roman"/>
          <w:sz w:val="26"/>
          <w:szCs w:val="26"/>
        </w:rPr>
        <w:t>p</w:t>
      </w:r>
      <w:r w:rsidRPr="004E4A13">
        <w:rPr>
          <w:rFonts w:ascii="Times New Roman" w:hAnsi="Times New Roman" w:eastAsia="Times New Roman" w:cs="Times New Roman"/>
          <w:sz w:val="26"/>
          <w:szCs w:val="26"/>
        </w:rPr>
        <w:t>rovider. As the load-serving entity is no longer a NERC registration category, NERC proposes to remove this entity from the applicability section of proposed Reliability Standard TOP-003-4 and remove reference to this entity in Requirement R5.</w:t>
      </w:r>
      <w:r>
        <w:rPr>
          <w:rStyle w:val="FootnoteReference"/>
          <w:rFonts w:eastAsia="Times New Roman" w:cs="Times New Roman"/>
        </w:rPr>
        <w:footnoteReference w:id="8"/>
      </w:r>
      <w:r w:rsidRPr="004E4A13">
        <w:rPr>
          <w:rFonts w:ascii="Times New Roman" w:hAnsi="Times New Roman" w:eastAsia="Times New Roman" w:cs="Times New Roman"/>
          <w:sz w:val="26"/>
          <w:szCs w:val="26"/>
        </w:rPr>
        <w:t xml:space="preserve"> </w:t>
      </w:r>
    </w:p>
    <w:p w:rsidR="0074600D" w:rsidP="0074600D" w:rsidRDefault="0074600D" w14:paraId="7761B280" w14:textId="77777777">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Times New Roman" w:hAnsi="Times New Roman" w:eastAsia="Times New Roman" w:cs="Times New Roman"/>
          <w:sz w:val="26"/>
          <w:szCs w:val="26"/>
        </w:rPr>
      </w:pPr>
    </w:p>
    <w:p w:rsidR="00BE01A7" w:rsidP="00AE7E7C" w:rsidRDefault="00BE01A7" w14:paraId="66A546A4" w14:textId="51310B57">
      <w:pPr>
        <w:pStyle w:val="ListParagraph"/>
        <w:numPr>
          <w:ilvl w:val="0"/>
          <w:numId w:val="4"/>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1080"/>
        <w:rPr>
          <w:rFonts w:ascii="Times New Roman" w:hAnsi="Times New Roman" w:eastAsia="Times New Roman" w:cs="Times New Roman"/>
          <w:sz w:val="26"/>
          <w:szCs w:val="26"/>
        </w:rPr>
      </w:pPr>
      <w:r w:rsidRPr="003F6707">
        <w:rPr>
          <w:rFonts w:ascii="Times New Roman" w:hAnsi="Times New Roman" w:eastAsia="Times New Roman" w:cs="Times New Roman"/>
          <w:sz w:val="26"/>
          <w:szCs w:val="26"/>
        </w:rPr>
        <w:t>E</w:t>
      </w:r>
      <w:r w:rsidRPr="003F6707" w:rsidR="00BD1658">
        <w:rPr>
          <w:rFonts w:ascii="Times New Roman" w:hAnsi="Times New Roman" w:eastAsia="Times New Roman" w:cs="Times New Roman"/>
          <w:sz w:val="26"/>
          <w:szCs w:val="26"/>
        </w:rPr>
        <w:t>limination of</w:t>
      </w:r>
      <w:r w:rsidRPr="003F6707" w:rsidR="00814056">
        <w:rPr>
          <w:rFonts w:ascii="Times New Roman" w:hAnsi="Times New Roman" w:eastAsia="Times New Roman" w:cs="Times New Roman"/>
          <w:sz w:val="26"/>
          <w:szCs w:val="26"/>
        </w:rPr>
        <w:t xml:space="preserve"> the burden associated with</w:t>
      </w:r>
      <w:r w:rsidRPr="003F6707">
        <w:rPr>
          <w:rFonts w:ascii="Times New Roman" w:hAnsi="Times New Roman" w:eastAsia="Times New Roman" w:cs="Times New Roman"/>
          <w:sz w:val="26"/>
          <w:szCs w:val="26"/>
        </w:rPr>
        <w:t xml:space="preserve"> the load-serving entity (LSE)</w:t>
      </w:r>
      <w:r w:rsidR="00AE7E7C">
        <w:rPr>
          <w:rFonts w:ascii="Times New Roman" w:hAnsi="Times New Roman" w:eastAsia="Times New Roman" w:cs="Times New Roman"/>
          <w:sz w:val="26"/>
          <w:szCs w:val="26"/>
        </w:rPr>
        <w:t xml:space="preserve"> </w:t>
      </w:r>
      <w:r w:rsidRPr="003F6707">
        <w:rPr>
          <w:rFonts w:ascii="Times New Roman" w:hAnsi="Times New Roman" w:eastAsia="Times New Roman" w:cs="Times New Roman"/>
          <w:sz w:val="26"/>
          <w:szCs w:val="26"/>
        </w:rPr>
        <w:t>function in Requirement R3 of</w:t>
      </w:r>
      <w:r w:rsidRPr="003F6707" w:rsidR="00814056">
        <w:rPr>
          <w:rFonts w:ascii="Times New Roman" w:hAnsi="Times New Roman" w:eastAsia="Times New Roman" w:cs="Times New Roman"/>
          <w:sz w:val="26"/>
          <w:szCs w:val="26"/>
        </w:rPr>
        <w:t xml:space="preserve"> </w:t>
      </w:r>
      <w:r w:rsidR="00B94FEE">
        <w:rPr>
          <w:rFonts w:ascii="Times New Roman" w:hAnsi="Times New Roman" w:eastAsia="Times New Roman" w:cs="Times New Roman"/>
          <w:sz w:val="26"/>
          <w:szCs w:val="26"/>
        </w:rPr>
        <w:t xml:space="preserve">proposed </w:t>
      </w:r>
      <w:r w:rsidRPr="003F6707" w:rsidR="00814056">
        <w:rPr>
          <w:rFonts w:ascii="Times New Roman" w:hAnsi="Times New Roman" w:eastAsia="Times New Roman" w:cs="Times New Roman"/>
          <w:sz w:val="26"/>
          <w:szCs w:val="26"/>
        </w:rPr>
        <w:t xml:space="preserve">Reliability Standard </w:t>
      </w:r>
      <w:r w:rsidRPr="003F6707">
        <w:rPr>
          <w:rFonts w:ascii="Times New Roman" w:hAnsi="Times New Roman" w:eastAsia="Times New Roman" w:cs="Times New Roman"/>
          <w:sz w:val="26"/>
          <w:szCs w:val="26"/>
        </w:rPr>
        <w:t>FAC-002-3</w:t>
      </w:r>
      <w:r w:rsidR="00862C05">
        <w:rPr>
          <w:rFonts w:ascii="Times New Roman" w:hAnsi="Times New Roman" w:eastAsia="Times New Roman" w:cs="Times New Roman"/>
          <w:sz w:val="26"/>
          <w:szCs w:val="26"/>
        </w:rPr>
        <w:t>.</w:t>
      </w:r>
      <w:r w:rsidR="00862C05">
        <w:rPr>
          <w:rStyle w:val="FootnoteReference"/>
          <w:rFonts w:eastAsia="Times New Roman" w:cs="Times New Roman"/>
        </w:rPr>
        <w:footnoteReference w:id="9"/>
      </w:r>
      <w:r w:rsidRPr="003F6707" w:rsidR="00814056">
        <w:rPr>
          <w:rFonts w:ascii="Times New Roman" w:hAnsi="Times New Roman" w:eastAsia="Times New Roman" w:cs="Times New Roman"/>
          <w:sz w:val="26"/>
          <w:szCs w:val="26"/>
        </w:rPr>
        <w:t xml:space="preserve"> </w:t>
      </w:r>
      <w:r w:rsidR="003F6707">
        <w:rPr>
          <w:rFonts w:ascii="Times New Roman" w:hAnsi="Times New Roman" w:eastAsia="Times New Roman" w:cs="Times New Roman"/>
          <w:sz w:val="26"/>
          <w:szCs w:val="26"/>
        </w:rPr>
        <w:t xml:space="preserve"> </w:t>
      </w:r>
      <w:r w:rsidRPr="003F6707" w:rsidR="00C0182B">
        <w:rPr>
          <w:rFonts w:ascii="Times New Roman" w:hAnsi="Times New Roman" w:eastAsia="Times New Roman" w:cs="Times New Roman"/>
          <w:sz w:val="26"/>
          <w:szCs w:val="26"/>
        </w:rPr>
        <w:t>The NERC petition states as the load-serving entity is no longer a NERC registration category, NERC proposes to remove this entity from the applicability section of proposed Reliability Standard FAC-002-3 and remove reference to this entity in Requirement R3.</w:t>
      </w:r>
      <w:r w:rsidR="00C0182B">
        <w:rPr>
          <w:rStyle w:val="FootnoteReference"/>
          <w:rFonts w:eastAsia="Times New Roman" w:cs="Times New Roman"/>
        </w:rPr>
        <w:footnoteReference w:id="10"/>
      </w:r>
    </w:p>
    <w:p w:rsidR="00862C05" w:rsidP="00862C05" w:rsidRDefault="00862C05" w14:paraId="571D89DB" w14:textId="77777777">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1440"/>
        <w:rPr>
          <w:rFonts w:ascii="Times New Roman" w:hAnsi="Times New Roman" w:eastAsia="Times New Roman" w:cs="Times New Roman"/>
          <w:sz w:val="26"/>
          <w:szCs w:val="26"/>
        </w:rPr>
      </w:pPr>
    </w:p>
    <w:p w:rsidR="00EA6547" w:rsidP="00EA6547" w:rsidRDefault="00EA6547" w14:paraId="06F0A1C9" w14:textId="618CDDDF">
      <w:pPr>
        <w:pStyle w:val="ListParagraph"/>
        <w:numPr>
          <w:ilvl w:val="0"/>
          <w:numId w:val="4"/>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Times New Roman" w:hAnsi="Times New Roman" w:eastAsia="Times New Roman" w:cs="Times New Roman"/>
          <w:sz w:val="26"/>
          <w:szCs w:val="26"/>
        </w:rPr>
      </w:pPr>
      <w:r w:rsidRPr="008C46A7">
        <w:rPr>
          <w:rFonts w:ascii="Times New Roman" w:hAnsi="Times New Roman" w:eastAsia="Times New Roman" w:cs="Times New Roman"/>
          <w:sz w:val="26"/>
          <w:szCs w:val="26"/>
        </w:rPr>
        <w:t xml:space="preserve">Removal of the load-serving entity (LSE) function in the applicability section of </w:t>
      </w:r>
      <w:r w:rsidR="00C22249">
        <w:rPr>
          <w:rFonts w:ascii="Times New Roman" w:hAnsi="Times New Roman" w:eastAsia="Times New Roman" w:cs="Times New Roman"/>
          <w:sz w:val="26"/>
          <w:szCs w:val="26"/>
        </w:rPr>
        <w:t xml:space="preserve">proposed </w:t>
      </w:r>
      <w:r w:rsidRPr="008C46A7">
        <w:rPr>
          <w:rFonts w:ascii="Times New Roman" w:hAnsi="Times New Roman" w:eastAsia="Times New Roman" w:cs="Times New Roman"/>
          <w:sz w:val="26"/>
          <w:szCs w:val="26"/>
        </w:rPr>
        <w:t>Reliability Standard NUC-001-4.</w:t>
      </w:r>
      <w:r>
        <w:rPr>
          <w:rStyle w:val="FootnoteReference"/>
          <w:rFonts w:eastAsia="Times New Roman" w:cs="Times New Roman"/>
        </w:rPr>
        <w:footnoteReference w:id="11"/>
      </w:r>
      <w:r w:rsidRPr="008C46A7">
        <w:rPr>
          <w:rFonts w:ascii="Times New Roman" w:hAnsi="Times New Roman" w:eastAsia="Times New Roman" w:cs="Times New Roman"/>
          <w:sz w:val="26"/>
          <w:szCs w:val="26"/>
        </w:rPr>
        <w:t xml:space="preserve"> The NERC petition states </w:t>
      </w:r>
      <w:r>
        <w:rPr>
          <w:rFonts w:ascii="Times New Roman" w:hAnsi="Times New Roman" w:eastAsia="Times New Roman" w:cs="Times New Roman"/>
          <w:sz w:val="26"/>
          <w:szCs w:val="26"/>
        </w:rPr>
        <w:t>as</w:t>
      </w:r>
      <w:r w:rsidRPr="008C46A7">
        <w:rPr>
          <w:rFonts w:ascii="Times New Roman" w:hAnsi="Times New Roman" w:eastAsia="Times New Roman" w:cs="Times New Roman"/>
          <w:sz w:val="26"/>
          <w:szCs w:val="26"/>
        </w:rPr>
        <w:t xml:space="preserve"> the </w:t>
      </w:r>
      <w:r>
        <w:rPr>
          <w:rFonts w:ascii="Times New Roman" w:hAnsi="Times New Roman" w:eastAsia="Times New Roman" w:cs="Times New Roman"/>
          <w:sz w:val="26"/>
          <w:szCs w:val="26"/>
        </w:rPr>
        <w:t>l</w:t>
      </w:r>
      <w:r w:rsidRPr="008C46A7">
        <w:rPr>
          <w:rFonts w:ascii="Times New Roman" w:hAnsi="Times New Roman" w:eastAsia="Times New Roman" w:cs="Times New Roman"/>
          <w:sz w:val="26"/>
          <w:szCs w:val="26"/>
        </w:rPr>
        <w:t>oad-</w:t>
      </w:r>
      <w:r>
        <w:rPr>
          <w:rFonts w:ascii="Times New Roman" w:hAnsi="Times New Roman" w:eastAsia="Times New Roman" w:cs="Times New Roman"/>
          <w:sz w:val="26"/>
          <w:szCs w:val="26"/>
        </w:rPr>
        <w:t>s</w:t>
      </w:r>
      <w:r w:rsidRPr="008C46A7">
        <w:rPr>
          <w:rFonts w:ascii="Times New Roman" w:hAnsi="Times New Roman" w:eastAsia="Times New Roman" w:cs="Times New Roman"/>
          <w:sz w:val="26"/>
          <w:szCs w:val="26"/>
        </w:rPr>
        <w:t xml:space="preserve">erving </w:t>
      </w:r>
      <w:r>
        <w:rPr>
          <w:rFonts w:ascii="Times New Roman" w:hAnsi="Times New Roman" w:eastAsia="Times New Roman" w:cs="Times New Roman"/>
          <w:sz w:val="26"/>
          <w:szCs w:val="26"/>
        </w:rPr>
        <w:t>e</w:t>
      </w:r>
      <w:r w:rsidRPr="008C46A7">
        <w:rPr>
          <w:rFonts w:ascii="Times New Roman" w:hAnsi="Times New Roman" w:eastAsia="Times New Roman" w:cs="Times New Roman"/>
          <w:sz w:val="26"/>
          <w:szCs w:val="26"/>
        </w:rPr>
        <w:t xml:space="preserve">ntity is no longer a NERC registration category, NERC proposes to remove this entity from the list of applicable </w:t>
      </w:r>
      <w:r>
        <w:rPr>
          <w:rFonts w:ascii="Times New Roman" w:hAnsi="Times New Roman" w:eastAsia="Times New Roman" w:cs="Times New Roman"/>
          <w:sz w:val="26"/>
          <w:szCs w:val="26"/>
        </w:rPr>
        <w:t>t</w:t>
      </w:r>
      <w:r w:rsidRPr="008C46A7">
        <w:rPr>
          <w:rFonts w:ascii="Times New Roman" w:hAnsi="Times New Roman" w:eastAsia="Times New Roman" w:cs="Times New Roman"/>
          <w:sz w:val="26"/>
          <w:szCs w:val="26"/>
        </w:rPr>
        <w:t xml:space="preserve">ransmission </w:t>
      </w:r>
      <w:r>
        <w:rPr>
          <w:rFonts w:ascii="Times New Roman" w:hAnsi="Times New Roman" w:eastAsia="Times New Roman" w:cs="Times New Roman"/>
          <w:sz w:val="26"/>
          <w:szCs w:val="26"/>
        </w:rPr>
        <w:t>e</w:t>
      </w:r>
      <w:r w:rsidRPr="008C46A7">
        <w:rPr>
          <w:rFonts w:ascii="Times New Roman" w:hAnsi="Times New Roman" w:eastAsia="Times New Roman" w:cs="Times New Roman"/>
          <w:sz w:val="26"/>
          <w:szCs w:val="26"/>
        </w:rPr>
        <w:t>ntities</w:t>
      </w:r>
      <w:r>
        <w:rPr>
          <w:rFonts w:ascii="Times New Roman" w:hAnsi="Times New Roman" w:eastAsia="Times New Roman" w:cs="Times New Roman"/>
          <w:sz w:val="26"/>
          <w:szCs w:val="26"/>
        </w:rPr>
        <w:t xml:space="preserve"> </w:t>
      </w:r>
      <w:r w:rsidRPr="008C46A7">
        <w:rPr>
          <w:rFonts w:ascii="Times New Roman" w:hAnsi="Times New Roman" w:eastAsia="Times New Roman" w:cs="Times New Roman"/>
          <w:sz w:val="26"/>
          <w:szCs w:val="26"/>
        </w:rPr>
        <w:t>in the applicability section of proposed Reliability Standard NUC-001-4.</w:t>
      </w:r>
      <w:r>
        <w:rPr>
          <w:rStyle w:val="FootnoteReference"/>
          <w:rFonts w:eastAsia="Times New Roman" w:cs="Times New Roman"/>
        </w:rPr>
        <w:footnoteReference w:id="12"/>
      </w:r>
      <w:r>
        <w:rPr>
          <w:rFonts w:ascii="Times New Roman" w:hAnsi="Times New Roman" w:eastAsia="Times New Roman" w:cs="Times New Roman"/>
          <w:sz w:val="26"/>
          <w:szCs w:val="26"/>
        </w:rPr>
        <w:t xml:space="preserve"> Removing this function from the list of transmission entities will not change the estimated burden associated with this standard.</w:t>
      </w:r>
    </w:p>
    <w:p w:rsidRPr="00EA6547" w:rsidR="00EA6547" w:rsidP="00EA6547" w:rsidRDefault="00EA6547" w14:paraId="2370AA81" w14:textId="77777777">
      <w:pPr>
        <w:pStyle w:val="ListParagraph"/>
        <w:rPr>
          <w:rFonts w:ascii="Times New Roman" w:hAnsi="Times New Roman" w:eastAsia="Times New Roman" w:cs="Times New Roman"/>
          <w:sz w:val="26"/>
          <w:szCs w:val="26"/>
        </w:rPr>
      </w:pPr>
    </w:p>
    <w:p w:rsidR="00800692" w:rsidP="00800692" w:rsidRDefault="00800692" w14:paraId="4CFC6695" w14:textId="56E7470D">
      <w:pPr>
        <w:pStyle w:val="ListParagraph"/>
        <w:numPr>
          <w:ilvl w:val="0"/>
          <w:numId w:val="4"/>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Times New Roman" w:hAnsi="Times New Roman" w:eastAsia="Times New Roman" w:cs="Times New Roman"/>
          <w:sz w:val="26"/>
          <w:szCs w:val="26"/>
        </w:rPr>
      </w:pPr>
      <w:r w:rsidRPr="00A0550E">
        <w:rPr>
          <w:rFonts w:ascii="Times New Roman" w:hAnsi="Times New Roman" w:eastAsia="Times New Roman" w:cs="Times New Roman"/>
          <w:sz w:val="26"/>
          <w:szCs w:val="26"/>
        </w:rPr>
        <w:lastRenderedPageBreak/>
        <w:t xml:space="preserve">Addition of </w:t>
      </w:r>
      <w:r>
        <w:rPr>
          <w:rFonts w:ascii="Times New Roman" w:hAnsi="Times New Roman" w:eastAsia="Times New Roman" w:cs="Times New Roman"/>
          <w:sz w:val="26"/>
          <w:szCs w:val="26"/>
        </w:rPr>
        <w:t xml:space="preserve">the </w:t>
      </w:r>
      <w:r w:rsidRPr="00A0550E">
        <w:rPr>
          <w:rFonts w:ascii="Times New Roman" w:hAnsi="Times New Roman" w:eastAsia="Times New Roman" w:cs="Times New Roman"/>
          <w:sz w:val="26"/>
          <w:szCs w:val="26"/>
        </w:rPr>
        <w:t xml:space="preserve">burden associated with UFLS-only distribution providers to </w:t>
      </w:r>
      <w:r w:rsidR="0096689B">
        <w:rPr>
          <w:rFonts w:ascii="Times New Roman" w:hAnsi="Times New Roman" w:eastAsia="Times New Roman" w:cs="Times New Roman"/>
          <w:sz w:val="26"/>
          <w:szCs w:val="26"/>
        </w:rPr>
        <w:t xml:space="preserve">proposed </w:t>
      </w:r>
      <w:r w:rsidRPr="00A0550E">
        <w:rPr>
          <w:rFonts w:ascii="Times New Roman" w:hAnsi="Times New Roman" w:eastAsia="Times New Roman" w:cs="Times New Roman"/>
          <w:sz w:val="26"/>
          <w:szCs w:val="26"/>
        </w:rPr>
        <w:t>Reliability Standard PRC-006-4.</w:t>
      </w:r>
      <w:r>
        <w:rPr>
          <w:rStyle w:val="FootnoteReference"/>
          <w:rFonts w:eastAsia="Times New Roman" w:cs="Times New Roman"/>
        </w:rPr>
        <w:footnoteReference w:id="13"/>
      </w:r>
      <w:r w:rsidRPr="00A0550E">
        <w:rPr>
          <w:rFonts w:ascii="Times New Roman" w:hAnsi="Times New Roman" w:eastAsia="Times New Roman" w:cs="Times New Roman"/>
          <w:sz w:val="26"/>
          <w:szCs w:val="26"/>
        </w:rPr>
        <w:t xml:space="preserve"> The petition states that </w:t>
      </w:r>
      <w:r w:rsidR="0096689B">
        <w:rPr>
          <w:rFonts w:ascii="Times New Roman" w:hAnsi="Times New Roman" w:eastAsia="Times New Roman" w:cs="Times New Roman"/>
          <w:sz w:val="26"/>
          <w:szCs w:val="26"/>
        </w:rPr>
        <w:t>t</w:t>
      </w:r>
      <w:r w:rsidRPr="00A0550E">
        <w:rPr>
          <w:rFonts w:ascii="Times New Roman" w:hAnsi="Times New Roman" w:eastAsia="Times New Roman" w:cs="Times New Roman"/>
          <w:sz w:val="26"/>
          <w:szCs w:val="26"/>
        </w:rPr>
        <w:t xml:space="preserve">he currently effective standard is applicable to </w:t>
      </w:r>
      <w:r>
        <w:rPr>
          <w:rFonts w:ascii="Times New Roman" w:hAnsi="Times New Roman" w:eastAsia="Times New Roman" w:cs="Times New Roman"/>
          <w:sz w:val="26"/>
          <w:szCs w:val="26"/>
        </w:rPr>
        <w:t>p</w:t>
      </w:r>
      <w:r w:rsidRPr="00A0550E">
        <w:rPr>
          <w:rFonts w:ascii="Times New Roman" w:hAnsi="Times New Roman" w:eastAsia="Times New Roman" w:cs="Times New Roman"/>
          <w:sz w:val="26"/>
          <w:szCs w:val="26"/>
        </w:rPr>
        <w:t xml:space="preserve">lanning </w:t>
      </w:r>
      <w:r>
        <w:rPr>
          <w:rFonts w:ascii="Times New Roman" w:hAnsi="Times New Roman" w:eastAsia="Times New Roman" w:cs="Times New Roman"/>
          <w:sz w:val="26"/>
          <w:szCs w:val="26"/>
        </w:rPr>
        <w:t>c</w:t>
      </w:r>
      <w:r w:rsidRPr="00A0550E">
        <w:rPr>
          <w:rFonts w:ascii="Times New Roman" w:hAnsi="Times New Roman" w:eastAsia="Times New Roman" w:cs="Times New Roman"/>
          <w:sz w:val="26"/>
          <w:szCs w:val="26"/>
        </w:rPr>
        <w:t xml:space="preserve">oordinators, “UFLS entities” (which may include </w:t>
      </w:r>
      <w:r>
        <w:rPr>
          <w:rFonts w:ascii="Times New Roman" w:hAnsi="Times New Roman" w:eastAsia="Times New Roman" w:cs="Times New Roman"/>
          <w:sz w:val="26"/>
          <w:szCs w:val="26"/>
        </w:rPr>
        <w:t>t</w:t>
      </w:r>
      <w:r w:rsidRPr="00A0550E">
        <w:rPr>
          <w:rFonts w:ascii="Times New Roman" w:hAnsi="Times New Roman" w:eastAsia="Times New Roman" w:cs="Times New Roman"/>
          <w:sz w:val="26"/>
          <w:szCs w:val="26"/>
        </w:rPr>
        <w:t xml:space="preserve">ransmission </w:t>
      </w:r>
      <w:r>
        <w:rPr>
          <w:rFonts w:ascii="Times New Roman" w:hAnsi="Times New Roman" w:eastAsia="Times New Roman" w:cs="Times New Roman"/>
          <w:sz w:val="26"/>
          <w:szCs w:val="26"/>
        </w:rPr>
        <w:t>o</w:t>
      </w:r>
      <w:r w:rsidRPr="00A0550E">
        <w:rPr>
          <w:rFonts w:ascii="Times New Roman" w:hAnsi="Times New Roman" w:eastAsia="Times New Roman" w:cs="Times New Roman"/>
          <w:sz w:val="26"/>
          <w:szCs w:val="26"/>
        </w:rPr>
        <w:t xml:space="preserve">wners and </w:t>
      </w:r>
      <w:r>
        <w:rPr>
          <w:rFonts w:ascii="Times New Roman" w:hAnsi="Times New Roman" w:eastAsia="Times New Roman" w:cs="Times New Roman"/>
          <w:sz w:val="26"/>
          <w:szCs w:val="26"/>
        </w:rPr>
        <w:t>d</w:t>
      </w:r>
      <w:r w:rsidRPr="00A0550E">
        <w:rPr>
          <w:rFonts w:ascii="Times New Roman" w:hAnsi="Times New Roman" w:eastAsia="Times New Roman" w:cs="Times New Roman"/>
          <w:sz w:val="26"/>
          <w:szCs w:val="26"/>
        </w:rPr>
        <w:t xml:space="preserve">istribution </w:t>
      </w:r>
      <w:r>
        <w:rPr>
          <w:rFonts w:ascii="Times New Roman" w:hAnsi="Times New Roman" w:eastAsia="Times New Roman" w:cs="Times New Roman"/>
          <w:sz w:val="26"/>
          <w:szCs w:val="26"/>
        </w:rPr>
        <w:t>p</w:t>
      </w:r>
      <w:r w:rsidRPr="00A0550E">
        <w:rPr>
          <w:rFonts w:ascii="Times New Roman" w:hAnsi="Times New Roman" w:eastAsia="Times New Roman" w:cs="Times New Roman"/>
          <w:sz w:val="26"/>
          <w:szCs w:val="26"/>
        </w:rPr>
        <w:t xml:space="preserve">roviders that own, operate, or control UFLS equipment), and </w:t>
      </w:r>
      <w:r>
        <w:rPr>
          <w:rFonts w:ascii="Times New Roman" w:hAnsi="Times New Roman" w:eastAsia="Times New Roman" w:cs="Times New Roman"/>
          <w:sz w:val="26"/>
          <w:szCs w:val="26"/>
        </w:rPr>
        <w:t>t</w:t>
      </w:r>
      <w:r w:rsidRPr="00A0550E">
        <w:rPr>
          <w:rFonts w:ascii="Times New Roman" w:hAnsi="Times New Roman" w:eastAsia="Times New Roman" w:cs="Times New Roman"/>
          <w:sz w:val="26"/>
          <w:szCs w:val="26"/>
        </w:rPr>
        <w:t xml:space="preserve">ransmission </w:t>
      </w:r>
      <w:r>
        <w:rPr>
          <w:rFonts w:ascii="Times New Roman" w:hAnsi="Times New Roman" w:eastAsia="Times New Roman" w:cs="Times New Roman"/>
          <w:sz w:val="26"/>
          <w:szCs w:val="26"/>
        </w:rPr>
        <w:t>o</w:t>
      </w:r>
      <w:r w:rsidRPr="00A0550E">
        <w:rPr>
          <w:rFonts w:ascii="Times New Roman" w:hAnsi="Times New Roman" w:eastAsia="Times New Roman" w:cs="Times New Roman"/>
          <w:sz w:val="26"/>
          <w:szCs w:val="26"/>
        </w:rPr>
        <w:t xml:space="preserve">wners that own certain </w:t>
      </w:r>
      <w:r>
        <w:rPr>
          <w:rFonts w:ascii="Times New Roman" w:hAnsi="Times New Roman" w:eastAsia="Times New Roman" w:cs="Times New Roman"/>
          <w:sz w:val="26"/>
          <w:szCs w:val="26"/>
        </w:rPr>
        <w:t>e</w:t>
      </w:r>
      <w:r w:rsidRPr="00A0550E">
        <w:rPr>
          <w:rFonts w:ascii="Times New Roman" w:hAnsi="Times New Roman" w:eastAsia="Times New Roman" w:cs="Times New Roman"/>
          <w:sz w:val="26"/>
          <w:szCs w:val="26"/>
        </w:rPr>
        <w:t>lements. In proposed Reliability Standard PRC-006-4, NERC proposes to add the UFLS-</w:t>
      </w:r>
      <w:r>
        <w:rPr>
          <w:rFonts w:ascii="Times New Roman" w:hAnsi="Times New Roman" w:eastAsia="Times New Roman" w:cs="Times New Roman"/>
          <w:sz w:val="26"/>
          <w:szCs w:val="26"/>
        </w:rPr>
        <w:t>o</w:t>
      </w:r>
      <w:r w:rsidRPr="00A0550E">
        <w:rPr>
          <w:rFonts w:ascii="Times New Roman" w:hAnsi="Times New Roman" w:eastAsia="Times New Roman" w:cs="Times New Roman"/>
          <w:sz w:val="26"/>
          <w:szCs w:val="26"/>
        </w:rPr>
        <w:t xml:space="preserve">nly </w:t>
      </w:r>
      <w:r>
        <w:rPr>
          <w:rFonts w:ascii="Times New Roman" w:hAnsi="Times New Roman" w:eastAsia="Times New Roman" w:cs="Times New Roman"/>
          <w:sz w:val="26"/>
          <w:szCs w:val="26"/>
        </w:rPr>
        <w:t>d</w:t>
      </w:r>
      <w:r w:rsidRPr="00A0550E">
        <w:rPr>
          <w:rFonts w:ascii="Times New Roman" w:hAnsi="Times New Roman" w:eastAsia="Times New Roman" w:cs="Times New Roman"/>
          <w:sz w:val="26"/>
          <w:szCs w:val="26"/>
        </w:rPr>
        <w:t xml:space="preserve">istribution </w:t>
      </w:r>
      <w:r>
        <w:rPr>
          <w:rFonts w:ascii="Times New Roman" w:hAnsi="Times New Roman" w:eastAsia="Times New Roman" w:cs="Times New Roman"/>
          <w:sz w:val="26"/>
          <w:szCs w:val="26"/>
        </w:rPr>
        <w:t>p</w:t>
      </w:r>
      <w:r w:rsidRPr="00A0550E">
        <w:rPr>
          <w:rFonts w:ascii="Times New Roman" w:hAnsi="Times New Roman" w:eastAsia="Times New Roman" w:cs="Times New Roman"/>
          <w:sz w:val="26"/>
          <w:szCs w:val="26"/>
        </w:rPr>
        <w:t>rovider as</w:t>
      </w:r>
      <w:r>
        <w:rPr>
          <w:rFonts w:ascii="Times New Roman" w:hAnsi="Times New Roman" w:eastAsia="Times New Roman" w:cs="Times New Roman"/>
          <w:sz w:val="26"/>
          <w:szCs w:val="26"/>
        </w:rPr>
        <w:t xml:space="preserve"> </w:t>
      </w:r>
      <w:r w:rsidRPr="00A0550E">
        <w:rPr>
          <w:rFonts w:ascii="Times New Roman" w:hAnsi="Times New Roman" w:eastAsia="Times New Roman" w:cs="Times New Roman"/>
          <w:sz w:val="26"/>
          <w:szCs w:val="26"/>
        </w:rPr>
        <w:t>an applicable UFLS entity</w:t>
      </w:r>
      <w:r>
        <w:rPr>
          <w:rFonts w:ascii="Times New Roman" w:hAnsi="Times New Roman" w:eastAsia="Times New Roman" w:cs="Times New Roman"/>
          <w:sz w:val="26"/>
          <w:szCs w:val="26"/>
        </w:rPr>
        <w:t>.</w:t>
      </w:r>
      <w:r>
        <w:rPr>
          <w:rStyle w:val="FootnoteReference"/>
          <w:rFonts w:eastAsia="Times New Roman" w:cs="Times New Roman"/>
        </w:rPr>
        <w:footnoteReference w:id="14"/>
      </w:r>
    </w:p>
    <w:p w:rsidRPr="00EA05C0" w:rsidR="00BE01A7" w:rsidP="00BE01A7" w:rsidRDefault="00BE01A7" w14:paraId="5CA0262E" w14:textId="77777777">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6"/>
          <w:szCs w:val="26"/>
        </w:rPr>
      </w:pPr>
    </w:p>
    <w:p w:rsidR="00221745" w:rsidP="007841CF" w:rsidRDefault="00221745" w14:paraId="34D6CD69" w14:textId="019D9B76">
      <w:pPr>
        <w:pStyle w:val="ListParagraph"/>
        <w:numPr>
          <w:ilvl w:val="0"/>
          <w:numId w:val="4"/>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Times New Roman" w:hAnsi="Times New Roman" w:eastAsia="Times New Roman" w:cs="Times New Roman"/>
          <w:sz w:val="26"/>
          <w:szCs w:val="26"/>
        </w:rPr>
      </w:pPr>
      <w:r w:rsidRPr="00221745">
        <w:rPr>
          <w:rFonts w:ascii="Times New Roman" w:hAnsi="Times New Roman" w:eastAsia="Times New Roman" w:cs="Times New Roman"/>
          <w:sz w:val="26"/>
          <w:szCs w:val="26"/>
        </w:rPr>
        <w:t xml:space="preserve">Elimination of the burden associated with the load-serving entity (LSE) function in Requirement R1 of </w:t>
      </w:r>
      <w:r w:rsidR="00E806A4">
        <w:rPr>
          <w:rFonts w:ascii="Times New Roman" w:hAnsi="Times New Roman" w:eastAsia="Times New Roman" w:cs="Times New Roman"/>
          <w:sz w:val="26"/>
          <w:szCs w:val="26"/>
        </w:rPr>
        <w:t xml:space="preserve">proposed </w:t>
      </w:r>
      <w:r w:rsidRPr="00221745" w:rsidR="00BE01A7">
        <w:rPr>
          <w:rFonts w:ascii="Times New Roman" w:hAnsi="Times New Roman" w:eastAsia="Times New Roman" w:cs="Times New Roman"/>
          <w:sz w:val="26"/>
          <w:szCs w:val="26"/>
        </w:rPr>
        <w:t>Reliability Standard MOD-031-3</w:t>
      </w:r>
      <w:r w:rsidRPr="00221745">
        <w:rPr>
          <w:rFonts w:ascii="Times New Roman" w:hAnsi="Times New Roman" w:eastAsia="Times New Roman" w:cs="Times New Roman"/>
          <w:sz w:val="26"/>
          <w:szCs w:val="26"/>
        </w:rPr>
        <w:t>.</w:t>
      </w:r>
      <w:r w:rsidR="00D610E7">
        <w:rPr>
          <w:rStyle w:val="FootnoteReference"/>
          <w:rFonts w:eastAsia="Times New Roman" w:cs="Times New Roman"/>
        </w:rPr>
        <w:footnoteReference w:id="15"/>
      </w:r>
      <w:r w:rsidRPr="00221745">
        <w:rPr>
          <w:rFonts w:ascii="Times New Roman" w:hAnsi="Times New Roman" w:eastAsia="Times New Roman" w:cs="Times New Roman"/>
          <w:sz w:val="26"/>
          <w:szCs w:val="26"/>
        </w:rPr>
        <w:t xml:space="preserve"> The NERC petition states as the load-serving entity is no longer a NERC registration category, NERC proposes to remove this entity from the applicability section of proposed Reliability Standard MOD-031-3 and remove reference to this entity in Requirement R1, Part 1.1, where it is listed as an “Applicable Entity” for purposes of Requirements R2 and R4.</w:t>
      </w:r>
      <w:r w:rsidR="00796DD7">
        <w:rPr>
          <w:rStyle w:val="FootnoteReference"/>
          <w:rFonts w:eastAsia="Times New Roman" w:cs="Times New Roman"/>
        </w:rPr>
        <w:footnoteReference w:id="16"/>
      </w:r>
      <w:r w:rsidRPr="00221745">
        <w:rPr>
          <w:rFonts w:ascii="Times New Roman" w:hAnsi="Times New Roman" w:eastAsia="Times New Roman" w:cs="Times New Roman"/>
          <w:sz w:val="26"/>
          <w:szCs w:val="26"/>
        </w:rPr>
        <w:t xml:space="preserve"> </w:t>
      </w:r>
    </w:p>
    <w:p w:rsidRPr="00221745" w:rsidR="00221745" w:rsidP="00221745" w:rsidRDefault="00221745" w14:paraId="2F931787" w14:textId="77777777">
      <w:pPr>
        <w:pStyle w:val="ListParagraph"/>
        <w:rPr>
          <w:rFonts w:ascii="Times New Roman" w:hAnsi="Times New Roman" w:eastAsia="Times New Roman" w:cs="Times New Roman"/>
          <w:sz w:val="26"/>
          <w:szCs w:val="26"/>
        </w:rPr>
      </w:pPr>
    </w:p>
    <w:p w:rsidR="00BE01A7" w:rsidP="007841CF" w:rsidRDefault="00221745" w14:paraId="06E5940C" w14:textId="6642769C">
      <w:pPr>
        <w:pStyle w:val="ListParagraph"/>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Times New Roman" w:hAnsi="Times New Roman" w:eastAsia="Times New Roman" w:cs="Times New Roman"/>
          <w:sz w:val="26"/>
          <w:szCs w:val="26"/>
        </w:rPr>
      </w:pPr>
      <w:r w:rsidRPr="00221745">
        <w:rPr>
          <w:rFonts w:ascii="Times New Roman" w:hAnsi="Times New Roman" w:eastAsia="Times New Roman" w:cs="Times New Roman"/>
          <w:sz w:val="26"/>
          <w:szCs w:val="26"/>
        </w:rPr>
        <w:t>Additionally, NERC proposes to strike the term “Planning Authority” from the applicability section of the standard and the explanatory text that follows. The preferred terminology for the responsible entity that coordinates and integrates</w:t>
      </w:r>
      <w:r>
        <w:rPr>
          <w:rFonts w:ascii="Times New Roman" w:hAnsi="Times New Roman" w:eastAsia="Times New Roman" w:cs="Times New Roman"/>
          <w:sz w:val="26"/>
          <w:szCs w:val="26"/>
        </w:rPr>
        <w:t xml:space="preserve"> </w:t>
      </w:r>
      <w:r w:rsidRPr="00221745">
        <w:rPr>
          <w:rFonts w:ascii="Times New Roman" w:hAnsi="Times New Roman" w:eastAsia="Times New Roman" w:cs="Times New Roman"/>
          <w:sz w:val="26"/>
          <w:szCs w:val="26"/>
        </w:rPr>
        <w:t xml:space="preserve">transmission </w:t>
      </w:r>
      <w:r>
        <w:rPr>
          <w:rFonts w:ascii="Times New Roman" w:hAnsi="Times New Roman" w:eastAsia="Times New Roman" w:cs="Times New Roman"/>
          <w:sz w:val="26"/>
          <w:szCs w:val="26"/>
        </w:rPr>
        <w:t>f</w:t>
      </w:r>
      <w:r w:rsidRPr="00221745">
        <w:rPr>
          <w:rFonts w:ascii="Times New Roman" w:hAnsi="Times New Roman" w:eastAsia="Times New Roman" w:cs="Times New Roman"/>
          <w:sz w:val="26"/>
          <w:szCs w:val="26"/>
        </w:rPr>
        <w:t xml:space="preserve">acilities and service plans, resource plans, and </w:t>
      </w:r>
      <w:r>
        <w:rPr>
          <w:rFonts w:ascii="Times New Roman" w:hAnsi="Times New Roman" w:eastAsia="Times New Roman" w:cs="Times New Roman"/>
          <w:sz w:val="26"/>
          <w:szCs w:val="26"/>
        </w:rPr>
        <w:t>p</w:t>
      </w:r>
      <w:r w:rsidRPr="00221745">
        <w:rPr>
          <w:rFonts w:ascii="Times New Roman" w:hAnsi="Times New Roman" w:eastAsia="Times New Roman" w:cs="Times New Roman"/>
          <w:sz w:val="26"/>
          <w:szCs w:val="26"/>
        </w:rPr>
        <w:t xml:space="preserve">rotection </w:t>
      </w:r>
      <w:r>
        <w:rPr>
          <w:rFonts w:ascii="Times New Roman" w:hAnsi="Times New Roman" w:eastAsia="Times New Roman" w:cs="Times New Roman"/>
          <w:sz w:val="26"/>
          <w:szCs w:val="26"/>
        </w:rPr>
        <w:t>s</w:t>
      </w:r>
      <w:r w:rsidRPr="00221745">
        <w:rPr>
          <w:rFonts w:ascii="Times New Roman" w:hAnsi="Times New Roman" w:eastAsia="Times New Roman" w:cs="Times New Roman"/>
          <w:sz w:val="26"/>
          <w:szCs w:val="26"/>
        </w:rPr>
        <w:t xml:space="preserve">ystems is </w:t>
      </w:r>
      <w:r>
        <w:rPr>
          <w:rFonts w:ascii="Times New Roman" w:hAnsi="Times New Roman" w:eastAsia="Times New Roman" w:cs="Times New Roman"/>
          <w:sz w:val="26"/>
          <w:szCs w:val="26"/>
        </w:rPr>
        <w:t>“</w:t>
      </w:r>
      <w:r w:rsidRPr="00221745">
        <w:rPr>
          <w:rFonts w:ascii="Times New Roman" w:hAnsi="Times New Roman" w:eastAsia="Times New Roman" w:cs="Times New Roman"/>
          <w:sz w:val="26"/>
          <w:szCs w:val="26"/>
        </w:rPr>
        <w:t>Planning</w:t>
      </w:r>
      <w:r>
        <w:rPr>
          <w:rFonts w:ascii="Times New Roman" w:hAnsi="Times New Roman" w:eastAsia="Times New Roman" w:cs="Times New Roman"/>
          <w:sz w:val="26"/>
          <w:szCs w:val="26"/>
        </w:rPr>
        <w:t xml:space="preserve"> Coordinator.”</w:t>
      </w:r>
      <w:r w:rsidR="00796DD7">
        <w:rPr>
          <w:rStyle w:val="FootnoteReference"/>
          <w:rFonts w:eastAsia="Times New Roman" w:cs="Times New Roman"/>
        </w:rPr>
        <w:footnoteReference w:id="17"/>
      </w:r>
      <w:r>
        <w:rPr>
          <w:rFonts w:ascii="Times New Roman" w:hAnsi="Times New Roman" w:eastAsia="Times New Roman" w:cs="Times New Roman"/>
          <w:sz w:val="26"/>
          <w:szCs w:val="26"/>
        </w:rPr>
        <w:t xml:space="preserve">  This is a terminology change and will not result in a change in burden.</w:t>
      </w:r>
    </w:p>
    <w:p w:rsidRPr="00D8643A" w:rsidR="00D8643A" w:rsidP="00D8643A" w:rsidRDefault="00D8643A" w14:paraId="09E21C8A"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6"/>
          <w:szCs w:val="26"/>
        </w:rPr>
      </w:pPr>
    </w:p>
    <w:p w:rsidRPr="00DE2382" w:rsidR="00BE01A7" w:rsidP="001C1688" w:rsidRDefault="00A0550E" w14:paraId="306D41F7" w14:textId="1661BA43">
      <w:pPr>
        <w:pStyle w:val="ListParagraph"/>
        <w:numPr>
          <w:ilvl w:val="0"/>
          <w:numId w:val="4"/>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Times New Roman" w:hAnsi="Times New Roman" w:eastAsia="Times New Roman" w:cs="Times New Roman"/>
          <w:sz w:val="26"/>
          <w:szCs w:val="26"/>
        </w:rPr>
      </w:pPr>
      <w:r>
        <w:rPr>
          <w:rFonts w:ascii="Times New Roman" w:hAnsi="Times New Roman" w:eastAsia="Times New Roman" w:cs="Times New Roman"/>
          <w:sz w:val="26"/>
          <w:szCs w:val="26"/>
        </w:rPr>
        <w:lastRenderedPageBreak/>
        <w:t>Modification of</w:t>
      </w:r>
      <w:r w:rsidRPr="00DE2382" w:rsidR="00DE2382">
        <w:rPr>
          <w:rFonts w:ascii="Times New Roman" w:hAnsi="Times New Roman" w:eastAsia="Times New Roman" w:cs="Times New Roman"/>
          <w:sz w:val="26"/>
          <w:szCs w:val="26"/>
        </w:rPr>
        <w:t xml:space="preserve"> the term “Planning Authority” to “Planning Coordinator” in </w:t>
      </w:r>
      <w:r w:rsidR="00F743E8">
        <w:rPr>
          <w:rFonts w:ascii="Times New Roman" w:hAnsi="Times New Roman" w:eastAsia="Times New Roman" w:cs="Times New Roman"/>
          <w:sz w:val="26"/>
          <w:szCs w:val="26"/>
        </w:rPr>
        <w:t xml:space="preserve">proposed </w:t>
      </w:r>
      <w:r w:rsidRPr="00DE2382" w:rsidR="00BE01A7">
        <w:rPr>
          <w:rFonts w:ascii="Times New Roman" w:hAnsi="Times New Roman" w:eastAsia="Times New Roman" w:cs="Times New Roman"/>
          <w:sz w:val="26"/>
          <w:szCs w:val="26"/>
        </w:rPr>
        <w:t>Reliability Standard MOD-033-2</w:t>
      </w:r>
      <w:r w:rsidRPr="00DE2382" w:rsidR="00DE2382">
        <w:rPr>
          <w:rFonts w:ascii="Times New Roman" w:hAnsi="Times New Roman" w:eastAsia="Times New Roman" w:cs="Times New Roman"/>
          <w:sz w:val="26"/>
          <w:szCs w:val="26"/>
        </w:rPr>
        <w:t>.</w:t>
      </w:r>
      <w:r w:rsidR="00D903E7">
        <w:rPr>
          <w:rStyle w:val="FootnoteReference"/>
          <w:rFonts w:eastAsia="Times New Roman" w:cs="Times New Roman"/>
        </w:rPr>
        <w:footnoteReference w:id="18"/>
      </w:r>
      <w:r w:rsidRPr="00DE2382" w:rsidR="00DE2382">
        <w:rPr>
          <w:rFonts w:ascii="Times New Roman" w:hAnsi="Times New Roman" w:eastAsia="Times New Roman" w:cs="Times New Roman"/>
          <w:sz w:val="26"/>
          <w:szCs w:val="26"/>
        </w:rPr>
        <w:t xml:space="preserve"> In the petition, NERC proposes to strike the term “Planning Authority” from the applicability section of the standard and the explanatory text that follows. </w:t>
      </w:r>
      <w:r w:rsidR="00DE2382">
        <w:rPr>
          <w:rFonts w:ascii="Times New Roman" w:hAnsi="Times New Roman" w:eastAsia="Times New Roman" w:cs="Times New Roman"/>
          <w:sz w:val="26"/>
          <w:szCs w:val="26"/>
        </w:rPr>
        <w:t>The</w:t>
      </w:r>
      <w:r w:rsidRPr="00DE2382" w:rsidR="00DE2382">
        <w:rPr>
          <w:rFonts w:ascii="Times New Roman" w:hAnsi="Times New Roman" w:eastAsia="Times New Roman" w:cs="Times New Roman"/>
          <w:sz w:val="26"/>
          <w:szCs w:val="26"/>
        </w:rPr>
        <w:t xml:space="preserve"> proposed change is intended to promote consistent use of “Planning</w:t>
      </w:r>
      <w:r w:rsidR="00DE2382">
        <w:rPr>
          <w:rFonts w:ascii="Times New Roman" w:hAnsi="Times New Roman" w:eastAsia="Times New Roman" w:cs="Times New Roman"/>
          <w:sz w:val="26"/>
          <w:szCs w:val="26"/>
        </w:rPr>
        <w:t xml:space="preserve"> </w:t>
      </w:r>
      <w:r w:rsidRPr="00DE2382" w:rsidR="00DE2382">
        <w:rPr>
          <w:rFonts w:ascii="Times New Roman" w:hAnsi="Times New Roman" w:eastAsia="Times New Roman" w:cs="Times New Roman"/>
          <w:sz w:val="26"/>
          <w:szCs w:val="26"/>
        </w:rPr>
        <w:t>Coordinator” throughout the Reliability Standards.</w:t>
      </w:r>
      <w:r w:rsidR="00E33319">
        <w:rPr>
          <w:rStyle w:val="FootnoteReference"/>
          <w:rFonts w:eastAsia="Times New Roman" w:cs="Times New Roman"/>
        </w:rPr>
        <w:footnoteReference w:id="19"/>
      </w:r>
      <w:r w:rsidR="001C1688">
        <w:rPr>
          <w:rFonts w:ascii="Times New Roman" w:hAnsi="Times New Roman" w:eastAsia="Times New Roman" w:cs="Times New Roman"/>
          <w:sz w:val="26"/>
          <w:szCs w:val="26"/>
        </w:rPr>
        <w:t xml:space="preserve"> This is a terminology change and will not result in a change in burden.</w:t>
      </w:r>
    </w:p>
    <w:p w:rsidRPr="00D8643A" w:rsidR="00BE01A7" w:rsidP="00D8643A" w:rsidRDefault="00BE01A7" w14:paraId="6A885DA5"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6"/>
          <w:szCs w:val="26"/>
        </w:rPr>
      </w:pPr>
    </w:p>
    <w:p w:rsidR="002B545A" w:rsidP="002B545A" w:rsidRDefault="002B545A" w14:paraId="2AAFFED6" w14:textId="6CA00734">
      <w:pPr>
        <w:pStyle w:val="ListParagraph"/>
        <w:numPr>
          <w:ilvl w:val="0"/>
          <w:numId w:val="4"/>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Times New Roman" w:hAnsi="Times New Roman" w:eastAsia="Times New Roman" w:cs="Times New Roman"/>
          <w:sz w:val="26"/>
          <w:szCs w:val="26"/>
        </w:rPr>
      </w:pPr>
      <w:r w:rsidRPr="003F6707">
        <w:rPr>
          <w:rFonts w:ascii="Times New Roman" w:hAnsi="Times New Roman" w:eastAsia="Times New Roman" w:cs="Times New Roman"/>
          <w:sz w:val="26"/>
          <w:szCs w:val="26"/>
        </w:rPr>
        <w:t>Elimination of the burden associated with the load-serving entity (LSE) function in Requirement R3 of</w:t>
      </w:r>
      <w:r w:rsidRPr="00EA05C0">
        <w:rPr>
          <w:rFonts w:ascii="Times New Roman" w:hAnsi="Times New Roman" w:eastAsia="Times New Roman" w:cs="Times New Roman"/>
          <w:sz w:val="26"/>
          <w:szCs w:val="26"/>
        </w:rPr>
        <w:t xml:space="preserve"> </w:t>
      </w:r>
      <w:r w:rsidR="00971F84">
        <w:rPr>
          <w:rFonts w:ascii="Times New Roman" w:hAnsi="Times New Roman" w:eastAsia="Times New Roman" w:cs="Times New Roman"/>
          <w:sz w:val="26"/>
          <w:szCs w:val="26"/>
        </w:rPr>
        <w:t xml:space="preserve">proposed </w:t>
      </w:r>
      <w:r w:rsidRPr="00EA05C0">
        <w:rPr>
          <w:rFonts w:ascii="Times New Roman" w:hAnsi="Times New Roman" w:eastAsia="Times New Roman" w:cs="Times New Roman"/>
          <w:sz w:val="26"/>
          <w:szCs w:val="26"/>
        </w:rPr>
        <w:t>Reliability Standard IRO-010-3</w:t>
      </w:r>
      <w:r>
        <w:rPr>
          <w:rFonts w:ascii="Times New Roman" w:hAnsi="Times New Roman" w:eastAsia="Times New Roman" w:cs="Times New Roman"/>
          <w:sz w:val="26"/>
          <w:szCs w:val="26"/>
        </w:rPr>
        <w:t>.</w:t>
      </w:r>
      <w:r>
        <w:rPr>
          <w:rStyle w:val="FootnoteReference"/>
          <w:rFonts w:eastAsia="Times New Roman" w:cs="Times New Roman"/>
        </w:rPr>
        <w:footnoteReference w:id="20"/>
      </w:r>
      <w:r>
        <w:rPr>
          <w:rFonts w:ascii="Times New Roman" w:hAnsi="Times New Roman" w:eastAsia="Times New Roman" w:cs="Times New Roman"/>
          <w:sz w:val="26"/>
          <w:szCs w:val="26"/>
        </w:rPr>
        <w:t xml:space="preserve"> </w:t>
      </w:r>
      <w:r w:rsidRPr="003F6707">
        <w:rPr>
          <w:rFonts w:ascii="Times New Roman" w:hAnsi="Times New Roman" w:eastAsia="Times New Roman" w:cs="Times New Roman"/>
          <w:sz w:val="26"/>
          <w:szCs w:val="26"/>
        </w:rPr>
        <w:t xml:space="preserve">The NERC petition states as the load-serving entity is no longer a NERC registration category, NERC proposes to remove this entity from the applicability section of proposed Reliability Standard </w:t>
      </w:r>
      <w:r w:rsidRPr="00EA05C0">
        <w:rPr>
          <w:rFonts w:ascii="Times New Roman" w:hAnsi="Times New Roman" w:eastAsia="Times New Roman" w:cs="Times New Roman"/>
          <w:sz w:val="26"/>
          <w:szCs w:val="26"/>
        </w:rPr>
        <w:t>IRO-010-3</w:t>
      </w:r>
      <w:r w:rsidRPr="003F6707">
        <w:rPr>
          <w:rFonts w:ascii="Times New Roman" w:hAnsi="Times New Roman" w:eastAsia="Times New Roman" w:cs="Times New Roman"/>
          <w:sz w:val="26"/>
          <w:szCs w:val="26"/>
        </w:rPr>
        <w:t xml:space="preserve"> and remove reference to this entity in Requirement R3.</w:t>
      </w:r>
      <w:r>
        <w:rPr>
          <w:rStyle w:val="FootnoteReference"/>
          <w:rFonts w:eastAsia="Times New Roman" w:cs="Times New Roman"/>
        </w:rPr>
        <w:footnoteReference w:id="21"/>
      </w:r>
    </w:p>
    <w:p w:rsidRPr="00720666" w:rsidR="00720666" w:rsidP="00720666" w:rsidRDefault="00720666" w14:paraId="12391004"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6"/>
          <w:szCs w:val="26"/>
        </w:rPr>
      </w:pPr>
    </w:p>
    <w:p w:rsidR="00AD1160" w:rsidP="00F623DF" w:rsidRDefault="00AD1160" w14:paraId="5D4D7481" w14:textId="028710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Times New Roman" w:cs="Times New Roman"/>
          <w:sz w:val="26"/>
          <w:szCs w:val="26"/>
        </w:rPr>
      </w:pPr>
      <w:r w:rsidRPr="008F5FE7">
        <w:rPr>
          <w:rFonts w:ascii="Times New Roman" w:hAnsi="Times New Roman" w:eastAsia="Times New Roman" w:cs="Times New Roman"/>
          <w:i/>
          <w:sz w:val="26"/>
          <w:szCs w:val="26"/>
        </w:rPr>
        <w:t>Type of Respondents</w:t>
      </w:r>
      <w:r w:rsidRPr="00272560">
        <w:rPr>
          <w:rFonts w:ascii="Times New Roman" w:hAnsi="Times New Roman" w:eastAsia="Times New Roman" w:cs="Times New Roman"/>
          <w:i/>
          <w:sz w:val="26"/>
          <w:szCs w:val="26"/>
        </w:rPr>
        <w:t>:</w:t>
      </w:r>
      <w:r w:rsidRPr="000027F9">
        <w:rPr>
          <w:rFonts w:ascii="Times New Roman" w:hAnsi="Times New Roman" w:eastAsia="Times New Roman" w:cs="Times New Roman"/>
          <w:i/>
          <w:sz w:val="26"/>
          <w:szCs w:val="26"/>
        </w:rPr>
        <w:t xml:space="preserve"> </w:t>
      </w:r>
      <w:r w:rsidR="00E20367">
        <w:rPr>
          <w:rFonts w:ascii="Times New Roman" w:hAnsi="Times New Roman" w:eastAsia="Times New Roman" w:cs="Times New Roman"/>
          <w:iCs/>
          <w:sz w:val="26"/>
          <w:szCs w:val="26"/>
        </w:rPr>
        <w:t>Reliability coordinator</w:t>
      </w:r>
      <w:r w:rsidR="008F5FE7">
        <w:rPr>
          <w:rFonts w:ascii="Times New Roman" w:hAnsi="Times New Roman" w:eastAsia="Times New Roman" w:cs="Times New Roman"/>
          <w:iCs/>
          <w:sz w:val="26"/>
          <w:szCs w:val="26"/>
        </w:rPr>
        <w:t xml:space="preserve"> (RC)</w:t>
      </w:r>
      <w:r w:rsidR="00E20367">
        <w:rPr>
          <w:rFonts w:ascii="Times New Roman" w:hAnsi="Times New Roman" w:eastAsia="Times New Roman" w:cs="Times New Roman"/>
          <w:iCs/>
          <w:sz w:val="26"/>
          <w:szCs w:val="26"/>
        </w:rPr>
        <w:t>, balancing authorit</w:t>
      </w:r>
      <w:r w:rsidR="008F5FE7">
        <w:rPr>
          <w:rFonts w:ascii="Times New Roman" w:hAnsi="Times New Roman" w:eastAsia="Times New Roman" w:cs="Times New Roman"/>
          <w:iCs/>
          <w:sz w:val="26"/>
          <w:szCs w:val="26"/>
        </w:rPr>
        <w:t>y (BA)</w:t>
      </w:r>
      <w:r w:rsidR="00E20367">
        <w:rPr>
          <w:rFonts w:ascii="Times New Roman" w:hAnsi="Times New Roman" w:eastAsia="Times New Roman" w:cs="Times New Roman"/>
          <w:iCs/>
          <w:sz w:val="26"/>
          <w:szCs w:val="26"/>
        </w:rPr>
        <w:t>, t</w:t>
      </w:r>
      <w:r w:rsidRPr="000027F9">
        <w:rPr>
          <w:rFonts w:ascii="Times New Roman" w:hAnsi="Times New Roman" w:eastAsia="Times New Roman" w:cs="Times New Roman"/>
          <w:sz w:val="26"/>
          <w:szCs w:val="26"/>
        </w:rPr>
        <w:t>ransmission owner</w:t>
      </w:r>
      <w:r w:rsidR="008F5FE7">
        <w:rPr>
          <w:rFonts w:ascii="Times New Roman" w:hAnsi="Times New Roman" w:eastAsia="Times New Roman" w:cs="Times New Roman"/>
          <w:sz w:val="26"/>
          <w:szCs w:val="26"/>
        </w:rPr>
        <w:t xml:space="preserve"> (TO)</w:t>
      </w:r>
      <w:r w:rsidRPr="000027F9">
        <w:rPr>
          <w:rFonts w:ascii="Times New Roman" w:hAnsi="Times New Roman" w:eastAsia="Times New Roman" w:cs="Times New Roman"/>
          <w:sz w:val="26"/>
          <w:szCs w:val="26"/>
        </w:rPr>
        <w:t>, transmission operator</w:t>
      </w:r>
      <w:r w:rsidR="008F5FE7">
        <w:rPr>
          <w:rFonts w:ascii="Times New Roman" w:hAnsi="Times New Roman" w:eastAsia="Times New Roman" w:cs="Times New Roman"/>
          <w:sz w:val="26"/>
          <w:szCs w:val="26"/>
        </w:rPr>
        <w:t xml:space="preserve"> (TOP)</w:t>
      </w:r>
      <w:r w:rsidRPr="000027F9">
        <w:rPr>
          <w:rFonts w:ascii="Times New Roman" w:hAnsi="Times New Roman" w:eastAsia="Times New Roman" w:cs="Times New Roman"/>
          <w:sz w:val="26"/>
          <w:szCs w:val="26"/>
        </w:rPr>
        <w:t xml:space="preserve">, </w:t>
      </w:r>
      <w:r w:rsidR="00E20367">
        <w:rPr>
          <w:rFonts w:ascii="Times New Roman" w:hAnsi="Times New Roman" w:eastAsia="Times New Roman" w:cs="Times New Roman"/>
          <w:sz w:val="26"/>
          <w:szCs w:val="26"/>
        </w:rPr>
        <w:t>generator owner</w:t>
      </w:r>
      <w:r w:rsidR="008F5FE7">
        <w:rPr>
          <w:rFonts w:ascii="Times New Roman" w:hAnsi="Times New Roman" w:eastAsia="Times New Roman" w:cs="Times New Roman"/>
          <w:sz w:val="26"/>
          <w:szCs w:val="26"/>
        </w:rPr>
        <w:t xml:space="preserve"> (GO)</w:t>
      </w:r>
      <w:r w:rsidR="00E20367">
        <w:rPr>
          <w:rFonts w:ascii="Times New Roman" w:hAnsi="Times New Roman" w:eastAsia="Times New Roman" w:cs="Times New Roman"/>
          <w:sz w:val="26"/>
          <w:szCs w:val="26"/>
        </w:rPr>
        <w:t>,</w:t>
      </w:r>
      <w:r w:rsidRPr="000027F9" w:rsidR="00E20367">
        <w:rPr>
          <w:rFonts w:ascii="Times New Roman" w:hAnsi="Times New Roman" w:eastAsia="Times New Roman" w:cs="Times New Roman"/>
          <w:sz w:val="26"/>
          <w:szCs w:val="26"/>
        </w:rPr>
        <w:t xml:space="preserve"> </w:t>
      </w:r>
      <w:r w:rsidRPr="000027F9">
        <w:rPr>
          <w:rFonts w:ascii="Times New Roman" w:hAnsi="Times New Roman" w:eastAsia="Times New Roman" w:cs="Times New Roman"/>
          <w:sz w:val="26"/>
          <w:szCs w:val="26"/>
        </w:rPr>
        <w:t>generator operator</w:t>
      </w:r>
      <w:r w:rsidR="008F5FE7">
        <w:rPr>
          <w:rFonts w:ascii="Times New Roman" w:hAnsi="Times New Roman" w:eastAsia="Times New Roman" w:cs="Times New Roman"/>
          <w:sz w:val="26"/>
          <w:szCs w:val="26"/>
        </w:rPr>
        <w:t xml:space="preserve"> (GOP)</w:t>
      </w:r>
      <w:r w:rsidR="00E35BD4">
        <w:rPr>
          <w:rFonts w:ascii="Times New Roman" w:hAnsi="Times New Roman" w:eastAsia="Times New Roman" w:cs="Times New Roman"/>
          <w:sz w:val="26"/>
          <w:szCs w:val="26"/>
        </w:rPr>
        <w:t xml:space="preserve">, </w:t>
      </w:r>
      <w:r w:rsidR="00E20367">
        <w:rPr>
          <w:rFonts w:ascii="Times New Roman" w:hAnsi="Times New Roman" w:eastAsia="Times New Roman" w:cs="Times New Roman"/>
          <w:sz w:val="26"/>
          <w:szCs w:val="26"/>
        </w:rPr>
        <w:t>distribution provider</w:t>
      </w:r>
      <w:r w:rsidR="008F5FE7">
        <w:rPr>
          <w:rFonts w:ascii="Times New Roman" w:hAnsi="Times New Roman" w:eastAsia="Times New Roman" w:cs="Times New Roman"/>
          <w:sz w:val="26"/>
          <w:szCs w:val="26"/>
        </w:rPr>
        <w:t xml:space="preserve"> (DP)</w:t>
      </w:r>
      <w:r w:rsidR="00E20367">
        <w:rPr>
          <w:rFonts w:ascii="Times New Roman" w:hAnsi="Times New Roman" w:eastAsia="Times New Roman" w:cs="Times New Roman"/>
          <w:sz w:val="26"/>
          <w:szCs w:val="26"/>
        </w:rPr>
        <w:t>, UFLS-only distribution provider</w:t>
      </w:r>
      <w:r w:rsidR="008F5FE7">
        <w:rPr>
          <w:rFonts w:ascii="Times New Roman" w:hAnsi="Times New Roman" w:eastAsia="Times New Roman" w:cs="Times New Roman"/>
          <w:sz w:val="26"/>
          <w:szCs w:val="26"/>
        </w:rPr>
        <w:t xml:space="preserve"> (UFLS-only DP)</w:t>
      </w:r>
      <w:r w:rsidR="00E20367">
        <w:rPr>
          <w:rFonts w:ascii="Times New Roman" w:hAnsi="Times New Roman" w:eastAsia="Times New Roman" w:cs="Times New Roman"/>
          <w:sz w:val="26"/>
          <w:szCs w:val="26"/>
        </w:rPr>
        <w:t>, planning coordinator</w:t>
      </w:r>
      <w:r w:rsidR="008F5FE7">
        <w:rPr>
          <w:rFonts w:ascii="Times New Roman" w:hAnsi="Times New Roman" w:eastAsia="Times New Roman" w:cs="Times New Roman"/>
          <w:sz w:val="26"/>
          <w:szCs w:val="26"/>
        </w:rPr>
        <w:t xml:space="preserve"> (PC)</w:t>
      </w:r>
      <w:r w:rsidR="00E20367">
        <w:rPr>
          <w:rFonts w:ascii="Times New Roman" w:hAnsi="Times New Roman" w:eastAsia="Times New Roman" w:cs="Times New Roman"/>
          <w:sz w:val="26"/>
          <w:szCs w:val="26"/>
        </w:rPr>
        <w:t>,</w:t>
      </w:r>
      <w:r w:rsidR="008F5FE7">
        <w:rPr>
          <w:rFonts w:ascii="Times New Roman" w:hAnsi="Times New Roman" w:eastAsia="Times New Roman" w:cs="Times New Roman"/>
          <w:sz w:val="26"/>
          <w:szCs w:val="26"/>
        </w:rPr>
        <w:t xml:space="preserve"> and</w:t>
      </w:r>
      <w:r w:rsidR="00E20367">
        <w:rPr>
          <w:rFonts w:ascii="Times New Roman" w:hAnsi="Times New Roman" w:eastAsia="Times New Roman" w:cs="Times New Roman"/>
          <w:sz w:val="26"/>
          <w:szCs w:val="26"/>
        </w:rPr>
        <w:t xml:space="preserve"> transmission planner</w:t>
      </w:r>
      <w:r w:rsidR="008F5FE7">
        <w:rPr>
          <w:rFonts w:ascii="Times New Roman" w:hAnsi="Times New Roman" w:eastAsia="Times New Roman" w:cs="Times New Roman"/>
          <w:sz w:val="26"/>
          <w:szCs w:val="26"/>
        </w:rPr>
        <w:t xml:space="preserve"> (TP)</w:t>
      </w:r>
      <w:r w:rsidRPr="000027F9">
        <w:rPr>
          <w:rFonts w:ascii="Times New Roman" w:hAnsi="Times New Roman" w:eastAsia="Times New Roman" w:cs="Times New Roman"/>
          <w:sz w:val="26"/>
          <w:szCs w:val="26"/>
        </w:rPr>
        <w:t>.</w:t>
      </w:r>
      <w:r w:rsidR="009D59EE">
        <w:rPr>
          <w:rFonts w:ascii="Times New Roman" w:hAnsi="Times New Roman" w:eastAsia="Times New Roman" w:cs="Times New Roman"/>
          <w:sz w:val="26"/>
          <w:szCs w:val="26"/>
        </w:rPr>
        <w:t xml:space="preserve"> </w:t>
      </w:r>
    </w:p>
    <w:p w:rsidR="0019790B" w:rsidP="00894E41" w:rsidRDefault="00894E41" w14:paraId="1C019D80" w14:textId="738AF00E">
      <w:pPr>
        <w:spacing w:after="0" w:line="480" w:lineRule="auto"/>
        <w:rPr>
          <w:rFonts w:ascii="Times New Roman" w:hAnsi="Times New Roman" w:eastAsia="Times New Roman" w:cs="Times New Roman"/>
          <w:iCs/>
          <w:sz w:val="26"/>
          <w:szCs w:val="24"/>
        </w:rPr>
      </w:pPr>
      <w:r w:rsidRPr="00894E41">
        <w:rPr>
          <w:rFonts w:ascii="Times New Roman" w:hAnsi="Times New Roman" w:eastAsia="Times New Roman" w:cs="Times New Roman"/>
          <w:i/>
          <w:sz w:val="26"/>
          <w:szCs w:val="24"/>
        </w:rPr>
        <w:t>Estimate of Annual Burden</w:t>
      </w:r>
      <w:r w:rsidRPr="00E50AC2">
        <w:rPr>
          <w:rFonts w:ascii="Times New Roman" w:hAnsi="Times New Roman" w:eastAsia="Times New Roman" w:cs="Times New Roman"/>
          <w:b/>
          <w:sz w:val="26"/>
          <w:szCs w:val="26"/>
          <w:vertAlign w:val="superscript"/>
        </w:rPr>
        <w:footnoteReference w:id="22"/>
      </w:r>
      <w:r w:rsidRPr="00894E41">
        <w:rPr>
          <w:rFonts w:ascii="Times New Roman" w:hAnsi="Times New Roman" w:eastAsia="Times New Roman" w:cs="Times New Roman"/>
          <w:i/>
          <w:sz w:val="26"/>
          <w:szCs w:val="24"/>
        </w:rPr>
        <w:t xml:space="preserve">: </w:t>
      </w:r>
      <w:r w:rsidR="00890905">
        <w:rPr>
          <w:rFonts w:ascii="Times New Roman" w:hAnsi="Times New Roman" w:eastAsia="Times New Roman" w:cs="Times New Roman"/>
          <w:iCs/>
          <w:sz w:val="26"/>
          <w:szCs w:val="24"/>
        </w:rPr>
        <w:t>The Commission based its estimates on the NERC compliance registry as of April 10, 2020.  According to the registry</w:t>
      </w:r>
      <w:r w:rsidR="00353BE4">
        <w:rPr>
          <w:rFonts w:ascii="Times New Roman" w:hAnsi="Times New Roman" w:eastAsia="Times New Roman" w:cs="Times New Roman"/>
          <w:iCs/>
          <w:sz w:val="26"/>
          <w:szCs w:val="24"/>
        </w:rPr>
        <w:t>,</w:t>
      </w:r>
      <w:r w:rsidR="00890905">
        <w:rPr>
          <w:rFonts w:ascii="Times New Roman" w:hAnsi="Times New Roman" w:eastAsia="Times New Roman" w:cs="Times New Roman"/>
          <w:iCs/>
          <w:sz w:val="26"/>
          <w:szCs w:val="24"/>
        </w:rPr>
        <w:t xml:space="preserve"> there are 12 </w:t>
      </w:r>
      <w:r w:rsidR="00890905">
        <w:rPr>
          <w:rFonts w:ascii="Times New Roman" w:hAnsi="Times New Roman" w:eastAsia="Times New Roman" w:cs="Times New Roman"/>
          <w:iCs/>
          <w:sz w:val="26"/>
          <w:szCs w:val="24"/>
        </w:rPr>
        <w:lastRenderedPageBreak/>
        <w:t>reliability coordinators, 98 balancing authorities, 314 distribution providers, 63 UFLS-only distribution providers, 973 generator owners, 916 generator operators, 321 transmission owners, 169 transmission operators, 64 planning coordinators, and 196 transmission planners</w:t>
      </w:r>
      <w:r w:rsidR="0019790B">
        <w:rPr>
          <w:rFonts w:ascii="Times New Roman" w:hAnsi="Times New Roman" w:eastAsia="Times New Roman" w:cs="Times New Roman"/>
          <w:iCs/>
          <w:sz w:val="26"/>
          <w:szCs w:val="24"/>
        </w:rPr>
        <w:t xml:space="preserve"> in the United States</w:t>
      </w:r>
      <w:r w:rsidR="00890905">
        <w:rPr>
          <w:rFonts w:ascii="Times New Roman" w:hAnsi="Times New Roman" w:eastAsia="Times New Roman" w:cs="Times New Roman"/>
          <w:iCs/>
          <w:sz w:val="26"/>
          <w:szCs w:val="24"/>
        </w:rPr>
        <w:t>.</w:t>
      </w:r>
      <w:r w:rsidR="00104DAB">
        <w:rPr>
          <w:rFonts w:ascii="Times New Roman" w:hAnsi="Times New Roman" w:eastAsia="Times New Roman" w:cs="Times New Roman"/>
          <w:iCs/>
          <w:sz w:val="26"/>
          <w:szCs w:val="24"/>
        </w:rPr>
        <w:t xml:space="preserve">  </w:t>
      </w:r>
      <w:r w:rsidR="00E4556D">
        <w:rPr>
          <w:rFonts w:ascii="Times New Roman" w:hAnsi="Times New Roman" w:eastAsia="Times New Roman" w:cs="Times New Roman"/>
          <w:iCs/>
          <w:sz w:val="26"/>
          <w:szCs w:val="24"/>
        </w:rPr>
        <w:t>NERC registered entities can be registered as multiple functions</w:t>
      </w:r>
      <w:r w:rsidR="00353BE4">
        <w:rPr>
          <w:rFonts w:ascii="Times New Roman" w:hAnsi="Times New Roman" w:eastAsia="Times New Roman" w:cs="Times New Roman"/>
          <w:iCs/>
          <w:sz w:val="26"/>
          <w:szCs w:val="24"/>
        </w:rPr>
        <w:t>,</w:t>
      </w:r>
      <w:r w:rsidR="00E4556D">
        <w:rPr>
          <w:rFonts w:ascii="Times New Roman" w:hAnsi="Times New Roman" w:eastAsia="Times New Roman" w:cs="Times New Roman"/>
          <w:iCs/>
          <w:sz w:val="26"/>
          <w:szCs w:val="24"/>
        </w:rPr>
        <w:t xml:space="preserve"> and the burden estimates reflect the overlapping of functions per entity</w:t>
      </w:r>
      <w:r w:rsidR="00752E79">
        <w:rPr>
          <w:rFonts w:ascii="Times New Roman" w:hAnsi="Times New Roman" w:eastAsia="Times New Roman" w:cs="Times New Roman"/>
          <w:iCs/>
          <w:sz w:val="26"/>
          <w:szCs w:val="24"/>
        </w:rPr>
        <w:t xml:space="preserve"> respondent</w:t>
      </w:r>
      <w:r w:rsidR="00E4556D">
        <w:rPr>
          <w:rFonts w:ascii="Times New Roman" w:hAnsi="Times New Roman" w:eastAsia="Times New Roman" w:cs="Times New Roman"/>
          <w:iCs/>
          <w:sz w:val="26"/>
          <w:szCs w:val="24"/>
        </w:rPr>
        <w:t>.</w:t>
      </w:r>
    </w:p>
    <w:p w:rsidRPr="00E140C2" w:rsidR="00A7443A" w:rsidP="00E140C2" w:rsidRDefault="00A7443A" w14:paraId="7C2D0AD4" w14:textId="39032FE0">
      <w:pPr>
        <w:spacing w:after="0" w:line="480" w:lineRule="auto"/>
        <w:rPr>
          <w:rFonts w:ascii="Times New Roman" w:hAnsi="Times New Roman" w:eastAsia="Times New Roman" w:cs="Times New Roman"/>
          <w:i/>
          <w:sz w:val="26"/>
          <w:szCs w:val="24"/>
        </w:rPr>
      </w:pPr>
      <w:r w:rsidRPr="00E140C2">
        <w:rPr>
          <w:rFonts w:ascii="Times New Roman" w:hAnsi="Times New Roman" w:eastAsia="Times New Roman" w:cs="Times New Roman"/>
          <w:i/>
          <w:sz w:val="26"/>
          <w:szCs w:val="24"/>
        </w:rPr>
        <w:t>Changes Due to Docket No. RD20-4</w:t>
      </w:r>
    </w:p>
    <w:p w:rsidR="00EB7065" w:rsidP="0019790B" w:rsidRDefault="00221A9C" w14:paraId="7F7B6AE7" w14:textId="6A019C79">
      <w:pPr>
        <w:spacing w:after="0" w:line="480" w:lineRule="auto"/>
        <w:ind w:firstLine="720"/>
        <w:rPr>
          <w:rFonts w:ascii="Times New Roman" w:hAnsi="Times New Roman" w:eastAsia="Times New Roman" w:cs="Times New Roman"/>
          <w:sz w:val="26"/>
          <w:szCs w:val="24"/>
        </w:rPr>
      </w:pPr>
      <w:r>
        <w:rPr>
          <w:rFonts w:ascii="Times New Roman" w:hAnsi="Times New Roman" w:eastAsia="Times New Roman" w:cs="Times New Roman"/>
          <w:iCs/>
          <w:sz w:val="26"/>
          <w:szCs w:val="24"/>
        </w:rPr>
        <w:t xml:space="preserve">The </w:t>
      </w:r>
      <w:r>
        <w:rPr>
          <w:rFonts w:ascii="Times New Roman" w:hAnsi="Times New Roman" w:eastAsia="Times New Roman" w:cs="Times New Roman"/>
          <w:sz w:val="26"/>
          <w:szCs w:val="24"/>
        </w:rPr>
        <w:t xml:space="preserve">changes proposed in Docket No. RD20-4-000 include the removal of load-serving entity from the applicability of </w:t>
      </w:r>
      <w:r w:rsidR="00720666">
        <w:rPr>
          <w:rFonts w:ascii="Times New Roman" w:hAnsi="Times New Roman" w:eastAsia="Times New Roman" w:cs="Times New Roman"/>
          <w:sz w:val="26"/>
          <w:szCs w:val="24"/>
        </w:rPr>
        <w:t>five</w:t>
      </w:r>
      <w:r>
        <w:rPr>
          <w:rFonts w:ascii="Times New Roman" w:hAnsi="Times New Roman" w:eastAsia="Times New Roman" w:cs="Times New Roman"/>
          <w:sz w:val="26"/>
          <w:szCs w:val="24"/>
        </w:rPr>
        <w:t xml:space="preserve"> Reliability Standards</w:t>
      </w:r>
      <w:r w:rsidR="00720666">
        <w:rPr>
          <w:rFonts w:ascii="Times New Roman" w:hAnsi="Times New Roman" w:eastAsia="Times New Roman" w:cs="Times New Roman"/>
          <w:sz w:val="26"/>
          <w:szCs w:val="24"/>
        </w:rPr>
        <w:t xml:space="preserve">; addition of UFLS-only distribution provider in one Reliability Standard; and a terminology change of “planning authority” to “planning coordinator” in the applicability of </w:t>
      </w:r>
      <w:r w:rsidR="00970E4F">
        <w:rPr>
          <w:rFonts w:ascii="Times New Roman" w:hAnsi="Times New Roman" w:eastAsia="Times New Roman" w:cs="Times New Roman"/>
          <w:sz w:val="26"/>
          <w:szCs w:val="24"/>
        </w:rPr>
        <w:t>two</w:t>
      </w:r>
      <w:r w:rsidR="00720666">
        <w:rPr>
          <w:rFonts w:ascii="Times New Roman" w:hAnsi="Times New Roman" w:eastAsia="Times New Roman" w:cs="Times New Roman"/>
          <w:sz w:val="26"/>
          <w:szCs w:val="24"/>
        </w:rPr>
        <w:t xml:space="preserve"> Reliability Standard</w:t>
      </w:r>
      <w:r w:rsidR="00970E4F">
        <w:rPr>
          <w:rFonts w:ascii="Times New Roman" w:hAnsi="Times New Roman" w:eastAsia="Times New Roman" w:cs="Times New Roman"/>
          <w:sz w:val="26"/>
          <w:szCs w:val="24"/>
        </w:rPr>
        <w:t>s</w:t>
      </w:r>
      <w:r>
        <w:rPr>
          <w:rFonts w:ascii="Times New Roman" w:hAnsi="Times New Roman" w:eastAsia="Times New Roman" w:cs="Times New Roman"/>
          <w:sz w:val="26"/>
          <w:szCs w:val="24"/>
        </w:rPr>
        <w:t>.  The load-serving entity function was removed from the NERC compliance registry in October 2015 as a result of the risk-based registration order.</w:t>
      </w:r>
      <w:r>
        <w:rPr>
          <w:rStyle w:val="FootnoteReference"/>
          <w:rFonts w:eastAsia="Times New Roman" w:cs="Times New Roman"/>
        </w:rPr>
        <w:footnoteReference w:id="23"/>
      </w:r>
      <w:r w:rsidR="00151C60">
        <w:rPr>
          <w:rFonts w:ascii="Times New Roman" w:hAnsi="Times New Roman" w:eastAsia="Times New Roman" w:cs="Times New Roman"/>
          <w:sz w:val="26"/>
          <w:szCs w:val="24"/>
        </w:rPr>
        <w:t xml:space="preserve">  Prior to the removal of the load-serving entity function, the NERC compliance registry in early 2015 included 446 </w:t>
      </w:r>
      <w:r w:rsidR="00E140C2">
        <w:rPr>
          <w:rFonts w:ascii="Times New Roman" w:hAnsi="Times New Roman" w:eastAsia="Times New Roman" w:cs="Times New Roman"/>
          <w:sz w:val="26"/>
          <w:szCs w:val="24"/>
        </w:rPr>
        <w:t xml:space="preserve">registered </w:t>
      </w:r>
      <w:r w:rsidR="00151C60">
        <w:rPr>
          <w:rFonts w:ascii="Times New Roman" w:hAnsi="Times New Roman" w:eastAsia="Times New Roman" w:cs="Times New Roman"/>
          <w:sz w:val="26"/>
          <w:szCs w:val="24"/>
        </w:rPr>
        <w:t>load-serving entities, however, many of these entities were also registered as other functions</w:t>
      </w:r>
      <w:r w:rsidR="00EF2389">
        <w:rPr>
          <w:rFonts w:ascii="Times New Roman" w:hAnsi="Times New Roman" w:eastAsia="Times New Roman" w:cs="Times New Roman"/>
          <w:sz w:val="26"/>
          <w:szCs w:val="24"/>
        </w:rPr>
        <w:t xml:space="preserve"> and remained on the registry</w:t>
      </w:r>
      <w:r w:rsidR="00151C60">
        <w:rPr>
          <w:rFonts w:ascii="Times New Roman" w:hAnsi="Times New Roman" w:eastAsia="Times New Roman" w:cs="Times New Roman"/>
          <w:sz w:val="26"/>
          <w:szCs w:val="24"/>
        </w:rPr>
        <w:t xml:space="preserve">. </w:t>
      </w:r>
      <w:r w:rsidR="00353BE4">
        <w:rPr>
          <w:rFonts w:ascii="Times New Roman" w:hAnsi="Times New Roman" w:eastAsia="Times New Roman" w:cs="Times New Roman"/>
          <w:sz w:val="26"/>
          <w:szCs w:val="24"/>
        </w:rPr>
        <w:t xml:space="preserve"> </w:t>
      </w:r>
      <w:r w:rsidR="00633F9D">
        <w:rPr>
          <w:rFonts w:ascii="Times New Roman" w:hAnsi="Times New Roman" w:eastAsia="Times New Roman" w:cs="Times New Roman"/>
          <w:sz w:val="26"/>
          <w:szCs w:val="24"/>
        </w:rPr>
        <w:t xml:space="preserve">NERC deregistered 63 load-serving entities </w:t>
      </w:r>
      <w:r w:rsidR="00633F9D">
        <w:rPr>
          <w:rFonts w:ascii="Times New Roman" w:hAnsi="Times New Roman" w:eastAsia="Times New Roman" w:cs="Times New Roman"/>
          <w:sz w:val="26"/>
          <w:szCs w:val="24"/>
        </w:rPr>
        <w:lastRenderedPageBreak/>
        <w:t>from the compliance registry on October 15, 2015, coinciding with</w:t>
      </w:r>
      <w:r w:rsidR="00151C60">
        <w:rPr>
          <w:rFonts w:ascii="Times New Roman" w:hAnsi="Times New Roman" w:eastAsia="Times New Roman" w:cs="Times New Roman"/>
          <w:sz w:val="26"/>
          <w:szCs w:val="24"/>
        </w:rPr>
        <w:t xml:space="preserve"> the </w:t>
      </w:r>
      <w:r w:rsidR="00633F9D">
        <w:rPr>
          <w:rFonts w:ascii="Times New Roman" w:hAnsi="Times New Roman" w:eastAsia="Times New Roman" w:cs="Times New Roman"/>
          <w:sz w:val="26"/>
          <w:szCs w:val="24"/>
        </w:rPr>
        <w:t xml:space="preserve">Commission </w:t>
      </w:r>
      <w:r w:rsidR="00151C60">
        <w:rPr>
          <w:rFonts w:ascii="Times New Roman" w:hAnsi="Times New Roman" w:eastAsia="Times New Roman" w:cs="Times New Roman"/>
          <w:sz w:val="26"/>
          <w:szCs w:val="24"/>
        </w:rPr>
        <w:t xml:space="preserve">approval of </w:t>
      </w:r>
      <w:r w:rsidR="00633F9D">
        <w:rPr>
          <w:rFonts w:ascii="Times New Roman" w:hAnsi="Times New Roman" w:eastAsia="Times New Roman" w:cs="Times New Roman"/>
          <w:sz w:val="26"/>
          <w:szCs w:val="24"/>
        </w:rPr>
        <w:t>NERC’s risk-based registration initiative.</w:t>
      </w:r>
      <w:r w:rsidR="00633F9D">
        <w:rPr>
          <w:rStyle w:val="FootnoteReference"/>
          <w:rFonts w:eastAsia="Times New Roman" w:cs="Times New Roman"/>
        </w:rPr>
        <w:footnoteReference w:id="24"/>
      </w:r>
    </w:p>
    <w:p w:rsidR="00CD69D9" w:rsidP="00B27CEF" w:rsidRDefault="00772718" w14:paraId="6DFDFE7C" w14:textId="2C352F10">
      <w:pPr>
        <w:spacing w:after="0" w:line="480" w:lineRule="auto"/>
        <w:ind w:firstLine="720"/>
        <w:rPr>
          <w:rFonts w:ascii="Times New Roman" w:hAnsi="Times New Roman" w:eastAsia="Times New Roman" w:cs="Times New Roman"/>
          <w:sz w:val="26"/>
          <w:szCs w:val="24"/>
        </w:rPr>
      </w:pPr>
      <w:r>
        <w:rPr>
          <w:rFonts w:ascii="Times New Roman" w:hAnsi="Times New Roman" w:eastAsia="Times New Roman" w:cs="Times New Roman"/>
          <w:sz w:val="26"/>
          <w:szCs w:val="24"/>
        </w:rPr>
        <w:t xml:space="preserve">The proposed </w:t>
      </w:r>
      <w:r w:rsidR="002C3632">
        <w:rPr>
          <w:rFonts w:ascii="Times New Roman" w:hAnsi="Times New Roman" w:eastAsia="Times New Roman" w:cs="Times New Roman"/>
          <w:sz w:val="26"/>
          <w:szCs w:val="24"/>
        </w:rPr>
        <w:t>Reliability Standard NUC-001-4</w:t>
      </w:r>
      <w:r w:rsidR="00D51B5D">
        <w:rPr>
          <w:rFonts w:ascii="Times New Roman" w:hAnsi="Times New Roman" w:eastAsia="Times New Roman" w:cs="Times New Roman"/>
          <w:sz w:val="26"/>
          <w:szCs w:val="24"/>
        </w:rPr>
        <w:t xml:space="preserve"> modification</w:t>
      </w:r>
      <w:r>
        <w:rPr>
          <w:rFonts w:ascii="Times New Roman" w:hAnsi="Times New Roman" w:eastAsia="Times New Roman" w:cs="Times New Roman"/>
          <w:sz w:val="26"/>
          <w:szCs w:val="24"/>
        </w:rPr>
        <w:t xml:space="preserve"> of</w:t>
      </w:r>
      <w:r w:rsidR="002C3632">
        <w:rPr>
          <w:rFonts w:ascii="Times New Roman" w:hAnsi="Times New Roman" w:eastAsia="Times New Roman" w:cs="Times New Roman"/>
          <w:sz w:val="26"/>
          <w:szCs w:val="24"/>
        </w:rPr>
        <w:t xml:space="preserve"> removing the load-serving entity from its applicability is</w:t>
      </w:r>
      <w:r w:rsidR="00D51B5D">
        <w:rPr>
          <w:rFonts w:ascii="Times New Roman" w:hAnsi="Times New Roman" w:eastAsia="Times New Roman" w:cs="Times New Roman"/>
          <w:sz w:val="26"/>
          <w:szCs w:val="24"/>
        </w:rPr>
        <w:t xml:space="preserve"> not </w:t>
      </w:r>
      <w:r w:rsidR="002C3632">
        <w:rPr>
          <w:rFonts w:ascii="Times New Roman" w:hAnsi="Times New Roman" w:eastAsia="Times New Roman" w:cs="Times New Roman"/>
          <w:sz w:val="26"/>
          <w:szCs w:val="24"/>
        </w:rPr>
        <w:t xml:space="preserve">a </w:t>
      </w:r>
      <w:r w:rsidR="00D51B5D">
        <w:rPr>
          <w:rFonts w:ascii="Times New Roman" w:hAnsi="Times New Roman" w:eastAsia="Times New Roman" w:cs="Times New Roman"/>
          <w:sz w:val="26"/>
          <w:szCs w:val="24"/>
        </w:rPr>
        <w:t xml:space="preserve">substantive </w:t>
      </w:r>
      <w:r w:rsidR="002C3632">
        <w:rPr>
          <w:rFonts w:ascii="Times New Roman" w:hAnsi="Times New Roman" w:eastAsia="Times New Roman" w:cs="Times New Roman"/>
          <w:sz w:val="26"/>
          <w:szCs w:val="24"/>
        </w:rPr>
        <w:t xml:space="preserve">change </w:t>
      </w:r>
      <w:r w:rsidR="00D51B5D">
        <w:rPr>
          <w:rFonts w:ascii="Times New Roman" w:hAnsi="Times New Roman" w:eastAsia="Times New Roman" w:cs="Times New Roman"/>
          <w:sz w:val="26"/>
          <w:szCs w:val="24"/>
        </w:rPr>
        <w:t xml:space="preserve">and </w:t>
      </w:r>
      <w:r w:rsidR="00A71542">
        <w:rPr>
          <w:rFonts w:ascii="Times New Roman" w:hAnsi="Times New Roman" w:eastAsia="Times New Roman" w:cs="Times New Roman"/>
          <w:sz w:val="26"/>
          <w:szCs w:val="24"/>
        </w:rPr>
        <w:t>do</w:t>
      </w:r>
      <w:r w:rsidR="002C3632">
        <w:rPr>
          <w:rFonts w:ascii="Times New Roman" w:hAnsi="Times New Roman" w:eastAsia="Times New Roman" w:cs="Times New Roman"/>
          <w:sz w:val="26"/>
          <w:szCs w:val="24"/>
        </w:rPr>
        <w:t>es</w:t>
      </w:r>
      <w:r w:rsidR="00D51B5D">
        <w:rPr>
          <w:rFonts w:ascii="Times New Roman" w:hAnsi="Times New Roman" w:eastAsia="Times New Roman" w:cs="Times New Roman"/>
          <w:sz w:val="26"/>
          <w:szCs w:val="24"/>
        </w:rPr>
        <w:t xml:space="preserve"> not require a change in burden.</w:t>
      </w:r>
      <w:r w:rsidR="002C3632">
        <w:rPr>
          <w:rFonts w:ascii="Times New Roman" w:hAnsi="Times New Roman" w:eastAsia="Times New Roman" w:cs="Times New Roman"/>
          <w:sz w:val="26"/>
          <w:szCs w:val="24"/>
        </w:rPr>
        <w:t xml:space="preserve">  This is due to the </w:t>
      </w:r>
      <w:r w:rsidR="007F64C4">
        <w:rPr>
          <w:rFonts w:ascii="Times New Roman" w:hAnsi="Times New Roman" w:eastAsia="Times New Roman" w:cs="Times New Roman"/>
          <w:sz w:val="26"/>
          <w:szCs w:val="24"/>
        </w:rPr>
        <w:t xml:space="preserve">current burden </w:t>
      </w:r>
      <w:r w:rsidR="002C3632">
        <w:rPr>
          <w:rFonts w:ascii="Times New Roman" w:hAnsi="Times New Roman" w:eastAsia="Times New Roman" w:cs="Times New Roman"/>
          <w:sz w:val="26"/>
          <w:szCs w:val="24"/>
        </w:rPr>
        <w:t>assumptions based on</w:t>
      </w:r>
      <w:r w:rsidR="00353BE4">
        <w:rPr>
          <w:rFonts w:ascii="Times New Roman" w:hAnsi="Times New Roman" w:eastAsia="Times New Roman" w:cs="Times New Roman"/>
          <w:sz w:val="26"/>
          <w:szCs w:val="24"/>
        </w:rPr>
        <w:t xml:space="preserve">: </w:t>
      </w:r>
      <w:r w:rsidR="002C3632">
        <w:rPr>
          <w:rFonts w:ascii="Times New Roman" w:hAnsi="Times New Roman" w:eastAsia="Times New Roman" w:cs="Times New Roman"/>
          <w:sz w:val="26"/>
          <w:szCs w:val="24"/>
        </w:rPr>
        <w:t xml:space="preserve"> </w:t>
      </w:r>
      <w:r w:rsidR="00DC7157">
        <w:rPr>
          <w:rFonts w:ascii="Times New Roman" w:hAnsi="Times New Roman" w:eastAsia="Times New Roman" w:cs="Times New Roman"/>
          <w:sz w:val="26"/>
          <w:szCs w:val="24"/>
        </w:rPr>
        <w:t xml:space="preserve">1) </w:t>
      </w:r>
      <w:r w:rsidR="002C3632">
        <w:rPr>
          <w:rFonts w:ascii="Times New Roman" w:hAnsi="Times New Roman" w:eastAsia="Times New Roman" w:cs="Times New Roman"/>
          <w:sz w:val="26"/>
          <w:szCs w:val="24"/>
        </w:rPr>
        <w:t>the number of nuclear plants in the United States</w:t>
      </w:r>
      <w:r w:rsidR="00353BE4">
        <w:rPr>
          <w:rFonts w:ascii="Times New Roman" w:hAnsi="Times New Roman" w:eastAsia="Times New Roman" w:cs="Times New Roman"/>
          <w:sz w:val="26"/>
          <w:szCs w:val="24"/>
        </w:rPr>
        <w:t>,</w:t>
      </w:r>
      <w:r w:rsidR="002C3632">
        <w:rPr>
          <w:rFonts w:ascii="Times New Roman" w:hAnsi="Times New Roman" w:eastAsia="Times New Roman" w:cs="Times New Roman"/>
          <w:sz w:val="26"/>
          <w:szCs w:val="24"/>
        </w:rPr>
        <w:t xml:space="preserve"> and </w:t>
      </w:r>
      <w:r w:rsidR="00DC7157">
        <w:rPr>
          <w:rFonts w:ascii="Times New Roman" w:hAnsi="Times New Roman" w:eastAsia="Times New Roman" w:cs="Times New Roman"/>
          <w:sz w:val="26"/>
          <w:szCs w:val="24"/>
        </w:rPr>
        <w:t>2)</w:t>
      </w:r>
      <w:r w:rsidR="002C3632">
        <w:rPr>
          <w:rFonts w:ascii="Times New Roman" w:hAnsi="Times New Roman" w:eastAsia="Times New Roman" w:cs="Times New Roman"/>
          <w:sz w:val="26"/>
          <w:szCs w:val="24"/>
        </w:rPr>
        <w:t xml:space="preserve"> applicability </w:t>
      </w:r>
      <w:r w:rsidR="00353BE4">
        <w:rPr>
          <w:rFonts w:ascii="Times New Roman" w:hAnsi="Times New Roman" w:eastAsia="Times New Roman" w:cs="Times New Roman"/>
          <w:sz w:val="26"/>
          <w:szCs w:val="24"/>
        </w:rPr>
        <w:t xml:space="preserve">including </w:t>
      </w:r>
      <w:r w:rsidR="002C3632">
        <w:rPr>
          <w:rFonts w:ascii="Times New Roman" w:hAnsi="Times New Roman" w:eastAsia="Times New Roman" w:cs="Times New Roman"/>
          <w:sz w:val="26"/>
          <w:szCs w:val="24"/>
        </w:rPr>
        <w:t>two transmission entities</w:t>
      </w:r>
      <w:r w:rsidR="007F64C4">
        <w:rPr>
          <w:rStyle w:val="FootnoteReference"/>
          <w:rFonts w:eastAsia="Times New Roman" w:cs="Times New Roman"/>
        </w:rPr>
        <w:footnoteReference w:id="25"/>
      </w:r>
      <w:r w:rsidR="002C3632">
        <w:rPr>
          <w:rFonts w:ascii="Times New Roman" w:hAnsi="Times New Roman" w:eastAsia="Times New Roman" w:cs="Times New Roman"/>
          <w:sz w:val="26"/>
          <w:szCs w:val="24"/>
        </w:rPr>
        <w:t xml:space="preserve"> for each nuclear plant.  The removal of load-serving entity from the list of possible transmission entities does not change these assumptions.</w:t>
      </w:r>
      <w:r w:rsidR="00D51B5D">
        <w:rPr>
          <w:rFonts w:ascii="Times New Roman" w:hAnsi="Times New Roman" w:eastAsia="Times New Roman" w:cs="Times New Roman"/>
          <w:sz w:val="26"/>
          <w:szCs w:val="24"/>
        </w:rPr>
        <w:t xml:space="preserve"> </w:t>
      </w:r>
    </w:p>
    <w:p w:rsidR="004D700C" w:rsidP="00B27CEF" w:rsidRDefault="00DD16B8" w14:paraId="3785E60B" w14:textId="32D60560">
      <w:pPr>
        <w:spacing w:after="0" w:line="480" w:lineRule="auto"/>
        <w:ind w:firstLine="720"/>
        <w:rPr>
          <w:rFonts w:ascii="Times New Roman" w:hAnsi="Times New Roman" w:eastAsia="Times New Roman" w:cs="Times New Roman"/>
          <w:sz w:val="26"/>
          <w:szCs w:val="24"/>
        </w:rPr>
      </w:pPr>
      <w:r w:rsidRPr="00A7443A">
        <w:rPr>
          <w:rFonts w:ascii="Times New Roman" w:hAnsi="Times New Roman" w:eastAsia="Times New Roman" w:cs="Times New Roman"/>
          <w:sz w:val="26"/>
          <w:szCs w:val="24"/>
        </w:rPr>
        <w:t xml:space="preserve">The Commission </w:t>
      </w:r>
      <w:r w:rsidRPr="00A7443A" w:rsidR="004D700C">
        <w:rPr>
          <w:rFonts w:ascii="Times New Roman" w:hAnsi="Times New Roman" w:eastAsia="Times New Roman" w:cs="Times New Roman"/>
          <w:sz w:val="26"/>
          <w:szCs w:val="24"/>
        </w:rPr>
        <w:t xml:space="preserve">staff </w:t>
      </w:r>
      <w:r w:rsidRPr="00A7443A">
        <w:rPr>
          <w:rFonts w:ascii="Times New Roman" w:hAnsi="Times New Roman" w:eastAsia="Times New Roman" w:cs="Times New Roman"/>
          <w:sz w:val="26"/>
          <w:szCs w:val="24"/>
        </w:rPr>
        <w:t xml:space="preserve">estimates the </w:t>
      </w:r>
      <w:r w:rsidRPr="00A7443A" w:rsidR="004D700C">
        <w:rPr>
          <w:rFonts w:ascii="Times New Roman" w:hAnsi="Times New Roman" w:eastAsia="Times New Roman" w:cs="Times New Roman"/>
          <w:sz w:val="26"/>
          <w:szCs w:val="24"/>
        </w:rPr>
        <w:t xml:space="preserve">program </w:t>
      </w:r>
      <w:r w:rsidRPr="00A7443A">
        <w:rPr>
          <w:rFonts w:ascii="Times New Roman" w:hAnsi="Times New Roman" w:eastAsia="Times New Roman" w:cs="Times New Roman"/>
          <w:sz w:val="26"/>
          <w:szCs w:val="24"/>
        </w:rPr>
        <w:t xml:space="preserve">changes, due to Docket No. RD20-4, for the </w:t>
      </w:r>
      <w:r w:rsidRPr="00E140C2" w:rsidR="004D700C">
        <w:rPr>
          <w:rFonts w:ascii="Times New Roman" w:hAnsi="Times New Roman" w:eastAsia="Times New Roman" w:cs="Times New Roman"/>
          <w:sz w:val="26"/>
          <w:szCs w:val="24"/>
        </w:rPr>
        <w:t xml:space="preserve">listed </w:t>
      </w:r>
      <w:r w:rsidRPr="00A7443A">
        <w:rPr>
          <w:rFonts w:ascii="Times New Roman" w:hAnsi="Times New Roman" w:eastAsia="Times New Roman" w:cs="Times New Roman"/>
          <w:sz w:val="26"/>
          <w:szCs w:val="24"/>
        </w:rPr>
        <w:t>information collections.</w:t>
      </w:r>
      <w:r w:rsidRPr="00A7443A" w:rsidR="004D700C">
        <w:rPr>
          <w:rFonts w:ascii="Times New Roman" w:hAnsi="Times New Roman" w:eastAsia="Times New Roman" w:cs="Times New Roman"/>
          <w:sz w:val="26"/>
          <w:szCs w:val="24"/>
        </w:rPr>
        <w:t xml:space="preserve">  Because the </w:t>
      </w:r>
      <w:r w:rsidRPr="00E140C2" w:rsidR="00A7443A">
        <w:rPr>
          <w:rFonts w:ascii="Times New Roman" w:hAnsi="Times New Roman" w:eastAsia="Times New Roman" w:cs="Times New Roman"/>
          <w:sz w:val="26"/>
          <w:szCs w:val="24"/>
        </w:rPr>
        <w:t xml:space="preserve">affected </w:t>
      </w:r>
      <w:r w:rsidRPr="00E140C2" w:rsidR="004D700C">
        <w:rPr>
          <w:rFonts w:ascii="Times New Roman" w:hAnsi="Times New Roman" w:eastAsia="Times New Roman" w:cs="Times New Roman"/>
          <w:sz w:val="26"/>
          <w:szCs w:val="24"/>
        </w:rPr>
        <w:t>Reliability S</w:t>
      </w:r>
      <w:r w:rsidRPr="00A7443A" w:rsidR="004D700C">
        <w:rPr>
          <w:rFonts w:ascii="Times New Roman" w:hAnsi="Times New Roman" w:eastAsia="Times New Roman" w:cs="Times New Roman"/>
          <w:sz w:val="26"/>
          <w:szCs w:val="24"/>
        </w:rPr>
        <w:t xml:space="preserve">tandards were implemented at various times since Order </w:t>
      </w:r>
      <w:r w:rsidR="005C0A12">
        <w:rPr>
          <w:rFonts w:ascii="Times New Roman" w:hAnsi="Times New Roman" w:eastAsia="Times New Roman" w:cs="Times New Roman"/>
          <w:sz w:val="26"/>
          <w:szCs w:val="24"/>
        </w:rPr>
        <w:t xml:space="preserve">No. </w:t>
      </w:r>
      <w:r w:rsidRPr="00A7443A" w:rsidR="004D700C">
        <w:rPr>
          <w:rFonts w:ascii="Times New Roman" w:hAnsi="Times New Roman" w:eastAsia="Times New Roman" w:cs="Times New Roman"/>
          <w:sz w:val="26"/>
          <w:szCs w:val="24"/>
        </w:rPr>
        <w:t>693 in March 2007</w:t>
      </w:r>
      <w:r w:rsidRPr="00E140C2" w:rsidR="00A7443A">
        <w:rPr>
          <w:rFonts w:ascii="Times New Roman" w:hAnsi="Times New Roman" w:eastAsia="Times New Roman" w:cs="Times New Roman"/>
          <w:sz w:val="26"/>
          <w:szCs w:val="24"/>
        </w:rPr>
        <w:t>,</w:t>
      </w:r>
      <w:r w:rsidRPr="00A7443A" w:rsidR="004D700C">
        <w:rPr>
          <w:rFonts w:ascii="Times New Roman" w:hAnsi="Times New Roman" w:eastAsia="Times New Roman" w:cs="Times New Roman"/>
          <w:sz w:val="26"/>
          <w:szCs w:val="24"/>
        </w:rPr>
        <w:t xml:space="preserve"> using the hourly cost estimates in effect at th</w:t>
      </w:r>
      <w:r w:rsidRPr="00E140C2" w:rsidR="00A7443A">
        <w:rPr>
          <w:rFonts w:ascii="Times New Roman" w:hAnsi="Times New Roman" w:eastAsia="Times New Roman" w:cs="Times New Roman"/>
          <w:sz w:val="26"/>
          <w:szCs w:val="24"/>
        </w:rPr>
        <w:t xml:space="preserve">at </w:t>
      </w:r>
      <w:r w:rsidRPr="00A7443A" w:rsidR="004D700C">
        <w:rPr>
          <w:rFonts w:ascii="Times New Roman" w:hAnsi="Times New Roman" w:eastAsia="Times New Roman" w:cs="Times New Roman"/>
          <w:sz w:val="26"/>
          <w:szCs w:val="24"/>
        </w:rPr>
        <w:t xml:space="preserve">time, we are being conservative and not showing cost estimates for the changes.  </w:t>
      </w:r>
    </w:p>
    <w:p w:rsidRPr="00E140C2" w:rsidR="005028C0" w:rsidP="00E140C2" w:rsidRDefault="005028C0" w14:paraId="58D9DA43" w14:textId="01616A42">
      <w:pPr>
        <w:spacing w:after="0" w:line="480" w:lineRule="auto"/>
        <w:rPr>
          <w:rFonts w:ascii="Times New Roman" w:hAnsi="Times New Roman" w:eastAsia="Times New Roman" w:cs="Times New Roman"/>
          <w:i/>
          <w:iCs/>
          <w:sz w:val="26"/>
          <w:szCs w:val="24"/>
        </w:rPr>
      </w:pPr>
      <w:r w:rsidRPr="00E140C2">
        <w:rPr>
          <w:rFonts w:ascii="Times New Roman" w:hAnsi="Times New Roman" w:eastAsia="Times New Roman" w:cs="Times New Roman"/>
          <w:i/>
          <w:iCs/>
          <w:sz w:val="26"/>
          <w:szCs w:val="24"/>
        </w:rPr>
        <w:t>Adjustments</w:t>
      </w:r>
      <w:r>
        <w:rPr>
          <w:rFonts w:ascii="Times New Roman" w:hAnsi="Times New Roman" w:eastAsia="Times New Roman" w:cs="Times New Roman"/>
          <w:i/>
          <w:iCs/>
          <w:sz w:val="26"/>
          <w:szCs w:val="24"/>
        </w:rPr>
        <w:t>, Updates,</w:t>
      </w:r>
      <w:r w:rsidRPr="00E140C2">
        <w:rPr>
          <w:rFonts w:ascii="Times New Roman" w:hAnsi="Times New Roman" w:eastAsia="Times New Roman" w:cs="Times New Roman"/>
          <w:i/>
          <w:iCs/>
          <w:sz w:val="26"/>
          <w:szCs w:val="24"/>
        </w:rPr>
        <w:t xml:space="preserve"> and Clarification of </w:t>
      </w:r>
      <w:r>
        <w:rPr>
          <w:rFonts w:ascii="Times New Roman" w:hAnsi="Times New Roman" w:eastAsia="Times New Roman" w:cs="Times New Roman"/>
          <w:i/>
          <w:iCs/>
          <w:sz w:val="26"/>
          <w:szCs w:val="24"/>
        </w:rPr>
        <w:t>Estimates</w:t>
      </w:r>
      <w:r w:rsidRPr="00E140C2">
        <w:rPr>
          <w:rFonts w:ascii="Times New Roman" w:hAnsi="Times New Roman" w:eastAsia="Times New Roman" w:cs="Times New Roman"/>
          <w:i/>
          <w:iCs/>
          <w:sz w:val="26"/>
          <w:szCs w:val="24"/>
        </w:rPr>
        <w:t xml:space="preserve"> (not Due to Docket No. RD20-4</w:t>
      </w:r>
      <w:r>
        <w:rPr>
          <w:rFonts w:ascii="Times New Roman" w:hAnsi="Times New Roman" w:eastAsia="Times New Roman" w:cs="Times New Roman"/>
          <w:i/>
          <w:iCs/>
          <w:sz w:val="26"/>
          <w:szCs w:val="24"/>
        </w:rPr>
        <w:t>)</w:t>
      </w:r>
    </w:p>
    <w:p w:rsidR="00A7443A" w:rsidP="00B27CEF" w:rsidRDefault="00A7443A" w14:paraId="2EE8B6E1" w14:textId="7432F759">
      <w:pPr>
        <w:spacing w:after="0" w:line="480" w:lineRule="auto"/>
        <w:ind w:firstLine="720"/>
        <w:rPr>
          <w:rFonts w:ascii="Times New Roman" w:hAnsi="Times New Roman" w:eastAsia="Times New Roman" w:cs="Times New Roman"/>
          <w:sz w:val="26"/>
          <w:szCs w:val="24"/>
        </w:rPr>
      </w:pPr>
      <w:r w:rsidRPr="00A7443A">
        <w:rPr>
          <w:rFonts w:ascii="Times New Roman" w:hAnsi="Times New Roman" w:eastAsia="Times New Roman" w:cs="Times New Roman"/>
          <w:sz w:val="26"/>
          <w:szCs w:val="24"/>
        </w:rPr>
        <w:lastRenderedPageBreak/>
        <w:t>In addition to the changes identified in Docket No. RD20-4-000, the Commission is updating the entire burden estimates for six of the Reliability Standards.  These adjustments are warranted based on updates to the number of applicable registered entities and to ensure that the burden for each applicable function is quantified with clear granularity.</w:t>
      </w:r>
    </w:p>
    <w:p w:rsidR="000F0B50" w:rsidP="00B27CEF" w:rsidRDefault="004D700C" w14:paraId="74828F33" w14:textId="5B5B0C60">
      <w:pPr>
        <w:spacing w:after="0" w:line="480" w:lineRule="auto"/>
        <w:ind w:firstLine="720"/>
        <w:rPr>
          <w:rFonts w:ascii="Times New Roman" w:hAnsi="Times New Roman" w:eastAsia="Times New Roman" w:cs="Times New Roman"/>
          <w:sz w:val="26"/>
          <w:szCs w:val="24"/>
        </w:rPr>
      </w:pPr>
      <w:r>
        <w:rPr>
          <w:rFonts w:ascii="Times New Roman" w:hAnsi="Times New Roman" w:eastAsia="Times New Roman" w:cs="Times New Roman"/>
          <w:sz w:val="26"/>
          <w:szCs w:val="24"/>
        </w:rPr>
        <w:t xml:space="preserve">The table also </w:t>
      </w:r>
      <w:r w:rsidR="006175A4">
        <w:rPr>
          <w:rFonts w:ascii="Times New Roman" w:hAnsi="Times New Roman" w:eastAsia="Times New Roman" w:cs="Times New Roman"/>
          <w:sz w:val="26"/>
          <w:szCs w:val="24"/>
        </w:rPr>
        <w:t>include</w:t>
      </w:r>
      <w:r>
        <w:rPr>
          <w:rFonts w:ascii="Times New Roman" w:hAnsi="Times New Roman" w:eastAsia="Times New Roman" w:cs="Times New Roman"/>
          <w:sz w:val="26"/>
          <w:szCs w:val="24"/>
        </w:rPr>
        <w:t xml:space="preserve">s adjustments </w:t>
      </w:r>
      <w:r w:rsidRPr="004D700C">
        <w:rPr>
          <w:rFonts w:ascii="Times New Roman" w:hAnsi="Times New Roman" w:eastAsia="Times New Roman" w:cs="Times New Roman"/>
          <w:sz w:val="26"/>
          <w:szCs w:val="24"/>
        </w:rPr>
        <w:t xml:space="preserve">due to normal industry fluctuations </w:t>
      </w:r>
      <w:r>
        <w:rPr>
          <w:rFonts w:ascii="Times New Roman" w:hAnsi="Times New Roman" w:eastAsia="Times New Roman" w:cs="Times New Roman"/>
          <w:sz w:val="26"/>
          <w:szCs w:val="24"/>
        </w:rPr>
        <w:t xml:space="preserve">(e.g., </w:t>
      </w:r>
      <w:r w:rsidRPr="004D700C">
        <w:rPr>
          <w:rFonts w:ascii="Times New Roman" w:hAnsi="Times New Roman" w:eastAsia="Times New Roman" w:cs="Times New Roman"/>
          <w:sz w:val="26"/>
          <w:szCs w:val="24"/>
        </w:rPr>
        <w:t xml:space="preserve">companies merging or splitting, going into or leaving the industry, or filling more or fewer roles in the NERC </w:t>
      </w:r>
      <w:r w:rsidR="00BF13EA">
        <w:rPr>
          <w:rFonts w:ascii="Times New Roman" w:hAnsi="Times New Roman" w:eastAsia="Times New Roman" w:cs="Times New Roman"/>
          <w:sz w:val="26"/>
          <w:szCs w:val="24"/>
        </w:rPr>
        <w:t>r</w:t>
      </w:r>
      <w:r w:rsidRPr="004D700C" w:rsidR="00BF13EA">
        <w:rPr>
          <w:rFonts w:ascii="Times New Roman" w:hAnsi="Times New Roman" w:eastAsia="Times New Roman" w:cs="Times New Roman"/>
          <w:sz w:val="26"/>
          <w:szCs w:val="24"/>
        </w:rPr>
        <w:t>egistry</w:t>
      </w:r>
      <w:r>
        <w:rPr>
          <w:rFonts w:ascii="Times New Roman" w:hAnsi="Times New Roman" w:eastAsia="Times New Roman" w:cs="Times New Roman"/>
          <w:sz w:val="26"/>
          <w:szCs w:val="24"/>
        </w:rPr>
        <w:t xml:space="preserve">); the </w:t>
      </w:r>
      <w:r w:rsidRPr="004D700C">
        <w:rPr>
          <w:rFonts w:ascii="Times New Roman" w:hAnsi="Times New Roman" w:eastAsia="Times New Roman" w:cs="Times New Roman"/>
          <w:sz w:val="26"/>
          <w:szCs w:val="24"/>
        </w:rPr>
        <w:t xml:space="preserve">figures </w:t>
      </w:r>
      <w:r>
        <w:rPr>
          <w:rFonts w:ascii="Times New Roman" w:hAnsi="Times New Roman" w:eastAsia="Times New Roman" w:cs="Times New Roman"/>
          <w:sz w:val="26"/>
          <w:szCs w:val="24"/>
        </w:rPr>
        <w:t>are based on</w:t>
      </w:r>
      <w:r w:rsidRPr="004D700C">
        <w:rPr>
          <w:rFonts w:ascii="Times New Roman" w:hAnsi="Times New Roman" w:eastAsia="Times New Roman" w:cs="Times New Roman"/>
          <w:sz w:val="26"/>
          <w:szCs w:val="24"/>
        </w:rPr>
        <w:t xml:space="preserve"> the NERC </w:t>
      </w:r>
      <w:r w:rsidR="00BF13EA">
        <w:rPr>
          <w:rFonts w:ascii="Times New Roman" w:hAnsi="Times New Roman" w:eastAsia="Times New Roman" w:cs="Times New Roman"/>
          <w:sz w:val="26"/>
          <w:szCs w:val="24"/>
        </w:rPr>
        <w:t>r</w:t>
      </w:r>
      <w:r w:rsidRPr="004D700C" w:rsidR="00BF13EA">
        <w:rPr>
          <w:rFonts w:ascii="Times New Roman" w:hAnsi="Times New Roman" w:eastAsia="Times New Roman" w:cs="Times New Roman"/>
          <w:sz w:val="26"/>
          <w:szCs w:val="24"/>
        </w:rPr>
        <w:t>egistry</w:t>
      </w:r>
      <w:r w:rsidR="00BF13EA">
        <w:rPr>
          <w:rFonts w:ascii="Times New Roman" w:hAnsi="Times New Roman" w:eastAsia="Times New Roman" w:cs="Times New Roman"/>
          <w:sz w:val="26"/>
          <w:szCs w:val="24"/>
        </w:rPr>
        <w:t xml:space="preserve"> </w:t>
      </w:r>
      <w:r w:rsidR="00BF13EA">
        <w:rPr>
          <w:rFonts w:ascii="Times New Roman" w:hAnsi="Times New Roman" w:eastAsia="Times New Roman" w:cs="Times New Roman"/>
          <w:iCs/>
          <w:sz w:val="26"/>
          <w:szCs w:val="24"/>
        </w:rPr>
        <w:t>as of April 10, 2020</w:t>
      </w:r>
      <w:r w:rsidRPr="004D700C">
        <w:rPr>
          <w:rFonts w:ascii="Times New Roman" w:hAnsi="Times New Roman" w:eastAsia="Times New Roman" w:cs="Times New Roman"/>
          <w:sz w:val="26"/>
          <w:szCs w:val="24"/>
        </w:rPr>
        <w:t xml:space="preserve">. </w:t>
      </w:r>
      <w:r>
        <w:rPr>
          <w:rFonts w:ascii="Times New Roman" w:hAnsi="Times New Roman" w:eastAsia="Times New Roman" w:cs="Times New Roman"/>
          <w:sz w:val="26"/>
          <w:szCs w:val="24"/>
        </w:rPr>
        <w:t xml:space="preserve"> </w:t>
      </w:r>
    </w:p>
    <w:p w:rsidR="00D06A3B" w:rsidRDefault="00D06A3B" w14:paraId="3A1983D7" w14:textId="7FE3AA24">
      <w:pPr>
        <w:rPr>
          <w:rFonts w:ascii="Times New Roman" w:hAnsi="Times New Roman" w:eastAsia="Times New Roman" w:cs="Times New Roman"/>
          <w:sz w:val="26"/>
          <w:szCs w:val="24"/>
        </w:rPr>
      </w:pPr>
      <w:r>
        <w:rPr>
          <w:rFonts w:ascii="Times New Roman" w:hAnsi="Times New Roman" w:eastAsia="Times New Roman" w:cs="Times New Roman"/>
          <w:sz w:val="26"/>
          <w:szCs w:val="24"/>
        </w:rPr>
        <w:br w:type="page"/>
      </w:r>
    </w:p>
    <w:p w:rsidR="00D06A3B" w:rsidRDefault="00D06A3B" w14:paraId="7DDD5B4F" w14:textId="77777777">
      <w:pPr>
        <w:rPr>
          <w:rFonts w:ascii="Times New Roman" w:hAnsi="Times New Roman" w:eastAsia="Times New Roman" w:cs="Times New Roman"/>
          <w:sz w:val="26"/>
          <w:szCs w:val="24"/>
        </w:rPr>
      </w:pPr>
    </w:p>
    <w:p w:rsidR="00E649CC" w:rsidP="00E649CC" w:rsidRDefault="00E649CC" w14:paraId="79932E83" w14:textId="73EC908C">
      <w:pPr>
        <w:spacing w:after="0" w:line="480" w:lineRule="auto"/>
        <w:ind w:firstLine="720"/>
        <w:rPr>
          <w:rFonts w:ascii="Times New Roman" w:hAnsi="Times New Roman" w:eastAsia="Times New Roman" w:cs="Times New Roman"/>
          <w:i/>
          <w:sz w:val="26"/>
          <w:szCs w:val="26"/>
          <w:highlight w:val="yellow"/>
        </w:rPr>
      </w:pPr>
    </w:p>
    <w:tbl>
      <w:tblPr>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86"/>
        <w:gridCol w:w="1369"/>
        <w:gridCol w:w="1260"/>
        <w:gridCol w:w="1260"/>
        <w:gridCol w:w="1350"/>
        <w:gridCol w:w="2160"/>
      </w:tblGrid>
      <w:tr w:rsidRPr="00F76367" w:rsidR="00F76367" w:rsidTr="00F76367" w14:paraId="2A975405" w14:textId="77777777">
        <w:trPr>
          <w:cantSplit/>
          <w:trHeight w:val="800"/>
          <w:jc w:val="center"/>
        </w:trPr>
        <w:tc>
          <w:tcPr>
            <w:tcW w:w="9085" w:type="dxa"/>
            <w:gridSpan w:val="6"/>
            <w:shd w:val="clear" w:color="auto" w:fill="D9D9D9"/>
          </w:tcPr>
          <w:p w:rsidR="001A1AB5" w:rsidP="00F76367" w:rsidRDefault="00F76367" w14:paraId="5ECA28E1" w14:textId="77777777">
            <w:pPr>
              <w:spacing w:after="0" w:line="240" w:lineRule="auto"/>
              <w:jc w:val="center"/>
              <w:rPr>
                <w:rFonts w:ascii="Times New Roman" w:hAnsi="Times New Roman" w:eastAsia="Calibri" w:cs="Times New Roman"/>
                <w:b/>
              </w:rPr>
            </w:pPr>
            <w:r w:rsidRPr="00F76367">
              <w:rPr>
                <w:rFonts w:ascii="Times New Roman" w:hAnsi="Times New Roman" w:eastAsia="Calibri" w:cs="Times New Roman"/>
                <w:b/>
              </w:rPr>
              <w:t xml:space="preserve">Proposed Changes to Burden Due to Docket No. RD20-4-000 </w:t>
            </w:r>
          </w:p>
          <w:p w:rsidRPr="00F76367" w:rsidR="00F76367" w:rsidP="00F76367" w:rsidRDefault="00F76367" w14:paraId="30904AEE" w14:textId="11DCCDA7">
            <w:pPr>
              <w:spacing w:after="0" w:line="240" w:lineRule="auto"/>
              <w:jc w:val="center"/>
              <w:rPr>
                <w:rFonts w:ascii="Times New Roman" w:hAnsi="Times New Roman" w:eastAsia="Calibri" w:cs="Times New Roman"/>
                <w:b/>
              </w:rPr>
            </w:pPr>
            <w:r w:rsidRPr="00F76367">
              <w:rPr>
                <w:rFonts w:ascii="Times New Roman" w:hAnsi="Times New Roman" w:eastAsia="Calibri" w:cs="Times New Roman"/>
                <w:b/>
              </w:rPr>
              <w:t xml:space="preserve">and Adjustments </w:t>
            </w:r>
            <w:r>
              <w:rPr>
                <w:rFonts w:ascii="Times New Roman" w:hAnsi="Times New Roman" w:eastAsia="Calibri" w:cs="Times New Roman"/>
                <w:b/>
              </w:rPr>
              <w:t>and Clarifications</w:t>
            </w:r>
            <w:bookmarkStart w:name="_Ref40275808" w:id="1"/>
            <w:r w:rsidRPr="00140DAC">
              <w:rPr>
                <w:rFonts w:ascii="Times New Roman" w:hAnsi="Times New Roman" w:eastAsia="Calibri" w:cs="Times New Roman"/>
                <w:b/>
                <w:sz w:val="26"/>
                <w:szCs w:val="26"/>
                <w:vertAlign w:val="superscript"/>
              </w:rPr>
              <w:footnoteReference w:id="26"/>
            </w:r>
            <w:bookmarkEnd w:id="1"/>
            <w:r w:rsidRPr="00F76367">
              <w:rPr>
                <w:rFonts w:ascii="Times New Roman" w:hAnsi="Times New Roman" w:eastAsia="Calibri" w:cs="Times New Roman"/>
                <w:b/>
              </w:rPr>
              <w:t xml:space="preserve"> </w:t>
            </w:r>
          </w:p>
        </w:tc>
      </w:tr>
      <w:tr w:rsidRPr="00F76367" w:rsidR="00F76367" w:rsidTr="00F76367" w14:paraId="1003A622" w14:textId="77777777">
        <w:trPr>
          <w:cantSplit/>
          <w:trHeight w:val="744"/>
          <w:jc w:val="center"/>
        </w:trPr>
        <w:tc>
          <w:tcPr>
            <w:tcW w:w="1686" w:type="dxa"/>
            <w:shd w:val="clear" w:color="auto" w:fill="D9D9D9"/>
            <w:vAlign w:val="bottom"/>
          </w:tcPr>
          <w:p w:rsidRPr="00F76367" w:rsidR="00F76367" w:rsidP="00F76367" w:rsidRDefault="00F76367" w14:paraId="0A7F0934" w14:textId="77777777">
            <w:pPr>
              <w:spacing w:after="0" w:line="240" w:lineRule="auto"/>
              <w:jc w:val="center"/>
              <w:rPr>
                <w:rFonts w:ascii="Times New Roman" w:hAnsi="Times New Roman" w:eastAsia="Calibri" w:cs="Times New Roman"/>
                <w:b/>
              </w:rPr>
            </w:pPr>
            <w:r w:rsidRPr="00F76367">
              <w:rPr>
                <w:rFonts w:ascii="Times New Roman" w:hAnsi="Times New Roman" w:eastAsia="Calibri" w:cs="Times New Roman"/>
                <w:b/>
              </w:rPr>
              <w:t xml:space="preserve">Reliability Standard &amp; Requirements </w:t>
            </w:r>
          </w:p>
        </w:tc>
        <w:tc>
          <w:tcPr>
            <w:tcW w:w="1369" w:type="dxa"/>
            <w:shd w:val="clear" w:color="auto" w:fill="D9D9D9"/>
            <w:vAlign w:val="bottom"/>
          </w:tcPr>
          <w:p w:rsidRPr="00F76367" w:rsidR="00F76367" w:rsidP="00F76367" w:rsidRDefault="00F76367" w14:paraId="4690CB02" w14:textId="77777777">
            <w:pPr>
              <w:spacing w:after="0" w:line="240" w:lineRule="auto"/>
              <w:jc w:val="center"/>
              <w:rPr>
                <w:rFonts w:ascii="Times New Roman" w:hAnsi="Times New Roman" w:eastAsia="Calibri" w:cs="Times New Roman"/>
                <w:b/>
              </w:rPr>
            </w:pPr>
            <w:r w:rsidRPr="00F76367">
              <w:rPr>
                <w:rFonts w:ascii="Times New Roman" w:hAnsi="Times New Roman" w:eastAsia="Calibri" w:cs="Times New Roman"/>
                <w:b/>
              </w:rPr>
              <w:t>No. of Respondents &amp; Type of Entity</w:t>
            </w:r>
          </w:p>
          <w:p w:rsidRPr="00F76367" w:rsidR="00F76367" w:rsidP="00F76367" w:rsidRDefault="00F76367" w14:paraId="3BC8F1A1" w14:textId="77777777">
            <w:pPr>
              <w:spacing w:after="0" w:line="240" w:lineRule="auto"/>
              <w:jc w:val="center"/>
              <w:rPr>
                <w:rFonts w:ascii="Times New Roman" w:hAnsi="Times New Roman" w:eastAsia="Calibri" w:cs="Times New Roman"/>
                <w:b/>
              </w:rPr>
            </w:pPr>
            <w:r w:rsidRPr="00F76367">
              <w:rPr>
                <w:rFonts w:ascii="Times New Roman" w:hAnsi="Times New Roman" w:eastAsia="Calibri" w:cs="Times New Roman"/>
                <w:b/>
              </w:rPr>
              <w:t>(1)</w:t>
            </w:r>
          </w:p>
        </w:tc>
        <w:tc>
          <w:tcPr>
            <w:tcW w:w="1260" w:type="dxa"/>
            <w:shd w:val="clear" w:color="auto" w:fill="D9D9D9"/>
            <w:vAlign w:val="bottom"/>
          </w:tcPr>
          <w:p w:rsidRPr="00F76367" w:rsidR="00F76367" w:rsidP="00F76367" w:rsidRDefault="00F76367" w14:paraId="26EA8887" w14:textId="77777777">
            <w:pPr>
              <w:spacing w:after="0" w:line="240" w:lineRule="auto"/>
              <w:jc w:val="center"/>
              <w:rPr>
                <w:rFonts w:ascii="Times New Roman" w:hAnsi="Times New Roman" w:eastAsia="Calibri" w:cs="Times New Roman"/>
                <w:b/>
              </w:rPr>
            </w:pPr>
            <w:r w:rsidRPr="00F76367">
              <w:rPr>
                <w:rFonts w:ascii="Times New Roman" w:hAnsi="Times New Roman" w:eastAsia="Calibri" w:cs="Times New Roman"/>
                <w:b/>
              </w:rPr>
              <w:t>Annual No. of Responses per Respondent</w:t>
            </w:r>
          </w:p>
          <w:p w:rsidRPr="00F76367" w:rsidR="00F76367" w:rsidP="00F76367" w:rsidRDefault="00F76367" w14:paraId="0E84711F" w14:textId="77777777">
            <w:pPr>
              <w:spacing w:after="0" w:line="240" w:lineRule="auto"/>
              <w:jc w:val="center"/>
              <w:rPr>
                <w:rFonts w:ascii="Times New Roman" w:hAnsi="Times New Roman" w:eastAsia="Calibri" w:cs="Times New Roman"/>
                <w:b/>
              </w:rPr>
            </w:pPr>
            <w:r w:rsidRPr="00F76367">
              <w:rPr>
                <w:rFonts w:ascii="Times New Roman" w:hAnsi="Times New Roman" w:eastAsia="Calibri" w:cs="Times New Roman"/>
                <w:b/>
              </w:rPr>
              <w:t>(2)</w:t>
            </w:r>
          </w:p>
        </w:tc>
        <w:tc>
          <w:tcPr>
            <w:tcW w:w="1260" w:type="dxa"/>
            <w:shd w:val="clear" w:color="auto" w:fill="D9D9D9"/>
            <w:vAlign w:val="bottom"/>
          </w:tcPr>
          <w:p w:rsidRPr="00F76367" w:rsidR="00F76367" w:rsidP="00F76367" w:rsidRDefault="00F76367" w14:paraId="09F47015" w14:textId="77777777">
            <w:pPr>
              <w:spacing w:after="0" w:line="240" w:lineRule="auto"/>
              <w:jc w:val="center"/>
              <w:rPr>
                <w:rFonts w:ascii="Times New Roman" w:hAnsi="Times New Roman" w:eastAsia="Calibri" w:cs="Times New Roman"/>
                <w:b/>
              </w:rPr>
            </w:pPr>
            <w:r w:rsidRPr="00F76367">
              <w:rPr>
                <w:rFonts w:ascii="Times New Roman" w:hAnsi="Times New Roman" w:eastAsia="Calibri" w:cs="Times New Roman"/>
                <w:b/>
              </w:rPr>
              <w:t>Annual No. of Responses</w:t>
            </w:r>
          </w:p>
          <w:p w:rsidRPr="00F76367" w:rsidR="00F76367" w:rsidP="00F76367" w:rsidRDefault="00F76367" w14:paraId="017C837D" w14:textId="77777777">
            <w:pPr>
              <w:spacing w:after="0" w:line="240" w:lineRule="auto"/>
              <w:jc w:val="center"/>
              <w:rPr>
                <w:rFonts w:ascii="Times New Roman" w:hAnsi="Times New Roman" w:eastAsia="Calibri" w:cs="Times New Roman"/>
                <w:b/>
              </w:rPr>
            </w:pPr>
            <w:r w:rsidRPr="00F76367">
              <w:rPr>
                <w:rFonts w:ascii="Times New Roman" w:hAnsi="Times New Roman" w:eastAsia="Calibri" w:cs="Times New Roman"/>
                <w:b/>
              </w:rPr>
              <w:t>(1)*(2)=(3)</w:t>
            </w:r>
          </w:p>
        </w:tc>
        <w:tc>
          <w:tcPr>
            <w:tcW w:w="1350" w:type="dxa"/>
            <w:shd w:val="clear" w:color="auto" w:fill="D9D9D9"/>
            <w:vAlign w:val="bottom"/>
          </w:tcPr>
          <w:p w:rsidRPr="00F76367" w:rsidR="00F76367" w:rsidP="00F76367" w:rsidRDefault="00F76367" w14:paraId="20CD0C2F" w14:textId="77777777">
            <w:pPr>
              <w:spacing w:after="0" w:line="240" w:lineRule="auto"/>
              <w:jc w:val="center"/>
              <w:rPr>
                <w:rFonts w:ascii="Times New Roman" w:hAnsi="Times New Roman" w:eastAsia="Calibri" w:cs="Times New Roman"/>
                <w:b/>
                <w:bCs/>
              </w:rPr>
            </w:pPr>
            <w:r w:rsidRPr="00F76367">
              <w:rPr>
                <w:rFonts w:ascii="Times New Roman" w:hAnsi="Times New Roman" w:eastAsia="Calibri" w:cs="Times New Roman"/>
                <w:b/>
              </w:rPr>
              <w:t>Average Burden Hrs.</w:t>
            </w:r>
            <w:r w:rsidRPr="00F76367" w:rsidDel="00674408">
              <w:rPr>
                <w:rFonts w:ascii="Times New Roman" w:hAnsi="Times New Roman" w:eastAsia="Calibri" w:cs="Times New Roman"/>
                <w:b/>
                <w:vertAlign w:val="superscript"/>
              </w:rPr>
              <w:t xml:space="preserve"> </w:t>
            </w:r>
            <w:r w:rsidRPr="00F76367">
              <w:rPr>
                <w:rFonts w:ascii="Times New Roman" w:hAnsi="Times New Roman" w:eastAsia="Calibri" w:cs="Times New Roman"/>
                <w:b/>
                <w:bCs/>
              </w:rPr>
              <w:t xml:space="preserve">Per Response </w:t>
            </w:r>
          </w:p>
          <w:p w:rsidRPr="00F76367" w:rsidR="00F76367" w:rsidP="00F76367" w:rsidRDefault="00F76367" w14:paraId="75591C46" w14:textId="77777777">
            <w:pPr>
              <w:spacing w:after="0" w:line="240" w:lineRule="auto"/>
              <w:jc w:val="center"/>
              <w:rPr>
                <w:rFonts w:ascii="Times New Roman" w:hAnsi="Times New Roman" w:eastAsia="Calibri" w:cs="Times New Roman"/>
                <w:b/>
              </w:rPr>
            </w:pPr>
            <w:r w:rsidRPr="00F76367">
              <w:rPr>
                <w:rFonts w:ascii="Times New Roman" w:hAnsi="Times New Roman" w:eastAsia="Calibri" w:cs="Times New Roman"/>
                <w:b/>
              </w:rPr>
              <w:t>(4)</w:t>
            </w:r>
          </w:p>
        </w:tc>
        <w:tc>
          <w:tcPr>
            <w:tcW w:w="2160" w:type="dxa"/>
            <w:shd w:val="clear" w:color="auto" w:fill="D9D9D9"/>
            <w:vAlign w:val="bottom"/>
          </w:tcPr>
          <w:p w:rsidRPr="00F76367" w:rsidR="00F76367" w:rsidP="00F76367" w:rsidRDefault="00F76367" w14:paraId="769E8D6B" w14:textId="77777777">
            <w:pPr>
              <w:spacing w:after="0" w:line="240" w:lineRule="auto"/>
              <w:jc w:val="center"/>
              <w:rPr>
                <w:rFonts w:ascii="Times New Roman" w:hAnsi="Times New Roman" w:eastAsia="Calibri" w:cs="Times New Roman"/>
                <w:b/>
              </w:rPr>
            </w:pPr>
            <w:r w:rsidRPr="00F76367">
              <w:rPr>
                <w:rFonts w:ascii="Times New Roman" w:hAnsi="Times New Roman" w:eastAsia="Calibri" w:cs="Times New Roman"/>
                <w:b/>
              </w:rPr>
              <w:t xml:space="preserve">Total Annual Burden Hours </w:t>
            </w:r>
          </w:p>
          <w:p w:rsidRPr="00F76367" w:rsidR="00F76367" w:rsidP="00F76367" w:rsidRDefault="00F76367" w14:paraId="3BA43E54" w14:textId="77777777">
            <w:pPr>
              <w:spacing w:after="0" w:line="240" w:lineRule="auto"/>
              <w:jc w:val="center"/>
              <w:rPr>
                <w:rFonts w:ascii="Times New Roman" w:hAnsi="Times New Roman" w:eastAsia="Calibri" w:cs="Times New Roman"/>
                <w:b/>
              </w:rPr>
            </w:pPr>
            <w:r w:rsidRPr="00F76367">
              <w:rPr>
                <w:rFonts w:ascii="Times New Roman" w:hAnsi="Times New Roman" w:eastAsia="Calibri" w:cs="Times New Roman"/>
                <w:b/>
              </w:rPr>
              <w:t>(3)*(4)=(5)</w:t>
            </w:r>
          </w:p>
          <w:p w:rsidRPr="00F76367" w:rsidR="00F76367" w:rsidP="00F76367" w:rsidRDefault="00F76367" w14:paraId="26F7EB1E" w14:textId="77777777">
            <w:pPr>
              <w:spacing w:after="0" w:line="240" w:lineRule="auto"/>
              <w:jc w:val="center"/>
              <w:rPr>
                <w:rFonts w:ascii="Times New Roman" w:hAnsi="Times New Roman" w:eastAsia="Calibri" w:cs="Times New Roman"/>
                <w:b/>
              </w:rPr>
            </w:pPr>
            <w:r w:rsidRPr="00F76367" w:rsidDel="00176624">
              <w:rPr>
                <w:rFonts w:ascii="Times New Roman" w:hAnsi="Times New Roman" w:eastAsia="Calibri" w:cs="Times New Roman"/>
                <w:b/>
              </w:rPr>
              <w:t xml:space="preserve"> </w:t>
            </w:r>
            <w:r w:rsidRPr="00F76367">
              <w:rPr>
                <w:rFonts w:ascii="Times New Roman" w:hAnsi="Times New Roman" w:eastAsia="Calibri" w:cs="Times New Roman"/>
                <w:b/>
              </w:rPr>
              <w:t>(</w:t>
            </w:r>
            <w:r w:rsidRPr="00F76367" w:rsidDel="00176624">
              <w:rPr>
                <w:rFonts w:ascii="Times New Roman" w:hAnsi="Times New Roman" w:eastAsia="Calibri" w:cs="Times New Roman"/>
                <w:b/>
              </w:rPr>
              <w:t xml:space="preserve"> </w:t>
            </w:r>
          </w:p>
        </w:tc>
      </w:tr>
      <w:tr w:rsidRPr="00F76367" w:rsidR="00F76367" w:rsidTr="00F76367" w14:paraId="33C624F7" w14:textId="77777777">
        <w:trPr>
          <w:cantSplit/>
          <w:trHeight w:val="299"/>
          <w:jc w:val="center"/>
        </w:trPr>
        <w:tc>
          <w:tcPr>
            <w:tcW w:w="9085" w:type="dxa"/>
            <w:gridSpan w:val="6"/>
            <w:shd w:val="pct10" w:color="auto" w:fill="auto"/>
            <w:vAlign w:val="center"/>
          </w:tcPr>
          <w:p w:rsidRPr="00F76367" w:rsidR="00F76367" w:rsidP="00F76367" w:rsidRDefault="00F76367" w14:paraId="77091DB8" w14:textId="77777777">
            <w:pPr>
              <w:spacing w:after="0" w:line="240" w:lineRule="auto"/>
              <w:jc w:val="center"/>
              <w:rPr>
                <w:rFonts w:ascii="Times New Roman" w:hAnsi="Times New Roman" w:eastAsia="Calibri" w:cs="Times New Roman"/>
                <w:b/>
                <w:bCs/>
                <w:iCs/>
              </w:rPr>
            </w:pPr>
            <w:r w:rsidRPr="00F76367">
              <w:rPr>
                <w:rFonts w:ascii="Times New Roman" w:hAnsi="Times New Roman" w:eastAsia="Calibri" w:cs="Times New Roman"/>
                <w:b/>
                <w:bCs/>
                <w:iCs/>
              </w:rPr>
              <w:t>FERC-725A, OMB Control No. 1902-0244</w:t>
            </w:r>
          </w:p>
        </w:tc>
      </w:tr>
      <w:tr w:rsidRPr="00F76367" w:rsidR="00F76367" w:rsidTr="00F76367" w14:paraId="084B108D" w14:textId="77777777">
        <w:trPr>
          <w:cantSplit/>
          <w:trHeight w:val="299"/>
          <w:jc w:val="center"/>
        </w:trPr>
        <w:tc>
          <w:tcPr>
            <w:tcW w:w="1686" w:type="dxa"/>
            <w:vAlign w:val="bottom"/>
          </w:tcPr>
          <w:p w:rsidRPr="00F76367" w:rsidR="00F76367" w:rsidP="00F76367" w:rsidRDefault="00F76367" w14:paraId="5384DACA" w14:textId="77777777">
            <w:pPr>
              <w:spacing w:after="0" w:line="240" w:lineRule="auto"/>
              <w:rPr>
                <w:rFonts w:ascii="Times New Roman" w:hAnsi="Times New Roman" w:eastAsia="Calibri" w:cs="Times New Roman"/>
              </w:rPr>
            </w:pPr>
            <w:r w:rsidRPr="00F76367">
              <w:rPr>
                <w:rFonts w:ascii="Times New Roman" w:hAnsi="Times New Roman" w:eastAsia="Calibri" w:cs="Times New Roman"/>
              </w:rPr>
              <w:t xml:space="preserve">TOP-003-4  (Operational Reliability Data), R1-R5 , &amp; Evidence Retention—adjustment </w:t>
            </w:r>
          </w:p>
        </w:tc>
        <w:tc>
          <w:tcPr>
            <w:tcW w:w="1369" w:type="dxa"/>
            <w:vAlign w:val="bottom"/>
          </w:tcPr>
          <w:p w:rsidRPr="00F76367" w:rsidR="00F76367" w:rsidP="00F76367" w:rsidRDefault="00F76367" w14:paraId="2ACA6707"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-3 (TOP &amp; BA)</w:t>
            </w:r>
          </w:p>
        </w:tc>
        <w:tc>
          <w:tcPr>
            <w:tcW w:w="1260" w:type="dxa"/>
            <w:vAlign w:val="bottom"/>
          </w:tcPr>
          <w:p w:rsidRPr="00F76367" w:rsidR="00F76367" w:rsidP="00F76367" w:rsidRDefault="00F76367" w14:paraId="31DF43BF"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1</w:t>
            </w:r>
          </w:p>
        </w:tc>
        <w:tc>
          <w:tcPr>
            <w:tcW w:w="1260" w:type="dxa"/>
            <w:vAlign w:val="bottom"/>
          </w:tcPr>
          <w:p w:rsidRPr="00F76367" w:rsidR="00F76367" w:rsidP="00F76367" w:rsidRDefault="00F76367" w14:paraId="5D36C5CF"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-3</w:t>
            </w:r>
          </w:p>
        </w:tc>
        <w:tc>
          <w:tcPr>
            <w:tcW w:w="1350" w:type="dxa"/>
            <w:vAlign w:val="bottom"/>
          </w:tcPr>
          <w:p w:rsidRPr="00F76367" w:rsidR="00F76367" w:rsidP="00F76367" w:rsidRDefault="00F76367" w14:paraId="194F84B9"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230 hrs.</w:t>
            </w:r>
          </w:p>
        </w:tc>
        <w:tc>
          <w:tcPr>
            <w:tcW w:w="2160" w:type="dxa"/>
            <w:vAlign w:val="bottom"/>
          </w:tcPr>
          <w:p w:rsidRPr="00F76367" w:rsidR="00F76367" w:rsidP="00F76367" w:rsidRDefault="00F76367" w14:paraId="1AA35D9D" w14:textId="77777777">
            <w:pPr>
              <w:spacing w:after="0" w:line="240" w:lineRule="auto"/>
              <w:jc w:val="right"/>
              <w:rPr>
                <w:rFonts w:ascii="Times New Roman" w:hAnsi="Times New Roman" w:eastAsia="Calibri" w:cs="Times New Roman"/>
                <w:highlight w:val="yellow"/>
              </w:rPr>
            </w:pPr>
            <w:r w:rsidRPr="00F76367">
              <w:rPr>
                <w:rFonts w:ascii="Times New Roman" w:hAnsi="Times New Roman" w:eastAsia="Calibri" w:cs="Times New Roman"/>
              </w:rPr>
              <w:t>-690 hrs.</w:t>
            </w:r>
          </w:p>
        </w:tc>
      </w:tr>
      <w:tr w:rsidRPr="00F76367" w:rsidR="00F76367" w:rsidTr="00F76367" w14:paraId="5ABDA394" w14:textId="77777777">
        <w:trPr>
          <w:cantSplit/>
          <w:trHeight w:val="299"/>
          <w:jc w:val="center"/>
        </w:trPr>
        <w:tc>
          <w:tcPr>
            <w:tcW w:w="1686" w:type="dxa"/>
            <w:vAlign w:val="bottom"/>
          </w:tcPr>
          <w:p w:rsidRPr="00F76367" w:rsidR="00F76367" w:rsidP="00F76367" w:rsidRDefault="00F76367" w14:paraId="42C6B3C2" w14:textId="77777777">
            <w:pPr>
              <w:spacing w:after="0" w:line="240" w:lineRule="auto"/>
              <w:rPr>
                <w:rFonts w:ascii="Times New Roman" w:hAnsi="Times New Roman" w:eastAsia="Calibri" w:cs="Times New Roman"/>
              </w:rPr>
            </w:pPr>
            <w:r w:rsidRPr="00F76367">
              <w:rPr>
                <w:rFonts w:ascii="Times New Roman" w:hAnsi="Times New Roman" w:eastAsia="Calibri" w:cs="Times New Roman"/>
              </w:rPr>
              <w:t>TOP-003-4 (Operational Reliability Data), R5 &amp;Evidence Retention—program increase</w:t>
            </w:r>
            <w:r w:rsidRPr="003316DD">
              <w:rPr>
                <w:rFonts w:ascii="Times New Roman" w:hAnsi="Times New Roman" w:eastAsia="Calibri" w:cs="Times New Roman"/>
                <w:b/>
                <w:sz w:val="26"/>
                <w:szCs w:val="26"/>
                <w:vertAlign w:val="superscript"/>
              </w:rPr>
              <w:footnoteReference w:id="27"/>
            </w:r>
          </w:p>
        </w:tc>
        <w:tc>
          <w:tcPr>
            <w:tcW w:w="1369" w:type="dxa"/>
            <w:tcBorders>
              <w:bottom w:val="single" w:color="auto" w:sz="4" w:space="0"/>
            </w:tcBorders>
            <w:vAlign w:val="bottom"/>
          </w:tcPr>
          <w:p w:rsidRPr="00F76367" w:rsidR="00F76367" w:rsidP="00F76367" w:rsidRDefault="00F76367" w14:paraId="5BEAFEB4"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1,363 (</w:t>
            </w:r>
            <w:bookmarkStart w:name="_Hlk40858305" w:id="2"/>
            <w:r w:rsidRPr="00F76367">
              <w:rPr>
                <w:rFonts w:ascii="Times New Roman" w:hAnsi="Times New Roman" w:eastAsia="Calibri" w:cs="Times New Roman"/>
              </w:rPr>
              <w:t>GO, GOP, TO &amp; DP</w:t>
            </w:r>
            <w:bookmarkEnd w:id="2"/>
            <w:r w:rsidRPr="00F76367">
              <w:rPr>
                <w:rFonts w:ascii="Times New Roman" w:hAnsi="Times New Roman" w:eastAsia="Calibri" w:cs="Times New Roman"/>
              </w:rPr>
              <w:t>)</w:t>
            </w:r>
          </w:p>
        </w:tc>
        <w:tc>
          <w:tcPr>
            <w:tcW w:w="1260" w:type="dxa"/>
            <w:tcBorders>
              <w:bottom w:val="single" w:color="auto" w:sz="4" w:space="0"/>
            </w:tcBorders>
            <w:vAlign w:val="bottom"/>
          </w:tcPr>
          <w:p w:rsidRPr="00F76367" w:rsidR="00F76367" w:rsidP="00F76367" w:rsidRDefault="00F76367" w14:paraId="613A2870"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1</w:t>
            </w:r>
          </w:p>
        </w:tc>
        <w:tc>
          <w:tcPr>
            <w:tcW w:w="1260" w:type="dxa"/>
            <w:tcBorders>
              <w:bottom w:val="single" w:color="auto" w:sz="4" w:space="0"/>
            </w:tcBorders>
            <w:vAlign w:val="bottom"/>
          </w:tcPr>
          <w:p w:rsidRPr="00F76367" w:rsidR="00F76367" w:rsidP="00F76367" w:rsidRDefault="00F76367" w14:paraId="0F2E43DB"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1,363</w:t>
            </w:r>
          </w:p>
        </w:tc>
        <w:tc>
          <w:tcPr>
            <w:tcW w:w="1350" w:type="dxa"/>
            <w:vAlign w:val="bottom"/>
          </w:tcPr>
          <w:p w:rsidRPr="00F76367" w:rsidR="00F76367" w:rsidRDefault="00F76367" w14:paraId="4D2A6AEA" w14:textId="28783C00">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8 hrs</w:t>
            </w:r>
            <w:r w:rsidR="00BC15D5">
              <w:rPr>
                <w:rFonts w:ascii="Times New Roman" w:hAnsi="Times New Roman" w:eastAsia="Calibri" w:cs="Times New Roman"/>
              </w:rPr>
              <w:t>.</w:t>
            </w:r>
          </w:p>
        </w:tc>
        <w:tc>
          <w:tcPr>
            <w:tcW w:w="2160" w:type="dxa"/>
            <w:vAlign w:val="bottom"/>
          </w:tcPr>
          <w:p w:rsidRPr="00F76367" w:rsidR="00F76367" w:rsidP="00517F59" w:rsidRDefault="00F76367" w14:paraId="06613868" w14:textId="1BD857DD">
            <w:pPr>
              <w:spacing w:after="0" w:line="240" w:lineRule="auto"/>
              <w:jc w:val="right"/>
              <w:rPr>
                <w:rFonts w:ascii="Times New Roman" w:hAnsi="Times New Roman" w:eastAsia="Calibri" w:cs="Times New Roman"/>
                <w:highlight w:val="yellow"/>
              </w:rPr>
            </w:pPr>
            <w:r w:rsidRPr="00F76367">
              <w:rPr>
                <w:rFonts w:ascii="Times New Roman" w:hAnsi="Times New Roman" w:eastAsia="Calibri" w:cs="Times New Roman"/>
              </w:rPr>
              <w:t>10,904 hrs.</w:t>
            </w:r>
          </w:p>
        </w:tc>
      </w:tr>
      <w:tr w:rsidRPr="00F76367" w:rsidR="00F76367" w:rsidTr="00F76367" w14:paraId="7D6904A3" w14:textId="77777777">
        <w:trPr>
          <w:cantSplit/>
          <w:trHeight w:val="299"/>
          <w:jc w:val="center"/>
        </w:trPr>
        <w:tc>
          <w:tcPr>
            <w:tcW w:w="1686" w:type="dxa"/>
            <w:vAlign w:val="bottom"/>
          </w:tcPr>
          <w:p w:rsidRPr="00F76367" w:rsidR="00F76367" w:rsidP="00F76367" w:rsidRDefault="00F76367" w14:paraId="38394EA4" w14:textId="77777777">
            <w:pPr>
              <w:spacing w:after="0" w:line="240" w:lineRule="auto"/>
              <w:rPr>
                <w:rFonts w:ascii="Times New Roman" w:hAnsi="Times New Roman" w:eastAsia="Calibri" w:cs="Times New Roman"/>
                <w:b/>
                <w:bCs/>
              </w:rPr>
            </w:pPr>
            <w:r w:rsidRPr="00F76367">
              <w:rPr>
                <w:rFonts w:ascii="Times New Roman" w:hAnsi="Times New Roman" w:eastAsia="Calibri" w:cs="Times New Roman"/>
                <w:b/>
                <w:bCs/>
              </w:rPr>
              <w:t>Net Sub-Total for FERC-725A</w:t>
            </w:r>
          </w:p>
        </w:tc>
        <w:tc>
          <w:tcPr>
            <w:tcW w:w="1369" w:type="dxa"/>
            <w:shd w:val="clear" w:color="auto" w:fill="D9D9D9"/>
            <w:vAlign w:val="bottom"/>
          </w:tcPr>
          <w:p w:rsidRPr="00F76367" w:rsidR="00F76367" w:rsidP="00F76367" w:rsidRDefault="00F76367" w14:paraId="098AB64F" w14:textId="77777777">
            <w:pPr>
              <w:spacing w:after="0" w:line="240" w:lineRule="auto"/>
              <w:rPr>
                <w:rFonts w:ascii="Times New Roman" w:hAnsi="Times New Roman" w:eastAsia="Calibri" w:cs="Times New Roman"/>
              </w:rPr>
            </w:pPr>
          </w:p>
        </w:tc>
        <w:tc>
          <w:tcPr>
            <w:tcW w:w="1260" w:type="dxa"/>
            <w:shd w:val="clear" w:color="auto" w:fill="D9D9D9"/>
            <w:vAlign w:val="bottom"/>
          </w:tcPr>
          <w:p w:rsidRPr="00F76367" w:rsidR="00F76367" w:rsidP="00F76367" w:rsidRDefault="00F76367" w14:paraId="2980A82D" w14:textId="77777777">
            <w:pPr>
              <w:spacing w:after="0" w:line="240" w:lineRule="auto"/>
              <w:rPr>
                <w:rFonts w:ascii="Times New Roman" w:hAnsi="Times New Roman" w:eastAsia="Calibri" w:cs="Times New Roman"/>
              </w:rPr>
            </w:pPr>
          </w:p>
        </w:tc>
        <w:tc>
          <w:tcPr>
            <w:tcW w:w="1260" w:type="dxa"/>
            <w:shd w:val="clear" w:color="auto" w:fill="auto"/>
            <w:vAlign w:val="bottom"/>
          </w:tcPr>
          <w:p w:rsidRPr="00F76367" w:rsidR="00F76367" w:rsidP="00F76367" w:rsidRDefault="00F76367" w14:paraId="47C09805"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1,360 (net increase)</w:t>
            </w:r>
          </w:p>
        </w:tc>
        <w:tc>
          <w:tcPr>
            <w:tcW w:w="1350" w:type="dxa"/>
            <w:shd w:val="clear" w:color="auto" w:fill="D9D9D9"/>
            <w:vAlign w:val="bottom"/>
          </w:tcPr>
          <w:p w:rsidRPr="00F76367" w:rsidR="00F76367" w:rsidP="00F76367" w:rsidRDefault="00F76367" w14:paraId="4294D135" w14:textId="77777777">
            <w:pPr>
              <w:spacing w:after="0" w:line="240" w:lineRule="auto"/>
              <w:rPr>
                <w:rFonts w:ascii="Times New Roman" w:hAnsi="Times New Roman" w:eastAsia="Calibri" w:cs="Times New Roman"/>
              </w:rPr>
            </w:pPr>
          </w:p>
        </w:tc>
        <w:tc>
          <w:tcPr>
            <w:tcW w:w="2160" w:type="dxa"/>
            <w:vAlign w:val="bottom"/>
          </w:tcPr>
          <w:p w:rsidRPr="00F76367" w:rsidR="00F76367" w:rsidP="00034DF9" w:rsidRDefault="00F76367" w14:paraId="1A27B670" w14:textId="49A8FB82">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10,214 hr.</w:t>
            </w:r>
          </w:p>
          <w:p w:rsidRPr="00F76367" w:rsidR="00F76367" w:rsidP="00517F59" w:rsidRDefault="00F76367" w14:paraId="008EB2AB" w14:textId="77777777">
            <w:pPr>
              <w:spacing w:after="0" w:line="240" w:lineRule="auto"/>
              <w:jc w:val="right"/>
              <w:rPr>
                <w:rFonts w:ascii="Times New Roman" w:hAnsi="Times New Roman" w:eastAsia="Calibri" w:cs="Times New Roman"/>
                <w:highlight w:val="yellow"/>
              </w:rPr>
            </w:pPr>
            <w:r w:rsidRPr="00F76367">
              <w:rPr>
                <w:rFonts w:ascii="Times New Roman" w:hAnsi="Times New Roman" w:eastAsia="Calibri" w:cs="Times New Roman"/>
              </w:rPr>
              <w:t>(net increase)</w:t>
            </w:r>
          </w:p>
        </w:tc>
      </w:tr>
      <w:tr w:rsidRPr="00F76367" w:rsidR="00F76367" w:rsidTr="00F76367" w14:paraId="007F8C45" w14:textId="77777777">
        <w:trPr>
          <w:cantSplit/>
          <w:trHeight w:val="299"/>
          <w:jc w:val="center"/>
        </w:trPr>
        <w:tc>
          <w:tcPr>
            <w:tcW w:w="9085" w:type="dxa"/>
            <w:gridSpan w:val="6"/>
            <w:shd w:val="pct10" w:color="auto" w:fill="auto"/>
            <w:vAlign w:val="bottom"/>
          </w:tcPr>
          <w:p w:rsidRPr="00F76367" w:rsidR="00F76367" w:rsidP="00F76367" w:rsidRDefault="00F76367" w14:paraId="40E3DC19" w14:textId="77777777">
            <w:pPr>
              <w:spacing w:after="0" w:line="240" w:lineRule="auto"/>
              <w:jc w:val="center"/>
              <w:rPr>
                <w:rFonts w:ascii="Times New Roman" w:hAnsi="Times New Roman" w:eastAsia="Calibri" w:cs="Times New Roman"/>
                <w:b/>
                <w:bCs/>
                <w:iCs/>
              </w:rPr>
            </w:pPr>
            <w:r w:rsidRPr="00F76367">
              <w:rPr>
                <w:rFonts w:ascii="Times New Roman" w:hAnsi="Times New Roman" w:eastAsia="Calibri" w:cs="Times New Roman"/>
                <w:b/>
                <w:bCs/>
                <w:iCs/>
              </w:rPr>
              <w:t>FERC-725D, OMB Control No. 1902-0247</w:t>
            </w:r>
          </w:p>
        </w:tc>
      </w:tr>
      <w:tr w:rsidRPr="00F76367" w:rsidR="00F76367" w:rsidTr="00F76367" w14:paraId="5038353C" w14:textId="77777777">
        <w:trPr>
          <w:cantSplit/>
          <w:trHeight w:val="299"/>
          <w:jc w:val="center"/>
        </w:trPr>
        <w:tc>
          <w:tcPr>
            <w:tcW w:w="1686" w:type="dxa"/>
            <w:vAlign w:val="bottom"/>
          </w:tcPr>
          <w:p w:rsidRPr="00F76367" w:rsidR="00F76367" w:rsidP="00F76367" w:rsidRDefault="00F76367" w14:paraId="3834D6BC" w14:textId="77777777">
            <w:pPr>
              <w:spacing w:after="0" w:line="240" w:lineRule="auto"/>
              <w:rPr>
                <w:rFonts w:ascii="Times New Roman" w:hAnsi="Times New Roman" w:eastAsia="Calibri" w:cs="Times New Roman"/>
              </w:rPr>
            </w:pPr>
            <w:r w:rsidRPr="00F76367">
              <w:rPr>
                <w:rFonts w:ascii="Times New Roman" w:hAnsi="Times New Roman" w:eastAsia="Calibri" w:cs="Times New Roman"/>
              </w:rPr>
              <w:lastRenderedPageBreak/>
              <w:t xml:space="preserve">FAC-002-3 (Facility Interconnection Studies) </w:t>
            </w:r>
          </w:p>
          <w:p w:rsidRPr="00F76367" w:rsidR="00F76367" w:rsidP="00F76367" w:rsidRDefault="00F76367" w14:paraId="5E1EAF75" w14:textId="77777777">
            <w:pPr>
              <w:spacing w:after="0" w:line="240" w:lineRule="auto"/>
              <w:rPr>
                <w:rFonts w:ascii="Times New Roman" w:hAnsi="Times New Roman" w:eastAsia="Calibri" w:cs="Times New Roman"/>
              </w:rPr>
            </w:pPr>
            <w:r w:rsidRPr="00F76367">
              <w:rPr>
                <w:rFonts w:ascii="Times New Roman" w:hAnsi="Times New Roman" w:eastAsia="Calibri" w:cs="Times New Roman"/>
              </w:rPr>
              <w:t>R1</w:t>
            </w:r>
          </w:p>
          <w:p w:rsidRPr="00F76367" w:rsidR="00F76367" w:rsidP="00F76367" w:rsidRDefault="00F76367" w14:paraId="5A3DF38B" w14:textId="77777777">
            <w:pPr>
              <w:spacing w:after="0" w:line="240" w:lineRule="auto"/>
              <w:rPr>
                <w:rFonts w:ascii="Times New Roman" w:hAnsi="Times New Roman" w:eastAsia="Calibri" w:cs="Times New Roman"/>
              </w:rPr>
            </w:pPr>
            <w:r w:rsidRPr="00F76367">
              <w:rPr>
                <w:rFonts w:ascii="Times New Roman" w:hAnsi="Times New Roman" w:eastAsia="Calibri" w:cs="Times New Roman"/>
              </w:rPr>
              <w:t>Study--adjustment</w:t>
            </w:r>
          </w:p>
        </w:tc>
        <w:tc>
          <w:tcPr>
            <w:tcW w:w="1369" w:type="dxa"/>
            <w:vAlign w:val="bottom"/>
          </w:tcPr>
          <w:p w:rsidRPr="00F76367" w:rsidR="00F76367" w:rsidP="00F76367" w:rsidRDefault="00F76367" w14:paraId="15B505BF"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+20 (PC &amp; TP)</w:t>
            </w:r>
          </w:p>
        </w:tc>
        <w:tc>
          <w:tcPr>
            <w:tcW w:w="1260" w:type="dxa"/>
            <w:vAlign w:val="bottom"/>
          </w:tcPr>
          <w:p w:rsidRPr="00F76367" w:rsidR="00F76367" w:rsidP="00F76367" w:rsidRDefault="00F76367" w14:paraId="5CAA3997"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1</w:t>
            </w:r>
          </w:p>
        </w:tc>
        <w:tc>
          <w:tcPr>
            <w:tcW w:w="1260" w:type="dxa"/>
            <w:vAlign w:val="bottom"/>
          </w:tcPr>
          <w:p w:rsidRPr="00F76367" w:rsidR="00F76367" w:rsidP="00F76367" w:rsidRDefault="00F76367" w14:paraId="09704175"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+20</w:t>
            </w:r>
          </w:p>
        </w:tc>
        <w:tc>
          <w:tcPr>
            <w:tcW w:w="1350" w:type="dxa"/>
            <w:vAlign w:val="bottom"/>
          </w:tcPr>
          <w:p w:rsidRPr="00F76367" w:rsidR="00F76367" w:rsidP="00034DF9" w:rsidRDefault="00F76367" w14:paraId="391E71B8" w14:textId="3590E40A">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32 hrs.</w:t>
            </w:r>
          </w:p>
        </w:tc>
        <w:tc>
          <w:tcPr>
            <w:tcW w:w="2160" w:type="dxa"/>
            <w:vAlign w:val="bottom"/>
          </w:tcPr>
          <w:p w:rsidRPr="00F76367" w:rsidR="00F76367" w:rsidP="00F76367" w:rsidRDefault="00F76367" w14:paraId="20E6C59F" w14:textId="48FE2D5C">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640 hrs.</w:t>
            </w:r>
          </w:p>
        </w:tc>
      </w:tr>
      <w:tr w:rsidRPr="00F76367" w:rsidR="00F76367" w:rsidTr="00F76367" w14:paraId="4D33233C" w14:textId="77777777">
        <w:trPr>
          <w:cantSplit/>
          <w:trHeight w:val="299"/>
          <w:jc w:val="center"/>
        </w:trPr>
        <w:tc>
          <w:tcPr>
            <w:tcW w:w="1686" w:type="dxa"/>
            <w:vAlign w:val="bottom"/>
          </w:tcPr>
          <w:p w:rsidRPr="00F76367" w:rsidR="00F76367" w:rsidP="00F76367" w:rsidRDefault="00F76367" w14:paraId="175F1BC9" w14:textId="77777777">
            <w:pPr>
              <w:spacing w:after="0" w:line="240" w:lineRule="auto"/>
              <w:rPr>
                <w:rFonts w:ascii="Times New Roman" w:hAnsi="Times New Roman" w:eastAsia="Calibri" w:cs="Times New Roman"/>
              </w:rPr>
            </w:pPr>
            <w:r w:rsidRPr="00F76367">
              <w:rPr>
                <w:rFonts w:ascii="Times New Roman" w:hAnsi="Times New Roman" w:eastAsia="Calibri" w:cs="Times New Roman"/>
              </w:rPr>
              <w:t xml:space="preserve">FAC-002-3 (Facility Interconnection Studies) </w:t>
            </w:r>
          </w:p>
          <w:p w:rsidRPr="00F76367" w:rsidR="00F76367" w:rsidP="00F76367" w:rsidRDefault="00F76367" w14:paraId="36B9B175" w14:textId="77777777">
            <w:pPr>
              <w:spacing w:after="0" w:line="240" w:lineRule="auto"/>
              <w:rPr>
                <w:rFonts w:ascii="Times New Roman" w:hAnsi="Times New Roman" w:eastAsia="Calibri" w:cs="Times New Roman"/>
              </w:rPr>
            </w:pPr>
            <w:r w:rsidRPr="00F76367">
              <w:rPr>
                <w:rFonts w:ascii="Times New Roman" w:hAnsi="Times New Roman" w:eastAsia="Calibri" w:cs="Times New Roman"/>
              </w:rPr>
              <w:t>R1</w:t>
            </w:r>
          </w:p>
          <w:p w:rsidRPr="00F76367" w:rsidR="00F76367" w:rsidP="00F76367" w:rsidRDefault="00F76367" w14:paraId="0CD99B44" w14:textId="77777777">
            <w:pPr>
              <w:spacing w:after="0" w:line="240" w:lineRule="auto"/>
              <w:rPr>
                <w:rFonts w:ascii="Times New Roman" w:hAnsi="Times New Roman" w:eastAsia="Calibri" w:cs="Times New Roman"/>
              </w:rPr>
            </w:pPr>
            <w:r w:rsidRPr="00F76367">
              <w:rPr>
                <w:rFonts w:ascii="Times New Roman" w:hAnsi="Times New Roman" w:eastAsia="Calibri" w:cs="Times New Roman"/>
              </w:rPr>
              <w:t>Evidence Retention--adjustment</w:t>
            </w:r>
          </w:p>
        </w:tc>
        <w:tc>
          <w:tcPr>
            <w:tcW w:w="1369" w:type="dxa"/>
            <w:vAlign w:val="bottom"/>
          </w:tcPr>
          <w:p w:rsidRPr="00F76367" w:rsidR="00F76367" w:rsidP="00F76367" w:rsidRDefault="00F76367" w14:paraId="1326374E"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+20 (PC &amp; TP)</w:t>
            </w:r>
          </w:p>
        </w:tc>
        <w:tc>
          <w:tcPr>
            <w:tcW w:w="1260" w:type="dxa"/>
            <w:vAlign w:val="bottom"/>
          </w:tcPr>
          <w:p w:rsidRPr="00F76367" w:rsidR="00F76367" w:rsidP="00F76367" w:rsidRDefault="00F76367" w14:paraId="3C245645"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1</w:t>
            </w:r>
          </w:p>
        </w:tc>
        <w:tc>
          <w:tcPr>
            <w:tcW w:w="1260" w:type="dxa"/>
            <w:vAlign w:val="bottom"/>
          </w:tcPr>
          <w:p w:rsidRPr="00F76367" w:rsidR="00F76367" w:rsidP="00F76367" w:rsidRDefault="00F76367" w14:paraId="590E71FA"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+20</w:t>
            </w:r>
          </w:p>
        </w:tc>
        <w:tc>
          <w:tcPr>
            <w:tcW w:w="1350" w:type="dxa"/>
            <w:vAlign w:val="bottom"/>
          </w:tcPr>
          <w:p w:rsidRPr="00F76367" w:rsidR="00F76367" w:rsidP="00F76367" w:rsidRDefault="00F76367" w14:paraId="5A69DE8C" w14:textId="5E89FE60">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1 hr.</w:t>
            </w:r>
          </w:p>
        </w:tc>
        <w:tc>
          <w:tcPr>
            <w:tcW w:w="2160" w:type="dxa"/>
            <w:vAlign w:val="bottom"/>
          </w:tcPr>
          <w:p w:rsidRPr="00F76367" w:rsidR="00F76367" w:rsidP="00F76367" w:rsidRDefault="00F76367" w14:paraId="4B3BB8F3" w14:textId="40E9912F">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 xml:space="preserve">20 hrs. </w:t>
            </w:r>
          </w:p>
        </w:tc>
      </w:tr>
      <w:tr w:rsidRPr="00F76367" w:rsidR="00F76367" w:rsidTr="00F76367" w14:paraId="23E3B9C3" w14:textId="77777777">
        <w:trPr>
          <w:cantSplit/>
          <w:trHeight w:val="299"/>
          <w:jc w:val="center"/>
        </w:trPr>
        <w:tc>
          <w:tcPr>
            <w:tcW w:w="1686" w:type="dxa"/>
            <w:vAlign w:val="bottom"/>
          </w:tcPr>
          <w:p w:rsidRPr="00BC15D5" w:rsidR="00F76367" w:rsidP="00F76367" w:rsidRDefault="00F76367" w14:paraId="3DDB9049" w14:textId="77777777">
            <w:pPr>
              <w:spacing w:after="0" w:line="240" w:lineRule="auto"/>
              <w:rPr>
                <w:rFonts w:ascii="Times New Roman" w:hAnsi="Times New Roman" w:eastAsia="Calibri" w:cs="Times New Roman"/>
              </w:rPr>
            </w:pPr>
            <w:r w:rsidRPr="00BC15D5">
              <w:rPr>
                <w:rFonts w:ascii="Times New Roman" w:hAnsi="Times New Roman" w:eastAsia="Calibri" w:cs="Times New Roman"/>
              </w:rPr>
              <w:t xml:space="preserve">FAC-002-3 (Facility Interconnection Studies) </w:t>
            </w:r>
          </w:p>
          <w:p w:rsidRPr="00BC15D5" w:rsidR="00F76367" w:rsidP="00F76367" w:rsidRDefault="00F76367" w14:paraId="2B3B120B" w14:textId="77777777">
            <w:pPr>
              <w:spacing w:after="0" w:line="240" w:lineRule="auto"/>
              <w:rPr>
                <w:rFonts w:ascii="Times New Roman" w:hAnsi="Times New Roman" w:eastAsia="Calibri" w:cs="Times New Roman"/>
              </w:rPr>
            </w:pPr>
            <w:r w:rsidRPr="00BC15D5">
              <w:rPr>
                <w:rFonts w:ascii="Times New Roman" w:hAnsi="Times New Roman" w:eastAsia="Calibri" w:cs="Times New Roman"/>
              </w:rPr>
              <w:t>R2-R5</w:t>
            </w:r>
          </w:p>
          <w:p w:rsidRPr="00BC15D5" w:rsidR="00F76367" w:rsidP="00F76367" w:rsidRDefault="00F76367" w14:paraId="142FFB74" w14:textId="77777777">
            <w:pPr>
              <w:spacing w:after="0" w:line="240" w:lineRule="auto"/>
              <w:rPr>
                <w:rFonts w:ascii="Times New Roman" w:hAnsi="Times New Roman" w:eastAsia="Calibri" w:cs="Times New Roman"/>
              </w:rPr>
            </w:pPr>
            <w:r w:rsidRPr="00BC15D5">
              <w:rPr>
                <w:rFonts w:ascii="Times New Roman" w:hAnsi="Times New Roman" w:eastAsia="Calibri" w:cs="Times New Roman"/>
              </w:rPr>
              <w:t>Coordination—</w:t>
            </w:r>
            <w:r w:rsidRPr="007C34B0">
              <w:rPr>
                <w:rFonts w:ascii="Times New Roman" w:hAnsi="Times New Roman" w:eastAsia="Calibri" w:cs="Times New Roman"/>
              </w:rPr>
              <w:t>(program decrease &amp; adjustment decrease)</w:t>
            </w:r>
            <w:r w:rsidRPr="007C34B0">
              <w:rPr>
                <w:rFonts w:ascii="Times New Roman" w:hAnsi="Times New Roman" w:eastAsia="Calibri" w:cs="Times New Roman"/>
                <w:b/>
                <w:sz w:val="26"/>
                <w:szCs w:val="26"/>
                <w:vertAlign w:val="superscript"/>
              </w:rPr>
              <w:footnoteReference w:id="28"/>
            </w:r>
          </w:p>
        </w:tc>
        <w:tc>
          <w:tcPr>
            <w:tcW w:w="1369" w:type="dxa"/>
            <w:vAlign w:val="bottom"/>
          </w:tcPr>
          <w:p w:rsidRPr="00F76367" w:rsidR="00F76367" w:rsidP="00F76367" w:rsidRDefault="00F76367" w14:paraId="0FCE413F"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 xml:space="preserve"> -93 (TO, GO &amp; DP)</w:t>
            </w:r>
            <w:r w:rsidRPr="007C34B0">
              <w:rPr>
                <w:rFonts w:ascii="Times New Roman" w:hAnsi="Times New Roman" w:eastAsia="Calibri" w:cs="Times New Roman"/>
                <w:b/>
                <w:sz w:val="26"/>
                <w:szCs w:val="26"/>
                <w:vertAlign w:val="superscript"/>
              </w:rPr>
              <w:footnoteReference w:id="29"/>
            </w:r>
          </w:p>
        </w:tc>
        <w:tc>
          <w:tcPr>
            <w:tcW w:w="1260" w:type="dxa"/>
            <w:vAlign w:val="bottom"/>
          </w:tcPr>
          <w:p w:rsidRPr="00F76367" w:rsidR="00F76367" w:rsidP="00F76367" w:rsidRDefault="00F76367" w14:paraId="76A9D8E3"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1</w:t>
            </w:r>
          </w:p>
        </w:tc>
        <w:tc>
          <w:tcPr>
            <w:tcW w:w="1260" w:type="dxa"/>
            <w:vAlign w:val="bottom"/>
          </w:tcPr>
          <w:p w:rsidRPr="00F76367" w:rsidR="00F76367" w:rsidP="00F76367" w:rsidRDefault="00F76367" w14:paraId="6CF275D9"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-93</w:t>
            </w:r>
          </w:p>
        </w:tc>
        <w:tc>
          <w:tcPr>
            <w:tcW w:w="1350" w:type="dxa"/>
            <w:vAlign w:val="bottom"/>
          </w:tcPr>
          <w:p w:rsidRPr="00F76367" w:rsidR="00F76367" w:rsidP="00034DF9" w:rsidRDefault="00F76367" w14:paraId="0DD00A2A" w14:textId="4C217859">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16 hrs.</w:t>
            </w:r>
          </w:p>
        </w:tc>
        <w:tc>
          <w:tcPr>
            <w:tcW w:w="2160" w:type="dxa"/>
            <w:vAlign w:val="bottom"/>
          </w:tcPr>
          <w:p w:rsidRPr="00F76367" w:rsidR="00F76367" w:rsidP="00F76367" w:rsidRDefault="00F76367" w14:paraId="3B937B08" w14:textId="6A4DED71">
            <w:pPr>
              <w:spacing w:after="0" w:line="240" w:lineRule="auto"/>
              <w:jc w:val="right"/>
              <w:rPr>
                <w:rFonts w:ascii="Times New Roman" w:hAnsi="Times New Roman" w:eastAsia="Calibri" w:cs="Times New Roman"/>
                <w:highlight w:val="yellow"/>
              </w:rPr>
            </w:pPr>
            <w:r w:rsidRPr="00F76367">
              <w:rPr>
                <w:rFonts w:ascii="Times New Roman" w:hAnsi="Times New Roman" w:eastAsia="Calibri" w:cs="Times New Roman"/>
              </w:rPr>
              <w:t>-1,488 hrs.</w:t>
            </w:r>
          </w:p>
        </w:tc>
      </w:tr>
      <w:tr w:rsidRPr="00F76367" w:rsidR="00F76367" w:rsidTr="00F76367" w14:paraId="4F6453A1" w14:textId="77777777">
        <w:trPr>
          <w:cantSplit/>
          <w:trHeight w:val="299"/>
          <w:jc w:val="center"/>
        </w:trPr>
        <w:tc>
          <w:tcPr>
            <w:tcW w:w="1686" w:type="dxa"/>
            <w:vAlign w:val="bottom"/>
          </w:tcPr>
          <w:p w:rsidRPr="00F76367" w:rsidR="00F76367" w:rsidP="00F76367" w:rsidRDefault="00F76367" w14:paraId="725A3385" w14:textId="77777777">
            <w:pPr>
              <w:spacing w:after="0" w:line="240" w:lineRule="auto"/>
              <w:rPr>
                <w:rFonts w:ascii="Times New Roman" w:hAnsi="Times New Roman" w:eastAsia="Calibri" w:cs="Times New Roman"/>
              </w:rPr>
            </w:pPr>
            <w:r w:rsidRPr="00F76367">
              <w:rPr>
                <w:rFonts w:ascii="Times New Roman" w:hAnsi="Times New Roman" w:eastAsia="Calibri" w:cs="Times New Roman"/>
              </w:rPr>
              <w:lastRenderedPageBreak/>
              <w:t xml:space="preserve">FAC-002-3 (Facility Interconnection Studies) </w:t>
            </w:r>
          </w:p>
          <w:p w:rsidRPr="00F76367" w:rsidR="00F76367" w:rsidP="00F76367" w:rsidRDefault="00F76367" w14:paraId="097772AD" w14:textId="77777777">
            <w:pPr>
              <w:spacing w:after="0" w:line="240" w:lineRule="auto"/>
              <w:rPr>
                <w:rFonts w:ascii="Times New Roman" w:hAnsi="Times New Roman" w:eastAsia="Calibri" w:cs="Times New Roman"/>
              </w:rPr>
            </w:pPr>
            <w:r w:rsidRPr="00F76367">
              <w:rPr>
                <w:rFonts w:ascii="Times New Roman" w:hAnsi="Times New Roman" w:eastAsia="Calibri" w:cs="Times New Roman"/>
              </w:rPr>
              <w:t>R2-R5</w:t>
            </w:r>
          </w:p>
          <w:p w:rsidRPr="00F76367" w:rsidR="00F76367" w:rsidP="00F76367" w:rsidRDefault="00F76367" w14:paraId="467705FA" w14:textId="77777777">
            <w:pPr>
              <w:spacing w:after="0" w:line="240" w:lineRule="auto"/>
              <w:rPr>
                <w:rFonts w:ascii="Times New Roman" w:hAnsi="Times New Roman" w:eastAsia="Calibri" w:cs="Times New Roman"/>
              </w:rPr>
            </w:pPr>
            <w:r w:rsidRPr="00F76367">
              <w:rPr>
                <w:rFonts w:ascii="Times New Roman" w:hAnsi="Times New Roman" w:eastAsia="Calibri" w:cs="Times New Roman"/>
              </w:rPr>
              <w:t xml:space="preserve">Evidence Retention--(program decrease &amp; adjustment decrease) </w:t>
            </w:r>
            <w:r w:rsidRPr="00F76367">
              <w:rPr>
                <w:rFonts w:ascii="Times New Roman" w:hAnsi="Times New Roman" w:eastAsia="Calibri" w:cs="Times New Roman"/>
                <w:b/>
                <w:sz w:val="26"/>
                <w:szCs w:val="26"/>
                <w:vertAlign w:val="superscript"/>
              </w:rPr>
              <w:footnoteReference w:id="30"/>
            </w:r>
            <w:r w:rsidRPr="00F76367">
              <w:rPr>
                <w:rFonts w:ascii="Times New Roman" w:hAnsi="Times New Roman" w:eastAsia="Calibri" w:cs="Times New Roman"/>
              </w:rPr>
              <w:t xml:space="preserve"> </w:t>
            </w:r>
          </w:p>
        </w:tc>
        <w:tc>
          <w:tcPr>
            <w:tcW w:w="1369" w:type="dxa"/>
            <w:vAlign w:val="bottom"/>
          </w:tcPr>
          <w:p w:rsidRPr="00F76367" w:rsidR="00F76367" w:rsidP="00F76367" w:rsidRDefault="00F76367" w14:paraId="5F2D2B53"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 xml:space="preserve"> -93(TO, GO &amp; DP)</w:t>
            </w:r>
          </w:p>
        </w:tc>
        <w:tc>
          <w:tcPr>
            <w:tcW w:w="1260" w:type="dxa"/>
            <w:vAlign w:val="bottom"/>
          </w:tcPr>
          <w:p w:rsidRPr="00F76367" w:rsidR="00F76367" w:rsidP="00F76367" w:rsidRDefault="00F76367" w14:paraId="62E3F162"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1</w:t>
            </w:r>
          </w:p>
        </w:tc>
        <w:tc>
          <w:tcPr>
            <w:tcW w:w="1260" w:type="dxa"/>
            <w:vAlign w:val="bottom"/>
          </w:tcPr>
          <w:p w:rsidRPr="00F76367" w:rsidR="00F76367" w:rsidP="00F76367" w:rsidRDefault="00F76367" w14:paraId="5DB01B76"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-93</w:t>
            </w:r>
          </w:p>
        </w:tc>
        <w:tc>
          <w:tcPr>
            <w:tcW w:w="1350" w:type="dxa"/>
            <w:vAlign w:val="bottom"/>
          </w:tcPr>
          <w:p w:rsidRPr="00F76367" w:rsidR="00F76367" w:rsidP="00034DF9" w:rsidRDefault="00F76367" w14:paraId="35644F46" w14:textId="26F82571">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1 hr.</w:t>
            </w:r>
          </w:p>
        </w:tc>
        <w:tc>
          <w:tcPr>
            <w:tcW w:w="2160" w:type="dxa"/>
            <w:vAlign w:val="bottom"/>
          </w:tcPr>
          <w:p w:rsidRPr="00F76367" w:rsidR="00F76367" w:rsidP="00517F59" w:rsidRDefault="00F76367" w14:paraId="4E6D3A59" w14:textId="59E321B7">
            <w:pPr>
              <w:spacing w:after="0" w:line="240" w:lineRule="auto"/>
              <w:jc w:val="right"/>
              <w:rPr>
                <w:rFonts w:ascii="Times New Roman" w:hAnsi="Times New Roman" w:eastAsia="Calibri" w:cs="Times New Roman"/>
                <w:highlight w:val="yellow"/>
              </w:rPr>
            </w:pPr>
            <w:r w:rsidRPr="00F76367">
              <w:rPr>
                <w:rFonts w:ascii="Times New Roman" w:hAnsi="Times New Roman" w:eastAsia="Calibri" w:cs="Times New Roman"/>
              </w:rPr>
              <w:t>-93 hrs.</w:t>
            </w:r>
          </w:p>
        </w:tc>
      </w:tr>
      <w:tr w:rsidRPr="00F76367" w:rsidR="00F76367" w:rsidTr="00F76367" w14:paraId="614DDEEE" w14:textId="77777777">
        <w:trPr>
          <w:cantSplit/>
          <w:trHeight w:val="299"/>
          <w:jc w:val="center"/>
        </w:trPr>
        <w:tc>
          <w:tcPr>
            <w:tcW w:w="1686" w:type="dxa"/>
            <w:vAlign w:val="bottom"/>
          </w:tcPr>
          <w:p w:rsidRPr="00F76367" w:rsidR="00F76367" w:rsidP="00F76367" w:rsidRDefault="00F76367" w14:paraId="56E92586" w14:textId="77777777">
            <w:pPr>
              <w:spacing w:after="0" w:line="240" w:lineRule="auto"/>
              <w:rPr>
                <w:rFonts w:ascii="Times New Roman" w:hAnsi="Times New Roman" w:eastAsia="Calibri" w:cs="Times New Roman"/>
                <w:b/>
                <w:bCs/>
              </w:rPr>
            </w:pPr>
            <w:r w:rsidRPr="00F76367">
              <w:rPr>
                <w:rFonts w:ascii="Times New Roman" w:hAnsi="Times New Roman" w:eastAsia="Calibri" w:cs="Times New Roman"/>
                <w:b/>
                <w:bCs/>
              </w:rPr>
              <w:t>Net Sub-Total for FERC-725D</w:t>
            </w:r>
          </w:p>
        </w:tc>
        <w:tc>
          <w:tcPr>
            <w:tcW w:w="1369" w:type="dxa"/>
            <w:shd w:val="clear" w:color="auto" w:fill="D9D9D9"/>
            <w:vAlign w:val="bottom"/>
          </w:tcPr>
          <w:p w:rsidRPr="00F76367" w:rsidR="00F76367" w:rsidP="00F76367" w:rsidRDefault="00F76367" w14:paraId="49515DF2" w14:textId="77777777">
            <w:pPr>
              <w:spacing w:after="0" w:line="240" w:lineRule="auto"/>
              <w:jc w:val="right"/>
              <w:rPr>
                <w:rFonts w:ascii="Times New Roman" w:hAnsi="Times New Roman" w:eastAsia="Calibri" w:cs="Times New Roman"/>
              </w:rPr>
            </w:pPr>
          </w:p>
        </w:tc>
        <w:tc>
          <w:tcPr>
            <w:tcW w:w="1260" w:type="dxa"/>
            <w:shd w:val="clear" w:color="auto" w:fill="D9D9D9"/>
            <w:vAlign w:val="bottom"/>
          </w:tcPr>
          <w:p w:rsidRPr="00F76367" w:rsidR="00F76367" w:rsidP="00F76367" w:rsidRDefault="00F76367" w14:paraId="518DE5B4" w14:textId="77777777">
            <w:pPr>
              <w:spacing w:after="0" w:line="240" w:lineRule="auto"/>
              <w:jc w:val="right"/>
              <w:rPr>
                <w:rFonts w:ascii="Times New Roman" w:hAnsi="Times New Roman" w:eastAsia="Calibri" w:cs="Times New Roman"/>
              </w:rPr>
            </w:pPr>
          </w:p>
        </w:tc>
        <w:tc>
          <w:tcPr>
            <w:tcW w:w="1260" w:type="dxa"/>
            <w:shd w:val="clear" w:color="auto" w:fill="auto"/>
            <w:vAlign w:val="bottom"/>
          </w:tcPr>
          <w:p w:rsidRPr="00F76367" w:rsidR="00F76367" w:rsidP="00F76367" w:rsidRDefault="00E73B25" w14:paraId="4BB20D98" w14:textId="3821C9AE">
            <w:pPr>
              <w:spacing w:after="0" w:line="240" w:lineRule="auto"/>
              <w:jc w:val="right"/>
              <w:rPr>
                <w:rFonts w:ascii="Times New Roman" w:hAnsi="Times New Roman" w:eastAsia="Calibri" w:cs="Times New Roman"/>
              </w:rPr>
            </w:pPr>
            <w:r>
              <w:rPr>
                <w:rFonts w:ascii="Times New Roman" w:hAnsi="Times New Roman" w:eastAsia="Calibri" w:cs="Times New Roman"/>
              </w:rPr>
              <w:t>-146</w:t>
            </w:r>
            <w:r w:rsidRPr="00F76367" w:rsidR="00F76367">
              <w:rPr>
                <w:rFonts w:ascii="Times New Roman" w:hAnsi="Times New Roman" w:eastAsia="Calibri" w:cs="Times New Roman"/>
              </w:rPr>
              <w:t xml:space="preserve"> (net reduction)</w:t>
            </w:r>
          </w:p>
        </w:tc>
        <w:tc>
          <w:tcPr>
            <w:tcW w:w="1350" w:type="dxa"/>
            <w:shd w:val="clear" w:color="auto" w:fill="D9D9D9"/>
            <w:vAlign w:val="bottom"/>
          </w:tcPr>
          <w:p w:rsidRPr="00F76367" w:rsidR="00F76367" w:rsidP="00F76367" w:rsidRDefault="00F76367" w14:paraId="08C06CF2" w14:textId="77777777">
            <w:pPr>
              <w:spacing w:after="0" w:line="240" w:lineRule="auto"/>
              <w:jc w:val="right"/>
              <w:rPr>
                <w:rFonts w:ascii="Times New Roman" w:hAnsi="Times New Roman" w:eastAsia="Calibri" w:cs="Times New Roman"/>
              </w:rPr>
            </w:pPr>
          </w:p>
        </w:tc>
        <w:tc>
          <w:tcPr>
            <w:tcW w:w="2160" w:type="dxa"/>
            <w:vAlign w:val="bottom"/>
          </w:tcPr>
          <w:p w:rsidRPr="00F76367" w:rsidR="00F76367" w:rsidP="00034DF9" w:rsidRDefault="00F76367" w14:paraId="40D99219" w14:textId="2CD523C4">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-921 hrs.</w:t>
            </w:r>
          </w:p>
          <w:p w:rsidRPr="00F76367" w:rsidR="00F76367" w:rsidP="00F76367" w:rsidRDefault="00F76367" w14:paraId="75C6A8FD"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(net reduction)</w:t>
            </w:r>
          </w:p>
        </w:tc>
      </w:tr>
      <w:tr w:rsidRPr="00F76367" w:rsidR="00F76367" w:rsidTr="00F76367" w14:paraId="36030A81" w14:textId="77777777">
        <w:trPr>
          <w:cantSplit/>
          <w:trHeight w:val="299"/>
          <w:jc w:val="center"/>
        </w:trPr>
        <w:tc>
          <w:tcPr>
            <w:tcW w:w="9085" w:type="dxa"/>
            <w:gridSpan w:val="6"/>
            <w:shd w:val="pct10" w:color="auto" w:fill="auto"/>
            <w:vAlign w:val="bottom"/>
          </w:tcPr>
          <w:p w:rsidRPr="00F76367" w:rsidR="00F76367" w:rsidP="00F76367" w:rsidRDefault="00F76367" w14:paraId="036E3565" w14:textId="77777777">
            <w:pPr>
              <w:spacing w:after="0" w:line="240" w:lineRule="auto"/>
              <w:jc w:val="center"/>
              <w:rPr>
                <w:rFonts w:ascii="Times New Roman" w:hAnsi="Times New Roman" w:eastAsia="Calibri" w:cs="Times New Roman"/>
              </w:rPr>
            </w:pPr>
            <w:r w:rsidRPr="00F76367">
              <w:rPr>
                <w:rFonts w:ascii="Times New Roman" w:hAnsi="Times New Roman" w:eastAsia="Calibri" w:cs="Times New Roman"/>
                <w:b/>
                <w:bCs/>
                <w:iCs/>
              </w:rPr>
              <w:t>FERC-725G, OMB Control No. 1902-0252</w:t>
            </w:r>
          </w:p>
        </w:tc>
      </w:tr>
      <w:tr w:rsidRPr="00F76367" w:rsidR="00F76367" w:rsidTr="00F76367" w14:paraId="6DFDF1DD" w14:textId="77777777">
        <w:trPr>
          <w:cantSplit/>
          <w:trHeight w:val="299"/>
          <w:jc w:val="center"/>
        </w:trPr>
        <w:tc>
          <w:tcPr>
            <w:tcW w:w="1686" w:type="dxa"/>
            <w:vAlign w:val="bottom"/>
          </w:tcPr>
          <w:p w:rsidRPr="00F76367" w:rsidR="00F76367" w:rsidP="00F76367" w:rsidRDefault="00F76367" w14:paraId="2DB6D427" w14:textId="77777777">
            <w:pPr>
              <w:spacing w:after="0" w:line="240" w:lineRule="auto"/>
              <w:rPr>
                <w:rFonts w:ascii="Times New Roman" w:hAnsi="Times New Roman" w:eastAsia="Calibri" w:cs="Times New Roman"/>
                <w:bCs/>
              </w:rPr>
            </w:pPr>
            <w:bookmarkStart w:name="_Hlk44939780" w:id="4"/>
            <w:r w:rsidRPr="00F76367">
              <w:rPr>
                <w:rFonts w:ascii="Times New Roman" w:hAnsi="Times New Roman" w:eastAsia="Calibri" w:cs="Times New Roman"/>
                <w:bCs/>
              </w:rPr>
              <w:t>PRC-006-4 (Automatic Underfrequency Load Shedding)</w:t>
            </w:r>
          </w:p>
          <w:p w:rsidRPr="00F76367" w:rsidR="00F76367" w:rsidP="00F76367" w:rsidRDefault="00F76367" w14:paraId="59F5951D" w14:textId="77777777">
            <w:pPr>
              <w:spacing w:after="0" w:line="240" w:lineRule="auto"/>
              <w:rPr>
                <w:rFonts w:ascii="Times New Roman" w:hAnsi="Times New Roman" w:eastAsia="Calibri" w:cs="Times New Roman"/>
                <w:bCs/>
              </w:rPr>
            </w:pPr>
            <w:r w:rsidRPr="00F76367">
              <w:rPr>
                <w:rFonts w:ascii="Times New Roman" w:hAnsi="Times New Roman" w:eastAsia="Calibri" w:cs="Times New Roman"/>
                <w:bCs/>
              </w:rPr>
              <w:t>Reporting Requirement—program decrease</w:t>
            </w:r>
            <w:bookmarkStart w:name="_Ref43394898" w:id="5"/>
            <w:r w:rsidRPr="00E801E4">
              <w:rPr>
                <w:rFonts w:ascii="Times New Roman" w:hAnsi="Times New Roman" w:eastAsia="Calibri" w:cs="Times New Roman"/>
                <w:b/>
                <w:bCs/>
                <w:sz w:val="26"/>
                <w:szCs w:val="26"/>
                <w:vertAlign w:val="superscript"/>
              </w:rPr>
              <w:footnoteReference w:id="31"/>
            </w:r>
            <w:bookmarkEnd w:id="5"/>
          </w:p>
        </w:tc>
        <w:tc>
          <w:tcPr>
            <w:tcW w:w="1369" w:type="dxa"/>
            <w:shd w:val="clear" w:color="auto" w:fill="auto"/>
            <w:vAlign w:val="bottom"/>
          </w:tcPr>
          <w:p w:rsidRPr="00F76367" w:rsidR="00F76367" w:rsidP="00F76367" w:rsidRDefault="00F76367" w14:paraId="3D66552C"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-80 (TO &amp; DP)</w:t>
            </w:r>
          </w:p>
        </w:tc>
        <w:tc>
          <w:tcPr>
            <w:tcW w:w="1260" w:type="dxa"/>
            <w:shd w:val="clear" w:color="auto" w:fill="auto"/>
            <w:vAlign w:val="bottom"/>
          </w:tcPr>
          <w:p w:rsidRPr="00F76367" w:rsidR="00F76367" w:rsidP="00F76367" w:rsidRDefault="00F76367" w14:paraId="19DE5872"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1</w:t>
            </w:r>
          </w:p>
        </w:tc>
        <w:tc>
          <w:tcPr>
            <w:tcW w:w="1260" w:type="dxa"/>
            <w:shd w:val="clear" w:color="auto" w:fill="auto"/>
            <w:vAlign w:val="bottom"/>
          </w:tcPr>
          <w:p w:rsidRPr="00F76367" w:rsidR="00F76367" w:rsidP="00F76367" w:rsidRDefault="00F76367" w14:paraId="01F3D0A1"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-80</w:t>
            </w:r>
          </w:p>
        </w:tc>
        <w:tc>
          <w:tcPr>
            <w:tcW w:w="1350" w:type="dxa"/>
            <w:shd w:val="clear" w:color="auto" w:fill="auto"/>
            <w:vAlign w:val="bottom"/>
          </w:tcPr>
          <w:p w:rsidRPr="00F76367" w:rsidR="00F76367" w:rsidP="00F76367" w:rsidRDefault="00F76367" w14:paraId="277E30EF" w14:textId="7A29552B">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47 hrs.</w:t>
            </w:r>
          </w:p>
        </w:tc>
        <w:tc>
          <w:tcPr>
            <w:tcW w:w="2160" w:type="dxa"/>
            <w:shd w:val="clear" w:color="auto" w:fill="auto"/>
            <w:vAlign w:val="bottom"/>
          </w:tcPr>
          <w:p w:rsidRPr="00F76367" w:rsidR="00F76367" w:rsidRDefault="00F76367" w14:paraId="13E908A9" w14:textId="3E223EF1">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-3,760 hrs.;</w:t>
            </w:r>
          </w:p>
        </w:tc>
      </w:tr>
      <w:tr w:rsidRPr="00F76367" w:rsidR="00F76367" w:rsidTr="00F76367" w14:paraId="279D1CDD" w14:textId="77777777">
        <w:trPr>
          <w:cantSplit/>
          <w:trHeight w:val="299"/>
          <w:jc w:val="center"/>
        </w:trPr>
        <w:tc>
          <w:tcPr>
            <w:tcW w:w="1686" w:type="dxa"/>
            <w:vAlign w:val="bottom"/>
          </w:tcPr>
          <w:p w:rsidRPr="00F76367" w:rsidR="00F76367" w:rsidP="00F76367" w:rsidRDefault="00F76367" w14:paraId="4234AD83" w14:textId="77777777">
            <w:pPr>
              <w:spacing w:after="0" w:line="240" w:lineRule="auto"/>
              <w:rPr>
                <w:rFonts w:ascii="Times New Roman" w:hAnsi="Times New Roman" w:eastAsia="Calibri" w:cs="Times New Roman"/>
                <w:bCs/>
              </w:rPr>
            </w:pPr>
            <w:r w:rsidRPr="00F76367">
              <w:rPr>
                <w:rFonts w:ascii="Times New Roman" w:hAnsi="Times New Roman" w:eastAsia="Calibri" w:cs="Times New Roman"/>
                <w:bCs/>
              </w:rPr>
              <w:lastRenderedPageBreak/>
              <w:t>PRC-006-4 (Automatic Underfrequency Load Shedding)</w:t>
            </w:r>
          </w:p>
          <w:p w:rsidRPr="00F76367" w:rsidR="00F76367" w:rsidP="00F76367" w:rsidRDefault="00F76367" w14:paraId="79F148BD" w14:textId="4871F888">
            <w:pPr>
              <w:spacing w:after="0" w:line="240" w:lineRule="auto"/>
              <w:rPr>
                <w:rFonts w:ascii="Times New Roman" w:hAnsi="Times New Roman" w:eastAsia="Calibri" w:cs="Times New Roman"/>
                <w:bCs/>
              </w:rPr>
            </w:pPr>
            <w:r w:rsidRPr="00F76367">
              <w:rPr>
                <w:rFonts w:ascii="Times New Roman" w:hAnsi="Times New Roman" w:eastAsia="Calibri" w:cs="Times New Roman"/>
                <w:bCs/>
              </w:rPr>
              <w:t xml:space="preserve">Evidence Retention—program decrease </w:t>
            </w:r>
            <w:r w:rsidRPr="00E801E4" w:rsidR="00EA4FBD">
              <w:rPr>
                <w:rFonts w:ascii="Times New Roman" w:hAnsi="Times New Roman" w:eastAsia="Calibri" w:cs="Times New Roman"/>
                <w:b/>
                <w:bCs/>
                <w:sz w:val="26"/>
                <w:szCs w:val="26"/>
                <w:vertAlign w:val="superscript"/>
              </w:rPr>
              <w:fldChar w:fldCharType="begin"/>
            </w:r>
            <w:r w:rsidRPr="00E801E4" w:rsidR="00EA4FBD">
              <w:rPr>
                <w:rFonts w:ascii="Times New Roman" w:hAnsi="Times New Roman" w:eastAsia="Calibri" w:cs="Times New Roman"/>
                <w:b/>
                <w:bCs/>
                <w:sz w:val="26"/>
                <w:szCs w:val="26"/>
                <w:vertAlign w:val="superscript"/>
              </w:rPr>
              <w:instrText xml:space="preserve"> NOTEREF _Ref43394898 \h </w:instrText>
            </w:r>
            <w:r w:rsidR="00C658B6">
              <w:rPr>
                <w:rFonts w:ascii="Times New Roman" w:hAnsi="Times New Roman" w:eastAsia="Calibri" w:cs="Times New Roman"/>
                <w:b/>
                <w:bCs/>
                <w:sz w:val="26"/>
                <w:szCs w:val="26"/>
                <w:vertAlign w:val="superscript"/>
              </w:rPr>
              <w:instrText xml:space="preserve"> \* MERGEFORMAT </w:instrText>
            </w:r>
            <w:r w:rsidRPr="00E801E4" w:rsidR="00EA4FBD">
              <w:rPr>
                <w:rFonts w:ascii="Times New Roman" w:hAnsi="Times New Roman" w:eastAsia="Calibri" w:cs="Times New Roman"/>
                <w:b/>
                <w:bCs/>
                <w:sz w:val="26"/>
                <w:szCs w:val="26"/>
                <w:vertAlign w:val="superscript"/>
              </w:rPr>
            </w:r>
            <w:r w:rsidRPr="00E801E4" w:rsidR="00EA4FBD">
              <w:rPr>
                <w:rFonts w:ascii="Times New Roman" w:hAnsi="Times New Roman" w:eastAsia="Calibri" w:cs="Times New Roman"/>
                <w:b/>
                <w:bCs/>
                <w:sz w:val="26"/>
                <w:szCs w:val="26"/>
                <w:vertAlign w:val="superscript"/>
              </w:rPr>
              <w:fldChar w:fldCharType="separate"/>
            </w:r>
            <w:r w:rsidR="008F1EC6">
              <w:rPr>
                <w:rFonts w:ascii="Times New Roman" w:hAnsi="Times New Roman" w:eastAsia="Calibri" w:cs="Times New Roman"/>
                <w:b/>
                <w:bCs/>
                <w:sz w:val="26"/>
                <w:szCs w:val="26"/>
                <w:vertAlign w:val="superscript"/>
              </w:rPr>
              <w:t>31</w:t>
            </w:r>
            <w:r w:rsidRPr="00E801E4" w:rsidR="00EA4FBD">
              <w:rPr>
                <w:rFonts w:ascii="Times New Roman" w:hAnsi="Times New Roman" w:eastAsia="Calibri" w:cs="Times New Roman"/>
                <w:b/>
                <w:bCs/>
                <w:sz w:val="26"/>
                <w:szCs w:val="26"/>
                <w:vertAlign w:val="superscript"/>
              </w:rPr>
              <w:fldChar w:fldCharType="end"/>
            </w:r>
          </w:p>
        </w:tc>
        <w:tc>
          <w:tcPr>
            <w:tcW w:w="1369" w:type="dxa"/>
            <w:shd w:val="clear" w:color="auto" w:fill="auto"/>
            <w:vAlign w:val="bottom"/>
          </w:tcPr>
          <w:p w:rsidRPr="00F76367" w:rsidR="00F76367" w:rsidP="00F76367" w:rsidRDefault="00F76367" w14:paraId="388065CF"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-80 (TO &amp; DP)</w:t>
            </w:r>
          </w:p>
        </w:tc>
        <w:tc>
          <w:tcPr>
            <w:tcW w:w="1260" w:type="dxa"/>
            <w:shd w:val="clear" w:color="auto" w:fill="auto"/>
            <w:vAlign w:val="bottom"/>
          </w:tcPr>
          <w:p w:rsidRPr="00F76367" w:rsidR="00F76367" w:rsidP="00F76367" w:rsidRDefault="00F76367" w14:paraId="30CE8673"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1</w:t>
            </w:r>
          </w:p>
        </w:tc>
        <w:tc>
          <w:tcPr>
            <w:tcW w:w="1260" w:type="dxa"/>
            <w:shd w:val="clear" w:color="auto" w:fill="auto"/>
            <w:vAlign w:val="bottom"/>
          </w:tcPr>
          <w:p w:rsidRPr="00F76367" w:rsidR="00F76367" w:rsidP="00F76367" w:rsidRDefault="00F76367" w14:paraId="7E08B1DB"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-80</w:t>
            </w:r>
          </w:p>
        </w:tc>
        <w:tc>
          <w:tcPr>
            <w:tcW w:w="1350" w:type="dxa"/>
            <w:shd w:val="clear" w:color="auto" w:fill="auto"/>
            <w:vAlign w:val="bottom"/>
          </w:tcPr>
          <w:p w:rsidRPr="00F76367" w:rsidR="00F76367" w:rsidP="00F76367" w:rsidRDefault="00F76367" w14:paraId="34D3C1EB" w14:textId="229D79FE">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5 hrs.</w:t>
            </w:r>
          </w:p>
        </w:tc>
        <w:tc>
          <w:tcPr>
            <w:tcW w:w="2160" w:type="dxa"/>
            <w:shd w:val="clear" w:color="auto" w:fill="auto"/>
            <w:vAlign w:val="bottom"/>
          </w:tcPr>
          <w:p w:rsidRPr="00F76367" w:rsidR="00F76367" w:rsidRDefault="00F76367" w14:paraId="4CE9277F" w14:textId="1E5EBDE2">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-400 hrs.</w:t>
            </w:r>
          </w:p>
        </w:tc>
      </w:tr>
      <w:bookmarkEnd w:id="4"/>
      <w:tr w:rsidRPr="00F76367" w:rsidR="00F76367" w:rsidTr="00F76367" w14:paraId="33FCED1B" w14:textId="77777777">
        <w:trPr>
          <w:cantSplit/>
          <w:trHeight w:val="299"/>
          <w:jc w:val="center"/>
        </w:trPr>
        <w:tc>
          <w:tcPr>
            <w:tcW w:w="1686" w:type="dxa"/>
            <w:vAlign w:val="bottom"/>
          </w:tcPr>
          <w:p w:rsidRPr="00F76367" w:rsidR="00F76367" w:rsidP="00F76367" w:rsidRDefault="00F76367" w14:paraId="51690913" w14:textId="77777777">
            <w:pPr>
              <w:spacing w:after="0" w:line="240" w:lineRule="auto"/>
              <w:rPr>
                <w:rFonts w:ascii="Times New Roman" w:hAnsi="Times New Roman" w:eastAsia="Calibri" w:cs="Times New Roman"/>
                <w:bCs/>
              </w:rPr>
            </w:pPr>
            <w:r w:rsidRPr="00F76367">
              <w:rPr>
                <w:rFonts w:ascii="Times New Roman" w:hAnsi="Times New Roman" w:eastAsia="Calibri" w:cs="Times New Roman"/>
                <w:bCs/>
              </w:rPr>
              <w:t>PRC-006-4 (Automatic Underfrequency Load Shedding)</w:t>
            </w:r>
          </w:p>
          <w:p w:rsidRPr="00F76367" w:rsidR="00F76367" w:rsidP="00F76367" w:rsidRDefault="00F76367" w14:paraId="458DFFFC" w14:textId="77777777">
            <w:pPr>
              <w:spacing w:after="0" w:line="240" w:lineRule="auto"/>
              <w:rPr>
                <w:rFonts w:ascii="Times New Roman" w:hAnsi="Times New Roman" w:eastAsia="Calibri" w:cs="Times New Roman"/>
                <w:bCs/>
              </w:rPr>
            </w:pPr>
            <w:r w:rsidRPr="00F76367">
              <w:rPr>
                <w:rFonts w:ascii="Times New Roman" w:hAnsi="Times New Roman" w:eastAsia="Calibri" w:cs="Times New Roman"/>
                <w:bCs/>
              </w:rPr>
              <w:t>R1-R7, R11-R15</w:t>
            </w:r>
          </w:p>
          <w:p w:rsidRPr="00F76367" w:rsidR="00F76367" w:rsidP="00F76367" w:rsidRDefault="00F76367" w14:paraId="73A23777" w14:textId="27CE3FF2">
            <w:pPr>
              <w:spacing w:after="0" w:line="240" w:lineRule="auto"/>
              <w:rPr>
                <w:rFonts w:ascii="Times New Roman" w:hAnsi="Times New Roman" w:eastAsia="Calibri" w:cs="Times New Roman"/>
                <w:bCs/>
              </w:rPr>
            </w:pPr>
            <w:r w:rsidRPr="00F76367">
              <w:rPr>
                <w:rFonts w:ascii="Times New Roman" w:hAnsi="Times New Roman" w:eastAsia="Calibri" w:cs="Times New Roman"/>
                <w:bCs/>
              </w:rPr>
              <w:t>Reporting Requirement—program increase &amp; clarification</w:t>
            </w:r>
            <w:bookmarkStart w:name="_Ref43395262" w:id="6"/>
            <w:r w:rsidRPr="00F76367">
              <w:rPr>
                <w:rFonts w:ascii="Times New Roman" w:hAnsi="Times New Roman" w:eastAsia="Calibri" w:cs="Times New Roman"/>
                <w:b/>
                <w:bCs/>
                <w:sz w:val="26"/>
                <w:szCs w:val="26"/>
                <w:vertAlign w:val="superscript"/>
              </w:rPr>
              <w:footnoteReference w:id="32"/>
            </w:r>
            <w:bookmarkEnd w:id="6"/>
          </w:p>
        </w:tc>
        <w:tc>
          <w:tcPr>
            <w:tcW w:w="1369" w:type="dxa"/>
            <w:shd w:val="clear" w:color="auto" w:fill="auto"/>
            <w:vAlign w:val="bottom"/>
          </w:tcPr>
          <w:p w:rsidRPr="00F76367" w:rsidR="00F76367" w:rsidP="00F76367" w:rsidRDefault="00F76367" w14:paraId="3136D707"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64 (PC)</w:t>
            </w:r>
          </w:p>
        </w:tc>
        <w:tc>
          <w:tcPr>
            <w:tcW w:w="1260" w:type="dxa"/>
            <w:shd w:val="clear" w:color="auto" w:fill="auto"/>
            <w:vAlign w:val="bottom"/>
          </w:tcPr>
          <w:p w:rsidRPr="00F76367" w:rsidR="00F76367" w:rsidP="00F76367" w:rsidRDefault="00F76367" w14:paraId="1FE3F8B1"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1</w:t>
            </w:r>
          </w:p>
        </w:tc>
        <w:tc>
          <w:tcPr>
            <w:tcW w:w="1260" w:type="dxa"/>
            <w:shd w:val="clear" w:color="auto" w:fill="auto"/>
            <w:vAlign w:val="bottom"/>
          </w:tcPr>
          <w:p w:rsidRPr="00F76367" w:rsidR="00F76367" w:rsidP="00F76367" w:rsidRDefault="00F76367" w14:paraId="07C86D47"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64</w:t>
            </w:r>
          </w:p>
        </w:tc>
        <w:tc>
          <w:tcPr>
            <w:tcW w:w="1350" w:type="dxa"/>
            <w:shd w:val="clear" w:color="auto" w:fill="auto"/>
            <w:vAlign w:val="bottom"/>
          </w:tcPr>
          <w:p w:rsidRPr="00F76367" w:rsidR="00F76367" w:rsidP="00F76367" w:rsidRDefault="00F76367" w14:paraId="53E77AFE" w14:textId="58F96DF9">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47 hrs.;</w:t>
            </w:r>
          </w:p>
        </w:tc>
        <w:tc>
          <w:tcPr>
            <w:tcW w:w="2160" w:type="dxa"/>
            <w:shd w:val="clear" w:color="auto" w:fill="auto"/>
            <w:vAlign w:val="bottom"/>
          </w:tcPr>
          <w:p w:rsidRPr="00F76367" w:rsidR="00F76367" w:rsidP="00F76367" w:rsidRDefault="00F76367" w14:paraId="14B9B90D" w14:textId="02812405">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3,008 hrs.;</w:t>
            </w:r>
          </w:p>
        </w:tc>
      </w:tr>
      <w:tr w:rsidRPr="00F76367" w:rsidR="00F76367" w:rsidTr="00F76367" w14:paraId="6E881A1B" w14:textId="77777777">
        <w:trPr>
          <w:cantSplit/>
          <w:trHeight w:val="299"/>
          <w:jc w:val="center"/>
        </w:trPr>
        <w:tc>
          <w:tcPr>
            <w:tcW w:w="1686" w:type="dxa"/>
            <w:vAlign w:val="bottom"/>
          </w:tcPr>
          <w:p w:rsidRPr="00F76367" w:rsidR="00F76367" w:rsidP="00F76367" w:rsidRDefault="00F76367" w14:paraId="0921064B" w14:textId="77777777">
            <w:pPr>
              <w:spacing w:after="0" w:line="240" w:lineRule="auto"/>
              <w:rPr>
                <w:rFonts w:ascii="Times New Roman" w:hAnsi="Times New Roman" w:eastAsia="Calibri" w:cs="Times New Roman"/>
                <w:bCs/>
              </w:rPr>
            </w:pPr>
            <w:r w:rsidRPr="00F76367">
              <w:rPr>
                <w:rFonts w:ascii="Times New Roman" w:hAnsi="Times New Roman" w:eastAsia="Calibri" w:cs="Times New Roman"/>
                <w:bCs/>
              </w:rPr>
              <w:t>PRC-006-4 (Automatic Underfrequency Load Shedding)</w:t>
            </w:r>
          </w:p>
          <w:p w:rsidRPr="00F76367" w:rsidR="00F76367" w:rsidP="00F76367" w:rsidRDefault="00F76367" w14:paraId="52FB2AC9" w14:textId="77777777">
            <w:pPr>
              <w:spacing w:after="0" w:line="240" w:lineRule="auto"/>
              <w:rPr>
                <w:rFonts w:ascii="Times New Roman" w:hAnsi="Times New Roman" w:eastAsia="Calibri" w:cs="Times New Roman"/>
                <w:bCs/>
              </w:rPr>
            </w:pPr>
            <w:r w:rsidRPr="00F76367">
              <w:rPr>
                <w:rFonts w:ascii="Times New Roman" w:hAnsi="Times New Roman" w:eastAsia="Calibri" w:cs="Times New Roman"/>
                <w:bCs/>
              </w:rPr>
              <w:t>R1-R7, R11-R15</w:t>
            </w:r>
          </w:p>
          <w:p w:rsidRPr="00F76367" w:rsidR="00F76367" w:rsidP="00F76367" w:rsidRDefault="00F76367" w14:paraId="08A53C10" w14:textId="430CFAD7">
            <w:pPr>
              <w:spacing w:after="0" w:line="240" w:lineRule="auto"/>
              <w:rPr>
                <w:rFonts w:ascii="Times New Roman" w:hAnsi="Times New Roman" w:eastAsia="Calibri" w:cs="Times New Roman"/>
                <w:bCs/>
              </w:rPr>
            </w:pPr>
            <w:r w:rsidRPr="00F76367">
              <w:rPr>
                <w:rFonts w:ascii="Times New Roman" w:hAnsi="Times New Roman" w:eastAsia="Calibri" w:cs="Times New Roman"/>
                <w:bCs/>
              </w:rPr>
              <w:t>Evidence Retention-program increase &amp; clarification</w:t>
            </w:r>
            <w:r w:rsidRPr="00F76367">
              <w:rPr>
                <w:rFonts w:ascii="Times New Roman" w:hAnsi="Times New Roman" w:eastAsia="Calibri" w:cs="Times New Roman"/>
                <w:bCs/>
                <w:vertAlign w:val="superscript"/>
              </w:rPr>
              <w:fldChar w:fldCharType="begin"/>
            </w:r>
            <w:r w:rsidRPr="00F76367">
              <w:rPr>
                <w:rFonts w:ascii="Times New Roman" w:hAnsi="Times New Roman" w:eastAsia="Calibri" w:cs="Times New Roman"/>
                <w:bCs/>
                <w:vertAlign w:val="superscript"/>
              </w:rPr>
              <w:instrText xml:space="preserve"> NOTEREF _Ref43395262 \h  \* MERGEFORMAT </w:instrText>
            </w:r>
            <w:r w:rsidRPr="00F76367">
              <w:rPr>
                <w:rFonts w:ascii="Times New Roman" w:hAnsi="Times New Roman" w:eastAsia="Calibri" w:cs="Times New Roman"/>
                <w:bCs/>
                <w:vertAlign w:val="superscript"/>
              </w:rPr>
            </w:r>
            <w:r w:rsidRPr="00F76367">
              <w:rPr>
                <w:rFonts w:ascii="Times New Roman" w:hAnsi="Times New Roman" w:eastAsia="Calibri" w:cs="Times New Roman"/>
                <w:bCs/>
                <w:vertAlign w:val="superscript"/>
              </w:rPr>
              <w:fldChar w:fldCharType="separate"/>
            </w:r>
            <w:r w:rsidRPr="008F1EC6" w:rsidR="008F1EC6">
              <w:rPr>
                <w:rFonts w:ascii="Times New Roman" w:hAnsi="Times New Roman" w:eastAsia="Calibri" w:cs="Times New Roman"/>
                <w:b/>
                <w:bCs/>
                <w:sz w:val="26"/>
                <w:szCs w:val="26"/>
                <w:vertAlign w:val="superscript"/>
              </w:rPr>
              <w:t>32</w:t>
            </w:r>
            <w:r w:rsidRPr="00F76367">
              <w:rPr>
                <w:rFonts w:ascii="Times New Roman" w:hAnsi="Times New Roman" w:eastAsia="Calibri" w:cs="Times New Roman"/>
                <w:bCs/>
                <w:vertAlign w:val="superscript"/>
              </w:rPr>
              <w:fldChar w:fldCharType="end"/>
            </w:r>
          </w:p>
        </w:tc>
        <w:tc>
          <w:tcPr>
            <w:tcW w:w="1369" w:type="dxa"/>
            <w:shd w:val="clear" w:color="auto" w:fill="auto"/>
            <w:vAlign w:val="bottom"/>
          </w:tcPr>
          <w:p w:rsidRPr="00F76367" w:rsidR="00F76367" w:rsidP="00F76367" w:rsidRDefault="00F76367" w14:paraId="45FDD986"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64 (PC)</w:t>
            </w:r>
          </w:p>
        </w:tc>
        <w:tc>
          <w:tcPr>
            <w:tcW w:w="1260" w:type="dxa"/>
            <w:shd w:val="clear" w:color="auto" w:fill="auto"/>
            <w:vAlign w:val="bottom"/>
          </w:tcPr>
          <w:p w:rsidRPr="00F76367" w:rsidR="00F76367" w:rsidP="00F76367" w:rsidRDefault="00F76367" w14:paraId="368ECDDC"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1</w:t>
            </w:r>
          </w:p>
        </w:tc>
        <w:tc>
          <w:tcPr>
            <w:tcW w:w="1260" w:type="dxa"/>
            <w:shd w:val="clear" w:color="auto" w:fill="auto"/>
            <w:vAlign w:val="bottom"/>
          </w:tcPr>
          <w:p w:rsidRPr="00F76367" w:rsidR="00F76367" w:rsidP="00F76367" w:rsidRDefault="00F76367" w14:paraId="1F7C4525"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64</w:t>
            </w:r>
          </w:p>
        </w:tc>
        <w:tc>
          <w:tcPr>
            <w:tcW w:w="1350" w:type="dxa"/>
            <w:shd w:val="clear" w:color="auto" w:fill="auto"/>
            <w:vAlign w:val="bottom"/>
          </w:tcPr>
          <w:p w:rsidRPr="00F76367" w:rsidR="00F76367" w:rsidRDefault="00F76367" w14:paraId="1979312F" w14:textId="1FB2B2D2">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5 hrs.</w:t>
            </w:r>
          </w:p>
        </w:tc>
        <w:tc>
          <w:tcPr>
            <w:tcW w:w="2160" w:type="dxa"/>
            <w:shd w:val="clear" w:color="auto" w:fill="auto"/>
            <w:vAlign w:val="bottom"/>
          </w:tcPr>
          <w:p w:rsidRPr="00F76367" w:rsidR="00F76367" w:rsidRDefault="00F76367" w14:paraId="44759955" w14:textId="57A2FE78">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 xml:space="preserve">320 hrs. </w:t>
            </w:r>
          </w:p>
        </w:tc>
      </w:tr>
      <w:tr w:rsidRPr="00F76367" w:rsidR="00F76367" w:rsidTr="00F76367" w14:paraId="32778E93" w14:textId="77777777">
        <w:trPr>
          <w:cantSplit/>
          <w:trHeight w:val="299"/>
          <w:jc w:val="center"/>
        </w:trPr>
        <w:tc>
          <w:tcPr>
            <w:tcW w:w="1686" w:type="dxa"/>
            <w:vAlign w:val="bottom"/>
          </w:tcPr>
          <w:p w:rsidRPr="00F76367" w:rsidR="00F76367" w:rsidP="00F76367" w:rsidRDefault="00F76367" w14:paraId="765E81E7" w14:textId="77777777">
            <w:pPr>
              <w:spacing w:after="0" w:line="240" w:lineRule="auto"/>
              <w:rPr>
                <w:rFonts w:ascii="Times New Roman" w:hAnsi="Times New Roman" w:eastAsia="Calibri" w:cs="Times New Roman"/>
                <w:bCs/>
              </w:rPr>
            </w:pPr>
            <w:r w:rsidRPr="00F76367">
              <w:rPr>
                <w:rFonts w:ascii="Times New Roman" w:hAnsi="Times New Roman" w:eastAsia="Calibri" w:cs="Times New Roman"/>
                <w:bCs/>
              </w:rPr>
              <w:t>PRC-006-4 (Automatic Underfrequency Load Shedding)</w:t>
            </w:r>
          </w:p>
          <w:p w:rsidRPr="00F76367" w:rsidR="00F76367" w:rsidP="00F76367" w:rsidRDefault="00F76367" w14:paraId="22AA841D" w14:textId="77777777">
            <w:pPr>
              <w:spacing w:after="0" w:line="240" w:lineRule="auto"/>
              <w:rPr>
                <w:rFonts w:ascii="Times New Roman" w:hAnsi="Times New Roman" w:eastAsia="Calibri" w:cs="Times New Roman"/>
                <w:bCs/>
              </w:rPr>
            </w:pPr>
            <w:r w:rsidRPr="00F76367">
              <w:rPr>
                <w:rFonts w:ascii="Times New Roman" w:hAnsi="Times New Roman" w:eastAsia="Calibri" w:cs="Times New Roman"/>
                <w:bCs/>
              </w:rPr>
              <w:t>R8-R10</w:t>
            </w:r>
          </w:p>
          <w:p w:rsidRPr="00F76367" w:rsidR="00F76367" w:rsidP="00F76367" w:rsidRDefault="00F76367" w14:paraId="029B167E" w14:textId="7351C3A1">
            <w:pPr>
              <w:spacing w:after="0" w:line="240" w:lineRule="auto"/>
              <w:rPr>
                <w:rFonts w:ascii="Times New Roman" w:hAnsi="Times New Roman" w:eastAsia="Calibri" w:cs="Times New Roman"/>
                <w:bCs/>
              </w:rPr>
            </w:pPr>
            <w:r w:rsidRPr="00F76367">
              <w:rPr>
                <w:rFonts w:ascii="Times New Roman" w:hAnsi="Times New Roman" w:eastAsia="Calibri" w:cs="Times New Roman"/>
                <w:bCs/>
              </w:rPr>
              <w:t>Evidence Retention—program increase</w:t>
            </w:r>
            <w:r w:rsidR="00E27E9A">
              <w:rPr>
                <w:rFonts w:ascii="Times New Roman" w:hAnsi="Times New Roman" w:eastAsia="Calibri" w:cs="Times New Roman"/>
                <w:bCs/>
              </w:rPr>
              <w:t xml:space="preserve"> &amp; clarification</w:t>
            </w:r>
            <w:r w:rsidRPr="00F76367">
              <w:rPr>
                <w:rFonts w:ascii="Times New Roman" w:hAnsi="Times New Roman" w:eastAsia="Calibri" w:cs="Times New Roman"/>
                <w:b/>
                <w:bCs/>
                <w:sz w:val="26"/>
                <w:szCs w:val="26"/>
                <w:vertAlign w:val="superscript"/>
              </w:rPr>
              <w:footnoteReference w:id="33"/>
            </w:r>
          </w:p>
        </w:tc>
        <w:tc>
          <w:tcPr>
            <w:tcW w:w="1369" w:type="dxa"/>
            <w:shd w:val="clear" w:color="auto" w:fill="auto"/>
            <w:vAlign w:val="bottom"/>
          </w:tcPr>
          <w:p w:rsidRPr="00F76367" w:rsidR="00F76367" w:rsidP="00F76367" w:rsidRDefault="00F76367" w14:paraId="12BA9DF8"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478 (TO, DP, UFLS-only DP)</w:t>
            </w:r>
          </w:p>
        </w:tc>
        <w:tc>
          <w:tcPr>
            <w:tcW w:w="1260" w:type="dxa"/>
            <w:shd w:val="clear" w:color="auto" w:fill="auto"/>
            <w:vAlign w:val="bottom"/>
          </w:tcPr>
          <w:p w:rsidRPr="00F76367" w:rsidR="00F76367" w:rsidP="00F76367" w:rsidRDefault="00F76367" w14:paraId="1C4ADD6F"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1</w:t>
            </w:r>
          </w:p>
        </w:tc>
        <w:tc>
          <w:tcPr>
            <w:tcW w:w="1260" w:type="dxa"/>
            <w:shd w:val="clear" w:color="auto" w:fill="auto"/>
            <w:vAlign w:val="bottom"/>
          </w:tcPr>
          <w:p w:rsidRPr="00F76367" w:rsidR="00F76367" w:rsidP="00F76367" w:rsidRDefault="00F76367" w14:paraId="7F1DA77D"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478</w:t>
            </w:r>
          </w:p>
        </w:tc>
        <w:tc>
          <w:tcPr>
            <w:tcW w:w="1350" w:type="dxa"/>
            <w:shd w:val="clear" w:color="auto" w:fill="auto"/>
            <w:vAlign w:val="bottom"/>
          </w:tcPr>
          <w:p w:rsidRPr="00F76367" w:rsidR="00F76367" w:rsidRDefault="00F76367" w14:paraId="762E904B" w14:textId="53AFB0B6">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5 hrs</w:t>
            </w:r>
            <w:r w:rsidR="00BC15D5">
              <w:rPr>
                <w:rFonts w:ascii="Times New Roman" w:hAnsi="Times New Roman" w:eastAsia="Calibri" w:cs="Times New Roman"/>
              </w:rPr>
              <w:t>.</w:t>
            </w:r>
          </w:p>
        </w:tc>
        <w:tc>
          <w:tcPr>
            <w:tcW w:w="2160" w:type="dxa"/>
            <w:shd w:val="clear" w:color="auto" w:fill="auto"/>
            <w:vAlign w:val="bottom"/>
          </w:tcPr>
          <w:p w:rsidRPr="00F76367" w:rsidR="00F76367" w:rsidRDefault="00F76367" w14:paraId="1DB13629" w14:textId="2FD65E2E">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 xml:space="preserve">2,390 hrs. </w:t>
            </w:r>
          </w:p>
        </w:tc>
      </w:tr>
      <w:tr w:rsidRPr="00F76367" w:rsidR="00F76367" w:rsidTr="00F76367" w14:paraId="4BC9C99A" w14:textId="77777777">
        <w:trPr>
          <w:cantSplit/>
          <w:trHeight w:val="299"/>
          <w:jc w:val="center"/>
        </w:trPr>
        <w:tc>
          <w:tcPr>
            <w:tcW w:w="1686" w:type="dxa"/>
            <w:vAlign w:val="bottom"/>
          </w:tcPr>
          <w:p w:rsidRPr="00F76367" w:rsidR="00F76367" w:rsidP="00F76367" w:rsidRDefault="00F76367" w14:paraId="2FA5626A" w14:textId="77777777">
            <w:pPr>
              <w:spacing w:after="0" w:line="240" w:lineRule="auto"/>
              <w:rPr>
                <w:rFonts w:ascii="Times New Roman" w:hAnsi="Times New Roman" w:eastAsia="Calibri" w:cs="Times New Roman"/>
                <w:b/>
                <w:bCs/>
              </w:rPr>
            </w:pPr>
            <w:r w:rsidRPr="00F76367">
              <w:rPr>
                <w:rFonts w:ascii="Times New Roman" w:hAnsi="Times New Roman" w:eastAsia="Calibri" w:cs="Times New Roman"/>
                <w:b/>
                <w:bCs/>
              </w:rPr>
              <w:lastRenderedPageBreak/>
              <w:t>Net Sub-Total for FERC-725G</w:t>
            </w:r>
          </w:p>
        </w:tc>
        <w:tc>
          <w:tcPr>
            <w:tcW w:w="1369" w:type="dxa"/>
            <w:shd w:val="clear" w:color="auto" w:fill="D9D9D9"/>
            <w:vAlign w:val="bottom"/>
          </w:tcPr>
          <w:p w:rsidRPr="00F76367" w:rsidR="00F76367" w:rsidP="00F76367" w:rsidRDefault="00F76367" w14:paraId="76BD3B25" w14:textId="77777777">
            <w:pPr>
              <w:spacing w:after="0" w:line="240" w:lineRule="auto"/>
              <w:jc w:val="right"/>
              <w:rPr>
                <w:rFonts w:ascii="Times New Roman" w:hAnsi="Times New Roman" w:eastAsia="Calibri" w:cs="Times New Roman"/>
              </w:rPr>
            </w:pPr>
          </w:p>
        </w:tc>
        <w:tc>
          <w:tcPr>
            <w:tcW w:w="1260" w:type="dxa"/>
            <w:shd w:val="clear" w:color="auto" w:fill="D9D9D9"/>
            <w:vAlign w:val="bottom"/>
          </w:tcPr>
          <w:p w:rsidRPr="00F76367" w:rsidR="00F76367" w:rsidP="00F76367" w:rsidRDefault="00F76367" w14:paraId="5492F4F3" w14:textId="77777777">
            <w:pPr>
              <w:spacing w:after="0" w:line="240" w:lineRule="auto"/>
              <w:jc w:val="right"/>
              <w:rPr>
                <w:rFonts w:ascii="Times New Roman" w:hAnsi="Times New Roman" w:eastAsia="Calibri" w:cs="Times New Roman"/>
              </w:rPr>
            </w:pPr>
          </w:p>
        </w:tc>
        <w:tc>
          <w:tcPr>
            <w:tcW w:w="1260" w:type="dxa"/>
            <w:shd w:val="clear" w:color="auto" w:fill="auto"/>
            <w:vAlign w:val="bottom"/>
          </w:tcPr>
          <w:p w:rsidRPr="00F76367" w:rsidR="00F76367" w:rsidP="00F76367" w:rsidRDefault="00F76367" w14:paraId="24CBE785"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446 (net increase)</w:t>
            </w:r>
          </w:p>
        </w:tc>
        <w:tc>
          <w:tcPr>
            <w:tcW w:w="1350" w:type="dxa"/>
            <w:shd w:val="clear" w:color="auto" w:fill="D9D9D9"/>
            <w:vAlign w:val="bottom"/>
          </w:tcPr>
          <w:p w:rsidRPr="00F76367" w:rsidR="00F76367" w:rsidP="00F76367" w:rsidRDefault="00F76367" w14:paraId="3D7D999B" w14:textId="77777777">
            <w:pPr>
              <w:spacing w:after="0" w:line="240" w:lineRule="auto"/>
              <w:jc w:val="right"/>
              <w:rPr>
                <w:rFonts w:ascii="Times New Roman" w:hAnsi="Times New Roman" w:eastAsia="Calibri" w:cs="Times New Roman"/>
              </w:rPr>
            </w:pPr>
          </w:p>
        </w:tc>
        <w:tc>
          <w:tcPr>
            <w:tcW w:w="2160" w:type="dxa"/>
            <w:shd w:val="clear" w:color="auto" w:fill="auto"/>
            <w:vAlign w:val="bottom"/>
          </w:tcPr>
          <w:p w:rsidRPr="00F76367" w:rsidR="00F76367" w:rsidRDefault="00F76367" w14:paraId="62EA263C" w14:textId="6063CFA8">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1,558 hrs.</w:t>
            </w:r>
            <w:r w:rsidRPr="00F76367" w:rsidDel="00BC15D5" w:rsidR="00BC15D5">
              <w:rPr>
                <w:rFonts w:ascii="Times New Roman" w:hAnsi="Times New Roman" w:eastAsia="Calibri" w:cs="Times New Roman"/>
              </w:rPr>
              <w:t xml:space="preserve"> </w:t>
            </w:r>
            <w:r w:rsidRPr="00F76367">
              <w:rPr>
                <w:rFonts w:ascii="Times New Roman" w:hAnsi="Times New Roman" w:eastAsia="Calibri" w:cs="Times New Roman"/>
              </w:rPr>
              <w:t>(net increase)</w:t>
            </w:r>
          </w:p>
        </w:tc>
      </w:tr>
      <w:tr w:rsidRPr="00F76367" w:rsidR="00F76367" w:rsidTr="00F76367" w14:paraId="3E147C60" w14:textId="77777777">
        <w:trPr>
          <w:cantSplit/>
          <w:trHeight w:val="299"/>
          <w:jc w:val="center"/>
        </w:trPr>
        <w:tc>
          <w:tcPr>
            <w:tcW w:w="9085" w:type="dxa"/>
            <w:gridSpan w:val="6"/>
            <w:shd w:val="pct10" w:color="auto" w:fill="auto"/>
            <w:vAlign w:val="bottom"/>
          </w:tcPr>
          <w:p w:rsidRPr="00F76367" w:rsidR="00F76367" w:rsidP="00F76367" w:rsidRDefault="00F76367" w14:paraId="1747F1D0" w14:textId="77777777">
            <w:pPr>
              <w:spacing w:after="0" w:line="240" w:lineRule="auto"/>
              <w:jc w:val="center"/>
              <w:rPr>
                <w:rFonts w:ascii="Times New Roman" w:hAnsi="Times New Roman" w:eastAsia="Calibri" w:cs="Times New Roman"/>
              </w:rPr>
            </w:pPr>
            <w:r w:rsidRPr="00F76367">
              <w:rPr>
                <w:rFonts w:ascii="Times New Roman" w:hAnsi="Times New Roman" w:eastAsia="Calibri" w:cs="Times New Roman"/>
                <w:b/>
                <w:bCs/>
                <w:iCs/>
              </w:rPr>
              <w:t xml:space="preserve">FERC-725L, OMB Control No. 1902-0261 </w:t>
            </w:r>
          </w:p>
        </w:tc>
      </w:tr>
      <w:tr w:rsidRPr="00F76367" w:rsidR="00F76367" w:rsidTr="00F76367" w14:paraId="6687347A" w14:textId="77777777">
        <w:trPr>
          <w:cantSplit/>
          <w:trHeight w:val="299"/>
          <w:jc w:val="center"/>
        </w:trPr>
        <w:tc>
          <w:tcPr>
            <w:tcW w:w="1686" w:type="dxa"/>
            <w:vAlign w:val="bottom"/>
          </w:tcPr>
          <w:p w:rsidRPr="00F76367" w:rsidR="00F76367" w:rsidP="00F76367" w:rsidRDefault="00F76367" w14:paraId="32F4311D" w14:textId="77777777">
            <w:pPr>
              <w:spacing w:after="0" w:line="240" w:lineRule="auto"/>
              <w:rPr>
                <w:rFonts w:ascii="Times New Roman" w:hAnsi="Times New Roman" w:eastAsia="Calibri" w:cs="Times New Roman"/>
                <w:bCs/>
              </w:rPr>
            </w:pPr>
            <w:r w:rsidRPr="00F76367">
              <w:rPr>
                <w:rFonts w:ascii="Times New Roman" w:hAnsi="Times New Roman" w:eastAsia="Calibri" w:cs="Times New Roman"/>
                <w:bCs/>
              </w:rPr>
              <w:t>MOD-031-3 (Demand and Energy Data)</w:t>
            </w:r>
          </w:p>
          <w:p w:rsidRPr="00F76367" w:rsidR="00F76367" w:rsidP="00F76367" w:rsidRDefault="00F76367" w14:paraId="5D0CEEE3" w14:textId="5E9E7DB5">
            <w:pPr>
              <w:spacing w:after="0" w:line="240" w:lineRule="auto"/>
              <w:rPr>
                <w:rFonts w:ascii="Times New Roman" w:hAnsi="Times New Roman" w:eastAsia="Calibri" w:cs="Times New Roman"/>
                <w:bCs/>
              </w:rPr>
            </w:pPr>
            <w:r w:rsidRPr="00F76367">
              <w:rPr>
                <w:rFonts w:ascii="Times New Roman" w:hAnsi="Times New Roman" w:eastAsia="Calibri" w:cs="Times New Roman"/>
                <w:bCs/>
              </w:rPr>
              <w:t>Develop summary in accordance w/ R1, Subparts 1.5.4 and 1.5.5.—program decrease &amp; adjustment</w:t>
            </w:r>
            <w:r w:rsidR="00E27E9A">
              <w:rPr>
                <w:rFonts w:ascii="Times New Roman" w:hAnsi="Times New Roman" w:eastAsia="Calibri" w:cs="Times New Roman"/>
                <w:bCs/>
              </w:rPr>
              <w:t xml:space="preserve"> </w:t>
            </w:r>
            <w:r w:rsidRPr="00F76367">
              <w:rPr>
                <w:rFonts w:ascii="Times New Roman" w:hAnsi="Times New Roman" w:eastAsia="Calibri" w:cs="Times New Roman"/>
                <w:bCs/>
              </w:rPr>
              <w:t>/</w:t>
            </w:r>
            <w:r w:rsidR="00E27E9A">
              <w:rPr>
                <w:rFonts w:ascii="Times New Roman" w:hAnsi="Times New Roman" w:eastAsia="Calibri" w:cs="Times New Roman"/>
                <w:bCs/>
              </w:rPr>
              <w:t xml:space="preserve"> </w:t>
            </w:r>
            <w:r w:rsidRPr="00F76367">
              <w:rPr>
                <w:rFonts w:ascii="Times New Roman" w:hAnsi="Times New Roman" w:eastAsia="Calibri" w:cs="Times New Roman"/>
                <w:bCs/>
              </w:rPr>
              <w:t>clarification</w:t>
            </w:r>
            <w:bookmarkStart w:name="_Ref43994201" w:id="7"/>
            <w:r w:rsidRPr="00F76367">
              <w:rPr>
                <w:rFonts w:ascii="Times New Roman" w:hAnsi="Times New Roman" w:eastAsia="Calibri" w:cs="Times New Roman"/>
                <w:b/>
                <w:bCs/>
                <w:sz w:val="26"/>
                <w:szCs w:val="26"/>
                <w:vertAlign w:val="superscript"/>
              </w:rPr>
              <w:footnoteReference w:id="34"/>
            </w:r>
            <w:bookmarkEnd w:id="7"/>
          </w:p>
        </w:tc>
        <w:tc>
          <w:tcPr>
            <w:tcW w:w="1369" w:type="dxa"/>
            <w:shd w:val="clear" w:color="auto" w:fill="auto"/>
            <w:vAlign w:val="bottom"/>
          </w:tcPr>
          <w:p w:rsidRPr="00F76367" w:rsidR="00F76367" w:rsidP="00F76367" w:rsidRDefault="00F76367" w14:paraId="543573FF"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-561 (DP, LSE, TP &amp; BA)</w:t>
            </w:r>
          </w:p>
        </w:tc>
        <w:tc>
          <w:tcPr>
            <w:tcW w:w="1260" w:type="dxa"/>
            <w:shd w:val="clear" w:color="auto" w:fill="auto"/>
            <w:vAlign w:val="bottom"/>
          </w:tcPr>
          <w:p w:rsidRPr="00F76367" w:rsidR="00F76367" w:rsidP="00F76367" w:rsidRDefault="00F76367" w14:paraId="21AFEF4E"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1</w:t>
            </w:r>
          </w:p>
        </w:tc>
        <w:tc>
          <w:tcPr>
            <w:tcW w:w="1260" w:type="dxa"/>
            <w:vAlign w:val="bottom"/>
          </w:tcPr>
          <w:p w:rsidRPr="00F76367" w:rsidR="00F76367" w:rsidP="00F76367" w:rsidRDefault="00F76367" w14:paraId="757C4BDD"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-561</w:t>
            </w:r>
          </w:p>
        </w:tc>
        <w:tc>
          <w:tcPr>
            <w:tcW w:w="1350" w:type="dxa"/>
            <w:shd w:val="clear" w:color="auto" w:fill="auto"/>
            <w:vAlign w:val="bottom"/>
          </w:tcPr>
          <w:p w:rsidRPr="00F76367" w:rsidR="00F76367" w:rsidP="00F76367" w:rsidRDefault="00F76367" w14:paraId="494D618A" w14:textId="086A60A4">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8 hrs.</w:t>
            </w:r>
          </w:p>
        </w:tc>
        <w:tc>
          <w:tcPr>
            <w:tcW w:w="2160" w:type="dxa"/>
            <w:shd w:val="clear" w:color="auto" w:fill="auto"/>
            <w:vAlign w:val="bottom"/>
          </w:tcPr>
          <w:p w:rsidRPr="00F76367" w:rsidR="00F76367" w:rsidP="00F76367" w:rsidRDefault="00F76367" w14:paraId="7B9D8F16" w14:textId="47AD8508">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-4,488 hrs.</w:t>
            </w:r>
          </w:p>
        </w:tc>
      </w:tr>
      <w:tr w:rsidRPr="00F76367" w:rsidR="00F76367" w:rsidTr="00F76367" w14:paraId="3F394E51" w14:textId="77777777">
        <w:trPr>
          <w:cantSplit/>
          <w:trHeight w:val="299"/>
          <w:jc w:val="center"/>
        </w:trPr>
        <w:tc>
          <w:tcPr>
            <w:tcW w:w="1686" w:type="dxa"/>
            <w:vAlign w:val="bottom"/>
          </w:tcPr>
          <w:p w:rsidR="00CC762C" w:rsidP="00F76367" w:rsidRDefault="00F76367" w14:paraId="15EFD5DB" w14:textId="65FDEC72">
            <w:pPr>
              <w:spacing w:after="0" w:line="240" w:lineRule="auto"/>
              <w:rPr>
                <w:rFonts w:ascii="Times New Roman" w:hAnsi="Times New Roman" w:eastAsia="Calibri" w:cs="Times New Roman"/>
                <w:bCs/>
              </w:rPr>
            </w:pPr>
            <w:r w:rsidRPr="00F76367">
              <w:rPr>
                <w:rFonts w:ascii="Times New Roman" w:hAnsi="Times New Roman" w:eastAsia="Calibri" w:cs="Times New Roman"/>
                <w:bCs/>
              </w:rPr>
              <w:t xml:space="preserve">MOD-031-3 (Demand and Energy Data) Develop </w:t>
            </w:r>
            <w:r w:rsidR="00893AD9">
              <w:rPr>
                <w:rFonts w:ascii="Times New Roman" w:hAnsi="Times New Roman" w:eastAsia="Calibri" w:cs="Times New Roman"/>
                <w:bCs/>
              </w:rPr>
              <w:t>data request</w:t>
            </w:r>
            <w:r w:rsidRPr="00F76367" w:rsidR="00893AD9">
              <w:rPr>
                <w:rFonts w:ascii="Times New Roman" w:hAnsi="Times New Roman" w:eastAsia="Calibri" w:cs="Times New Roman"/>
                <w:bCs/>
              </w:rPr>
              <w:t xml:space="preserve"> </w:t>
            </w:r>
            <w:r w:rsidRPr="00F76367">
              <w:rPr>
                <w:rFonts w:ascii="Times New Roman" w:hAnsi="Times New Roman" w:eastAsia="Calibri" w:cs="Times New Roman"/>
                <w:bCs/>
              </w:rPr>
              <w:t xml:space="preserve">in accordance w/ R1 and R3 </w:t>
            </w:r>
          </w:p>
          <w:p w:rsidRPr="00F76367" w:rsidR="00F76367" w:rsidP="00F76367" w:rsidRDefault="00F76367" w14:paraId="6BF52554" w14:textId="14D3AF78">
            <w:pPr>
              <w:spacing w:after="0" w:line="240" w:lineRule="auto"/>
              <w:rPr>
                <w:rFonts w:ascii="Times New Roman" w:hAnsi="Times New Roman" w:eastAsia="Calibri" w:cs="Times New Roman"/>
                <w:bCs/>
              </w:rPr>
            </w:pPr>
            <w:r w:rsidRPr="00F76367">
              <w:rPr>
                <w:rFonts w:ascii="Times New Roman" w:hAnsi="Times New Roman" w:eastAsia="Calibri" w:cs="Times New Roman"/>
                <w:bCs/>
              </w:rPr>
              <w:t>&amp;</w:t>
            </w:r>
            <w:r w:rsidR="00CC762C">
              <w:rPr>
                <w:rFonts w:ascii="Times New Roman" w:hAnsi="Times New Roman" w:eastAsia="Calibri" w:cs="Times New Roman"/>
                <w:bCs/>
              </w:rPr>
              <w:t xml:space="preserve"> </w:t>
            </w:r>
            <w:r w:rsidRPr="00F76367">
              <w:rPr>
                <w:rFonts w:ascii="Times New Roman" w:hAnsi="Times New Roman" w:eastAsia="Calibri" w:cs="Times New Roman"/>
                <w:bCs/>
              </w:rPr>
              <w:t>Evidence Retention—adjustment</w:t>
            </w:r>
            <w:r w:rsidR="00862183">
              <w:rPr>
                <w:rFonts w:ascii="Times New Roman" w:hAnsi="Times New Roman" w:eastAsia="Calibri" w:cs="Times New Roman"/>
                <w:bCs/>
              </w:rPr>
              <w:t xml:space="preserve"> </w:t>
            </w:r>
            <w:r w:rsidRPr="00F76367">
              <w:rPr>
                <w:rFonts w:ascii="Times New Roman" w:hAnsi="Times New Roman" w:eastAsia="Calibri" w:cs="Times New Roman"/>
                <w:bCs/>
              </w:rPr>
              <w:t>/</w:t>
            </w:r>
            <w:r w:rsidR="00862183">
              <w:rPr>
                <w:rFonts w:ascii="Times New Roman" w:hAnsi="Times New Roman" w:eastAsia="Calibri" w:cs="Times New Roman"/>
                <w:bCs/>
              </w:rPr>
              <w:t xml:space="preserve"> </w:t>
            </w:r>
            <w:r w:rsidRPr="00F76367">
              <w:rPr>
                <w:rFonts w:ascii="Times New Roman" w:hAnsi="Times New Roman" w:eastAsia="Calibri" w:cs="Times New Roman"/>
                <w:bCs/>
              </w:rPr>
              <w:t>clarification</w:t>
            </w:r>
            <w:r w:rsidR="00C658B6">
              <w:rPr>
                <w:rStyle w:val="FootnoteReference"/>
                <w:rFonts w:eastAsia="Calibri" w:cs="Times New Roman"/>
                <w:bCs/>
              </w:rPr>
              <w:footnoteReference w:id="35"/>
            </w:r>
          </w:p>
        </w:tc>
        <w:tc>
          <w:tcPr>
            <w:tcW w:w="1369" w:type="dxa"/>
            <w:shd w:val="clear" w:color="auto" w:fill="auto"/>
            <w:vAlign w:val="bottom"/>
          </w:tcPr>
          <w:p w:rsidRPr="00F76367" w:rsidR="00F76367" w:rsidP="00F76367" w:rsidRDefault="00F76367" w14:paraId="36A5EEC5"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113 (PC &amp; BA)</w:t>
            </w:r>
          </w:p>
        </w:tc>
        <w:tc>
          <w:tcPr>
            <w:tcW w:w="1260" w:type="dxa"/>
            <w:shd w:val="clear" w:color="auto" w:fill="auto"/>
            <w:vAlign w:val="bottom"/>
          </w:tcPr>
          <w:p w:rsidRPr="00F76367" w:rsidR="00F76367" w:rsidP="00F76367" w:rsidRDefault="00F76367" w14:paraId="16C5BABC"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1</w:t>
            </w:r>
          </w:p>
        </w:tc>
        <w:tc>
          <w:tcPr>
            <w:tcW w:w="1260" w:type="dxa"/>
            <w:vAlign w:val="bottom"/>
          </w:tcPr>
          <w:p w:rsidRPr="00F76367" w:rsidR="00F76367" w:rsidP="00F76367" w:rsidRDefault="00F76367" w14:paraId="3A99767E"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113</w:t>
            </w:r>
          </w:p>
        </w:tc>
        <w:tc>
          <w:tcPr>
            <w:tcW w:w="1350" w:type="dxa"/>
            <w:shd w:val="clear" w:color="auto" w:fill="auto"/>
            <w:vAlign w:val="bottom"/>
          </w:tcPr>
          <w:p w:rsidRPr="00F76367" w:rsidR="00F76367" w:rsidRDefault="00F76367" w14:paraId="055C1E73" w14:textId="1F49771E">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8 hrs</w:t>
            </w:r>
            <w:r w:rsidR="00BC15D5">
              <w:rPr>
                <w:rFonts w:ascii="Times New Roman" w:hAnsi="Times New Roman" w:eastAsia="Calibri" w:cs="Times New Roman"/>
              </w:rPr>
              <w:t>.</w:t>
            </w:r>
          </w:p>
        </w:tc>
        <w:tc>
          <w:tcPr>
            <w:tcW w:w="2160" w:type="dxa"/>
            <w:shd w:val="clear" w:color="auto" w:fill="auto"/>
            <w:vAlign w:val="bottom"/>
          </w:tcPr>
          <w:p w:rsidRPr="00F76367" w:rsidR="00F76367" w:rsidRDefault="00F76367" w14:paraId="38B6286A" w14:textId="33BC239A">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904 hrs.</w:t>
            </w:r>
          </w:p>
        </w:tc>
      </w:tr>
      <w:tr w:rsidRPr="00F76367" w:rsidR="00F76367" w:rsidTr="00F76367" w14:paraId="391C421C" w14:textId="77777777">
        <w:trPr>
          <w:cantSplit/>
          <w:trHeight w:val="299"/>
          <w:jc w:val="center"/>
        </w:trPr>
        <w:tc>
          <w:tcPr>
            <w:tcW w:w="1686" w:type="dxa"/>
            <w:vAlign w:val="bottom"/>
          </w:tcPr>
          <w:p w:rsidR="00D63101" w:rsidP="00F76367" w:rsidRDefault="00F76367" w14:paraId="0A08C3FB" w14:textId="16EBE9B9">
            <w:pPr>
              <w:spacing w:after="0" w:line="240" w:lineRule="auto"/>
              <w:rPr>
                <w:rFonts w:ascii="Times New Roman" w:hAnsi="Times New Roman" w:eastAsia="Calibri" w:cs="Times New Roman"/>
                <w:bCs/>
              </w:rPr>
            </w:pPr>
            <w:r w:rsidRPr="00F76367">
              <w:rPr>
                <w:rFonts w:ascii="Times New Roman" w:hAnsi="Times New Roman" w:eastAsia="Calibri" w:cs="Times New Roman"/>
                <w:bCs/>
              </w:rPr>
              <w:lastRenderedPageBreak/>
              <w:t>MOD-031-3 (Demand and Energy Data) Develop</w:t>
            </w:r>
            <w:r w:rsidR="00C658B6">
              <w:rPr>
                <w:rFonts w:ascii="Times New Roman" w:hAnsi="Times New Roman" w:eastAsia="Calibri" w:cs="Times New Roman"/>
                <w:bCs/>
              </w:rPr>
              <w:t xml:space="preserve"> and provide </w:t>
            </w:r>
            <w:r w:rsidR="00CC762C">
              <w:rPr>
                <w:rFonts w:ascii="Times New Roman" w:hAnsi="Times New Roman" w:eastAsia="Calibri" w:cs="Times New Roman"/>
                <w:bCs/>
              </w:rPr>
              <w:t>data in accordance w/</w:t>
            </w:r>
            <w:r w:rsidRPr="00F76367">
              <w:rPr>
                <w:rFonts w:ascii="Times New Roman" w:hAnsi="Times New Roman" w:eastAsia="Calibri" w:cs="Times New Roman"/>
                <w:bCs/>
              </w:rPr>
              <w:t xml:space="preserve"> R2 and R4 </w:t>
            </w:r>
          </w:p>
          <w:p w:rsidRPr="00F76367" w:rsidR="00F76367" w:rsidP="00F76367" w:rsidRDefault="00F76367" w14:paraId="147E41CF" w14:textId="68DBC379">
            <w:pPr>
              <w:spacing w:after="0" w:line="240" w:lineRule="auto"/>
              <w:rPr>
                <w:rFonts w:ascii="Times New Roman" w:hAnsi="Times New Roman" w:eastAsia="Calibri" w:cs="Times New Roman"/>
                <w:bCs/>
              </w:rPr>
            </w:pPr>
            <w:r w:rsidRPr="00F76367">
              <w:rPr>
                <w:rFonts w:ascii="Times New Roman" w:hAnsi="Times New Roman" w:eastAsia="Calibri" w:cs="Times New Roman"/>
                <w:bCs/>
              </w:rPr>
              <w:t>&amp;</w:t>
            </w:r>
            <w:r w:rsidR="00D63101">
              <w:rPr>
                <w:rFonts w:ascii="Times New Roman" w:hAnsi="Times New Roman" w:eastAsia="Calibri" w:cs="Times New Roman"/>
                <w:bCs/>
              </w:rPr>
              <w:t xml:space="preserve"> </w:t>
            </w:r>
            <w:r w:rsidRPr="00F76367">
              <w:rPr>
                <w:rFonts w:ascii="Times New Roman" w:hAnsi="Times New Roman" w:eastAsia="Calibri" w:cs="Times New Roman"/>
                <w:bCs/>
              </w:rPr>
              <w:t>Evidence Retention</w:t>
            </w:r>
            <w:r w:rsidR="00862183">
              <w:rPr>
                <w:rFonts w:ascii="Times New Roman" w:hAnsi="Times New Roman" w:eastAsia="Calibri" w:cs="Times New Roman"/>
                <w:bCs/>
              </w:rPr>
              <w:t>—</w:t>
            </w:r>
            <w:r w:rsidRPr="00F76367">
              <w:rPr>
                <w:rFonts w:ascii="Times New Roman" w:hAnsi="Times New Roman" w:eastAsia="Calibri" w:cs="Times New Roman"/>
                <w:bCs/>
              </w:rPr>
              <w:t>adjustment</w:t>
            </w:r>
            <w:r w:rsidR="00862183">
              <w:rPr>
                <w:rFonts w:ascii="Times New Roman" w:hAnsi="Times New Roman" w:eastAsia="Calibri" w:cs="Times New Roman"/>
                <w:bCs/>
              </w:rPr>
              <w:t xml:space="preserve"> </w:t>
            </w:r>
            <w:r w:rsidRPr="00F76367">
              <w:rPr>
                <w:rFonts w:ascii="Times New Roman" w:hAnsi="Times New Roman" w:eastAsia="Calibri" w:cs="Times New Roman"/>
                <w:bCs/>
              </w:rPr>
              <w:t>/</w:t>
            </w:r>
            <w:r w:rsidR="00862183">
              <w:rPr>
                <w:rFonts w:ascii="Times New Roman" w:hAnsi="Times New Roman" w:eastAsia="Calibri" w:cs="Times New Roman"/>
                <w:bCs/>
              </w:rPr>
              <w:t xml:space="preserve"> </w:t>
            </w:r>
            <w:r w:rsidRPr="00F76367">
              <w:rPr>
                <w:rFonts w:ascii="Times New Roman" w:hAnsi="Times New Roman" w:eastAsia="Calibri" w:cs="Times New Roman"/>
                <w:bCs/>
              </w:rPr>
              <w:t>clarification</w:t>
            </w:r>
            <w:r w:rsidRPr="00AF7EC7" w:rsidR="00C658B6">
              <w:rPr>
                <w:rStyle w:val="FootnoteReference"/>
              </w:rPr>
              <w:fldChar w:fldCharType="begin"/>
            </w:r>
            <w:r w:rsidRPr="00AF7EC7" w:rsidR="00C658B6">
              <w:rPr>
                <w:rStyle w:val="FootnoteReference"/>
              </w:rPr>
              <w:instrText xml:space="preserve"> NOTEREF _Ref43994201 \h  \* MERGEFORMAT </w:instrText>
            </w:r>
            <w:r w:rsidRPr="00AF7EC7" w:rsidR="00C658B6">
              <w:rPr>
                <w:rStyle w:val="FootnoteReference"/>
              </w:rPr>
            </w:r>
            <w:r w:rsidRPr="00AF7EC7" w:rsidR="00C658B6">
              <w:rPr>
                <w:rStyle w:val="FootnoteReference"/>
              </w:rPr>
              <w:fldChar w:fldCharType="separate"/>
            </w:r>
            <w:r w:rsidR="008F1EC6">
              <w:rPr>
                <w:rStyle w:val="FootnoteReference"/>
              </w:rPr>
              <w:t>34</w:t>
            </w:r>
            <w:r w:rsidRPr="00AF7EC7" w:rsidR="00C658B6">
              <w:rPr>
                <w:rStyle w:val="FootnoteReference"/>
              </w:rPr>
              <w:fldChar w:fldCharType="end"/>
            </w:r>
          </w:p>
        </w:tc>
        <w:tc>
          <w:tcPr>
            <w:tcW w:w="1369" w:type="dxa"/>
            <w:shd w:val="clear" w:color="auto" w:fill="auto"/>
            <w:vAlign w:val="bottom"/>
          </w:tcPr>
          <w:p w:rsidRPr="00F76367" w:rsidR="00F76367" w:rsidP="00F76367" w:rsidRDefault="00F76367" w14:paraId="4AAF6782"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381 (TP, BA &amp; DP)</w:t>
            </w:r>
          </w:p>
        </w:tc>
        <w:tc>
          <w:tcPr>
            <w:tcW w:w="1260" w:type="dxa"/>
            <w:shd w:val="clear" w:color="auto" w:fill="auto"/>
            <w:vAlign w:val="bottom"/>
          </w:tcPr>
          <w:p w:rsidRPr="00F76367" w:rsidR="00F76367" w:rsidP="00F76367" w:rsidRDefault="00F76367" w14:paraId="4622C0BD"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1</w:t>
            </w:r>
          </w:p>
        </w:tc>
        <w:tc>
          <w:tcPr>
            <w:tcW w:w="1260" w:type="dxa"/>
            <w:vAlign w:val="bottom"/>
          </w:tcPr>
          <w:p w:rsidRPr="00F76367" w:rsidR="00F76367" w:rsidP="00F76367" w:rsidRDefault="00F76367" w14:paraId="3E48FCAF"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381</w:t>
            </w:r>
          </w:p>
        </w:tc>
        <w:tc>
          <w:tcPr>
            <w:tcW w:w="1350" w:type="dxa"/>
            <w:shd w:val="clear" w:color="auto" w:fill="auto"/>
            <w:vAlign w:val="bottom"/>
          </w:tcPr>
          <w:p w:rsidRPr="00F76367" w:rsidR="00F76367" w:rsidRDefault="00F76367" w14:paraId="129A15C3" w14:textId="6C25E762">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8 hrs.</w:t>
            </w:r>
          </w:p>
        </w:tc>
        <w:tc>
          <w:tcPr>
            <w:tcW w:w="2160" w:type="dxa"/>
            <w:shd w:val="clear" w:color="auto" w:fill="auto"/>
            <w:vAlign w:val="bottom"/>
          </w:tcPr>
          <w:p w:rsidRPr="00F76367" w:rsidR="00F76367" w:rsidRDefault="00F76367" w14:paraId="69D55B4B" w14:textId="61E3B1F1">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3,048 hrs.</w:t>
            </w:r>
            <w:r w:rsidRPr="00F76367" w:rsidDel="00BC15D5" w:rsidR="00BC15D5">
              <w:rPr>
                <w:rFonts w:ascii="Times New Roman" w:hAnsi="Times New Roman" w:eastAsia="Calibri" w:cs="Times New Roman"/>
              </w:rPr>
              <w:t xml:space="preserve"> </w:t>
            </w:r>
          </w:p>
        </w:tc>
      </w:tr>
      <w:tr w:rsidRPr="00F76367" w:rsidR="00F76367" w:rsidTr="00F76367" w14:paraId="26F0DE9F" w14:textId="77777777">
        <w:trPr>
          <w:cantSplit/>
          <w:trHeight w:val="299"/>
          <w:jc w:val="center"/>
        </w:trPr>
        <w:tc>
          <w:tcPr>
            <w:tcW w:w="1686" w:type="dxa"/>
            <w:vAlign w:val="bottom"/>
          </w:tcPr>
          <w:p w:rsidRPr="00F76367" w:rsidR="00F76367" w:rsidP="00F76367" w:rsidRDefault="00F76367" w14:paraId="0C20FB4D" w14:textId="77777777">
            <w:pPr>
              <w:spacing w:after="0" w:line="240" w:lineRule="auto"/>
              <w:rPr>
                <w:rFonts w:ascii="Times New Roman" w:hAnsi="Times New Roman" w:eastAsia="Calibri" w:cs="Times New Roman"/>
                <w:bCs/>
              </w:rPr>
            </w:pPr>
            <w:r w:rsidRPr="00F76367">
              <w:rPr>
                <w:rFonts w:ascii="Times New Roman" w:hAnsi="Times New Roman" w:eastAsia="Calibri" w:cs="Times New Roman"/>
                <w:bCs/>
              </w:rPr>
              <w:t>MOD-033-2 (Steady-State Dynamic System Model Validation)</w:t>
            </w:r>
          </w:p>
          <w:p w:rsidRPr="00F76367" w:rsidR="00F76367" w:rsidP="00F76367" w:rsidRDefault="00F76367" w14:paraId="68556541" w14:textId="77777777">
            <w:pPr>
              <w:spacing w:after="0" w:line="240" w:lineRule="auto"/>
              <w:rPr>
                <w:rFonts w:ascii="Times New Roman" w:hAnsi="Times New Roman" w:eastAsia="Calibri" w:cs="Times New Roman"/>
                <w:bCs/>
              </w:rPr>
            </w:pPr>
            <w:r w:rsidRPr="00F76367">
              <w:rPr>
                <w:rFonts w:ascii="Times New Roman" w:hAnsi="Times New Roman" w:eastAsia="Calibri" w:cs="Times New Roman"/>
                <w:bCs/>
              </w:rPr>
              <w:t>R2</w:t>
            </w:r>
          </w:p>
          <w:p w:rsidRPr="00F76367" w:rsidR="00F76367" w:rsidP="00F76367" w:rsidRDefault="00F76367" w14:paraId="2F1A55DE" w14:textId="77777777">
            <w:pPr>
              <w:spacing w:after="0" w:line="240" w:lineRule="auto"/>
              <w:rPr>
                <w:rFonts w:ascii="Times New Roman" w:hAnsi="Times New Roman" w:eastAsia="Calibri" w:cs="Times New Roman"/>
                <w:bCs/>
              </w:rPr>
            </w:pPr>
            <w:r w:rsidRPr="00F76367">
              <w:rPr>
                <w:rFonts w:ascii="Times New Roman" w:hAnsi="Times New Roman" w:eastAsia="Calibri" w:cs="Times New Roman"/>
                <w:bCs/>
              </w:rPr>
              <w:t>Data Submittal [for R2]--adjustment</w:t>
            </w:r>
          </w:p>
        </w:tc>
        <w:tc>
          <w:tcPr>
            <w:tcW w:w="1369" w:type="dxa"/>
            <w:shd w:val="clear" w:color="auto" w:fill="auto"/>
            <w:vAlign w:val="bottom"/>
          </w:tcPr>
          <w:p w:rsidRPr="00F76367" w:rsidR="00F76367" w:rsidP="00F76367" w:rsidRDefault="00F76367" w14:paraId="205CE4AA"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-14 (RC &amp; TOP)</w:t>
            </w:r>
            <w:r w:rsidRPr="00F76367">
              <w:rPr>
                <w:rFonts w:ascii="Times New Roman" w:hAnsi="Times New Roman" w:eastAsia="Calibri" w:cs="Times New Roman"/>
                <w:b/>
                <w:bCs/>
                <w:vertAlign w:val="superscript"/>
              </w:rPr>
              <w:t xml:space="preserve"> </w:t>
            </w:r>
            <w:r w:rsidRPr="00EE50D8">
              <w:rPr>
                <w:rStyle w:val="FootnoteReference"/>
              </w:rPr>
              <w:footnoteReference w:id="36"/>
            </w:r>
          </w:p>
        </w:tc>
        <w:tc>
          <w:tcPr>
            <w:tcW w:w="1260" w:type="dxa"/>
            <w:shd w:val="clear" w:color="auto" w:fill="auto"/>
            <w:vAlign w:val="bottom"/>
          </w:tcPr>
          <w:p w:rsidRPr="00F76367" w:rsidR="00F76367" w:rsidP="00F76367" w:rsidRDefault="00F76367" w14:paraId="26BD1E62"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1</w:t>
            </w:r>
          </w:p>
        </w:tc>
        <w:tc>
          <w:tcPr>
            <w:tcW w:w="1260" w:type="dxa"/>
            <w:vAlign w:val="bottom"/>
          </w:tcPr>
          <w:p w:rsidRPr="00F76367" w:rsidR="00F76367" w:rsidP="00F76367" w:rsidRDefault="00F76367" w14:paraId="40435A29"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-14</w:t>
            </w:r>
          </w:p>
        </w:tc>
        <w:tc>
          <w:tcPr>
            <w:tcW w:w="1350" w:type="dxa"/>
            <w:shd w:val="clear" w:color="auto" w:fill="auto"/>
            <w:vAlign w:val="bottom"/>
          </w:tcPr>
          <w:p w:rsidRPr="00F76367" w:rsidR="00F76367" w:rsidP="00F76367" w:rsidRDefault="00F76367" w14:paraId="183F00A7" w14:textId="09E39E9A">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8 hrs.</w:t>
            </w:r>
          </w:p>
        </w:tc>
        <w:tc>
          <w:tcPr>
            <w:tcW w:w="2160" w:type="dxa"/>
            <w:shd w:val="clear" w:color="auto" w:fill="auto"/>
            <w:vAlign w:val="bottom"/>
          </w:tcPr>
          <w:p w:rsidRPr="00F76367" w:rsidR="00F76367" w:rsidP="00F76367" w:rsidRDefault="00F76367" w14:paraId="6E434D14" w14:textId="78A0078D">
            <w:pPr>
              <w:spacing w:after="0" w:line="240" w:lineRule="auto"/>
              <w:jc w:val="right"/>
              <w:rPr>
                <w:rFonts w:ascii="Times New Roman" w:hAnsi="Times New Roman" w:eastAsia="Calibri" w:cs="Times New Roman"/>
                <w:highlight w:val="yellow"/>
              </w:rPr>
            </w:pPr>
            <w:r w:rsidRPr="00F76367">
              <w:rPr>
                <w:rFonts w:ascii="Times New Roman" w:hAnsi="Times New Roman" w:eastAsia="Calibri" w:cs="Times New Roman"/>
              </w:rPr>
              <w:t>-112 hrs.;</w:t>
            </w:r>
          </w:p>
        </w:tc>
      </w:tr>
      <w:tr w:rsidRPr="00F76367" w:rsidR="00F76367" w:rsidTr="00F76367" w14:paraId="3C72B21E" w14:textId="77777777">
        <w:trPr>
          <w:cantSplit/>
          <w:trHeight w:val="299"/>
          <w:jc w:val="center"/>
        </w:trPr>
        <w:tc>
          <w:tcPr>
            <w:tcW w:w="1686" w:type="dxa"/>
            <w:vAlign w:val="bottom"/>
          </w:tcPr>
          <w:p w:rsidRPr="00F76367" w:rsidR="00F76367" w:rsidP="00F76367" w:rsidRDefault="00F76367" w14:paraId="01993209" w14:textId="77777777">
            <w:pPr>
              <w:spacing w:after="0" w:line="240" w:lineRule="auto"/>
              <w:rPr>
                <w:rFonts w:ascii="Times New Roman" w:hAnsi="Times New Roman" w:eastAsia="Calibri" w:cs="Times New Roman"/>
                <w:bCs/>
              </w:rPr>
            </w:pPr>
            <w:r w:rsidRPr="00F76367">
              <w:rPr>
                <w:rFonts w:ascii="Times New Roman" w:hAnsi="Times New Roman" w:eastAsia="Calibri" w:cs="Times New Roman"/>
                <w:bCs/>
              </w:rPr>
              <w:t>MOD-033-2 (Steady-State Dynamic System Model Validation),R1-R2, Evidence Retention, adjustment</w:t>
            </w:r>
          </w:p>
        </w:tc>
        <w:tc>
          <w:tcPr>
            <w:tcW w:w="1369" w:type="dxa"/>
            <w:shd w:val="clear" w:color="auto" w:fill="auto"/>
            <w:vAlign w:val="bottom"/>
          </w:tcPr>
          <w:p w:rsidRPr="00F76367" w:rsidR="00F76367" w:rsidP="00F76367" w:rsidRDefault="00F76367" w14:paraId="6D21468D" w14:textId="10EBE939">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-14 (PC, RC &amp; TOP)</w:t>
            </w:r>
            <w:r w:rsidR="00F0023E">
              <w:rPr>
                <w:rFonts w:ascii="Times New Roman" w:hAnsi="Times New Roman" w:eastAsia="Calibri" w:cs="Times New Roman"/>
              </w:rPr>
              <w:t xml:space="preserve"> </w:t>
            </w:r>
            <w:r w:rsidRPr="00EE50D8">
              <w:rPr>
                <w:rFonts w:ascii="Times New Roman" w:hAnsi="Times New Roman" w:eastAsia="Calibri" w:cs="Times New Roman"/>
                <w:b/>
                <w:sz w:val="26"/>
                <w:szCs w:val="26"/>
                <w:vertAlign w:val="superscript"/>
              </w:rPr>
              <w:footnoteReference w:id="37"/>
            </w:r>
          </w:p>
        </w:tc>
        <w:tc>
          <w:tcPr>
            <w:tcW w:w="1260" w:type="dxa"/>
            <w:shd w:val="clear" w:color="auto" w:fill="auto"/>
            <w:vAlign w:val="bottom"/>
          </w:tcPr>
          <w:p w:rsidRPr="00F76367" w:rsidR="00F76367" w:rsidP="00F76367" w:rsidRDefault="00F76367" w14:paraId="309C93C6"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1</w:t>
            </w:r>
          </w:p>
        </w:tc>
        <w:tc>
          <w:tcPr>
            <w:tcW w:w="1260" w:type="dxa"/>
            <w:vAlign w:val="bottom"/>
          </w:tcPr>
          <w:p w:rsidRPr="00F76367" w:rsidR="00F76367" w:rsidP="00F76367" w:rsidRDefault="00F76367" w14:paraId="01DDDE63"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-14</w:t>
            </w:r>
          </w:p>
        </w:tc>
        <w:tc>
          <w:tcPr>
            <w:tcW w:w="1350" w:type="dxa"/>
            <w:shd w:val="clear" w:color="auto" w:fill="auto"/>
            <w:vAlign w:val="bottom"/>
          </w:tcPr>
          <w:p w:rsidRPr="00F76367" w:rsidR="00F76367" w:rsidP="00F76367" w:rsidRDefault="00F76367" w14:paraId="700C798B" w14:textId="796F693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1 hr.</w:t>
            </w:r>
          </w:p>
        </w:tc>
        <w:tc>
          <w:tcPr>
            <w:tcW w:w="2160" w:type="dxa"/>
            <w:shd w:val="clear" w:color="auto" w:fill="auto"/>
            <w:vAlign w:val="bottom"/>
          </w:tcPr>
          <w:p w:rsidRPr="00F76367" w:rsidR="00F76367" w:rsidRDefault="00F76367" w14:paraId="765881A6" w14:textId="60565E98">
            <w:pPr>
              <w:spacing w:after="0" w:line="240" w:lineRule="auto"/>
              <w:jc w:val="right"/>
              <w:rPr>
                <w:rFonts w:ascii="Times New Roman" w:hAnsi="Times New Roman" w:eastAsia="Calibri" w:cs="Times New Roman"/>
                <w:highlight w:val="yellow"/>
              </w:rPr>
            </w:pPr>
            <w:r w:rsidRPr="00F76367">
              <w:rPr>
                <w:rFonts w:ascii="Times New Roman" w:hAnsi="Times New Roman" w:eastAsia="Calibri" w:cs="Times New Roman"/>
              </w:rPr>
              <w:t>-14 hrs.</w:t>
            </w:r>
          </w:p>
        </w:tc>
      </w:tr>
      <w:tr w:rsidRPr="00F76367" w:rsidR="00F76367" w:rsidTr="00F76367" w14:paraId="27A584D6" w14:textId="77777777">
        <w:trPr>
          <w:cantSplit/>
          <w:trHeight w:val="299"/>
          <w:jc w:val="center"/>
        </w:trPr>
        <w:tc>
          <w:tcPr>
            <w:tcW w:w="1686" w:type="dxa"/>
            <w:vAlign w:val="bottom"/>
          </w:tcPr>
          <w:p w:rsidRPr="00F76367" w:rsidR="00F76367" w:rsidP="00F76367" w:rsidRDefault="00F76367" w14:paraId="172809A2" w14:textId="77777777">
            <w:pPr>
              <w:spacing w:after="0" w:line="240" w:lineRule="auto"/>
              <w:rPr>
                <w:rFonts w:ascii="Times New Roman" w:hAnsi="Times New Roman" w:eastAsia="Calibri" w:cs="Times New Roman"/>
                <w:b/>
                <w:bCs/>
              </w:rPr>
            </w:pPr>
            <w:r w:rsidRPr="00F76367">
              <w:rPr>
                <w:rFonts w:ascii="Times New Roman" w:hAnsi="Times New Roman" w:eastAsia="Calibri" w:cs="Times New Roman"/>
                <w:b/>
                <w:bCs/>
              </w:rPr>
              <w:t>Net Sub-Total for FERC-725L</w:t>
            </w:r>
          </w:p>
        </w:tc>
        <w:tc>
          <w:tcPr>
            <w:tcW w:w="1369" w:type="dxa"/>
            <w:shd w:val="clear" w:color="auto" w:fill="D9D9D9"/>
            <w:vAlign w:val="bottom"/>
          </w:tcPr>
          <w:p w:rsidRPr="00F76367" w:rsidR="00F76367" w:rsidP="00F76367" w:rsidRDefault="00F76367" w14:paraId="7606526E" w14:textId="77777777">
            <w:pPr>
              <w:spacing w:after="0" w:line="240" w:lineRule="auto"/>
              <w:jc w:val="right"/>
              <w:rPr>
                <w:rFonts w:ascii="Times New Roman" w:hAnsi="Times New Roman" w:eastAsia="Calibri" w:cs="Times New Roman"/>
              </w:rPr>
            </w:pPr>
          </w:p>
        </w:tc>
        <w:tc>
          <w:tcPr>
            <w:tcW w:w="1260" w:type="dxa"/>
            <w:shd w:val="clear" w:color="auto" w:fill="D9D9D9"/>
            <w:vAlign w:val="bottom"/>
          </w:tcPr>
          <w:p w:rsidRPr="00F76367" w:rsidR="00F76367" w:rsidP="00F76367" w:rsidRDefault="00F76367" w14:paraId="6B954A35" w14:textId="77777777">
            <w:pPr>
              <w:spacing w:after="0" w:line="240" w:lineRule="auto"/>
              <w:jc w:val="right"/>
              <w:rPr>
                <w:rFonts w:ascii="Times New Roman" w:hAnsi="Times New Roman" w:eastAsia="Calibri" w:cs="Times New Roman"/>
              </w:rPr>
            </w:pPr>
          </w:p>
        </w:tc>
        <w:tc>
          <w:tcPr>
            <w:tcW w:w="1260" w:type="dxa"/>
            <w:shd w:val="clear" w:color="auto" w:fill="auto"/>
            <w:vAlign w:val="bottom"/>
          </w:tcPr>
          <w:p w:rsidRPr="00F76367" w:rsidR="00F76367" w:rsidP="00F76367" w:rsidRDefault="00F76367" w14:paraId="594CC405"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-95 (net reduction)</w:t>
            </w:r>
          </w:p>
        </w:tc>
        <w:tc>
          <w:tcPr>
            <w:tcW w:w="1350" w:type="dxa"/>
            <w:shd w:val="clear" w:color="auto" w:fill="D9D9D9"/>
            <w:vAlign w:val="bottom"/>
          </w:tcPr>
          <w:p w:rsidRPr="00F76367" w:rsidR="00F76367" w:rsidP="00F76367" w:rsidRDefault="00F76367" w14:paraId="7108DBE4" w14:textId="77777777">
            <w:pPr>
              <w:spacing w:after="0" w:line="240" w:lineRule="auto"/>
              <w:jc w:val="right"/>
              <w:rPr>
                <w:rFonts w:ascii="Times New Roman" w:hAnsi="Times New Roman" w:eastAsia="Calibri" w:cs="Times New Roman"/>
              </w:rPr>
            </w:pPr>
          </w:p>
        </w:tc>
        <w:tc>
          <w:tcPr>
            <w:tcW w:w="2160" w:type="dxa"/>
            <w:shd w:val="clear" w:color="auto" w:fill="auto"/>
            <w:vAlign w:val="bottom"/>
          </w:tcPr>
          <w:p w:rsidRPr="00F76367" w:rsidR="00F76367" w:rsidP="00F76367" w:rsidRDefault="00F76367" w14:paraId="262DA502" w14:textId="411DF1A9">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-662 hrs.;</w:t>
            </w:r>
          </w:p>
          <w:p w:rsidRPr="00F76367" w:rsidR="00F76367" w:rsidP="00F76367" w:rsidRDefault="00F76367" w14:paraId="4020067B"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(net reduction)</w:t>
            </w:r>
          </w:p>
        </w:tc>
      </w:tr>
      <w:tr w:rsidRPr="00F76367" w:rsidR="00F76367" w:rsidTr="00F76367" w14:paraId="71C28B33" w14:textId="77777777">
        <w:trPr>
          <w:cantSplit/>
          <w:trHeight w:val="299"/>
          <w:jc w:val="center"/>
        </w:trPr>
        <w:tc>
          <w:tcPr>
            <w:tcW w:w="9085" w:type="dxa"/>
            <w:gridSpan w:val="6"/>
            <w:shd w:val="pct10" w:color="auto" w:fill="auto"/>
            <w:vAlign w:val="bottom"/>
          </w:tcPr>
          <w:p w:rsidRPr="00F76367" w:rsidR="00F76367" w:rsidP="00F76367" w:rsidRDefault="00F76367" w14:paraId="13E5CBA7" w14:textId="77777777">
            <w:pPr>
              <w:spacing w:after="0" w:line="240" w:lineRule="auto"/>
              <w:jc w:val="center"/>
              <w:rPr>
                <w:rFonts w:ascii="Times New Roman" w:hAnsi="Times New Roman" w:eastAsia="Calibri" w:cs="Times New Roman"/>
              </w:rPr>
            </w:pPr>
            <w:r w:rsidRPr="00F76367">
              <w:rPr>
                <w:rFonts w:ascii="Times New Roman" w:hAnsi="Times New Roman" w:eastAsia="Calibri" w:cs="Times New Roman"/>
                <w:b/>
                <w:bCs/>
                <w:iCs/>
              </w:rPr>
              <w:t>FERC-725Z, OMB Control No. 1902-0276</w:t>
            </w:r>
          </w:p>
        </w:tc>
      </w:tr>
      <w:tr w:rsidRPr="00F76367" w:rsidR="00F76367" w:rsidTr="00F76367" w14:paraId="61946077" w14:textId="77777777">
        <w:trPr>
          <w:cantSplit/>
          <w:trHeight w:val="299"/>
          <w:jc w:val="center"/>
        </w:trPr>
        <w:tc>
          <w:tcPr>
            <w:tcW w:w="1686" w:type="dxa"/>
            <w:vAlign w:val="bottom"/>
          </w:tcPr>
          <w:p w:rsidRPr="00F76367" w:rsidR="00F76367" w:rsidP="00F76367" w:rsidRDefault="00F76367" w14:paraId="4F6312F2" w14:textId="77777777">
            <w:pPr>
              <w:spacing w:after="0" w:line="240" w:lineRule="auto"/>
              <w:rPr>
                <w:rFonts w:ascii="Times New Roman" w:hAnsi="Times New Roman" w:eastAsia="Calibri" w:cs="Times New Roman"/>
                <w:bCs/>
              </w:rPr>
            </w:pPr>
            <w:r w:rsidRPr="00F76367">
              <w:rPr>
                <w:rFonts w:ascii="Times New Roman" w:hAnsi="Times New Roman" w:eastAsia="Calibri" w:cs="Times New Roman"/>
                <w:bCs/>
              </w:rPr>
              <w:t>IRO-010-3 (Reliability Coordinator Data Specification and Collection)</w:t>
            </w:r>
          </w:p>
          <w:p w:rsidRPr="00F76367" w:rsidR="00F76367" w:rsidP="00F76367" w:rsidRDefault="00F76367" w14:paraId="26DAABA7" w14:textId="77777777">
            <w:pPr>
              <w:spacing w:after="0" w:line="240" w:lineRule="auto"/>
              <w:rPr>
                <w:rFonts w:ascii="Times New Roman" w:hAnsi="Times New Roman" w:eastAsia="Calibri" w:cs="Times New Roman"/>
                <w:bCs/>
              </w:rPr>
            </w:pPr>
            <w:r w:rsidRPr="00F76367">
              <w:rPr>
                <w:rFonts w:ascii="Times New Roman" w:hAnsi="Times New Roman" w:eastAsia="Calibri" w:cs="Times New Roman"/>
                <w:bCs/>
              </w:rPr>
              <w:t>R1-R3</w:t>
            </w:r>
          </w:p>
          <w:p w:rsidRPr="00F76367" w:rsidR="00F76367" w:rsidP="00F76367" w:rsidRDefault="00F76367" w14:paraId="2DF7E210" w14:textId="77777777">
            <w:pPr>
              <w:spacing w:after="0" w:line="240" w:lineRule="auto"/>
              <w:rPr>
                <w:rFonts w:ascii="Times New Roman" w:hAnsi="Times New Roman" w:eastAsia="Calibri" w:cs="Times New Roman"/>
                <w:bCs/>
              </w:rPr>
            </w:pPr>
            <w:r w:rsidRPr="00F76367">
              <w:rPr>
                <w:rFonts w:ascii="Times New Roman" w:hAnsi="Times New Roman" w:eastAsia="Calibri" w:cs="Times New Roman"/>
                <w:bCs/>
              </w:rPr>
              <w:t>Evidence Retention--adjustment</w:t>
            </w:r>
          </w:p>
        </w:tc>
        <w:tc>
          <w:tcPr>
            <w:tcW w:w="1369" w:type="dxa"/>
            <w:shd w:val="clear" w:color="auto" w:fill="auto"/>
            <w:vAlign w:val="bottom"/>
          </w:tcPr>
          <w:p w:rsidRPr="00F76367" w:rsidR="00F76367" w:rsidP="00F76367" w:rsidRDefault="00F76367" w14:paraId="19A842BA"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+1 (RC)</w:t>
            </w:r>
            <w:r w:rsidRPr="00F76367">
              <w:rPr>
                <w:rFonts w:ascii="Times New Roman" w:hAnsi="Times New Roman" w:eastAsia="Calibri" w:cs="Times New Roman"/>
                <w:bCs/>
              </w:rPr>
              <w:t xml:space="preserve"> </w:t>
            </w:r>
          </w:p>
        </w:tc>
        <w:tc>
          <w:tcPr>
            <w:tcW w:w="1260" w:type="dxa"/>
            <w:shd w:val="clear" w:color="auto" w:fill="auto"/>
            <w:vAlign w:val="bottom"/>
          </w:tcPr>
          <w:p w:rsidRPr="00F76367" w:rsidR="00F76367" w:rsidP="00F76367" w:rsidRDefault="00F76367" w14:paraId="671494E9"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1</w:t>
            </w:r>
          </w:p>
        </w:tc>
        <w:tc>
          <w:tcPr>
            <w:tcW w:w="1260" w:type="dxa"/>
            <w:vAlign w:val="bottom"/>
          </w:tcPr>
          <w:p w:rsidRPr="00F76367" w:rsidR="00F76367" w:rsidP="00F76367" w:rsidRDefault="00F76367" w14:paraId="1BA1A974" w14:textId="32845B94">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1</w:t>
            </w:r>
          </w:p>
        </w:tc>
        <w:tc>
          <w:tcPr>
            <w:tcW w:w="1350" w:type="dxa"/>
            <w:shd w:val="clear" w:color="auto" w:fill="auto"/>
            <w:vAlign w:val="bottom"/>
          </w:tcPr>
          <w:p w:rsidRPr="00F76367" w:rsidR="00F76367" w:rsidP="00F76367" w:rsidRDefault="00F76367" w14:paraId="12F64221" w14:textId="2D7F8D75">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36 hrs.</w:t>
            </w:r>
          </w:p>
        </w:tc>
        <w:tc>
          <w:tcPr>
            <w:tcW w:w="2160" w:type="dxa"/>
            <w:shd w:val="clear" w:color="auto" w:fill="auto"/>
            <w:vAlign w:val="bottom"/>
          </w:tcPr>
          <w:p w:rsidRPr="00F76367" w:rsidR="00F76367" w:rsidRDefault="00F76367" w14:paraId="422D5EA3" w14:textId="1CB0E6F2">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+36</w:t>
            </w:r>
            <w:r w:rsidR="001F06DC">
              <w:rPr>
                <w:rFonts w:ascii="Times New Roman" w:hAnsi="Times New Roman" w:eastAsia="Calibri" w:cs="Times New Roman"/>
              </w:rPr>
              <w:t xml:space="preserve"> </w:t>
            </w:r>
            <w:r w:rsidRPr="00F76367">
              <w:rPr>
                <w:rFonts w:ascii="Times New Roman" w:hAnsi="Times New Roman" w:eastAsia="Calibri" w:cs="Times New Roman"/>
              </w:rPr>
              <w:t>hrs.</w:t>
            </w:r>
          </w:p>
        </w:tc>
      </w:tr>
      <w:tr w:rsidRPr="00F76367" w:rsidR="00F76367" w:rsidTr="00F76367" w14:paraId="4EA5E68C" w14:textId="77777777">
        <w:trPr>
          <w:cantSplit/>
          <w:trHeight w:val="299"/>
          <w:jc w:val="center"/>
        </w:trPr>
        <w:tc>
          <w:tcPr>
            <w:tcW w:w="1686" w:type="dxa"/>
            <w:vAlign w:val="bottom"/>
          </w:tcPr>
          <w:p w:rsidRPr="00F76367" w:rsidR="00F76367" w:rsidP="00F76367" w:rsidRDefault="00F76367" w14:paraId="1445997D" w14:textId="77777777">
            <w:pPr>
              <w:spacing w:after="0" w:line="240" w:lineRule="auto"/>
              <w:rPr>
                <w:rFonts w:ascii="Times New Roman" w:hAnsi="Times New Roman" w:eastAsia="Calibri" w:cs="Times New Roman"/>
                <w:bCs/>
              </w:rPr>
            </w:pPr>
            <w:r w:rsidRPr="00F76367">
              <w:rPr>
                <w:rFonts w:ascii="Times New Roman" w:hAnsi="Times New Roman" w:eastAsia="Calibri" w:cs="Times New Roman"/>
                <w:bCs/>
              </w:rPr>
              <w:lastRenderedPageBreak/>
              <w:t>IRO-010-3 (Reliability Coordinator Data Specification and Collection), R3 &amp;Evidence Retention—adjustment/clarification</w:t>
            </w:r>
            <w:r w:rsidRPr="001922A4">
              <w:rPr>
                <w:rFonts w:ascii="Times New Roman" w:hAnsi="Times New Roman" w:eastAsia="Calibri" w:cs="Times New Roman"/>
                <w:b/>
                <w:bCs/>
                <w:sz w:val="26"/>
                <w:szCs w:val="26"/>
                <w:vertAlign w:val="superscript"/>
              </w:rPr>
              <w:footnoteReference w:id="38"/>
            </w:r>
          </w:p>
        </w:tc>
        <w:tc>
          <w:tcPr>
            <w:tcW w:w="1369" w:type="dxa"/>
            <w:shd w:val="clear" w:color="auto" w:fill="auto"/>
            <w:vAlign w:val="bottom"/>
          </w:tcPr>
          <w:p w:rsidRPr="00F76367" w:rsidR="00F76367" w:rsidP="00F76367" w:rsidRDefault="00F76367" w14:paraId="4D1E053C"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 xml:space="preserve">1,388 (BA, GO, GOP, TOP, TO &amp; DP) </w:t>
            </w:r>
          </w:p>
        </w:tc>
        <w:tc>
          <w:tcPr>
            <w:tcW w:w="1260" w:type="dxa"/>
            <w:shd w:val="clear" w:color="auto" w:fill="auto"/>
            <w:vAlign w:val="bottom"/>
          </w:tcPr>
          <w:p w:rsidRPr="00F76367" w:rsidR="00F76367" w:rsidP="00F76367" w:rsidRDefault="00F76367" w14:paraId="13BBAAD0"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1</w:t>
            </w:r>
          </w:p>
        </w:tc>
        <w:tc>
          <w:tcPr>
            <w:tcW w:w="1260" w:type="dxa"/>
            <w:vAlign w:val="bottom"/>
          </w:tcPr>
          <w:p w:rsidRPr="00F76367" w:rsidR="00F76367" w:rsidP="00F76367" w:rsidRDefault="00F76367" w14:paraId="2194A323"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1,388</w:t>
            </w:r>
          </w:p>
        </w:tc>
        <w:tc>
          <w:tcPr>
            <w:tcW w:w="1350" w:type="dxa"/>
            <w:shd w:val="clear" w:color="auto" w:fill="auto"/>
            <w:vAlign w:val="bottom"/>
          </w:tcPr>
          <w:p w:rsidRPr="00F76367" w:rsidR="00F76367" w:rsidP="00F76367" w:rsidRDefault="00F76367" w14:paraId="5694F4AA" w14:textId="188FC8E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8 hrs.</w:t>
            </w:r>
          </w:p>
        </w:tc>
        <w:tc>
          <w:tcPr>
            <w:tcW w:w="2160" w:type="dxa"/>
            <w:shd w:val="clear" w:color="auto" w:fill="auto"/>
            <w:vAlign w:val="bottom"/>
          </w:tcPr>
          <w:p w:rsidRPr="00F76367" w:rsidR="00F76367" w:rsidP="00F76367" w:rsidRDefault="00F76367" w14:paraId="0433B4A6" w14:textId="402B2136">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11,104 hrs.;</w:t>
            </w:r>
          </w:p>
        </w:tc>
      </w:tr>
      <w:tr w:rsidRPr="00F76367" w:rsidR="00F76367" w:rsidTr="00F76367" w14:paraId="6C655BFD" w14:textId="77777777">
        <w:trPr>
          <w:cantSplit/>
          <w:trHeight w:val="299"/>
          <w:jc w:val="center"/>
        </w:trPr>
        <w:tc>
          <w:tcPr>
            <w:tcW w:w="1686" w:type="dxa"/>
            <w:vAlign w:val="bottom"/>
          </w:tcPr>
          <w:p w:rsidRPr="00F76367" w:rsidR="00F76367" w:rsidP="00F76367" w:rsidRDefault="00F76367" w14:paraId="4D8A6313" w14:textId="77777777">
            <w:pPr>
              <w:spacing w:after="0" w:line="240" w:lineRule="auto"/>
              <w:rPr>
                <w:rFonts w:ascii="Times New Roman" w:hAnsi="Times New Roman" w:eastAsia="Calibri" w:cs="Times New Roman"/>
                <w:b/>
                <w:bCs/>
              </w:rPr>
            </w:pPr>
            <w:r w:rsidRPr="00F76367">
              <w:rPr>
                <w:rFonts w:ascii="Times New Roman" w:hAnsi="Times New Roman" w:eastAsia="Calibri" w:cs="Times New Roman"/>
                <w:b/>
                <w:bCs/>
              </w:rPr>
              <w:t>Net Sub-Total for FERC-725Z</w:t>
            </w:r>
          </w:p>
        </w:tc>
        <w:tc>
          <w:tcPr>
            <w:tcW w:w="1369" w:type="dxa"/>
            <w:tcBorders>
              <w:bottom w:val="single" w:color="auto" w:sz="4" w:space="0"/>
            </w:tcBorders>
            <w:shd w:val="clear" w:color="auto" w:fill="D9D9D9"/>
            <w:vAlign w:val="bottom"/>
          </w:tcPr>
          <w:p w:rsidRPr="00F76367" w:rsidR="00F76367" w:rsidP="00F76367" w:rsidRDefault="00F76367" w14:paraId="51079E0D" w14:textId="77777777">
            <w:pPr>
              <w:spacing w:after="0" w:line="240" w:lineRule="auto"/>
              <w:jc w:val="right"/>
              <w:rPr>
                <w:rFonts w:ascii="Times New Roman" w:hAnsi="Times New Roman" w:eastAsia="Calibri" w:cs="Times New Roman"/>
              </w:rPr>
            </w:pPr>
          </w:p>
        </w:tc>
        <w:tc>
          <w:tcPr>
            <w:tcW w:w="1260" w:type="dxa"/>
            <w:tcBorders>
              <w:bottom w:val="single" w:color="auto" w:sz="4" w:space="0"/>
            </w:tcBorders>
            <w:shd w:val="clear" w:color="auto" w:fill="D9D9D9"/>
            <w:vAlign w:val="bottom"/>
          </w:tcPr>
          <w:p w:rsidRPr="00F76367" w:rsidR="00F76367" w:rsidP="00F76367" w:rsidRDefault="00F76367" w14:paraId="2C4743DF" w14:textId="77777777">
            <w:pPr>
              <w:spacing w:after="0" w:line="240" w:lineRule="auto"/>
              <w:jc w:val="right"/>
              <w:rPr>
                <w:rFonts w:ascii="Times New Roman" w:hAnsi="Times New Roman" w:eastAsia="Calibri" w:cs="Times New Roman"/>
              </w:rPr>
            </w:pPr>
          </w:p>
        </w:tc>
        <w:tc>
          <w:tcPr>
            <w:tcW w:w="1260" w:type="dxa"/>
            <w:shd w:val="clear" w:color="auto" w:fill="auto"/>
            <w:vAlign w:val="bottom"/>
          </w:tcPr>
          <w:p w:rsidRPr="00F76367" w:rsidR="00F76367" w:rsidP="00F76367" w:rsidRDefault="00F76367" w14:paraId="4503921C"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1,389 (net increase)</w:t>
            </w:r>
          </w:p>
        </w:tc>
        <w:tc>
          <w:tcPr>
            <w:tcW w:w="1350" w:type="dxa"/>
            <w:tcBorders>
              <w:bottom w:val="single" w:color="auto" w:sz="4" w:space="0"/>
            </w:tcBorders>
            <w:shd w:val="clear" w:color="auto" w:fill="D9D9D9"/>
            <w:vAlign w:val="bottom"/>
          </w:tcPr>
          <w:p w:rsidRPr="00F76367" w:rsidR="00F76367" w:rsidP="00F76367" w:rsidRDefault="00F76367" w14:paraId="35091CAE" w14:textId="77777777">
            <w:pPr>
              <w:spacing w:after="0" w:line="240" w:lineRule="auto"/>
              <w:jc w:val="right"/>
              <w:rPr>
                <w:rFonts w:ascii="Times New Roman" w:hAnsi="Times New Roman" w:eastAsia="Calibri" w:cs="Times New Roman"/>
              </w:rPr>
            </w:pPr>
          </w:p>
        </w:tc>
        <w:tc>
          <w:tcPr>
            <w:tcW w:w="2160" w:type="dxa"/>
            <w:shd w:val="clear" w:color="auto" w:fill="auto"/>
            <w:vAlign w:val="bottom"/>
          </w:tcPr>
          <w:p w:rsidRPr="00F76367" w:rsidR="00F76367" w:rsidP="00F76367" w:rsidRDefault="00F76367" w14:paraId="00EEDC81" w14:textId="597D0CB0">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11,140 hrs.;</w:t>
            </w:r>
          </w:p>
          <w:p w:rsidRPr="00F76367" w:rsidR="00F76367" w:rsidP="00F76367" w:rsidRDefault="00F76367" w14:paraId="668DE3B4" w14:textId="77777777">
            <w:pPr>
              <w:spacing w:after="0" w:line="240" w:lineRule="auto"/>
              <w:jc w:val="right"/>
              <w:rPr>
                <w:rFonts w:ascii="Times New Roman" w:hAnsi="Times New Roman" w:eastAsia="Calibri" w:cs="Times New Roman"/>
              </w:rPr>
            </w:pPr>
            <w:r w:rsidRPr="00F76367">
              <w:rPr>
                <w:rFonts w:ascii="Times New Roman" w:hAnsi="Times New Roman" w:eastAsia="Calibri" w:cs="Times New Roman"/>
              </w:rPr>
              <w:t>(net increase)</w:t>
            </w:r>
          </w:p>
        </w:tc>
      </w:tr>
      <w:tr w:rsidRPr="00F76367" w:rsidR="00F76367" w:rsidTr="001922A4" w14:paraId="0BD7D18C" w14:textId="77777777">
        <w:trPr>
          <w:cantSplit/>
          <w:trHeight w:val="299"/>
          <w:jc w:val="center"/>
        </w:trPr>
        <w:tc>
          <w:tcPr>
            <w:tcW w:w="1686" w:type="dxa"/>
            <w:vAlign w:val="bottom"/>
          </w:tcPr>
          <w:p w:rsidRPr="00F76367" w:rsidR="00F76367" w:rsidP="00F76367" w:rsidRDefault="00F76367" w14:paraId="0786D7EC" w14:textId="3A0F8D6A">
            <w:pPr>
              <w:spacing w:after="0" w:line="240" w:lineRule="auto"/>
              <w:rPr>
                <w:rFonts w:ascii="Times New Roman" w:hAnsi="Times New Roman" w:eastAsia="Calibri" w:cs="Times New Roman"/>
                <w:b/>
                <w:bCs/>
              </w:rPr>
            </w:pPr>
            <w:r w:rsidRPr="00F76367">
              <w:rPr>
                <w:rFonts w:ascii="Times New Roman" w:hAnsi="Times New Roman" w:eastAsia="Calibri" w:cs="Times New Roman"/>
                <w:b/>
                <w:bCs/>
              </w:rPr>
              <w:t>Net Total Program Changes</w:t>
            </w:r>
            <w:r w:rsidRPr="00F76367" w:rsidDel="00FB5864" w:rsidR="00FB5864">
              <w:rPr>
                <w:rFonts w:ascii="Times New Roman" w:hAnsi="Times New Roman" w:eastAsia="Calibri" w:cs="Times New Roman"/>
                <w:b/>
                <w:bCs/>
              </w:rPr>
              <w:t xml:space="preserve"> </w:t>
            </w:r>
            <w:bookmarkStart w:name="_Ref45528630" w:id="9"/>
            <w:r w:rsidR="001922A4">
              <w:rPr>
                <w:rStyle w:val="FootnoteReference"/>
                <w:rFonts w:eastAsia="Calibri" w:cs="Times New Roman"/>
                <w:b w:val="0"/>
                <w:bCs/>
              </w:rPr>
              <w:footnoteReference w:id="39"/>
            </w:r>
            <w:bookmarkEnd w:id="9"/>
          </w:p>
        </w:tc>
        <w:tc>
          <w:tcPr>
            <w:tcW w:w="1369" w:type="dxa"/>
            <w:shd w:val="clear" w:color="auto" w:fill="D9D9D9"/>
            <w:vAlign w:val="bottom"/>
          </w:tcPr>
          <w:p w:rsidRPr="00F76367" w:rsidR="00F76367" w:rsidP="00F76367" w:rsidRDefault="00F76367" w14:paraId="5B16387F" w14:textId="77777777">
            <w:pPr>
              <w:spacing w:after="0" w:line="240" w:lineRule="auto"/>
              <w:jc w:val="right"/>
              <w:rPr>
                <w:rFonts w:ascii="Times New Roman" w:hAnsi="Times New Roman" w:eastAsia="Calibri" w:cs="Times New Roman"/>
                <w:highlight w:val="lightGray"/>
              </w:rPr>
            </w:pPr>
          </w:p>
        </w:tc>
        <w:tc>
          <w:tcPr>
            <w:tcW w:w="1260" w:type="dxa"/>
            <w:shd w:val="clear" w:color="auto" w:fill="D9D9D9"/>
            <w:vAlign w:val="bottom"/>
          </w:tcPr>
          <w:p w:rsidRPr="00F76367" w:rsidR="00F76367" w:rsidP="00F76367" w:rsidRDefault="00F76367" w14:paraId="7E825013" w14:textId="77777777">
            <w:pPr>
              <w:spacing w:after="0" w:line="240" w:lineRule="auto"/>
              <w:jc w:val="right"/>
              <w:rPr>
                <w:rFonts w:ascii="Times New Roman" w:hAnsi="Times New Roman" w:eastAsia="Calibri" w:cs="Times New Roman"/>
                <w:highlight w:val="lightGray"/>
              </w:rPr>
            </w:pPr>
          </w:p>
        </w:tc>
        <w:tc>
          <w:tcPr>
            <w:tcW w:w="1260" w:type="dxa"/>
            <w:tcBorders>
              <w:bottom w:val="single" w:color="auto" w:sz="4" w:space="0"/>
            </w:tcBorders>
            <w:shd w:val="clear" w:color="auto" w:fill="D9D9D9" w:themeFill="background1" w:themeFillShade="D9"/>
            <w:vAlign w:val="bottom"/>
          </w:tcPr>
          <w:p w:rsidRPr="00F76367" w:rsidR="00F76367" w:rsidP="00F76367" w:rsidRDefault="00F76367" w14:paraId="6846F757" w14:textId="77777777">
            <w:pPr>
              <w:spacing w:after="0" w:line="240" w:lineRule="auto"/>
              <w:jc w:val="right"/>
              <w:rPr>
                <w:rFonts w:ascii="Times New Roman" w:hAnsi="Times New Roman" w:eastAsia="Calibri" w:cs="Times New Roman"/>
              </w:rPr>
            </w:pPr>
          </w:p>
        </w:tc>
        <w:tc>
          <w:tcPr>
            <w:tcW w:w="1350" w:type="dxa"/>
            <w:shd w:val="clear" w:color="auto" w:fill="D9D9D9"/>
            <w:vAlign w:val="bottom"/>
          </w:tcPr>
          <w:p w:rsidRPr="00F76367" w:rsidR="00F76367" w:rsidP="00F76367" w:rsidRDefault="00F76367" w14:paraId="058BA9FD" w14:textId="77777777">
            <w:pPr>
              <w:spacing w:after="0" w:line="240" w:lineRule="auto"/>
              <w:jc w:val="right"/>
              <w:rPr>
                <w:rFonts w:ascii="Times New Roman" w:hAnsi="Times New Roman" w:eastAsia="Calibri" w:cs="Times New Roman"/>
              </w:rPr>
            </w:pPr>
          </w:p>
        </w:tc>
        <w:tc>
          <w:tcPr>
            <w:tcW w:w="2160" w:type="dxa"/>
            <w:shd w:val="clear" w:color="auto" w:fill="auto"/>
            <w:vAlign w:val="bottom"/>
          </w:tcPr>
          <w:p w:rsidRPr="00F76367" w:rsidR="00F76367" w:rsidP="00F76367" w:rsidRDefault="00FB5864" w14:paraId="5A04F92B" w14:textId="6B25EECE">
            <w:pPr>
              <w:spacing w:after="0" w:line="240" w:lineRule="auto"/>
              <w:jc w:val="right"/>
              <w:rPr>
                <w:rFonts w:ascii="Times New Roman" w:hAnsi="Times New Roman" w:eastAsia="Calibri" w:cs="Times New Roman"/>
              </w:rPr>
            </w:pPr>
            <w:r>
              <w:rPr>
                <w:rFonts w:ascii="Times New Roman" w:hAnsi="Times New Roman" w:eastAsia="Calibri" w:cs="Times New Roman"/>
              </w:rPr>
              <w:t>+8,812 hrs.</w:t>
            </w:r>
          </w:p>
        </w:tc>
      </w:tr>
      <w:tr w:rsidRPr="00F76367" w:rsidR="00F76367" w:rsidTr="001922A4" w14:paraId="689E3B12" w14:textId="77777777">
        <w:trPr>
          <w:cantSplit/>
          <w:trHeight w:val="299"/>
          <w:jc w:val="center"/>
        </w:trPr>
        <w:tc>
          <w:tcPr>
            <w:tcW w:w="1686" w:type="dxa"/>
            <w:vAlign w:val="bottom"/>
          </w:tcPr>
          <w:p w:rsidRPr="00F76367" w:rsidR="00F76367" w:rsidP="00F76367" w:rsidRDefault="00F76367" w14:paraId="718EA30D" w14:textId="2D45A564">
            <w:pPr>
              <w:spacing w:after="0" w:line="240" w:lineRule="auto"/>
              <w:rPr>
                <w:rFonts w:ascii="Times New Roman" w:hAnsi="Times New Roman" w:eastAsia="Calibri" w:cs="Times New Roman"/>
                <w:b/>
                <w:bCs/>
              </w:rPr>
            </w:pPr>
            <w:r w:rsidRPr="00F76367">
              <w:rPr>
                <w:rFonts w:ascii="Times New Roman" w:hAnsi="Times New Roman" w:eastAsia="Calibri" w:cs="Times New Roman"/>
                <w:b/>
                <w:bCs/>
              </w:rPr>
              <w:t xml:space="preserve">Net Total Adjustments, </w:t>
            </w:r>
          </w:p>
        </w:tc>
        <w:tc>
          <w:tcPr>
            <w:tcW w:w="1369" w:type="dxa"/>
            <w:shd w:val="clear" w:color="auto" w:fill="D9D9D9"/>
            <w:vAlign w:val="bottom"/>
          </w:tcPr>
          <w:p w:rsidRPr="00F76367" w:rsidR="00F76367" w:rsidP="00F76367" w:rsidRDefault="00F76367" w14:paraId="08121699" w14:textId="77777777">
            <w:pPr>
              <w:spacing w:after="0" w:line="240" w:lineRule="auto"/>
              <w:jc w:val="right"/>
              <w:rPr>
                <w:rFonts w:ascii="Times New Roman" w:hAnsi="Times New Roman" w:eastAsia="Calibri" w:cs="Times New Roman"/>
                <w:highlight w:val="lightGray"/>
              </w:rPr>
            </w:pPr>
          </w:p>
        </w:tc>
        <w:tc>
          <w:tcPr>
            <w:tcW w:w="1260" w:type="dxa"/>
            <w:shd w:val="clear" w:color="auto" w:fill="D9D9D9"/>
            <w:vAlign w:val="bottom"/>
          </w:tcPr>
          <w:p w:rsidRPr="00F76367" w:rsidR="00F76367" w:rsidP="00F76367" w:rsidRDefault="00F76367" w14:paraId="38F99C36" w14:textId="77777777">
            <w:pPr>
              <w:spacing w:after="0" w:line="240" w:lineRule="auto"/>
              <w:jc w:val="right"/>
              <w:rPr>
                <w:rFonts w:ascii="Times New Roman" w:hAnsi="Times New Roman" w:eastAsia="Calibri" w:cs="Times New Roman"/>
                <w:highlight w:val="lightGray"/>
              </w:rPr>
            </w:pPr>
          </w:p>
        </w:tc>
        <w:tc>
          <w:tcPr>
            <w:tcW w:w="1260" w:type="dxa"/>
            <w:shd w:val="clear" w:color="auto" w:fill="D9D9D9" w:themeFill="background1" w:themeFillShade="D9"/>
            <w:vAlign w:val="bottom"/>
          </w:tcPr>
          <w:p w:rsidRPr="00F76367" w:rsidR="00F76367" w:rsidP="00F76367" w:rsidRDefault="00F76367" w14:paraId="5AEA9909" w14:textId="77777777">
            <w:pPr>
              <w:spacing w:after="0" w:line="240" w:lineRule="auto"/>
              <w:jc w:val="right"/>
              <w:rPr>
                <w:rFonts w:ascii="Times New Roman" w:hAnsi="Times New Roman" w:eastAsia="Calibri" w:cs="Times New Roman"/>
              </w:rPr>
            </w:pPr>
          </w:p>
        </w:tc>
        <w:tc>
          <w:tcPr>
            <w:tcW w:w="1350" w:type="dxa"/>
            <w:shd w:val="clear" w:color="auto" w:fill="D9D9D9"/>
            <w:vAlign w:val="bottom"/>
          </w:tcPr>
          <w:p w:rsidRPr="00F76367" w:rsidR="00F76367" w:rsidP="00F76367" w:rsidRDefault="00F76367" w14:paraId="74FDCACE" w14:textId="77777777">
            <w:pPr>
              <w:spacing w:after="0" w:line="240" w:lineRule="auto"/>
              <w:jc w:val="right"/>
              <w:rPr>
                <w:rFonts w:ascii="Times New Roman" w:hAnsi="Times New Roman" w:eastAsia="Calibri" w:cs="Times New Roman"/>
              </w:rPr>
            </w:pPr>
          </w:p>
        </w:tc>
        <w:tc>
          <w:tcPr>
            <w:tcW w:w="2160" w:type="dxa"/>
            <w:shd w:val="clear" w:color="auto" w:fill="auto"/>
            <w:vAlign w:val="bottom"/>
          </w:tcPr>
          <w:p w:rsidRPr="00F76367" w:rsidR="00F76367" w:rsidP="00F76367" w:rsidRDefault="00FB5864" w14:paraId="475A2730" w14:textId="471C8282">
            <w:pPr>
              <w:spacing w:after="0" w:line="240" w:lineRule="auto"/>
              <w:jc w:val="right"/>
              <w:rPr>
                <w:rFonts w:ascii="Times New Roman" w:hAnsi="Times New Roman" w:eastAsia="Calibri" w:cs="Times New Roman"/>
              </w:rPr>
            </w:pPr>
            <w:r>
              <w:rPr>
                <w:rFonts w:ascii="Times New Roman" w:hAnsi="Times New Roman" w:eastAsia="Calibri" w:cs="Times New Roman"/>
              </w:rPr>
              <w:t>+12,517 hrs.</w:t>
            </w:r>
          </w:p>
        </w:tc>
      </w:tr>
      <w:tr w:rsidRPr="00F76367" w:rsidR="00F76367" w:rsidTr="001922A4" w14:paraId="081B8521" w14:textId="77777777">
        <w:trPr>
          <w:cantSplit/>
          <w:trHeight w:val="299"/>
          <w:jc w:val="center"/>
        </w:trPr>
        <w:tc>
          <w:tcPr>
            <w:tcW w:w="1686" w:type="dxa"/>
            <w:vAlign w:val="bottom"/>
          </w:tcPr>
          <w:p w:rsidRPr="00F76367" w:rsidR="00F76367" w:rsidP="00F76367" w:rsidRDefault="00F76367" w14:paraId="194D0B31" w14:textId="24F44B70">
            <w:pPr>
              <w:spacing w:after="0" w:line="240" w:lineRule="auto"/>
              <w:rPr>
                <w:rFonts w:ascii="Times New Roman" w:hAnsi="Times New Roman" w:eastAsia="Calibri" w:cs="Times New Roman"/>
                <w:b/>
                <w:bCs/>
              </w:rPr>
            </w:pPr>
            <w:r w:rsidRPr="00F76367">
              <w:rPr>
                <w:rFonts w:ascii="Times New Roman" w:hAnsi="Times New Roman" w:eastAsia="Calibri" w:cs="Times New Roman"/>
                <w:b/>
                <w:bCs/>
              </w:rPr>
              <w:t xml:space="preserve">TOTAL </w:t>
            </w:r>
            <w:r w:rsidR="00FB5864">
              <w:rPr>
                <w:rFonts w:ascii="Times New Roman" w:hAnsi="Times New Roman" w:eastAsia="Calibri" w:cs="Times New Roman"/>
                <w:b/>
                <w:bCs/>
              </w:rPr>
              <w:t xml:space="preserve">NET </w:t>
            </w:r>
            <w:r w:rsidRPr="00F76367">
              <w:rPr>
                <w:rFonts w:ascii="Times New Roman" w:hAnsi="Times New Roman" w:eastAsia="Calibri" w:cs="Times New Roman"/>
                <w:b/>
                <w:bCs/>
              </w:rPr>
              <w:t>CHANGES (Including Program Changes and Adjustments)</w:t>
            </w:r>
            <w:r w:rsidRPr="00140DAC" w:rsidR="001922A4">
              <w:rPr>
                <w:rFonts w:ascii="Times New Roman" w:hAnsi="Times New Roman" w:eastAsia="Calibri" w:cs="Times New Roman"/>
                <w:sz w:val="26"/>
                <w:szCs w:val="26"/>
                <w:vertAlign w:val="superscript"/>
              </w:rPr>
              <w:fldChar w:fldCharType="begin"/>
            </w:r>
            <w:r w:rsidRPr="00140DAC" w:rsidR="001922A4">
              <w:rPr>
                <w:rFonts w:ascii="Times New Roman" w:hAnsi="Times New Roman" w:eastAsia="Calibri" w:cs="Times New Roman"/>
                <w:sz w:val="26"/>
                <w:szCs w:val="26"/>
                <w:vertAlign w:val="superscript"/>
              </w:rPr>
              <w:instrText xml:space="preserve"> NOTEREF _Ref45528630 \h  \* MERGEFORMAT </w:instrText>
            </w:r>
            <w:r w:rsidRPr="00140DAC" w:rsidR="001922A4">
              <w:rPr>
                <w:rFonts w:ascii="Times New Roman" w:hAnsi="Times New Roman" w:eastAsia="Calibri" w:cs="Times New Roman"/>
                <w:sz w:val="26"/>
                <w:szCs w:val="26"/>
                <w:vertAlign w:val="superscript"/>
              </w:rPr>
            </w:r>
            <w:r w:rsidRPr="00140DAC" w:rsidR="001922A4">
              <w:rPr>
                <w:rFonts w:ascii="Times New Roman" w:hAnsi="Times New Roman" w:eastAsia="Calibri" w:cs="Times New Roman"/>
                <w:sz w:val="26"/>
                <w:szCs w:val="26"/>
                <w:vertAlign w:val="superscript"/>
              </w:rPr>
              <w:fldChar w:fldCharType="separate"/>
            </w:r>
            <w:r w:rsidR="008F1EC6">
              <w:rPr>
                <w:rFonts w:ascii="Times New Roman" w:hAnsi="Times New Roman" w:eastAsia="Calibri" w:cs="Times New Roman"/>
                <w:sz w:val="26"/>
                <w:szCs w:val="26"/>
                <w:vertAlign w:val="superscript"/>
              </w:rPr>
              <w:t>39</w:t>
            </w:r>
            <w:r w:rsidRPr="00140DAC" w:rsidR="001922A4">
              <w:rPr>
                <w:rFonts w:ascii="Times New Roman" w:hAnsi="Times New Roman" w:eastAsia="Calibri" w:cs="Times New Roman"/>
                <w:sz w:val="26"/>
                <w:szCs w:val="26"/>
                <w:vertAlign w:val="superscript"/>
              </w:rPr>
              <w:fldChar w:fldCharType="end"/>
            </w:r>
          </w:p>
        </w:tc>
        <w:tc>
          <w:tcPr>
            <w:tcW w:w="1369" w:type="dxa"/>
            <w:shd w:val="clear" w:color="auto" w:fill="D9D9D9"/>
            <w:vAlign w:val="bottom"/>
          </w:tcPr>
          <w:p w:rsidRPr="00F76367" w:rsidR="00F76367" w:rsidP="00F76367" w:rsidRDefault="00F76367" w14:paraId="3BB30E9F" w14:textId="77777777">
            <w:pPr>
              <w:spacing w:after="0" w:line="240" w:lineRule="auto"/>
              <w:jc w:val="right"/>
              <w:rPr>
                <w:rFonts w:ascii="Times New Roman" w:hAnsi="Times New Roman" w:eastAsia="Calibri" w:cs="Times New Roman"/>
                <w:highlight w:val="lightGray"/>
              </w:rPr>
            </w:pPr>
          </w:p>
        </w:tc>
        <w:tc>
          <w:tcPr>
            <w:tcW w:w="1260" w:type="dxa"/>
            <w:shd w:val="clear" w:color="auto" w:fill="D9D9D9"/>
            <w:vAlign w:val="bottom"/>
          </w:tcPr>
          <w:p w:rsidRPr="00F76367" w:rsidR="00F76367" w:rsidP="00F76367" w:rsidRDefault="00F76367" w14:paraId="5F44CFF6" w14:textId="77777777">
            <w:pPr>
              <w:spacing w:after="0" w:line="240" w:lineRule="auto"/>
              <w:jc w:val="right"/>
              <w:rPr>
                <w:rFonts w:ascii="Times New Roman" w:hAnsi="Times New Roman" w:eastAsia="Calibri" w:cs="Times New Roman"/>
                <w:highlight w:val="lightGray"/>
              </w:rPr>
            </w:pPr>
          </w:p>
        </w:tc>
        <w:tc>
          <w:tcPr>
            <w:tcW w:w="1260" w:type="dxa"/>
            <w:shd w:val="clear" w:color="auto" w:fill="D9D9D9" w:themeFill="background1" w:themeFillShade="D9"/>
            <w:vAlign w:val="bottom"/>
          </w:tcPr>
          <w:p w:rsidRPr="00F76367" w:rsidR="00F76367" w:rsidP="00F76367" w:rsidRDefault="00F76367" w14:paraId="6DEB0747" w14:textId="77777777">
            <w:pPr>
              <w:spacing w:after="0" w:line="240" w:lineRule="auto"/>
              <w:jc w:val="right"/>
              <w:rPr>
                <w:rFonts w:ascii="Times New Roman" w:hAnsi="Times New Roman" w:eastAsia="Calibri" w:cs="Times New Roman"/>
              </w:rPr>
            </w:pPr>
          </w:p>
        </w:tc>
        <w:tc>
          <w:tcPr>
            <w:tcW w:w="1350" w:type="dxa"/>
            <w:shd w:val="clear" w:color="auto" w:fill="D9D9D9"/>
            <w:vAlign w:val="bottom"/>
          </w:tcPr>
          <w:p w:rsidRPr="00F76367" w:rsidR="00F76367" w:rsidP="00F76367" w:rsidRDefault="00F76367" w14:paraId="6C8312BF" w14:textId="77777777">
            <w:pPr>
              <w:spacing w:after="0" w:line="240" w:lineRule="auto"/>
              <w:jc w:val="right"/>
              <w:rPr>
                <w:rFonts w:ascii="Times New Roman" w:hAnsi="Times New Roman" w:eastAsia="Calibri" w:cs="Times New Roman"/>
              </w:rPr>
            </w:pPr>
          </w:p>
        </w:tc>
        <w:tc>
          <w:tcPr>
            <w:tcW w:w="2160" w:type="dxa"/>
            <w:shd w:val="clear" w:color="auto" w:fill="auto"/>
            <w:vAlign w:val="bottom"/>
          </w:tcPr>
          <w:p w:rsidRPr="00F76367" w:rsidR="00F76367" w:rsidP="00F76367" w:rsidRDefault="00FB5864" w14:paraId="7B730F36" w14:textId="59922156">
            <w:pPr>
              <w:spacing w:after="0" w:line="240" w:lineRule="auto"/>
              <w:jc w:val="right"/>
              <w:rPr>
                <w:rFonts w:ascii="Times New Roman" w:hAnsi="Times New Roman" w:eastAsia="Calibri" w:cs="Times New Roman"/>
              </w:rPr>
            </w:pPr>
            <w:r>
              <w:rPr>
                <w:rFonts w:ascii="Times New Roman" w:hAnsi="Times New Roman" w:eastAsia="Calibri" w:cs="Times New Roman"/>
              </w:rPr>
              <w:t>+21,329 hrs.</w:t>
            </w:r>
          </w:p>
        </w:tc>
      </w:tr>
    </w:tbl>
    <w:p w:rsidR="00F76367" w:rsidP="00E649CC" w:rsidRDefault="00F76367" w14:paraId="5572321D" w14:textId="77777777">
      <w:pPr>
        <w:spacing w:after="0" w:line="480" w:lineRule="auto"/>
        <w:ind w:firstLine="720"/>
        <w:rPr>
          <w:rFonts w:ascii="Times New Roman" w:hAnsi="Times New Roman" w:eastAsia="Times New Roman" w:cs="Times New Roman"/>
          <w:i/>
          <w:sz w:val="26"/>
          <w:szCs w:val="26"/>
          <w:highlight w:val="yellow"/>
        </w:rPr>
      </w:pPr>
    </w:p>
    <w:p w:rsidRPr="00E30633" w:rsidR="00E30633" w:rsidP="00BD1658" w:rsidRDefault="00E30633" w14:paraId="0CA04A40" w14:textId="740D1BEB">
      <w:pPr>
        <w:spacing w:before="240" w:after="0" w:line="480" w:lineRule="auto"/>
        <w:rPr>
          <w:rFonts w:ascii="Times New Roman" w:hAnsi="Times New Roman" w:eastAsia="Times New Roman" w:cs="Times New Roman"/>
          <w:sz w:val="26"/>
          <w:szCs w:val="24"/>
        </w:rPr>
      </w:pPr>
      <w:r w:rsidRPr="00E30633">
        <w:rPr>
          <w:rFonts w:ascii="Times New Roman" w:hAnsi="Times New Roman" w:eastAsia="Times New Roman" w:cs="Times New Roman"/>
          <w:i/>
          <w:sz w:val="26"/>
          <w:szCs w:val="24"/>
        </w:rPr>
        <w:t xml:space="preserve">Comments:  </w:t>
      </w:r>
      <w:r w:rsidRPr="00E30633">
        <w:rPr>
          <w:rFonts w:ascii="Times New Roman" w:hAnsi="Times New Roman" w:eastAsia="Times New Roman" w:cs="Times New Roman"/>
          <w:sz w:val="26"/>
          <w:szCs w:val="24"/>
        </w:rPr>
        <w:t>Comments are invited on:  (1) whether t</w:t>
      </w:r>
      <w:r w:rsidR="00D37CFD">
        <w:rPr>
          <w:rFonts w:ascii="Times New Roman" w:hAnsi="Times New Roman" w:eastAsia="Times New Roman" w:cs="Times New Roman"/>
          <w:sz w:val="26"/>
          <w:szCs w:val="24"/>
        </w:rPr>
        <w:t>he collection</w:t>
      </w:r>
      <w:r w:rsidR="003E766F">
        <w:rPr>
          <w:rFonts w:ascii="Times New Roman" w:hAnsi="Times New Roman" w:eastAsia="Times New Roman" w:cs="Times New Roman"/>
          <w:sz w:val="26"/>
          <w:szCs w:val="24"/>
        </w:rPr>
        <w:t>s</w:t>
      </w:r>
      <w:r w:rsidR="00D37CFD">
        <w:rPr>
          <w:rFonts w:ascii="Times New Roman" w:hAnsi="Times New Roman" w:eastAsia="Times New Roman" w:cs="Times New Roman"/>
          <w:sz w:val="26"/>
          <w:szCs w:val="24"/>
        </w:rPr>
        <w:t xml:space="preserve"> of information </w:t>
      </w:r>
      <w:r w:rsidR="003E766F">
        <w:rPr>
          <w:rFonts w:ascii="Times New Roman" w:hAnsi="Times New Roman" w:eastAsia="Times New Roman" w:cs="Times New Roman"/>
          <w:sz w:val="26"/>
          <w:szCs w:val="24"/>
        </w:rPr>
        <w:t>are</w:t>
      </w:r>
      <w:r w:rsidR="006E3665">
        <w:rPr>
          <w:rFonts w:ascii="Times New Roman" w:hAnsi="Times New Roman" w:eastAsia="Times New Roman" w:cs="Times New Roman"/>
          <w:sz w:val="26"/>
          <w:szCs w:val="24"/>
        </w:rPr>
        <w:t xml:space="preserve"> </w:t>
      </w:r>
      <w:r w:rsidRPr="00E30633">
        <w:rPr>
          <w:rFonts w:ascii="Times New Roman" w:hAnsi="Times New Roman" w:eastAsia="Times New Roman" w:cs="Times New Roman"/>
          <w:sz w:val="26"/>
          <w:szCs w:val="24"/>
        </w:rPr>
        <w:t>necessary for the proper performance of the functions of the Commission, including whether the information will have practical utility; (2) the accuracy of the agency's estimate</w:t>
      </w:r>
      <w:r w:rsidR="003E766F">
        <w:rPr>
          <w:rFonts w:ascii="Times New Roman" w:hAnsi="Times New Roman" w:eastAsia="Times New Roman" w:cs="Times New Roman"/>
          <w:sz w:val="26"/>
          <w:szCs w:val="24"/>
        </w:rPr>
        <w:t>s</w:t>
      </w:r>
      <w:r w:rsidRPr="00E30633">
        <w:rPr>
          <w:rFonts w:ascii="Times New Roman" w:hAnsi="Times New Roman" w:eastAsia="Times New Roman" w:cs="Times New Roman"/>
          <w:sz w:val="26"/>
          <w:szCs w:val="24"/>
        </w:rPr>
        <w:t xml:space="preserve"> of the burden and cost of the collection</w:t>
      </w:r>
      <w:r w:rsidR="003E766F">
        <w:rPr>
          <w:rFonts w:ascii="Times New Roman" w:hAnsi="Times New Roman" w:eastAsia="Times New Roman" w:cs="Times New Roman"/>
          <w:sz w:val="26"/>
          <w:szCs w:val="24"/>
        </w:rPr>
        <w:t>s</w:t>
      </w:r>
      <w:r w:rsidRPr="00E30633">
        <w:rPr>
          <w:rFonts w:ascii="Times New Roman" w:hAnsi="Times New Roman" w:eastAsia="Times New Roman" w:cs="Times New Roman"/>
          <w:sz w:val="26"/>
          <w:szCs w:val="24"/>
        </w:rPr>
        <w:t xml:space="preserve"> of information, including the validity of the methodology and assumptions used; (3) ways to enhance the quality, utility and </w:t>
      </w:r>
      <w:r w:rsidRPr="00E30633">
        <w:rPr>
          <w:rFonts w:ascii="Times New Roman" w:hAnsi="Times New Roman" w:eastAsia="Times New Roman" w:cs="Times New Roman"/>
          <w:sz w:val="26"/>
          <w:szCs w:val="24"/>
        </w:rPr>
        <w:lastRenderedPageBreak/>
        <w:t>clarity of the information collection</w:t>
      </w:r>
      <w:r w:rsidR="003E766F">
        <w:rPr>
          <w:rFonts w:ascii="Times New Roman" w:hAnsi="Times New Roman" w:eastAsia="Times New Roman" w:cs="Times New Roman"/>
          <w:sz w:val="26"/>
          <w:szCs w:val="24"/>
        </w:rPr>
        <w:t>s</w:t>
      </w:r>
      <w:r w:rsidRPr="00E30633">
        <w:rPr>
          <w:rFonts w:ascii="Times New Roman" w:hAnsi="Times New Roman" w:eastAsia="Times New Roman" w:cs="Times New Roman"/>
          <w:sz w:val="26"/>
          <w:szCs w:val="24"/>
        </w:rPr>
        <w:t>; and (4) ways to minimize the burden of the collection</w:t>
      </w:r>
      <w:r w:rsidR="003E766F">
        <w:rPr>
          <w:rFonts w:ascii="Times New Roman" w:hAnsi="Times New Roman" w:eastAsia="Times New Roman" w:cs="Times New Roman"/>
          <w:sz w:val="26"/>
          <w:szCs w:val="24"/>
        </w:rPr>
        <w:t>s</w:t>
      </w:r>
      <w:r w:rsidRPr="00E30633">
        <w:rPr>
          <w:rFonts w:ascii="Times New Roman" w:hAnsi="Times New Roman" w:eastAsia="Times New Roman" w:cs="Times New Roman"/>
          <w:sz w:val="26"/>
          <w:szCs w:val="24"/>
        </w:rPr>
        <w:t xml:space="preserve"> of information on those who are to respond, including the use of automated collection techniques or other forms of information technology.  </w:t>
      </w:r>
    </w:p>
    <w:p w:rsidR="006870DD" w:rsidP="004F4CD7" w:rsidRDefault="006870DD" w14:paraId="7FC37C8A" w14:textId="6D87DA42">
      <w:pPr>
        <w:spacing w:after="0" w:line="240" w:lineRule="auto"/>
        <w:rPr>
          <w:rFonts w:ascii="Times New Roman" w:hAnsi="Times New Roman" w:cs="Times New Roman"/>
          <w:sz w:val="26"/>
        </w:rPr>
      </w:pPr>
    </w:p>
    <w:p w:rsidR="004F4CD7" w:rsidP="004F4CD7" w:rsidRDefault="004F4CD7" w14:paraId="63D6A6E2" w14:textId="61E8FC4A">
      <w:pPr>
        <w:spacing w:after="0" w:line="240" w:lineRule="auto"/>
        <w:rPr>
          <w:rFonts w:ascii="Times New Roman" w:hAnsi="Times New Roman" w:cs="Times New Roman"/>
          <w:sz w:val="26"/>
          <w:szCs w:val="26"/>
        </w:rPr>
      </w:pPr>
      <w:bookmarkStart w:name="_GoBack" w:id="10"/>
      <w:bookmarkEnd w:id="10"/>
    </w:p>
    <w:p w:rsidRPr="004F4CD7" w:rsidR="004F4CD7" w:rsidP="004F4CD7" w:rsidRDefault="004F4CD7" w14:paraId="42238770" w14:textId="16DB471A">
      <w:pPr>
        <w:spacing w:after="0" w:line="240" w:lineRule="auto"/>
        <w:ind w:firstLine="2606"/>
        <w:jc w:val="center"/>
        <w:rPr>
          <w:rFonts w:ascii="Times New Roman" w:hAnsi="Times New Roman" w:cs="Times New Roman"/>
          <w:sz w:val="26"/>
        </w:rPr>
      </w:pPr>
      <w:r w:rsidRPr="004F4CD7">
        <w:rPr>
          <w:rFonts w:ascii="Times New Roman" w:hAnsi="Times New Roman" w:cs="Times New Roman"/>
          <w:sz w:val="26"/>
        </w:rPr>
        <w:t>Nathaniel J. Davis, Sr.,</w:t>
      </w:r>
    </w:p>
    <w:p w:rsidRPr="004F4CD7" w:rsidR="004F4CD7" w:rsidP="004F4CD7" w:rsidRDefault="004F4CD7" w14:paraId="6F54DC66" w14:textId="75435DC6">
      <w:pPr>
        <w:spacing w:after="0" w:line="240" w:lineRule="auto"/>
        <w:ind w:firstLine="2606"/>
        <w:jc w:val="center"/>
      </w:pPr>
      <w:r w:rsidRPr="004F4CD7">
        <w:rPr>
          <w:rFonts w:ascii="Times New Roman" w:hAnsi="Times New Roman" w:cs="Times New Roman"/>
          <w:sz w:val="26"/>
        </w:rPr>
        <w:t>Deputy Secretary.</w:t>
      </w:r>
    </w:p>
    <w:p w:rsidRPr="000027F9" w:rsidR="004F4CD7" w:rsidP="004F4CD7" w:rsidRDefault="004F4CD7" w14:paraId="6FAF1386" w14:textId="77777777">
      <w:pPr>
        <w:spacing w:after="0" w:line="240" w:lineRule="auto"/>
        <w:rPr>
          <w:rFonts w:ascii="Times New Roman" w:hAnsi="Times New Roman" w:cs="Times New Roman"/>
          <w:sz w:val="26"/>
          <w:szCs w:val="26"/>
        </w:rPr>
      </w:pPr>
    </w:p>
    <w:sectPr w:rsidRPr="000027F9" w:rsidR="004F4CD7" w:rsidSect="00FB794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4F5CD" w14:textId="77777777" w:rsidR="006727A1" w:rsidRDefault="006727A1" w:rsidP="00AD1160">
      <w:pPr>
        <w:spacing w:after="0" w:line="240" w:lineRule="auto"/>
      </w:pPr>
      <w:r>
        <w:separator/>
      </w:r>
    </w:p>
  </w:endnote>
  <w:endnote w:type="continuationSeparator" w:id="0">
    <w:p w14:paraId="30FA889E" w14:textId="77777777" w:rsidR="006727A1" w:rsidRDefault="006727A1" w:rsidP="00AD1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CF5BD" w14:textId="77777777" w:rsidR="00E801E4" w:rsidRDefault="00E80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3F7B2" w14:textId="77777777" w:rsidR="00E801E4" w:rsidRDefault="00E80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1EEFC" w14:textId="77777777" w:rsidR="00E801E4" w:rsidRDefault="00E80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0F6AA" w14:textId="77777777" w:rsidR="006727A1" w:rsidRDefault="006727A1" w:rsidP="00AD1160">
      <w:pPr>
        <w:spacing w:after="0" w:line="240" w:lineRule="auto"/>
      </w:pPr>
      <w:r>
        <w:separator/>
      </w:r>
    </w:p>
  </w:footnote>
  <w:footnote w:type="continuationSeparator" w:id="0">
    <w:p w14:paraId="156E0D2E" w14:textId="77777777" w:rsidR="006727A1" w:rsidRDefault="006727A1" w:rsidP="00AD1160">
      <w:pPr>
        <w:spacing w:after="0" w:line="240" w:lineRule="auto"/>
      </w:pPr>
      <w:r>
        <w:continuationSeparator/>
      </w:r>
    </w:p>
  </w:footnote>
  <w:footnote w:id="1">
    <w:p w14:paraId="7614EB4C" w14:textId="4AFEDCF5" w:rsidR="00E801E4" w:rsidRDefault="00E801E4" w:rsidP="004F4CD7">
      <w:pPr>
        <w:pStyle w:val="FootnoteText"/>
        <w:ind w:firstLine="720"/>
        <w:rPr>
          <w:rFonts w:ascii="Times New Roman" w:hAnsi="Times New Roman" w:cs="Times New Roman"/>
          <w:sz w:val="26"/>
          <w:szCs w:val="26"/>
        </w:rPr>
      </w:pPr>
      <w:r w:rsidRPr="004F4CD7">
        <w:rPr>
          <w:rStyle w:val="FootnoteReference"/>
          <w:rFonts w:cs="Times New Roman"/>
        </w:rPr>
        <w:footnoteRef/>
      </w:r>
      <w:r w:rsidRPr="004F4CD7">
        <w:rPr>
          <w:rFonts w:ascii="Times New Roman" w:hAnsi="Times New Roman" w:cs="Times New Roman"/>
          <w:sz w:val="26"/>
          <w:szCs w:val="26"/>
        </w:rPr>
        <w:t xml:space="preserve"> The petition and exhibits are posted in the Commission’s eLibrary system in Docket No. RD</w:t>
      </w:r>
      <w:r>
        <w:rPr>
          <w:rFonts w:ascii="Times New Roman" w:hAnsi="Times New Roman" w:cs="Times New Roman"/>
          <w:sz w:val="26"/>
          <w:szCs w:val="26"/>
        </w:rPr>
        <w:t>20</w:t>
      </w:r>
      <w:r w:rsidRPr="004F4CD7">
        <w:rPr>
          <w:rFonts w:ascii="Times New Roman" w:hAnsi="Times New Roman" w:cs="Times New Roman"/>
          <w:sz w:val="26"/>
          <w:szCs w:val="26"/>
        </w:rPr>
        <w:t>-</w:t>
      </w:r>
      <w:r>
        <w:rPr>
          <w:rFonts w:ascii="Times New Roman" w:hAnsi="Times New Roman" w:cs="Times New Roman"/>
          <w:sz w:val="26"/>
          <w:szCs w:val="26"/>
        </w:rPr>
        <w:t>4</w:t>
      </w:r>
      <w:r w:rsidRPr="004F4CD7">
        <w:rPr>
          <w:rFonts w:ascii="Times New Roman" w:hAnsi="Times New Roman" w:cs="Times New Roman"/>
          <w:sz w:val="26"/>
          <w:szCs w:val="26"/>
        </w:rPr>
        <w:t xml:space="preserve">-000 </w:t>
      </w:r>
      <w:hyperlink r:id="rId1" w:history="1">
        <w:r w:rsidRPr="004F4CD7">
          <w:rPr>
            <w:rStyle w:val="Hyperlink"/>
            <w:rFonts w:ascii="Times New Roman" w:hAnsi="Times New Roman" w:cs="Times New Roman"/>
            <w:sz w:val="26"/>
            <w:szCs w:val="26"/>
          </w:rPr>
          <w:t>(</w:t>
        </w:r>
        <w:r>
          <w:rPr>
            <w:rStyle w:val="Hyperlink"/>
            <w:rFonts w:ascii="Times New Roman" w:hAnsi="Times New Roman" w:cs="Times New Roman"/>
            <w:sz w:val="26"/>
            <w:szCs w:val="26"/>
          </w:rPr>
          <w:t>Standards Alignment with Registration</w:t>
        </w:r>
        <w:r w:rsidRPr="004F4CD7">
          <w:rPr>
            <w:rStyle w:val="Hyperlink"/>
            <w:rFonts w:ascii="Times New Roman" w:hAnsi="Times New Roman" w:cs="Times New Roman"/>
            <w:sz w:val="26"/>
            <w:szCs w:val="26"/>
          </w:rPr>
          <w:t xml:space="preserve"> Petition)</w:t>
        </w:r>
      </w:hyperlink>
      <w:r w:rsidRPr="004F4CD7">
        <w:rPr>
          <w:rFonts w:ascii="Times New Roman" w:hAnsi="Times New Roman" w:cs="Times New Roman"/>
          <w:sz w:val="26"/>
          <w:szCs w:val="26"/>
        </w:rPr>
        <w:t>.</w:t>
      </w:r>
    </w:p>
    <w:p w14:paraId="6B372B71" w14:textId="77777777" w:rsidR="00E801E4" w:rsidRPr="004F4CD7" w:rsidRDefault="00E801E4" w:rsidP="004F4CD7">
      <w:pPr>
        <w:pStyle w:val="FootnoteText"/>
        <w:ind w:firstLine="720"/>
        <w:rPr>
          <w:rFonts w:ascii="Times New Roman" w:hAnsi="Times New Roman" w:cs="Times New Roman"/>
          <w:sz w:val="26"/>
          <w:szCs w:val="26"/>
        </w:rPr>
      </w:pPr>
    </w:p>
  </w:footnote>
  <w:footnote w:id="2">
    <w:p w14:paraId="17E29D6D" w14:textId="34A27883" w:rsidR="00E801E4" w:rsidRDefault="00E801E4" w:rsidP="003E1402">
      <w:pPr>
        <w:pStyle w:val="FootnoteText"/>
        <w:ind w:firstLine="720"/>
        <w:rPr>
          <w:rFonts w:ascii="Times New Roman" w:hAnsi="Times New Roman" w:cs="Times New Roman"/>
          <w:sz w:val="26"/>
          <w:szCs w:val="26"/>
        </w:rPr>
      </w:pPr>
      <w:r>
        <w:rPr>
          <w:rStyle w:val="FootnoteReference"/>
        </w:rPr>
        <w:footnoteRef/>
      </w:r>
      <w:r>
        <w:t xml:space="preserve"> </w:t>
      </w:r>
      <w:r w:rsidRPr="003E1402">
        <w:rPr>
          <w:rFonts w:ascii="Times New Roman" w:hAnsi="Times New Roman" w:cs="Times New Roman"/>
          <w:sz w:val="26"/>
          <w:szCs w:val="26"/>
        </w:rPr>
        <w:t>16 U.S.C. § 824o (2018).</w:t>
      </w:r>
    </w:p>
    <w:p w14:paraId="57F60D95" w14:textId="77777777" w:rsidR="00E801E4" w:rsidRPr="003E1402" w:rsidRDefault="00E801E4" w:rsidP="003E1402">
      <w:pPr>
        <w:pStyle w:val="FootnoteText"/>
        <w:ind w:firstLine="720"/>
        <w:rPr>
          <w:rFonts w:ascii="Times New Roman" w:hAnsi="Times New Roman" w:cs="Times New Roman"/>
          <w:sz w:val="26"/>
          <w:szCs w:val="26"/>
        </w:rPr>
      </w:pPr>
    </w:p>
  </w:footnote>
  <w:footnote w:id="3">
    <w:p w14:paraId="1DFFC0C6" w14:textId="21A0B5DD" w:rsidR="00E801E4" w:rsidRDefault="00E801E4" w:rsidP="003E1402">
      <w:pPr>
        <w:pStyle w:val="FootnoteText"/>
        <w:ind w:firstLine="720"/>
        <w:rPr>
          <w:rFonts w:ascii="Times New Roman" w:hAnsi="Times New Roman" w:cs="Times New Roman"/>
          <w:sz w:val="26"/>
          <w:szCs w:val="26"/>
        </w:rPr>
      </w:pPr>
      <w:r>
        <w:rPr>
          <w:rStyle w:val="FootnoteReference"/>
        </w:rPr>
        <w:footnoteRef/>
      </w:r>
      <w:r>
        <w:t xml:space="preserve"> </w:t>
      </w:r>
      <w:r w:rsidRPr="003E1402">
        <w:rPr>
          <w:rFonts w:ascii="Times New Roman" w:hAnsi="Times New Roman" w:cs="Times New Roman"/>
          <w:sz w:val="26"/>
          <w:szCs w:val="26"/>
        </w:rPr>
        <w:t>18 C.F.R. § 39.5 (2019).</w:t>
      </w:r>
    </w:p>
    <w:p w14:paraId="2D6D9310" w14:textId="77777777" w:rsidR="00E801E4" w:rsidRPr="003E1402" w:rsidRDefault="00E801E4" w:rsidP="003E1402">
      <w:pPr>
        <w:pStyle w:val="FootnoteText"/>
        <w:ind w:firstLine="720"/>
        <w:rPr>
          <w:rFonts w:ascii="Times New Roman" w:hAnsi="Times New Roman" w:cs="Times New Roman"/>
          <w:sz w:val="26"/>
          <w:szCs w:val="26"/>
        </w:rPr>
      </w:pPr>
    </w:p>
  </w:footnote>
  <w:footnote w:id="4">
    <w:p w14:paraId="1589D598" w14:textId="3B837B0E" w:rsidR="00E801E4" w:rsidRDefault="00E801E4" w:rsidP="003358FD">
      <w:pPr>
        <w:pStyle w:val="FootnoteText"/>
        <w:ind w:firstLine="720"/>
        <w:rPr>
          <w:rFonts w:ascii="Times New Roman" w:hAnsi="Times New Roman" w:cs="Times New Roman"/>
          <w:sz w:val="26"/>
          <w:szCs w:val="26"/>
        </w:rPr>
      </w:pPr>
      <w:r>
        <w:rPr>
          <w:rStyle w:val="FootnoteReference"/>
        </w:rPr>
        <w:footnoteRef/>
      </w:r>
      <w:r>
        <w:t xml:space="preserve"> </w:t>
      </w:r>
      <w:r w:rsidRPr="003A5DB0">
        <w:rPr>
          <w:rFonts w:ascii="Times New Roman" w:hAnsi="Times New Roman" w:cs="Times New Roman"/>
          <w:i/>
          <w:iCs/>
          <w:sz w:val="26"/>
          <w:szCs w:val="26"/>
        </w:rPr>
        <w:t>Order on Electric Reliability Organization Risk Based Registration Initiative and Requiring Compliance Filing</w:t>
      </w:r>
      <w:r w:rsidRPr="003358FD">
        <w:rPr>
          <w:rFonts w:ascii="Times New Roman" w:hAnsi="Times New Roman" w:cs="Times New Roman"/>
          <w:sz w:val="26"/>
          <w:szCs w:val="26"/>
        </w:rPr>
        <w:t>, 150 FERC ¶ 61,213</w:t>
      </w:r>
      <w:r>
        <w:rPr>
          <w:rFonts w:ascii="Times New Roman" w:hAnsi="Times New Roman" w:cs="Times New Roman"/>
          <w:sz w:val="26"/>
          <w:szCs w:val="26"/>
        </w:rPr>
        <w:t xml:space="preserve"> </w:t>
      </w:r>
      <w:r w:rsidRPr="003358FD">
        <w:rPr>
          <w:rFonts w:ascii="Times New Roman" w:hAnsi="Times New Roman" w:cs="Times New Roman"/>
          <w:sz w:val="26"/>
          <w:szCs w:val="26"/>
        </w:rPr>
        <w:t>(2015)</w:t>
      </w:r>
      <w:r>
        <w:rPr>
          <w:rFonts w:ascii="Times New Roman" w:hAnsi="Times New Roman" w:cs="Times New Roman"/>
          <w:sz w:val="26"/>
          <w:szCs w:val="26"/>
        </w:rPr>
        <w:t>;</w:t>
      </w:r>
      <w:r w:rsidRPr="003358FD">
        <w:rPr>
          <w:rFonts w:ascii="Times New Roman" w:hAnsi="Times New Roman" w:cs="Times New Roman"/>
          <w:sz w:val="26"/>
          <w:szCs w:val="26"/>
        </w:rPr>
        <w:t xml:space="preserve"> </w:t>
      </w:r>
      <w:r w:rsidRPr="003A5DB0">
        <w:rPr>
          <w:rFonts w:ascii="Times New Roman" w:hAnsi="Times New Roman" w:cs="Times New Roman"/>
          <w:i/>
          <w:iCs/>
          <w:sz w:val="26"/>
          <w:szCs w:val="26"/>
        </w:rPr>
        <w:t>Order on Compliance Filing</w:t>
      </w:r>
      <w:r w:rsidRPr="003358FD">
        <w:rPr>
          <w:rFonts w:ascii="Times New Roman" w:hAnsi="Times New Roman" w:cs="Times New Roman"/>
          <w:sz w:val="26"/>
          <w:szCs w:val="26"/>
        </w:rPr>
        <w:t>, 153 FERC ¶ 61,024 (2015).</w:t>
      </w:r>
    </w:p>
    <w:p w14:paraId="51FAA66E" w14:textId="77777777" w:rsidR="00E801E4" w:rsidRPr="003358FD" w:rsidRDefault="00E801E4" w:rsidP="003358FD">
      <w:pPr>
        <w:pStyle w:val="FootnoteText"/>
        <w:ind w:firstLine="720"/>
        <w:rPr>
          <w:rFonts w:ascii="Times New Roman" w:hAnsi="Times New Roman" w:cs="Times New Roman"/>
          <w:sz w:val="26"/>
          <w:szCs w:val="26"/>
        </w:rPr>
      </w:pPr>
    </w:p>
  </w:footnote>
  <w:footnote w:id="5">
    <w:p w14:paraId="5115CCA1" w14:textId="6E9699DB" w:rsidR="00E801E4" w:rsidRDefault="00E801E4" w:rsidP="005C2307">
      <w:pPr>
        <w:pStyle w:val="FootnoteText"/>
        <w:ind w:firstLine="720"/>
        <w:rPr>
          <w:rFonts w:ascii="Times New Roman" w:hAnsi="Times New Roman" w:cs="Times New Roman"/>
          <w:sz w:val="26"/>
          <w:szCs w:val="26"/>
        </w:rPr>
      </w:pPr>
      <w:r>
        <w:rPr>
          <w:rStyle w:val="FootnoteReference"/>
        </w:rPr>
        <w:footnoteRef/>
      </w:r>
      <w:r>
        <w:t xml:space="preserve"> </w:t>
      </w:r>
      <w:r>
        <w:rPr>
          <w:rFonts w:ascii="Times New Roman" w:hAnsi="Times New Roman" w:cs="Times New Roman"/>
          <w:sz w:val="26"/>
          <w:szCs w:val="26"/>
        </w:rPr>
        <w:t>NERC’s risk-based registration initiative resulted in the removal of the load-serving entity and purchasing-selling entity from the NERC compliance registry.</w:t>
      </w:r>
    </w:p>
    <w:p w14:paraId="2ED1F897" w14:textId="084B7009" w:rsidR="00E801E4" w:rsidRPr="005C2307" w:rsidRDefault="00E801E4" w:rsidP="005C2307">
      <w:pPr>
        <w:pStyle w:val="FootnoteText"/>
        <w:ind w:firstLine="720"/>
        <w:rPr>
          <w:rFonts w:ascii="Times New Roman" w:hAnsi="Times New Roman" w:cs="Times New Roman"/>
          <w:sz w:val="26"/>
          <w:szCs w:val="26"/>
        </w:rPr>
      </w:pPr>
      <w:r>
        <w:rPr>
          <w:rFonts w:ascii="Times New Roman" w:hAnsi="Times New Roman" w:cs="Times New Roman"/>
          <w:sz w:val="26"/>
          <w:szCs w:val="26"/>
        </w:rPr>
        <w:t xml:space="preserve"> </w:t>
      </w:r>
    </w:p>
  </w:footnote>
  <w:footnote w:id="6">
    <w:p w14:paraId="5C6E3306" w14:textId="2E6F719B" w:rsidR="00E801E4" w:rsidRDefault="00E801E4" w:rsidP="00963B3F">
      <w:pPr>
        <w:pStyle w:val="FootnoteText"/>
        <w:ind w:firstLine="720"/>
        <w:rPr>
          <w:rStyle w:val="Hyperlink"/>
          <w:rFonts w:ascii="Times New Roman" w:hAnsi="Times New Roman" w:cs="Times New Roman"/>
          <w:sz w:val="26"/>
          <w:szCs w:val="26"/>
        </w:rPr>
      </w:pPr>
      <w:r>
        <w:rPr>
          <w:rStyle w:val="FootnoteReference"/>
        </w:rPr>
        <w:footnoteRef/>
      </w:r>
      <w:r>
        <w:t xml:space="preserve"> </w:t>
      </w:r>
      <w:hyperlink r:id="rId2" w:history="1">
        <w:r>
          <w:rPr>
            <w:rStyle w:val="Hyperlink"/>
            <w:rFonts w:ascii="Times New Roman" w:hAnsi="Times New Roman" w:cs="Times New Roman"/>
            <w:sz w:val="26"/>
            <w:szCs w:val="26"/>
          </w:rPr>
          <w:t>Standards Alignment with Registration Petition</w:t>
        </w:r>
      </w:hyperlink>
      <w:r>
        <w:rPr>
          <w:rStyle w:val="Hyperlink"/>
          <w:rFonts w:ascii="Times New Roman" w:hAnsi="Times New Roman" w:cs="Times New Roman"/>
          <w:sz w:val="26"/>
          <w:szCs w:val="26"/>
        </w:rPr>
        <w:t xml:space="preserve"> at 7.</w:t>
      </w:r>
    </w:p>
    <w:p w14:paraId="6ABBAF4A" w14:textId="77777777" w:rsidR="00E801E4" w:rsidRDefault="00E801E4">
      <w:pPr>
        <w:pStyle w:val="FootnoteText"/>
      </w:pPr>
    </w:p>
  </w:footnote>
  <w:footnote w:id="7">
    <w:p w14:paraId="35A3EA5D" w14:textId="6C507EEB" w:rsidR="00E801E4" w:rsidRDefault="00E801E4" w:rsidP="0074600D">
      <w:pPr>
        <w:pStyle w:val="FootnoteText"/>
        <w:ind w:firstLine="720"/>
        <w:rPr>
          <w:rFonts w:ascii="Times New Roman" w:hAnsi="Times New Roman" w:cs="Times New Roman"/>
          <w:sz w:val="26"/>
          <w:szCs w:val="26"/>
        </w:rPr>
      </w:pPr>
      <w:r>
        <w:rPr>
          <w:rStyle w:val="FootnoteReference"/>
        </w:rPr>
        <w:footnoteRef/>
      </w:r>
      <w:r>
        <w:t xml:space="preserve"> </w:t>
      </w:r>
      <w:r w:rsidRPr="00497CBC">
        <w:rPr>
          <w:rFonts w:ascii="Times New Roman" w:hAnsi="Times New Roman" w:cs="Times New Roman"/>
          <w:sz w:val="26"/>
          <w:szCs w:val="26"/>
        </w:rPr>
        <w:t xml:space="preserve">The </w:t>
      </w:r>
      <w:r>
        <w:rPr>
          <w:rFonts w:ascii="Times New Roman" w:hAnsi="Times New Roman" w:cs="Times New Roman"/>
          <w:sz w:val="26"/>
          <w:szCs w:val="26"/>
        </w:rPr>
        <w:t xml:space="preserve">burden associated with the current version of this standard, </w:t>
      </w:r>
      <w:r>
        <w:rPr>
          <w:rFonts w:ascii="Times New Roman" w:eastAsia="Times New Roman" w:hAnsi="Times New Roman" w:cs="Times New Roman"/>
          <w:sz w:val="26"/>
          <w:szCs w:val="26"/>
        </w:rPr>
        <w:t>TOP-003-3</w:t>
      </w:r>
      <w:r>
        <w:rPr>
          <w:rFonts w:ascii="Times New Roman" w:hAnsi="Times New Roman" w:cs="Times New Roman"/>
          <w:sz w:val="26"/>
          <w:szCs w:val="26"/>
        </w:rPr>
        <w:t xml:space="preserve">, is </w:t>
      </w:r>
      <w:r w:rsidRPr="004F4CD7">
        <w:rPr>
          <w:rFonts w:ascii="Times New Roman" w:hAnsi="Times New Roman" w:cs="Times New Roman"/>
          <w:sz w:val="26"/>
          <w:szCs w:val="26"/>
        </w:rPr>
        <w:t xml:space="preserve">included in </w:t>
      </w:r>
      <w:r>
        <w:rPr>
          <w:rFonts w:ascii="Times New Roman" w:eastAsia="Times New Roman" w:hAnsi="Times New Roman" w:cs="Times New Roman"/>
          <w:sz w:val="26"/>
          <w:szCs w:val="26"/>
        </w:rPr>
        <w:t>FERC-725A</w:t>
      </w:r>
      <w:r>
        <w:rPr>
          <w:rFonts w:ascii="Times New Roman" w:hAnsi="Times New Roman" w:cs="Times New Roman"/>
          <w:sz w:val="26"/>
          <w:szCs w:val="26"/>
        </w:rPr>
        <w:t>.</w:t>
      </w:r>
    </w:p>
    <w:p w14:paraId="6C62B9CA" w14:textId="77777777" w:rsidR="00E801E4" w:rsidRDefault="00E801E4" w:rsidP="0074600D">
      <w:pPr>
        <w:pStyle w:val="FootnoteText"/>
        <w:ind w:firstLine="720"/>
      </w:pPr>
    </w:p>
  </w:footnote>
  <w:footnote w:id="8">
    <w:p w14:paraId="227E6994" w14:textId="04660F8B" w:rsidR="00E801E4" w:rsidRDefault="00E801E4" w:rsidP="0074600D">
      <w:pPr>
        <w:pStyle w:val="FootnoteText"/>
        <w:ind w:firstLine="720"/>
        <w:rPr>
          <w:rStyle w:val="Hyperlink"/>
          <w:rFonts w:ascii="Times New Roman" w:hAnsi="Times New Roman" w:cs="Times New Roman"/>
          <w:sz w:val="26"/>
          <w:szCs w:val="26"/>
        </w:rPr>
      </w:pPr>
      <w:r>
        <w:rPr>
          <w:rStyle w:val="FootnoteReference"/>
        </w:rPr>
        <w:footnoteRef/>
      </w:r>
      <w:r>
        <w:t xml:space="preserve"> </w:t>
      </w:r>
      <w:hyperlink r:id="rId3" w:history="1">
        <w:r>
          <w:rPr>
            <w:rStyle w:val="Hyperlink"/>
            <w:rFonts w:ascii="Times New Roman" w:hAnsi="Times New Roman" w:cs="Times New Roman"/>
            <w:sz w:val="26"/>
            <w:szCs w:val="26"/>
          </w:rPr>
          <w:t>Standards Alignment with Registration Petition</w:t>
        </w:r>
      </w:hyperlink>
      <w:r>
        <w:rPr>
          <w:rStyle w:val="Hyperlink"/>
          <w:rFonts w:ascii="Times New Roman" w:hAnsi="Times New Roman" w:cs="Times New Roman"/>
          <w:sz w:val="26"/>
          <w:szCs w:val="26"/>
        </w:rPr>
        <w:t xml:space="preserve"> at 14.</w:t>
      </w:r>
    </w:p>
    <w:p w14:paraId="66A51B85" w14:textId="77777777" w:rsidR="00E801E4" w:rsidRDefault="00E801E4" w:rsidP="0074600D">
      <w:pPr>
        <w:pStyle w:val="FootnoteText"/>
        <w:ind w:firstLine="720"/>
      </w:pPr>
    </w:p>
  </w:footnote>
  <w:footnote w:id="9">
    <w:p w14:paraId="783BEC88" w14:textId="76A9BEF6" w:rsidR="00E801E4" w:rsidRDefault="00E801E4" w:rsidP="00862C05">
      <w:pPr>
        <w:pStyle w:val="FootnoteText"/>
        <w:ind w:firstLine="720"/>
        <w:rPr>
          <w:rFonts w:ascii="Times New Roman" w:hAnsi="Times New Roman" w:cs="Times New Roman"/>
          <w:sz w:val="26"/>
          <w:szCs w:val="26"/>
        </w:rPr>
      </w:pPr>
      <w:r>
        <w:rPr>
          <w:rStyle w:val="FootnoteReference"/>
        </w:rPr>
        <w:footnoteRef/>
      </w:r>
      <w:r>
        <w:t xml:space="preserve"> </w:t>
      </w:r>
      <w:r w:rsidRPr="00497CBC">
        <w:rPr>
          <w:rFonts w:ascii="Times New Roman" w:hAnsi="Times New Roman" w:cs="Times New Roman"/>
          <w:sz w:val="26"/>
          <w:szCs w:val="26"/>
        </w:rPr>
        <w:t xml:space="preserve">The </w:t>
      </w:r>
      <w:r>
        <w:rPr>
          <w:rFonts w:ascii="Times New Roman" w:hAnsi="Times New Roman" w:cs="Times New Roman"/>
          <w:sz w:val="26"/>
          <w:szCs w:val="26"/>
        </w:rPr>
        <w:t xml:space="preserve">burden associated with the current version of this standard, FAC-002-2, is </w:t>
      </w:r>
      <w:r w:rsidRPr="004F4CD7">
        <w:rPr>
          <w:rFonts w:ascii="Times New Roman" w:hAnsi="Times New Roman" w:cs="Times New Roman"/>
          <w:sz w:val="26"/>
          <w:szCs w:val="26"/>
        </w:rPr>
        <w:t xml:space="preserve">included in </w:t>
      </w:r>
      <w:r>
        <w:rPr>
          <w:rFonts w:ascii="Times New Roman" w:eastAsia="Times New Roman" w:hAnsi="Times New Roman" w:cs="Times New Roman"/>
          <w:sz w:val="26"/>
          <w:szCs w:val="26"/>
        </w:rPr>
        <w:t>FERC-725D</w:t>
      </w:r>
      <w:r>
        <w:rPr>
          <w:rFonts w:ascii="Times New Roman" w:hAnsi="Times New Roman" w:cs="Times New Roman"/>
          <w:sz w:val="26"/>
          <w:szCs w:val="26"/>
        </w:rPr>
        <w:t>.</w:t>
      </w:r>
    </w:p>
    <w:p w14:paraId="3A303AB0" w14:textId="77777777" w:rsidR="00E801E4" w:rsidRPr="00497CBC" w:rsidRDefault="00E801E4" w:rsidP="00862C05">
      <w:pPr>
        <w:pStyle w:val="FootnoteText"/>
        <w:ind w:firstLine="720"/>
        <w:rPr>
          <w:rFonts w:ascii="Times New Roman" w:hAnsi="Times New Roman" w:cs="Times New Roman"/>
          <w:sz w:val="26"/>
          <w:szCs w:val="26"/>
        </w:rPr>
      </w:pPr>
    </w:p>
  </w:footnote>
  <w:footnote w:id="10">
    <w:p w14:paraId="4E3E0542" w14:textId="5A6EFEDE" w:rsidR="00E801E4" w:rsidRDefault="00E801E4" w:rsidP="00C0182B">
      <w:pPr>
        <w:pStyle w:val="FootnoteText"/>
        <w:ind w:firstLine="720"/>
        <w:rPr>
          <w:rStyle w:val="Hyperlink"/>
          <w:rFonts w:ascii="Times New Roman" w:hAnsi="Times New Roman" w:cs="Times New Roman"/>
          <w:sz w:val="26"/>
          <w:szCs w:val="26"/>
        </w:rPr>
      </w:pPr>
      <w:r>
        <w:rPr>
          <w:rStyle w:val="FootnoteReference"/>
        </w:rPr>
        <w:footnoteRef/>
      </w:r>
      <w:r>
        <w:t xml:space="preserve"> </w:t>
      </w:r>
      <w:hyperlink r:id="rId4" w:history="1">
        <w:r>
          <w:rPr>
            <w:rStyle w:val="Hyperlink"/>
            <w:rFonts w:ascii="Times New Roman" w:hAnsi="Times New Roman" w:cs="Times New Roman"/>
            <w:sz w:val="26"/>
            <w:szCs w:val="26"/>
          </w:rPr>
          <w:t>Standards Alignment with Registration Petition</w:t>
        </w:r>
      </w:hyperlink>
      <w:r>
        <w:rPr>
          <w:rStyle w:val="Hyperlink"/>
          <w:rFonts w:ascii="Times New Roman" w:hAnsi="Times New Roman" w:cs="Times New Roman"/>
          <w:sz w:val="26"/>
          <w:szCs w:val="26"/>
        </w:rPr>
        <w:t xml:space="preserve"> at 8.</w:t>
      </w:r>
    </w:p>
    <w:p w14:paraId="54671462" w14:textId="589C91E4" w:rsidR="00E801E4" w:rsidRDefault="00E801E4">
      <w:pPr>
        <w:pStyle w:val="FootnoteText"/>
      </w:pPr>
    </w:p>
  </w:footnote>
  <w:footnote w:id="11">
    <w:p w14:paraId="587B472D" w14:textId="58D80D5C" w:rsidR="00E801E4" w:rsidRDefault="00E801E4" w:rsidP="00EA6547">
      <w:pPr>
        <w:pStyle w:val="FootnoteText"/>
        <w:ind w:firstLine="720"/>
        <w:rPr>
          <w:rFonts w:ascii="Times New Roman" w:hAnsi="Times New Roman" w:cs="Times New Roman"/>
          <w:sz w:val="26"/>
          <w:szCs w:val="26"/>
        </w:rPr>
      </w:pPr>
      <w:r>
        <w:rPr>
          <w:rStyle w:val="FootnoteReference"/>
        </w:rPr>
        <w:footnoteRef/>
      </w:r>
      <w:r>
        <w:t xml:space="preserve"> </w:t>
      </w:r>
      <w:r w:rsidRPr="00497CBC">
        <w:rPr>
          <w:rFonts w:ascii="Times New Roman" w:hAnsi="Times New Roman" w:cs="Times New Roman"/>
          <w:sz w:val="26"/>
          <w:szCs w:val="26"/>
        </w:rPr>
        <w:t xml:space="preserve">The </w:t>
      </w:r>
      <w:r>
        <w:rPr>
          <w:rFonts w:ascii="Times New Roman" w:hAnsi="Times New Roman" w:cs="Times New Roman"/>
          <w:sz w:val="26"/>
          <w:szCs w:val="26"/>
        </w:rPr>
        <w:t xml:space="preserve">burden associated with the current version of this standard, </w:t>
      </w:r>
      <w:r>
        <w:rPr>
          <w:rFonts w:ascii="Times New Roman" w:eastAsia="Times New Roman" w:hAnsi="Times New Roman" w:cs="Times New Roman"/>
          <w:sz w:val="26"/>
          <w:szCs w:val="26"/>
        </w:rPr>
        <w:t>NUC-001-3</w:t>
      </w:r>
      <w:r>
        <w:rPr>
          <w:rFonts w:ascii="Times New Roman" w:hAnsi="Times New Roman" w:cs="Times New Roman"/>
          <w:sz w:val="26"/>
          <w:szCs w:val="26"/>
        </w:rPr>
        <w:t xml:space="preserve">, is </w:t>
      </w:r>
      <w:r w:rsidRPr="004F4CD7">
        <w:rPr>
          <w:rFonts w:ascii="Times New Roman" w:hAnsi="Times New Roman" w:cs="Times New Roman"/>
          <w:sz w:val="26"/>
          <w:szCs w:val="26"/>
        </w:rPr>
        <w:t xml:space="preserve">included in </w:t>
      </w:r>
      <w:r>
        <w:rPr>
          <w:rFonts w:ascii="Times New Roman" w:eastAsia="Times New Roman" w:hAnsi="Times New Roman" w:cs="Times New Roman"/>
          <w:sz w:val="26"/>
          <w:szCs w:val="26"/>
        </w:rPr>
        <w:t>FERC-725F</w:t>
      </w:r>
      <w:r>
        <w:rPr>
          <w:rFonts w:ascii="Times New Roman" w:hAnsi="Times New Roman" w:cs="Times New Roman"/>
          <w:sz w:val="26"/>
          <w:szCs w:val="26"/>
        </w:rPr>
        <w:t>.</w:t>
      </w:r>
    </w:p>
    <w:p w14:paraId="0C667B2B" w14:textId="77777777" w:rsidR="00E801E4" w:rsidRDefault="00E801E4" w:rsidP="00EA6547">
      <w:pPr>
        <w:pStyle w:val="FootnoteText"/>
        <w:ind w:firstLine="720"/>
      </w:pPr>
    </w:p>
  </w:footnote>
  <w:footnote w:id="12">
    <w:p w14:paraId="528FD0B9" w14:textId="6F346D67" w:rsidR="00E801E4" w:rsidRDefault="00E801E4" w:rsidP="00EA6547">
      <w:pPr>
        <w:pStyle w:val="FootnoteText"/>
        <w:ind w:firstLine="720"/>
        <w:rPr>
          <w:rStyle w:val="Hyperlink"/>
          <w:rFonts w:ascii="Times New Roman" w:hAnsi="Times New Roman" w:cs="Times New Roman"/>
          <w:sz w:val="26"/>
          <w:szCs w:val="26"/>
        </w:rPr>
      </w:pPr>
      <w:r>
        <w:rPr>
          <w:rStyle w:val="FootnoteReference"/>
        </w:rPr>
        <w:footnoteRef/>
      </w:r>
      <w:r>
        <w:t xml:space="preserve"> </w:t>
      </w:r>
      <w:hyperlink r:id="rId5" w:history="1">
        <w:r>
          <w:rPr>
            <w:rStyle w:val="Hyperlink"/>
            <w:rFonts w:ascii="Times New Roman" w:hAnsi="Times New Roman" w:cs="Times New Roman"/>
            <w:sz w:val="26"/>
            <w:szCs w:val="26"/>
          </w:rPr>
          <w:t>Standards Alignment with Registration Petition</w:t>
        </w:r>
      </w:hyperlink>
      <w:r>
        <w:rPr>
          <w:rStyle w:val="Hyperlink"/>
          <w:rFonts w:ascii="Times New Roman" w:hAnsi="Times New Roman" w:cs="Times New Roman"/>
          <w:sz w:val="26"/>
          <w:szCs w:val="26"/>
        </w:rPr>
        <w:t xml:space="preserve"> at 12.</w:t>
      </w:r>
    </w:p>
    <w:p w14:paraId="72473A92" w14:textId="77777777" w:rsidR="00E801E4" w:rsidRDefault="00E801E4" w:rsidP="00EA6547">
      <w:pPr>
        <w:pStyle w:val="FootnoteText"/>
        <w:ind w:firstLine="720"/>
      </w:pPr>
    </w:p>
  </w:footnote>
  <w:footnote w:id="13">
    <w:p w14:paraId="09F83B5F" w14:textId="5F97902C" w:rsidR="00E801E4" w:rsidRDefault="00E801E4" w:rsidP="00800692">
      <w:pPr>
        <w:pStyle w:val="FootnoteText"/>
        <w:ind w:firstLine="720"/>
        <w:rPr>
          <w:rFonts w:ascii="Times New Roman" w:hAnsi="Times New Roman" w:cs="Times New Roman"/>
          <w:sz w:val="26"/>
          <w:szCs w:val="26"/>
        </w:rPr>
      </w:pPr>
      <w:r>
        <w:rPr>
          <w:rStyle w:val="FootnoteReference"/>
        </w:rPr>
        <w:footnoteRef/>
      </w:r>
      <w:r>
        <w:t xml:space="preserve"> </w:t>
      </w:r>
      <w:r w:rsidRPr="00497CBC">
        <w:rPr>
          <w:rFonts w:ascii="Times New Roman" w:hAnsi="Times New Roman" w:cs="Times New Roman"/>
          <w:sz w:val="26"/>
          <w:szCs w:val="26"/>
        </w:rPr>
        <w:t xml:space="preserve">The </w:t>
      </w:r>
      <w:r>
        <w:rPr>
          <w:rFonts w:ascii="Times New Roman" w:hAnsi="Times New Roman" w:cs="Times New Roman"/>
          <w:sz w:val="26"/>
          <w:szCs w:val="26"/>
        </w:rPr>
        <w:t xml:space="preserve">burden associated with the Commission approved standard, </w:t>
      </w:r>
      <w:r>
        <w:rPr>
          <w:rFonts w:ascii="Times New Roman" w:eastAsia="Times New Roman" w:hAnsi="Times New Roman" w:cs="Times New Roman"/>
          <w:sz w:val="26"/>
          <w:szCs w:val="26"/>
        </w:rPr>
        <w:t>PRC-006-2</w:t>
      </w:r>
      <w:r>
        <w:rPr>
          <w:rFonts w:ascii="Times New Roman" w:hAnsi="Times New Roman" w:cs="Times New Roman"/>
          <w:sz w:val="26"/>
          <w:szCs w:val="26"/>
        </w:rPr>
        <w:t xml:space="preserve">, is </w:t>
      </w:r>
      <w:r w:rsidRPr="004F4CD7">
        <w:rPr>
          <w:rFonts w:ascii="Times New Roman" w:hAnsi="Times New Roman" w:cs="Times New Roman"/>
          <w:sz w:val="26"/>
          <w:szCs w:val="26"/>
        </w:rPr>
        <w:t xml:space="preserve">included in </w:t>
      </w:r>
      <w:r>
        <w:rPr>
          <w:rFonts w:ascii="Times New Roman" w:eastAsia="Times New Roman" w:hAnsi="Times New Roman" w:cs="Times New Roman"/>
          <w:sz w:val="26"/>
          <w:szCs w:val="26"/>
        </w:rPr>
        <w:t>FERC-725G</w:t>
      </w:r>
      <w:r>
        <w:rPr>
          <w:rFonts w:ascii="Times New Roman" w:hAnsi="Times New Roman" w:cs="Times New Roman"/>
          <w:sz w:val="26"/>
          <w:szCs w:val="26"/>
        </w:rPr>
        <w:t>.  The current version of this standard, PRC-006-3, was adopted by the NERC Board of Trustees on August 10, 2017.  Reliability Standard PRC-006-3 was not submitted to the Commission for approval because it is identical to the Commission-approved version, PRC-006-2.  The only change was a revision to the regional variance for the Quebec Interconnection and does not impact the requirements for entities in the United States.</w:t>
      </w:r>
    </w:p>
    <w:p w14:paraId="130A6BCE" w14:textId="77777777" w:rsidR="00E801E4" w:rsidRDefault="00E801E4" w:rsidP="00800692">
      <w:pPr>
        <w:pStyle w:val="FootnoteText"/>
        <w:ind w:firstLine="720"/>
      </w:pPr>
    </w:p>
  </w:footnote>
  <w:footnote w:id="14">
    <w:p w14:paraId="11D66B78" w14:textId="4955F1B1" w:rsidR="00E801E4" w:rsidRDefault="00E801E4" w:rsidP="00800692">
      <w:pPr>
        <w:pStyle w:val="FootnoteText"/>
        <w:ind w:firstLine="720"/>
        <w:rPr>
          <w:rStyle w:val="Hyperlink"/>
          <w:rFonts w:ascii="Times New Roman" w:hAnsi="Times New Roman" w:cs="Times New Roman"/>
          <w:sz w:val="26"/>
          <w:szCs w:val="26"/>
        </w:rPr>
      </w:pPr>
      <w:r>
        <w:rPr>
          <w:rStyle w:val="FootnoteReference"/>
        </w:rPr>
        <w:footnoteRef/>
      </w:r>
      <w:r>
        <w:t xml:space="preserve"> </w:t>
      </w:r>
      <w:hyperlink r:id="rId6" w:history="1">
        <w:r>
          <w:rPr>
            <w:rStyle w:val="Hyperlink"/>
            <w:rFonts w:ascii="Times New Roman" w:hAnsi="Times New Roman" w:cs="Times New Roman"/>
            <w:sz w:val="26"/>
            <w:szCs w:val="26"/>
          </w:rPr>
          <w:t>Standards Alignment with Registration Petition</w:t>
        </w:r>
      </w:hyperlink>
      <w:r>
        <w:rPr>
          <w:rStyle w:val="Hyperlink"/>
          <w:rFonts w:ascii="Times New Roman" w:hAnsi="Times New Roman" w:cs="Times New Roman"/>
          <w:sz w:val="26"/>
          <w:szCs w:val="26"/>
        </w:rPr>
        <w:t xml:space="preserve"> at 13.</w:t>
      </w:r>
    </w:p>
    <w:p w14:paraId="69E5A5D2" w14:textId="77777777" w:rsidR="00E801E4" w:rsidRDefault="00E801E4" w:rsidP="00800692">
      <w:pPr>
        <w:pStyle w:val="FootnoteText"/>
        <w:ind w:firstLine="720"/>
      </w:pPr>
    </w:p>
  </w:footnote>
  <w:footnote w:id="15">
    <w:p w14:paraId="4291BB7B" w14:textId="38688ADB" w:rsidR="00E801E4" w:rsidRDefault="00E801E4" w:rsidP="00D610E7">
      <w:pPr>
        <w:pStyle w:val="FootnoteText"/>
        <w:ind w:firstLine="720"/>
        <w:rPr>
          <w:rFonts w:ascii="Times New Roman" w:hAnsi="Times New Roman" w:cs="Times New Roman"/>
          <w:sz w:val="26"/>
          <w:szCs w:val="26"/>
        </w:rPr>
      </w:pPr>
      <w:r>
        <w:rPr>
          <w:rStyle w:val="FootnoteReference"/>
        </w:rPr>
        <w:footnoteRef/>
      </w:r>
      <w:r>
        <w:t xml:space="preserve"> </w:t>
      </w:r>
      <w:r w:rsidRPr="00497CBC">
        <w:rPr>
          <w:rFonts w:ascii="Times New Roman" w:hAnsi="Times New Roman" w:cs="Times New Roman"/>
          <w:sz w:val="26"/>
          <w:szCs w:val="26"/>
        </w:rPr>
        <w:t xml:space="preserve">The </w:t>
      </w:r>
      <w:r>
        <w:rPr>
          <w:rFonts w:ascii="Times New Roman" w:hAnsi="Times New Roman" w:cs="Times New Roman"/>
          <w:sz w:val="26"/>
          <w:szCs w:val="26"/>
        </w:rPr>
        <w:t xml:space="preserve">burden associated with the current version of this standard, </w:t>
      </w:r>
      <w:r>
        <w:rPr>
          <w:rFonts w:ascii="Times New Roman" w:eastAsia="Times New Roman" w:hAnsi="Times New Roman" w:cs="Times New Roman"/>
          <w:sz w:val="26"/>
          <w:szCs w:val="26"/>
        </w:rPr>
        <w:t>MOD-031-2</w:t>
      </w:r>
      <w:r>
        <w:rPr>
          <w:rFonts w:ascii="Times New Roman" w:hAnsi="Times New Roman" w:cs="Times New Roman"/>
          <w:sz w:val="26"/>
          <w:szCs w:val="26"/>
        </w:rPr>
        <w:t xml:space="preserve">, is </w:t>
      </w:r>
      <w:r w:rsidRPr="004F4CD7">
        <w:rPr>
          <w:rFonts w:ascii="Times New Roman" w:hAnsi="Times New Roman" w:cs="Times New Roman"/>
          <w:sz w:val="26"/>
          <w:szCs w:val="26"/>
        </w:rPr>
        <w:t xml:space="preserve">included in </w:t>
      </w:r>
      <w:r>
        <w:rPr>
          <w:rFonts w:ascii="Times New Roman" w:eastAsia="Times New Roman" w:hAnsi="Times New Roman" w:cs="Times New Roman"/>
          <w:sz w:val="26"/>
          <w:szCs w:val="26"/>
        </w:rPr>
        <w:t>FERC-725L</w:t>
      </w:r>
      <w:r>
        <w:rPr>
          <w:rFonts w:ascii="Times New Roman" w:hAnsi="Times New Roman" w:cs="Times New Roman"/>
          <w:sz w:val="26"/>
          <w:szCs w:val="26"/>
        </w:rPr>
        <w:t>.</w:t>
      </w:r>
    </w:p>
    <w:p w14:paraId="3BB8CEB0" w14:textId="77777777" w:rsidR="00E801E4" w:rsidRDefault="00E801E4" w:rsidP="00D610E7">
      <w:pPr>
        <w:pStyle w:val="FootnoteText"/>
        <w:ind w:firstLine="720"/>
      </w:pPr>
    </w:p>
  </w:footnote>
  <w:footnote w:id="16">
    <w:p w14:paraId="712EBE03" w14:textId="0125F516" w:rsidR="00E801E4" w:rsidRDefault="00E801E4" w:rsidP="00796DD7">
      <w:pPr>
        <w:pStyle w:val="FootnoteText"/>
        <w:ind w:firstLine="720"/>
        <w:rPr>
          <w:rStyle w:val="Hyperlink"/>
          <w:rFonts w:ascii="Times New Roman" w:hAnsi="Times New Roman" w:cs="Times New Roman"/>
          <w:sz w:val="26"/>
          <w:szCs w:val="26"/>
        </w:rPr>
      </w:pPr>
      <w:r>
        <w:rPr>
          <w:rStyle w:val="FootnoteReference"/>
        </w:rPr>
        <w:footnoteRef/>
      </w:r>
      <w:r>
        <w:t xml:space="preserve"> </w:t>
      </w:r>
      <w:hyperlink r:id="rId7" w:history="1">
        <w:r>
          <w:rPr>
            <w:rStyle w:val="Hyperlink"/>
            <w:rFonts w:ascii="Times New Roman" w:hAnsi="Times New Roman" w:cs="Times New Roman"/>
            <w:sz w:val="26"/>
            <w:szCs w:val="26"/>
          </w:rPr>
          <w:t>Standards Alignment with Registration Petition</w:t>
        </w:r>
      </w:hyperlink>
      <w:r>
        <w:rPr>
          <w:rStyle w:val="Hyperlink"/>
          <w:rFonts w:ascii="Times New Roman" w:hAnsi="Times New Roman" w:cs="Times New Roman"/>
          <w:sz w:val="26"/>
          <w:szCs w:val="26"/>
        </w:rPr>
        <w:t xml:space="preserve"> at 10.</w:t>
      </w:r>
    </w:p>
    <w:p w14:paraId="688918FB" w14:textId="3128B426" w:rsidR="00E801E4" w:rsidRDefault="00E801E4" w:rsidP="00796DD7">
      <w:pPr>
        <w:pStyle w:val="FootnoteText"/>
        <w:ind w:firstLine="720"/>
      </w:pPr>
    </w:p>
  </w:footnote>
  <w:footnote w:id="17">
    <w:p w14:paraId="1ECD1A03" w14:textId="2838020B" w:rsidR="00E801E4" w:rsidRDefault="00E801E4" w:rsidP="00796DD7">
      <w:pPr>
        <w:pStyle w:val="FootnoteText"/>
        <w:ind w:firstLine="720"/>
        <w:rPr>
          <w:rStyle w:val="Hyperlink"/>
          <w:rFonts w:ascii="Times New Roman" w:hAnsi="Times New Roman" w:cs="Times New Roman"/>
          <w:sz w:val="26"/>
          <w:szCs w:val="26"/>
        </w:rPr>
      </w:pPr>
      <w:r>
        <w:rPr>
          <w:rStyle w:val="FootnoteReference"/>
        </w:rPr>
        <w:footnoteRef/>
      </w:r>
      <w:r>
        <w:t xml:space="preserve"> </w:t>
      </w:r>
      <w:hyperlink r:id="rId8" w:history="1">
        <w:r>
          <w:rPr>
            <w:rStyle w:val="Hyperlink"/>
            <w:rFonts w:ascii="Times New Roman" w:hAnsi="Times New Roman" w:cs="Times New Roman"/>
            <w:sz w:val="26"/>
            <w:szCs w:val="26"/>
          </w:rPr>
          <w:t>Standards Alignment with Registration Petition</w:t>
        </w:r>
      </w:hyperlink>
      <w:r>
        <w:rPr>
          <w:rStyle w:val="Hyperlink"/>
          <w:rFonts w:ascii="Times New Roman" w:hAnsi="Times New Roman" w:cs="Times New Roman"/>
          <w:sz w:val="26"/>
          <w:szCs w:val="26"/>
        </w:rPr>
        <w:t xml:space="preserve"> at 10.</w:t>
      </w:r>
    </w:p>
    <w:p w14:paraId="1438FE36" w14:textId="77777777" w:rsidR="00E801E4" w:rsidRDefault="00E801E4" w:rsidP="00796DD7">
      <w:pPr>
        <w:pStyle w:val="FootnoteText"/>
        <w:ind w:firstLine="720"/>
      </w:pPr>
    </w:p>
  </w:footnote>
  <w:footnote w:id="18">
    <w:p w14:paraId="062EB685" w14:textId="1E12F10A" w:rsidR="00E801E4" w:rsidRDefault="00E801E4" w:rsidP="00D903E7">
      <w:pPr>
        <w:pStyle w:val="FootnoteText"/>
        <w:ind w:firstLine="720"/>
        <w:rPr>
          <w:rFonts w:ascii="Times New Roman" w:hAnsi="Times New Roman" w:cs="Times New Roman"/>
          <w:sz w:val="26"/>
          <w:szCs w:val="26"/>
        </w:rPr>
      </w:pPr>
      <w:r>
        <w:rPr>
          <w:rStyle w:val="FootnoteReference"/>
        </w:rPr>
        <w:footnoteRef/>
      </w:r>
      <w:r>
        <w:t xml:space="preserve"> </w:t>
      </w:r>
      <w:r w:rsidRPr="00497CBC">
        <w:rPr>
          <w:rFonts w:ascii="Times New Roman" w:hAnsi="Times New Roman" w:cs="Times New Roman"/>
          <w:sz w:val="26"/>
          <w:szCs w:val="26"/>
        </w:rPr>
        <w:t xml:space="preserve">The </w:t>
      </w:r>
      <w:r>
        <w:rPr>
          <w:rFonts w:ascii="Times New Roman" w:hAnsi="Times New Roman" w:cs="Times New Roman"/>
          <w:sz w:val="26"/>
          <w:szCs w:val="26"/>
        </w:rPr>
        <w:t xml:space="preserve">burden associated with the current version of this standard, </w:t>
      </w:r>
      <w:r>
        <w:rPr>
          <w:rFonts w:ascii="Times New Roman" w:eastAsia="Times New Roman" w:hAnsi="Times New Roman" w:cs="Times New Roman"/>
          <w:sz w:val="26"/>
          <w:szCs w:val="26"/>
        </w:rPr>
        <w:t>MOD-033-1</w:t>
      </w:r>
      <w:r>
        <w:rPr>
          <w:rFonts w:ascii="Times New Roman" w:hAnsi="Times New Roman" w:cs="Times New Roman"/>
          <w:sz w:val="26"/>
          <w:szCs w:val="26"/>
        </w:rPr>
        <w:t xml:space="preserve">, is </w:t>
      </w:r>
      <w:r w:rsidRPr="004F4CD7">
        <w:rPr>
          <w:rFonts w:ascii="Times New Roman" w:hAnsi="Times New Roman" w:cs="Times New Roman"/>
          <w:sz w:val="26"/>
          <w:szCs w:val="26"/>
        </w:rPr>
        <w:t xml:space="preserve">included in </w:t>
      </w:r>
      <w:r>
        <w:rPr>
          <w:rFonts w:ascii="Times New Roman" w:eastAsia="Times New Roman" w:hAnsi="Times New Roman" w:cs="Times New Roman"/>
          <w:sz w:val="26"/>
          <w:szCs w:val="26"/>
        </w:rPr>
        <w:t>FERC-725L</w:t>
      </w:r>
      <w:r>
        <w:rPr>
          <w:rFonts w:ascii="Times New Roman" w:hAnsi="Times New Roman" w:cs="Times New Roman"/>
          <w:sz w:val="26"/>
          <w:szCs w:val="26"/>
        </w:rPr>
        <w:t>.</w:t>
      </w:r>
    </w:p>
    <w:p w14:paraId="7078A76E" w14:textId="4D57691D" w:rsidR="00E801E4" w:rsidRDefault="00E801E4" w:rsidP="00D903E7">
      <w:pPr>
        <w:pStyle w:val="FootnoteText"/>
        <w:ind w:firstLine="720"/>
      </w:pPr>
    </w:p>
  </w:footnote>
  <w:footnote w:id="19">
    <w:p w14:paraId="0C266A14" w14:textId="07B32A8E" w:rsidR="00E801E4" w:rsidRDefault="00E801E4" w:rsidP="00E33319">
      <w:pPr>
        <w:pStyle w:val="FootnoteText"/>
        <w:ind w:firstLine="720"/>
        <w:rPr>
          <w:rStyle w:val="Hyperlink"/>
          <w:rFonts w:ascii="Times New Roman" w:hAnsi="Times New Roman" w:cs="Times New Roman"/>
          <w:sz w:val="26"/>
          <w:szCs w:val="26"/>
        </w:rPr>
      </w:pPr>
      <w:r>
        <w:rPr>
          <w:rStyle w:val="FootnoteReference"/>
        </w:rPr>
        <w:footnoteRef/>
      </w:r>
      <w:r>
        <w:t xml:space="preserve"> </w:t>
      </w:r>
      <w:hyperlink r:id="rId9" w:history="1">
        <w:r>
          <w:rPr>
            <w:rStyle w:val="Hyperlink"/>
            <w:rFonts w:ascii="Times New Roman" w:hAnsi="Times New Roman" w:cs="Times New Roman"/>
            <w:sz w:val="26"/>
            <w:szCs w:val="26"/>
          </w:rPr>
          <w:t>Standards Alignment with Registration Petition</w:t>
        </w:r>
      </w:hyperlink>
      <w:r>
        <w:rPr>
          <w:rStyle w:val="Hyperlink"/>
          <w:rFonts w:ascii="Times New Roman" w:hAnsi="Times New Roman" w:cs="Times New Roman"/>
          <w:sz w:val="26"/>
          <w:szCs w:val="26"/>
        </w:rPr>
        <w:t xml:space="preserve"> at 11.</w:t>
      </w:r>
    </w:p>
    <w:p w14:paraId="1003762F" w14:textId="77777777" w:rsidR="00E801E4" w:rsidRDefault="00E801E4" w:rsidP="00E33319">
      <w:pPr>
        <w:pStyle w:val="FootnoteText"/>
        <w:ind w:firstLine="720"/>
      </w:pPr>
    </w:p>
  </w:footnote>
  <w:footnote w:id="20">
    <w:p w14:paraId="3CD02B83" w14:textId="520D6460" w:rsidR="00E801E4" w:rsidRDefault="00E801E4" w:rsidP="002B545A">
      <w:pPr>
        <w:pStyle w:val="FootnoteText"/>
        <w:ind w:firstLine="720"/>
        <w:rPr>
          <w:rFonts w:ascii="Times New Roman" w:hAnsi="Times New Roman" w:cs="Times New Roman"/>
          <w:sz w:val="26"/>
          <w:szCs w:val="26"/>
        </w:rPr>
      </w:pPr>
      <w:r>
        <w:rPr>
          <w:rStyle w:val="FootnoteReference"/>
        </w:rPr>
        <w:footnoteRef/>
      </w:r>
      <w:r>
        <w:t xml:space="preserve"> </w:t>
      </w:r>
      <w:r w:rsidRPr="00497CBC">
        <w:rPr>
          <w:rFonts w:ascii="Times New Roman" w:hAnsi="Times New Roman" w:cs="Times New Roman"/>
          <w:sz w:val="26"/>
          <w:szCs w:val="26"/>
        </w:rPr>
        <w:t xml:space="preserve">The </w:t>
      </w:r>
      <w:r>
        <w:rPr>
          <w:rFonts w:ascii="Times New Roman" w:hAnsi="Times New Roman" w:cs="Times New Roman"/>
          <w:sz w:val="26"/>
          <w:szCs w:val="26"/>
        </w:rPr>
        <w:t xml:space="preserve">burden associated with the current version of this standard, </w:t>
      </w:r>
      <w:r w:rsidRPr="00EA05C0">
        <w:rPr>
          <w:rFonts w:ascii="Times New Roman" w:eastAsia="Times New Roman" w:hAnsi="Times New Roman" w:cs="Times New Roman"/>
          <w:sz w:val="26"/>
          <w:szCs w:val="26"/>
        </w:rPr>
        <w:t>IRO-010-</w:t>
      </w:r>
      <w:r>
        <w:rPr>
          <w:rFonts w:ascii="Times New Roman" w:eastAsia="Times New Roman" w:hAnsi="Times New Roman" w:cs="Times New Roman"/>
          <w:sz w:val="26"/>
          <w:szCs w:val="26"/>
        </w:rPr>
        <w:t>2</w:t>
      </w:r>
      <w:r>
        <w:rPr>
          <w:rFonts w:ascii="Times New Roman" w:hAnsi="Times New Roman" w:cs="Times New Roman"/>
          <w:sz w:val="26"/>
          <w:szCs w:val="26"/>
        </w:rPr>
        <w:t xml:space="preserve">, is </w:t>
      </w:r>
      <w:r w:rsidRPr="004F4CD7">
        <w:rPr>
          <w:rFonts w:ascii="Times New Roman" w:hAnsi="Times New Roman" w:cs="Times New Roman"/>
          <w:sz w:val="26"/>
          <w:szCs w:val="26"/>
        </w:rPr>
        <w:t xml:space="preserve">included in </w:t>
      </w:r>
      <w:r>
        <w:rPr>
          <w:rFonts w:ascii="Times New Roman" w:eastAsia="Times New Roman" w:hAnsi="Times New Roman" w:cs="Times New Roman"/>
          <w:sz w:val="26"/>
          <w:szCs w:val="26"/>
        </w:rPr>
        <w:t>FERC-725Z</w:t>
      </w:r>
      <w:r>
        <w:rPr>
          <w:rFonts w:ascii="Times New Roman" w:hAnsi="Times New Roman" w:cs="Times New Roman"/>
          <w:sz w:val="26"/>
          <w:szCs w:val="26"/>
        </w:rPr>
        <w:t>.</w:t>
      </w:r>
    </w:p>
    <w:p w14:paraId="19221D47" w14:textId="77777777" w:rsidR="00E801E4" w:rsidRDefault="00E801E4" w:rsidP="002B545A">
      <w:pPr>
        <w:pStyle w:val="FootnoteText"/>
        <w:ind w:firstLine="720"/>
      </w:pPr>
    </w:p>
  </w:footnote>
  <w:footnote w:id="21">
    <w:p w14:paraId="4CC9FAB8" w14:textId="7F743E4B" w:rsidR="00E801E4" w:rsidRDefault="00E801E4" w:rsidP="002B545A">
      <w:pPr>
        <w:pStyle w:val="FootnoteText"/>
        <w:ind w:firstLine="720"/>
        <w:rPr>
          <w:rStyle w:val="Hyperlink"/>
          <w:rFonts w:ascii="Times New Roman" w:hAnsi="Times New Roman" w:cs="Times New Roman"/>
          <w:sz w:val="26"/>
          <w:szCs w:val="26"/>
        </w:rPr>
      </w:pPr>
      <w:r>
        <w:rPr>
          <w:rStyle w:val="FootnoteReference"/>
        </w:rPr>
        <w:footnoteRef/>
      </w:r>
      <w:r>
        <w:t xml:space="preserve"> </w:t>
      </w:r>
      <w:hyperlink r:id="rId10" w:history="1">
        <w:r>
          <w:rPr>
            <w:rStyle w:val="Hyperlink"/>
            <w:rFonts w:ascii="Times New Roman" w:hAnsi="Times New Roman" w:cs="Times New Roman"/>
            <w:sz w:val="26"/>
            <w:szCs w:val="26"/>
          </w:rPr>
          <w:t>Standards Alignment with Registration Petition</w:t>
        </w:r>
      </w:hyperlink>
      <w:r>
        <w:rPr>
          <w:rStyle w:val="Hyperlink"/>
          <w:rFonts w:ascii="Times New Roman" w:hAnsi="Times New Roman" w:cs="Times New Roman"/>
          <w:sz w:val="26"/>
          <w:szCs w:val="26"/>
        </w:rPr>
        <w:t xml:space="preserve"> at 9.</w:t>
      </w:r>
    </w:p>
    <w:p w14:paraId="7BA43B15" w14:textId="77777777" w:rsidR="00E801E4" w:rsidRDefault="00E801E4" w:rsidP="002B545A">
      <w:pPr>
        <w:pStyle w:val="FootnoteText"/>
      </w:pPr>
    </w:p>
  </w:footnote>
  <w:footnote w:id="22">
    <w:p w14:paraId="241C8357" w14:textId="77777777" w:rsidR="00E801E4" w:rsidRPr="004F4CD7" w:rsidRDefault="00E801E4" w:rsidP="004F4CD7">
      <w:pPr>
        <w:pStyle w:val="FootnoteText"/>
        <w:ind w:firstLine="720"/>
        <w:rPr>
          <w:rFonts w:ascii="Times New Roman" w:hAnsi="Times New Roman" w:cs="Times New Roman"/>
          <w:sz w:val="26"/>
          <w:szCs w:val="26"/>
        </w:rPr>
      </w:pPr>
      <w:r w:rsidRPr="004F4CD7">
        <w:rPr>
          <w:rStyle w:val="FootnoteReference"/>
          <w:rFonts w:cs="Times New Roman"/>
        </w:rPr>
        <w:footnoteRef/>
      </w:r>
      <w:r w:rsidRPr="004F4CD7">
        <w:rPr>
          <w:rFonts w:ascii="Times New Roman" w:hAnsi="Times New Roman" w:cs="Times New Roman"/>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p w14:paraId="241D9E48" w14:textId="77777777" w:rsidR="00E801E4" w:rsidRPr="004F4CD7" w:rsidRDefault="00E801E4" w:rsidP="004F4CD7">
      <w:pPr>
        <w:pStyle w:val="FootnoteText"/>
        <w:ind w:firstLine="720"/>
        <w:rPr>
          <w:rFonts w:ascii="Times New Roman" w:hAnsi="Times New Roman" w:cs="Times New Roman"/>
          <w:sz w:val="26"/>
          <w:szCs w:val="26"/>
        </w:rPr>
      </w:pPr>
    </w:p>
  </w:footnote>
  <w:footnote w:id="23">
    <w:p w14:paraId="424D1EE1" w14:textId="77777777" w:rsidR="00E801E4" w:rsidRDefault="00E801E4" w:rsidP="00221A9C">
      <w:pPr>
        <w:pStyle w:val="FootnoteText"/>
        <w:ind w:firstLine="720"/>
        <w:rPr>
          <w:rFonts w:ascii="Times New Roman" w:hAnsi="Times New Roman" w:cs="Times New Roman"/>
          <w:sz w:val="26"/>
          <w:szCs w:val="26"/>
        </w:rPr>
      </w:pPr>
      <w:r>
        <w:rPr>
          <w:rStyle w:val="FootnoteReference"/>
        </w:rPr>
        <w:footnoteRef/>
      </w:r>
      <w:r>
        <w:t xml:space="preserve"> </w:t>
      </w:r>
      <w:r w:rsidRPr="003A5DB0">
        <w:rPr>
          <w:rFonts w:ascii="Times New Roman" w:hAnsi="Times New Roman" w:cs="Times New Roman"/>
          <w:i/>
          <w:iCs/>
          <w:sz w:val="26"/>
          <w:szCs w:val="26"/>
        </w:rPr>
        <w:t>Order on Electric Reliability Organization Risk Based Registration Initiative and Requiring Compliance Filing</w:t>
      </w:r>
      <w:r w:rsidRPr="003358FD">
        <w:rPr>
          <w:rFonts w:ascii="Times New Roman" w:hAnsi="Times New Roman" w:cs="Times New Roman"/>
          <w:sz w:val="26"/>
          <w:szCs w:val="26"/>
        </w:rPr>
        <w:t>, 150 FERC ¶ 61,213</w:t>
      </w:r>
      <w:r>
        <w:rPr>
          <w:rFonts w:ascii="Times New Roman" w:hAnsi="Times New Roman" w:cs="Times New Roman"/>
          <w:sz w:val="26"/>
          <w:szCs w:val="26"/>
        </w:rPr>
        <w:t xml:space="preserve"> </w:t>
      </w:r>
      <w:r w:rsidRPr="003358FD">
        <w:rPr>
          <w:rFonts w:ascii="Times New Roman" w:hAnsi="Times New Roman" w:cs="Times New Roman"/>
          <w:sz w:val="26"/>
          <w:szCs w:val="26"/>
        </w:rPr>
        <w:t>(2015)</w:t>
      </w:r>
      <w:r>
        <w:rPr>
          <w:rFonts w:ascii="Times New Roman" w:hAnsi="Times New Roman" w:cs="Times New Roman"/>
          <w:sz w:val="26"/>
          <w:szCs w:val="26"/>
        </w:rPr>
        <w:t>;</w:t>
      </w:r>
      <w:r w:rsidRPr="003358FD">
        <w:rPr>
          <w:rFonts w:ascii="Times New Roman" w:hAnsi="Times New Roman" w:cs="Times New Roman"/>
          <w:sz w:val="26"/>
          <w:szCs w:val="26"/>
        </w:rPr>
        <w:t xml:space="preserve"> </w:t>
      </w:r>
      <w:r w:rsidRPr="003A5DB0">
        <w:rPr>
          <w:rFonts w:ascii="Times New Roman" w:hAnsi="Times New Roman" w:cs="Times New Roman"/>
          <w:i/>
          <w:iCs/>
          <w:sz w:val="26"/>
          <w:szCs w:val="26"/>
        </w:rPr>
        <w:t>Order on Compliance Filing</w:t>
      </w:r>
      <w:r w:rsidRPr="003358FD">
        <w:rPr>
          <w:rFonts w:ascii="Times New Roman" w:hAnsi="Times New Roman" w:cs="Times New Roman"/>
          <w:sz w:val="26"/>
          <w:szCs w:val="26"/>
        </w:rPr>
        <w:t>, 153 FERC ¶ 61,024 (2015).</w:t>
      </w:r>
    </w:p>
    <w:p w14:paraId="789F8C21" w14:textId="0E84DB35" w:rsidR="00E801E4" w:rsidRDefault="00E801E4" w:rsidP="00221A9C">
      <w:pPr>
        <w:pStyle w:val="FootnoteText"/>
        <w:ind w:firstLine="720"/>
      </w:pPr>
    </w:p>
  </w:footnote>
  <w:footnote w:id="24">
    <w:p w14:paraId="33B389BA" w14:textId="2986CE5A" w:rsidR="00E801E4" w:rsidRDefault="00E801E4" w:rsidP="00633F9D">
      <w:pPr>
        <w:pStyle w:val="FootnoteText"/>
        <w:ind w:firstLine="720"/>
        <w:rPr>
          <w:rFonts w:ascii="Times New Roman" w:hAnsi="Times New Roman" w:cs="Times New Roman"/>
          <w:sz w:val="26"/>
          <w:szCs w:val="26"/>
        </w:rPr>
      </w:pPr>
      <w:r>
        <w:rPr>
          <w:rStyle w:val="FootnoteReference"/>
        </w:rPr>
        <w:footnoteRef/>
      </w:r>
      <w:r>
        <w:t xml:space="preserve"> </w:t>
      </w:r>
      <w:r w:rsidRPr="00633F9D">
        <w:rPr>
          <w:rFonts w:ascii="Times New Roman" w:hAnsi="Times New Roman" w:cs="Times New Roman"/>
          <w:sz w:val="26"/>
          <w:szCs w:val="26"/>
        </w:rPr>
        <w:t xml:space="preserve">NERC </w:t>
      </w:r>
      <w:r>
        <w:rPr>
          <w:rFonts w:ascii="Times New Roman" w:hAnsi="Times New Roman" w:cs="Times New Roman"/>
          <w:sz w:val="26"/>
          <w:szCs w:val="26"/>
        </w:rPr>
        <w:t xml:space="preserve">posts its list of deregistered entities at the following link. </w:t>
      </w:r>
      <w:hyperlink r:id="rId11" w:history="1">
        <w:r w:rsidRPr="00720847">
          <w:rPr>
            <w:rStyle w:val="Hyperlink"/>
            <w:rFonts w:ascii="Times New Roman" w:hAnsi="Times New Roman" w:cs="Times New Roman"/>
            <w:sz w:val="26"/>
            <w:szCs w:val="26"/>
          </w:rPr>
          <w:t>https://www.nerc.com/pa/comp/Registration%20and%20Certification%20DL/NCR%20Deregistered%20Entities.xls</w:t>
        </w:r>
      </w:hyperlink>
      <w:r w:rsidRPr="00633F9D">
        <w:rPr>
          <w:rFonts w:ascii="Times New Roman" w:hAnsi="Times New Roman" w:cs="Times New Roman"/>
          <w:sz w:val="26"/>
          <w:szCs w:val="26"/>
        </w:rPr>
        <w:t xml:space="preserve"> </w:t>
      </w:r>
    </w:p>
    <w:p w14:paraId="54FEE727" w14:textId="77777777" w:rsidR="00E801E4" w:rsidRPr="00633F9D" w:rsidRDefault="00E801E4" w:rsidP="00633F9D">
      <w:pPr>
        <w:pStyle w:val="FootnoteText"/>
        <w:ind w:firstLine="720"/>
        <w:rPr>
          <w:rFonts w:ascii="Times New Roman" w:hAnsi="Times New Roman" w:cs="Times New Roman"/>
          <w:sz w:val="26"/>
          <w:szCs w:val="26"/>
        </w:rPr>
      </w:pPr>
    </w:p>
  </w:footnote>
  <w:footnote w:id="25">
    <w:p w14:paraId="7B90561E" w14:textId="1CAC7777" w:rsidR="00E801E4" w:rsidRDefault="00E801E4" w:rsidP="007F64C4">
      <w:pPr>
        <w:pStyle w:val="FootnoteText"/>
        <w:ind w:firstLine="720"/>
        <w:rPr>
          <w:rFonts w:ascii="Times New Roman" w:hAnsi="Times New Roman" w:cs="Times New Roman"/>
          <w:sz w:val="26"/>
          <w:szCs w:val="26"/>
        </w:rPr>
      </w:pPr>
      <w:r>
        <w:rPr>
          <w:rStyle w:val="FootnoteReference"/>
        </w:rPr>
        <w:footnoteRef/>
      </w:r>
      <w:r>
        <w:t xml:space="preserve"> </w:t>
      </w:r>
      <w:r w:rsidRPr="007F64C4">
        <w:rPr>
          <w:rFonts w:ascii="Times New Roman" w:hAnsi="Times New Roman" w:cs="Times New Roman"/>
          <w:sz w:val="26"/>
          <w:szCs w:val="26"/>
        </w:rPr>
        <w:t xml:space="preserve">The </w:t>
      </w:r>
      <w:r>
        <w:rPr>
          <w:rFonts w:ascii="Times New Roman" w:hAnsi="Times New Roman" w:cs="Times New Roman"/>
          <w:sz w:val="26"/>
          <w:szCs w:val="26"/>
        </w:rPr>
        <w:t xml:space="preserve">current </w:t>
      </w:r>
      <w:r w:rsidRPr="007F64C4">
        <w:rPr>
          <w:rFonts w:ascii="Times New Roman" w:hAnsi="Times New Roman" w:cs="Times New Roman"/>
          <w:sz w:val="26"/>
          <w:szCs w:val="26"/>
        </w:rPr>
        <w:t>Reliability Standard</w:t>
      </w:r>
      <w:r>
        <w:rPr>
          <w:rFonts w:ascii="Times New Roman" w:hAnsi="Times New Roman" w:cs="Times New Roman"/>
          <w:sz w:val="26"/>
          <w:szCs w:val="26"/>
        </w:rPr>
        <w:t xml:space="preserve"> NUC-001-3 defines the phrase “transmission entities” as all entities that are responsible for providing services related to nuclear plant interface requirements (NPIRs).  Such entities may include one or more of the following: transmission operators, transmission owners, transmission planners, transmission service providers, balancing authorities, reliability coordinators, planning coordinators, distribution providers, load-serving entities, generator owners, and generator operators.</w:t>
      </w:r>
    </w:p>
    <w:p w14:paraId="0C2353C9" w14:textId="2A9E76B2" w:rsidR="00E801E4" w:rsidRDefault="00E801E4" w:rsidP="007F64C4">
      <w:pPr>
        <w:pStyle w:val="FootnoteText"/>
        <w:ind w:firstLine="720"/>
        <w:rPr>
          <w:rFonts w:ascii="Times New Roman" w:hAnsi="Times New Roman" w:cs="Times New Roman"/>
          <w:sz w:val="26"/>
          <w:szCs w:val="26"/>
        </w:rPr>
      </w:pPr>
      <w:r w:rsidRPr="007F64C4">
        <w:rPr>
          <w:rFonts w:ascii="Times New Roman" w:hAnsi="Times New Roman" w:cs="Times New Roman"/>
          <w:sz w:val="26"/>
          <w:szCs w:val="26"/>
        </w:rPr>
        <w:t xml:space="preserve"> </w:t>
      </w:r>
    </w:p>
    <w:p w14:paraId="1C3C5838" w14:textId="77777777" w:rsidR="00E801E4" w:rsidRPr="007F64C4" w:rsidRDefault="00E801E4" w:rsidP="007F64C4">
      <w:pPr>
        <w:pStyle w:val="FootnoteText"/>
        <w:ind w:firstLine="720"/>
        <w:rPr>
          <w:rFonts w:ascii="Times New Roman" w:hAnsi="Times New Roman" w:cs="Times New Roman"/>
          <w:sz w:val="26"/>
          <w:szCs w:val="26"/>
        </w:rPr>
      </w:pPr>
    </w:p>
  </w:footnote>
  <w:footnote w:id="26">
    <w:p w14:paraId="242ACFE5" w14:textId="70F1CC59" w:rsidR="00E801E4" w:rsidRDefault="00E801E4" w:rsidP="00FE548E">
      <w:pPr>
        <w:pStyle w:val="FootnoteText"/>
        <w:ind w:firstLine="720"/>
        <w:rPr>
          <w:rFonts w:ascii="Times New Roman" w:hAnsi="Times New Roman" w:cs="Times New Roman"/>
          <w:sz w:val="26"/>
          <w:szCs w:val="26"/>
        </w:rPr>
      </w:pPr>
      <w:r w:rsidRPr="00E140C2">
        <w:rPr>
          <w:rStyle w:val="FootnoteReference"/>
          <w:rFonts w:cs="Times New Roman"/>
        </w:rPr>
        <w:footnoteRef/>
      </w:r>
      <w:r w:rsidRPr="00E140C2">
        <w:rPr>
          <w:rFonts w:ascii="Times New Roman" w:hAnsi="Times New Roman" w:cs="Times New Roman"/>
          <w:sz w:val="26"/>
          <w:szCs w:val="26"/>
        </w:rPr>
        <w:t xml:space="preserve"> The adjustments, due to normal industry fluctuations, are based on figures in the NERC </w:t>
      </w:r>
      <w:r>
        <w:rPr>
          <w:rFonts w:ascii="Times New Roman" w:hAnsi="Times New Roman" w:cs="Times New Roman"/>
          <w:sz w:val="26"/>
          <w:szCs w:val="26"/>
        </w:rPr>
        <w:t>r</w:t>
      </w:r>
      <w:r w:rsidRPr="00E140C2">
        <w:rPr>
          <w:rFonts w:ascii="Times New Roman" w:hAnsi="Times New Roman" w:cs="Times New Roman"/>
          <w:sz w:val="26"/>
          <w:szCs w:val="26"/>
        </w:rPr>
        <w:t>egistry</w:t>
      </w:r>
      <w:r>
        <w:rPr>
          <w:rFonts w:ascii="Times New Roman" w:hAnsi="Times New Roman" w:cs="Times New Roman"/>
          <w:sz w:val="26"/>
          <w:szCs w:val="26"/>
        </w:rPr>
        <w:t xml:space="preserve"> </w:t>
      </w:r>
      <w:r w:rsidRPr="000111BB">
        <w:rPr>
          <w:rFonts w:ascii="Times New Roman" w:hAnsi="Times New Roman" w:cs="Times New Roman"/>
          <w:iCs/>
          <w:sz w:val="26"/>
          <w:szCs w:val="26"/>
        </w:rPr>
        <w:t>as of April 10, 2020</w:t>
      </w:r>
      <w:r w:rsidRPr="00E140C2">
        <w:rPr>
          <w:rFonts w:ascii="Times New Roman" w:hAnsi="Times New Roman" w:cs="Times New Roman"/>
          <w:sz w:val="26"/>
          <w:szCs w:val="26"/>
        </w:rPr>
        <w:t xml:space="preserve">. </w:t>
      </w:r>
    </w:p>
    <w:p w14:paraId="197657F7" w14:textId="77777777" w:rsidR="00E801E4" w:rsidRPr="00176624" w:rsidRDefault="00E801E4" w:rsidP="00FE548E">
      <w:pPr>
        <w:pStyle w:val="FootnoteText"/>
        <w:ind w:firstLine="720"/>
        <w:rPr>
          <w:rFonts w:ascii="Times New Roman" w:hAnsi="Times New Roman" w:cs="Times New Roman"/>
          <w:sz w:val="26"/>
          <w:szCs w:val="26"/>
        </w:rPr>
      </w:pPr>
    </w:p>
  </w:footnote>
  <w:footnote w:id="27">
    <w:p w14:paraId="44203528" w14:textId="07396BDF" w:rsidR="00E801E4" w:rsidRPr="00176624" w:rsidRDefault="00E801E4" w:rsidP="003316DD">
      <w:pPr>
        <w:pStyle w:val="FootnoteText"/>
        <w:ind w:firstLine="720"/>
        <w:rPr>
          <w:rFonts w:ascii="Times New Roman" w:hAnsi="Times New Roman" w:cs="Times New Roman"/>
          <w:sz w:val="26"/>
          <w:szCs w:val="26"/>
        </w:rPr>
      </w:pPr>
      <w:r w:rsidRPr="00713A04">
        <w:rPr>
          <w:rStyle w:val="FootnoteReference"/>
          <w:rFonts w:cs="Times New Roman"/>
        </w:rPr>
        <w:footnoteRef/>
      </w:r>
      <w:r w:rsidRPr="00176624">
        <w:rPr>
          <w:rFonts w:ascii="Times New Roman" w:hAnsi="Times New Roman" w:cs="Times New Roman"/>
          <w:sz w:val="26"/>
          <w:szCs w:val="26"/>
        </w:rPr>
        <w:t xml:space="preserve"> This is not a program change (increase) due to Docket No. RD20-4.  Rather, we are correcting an earlier oversight.  It appears that the estimated burden figures for the GO, GOP, TO and DP were inadvertently omitted from the package submitted to and approved by OMB related to the Final Rule (Order No. 817, issued 11/19/2015) in Docket No. RM15-16.</w:t>
      </w:r>
      <w:r w:rsidRPr="00713A04">
        <w:rPr>
          <w:rFonts w:ascii="Times New Roman" w:hAnsi="Times New Roman" w:cs="Times New Roman"/>
          <w:sz w:val="26"/>
          <w:szCs w:val="26"/>
        </w:rPr>
        <w:t xml:space="preserve">  The number of respondents is the current figure based on the NERC </w:t>
      </w:r>
      <w:r>
        <w:rPr>
          <w:rFonts w:ascii="Times New Roman" w:hAnsi="Times New Roman" w:cs="Times New Roman"/>
          <w:sz w:val="26"/>
          <w:szCs w:val="26"/>
        </w:rPr>
        <w:t>r</w:t>
      </w:r>
      <w:r w:rsidRPr="00713A04">
        <w:rPr>
          <w:rFonts w:ascii="Times New Roman" w:hAnsi="Times New Roman" w:cs="Times New Roman"/>
          <w:sz w:val="26"/>
          <w:szCs w:val="26"/>
        </w:rPr>
        <w:t>egistry.</w:t>
      </w:r>
    </w:p>
  </w:footnote>
  <w:footnote w:id="28">
    <w:p w14:paraId="6C19550D" w14:textId="1E3CFAB8" w:rsidR="00E801E4" w:rsidRDefault="00E801E4" w:rsidP="00DC5BB0">
      <w:pPr>
        <w:pStyle w:val="FootnoteText"/>
        <w:ind w:firstLine="720"/>
        <w:rPr>
          <w:rFonts w:ascii="Times New Roman" w:hAnsi="Times New Roman" w:cs="Times New Roman"/>
          <w:sz w:val="26"/>
          <w:szCs w:val="26"/>
        </w:rPr>
      </w:pPr>
      <w:r>
        <w:rPr>
          <w:rStyle w:val="FootnoteReference"/>
        </w:rPr>
        <w:footnoteRef/>
      </w:r>
      <w:r>
        <w:t xml:space="preserve"> </w:t>
      </w:r>
      <w:bookmarkStart w:id="3" w:name="_Hlk43394320"/>
      <w:r w:rsidRPr="00763B36">
        <w:rPr>
          <w:rFonts w:ascii="Times New Roman" w:hAnsi="Times New Roman" w:cs="Times New Roman"/>
          <w:sz w:val="26"/>
          <w:szCs w:val="26"/>
        </w:rPr>
        <w:t>The reduction of 93 respondents and corresponding burden hours include 63 LSEs that were de-registered (program decrease of 1,008 hrs.) and an adjustment decrease of 30 respondents (480 hrs.) due to normal industry fluctuations.</w:t>
      </w:r>
      <w:bookmarkEnd w:id="3"/>
    </w:p>
    <w:p w14:paraId="687D9FBD" w14:textId="476AFE91" w:rsidR="00E801E4" w:rsidRDefault="00E801E4" w:rsidP="00DC5BB0">
      <w:pPr>
        <w:pStyle w:val="FootnoteText"/>
        <w:ind w:firstLine="720"/>
        <w:rPr>
          <w:rFonts w:ascii="Times New Roman" w:hAnsi="Times New Roman" w:cs="Times New Roman"/>
          <w:sz w:val="26"/>
          <w:szCs w:val="26"/>
        </w:rPr>
      </w:pPr>
      <w:r>
        <w:rPr>
          <w:rFonts w:ascii="Times New Roman" w:hAnsi="Times New Roman" w:cs="Times New Roman"/>
          <w:sz w:val="26"/>
          <w:szCs w:val="26"/>
        </w:rPr>
        <w:t>Out of the total decrease of 1,488 hours,</w:t>
      </w:r>
      <w:r w:rsidR="00A279D3">
        <w:rPr>
          <w:rFonts w:ascii="Times New Roman" w:hAnsi="Times New Roman" w:cs="Times New Roman"/>
          <w:sz w:val="26"/>
          <w:szCs w:val="26"/>
        </w:rPr>
        <w:t xml:space="preserve"> </w:t>
      </w:r>
      <w:r>
        <w:rPr>
          <w:rFonts w:ascii="Times New Roman" w:hAnsi="Times New Roman" w:cs="Times New Roman"/>
          <w:sz w:val="26"/>
          <w:szCs w:val="26"/>
        </w:rPr>
        <w:t>the program decrease of 1,008 hours [corresponding decrease of 63 responses] is due to Docket No. RD20-4.  The reduction of 480 hours is due to normal adjustments.</w:t>
      </w:r>
    </w:p>
    <w:p w14:paraId="22E0C803" w14:textId="77777777" w:rsidR="00E801E4" w:rsidRPr="00763B36" w:rsidRDefault="00E801E4" w:rsidP="00DC5BB0">
      <w:pPr>
        <w:pStyle w:val="FootnoteText"/>
        <w:ind w:firstLine="720"/>
        <w:rPr>
          <w:rFonts w:ascii="Times New Roman" w:hAnsi="Times New Roman" w:cs="Times New Roman"/>
          <w:sz w:val="26"/>
          <w:szCs w:val="26"/>
        </w:rPr>
      </w:pPr>
    </w:p>
  </w:footnote>
  <w:footnote w:id="29">
    <w:p w14:paraId="07F76901" w14:textId="18CB84A8" w:rsidR="00E801E4" w:rsidRDefault="00E801E4" w:rsidP="00DC5BB0">
      <w:pPr>
        <w:pStyle w:val="FootnoteText"/>
        <w:ind w:firstLine="720"/>
        <w:rPr>
          <w:rFonts w:ascii="Times New Roman" w:hAnsi="Times New Roman" w:cs="Times New Roman"/>
          <w:sz w:val="26"/>
          <w:szCs w:val="26"/>
        </w:rPr>
      </w:pPr>
      <w:r>
        <w:rPr>
          <w:rStyle w:val="FootnoteReference"/>
        </w:rPr>
        <w:footnoteRef/>
      </w:r>
      <w:r>
        <w:t xml:space="preserve"> </w:t>
      </w:r>
      <w:r w:rsidRPr="00887685">
        <w:rPr>
          <w:rFonts w:ascii="Times New Roman" w:hAnsi="Times New Roman" w:cs="Times New Roman"/>
          <w:sz w:val="26"/>
          <w:szCs w:val="26"/>
        </w:rPr>
        <w:t xml:space="preserve">Although </w:t>
      </w:r>
      <w:r>
        <w:rPr>
          <w:rFonts w:ascii="Times New Roman" w:hAnsi="Times New Roman" w:cs="Times New Roman"/>
          <w:sz w:val="26"/>
          <w:szCs w:val="26"/>
        </w:rPr>
        <w:t>1,232</w:t>
      </w:r>
      <w:r w:rsidRPr="00887685">
        <w:rPr>
          <w:rFonts w:ascii="Times New Roman" w:hAnsi="Times New Roman" w:cs="Times New Roman"/>
          <w:sz w:val="26"/>
          <w:szCs w:val="26"/>
        </w:rPr>
        <w:t xml:space="preserve"> entities are registered as TO, DP, or GO, we expect at the most </w:t>
      </w:r>
      <w:r>
        <w:rPr>
          <w:rFonts w:ascii="Times New Roman" w:hAnsi="Times New Roman" w:cs="Times New Roman"/>
          <w:sz w:val="26"/>
          <w:szCs w:val="26"/>
        </w:rPr>
        <w:t>123</w:t>
      </w:r>
      <w:r w:rsidRPr="00887685">
        <w:rPr>
          <w:rFonts w:ascii="Times New Roman" w:hAnsi="Times New Roman" w:cs="Times New Roman"/>
          <w:sz w:val="26"/>
          <w:szCs w:val="26"/>
        </w:rPr>
        <w:t xml:space="preserve"> entities (ten percent) will seek to interconnect and go through the study phase that may </w:t>
      </w:r>
      <w:r w:rsidRPr="00763B36">
        <w:rPr>
          <w:rFonts w:ascii="Times New Roman" w:hAnsi="Times New Roman" w:cs="Times New Roman"/>
          <w:sz w:val="26"/>
          <w:szCs w:val="26"/>
        </w:rPr>
        <w:t>require coordination in any given year.</w:t>
      </w:r>
    </w:p>
    <w:p w14:paraId="2465F156" w14:textId="77777777" w:rsidR="00E801E4" w:rsidRDefault="00E801E4" w:rsidP="00DC5BB0">
      <w:pPr>
        <w:pStyle w:val="FootnoteText"/>
        <w:ind w:firstLine="720"/>
      </w:pPr>
    </w:p>
  </w:footnote>
  <w:footnote w:id="30">
    <w:p w14:paraId="03B00B58" w14:textId="1491FA87" w:rsidR="00E801E4" w:rsidRDefault="00E801E4" w:rsidP="00A279D3">
      <w:pPr>
        <w:pStyle w:val="FootnoteText"/>
        <w:ind w:firstLine="720"/>
        <w:rPr>
          <w:rFonts w:ascii="Times New Roman" w:hAnsi="Times New Roman" w:cs="Times New Roman"/>
          <w:sz w:val="26"/>
          <w:szCs w:val="26"/>
        </w:rPr>
      </w:pPr>
      <w:r>
        <w:rPr>
          <w:rStyle w:val="FootnoteReference"/>
        </w:rPr>
        <w:footnoteRef/>
      </w:r>
      <w:r>
        <w:t xml:space="preserve"> </w:t>
      </w:r>
      <w:r w:rsidRPr="00763B36">
        <w:rPr>
          <w:rFonts w:ascii="Times New Roman" w:hAnsi="Times New Roman" w:cs="Times New Roman"/>
          <w:sz w:val="26"/>
          <w:szCs w:val="26"/>
        </w:rPr>
        <w:t xml:space="preserve">The reduction of 93 respondents and corresponding burden hours include 63 LSEs that were de-registered (program decrease of </w:t>
      </w:r>
      <w:r>
        <w:rPr>
          <w:rFonts w:ascii="Times New Roman" w:hAnsi="Times New Roman" w:cs="Times New Roman"/>
          <w:sz w:val="26"/>
          <w:szCs w:val="26"/>
        </w:rPr>
        <w:t>63</w:t>
      </w:r>
      <w:r w:rsidRPr="00763B36">
        <w:rPr>
          <w:rFonts w:ascii="Times New Roman" w:hAnsi="Times New Roman" w:cs="Times New Roman"/>
          <w:sz w:val="26"/>
          <w:szCs w:val="26"/>
        </w:rPr>
        <w:t xml:space="preserve"> hrs.</w:t>
      </w:r>
      <w:r>
        <w:rPr>
          <w:rFonts w:ascii="Times New Roman" w:hAnsi="Times New Roman" w:cs="Times New Roman"/>
          <w:sz w:val="26"/>
          <w:szCs w:val="26"/>
        </w:rPr>
        <w:t>, due to Docket No. RD20-4</w:t>
      </w:r>
      <w:r w:rsidRPr="00763B36">
        <w:rPr>
          <w:rFonts w:ascii="Times New Roman" w:hAnsi="Times New Roman" w:cs="Times New Roman"/>
          <w:sz w:val="26"/>
          <w:szCs w:val="26"/>
        </w:rPr>
        <w:t>) and an adjustment decrease of 30 respondents (</w:t>
      </w:r>
      <w:r>
        <w:rPr>
          <w:rFonts w:ascii="Times New Roman" w:hAnsi="Times New Roman" w:cs="Times New Roman"/>
          <w:sz w:val="26"/>
          <w:szCs w:val="26"/>
        </w:rPr>
        <w:t>30</w:t>
      </w:r>
      <w:r w:rsidRPr="00763B36">
        <w:rPr>
          <w:rFonts w:ascii="Times New Roman" w:hAnsi="Times New Roman" w:cs="Times New Roman"/>
          <w:sz w:val="26"/>
          <w:szCs w:val="26"/>
        </w:rPr>
        <w:t xml:space="preserve"> hrs.) due to normal industry fluctuations.</w:t>
      </w:r>
    </w:p>
    <w:p w14:paraId="3F44D559" w14:textId="77777777" w:rsidR="00A279D3" w:rsidRDefault="00A279D3" w:rsidP="00A279D3">
      <w:pPr>
        <w:pStyle w:val="FootnoteText"/>
        <w:ind w:firstLine="720"/>
      </w:pPr>
    </w:p>
  </w:footnote>
  <w:footnote w:id="31">
    <w:p w14:paraId="75E82656" w14:textId="6988D80E" w:rsidR="00E801E4" w:rsidRDefault="00E801E4" w:rsidP="00DC5BB0">
      <w:pPr>
        <w:autoSpaceDE w:val="0"/>
        <w:autoSpaceDN w:val="0"/>
        <w:adjustRightInd w:val="0"/>
        <w:spacing w:after="0" w:line="240" w:lineRule="auto"/>
        <w:ind w:firstLine="720"/>
        <w:rPr>
          <w:rFonts w:ascii="Times New Roman" w:hAnsi="Times New Roman" w:cs="Times New Roman"/>
          <w:sz w:val="26"/>
          <w:szCs w:val="26"/>
        </w:rPr>
      </w:pPr>
      <w:r w:rsidRPr="004133F0">
        <w:rPr>
          <w:rStyle w:val="FootnoteReference"/>
          <w:rFonts w:cs="Times New Roman"/>
        </w:rPr>
        <w:footnoteRef/>
      </w:r>
      <w:r w:rsidRPr="00176624">
        <w:rPr>
          <w:rFonts w:ascii="Times New Roman" w:hAnsi="Times New Roman" w:cs="Times New Roman"/>
          <w:sz w:val="26"/>
          <w:szCs w:val="26"/>
        </w:rPr>
        <w:t xml:space="preserve"> The </w:t>
      </w:r>
      <w:r>
        <w:rPr>
          <w:rFonts w:ascii="Times New Roman" w:hAnsi="Times New Roman" w:cs="Times New Roman"/>
          <w:sz w:val="26"/>
          <w:szCs w:val="26"/>
        </w:rPr>
        <w:t xml:space="preserve">number of </w:t>
      </w:r>
      <w:r w:rsidRPr="00176624">
        <w:rPr>
          <w:rFonts w:ascii="Times New Roman" w:hAnsi="Times New Roman" w:cs="Times New Roman"/>
          <w:sz w:val="26"/>
          <w:szCs w:val="26"/>
        </w:rPr>
        <w:t xml:space="preserve">entities </w:t>
      </w:r>
      <w:r>
        <w:rPr>
          <w:rFonts w:ascii="Times New Roman" w:hAnsi="Times New Roman" w:cs="Times New Roman"/>
          <w:sz w:val="26"/>
          <w:szCs w:val="26"/>
        </w:rPr>
        <w:t xml:space="preserve">is </w:t>
      </w:r>
      <w:r w:rsidRPr="00176624">
        <w:rPr>
          <w:rFonts w:ascii="Times New Roman" w:hAnsi="Times New Roman" w:cs="Times New Roman"/>
          <w:sz w:val="26"/>
          <w:szCs w:val="26"/>
        </w:rPr>
        <w:t>being reduced in order to more clearly identify the applicable entities</w:t>
      </w:r>
      <w:r>
        <w:rPr>
          <w:rFonts w:ascii="Times New Roman" w:hAnsi="Times New Roman" w:cs="Times New Roman"/>
          <w:sz w:val="26"/>
          <w:szCs w:val="26"/>
        </w:rPr>
        <w:t xml:space="preserve"> in subsequent rows in this table</w:t>
      </w:r>
      <w:r w:rsidRPr="00176624">
        <w:rPr>
          <w:rFonts w:ascii="Times New Roman" w:hAnsi="Times New Roman" w:cs="Times New Roman"/>
          <w:sz w:val="26"/>
          <w:szCs w:val="26"/>
        </w:rPr>
        <w:t>.  As stated in the NERC Petition, “[</w:t>
      </w:r>
      <w:r>
        <w:rPr>
          <w:rFonts w:ascii="Times New Roman" w:hAnsi="Times New Roman" w:cs="Times New Roman"/>
          <w:sz w:val="26"/>
          <w:szCs w:val="26"/>
        </w:rPr>
        <w:t>t</w:t>
      </w:r>
      <w:r w:rsidRPr="00176624">
        <w:rPr>
          <w:rFonts w:ascii="Times New Roman" w:hAnsi="Times New Roman" w:cs="Times New Roman"/>
          <w:sz w:val="26"/>
          <w:szCs w:val="26"/>
        </w:rPr>
        <w:t xml:space="preserve">]he currently effective standard is applicable to Planning Coordinators, “UFLS entities” (which may include Transmission Owners and Distribution Providers that own, operate, or control UFLS equipment), and Transmission Owners that own certain Elements. In proposed Reliability Standard PRC-006-4, NERC proposes to add the UFLS-Only Distribution </w:t>
      </w:r>
      <w:r w:rsidRPr="00763B36">
        <w:rPr>
          <w:rFonts w:ascii="Times New Roman" w:hAnsi="Times New Roman" w:cs="Times New Roman"/>
          <w:sz w:val="26"/>
          <w:szCs w:val="26"/>
        </w:rPr>
        <w:t>Provider as an applicable UFLS entity, consistent with the language in Section III(b) of Appendix 5B of the NERC Rules of Procedure (Statement of Compliance Registry Criteria) that the Reliability Standards applicable to UFLS-Only Distribution Providers includes prior effective versions of the PRC-006 standard.”</w:t>
      </w:r>
      <w:r>
        <w:rPr>
          <w:rFonts w:ascii="Times New Roman" w:hAnsi="Times New Roman" w:cs="Times New Roman"/>
          <w:sz w:val="26"/>
          <w:szCs w:val="26"/>
        </w:rPr>
        <w:t xml:space="preserve">  The changes are not due to Docket No. RD20-4.</w:t>
      </w:r>
    </w:p>
    <w:p w14:paraId="446D24F3" w14:textId="77777777" w:rsidR="00E801E4" w:rsidRDefault="00E801E4" w:rsidP="00E27E9A">
      <w:pPr>
        <w:pStyle w:val="FootnoteText"/>
        <w:ind w:firstLine="720"/>
      </w:pPr>
    </w:p>
  </w:footnote>
  <w:footnote w:id="32">
    <w:p w14:paraId="1D4122CD" w14:textId="4E08E74E" w:rsidR="00E801E4" w:rsidRDefault="00E801E4">
      <w:pPr>
        <w:pStyle w:val="FootnoteText"/>
        <w:ind w:firstLine="720"/>
        <w:rPr>
          <w:rFonts w:ascii="Times New Roman" w:hAnsi="Times New Roman" w:cs="Times New Roman"/>
          <w:sz w:val="26"/>
          <w:szCs w:val="26"/>
        </w:rPr>
      </w:pPr>
      <w:r w:rsidRPr="00763B36">
        <w:rPr>
          <w:rStyle w:val="FootnoteReference"/>
          <w:rFonts w:cs="Times New Roman"/>
        </w:rPr>
        <w:footnoteRef/>
      </w:r>
      <w:r w:rsidRPr="00763B36">
        <w:rPr>
          <w:rFonts w:ascii="Times New Roman" w:hAnsi="Times New Roman" w:cs="Times New Roman"/>
          <w:sz w:val="26"/>
          <w:szCs w:val="26"/>
        </w:rPr>
        <w:t xml:space="preserve"> The </w:t>
      </w:r>
      <w:r>
        <w:rPr>
          <w:rFonts w:ascii="Times New Roman" w:hAnsi="Times New Roman" w:cs="Times New Roman"/>
          <w:sz w:val="26"/>
          <w:szCs w:val="26"/>
        </w:rPr>
        <w:t>increases are not due to Docket No. RD20-4.  They</w:t>
      </w:r>
      <w:r w:rsidRPr="00763B36">
        <w:rPr>
          <w:rFonts w:ascii="Times New Roman" w:hAnsi="Times New Roman" w:cs="Times New Roman"/>
          <w:sz w:val="26"/>
          <w:szCs w:val="26"/>
        </w:rPr>
        <w:t xml:space="preserve"> are a program increase of 64 PC</w:t>
      </w:r>
      <w:r>
        <w:rPr>
          <w:rFonts w:ascii="Times New Roman" w:hAnsi="Times New Roman" w:cs="Times New Roman"/>
          <w:sz w:val="26"/>
          <w:szCs w:val="26"/>
        </w:rPr>
        <w:t>s</w:t>
      </w:r>
      <w:r w:rsidRPr="00763B36">
        <w:rPr>
          <w:rFonts w:ascii="Times New Roman" w:hAnsi="Times New Roman" w:cs="Times New Roman"/>
          <w:sz w:val="26"/>
          <w:szCs w:val="26"/>
        </w:rPr>
        <w:t xml:space="preserve"> (and the corresponding hrs.) in order to correct and clarify the estimates.</w:t>
      </w:r>
    </w:p>
    <w:p w14:paraId="578712C2" w14:textId="77777777" w:rsidR="00A279D3" w:rsidRDefault="00A279D3" w:rsidP="00A279D3">
      <w:pPr>
        <w:pStyle w:val="FootnoteText"/>
        <w:ind w:firstLine="720"/>
      </w:pPr>
    </w:p>
  </w:footnote>
  <w:footnote w:id="33">
    <w:p w14:paraId="1D5FEA98" w14:textId="74E5059D" w:rsidR="00E801E4" w:rsidRDefault="00E801E4" w:rsidP="00DC5BB0">
      <w:pPr>
        <w:pStyle w:val="CommentText"/>
        <w:spacing w:after="0"/>
        <w:ind w:firstLine="720"/>
        <w:rPr>
          <w:rFonts w:ascii="Times New Roman" w:hAnsi="Times New Roman" w:cs="Times New Roman"/>
          <w:sz w:val="26"/>
          <w:szCs w:val="26"/>
        </w:rPr>
      </w:pPr>
      <w:r w:rsidRPr="00763B36">
        <w:rPr>
          <w:rStyle w:val="FootnoteReference"/>
          <w:rFonts w:cs="Times New Roman"/>
        </w:rPr>
        <w:footnoteRef/>
      </w:r>
      <w:r w:rsidRPr="00763B36">
        <w:rPr>
          <w:rFonts w:ascii="Times New Roman" w:hAnsi="Times New Roman" w:cs="Times New Roman"/>
          <w:sz w:val="26"/>
          <w:szCs w:val="26"/>
        </w:rPr>
        <w:t xml:space="preserve"> The program increase is due to adding 63 UFLS-only DPs due to Docket No. RD</w:t>
      </w:r>
      <w:r>
        <w:rPr>
          <w:rFonts w:ascii="Times New Roman" w:hAnsi="Times New Roman" w:cs="Times New Roman"/>
          <w:sz w:val="26"/>
          <w:szCs w:val="26"/>
        </w:rPr>
        <w:t>20</w:t>
      </w:r>
      <w:r w:rsidRPr="00763B36">
        <w:rPr>
          <w:rFonts w:ascii="Times New Roman" w:hAnsi="Times New Roman" w:cs="Times New Roman"/>
          <w:sz w:val="26"/>
          <w:szCs w:val="26"/>
        </w:rPr>
        <w:t xml:space="preserve">-4.  In addition, 415 TOs and DPs were originally estimated in FERC-725A due to Order </w:t>
      </w:r>
      <w:r>
        <w:rPr>
          <w:rFonts w:ascii="Times New Roman" w:hAnsi="Times New Roman" w:cs="Times New Roman"/>
          <w:sz w:val="26"/>
          <w:szCs w:val="26"/>
        </w:rPr>
        <w:t xml:space="preserve">No. </w:t>
      </w:r>
      <w:r w:rsidRPr="00763B36">
        <w:rPr>
          <w:rFonts w:ascii="Times New Roman" w:hAnsi="Times New Roman" w:cs="Times New Roman"/>
          <w:sz w:val="26"/>
          <w:szCs w:val="26"/>
        </w:rPr>
        <w:t>693.  However</w:t>
      </w:r>
      <w:r>
        <w:rPr>
          <w:rFonts w:ascii="Times New Roman" w:hAnsi="Times New Roman" w:cs="Times New Roman"/>
          <w:sz w:val="26"/>
          <w:szCs w:val="26"/>
        </w:rPr>
        <w:t>,</w:t>
      </w:r>
      <w:r w:rsidRPr="00763B36">
        <w:rPr>
          <w:rFonts w:ascii="Times New Roman" w:hAnsi="Times New Roman" w:cs="Times New Roman"/>
          <w:sz w:val="26"/>
          <w:szCs w:val="26"/>
        </w:rPr>
        <w:t xml:space="preserve"> the estimates and descriptions were not clearly spelled out, so we are clarifying the</w:t>
      </w:r>
      <w:r>
        <w:rPr>
          <w:rFonts w:ascii="Times New Roman" w:hAnsi="Times New Roman" w:cs="Times New Roman"/>
          <w:sz w:val="26"/>
          <w:szCs w:val="26"/>
        </w:rPr>
        <w:t>m</w:t>
      </w:r>
      <w:r w:rsidRPr="00763B36">
        <w:rPr>
          <w:rFonts w:ascii="Times New Roman" w:hAnsi="Times New Roman" w:cs="Times New Roman"/>
          <w:sz w:val="26"/>
          <w:szCs w:val="26"/>
        </w:rPr>
        <w:t>.</w:t>
      </w:r>
      <w:r>
        <w:rPr>
          <w:rFonts w:ascii="Times New Roman" w:hAnsi="Times New Roman" w:cs="Times New Roman"/>
          <w:sz w:val="26"/>
          <w:szCs w:val="26"/>
        </w:rPr>
        <w:t xml:space="preserve">  As a result, there are 315 hours (63*5 hours) and the corresponding increase of 63 respondents of program increase due to Docket No. RD20-4, and 2,075 hours (415*5 hours) of increase due to adjustment.</w:t>
      </w:r>
    </w:p>
    <w:p w14:paraId="03B7852A" w14:textId="77777777" w:rsidR="00E801E4" w:rsidRPr="00763B36" w:rsidRDefault="00E801E4" w:rsidP="00DC5BB0">
      <w:pPr>
        <w:pStyle w:val="FootnoteText"/>
        <w:ind w:firstLine="720"/>
        <w:rPr>
          <w:rFonts w:ascii="Times New Roman" w:hAnsi="Times New Roman" w:cs="Times New Roman"/>
          <w:sz w:val="26"/>
          <w:szCs w:val="26"/>
        </w:rPr>
      </w:pPr>
    </w:p>
  </w:footnote>
  <w:footnote w:id="34">
    <w:p w14:paraId="10E59071" w14:textId="5A206AC9" w:rsidR="00E801E4" w:rsidRDefault="00E801E4" w:rsidP="00DC5BB0">
      <w:pPr>
        <w:pStyle w:val="FootnoteText"/>
        <w:ind w:firstLine="720"/>
        <w:rPr>
          <w:rFonts w:ascii="Times New Roman" w:hAnsi="Times New Roman" w:cs="Times New Roman"/>
          <w:sz w:val="26"/>
          <w:szCs w:val="26"/>
        </w:rPr>
      </w:pPr>
      <w:r w:rsidRPr="00763B36">
        <w:rPr>
          <w:rStyle w:val="FootnoteReference"/>
          <w:rFonts w:cs="Times New Roman"/>
        </w:rPr>
        <w:footnoteRef/>
      </w:r>
      <w:r w:rsidRPr="00763B36">
        <w:rPr>
          <w:rFonts w:ascii="Times New Roman" w:hAnsi="Times New Roman" w:cs="Times New Roman"/>
          <w:sz w:val="26"/>
          <w:szCs w:val="26"/>
        </w:rPr>
        <w:t xml:space="preserve"> </w:t>
      </w:r>
      <w:r>
        <w:rPr>
          <w:rFonts w:ascii="Times New Roman" w:hAnsi="Times New Roman" w:cs="Times New Roman"/>
          <w:sz w:val="26"/>
          <w:szCs w:val="26"/>
        </w:rPr>
        <w:t xml:space="preserve">The estimates reflect a </w:t>
      </w:r>
      <w:r w:rsidRPr="00ED4B10">
        <w:rPr>
          <w:rFonts w:ascii="Times New Roman" w:hAnsi="Times New Roman" w:cs="Times New Roman"/>
          <w:sz w:val="26"/>
          <w:szCs w:val="26"/>
        </w:rPr>
        <w:t xml:space="preserve">program decrease of 63 de-registered LSEs </w:t>
      </w:r>
      <w:r>
        <w:rPr>
          <w:rFonts w:ascii="Times New Roman" w:hAnsi="Times New Roman" w:cs="Times New Roman"/>
          <w:sz w:val="26"/>
          <w:szCs w:val="26"/>
        </w:rPr>
        <w:t xml:space="preserve">(and corresponding program decrease of 504 hrs.) </w:t>
      </w:r>
      <w:r w:rsidRPr="00ED4B10">
        <w:rPr>
          <w:rFonts w:ascii="Times New Roman" w:hAnsi="Times New Roman" w:cs="Times New Roman"/>
          <w:sz w:val="26"/>
          <w:szCs w:val="26"/>
        </w:rPr>
        <w:t xml:space="preserve">related to </w:t>
      </w:r>
      <w:r>
        <w:rPr>
          <w:rFonts w:ascii="Times New Roman" w:hAnsi="Times New Roman" w:cs="Times New Roman"/>
          <w:sz w:val="26"/>
          <w:szCs w:val="26"/>
        </w:rPr>
        <w:t xml:space="preserve">Docket No. </w:t>
      </w:r>
      <w:r w:rsidRPr="00ED4B10">
        <w:rPr>
          <w:rFonts w:ascii="Times New Roman" w:hAnsi="Times New Roman" w:cs="Times New Roman"/>
          <w:sz w:val="26"/>
          <w:szCs w:val="26"/>
        </w:rPr>
        <w:t>RD</w:t>
      </w:r>
      <w:r>
        <w:rPr>
          <w:rFonts w:ascii="Times New Roman" w:hAnsi="Times New Roman" w:cs="Times New Roman"/>
          <w:sz w:val="26"/>
          <w:szCs w:val="26"/>
        </w:rPr>
        <w:t>20</w:t>
      </w:r>
      <w:r w:rsidRPr="00ED4B10">
        <w:rPr>
          <w:rFonts w:ascii="Times New Roman" w:hAnsi="Times New Roman" w:cs="Times New Roman"/>
          <w:sz w:val="26"/>
          <w:szCs w:val="26"/>
        </w:rPr>
        <w:t>-4</w:t>
      </w:r>
      <w:r>
        <w:rPr>
          <w:rFonts w:ascii="Times New Roman" w:hAnsi="Times New Roman" w:cs="Times New Roman"/>
          <w:sz w:val="26"/>
          <w:szCs w:val="26"/>
        </w:rPr>
        <w:t xml:space="preserve">, and an </w:t>
      </w:r>
      <w:r w:rsidRPr="00ED4B10">
        <w:rPr>
          <w:rFonts w:ascii="Times New Roman" w:hAnsi="Times New Roman" w:cs="Times New Roman"/>
          <w:sz w:val="26"/>
          <w:szCs w:val="26"/>
        </w:rPr>
        <w:t xml:space="preserve">adjustment/clarification </w:t>
      </w:r>
      <w:r>
        <w:rPr>
          <w:rFonts w:ascii="Times New Roman" w:hAnsi="Times New Roman" w:cs="Times New Roman"/>
          <w:sz w:val="26"/>
          <w:szCs w:val="26"/>
        </w:rPr>
        <w:t xml:space="preserve">(decrease) </w:t>
      </w:r>
      <w:r w:rsidRPr="00ED4B10">
        <w:rPr>
          <w:rFonts w:ascii="Times New Roman" w:hAnsi="Times New Roman" w:cs="Times New Roman"/>
          <w:sz w:val="26"/>
          <w:szCs w:val="26"/>
        </w:rPr>
        <w:t>of 498 DP</w:t>
      </w:r>
      <w:r>
        <w:rPr>
          <w:rFonts w:ascii="Times New Roman" w:hAnsi="Times New Roman" w:cs="Times New Roman"/>
          <w:sz w:val="26"/>
          <w:szCs w:val="26"/>
        </w:rPr>
        <w:t>s</w:t>
      </w:r>
      <w:r w:rsidRPr="00ED4B10">
        <w:rPr>
          <w:rFonts w:ascii="Times New Roman" w:hAnsi="Times New Roman" w:cs="Times New Roman"/>
          <w:sz w:val="26"/>
          <w:szCs w:val="26"/>
        </w:rPr>
        <w:t>,</w:t>
      </w:r>
      <w:r>
        <w:rPr>
          <w:rFonts w:ascii="Times New Roman" w:hAnsi="Times New Roman" w:cs="Times New Roman"/>
          <w:sz w:val="26"/>
          <w:szCs w:val="26"/>
        </w:rPr>
        <w:t xml:space="preserve"> </w:t>
      </w:r>
      <w:r w:rsidRPr="00ED4B10">
        <w:rPr>
          <w:rFonts w:ascii="Times New Roman" w:hAnsi="Times New Roman" w:cs="Times New Roman"/>
          <w:sz w:val="26"/>
          <w:szCs w:val="26"/>
        </w:rPr>
        <w:t>TP</w:t>
      </w:r>
      <w:r>
        <w:rPr>
          <w:rFonts w:ascii="Times New Roman" w:hAnsi="Times New Roman" w:cs="Times New Roman"/>
          <w:sz w:val="26"/>
          <w:szCs w:val="26"/>
        </w:rPr>
        <w:t>s</w:t>
      </w:r>
      <w:r w:rsidRPr="00ED4B10">
        <w:rPr>
          <w:rFonts w:ascii="Times New Roman" w:hAnsi="Times New Roman" w:cs="Times New Roman"/>
          <w:sz w:val="26"/>
          <w:szCs w:val="26"/>
        </w:rPr>
        <w:t>,</w:t>
      </w:r>
      <w:r>
        <w:rPr>
          <w:rFonts w:ascii="Times New Roman" w:hAnsi="Times New Roman" w:cs="Times New Roman"/>
          <w:sz w:val="26"/>
          <w:szCs w:val="26"/>
        </w:rPr>
        <w:t xml:space="preserve"> and </w:t>
      </w:r>
      <w:r w:rsidRPr="00ED4B10">
        <w:rPr>
          <w:rFonts w:ascii="Times New Roman" w:hAnsi="Times New Roman" w:cs="Times New Roman"/>
          <w:sz w:val="26"/>
          <w:szCs w:val="26"/>
        </w:rPr>
        <w:t>BA</w:t>
      </w:r>
      <w:r>
        <w:rPr>
          <w:rFonts w:ascii="Times New Roman" w:hAnsi="Times New Roman" w:cs="Times New Roman"/>
          <w:sz w:val="26"/>
          <w:szCs w:val="26"/>
        </w:rPr>
        <w:t>s (and corresponding decrease of 3,984 hrs.)</w:t>
      </w:r>
      <w:r w:rsidRPr="00ED4B10">
        <w:rPr>
          <w:rFonts w:ascii="Times New Roman" w:hAnsi="Times New Roman" w:cs="Times New Roman"/>
          <w:sz w:val="26"/>
          <w:szCs w:val="26"/>
        </w:rPr>
        <w:t xml:space="preserve">, not related to </w:t>
      </w:r>
      <w:r>
        <w:rPr>
          <w:rFonts w:ascii="Times New Roman" w:hAnsi="Times New Roman" w:cs="Times New Roman"/>
          <w:sz w:val="26"/>
          <w:szCs w:val="26"/>
        </w:rPr>
        <w:t xml:space="preserve">Docket No. </w:t>
      </w:r>
      <w:r w:rsidRPr="00ED4B10">
        <w:rPr>
          <w:rFonts w:ascii="Times New Roman" w:hAnsi="Times New Roman" w:cs="Times New Roman"/>
          <w:sz w:val="26"/>
          <w:szCs w:val="26"/>
        </w:rPr>
        <w:t>RD</w:t>
      </w:r>
      <w:r>
        <w:rPr>
          <w:rFonts w:ascii="Times New Roman" w:hAnsi="Times New Roman" w:cs="Times New Roman"/>
          <w:sz w:val="26"/>
          <w:szCs w:val="26"/>
        </w:rPr>
        <w:t>20</w:t>
      </w:r>
      <w:r w:rsidRPr="00ED4B10">
        <w:rPr>
          <w:rFonts w:ascii="Times New Roman" w:hAnsi="Times New Roman" w:cs="Times New Roman"/>
          <w:sz w:val="26"/>
          <w:szCs w:val="26"/>
        </w:rPr>
        <w:t>-4</w:t>
      </w:r>
      <w:r>
        <w:rPr>
          <w:rFonts w:ascii="Times New Roman" w:hAnsi="Times New Roman" w:cs="Times New Roman"/>
          <w:sz w:val="26"/>
          <w:szCs w:val="26"/>
        </w:rPr>
        <w:t>.  The updated number of 381 DPs, TPs and BAs is listed in a new row clarifying their applicability with Requirements R2 and R4.   Requirement R2 requires applicable entities to develop and provide data pursuant with Requirement R1.</w:t>
      </w:r>
    </w:p>
    <w:p w14:paraId="17FF55DA" w14:textId="77777777" w:rsidR="00E801E4" w:rsidRDefault="00E801E4" w:rsidP="00C658B6">
      <w:pPr>
        <w:pStyle w:val="FootnoteText"/>
        <w:ind w:firstLine="720"/>
        <w:rPr>
          <w:rFonts w:ascii="Times New Roman" w:hAnsi="Times New Roman" w:cs="Times New Roman"/>
          <w:sz w:val="26"/>
          <w:szCs w:val="26"/>
        </w:rPr>
      </w:pPr>
    </w:p>
  </w:footnote>
  <w:footnote w:id="35">
    <w:p w14:paraId="4FDA2432" w14:textId="06C95234" w:rsidR="00E801E4" w:rsidRDefault="00E801E4" w:rsidP="00A279D3">
      <w:pPr>
        <w:pStyle w:val="FootnoteText"/>
        <w:ind w:firstLine="720"/>
        <w:rPr>
          <w:rFonts w:ascii="Times New Roman" w:hAnsi="Times New Roman" w:cs="Times New Roman"/>
          <w:sz w:val="26"/>
          <w:szCs w:val="26"/>
        </w:rPr>
      </w:pPr>
      <w:r>
        <w:rPr>
          <w:rStyle w:val="FootnoteReference"/>
        </w:rPr>
        <w:footnoteRef/>
      </w:r>
      <w:r>
        <w:t xml:space="preserve"> </w:t>
      </w:r>
      <w:r w:rsidRPr="00A279D3">
        <w:rPr>
          <w:rFonts w:ascii="Times New Roman" w:hAnsi="Times New Roman" w:cs="Times New Roman"/>
          <w:sz w:val="26"/>
          <w:szCs w:val="26"/>
        </w:rPr>
        <w:t xml:space="preserve">The </w:t>
      </w:r>
      <w:r>
        <w:rPr>
          <w:rFonts w:ascii="Times New Roman" w:hAnsi="Times New Roman" w:cs="Times New Roman"/>
          <w:sz w:val="26"/>
          <w:szCs w:val="26"/>
        </w:rPr>
        <w:t>113</w:t>
      </w:r>
      <w:r w:rsidRPr="00A279D3">
        <w:rPr>
          <w:rFonts w:ascii="Times New Roman" w:hAnsi="Times New Roman" w:cs="Times New Roman"/>
          <w:sz w:val="26"/>
          <w:szCs w:val="26"/>
        </w:rPr>
        <w:t xml:space="preserve"> </w:t>
      </w:r>
      <w:r>
        <w:rPr>
          <w:rFonts w:ascii="Times New Roman" w:hAnsi="Times New Roman" w:cs="Times New Roman"/>
          <w:sz w:val="26"/>
          <w:szCs w:val="26"/>
        </w:rPr>
        <w:t>PC</w:t>
      </w:r>
      <w:r w:rsidRPr="00A279D3">
        <w:rPr>
          <w:rFonts w:ascii="Times New Roman" w:hAnsi="Times New Roman" w:cs="Times New Roman"/>
          <w:sz w:val="26"/>
          <w:szCs w:val="26"/>
        </w:rPr>
        <w:t xml:space="preserve">s and </w:t>
      </w:r>
      <w:r>
        <w:rPr>
          <w:rFonts w:ascii="Times New Roman" w:hAnsi="Times New Roman" w:cs="Times New Roman"/>
          <w:sz w:val="26"/>
          <w:szCs w:val="26"/>
        </w:rPr>
        <w:t>BA</w:t>
      </w:r>
      <w:r w:rsidRPr="00A279D3">
        <w:rPr>
          <w:rFonts w:ascii="Times New Roman" w:hAnsi="Times New Roman" w:cs="Times New Roman"/>
          <w:sz w:val="26"/>
          <w:szCs w:val="26"/>
        </w:rPr>
        <w:t>s were originally estimated in FERC-725A due to  Order No. 693.  However, the estimates and descriptions were not clearly spelled out, so we are clarifying them.</w:t>
      </w:r>
      <w:r w:rsidRPr="0084309E">
        <w:rPr>
          <w:rFonts w:ascii="Times New Roman" w:hAnsi="Times New Roman" w:cs="Times New Roman"/>
          <w:sz w:val="26"/>
          <w:szCs w:val="26"/>
        </w:rPr>
        <w:t xml:space="preserve"> </w:t>
      </w:r>
      <w:r>
        <w:rPr>
          <w:rFonts w:ascii="Times New Roman" w:hAnsi="Times New Roman" w:cs="Times New Roman"/>
          <w:sz w:val="26"/>
          <w:szCs w:val="26"/>
        </w:rPr>
        <w:t xml:space="preserve"> [Some of this burden may still be in FERC-725A (and double counted temporarily).]</w:t>
      </w:r>
    </w:p>
    <w:p w14:paraId="1EC408CF" w14:textId="77777777" w:rsidR="00E801E4" w:rsidRPr="00140DAC" w:rsidRDefault="00E801E4">
      <w:pPr>
        <w:pStyle w:val="FootnoteText"/>
        <w:rPr>
          <w:rFonts w:ascii="Times New Roman" w:hAnsi="Times New Roman" w:cs="Times New Roman"/>
          <w:sz w:val="26"/>
          <w:szCs w:val="26"/>
        </w:rPr>
      </w:pPr>
    </w:p>
  </w:footnote>
  <w:footnote w:id="36">
    <w:p w14:paraId="327C5BB9" w14:textId="0AC76409" w:rsidR="00E801E4" w:rsidRDefault="00E801E4" w:rsidP="00DC5BB0">
      <w:pPr>
        <w:pStyle w:val="FootnoteText"/>
        <w:ind w:firstLine="720"/>
        <w:rPr>
          <w:rFonts w:ascii="Times New Roman" w:hAnsi="Times New Roman" w:cs="Times New Roman"/>
          <w:sz w:val="26"/>
          <w:szCs w:val="26"/>
        </w:rPr>
      </w:pPr>
      <w:r w:rsidRPr="004133F0">
        <w:rPr>
          <w:rStyle w:val="FootnoteReference"/>
          <w:rFonts w:cs="Times New Roman"/>
        </w:rPr>
        <w:footnoteRef/>
      </w:r>
      <w:r w:rsidRPr="00176624">
        <w:rPr>
          <w:rFonts w:ascii="Times New Roman" w:hAnsi="Times New Roman" w:cs="Times New Roman"/>
          <w:sz w:val="26"/>
          <w:szCs w:val="26"/>
        </w:rPr>
        <w:t xml:space="preserve"> The estimate is changing to 174 (from 188)</w:t>
      </w:r>
      <w:r>
        <w:rPr>
          <w:rFonts w:ascii="Times New Roman" w:hAnsi="Times New Roman" w:cs="Times New Roman"/>
          <w:sz w:val="26"/>
          <w:szCs w:val="26"/>
        </w:rPr>
        <w:t xml:space="preserve"> due to normal industry fluctuation</w:t>
      </w:r>
      <w:r w:rsidRPr="00176624">
        <w:rPr>
          <w:rFonts w:ascii="Times New Roman" w:hAnsi="Times New Roman" w:cs="Times New Roman"/>
          <w:sz w:val="26"/>
          <w:szCs w:val="26"/>
        </w:rPr>
        <w:t>.</w:t>
      </w:r>
    </w:p>
    <w:p w14:paraId="1E556CF6" w14:textId="77777777" w:rsidR="00E801E4" w:rsidRPr="00176624" w:rsidRDefault="00E801E4" w:rsidP="001922A4">
      <w:pPr>
        <w:pStyle w:val="FootnoteText"/>
        <w:ind w:firstLine="720"/>
        <w:rPr>
          <w:rFonts w:ascii="Times New Roman" w:hAnsi="Times New Roman" w:cs="Times New Roman"/>
          <w:sz w:val="26"/>
          <w:szCs w:val="26"/>
        </w:rPr>
      </w:pPr>
    </w:p>
  </w:footnote>
  <w:footnote w:id="37">
    <w:p w14:paraId="67D79C46" w14:textId="6E2ABB87" w:rsidR="00E801E4" w:rsidRDefault="00E801E4" w:rsidP="00DC5BB0">
      <w:pPr>
        <w:pStyle w:val="FootnoteText"/>
        <w:ind w:firstLine="720"/>
        <w:rPr>
          <w:rFonts w:ascii="Times New Roman" w:hAnsi="Times New Roman" w:cs="Times New Roman"/>
          <w:sz w:val="26"/>
          <w:szCs w:val="26"/>
        </w:rPr>
      </w:pPr>
      <w:r w:rsidRPr="004133F0">
        <w:rPr>
          <w:rStyle w:val="FootnoteReference"/>
          <w:rFonts w:cs="Times New Roman"/>
        </w:rPr>
        <w:footnoteRef/>
      </w:r>
      <w:r w:rsidRPr="00176624">
        <w:rPr>
          <w:rFonts w:ascii="Times New Roman" w:hAnsi="Times New Roman" w:cs="Times New Roman"/>
          <w:sz w:val="26"/>
          <w:szCs w:val="26"/>
        </w:rPr>
        <w:t xml:space="preserve"> The estimate is changing to 188 (from 194)</w:t>
      </w:r>
      <w:r>
        <w:rPr>
          <w:rFonts w:ascii="Times New Roman" w:hAnsi="Times New Roman" w:cs="Times New Roman"/>
          <w:sz w:val="26"/>
          <w:szCs w:val="26"/>
        </w:rPr>
        <w:t xml:space="preserve"> due to normal industry fluctuation</w:t>
      </w:r>
      <w:r w:rsidRPr="00176624">
        <w:rPr>
          <w:rFonts w:ascii="Times New Roman" w:hAnsi="Times New Roman" w:cs="Times New Roman"/>
          <w:sz w:val="26"/>
          <w:szCs w:val="26"/>
        </w:rPr>
        <w:t>.</w:t>
      </w:r>
    </w:p>
    <w:p w14:paraId="78692526" w14:textId="77777777" w:rsidR="00E801E4" w:rsidRPr="00176624" w:rsidRDefault="00E801E4" w:rsidP="001922A4">
      <w:pPr>
        <w:pStyle w:val="FootnoteText"/>
        <w:ind w:firstLine="720"/>
        <w:rPr>
          <w:rFonts w:ascii="Times New Roman" w:hAnsi="Times New Roman" w:cs="Times New Roman"/>
          <w:sz w:val="26"/>
          <w:szCs w:val="26"/>
        </w:rPr>
      </w:pPr>
    </w:p>
  </w:footnote>
  <w:footnote w:id="38">
    <w:p w14:paraId="559321FD" w14:textId="790B4615" w:rsidR="00E801E4" w:rsidRDefault="00E801E4" w:rsidP="001922A4">
      <w:pPr>
        <w:pStyle w:val="FootnoteText"/>
        <w:ind w:firstLine="720"/>
        <w:rPr>
          <w:rFonts w:ascii="Times New Roman" w:hAnsi="Times New Roman" w:cs="Times New Roman"/>
          <w:sz w:val="26"/>
          <w:szCs w:val="26"/>
        </w:rPr>
      </w:pPr>
      <w:r w:rsidRPr="007C2EA4">
        <w:rPr>
          <w:rStyle w:val="FootnoteReference"/>
          <w:rFonts w:cs="Times New Roman"/>
        </w:rPr>
        <w:footnoteRef/>
      </w:r>
      <w:r w:rsidRPr="00176624">
        <w:rPr>
          <w:rFonts w:ascii="Times New Roman" w:hAnsi="Times New Roman" w:cs="Times New Roman"/>
          <w:sz w:val="26"/>
          <w:szCs w:val="26"/>
        </w:rPr>
        <w:t xml:space="preserve"> The original </w:t>
      </w:r>
      <w:r>
        <w:rPr>
          <w:rFonts w:ascii="Times New Roman" w:hAnsi="Times New Roman" w:cs="Times New Roman"/>
          <w:sz w:val="26"/>
          <w:szCs w:val="26"/>
        </w:rPr>
        <w:t>Reliability Standard IRO-010-1a</w:t>
      </w:r>
      <w:r w:rsidRPr="00176624">
        <w:rPr>
          <w:rFonts w:ascii="Times New Roman" w:hAnsi="Times New Roman" w:cs="Times New Roman"/>
          <w:sz w:val="26"/>
          <w:szCs w:val="26"/>
        </w:rPr>
        <w:t xml:space="preserve"> was included in Order</w:t>
      </w:r>
      <w:r>
        <w:rPr>
          <w:rFonts w:ascii="Times New Roman" w:hAnsi="Times New Roman" w:cs="Times New Roman"/>
          <w:sz w:val="26"/>
          <w:szCs w:val="26"/>
        </w:rPr>
        <w:t xml:space="preserve"> No.</w:t>
      </w:r>
      <w:r w:rsidRPr="00176624">
        <w:rPr>
          <w:rFonts w:ascii="Times New Roman" w:hAnsi="Times New Roman" w:cs="Times New Roman"/>
          <w:sz w:val="26"/>
          <w:szCs w:val="26"/>
        </w:rPr>
        <w:t xml:space="preserve"> </w:t>
      </w:r>
      <w:r>
        <w:rPr>
          <w:rFonts w:ascii="Times New Roman" w:hAnsi="Times New Roman" w:cs="Times New Roman"/>
          <w:sz w:val="26"/>
          <w:szCs w:val="26"/>
        </w:rPr>
        <w:t xml:space="preserve">748 (Docket No. RM10-15) </w:t>
      </w:r>
      <w:r w:rsidRPr="00176624">
        <w:rPr>
          <w:rFonts w:ascii="Times New Roman" w:hAnsi="Times New Roman" w:cs="Times New Roman"/>
          <w:sz w:val="26"/>
          <w:szCs w:val="26"/>
        </w:rPr>
        <w:t>under FERC-725A.</w:t>
      </w:r>
      <w:r>
        <w:rPr>
          <w:rFonts w:ascii="Times New Roman" w:hAnsi="Times New Roman" w:cs="Times New Roman"/>
          <w:sz w:val="26"/>
          <w:szCs w:val="26"/>
        </w:rPr>
        <w:t xml:space="preserve">  The burden for 11 RCs for IRO-010-2 (Order No. 817 in Docket No. RM15-16) was covered by FERC-725Z.  </w:t>
      </w:r>
      <w:bookmarkStart w:id="8" w:name="_Hlk44938104"/>
      <w:r>
        <w:rPr>
          <w:rFonts w:ascii="Times New Roman" w:hAnsi="Times New Roman" w:cs="Times New Roman"/>
          <w:sz w:val="26"/>
          <w:szCs w:val="26"/>
        </w:rPr>
        <w:t xml:space="preserve">Some of this burden may still be in FERC-725A (and double counted temporarily). </w:t>
      </w:r>
      <w:bookmarkEnd w:id="8"/>
      <w:r>
        <w:rPr>
          <w:rFonts w:ascii="Times New Roman" w:hAnsi="Times New Roman" w:cs="Times New Roman"/>
          <w:sz w:val="26"/>
          <w:szCs w:val="26"/>
        </w:rPr>
        <w:t xml:space="preserve"> This action is an adjustment and not related to Docket No. RD20-4.</w:t>
      </w:r>
    </w:p>
    <w:p w14:paraId="408C7F14" w14:textId="77777777" w:rsidR="001922A4" w:rsidRPr="001922A4" w:rsidRDefault="001922A4" w:rsidP="001922A4">
      <w:pPr>
        <w:pStyle w:val="FootnoteText"/>
        <w:ind w:firstLine="720"/>
        <w:rPr>
          <w:rFonts w:ascii="Times New Roman" w:hAnsi="Times New Roman" w:cs="Times New Roman"/>
          <w:sz w:val="26"/>
          <w:szCs w:val="26"/>
        </w:rPr>
      </w:pPr>
    </w:p>
  </w:footnote>
  <w:footnote w:id="39">
    <w:p w14:paraId="01B0E517" w14:textId="5A734985" w:rsidR="001922A4" w:rsidRDefault="001922A4" w:rsidP="00140DAC">
      <w:pPr>
        <w:pStyle w:val="FootnoteText"/>
        <w:ind w:firstLine="720"/>
      </w:pPr>
      <w:r w:rsidRPr="00A43AB2">
        <w:rPr>
          <w:rStyle w:val="FootnoteReference"/>
          <w:rFonts w:cs="Times New Roman"/>
        </w:rPr>
        <w:footnoteRef/>
      </w:r>
      <w:r w:rsidRPr="00140DAC">
        <w:rPr>
          <w:rFonts w:ascii="Times New Roman" w:hAnsi="Times New Roman" w:cs="Times New Roman"/>
          <w:sz w:val="26"/>
          <w:szCs w:val="26"/>
        </w:rPr>
        <w:t xml:space="preserve"> The</w:t>
      </w:r>
      <w:r w:rsidRPr="001922A4">
        <w:rPr>
          <w:rFonts w:ascii="Times New Roman" w:hAnsi="Times New Roman" w:cs="Times New Roman"/>
          <w:sz w:val="26"/>
          <w:szCs w:val="26"/>
        </w:rPr>
        <w:t xml:space="preserve"> </w:t>
      </w:r>
      <w:r w:rsidRPr="009A511B">
        <w:rPr>
          <w:rFonts w:ascii="Times New Roman" w:hAnsi="Times New Roman" w:cs="Times New Roman"/>
          <w:sz w:val="26"/>
          <w:szCs w:val="26"/>
        </w:rPr>
        <w:t>net</w:t>
      </w:r>
      <w:r w:rsidRPr="00140DAC">
        <w:rPr>
          <w:rFonts w:ascii="Times New Roman" w:hAnsi="Times New Roman" w:cs="Times New Roman"/>
          <w:sz w:val="26"/>
          <w:szCs w:val="26"/>
        </w:rPr>
        <w:t xml:space="preserve"> total program chang</w:t>
      </w:r>
      <w:r>
        <w:rPr>
          <w:rFonts w:ascii="Times New Roman" w:hAnsi="Times New Roman" w:cs="Times New Roman"/>
          <w:sz w:val="26"/>
          <w:szCs w:val="26"/>
        </w:rPr>
        <w:t>e</w:t>
      </w:r>
      <w:r w:rsidR="00A43AB2">
        <w:rPr>
          <w:rFonts w:ascii="Times New Roman" w:hAnsi="Times New Roman" w:cs="Times New Roman"/>
          <w:sz w:val="26"/>
          <w:szCs w:val="26"/>
        </w:rPr>
        <w:t>s</w:t>
      </w:r>
      <w:r w:rsidRPr="00140DAC">
        <w:rPr>
          <w:rFonts w:ascii="Times New Roman" w:hAnsi="Times New Roman" w:cs="Times New Roman"/>
          <w:sz w:val="26"/>
          <w:szCs w:val="26"/>
        </w:rPr>
        <w:t xml:space="preserve"> due to Docket No. RD20-4 </w:t>
      </w:r>
      <w:r w:rsidR="004144C7">
        <w:rPr>
          <w:rFonts w:ascii="Times New Roman" w:hAnsi="Times New Roman" w:cs="Times New Roman"/>
          <w:sz w:val="26"/>
          <w:szCs w:val="26"/>
        </w:rPr>
        <w:t xml:space="preserve">result in </w:t>
      </w:r>
      <w:r w:rsidRPr="00140DAC">
        <w:rPr>
          <w:rFonts w:ascii="Times New Roman" w:hAnsi="Times New Roman" w:cs="Times New Roman"/>
          <w:sz w:val="26"/>
          <w:szCs w:val="26"/>
        </w:rPr>
        <w:t xml:space="preserve"> a decrease of 1,260 hours and decrease of 126 respondents.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A0BA6" w14:textId="77777777" w:rsidR="00E801E4" w:rsidRDefault="00E80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547C5" w14:textId="7F9B306A" w:rsidR="00E801E4" w:rsidRPr="00677263" w:rsidRDefault="00E801E4">
    <w:pPr>
      <w:pStyle w:val="Head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0" allowOverlap="1" wp14:anchorId="7F9D564E" wp14:editId="5C8B564B">
              <wp:simplePos x="0" y="0"/>
              <wp:positionH relativeFrom="page">
                <wp:posOffset>0</wp:posOffset>
              </wp:positionH>
              <wp:positionV relativeFrom="page">
                <wp:posOffset>190500</wp:posOffset>
              </wp:positionV>
              <wp:extent cx="7772400" cy="266700"/>
              <wp:effectExtent l="0" t="0" r="0" b="0"/>
              <wp:wrapNone/>
              <wp:docPr id="1" name="MSIPCMd1d2416393644bc5185da4a0" descr="{&quot;HashCode&quot;:1097858330,&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872B18" w14:textId="71C6A238" w:rsidR="00E801E4" w:rsidRPr="00BF1B00" w:rsidRDefault="00E801E4" w:rsidP="00BF1B00">
                          <w:pPr>
                            <w:spacing w:after="0"/>
                            <w:jc w:val="center"/>
                            <w:rPr>
                              <w:rFonts w:ascii="Times New Roman" w:hAnsi="Times New Roman" w:cs="Times New Roman"/>
                              <w:color w:val="A8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F9D564E" id="_x0000_t202" coordsize="21600,21600" o:spt="202" path="m,l,21600r21600,l21600,xe">
              <v:stroke joinstyle="miter"/>
              <v:path gradientshapeok="t" o:connecttype="rect"/>
            </v:shapetype>
            <v:shape id="MSIPCMd1d2416393644bc5185da4a0" o:spid="_x0000_s1026" type="#_x0000_t202" alt="{&quot;HashCode&quot;:1097858330,&quot;Height&quot;:792.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" o:allowincell="f" filled="f" stroked="f" strokeweight=".5pt">
              <v:textbox inset=",0,,0">
                <w:txbxContent>
                  <w:p w14:paraId="0D872B18" w14:textId="71C6A238" w:rsidR="00E801E4" w:rsidRPr="00BF1B00" w:rsidRDefault="00E801E4" w:rsidP="00BF1B00">
                    <w:pPr>
                      <w:spacing w:after="0"/>
                      <w:jc w:val="center"/>
                      <w:rPr>
                        <w:rFonts w:ascii="Times New Roman" w:hAnsi="Times New Roman" w:cs="Times New Roman"/>
                        <w:color w:val="A80000"/>
                        <w:sz w:val="26"/>
                      </w:rPr>
                    </w:pPr>
                  </w:p>
                </w:txbxContent>
              </v:textbox>
              <w10:wrap anchorx="page" anchory="page"/>
            </v:shape>
          </w:pict>
        </mc:Fallback>
      </mc:AlternateContent>
    </w:r>
    <w:r>
      <w:rPr>
        <w:rFonts w:ascii="Times New Roman" w:hAnsi="Times New Roman" w:cs="Times New Roman"/>
        <w:sz w:val="26"/>
        <w:szCs w:val="26"/>
      </w:rPr>
      <w:t xml:space="preserve">Docket No. </w:t>
    </w:r>
    <w:r>
      <w:rPr>
        <w:rFonts w:ascii="Times New Roman" w:eastAsia="Times New Roman" w:hAnsi="Times New Roman" w:cs="Times New Roman"/>
        <w:sz w:val="26"/>
        <w:szCs w:val="26"/>
      </w:rPr>
      <w:t>RD20-4-000</w:t>
    </w:r>
    <w:r>
      <w:rPr>
        <w:rFonts w:ascii="Times New Roman" w:hAnsi="Times New Roman" w:cs="Times New Roman"/>
        <w:sz w:val="26"/>
        <w:szCs w:val="26"/>
      </w:rPr>
      <w:tab/>
    </w:r>
    <w:r w:rsidRPr="00CE745F">
      <w:rPr>
        <w:rFonts w:ascii="Times New Roman" w:hAnsi="Times New Roman" w:cs="Times New Roman"/>
        <w:sz w:val="26"/>
        <w:szCs w:val="26"/>
      </w:rPr>
      <w:fldChar w:fldCharType="begin"/>
    </w:r>
    <w:r w:rsidRPr="00CE745F">
      <w:rPr>
        <w:rFonts w:ascii="Times New Roman" w:hAnsi="Times New Roman" w:cs="Times New Roman"/>
        <w:sz w:val="26"/>
        <w:szCs w:val="26"/>
      </w:rPr>
      <w:instrText xml:space="preserve"> PAGE   \* MERGEFORMAT </w:instrText>
    </w:r>
    <w:r w:rsidRPr="00CE745F">
      <w:rPr>
        <w:rFonts w:ascii="Times New Roman" w:hAnsi="Times New Roman" w:cs="Times New Roman"/>
        <w:sz w:val="26"/>
        <w:szCs w:val="26"/>
      </w:rPr>
      <w:fldChar w:fldCharType="separate"/>
    </w:r>
    <w:r>
      <w:rPr>
        <w:rFonts w:ascii="Times New Roman" w:hAnsi="Times New Roman" w:cs="Times New Roman"/>
        <w:noProof/>
        <w:sz w:val="26"/>
        <w:szCs w:val="26"/>
      </w:rPr>
      <w:t>3</w:t>
    </w:r>
    <w:r w:rsidRPr="00CE745F">
      <w:rPr>
        <w:rFonts w:ascii="Times New Roman" w:hAnsi="Times New Roman" w:cs="Times New Roman"/>
        <w:noProof/>
        <w:sz w:val="26"/>
        <w:szCs w:val="2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1F347" w14:textId="3852BC56" w:rsidR="00E801E4" w:rsidRDefault="00E801E4">
    <w:pPr>
      <w:pStyle w:val="Header"/>
    </w:pPr>
    <w:r>
      <w:rPr>
        <w:noProof/>
      </w:rPr>
      <mc:AlternateContent>
        <mc:Choice Requires="wps">
          <w:drawing>
            <wp:anchor distT="0" distB="0" distL="114300" distR="114300" simplePos="0" relativeHeight="251660288" behindDoc="0" locked="0" layoutInCell="0" allowOverlap="1" wp14:anchorId="59100B2E" wp14:editId="6DA97D34">
              <wp:simplePos x="0" y="0"/>
              <wp:positionH relativeFrom="page">
                <wp:posOffset>0</wp:posOffset>
              </wp:positionH>
              <wp:positionV relativeFrom="page">
                <wp:posOffset>190500</wp:posOffset>
              </wp:positionV>
              <wp:extent cx="7772400" cy="266700"/>
              <wp:effectExtent l="0" t="0" r="0" b="0"/>
              <wp:wrapNone/>
              <wp:docPr id="2" name="MSIPCMe998418eaff33a4225736da0" descr="{&quot;HashCode&quot;:1097858330,&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3D96AF" w14:textId="6C4A2D63" w:rsidR="00E801E4" w:rsidRPr="00BF1B00" w:rsidRDefault="00E801E4" w:rsidP="00BF1B00">
                          <w:pPr>
                            <w:spacing w:after="0"/>
                            <w:jc w:val="center"/>
                            <w:rPr>
                              <w:rFonts w:ascii="Times New Roman" w:hAnsi="Times New Roman" w:cs="Times New Roman"/>
                              <w:color w:val="A8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9100B2E" id="_x0000_t202" coordsize="21600,21600" o:spt="202" path="m,l,21600r21600,l21600,xe">
              <v:stroke joinstyle="miter"/>
              <v:path gradientshapeok="t" o:connecttype="rect"/>
            </v:shapetype>
            <v:shape id="MSIPCMe998418eaff33a4225736da0" o:spid="_x0000_s1027" type="#_x0000_t202" alt="{&quot;HashCode&quot;:1097858330,&quot;Height&quot;:792.0,&quot;Width&quot;:612.0,&quot;Placement&quot;:&quot;Header&quot;,&quot;Index&quot;:&quot;FirstPage&quot;,&quot;Section&quot;:1,&quot;Top&quot;:0.0,&quot;Left&quot;:0.0}" style="position:absolute;margin-left:0;margin-top:15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" o:allowincell="f" filled="f" stroked="f" strokeweight=".5pt">
              <v:textbox inset=",0,,0">
                <w:txbxContent>
                  <w:p w14:paraId="6F3D96AF" w14:textId="6C4A2D63" w:rsidR="00E801E4" w:rsidRPr="00BF1B00" w:rsidRDefault="00E801E4" w:rsidP="00BF1B00">
                    <w:pPr>
                      <w:spacing w:after="0"/>
                      <w:jc w:val="center"/>
                      <w:rPr>
                        <w:rFonts w:ascii="Times New Roman" w:hAnsi="Times New Roman" w:cs="Times New Roman"/>
                        <w:color w:val="A80000"/>
                        <w:sz w:val="2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C7281"/>
    <w:multiLevelType w:val="hybridMultilevel"/>
    <w:tmpl w:val="FAF41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43F30FA"/>
    <w:multiLevelType w:val="hybridMultilevel"/>
    <w:tmpl w:val="34DAD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E068CE"/>
    <w:multiLevelType w:val="hybridMultilevel"/>
    <w:tmpl w:val="02E0B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53C6417"/>
    <w:multiLevelType w:val="hybridMultilevel"/>
    <w:tmpl w:val="B8B21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DB56EA1"/>
    <w:multiLevelType w:val="hybridMultilevel"/>
    <w:tmpl w:val="DF985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622147D"/>
    <w:multiLevelType w:val="hybridMultilevel"/>
    <w:tmpl w:val="E8DCFB2C"/>
    <w:lvl w:ilvl="0" w:tplc="2A102C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F21D04"/>
    <w:multiLevelType w:val="hybridMultilevel"/>
    <w:tmpl w:val="CC323E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85B543D"/>
    <w:multiLevelType w:val="hybridMultilevel"/>
    <w:tmpl w:val="E004B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D977DE"/>
    <w:multiLevelType w:val="hybridMultilevel"/>
    <w:tmpl w:val="3FE0F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6646310"/>
    <w:multiLevelType w:val="hybridMultilevel"/>
    <w:tmpl w:val="2984F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EA143B7"/>
    <w:multiLevelType w:val="hybridMultilevel"/>
    <w:tmpl w:val="FC9C8A1A"/>
    <w:lvl w:ilvl="0" w:tplc="04090001">
      <w:start w:val="1"/>
      <w:numFmt w:val="bullet"/>
      <w:lvlText w:val=""/>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num w:numId="1">
    <w:abstractNumId w:val="3"/>
  </w:num>
  <w:num w:numId="2">
    <w:abstractNumId w:val="1"/>
  </w:num>
  <w:num w:numId="3">
    <w:abstractNumId w:val="1"/>
  </w:num>
  <w:num w:numId="4">
    <w:abstractNumId w:val="9"/>
  </w:num>
  <w:num w:numId="5">
    <w:abstractNumId w:val="4"/>
  </w:num>
  <w:num w:numId="6">
    <w:abstractNumId w:val="2"/>
  </w:num>
  <w:num w:numId="7">
    <w:abstractNumId w:val="5"/>
  </w:num>
  <w:num w:numId="8">
    <w:abstractNumId w:val="10"/>
  </w:num>
  <w:num w:numId="9">
    <w:abstractNumId w:val="6"/>
  </w:num>
  <w:num w:numId="10">
    <w:abstractNumId w:val="0"/>
  </w:num>
  <w:num w:numId="11">
    <w:abstractNumId w:val="11"/>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160"/>
    <w:rsid w:val="000001D5"/>
    <w:rsid w:val="000005A8"/>
    <w:rsid w:val="0000082D"/>
    <w:rsid w:val="0000161D"/>
    <w:rsid w:val="00001C19"/>
    <w:rsid w:val="000027F9"/>
    <w:rsid w:val="0000297F"/>
    <w:rsid w:val="000111BB"/>
    <w:rsid w:val="0001222A"/>
    <w:rsid w:val="000133F4"/>
    <w:rsid w:val="00015789"/>
    <w:rsid w:val="00015CDA"/>
    <w:rsid w:val="00017A9F"/>
    <w:rsid w:val="00020934"/>
    <w:rsid w:val="00022D21"/>
    <w:rsid w:val="0002323E"/>
    <w:rsid w:val="000243FA"/>
    <w:rsid w:val="0002448A"/>
    <w:rsid w:val="00026CE3"/>
    <w:rsid w:val="00031951"/>
    <w:rsid w:val="00031FF6"/>
    <w:rsid w:val="00034DF9"/>
    <w:rsid w:val="00044B29"/>
    <w:rsid w:val="000455C0"/>
    <w:rsid w:val="00046110"/>
    <w:rsid w:val="00047FC6"/>
    <w:rsid w:val="00052E2F"/>
    <w:rsid w:val="00053B25"/>
    <w:rsid w:val="000549A1"/>
    <w:rsid w:val="00056AB4"/>
    <w:rsid w:val="00056FE8"/>
    <w:rsid w:val="00060BCC"/>
    <w:rsid w:val="000620DB"/>
    <w:rsid w:val="00064832"/>
    <w:rsid w:val="00067503"/>
    <w:rsid w:val="00073589"/>
    <w:rsid w:val="00076B62"/>
    <w:rsid w:val="0008038D"/>
    <w:rsid w:val="00083A5A"/>
    <w:rsid w:val="000911D9"/>
    <w:rsid w:val="00093E81"/>
    <w:rsid w:val="00094626"/>
    <w:rsid w:val="00096CC9"/>
    <w:rsid w:val="00096E49"/>
    <w:rsid w:val="000979A7"/>
    <w:rsid w:val="000A23CC"/>
    <w:rsid w:val="000A2578"/>
    <w:rsid w:val="000A2966"/>
    <w:rsid w:val="000A3EA4"/>
    <w:rsid w:val="000B1CE9"/>
    <w:rsid w:val="000C3DD8"/>
    <w:rsid w:val="000D1407"/>
    <w:rsid w:val="000D5A02"/>
    <w:rsid w:val="000D7DE8"/>
    <w:rsid w:val="000F0B50"/>
    <w:rsid w:val="000F1E92"/>
    <w:rsid w:val="00103640"/>
    <w:rsid w:val="00103912"/>
    <w:rsid w:val="00104375"/>
    <w:rsid w:val="00104DAB"/>
    <w:rsid w:val="00112109"/>
    <w:rsid w:val="00112797"/>
    <w:rsid w:val="001140AC"/>
    <w:rsid w:val="001170FA"/>
    <w:rsid w:val="00124A81"/>
    <w:rsid w:val="00125BA8"/>
    <w:rsid w:val="00130AA2"/>
    <w:rsid w:val="0014026E"/>
    <w:rsid w:val="00140DAC"/>
    <w:rsid w:val="00143CB0"/>
    <w:rsid w:val="001461AC"/>
    <w:rsid w:val="001467D4"/>
    <w:rsid w:val="001507B4"/>
    <w:rsid w:val="00151C60"/>
    <w:rsid w:val="00152CD4"/>
    <w:rsid w:val="00153FA5"/>
    <w:rsid w:val="00156DAF"/>
    <w:rsid w:val="00156E6F"/>
    <w:rsid w:val="001579C5"/>
    <w:rsid w:val="001620C6"/>
    <w:rsid w:val="00165F61"/>
    <w:rsid w:val="00173CA3"/>
    <w:rsid w:val="00174260"/>
    <w:rsid w:val="00175461"/>
    <w:rsid w:val="00177C52"/>
    <w:rsid w:val="00177FE9"/>
    <w:rsid w:val="00180470"/>
    <w:rsid w:val="00181D6A"/>
    <w:rsid w:val="00185D94"/>
    <w:rsid w:val="001875B8"/>
    <w:rsid w:val="001922A4"/>
    <w:rsid w:val="00197826"/>
    <w:rsid w:val="00197905"/>
    <w:rsid w:val="0019790B"/>
    <w:rsid w:val="001A14C2"/>
    <w:rsid w:val="001A1AB5"/>
    <w:rsid w:val="001B3093"/>
    <w:rsid w:val="001B3AD1"/>
    <w:rsid w:val="001C1688"/>
    <w:rsid w:val="001C30AF"/>
    <w:rsid w:val="001C323A"/>
    <w:rsid w:val="001C4C4C"/>
    <w:rsid w:val="001C5EA7"/>
    <w:rsid w:val="001C696A"/>
    <w:rsid w:val="001D31C3"/>
    <w:rsid w:val="001E41C9"/>
    <w:rsid w:val="001E69D2"/>
    <w:rsid w:val="001F06DC"/>
    <w:rsid w:val="001F0921"/>
    <w:rsid w:val="001F31E7"/>
    <w:rsid w:val="001F4AD5"/>
    <w:rsid w:val="0020475C"/>
    <w:rsid w:val="002060D2"/>
    <w:rsid w:val="00213801"/>
    <w:rsid w:val="002155BD"/>
    <w:rsid w:val="002164F1"/>
    <w:rsid w:val="00217436"/>
    <w:rsid w:val="0022093A"/>
    <w:rsid w:val="002214F7"/>
    <w:rsid w:val="00221745"/>
    <w:rsid w:val="00221A9C"/>
    <w:rsid w:val="00222319"/>
    <w:rsid w:val="00223FD0"/>
    <w:rsid w:val="002268EA"/>
    <w:rsid w:val="00226DCB"/>
    <w:rsid w:val="00231403"/>
    <w:rsid w:val="002323B5"/>
    <w:rsid w:val="00243FEA"/>
    <w:rsid w:val="00250F71"/>
    <w:rsid w:val="002533B3"/>
    <w:rsid w:val="00254DAF"/>
    <w:rsid w:val="0026143D"/>
    <w:rsid w:val="002663F0"/>
    <w:rsid w:val="00272560"/>
    <w:rsid w:val="00273605"/>
    <w:rsid w:val="002745C7"/>
    <w:rsid w:val="00283750"/>
    <w:rsid w:val="00284211"/>
    <w:rsid w:val="002844BC"/>
    <w:rsid w:val="00292EE9"/>
    <w:rsid w:val="0029426E"/>
    <w:rsid w:val="002A0376"/>
    <w:rsid w:val="002A3D5A"/>
    <w:rsid w:val="002A561B"/>
    <w:rsid w:val="002A74EB"/>
    <w:rsid w:val="002B0275"/>
    <w:rsid w:val="002B545A"/>
    <w:rsid w:val="002C3632"/>
    <w:rsid w:val="002E0E2E"/>
    <w:rsid w:val="002E2E33"/>
    <w:rsid w:val="002E2E5E"/>
    <w:rsid w:val="002F2BEB"/>
    <w:rsid w:val="002F60CF"/>
    <w:rsid w:val="002F7954"/>
    <w:rsid w:val="0030241D"/>
    <w:rsid w:val="00302E57"/>
    <w:rsid w:val="003129F3"/>
    <w:rsid w:val="0031531D"/>
    <w:rsid w:val="003172A3"/>
    <w:rsid w:val="00320191"/>
    <w:rsid w:val="00325D35"/>
    <w:rsid w:val="00330D89"/>
    <w:rsid w:val="00330DDB"/>
    <w:rsid w:val="003316DD"/>
    <w:rsid w:val="00332BA5"/>
    <w:rsid w:val="003330E4"/>
    <w:rsid w:val="0033421B"/>
    <w:rsid w:val="00334EDA"/>
    <w:rsid w:val="003358FD"/>
    <w:rsid w:val="003370FF"/>
    <w:rsid w:val="00350ECB"/>
    <w:rsid w:val="00351813"/>
    <w:rsid w:val="003520F5"/>
    <w:rsid w:val="00353BE4"/>
    <w:rsid w:val="00354B56"/>
    <w:rsid w:val="00355024"/>
    <w:rsid w:val="00362524"/>
    <w:rsid w:val="00363CF5"/>
    <w:rsid w:val="00365232"/>
    <w:rsid w:val="00367D31"/>
    <w:rsid w:val="0037136E"/>
    <w:rsid w:val="00376F69"/>
    <w:rsid w:val="003774C8"/>
    <w:rsid w:val="00390BF3"/>
    <w:rsid w:val="003966E5"/>
    <w:rsid w:val="00396F8F"/>
    <w:rsid w:val="003A2EEC"/>
    <w:rsid w:val="003A5DB0"/>
    <w:rsid w:val="003A6648"/>
    <w:rsid w:val="003A70CA"/>
    <w:rsid w:val="003B0330"/>
    <w:rsid w:val="003B3013"/>
    <w:rsid w:val="003B5165"/>
    <w:rsid w:val="003C1C20"/>
    <w:rsid w:val="003C37BD"/>
    <w:rsid w:val="003D561C"/>
    <w:rsid w:val="003D6428"/>
    <w:rsid w:val="003E1402"/>
    <w:rsid w:val="003E1EFF"/>
    <w:rsid w:val="003E4C34"/>
    <w:rsid w:val="003E766F"/>
    <w:rsid w:val="003F1D3A"/>
    <w:rsid w:val="003F4015"/>
    <w:rsid w:val="003F4ED1"/>
    <w:rsid w:val="003F52B7"/>
    <w:rsid w:val="003F6707"/>
    <w:rsid w:val="003F72FF"/>
    <w:rsid w:val="00400E65"/>
    <w:rsid w:val="0040106C"/>
    <w:rsid w:val="004017B7"/>
    <w:rsid w:val="00404E45"/>
    <w:rsid w:val="004116E5"/>
    <w:rsid w:val="004130C5"/>
    <w:rsid w:val="004144C7"/>
    <w:rsid w:val="00416657"/>
    <w:rsid w:val="00420EE5"/>
    <w:rsid w:val="00423B6B"/>
    <w:rsid w:val="004246BF"/>
    <w:rsid w:val="0042609C"/>
    <w:rsid w:val="0042709C"/>
    <w:rsid w:val="00431ED8"/>
    <w:rsid w:val="00432ECF"/>
    <w:rsid w:val="00443F1D"/>
    <w:rsid w:val="00445B3C"/>
    <w:rsid w:val="00446499"/>
    <w:rsid w:val="0044733B"/>
    <w:rsid w:val="0045488E"/>
    <w:rsid w:val="00466BCE"/>
    <w:rsid w:val="00470404"/>
    <w:rsid w:val="0048129F"/>
    <w:rsid w:val="004839AB"/>
    <w:rsid w:val="0048417F"/>
    <w:rsid w:val="00486E52"/>
    <w:rsid w:val="00496275"/>
    <w:rsid w:val="004966E1"/>
    <w:rsid w:val="00497CBC"/>
    <w:rsid w:val="004A1B99"/>
    <w:rsid w:val="004A2539"/>
    <w:rsid w:val="004A4AC7"/>
    <w:rsid w:val="004B30E6"/>
    <w:rsid w:val="004B5258"/>
    <w:rsid w:val="004B740E"/>
    <w:rsid w:val="004C1046"/>
    <w:rsid w:val="004C2011"/>
    <w:rsid w:val="004C2941"/>
    <w:rsid w:val="004C6B97"/>
    <w:rsid w:val="004C734E"/>
    <w:rsid w:val="004D09D8"/>
    <w:rsid w:val="004D6628"/>
    <w:rsid w:val="004D700C"/>
    <w:rsid w:val="004E2CDE"/>
    <w:rsid w:val="004E4A13"/>
    <w:rsid w:val="004E59B9"/>
    <w:rsid w:val="004E6330"/>
    <w:rsid w:val="004E744A"/>
    <w:rsid w:val="004F2463"/>
    <w:rsid w:val="004F3B23"/>
    <w:rsid w:val="004F4CD7"/>
    <w:rsid w:val="004F7410"/>
    <w:rsid w:val="0050165D"/>
    <w:rsid w:val="005028C0"/>
    <w:rsid w:val="005108E5"/>
    <w:rsid w:val="00514DB1"/>
    <w:rsid w:val="00514E31"/>
    <w:rsid w:val="00517172"/>
    <w:rsid w:val="00517383"/>
    <w:rsid w:val="00517F59"/>
    <w:rsid w:val="005211F8"/>
    <w:rsid w:val="0052511A"/>
    <w:rsid w:val="005267BB"/>
    <w:rsid w:val="00526979"/>
    <w:rsid w:val="00526A3A"/>
    <w:rsid w:val="0052766C"/>
    <w:rsid w:val="0053047E"/>
    <w:rsid w:val="0053354E"/>
    <w:rsid w:val="005422C6"/>
    <w:rsid w:val="00544929"/>
    <w:rsid w:val="00544B17"/>
    <w:rsid w:val="00546A29"/>
    <w:rsid w:val="00555C74"/>
    <w:rsid w:val="005628F6"/>
    <w:rsid w:val="005636E4"/>
    <w:rsid w:val="00566411"/>
    <w:rsid w:val="00566B5A"/>
    <w:rsid w:val="005722BD"/>
    <w:rsid w:val="00574511"/>
    <w:rsid w:val="0058097E"/>
    <w:rsid w:val="005917AB"/>
    <w:rsid w:val="00594712"/>
    <w:rsid w:val="0059519E"/>
    <w:rsid w:val="0059723E"/>
    <w:rsid w:val="00597699"/>
    <w:rsid w:val="005A005A"/>
    <w:rsid w:val="005A04DC"/>
    <w:rsid w:val="005A2225"/>
    <w:rsid w:val="005A3D43"/>
    <w:rsid w:val="005A4197"/>
    <w:rsid w:val="005A42FB"/>
    <w:rsid w:val="005A7A18"/>
    <w:rsid w:val="005B4A7E"/>
    <w:rsid w:val="005B6AA0"/>
    <w:rsid w:val="005C0056"/>
    <w:rsid w:val="005C0A12"/>
    <w:rsid w:val="005C0D5E"/>
    <w:rsid w:val="005C1DE4"/>
    <w:rsid w:val="005C2307"/>
    <w:rsid w:val="005D11E7"/>
    <w:rsid w:val="005D1999"/>
    <w:rsid w:val="005D58A2"/>
    <w:rsid w:val="005D5DA3"/>
    <w:rsid w:val="005D6205"/>
    <w:rsid w:val="005D764A"/>
    <w:rsid w:val="005E14B9"/>
    <w:rsid w:val="005E686D"/>
    <w:rsid w:val="005E6FE8"/>
    <w:rsid w:val="005E78CD"/>
    <w:rsid w:val="005F14D2"/>
    <w:rsid w:val="005F5596"/>
    <w:rsid w:val="005F7DEA"/>
    <w:rsid w:val="00600362"/>
    <w:rsid w:val="00602F9D"/>
    <w:rsid w:val="00605B12"/>
    <w:rsid w:val="006175A4"/>
    <w:rsid w:val="006200C7"/>
    <w:rsid w:val="00621E71"/>
    <w:rsid w:val="00622314"/>
    <w:rsid w:val="00625494"/>
    <w:rsid w:val="00625685"/>
    <w:rsid w:val="0062635A"/>
    <w:rsid w:val="0063087E"/>
    <w:rsid w:val="00633F9D"/>
    <w:rsid w:val="0063561E"/>
    <w:rsid w:val="0063682E"/>
    <w:rsid w:val="00640AC7"/>
    <w:rsid w:val="00643D4E"/>
    <w:rsid w:val="00645770"/>
    <w:rsid w:val="00652139"/>
    <w:rsid w:val="00652756"/>
    <w:rsid w:val="00652FF7"/>
    <w:rsid w:val="00655E31"/>
    <w:rsid w:val="00656B7A"/>
    <w:rsid w:val="00657B67"/>
    <w:rsid w:val="006674E9"/>
    <w:rsid w:val="006727A1"/>
    <w:rsid w:val="0067377E"/>
    <w:rsid w:val="006765FB"/>
    <w:rsid w:val="00677263"/>
    <w:rsid w:val="00680155"/>
    <w:rsid w:val="00683E22"/>
    <w:rsid w:val="00683EE3"/>
    <w:rsid w:val="00684605"/>
    <w:rsid w:val="00686B27"/>
    <w:rsid w:val="006870DD"/>
    <w:rsid w:val="00694459"/>
    <w:rsid w:val="00695B68"/>
    <w:rsid w:val="00696A59"/>
    <w:rsid w:val="00697796"/>
    <w:rsid w:val="006A0104"/>
    <w:rsid w:val="006A0A55"/>
    <w:rsid w:val="006A6AEE"/>
    <w:rsid w:val="006A6DB6"/>
    <w:rsid w:val="006B098B"/>
    <w:rsid w:val="006B3317"/>
    <w:rsid w:val="006B535F"/>
    <w:rsid w:val="006B5DA8"/>
    <w:rsid w:val="006C238A"/>
    <w:rsid w:val="006C2D6A"/>
    <w:rsid w:val="006C32F6"/>
    <w:rsid w:val="006C4296"/>
    <w:rsid w:val="006C45D0"/>
    <w:rsid w:val="006C7E82"/>
    <w:rsid w:val="006D3704"/>
    <w:rsid w:val="006D4565"/>
    <w:rsid w:val="006E287B"/>
    <w:rsid w:val="006E3665"/>
    <w:rsid w:val="006E46D0"/>
    <w:rsid w:val="006F1A14"/>
    <w:rsid w:val="006F2653"/>
    <w:rsid w:val="006F2A44"/>
    <w:rsid w:val="006F2CB0"/>
    <w:rsid w:val="006F509F"/>
    <w:rsid w:val="006F71E9"/>
    <w:rsid w:val="0070016F"/>
    <w:rsid w:val="0070022D"/>
    <w:rsid w:val="00702A4C"/>
    <w:rsid w:val="007068C9"/>
    <w:rsid w:val="00715C99"/>
    <w:rsid w:val="00720666"/>
    <w:rsid w:val="00721950"/>
    <w:rsid w:val="00727205"/>
    <w:rsid w:val="0072782D"/>
    <w:rsid w:val="00732CE6"/>
    <w:rsid w:val="00732FF2"/>
    <w:rsid w:val="00733969"/>
    <w:rsid w:val="007342BE"/>
    <w:rsid w:val="007403B5"/>
    <w:rsid w:val="007410A5"/>
    <w:rsid w:val="00741B17"/>
    <w:rsid w:val="007426B1"/>
    <w:rsid w:val="00742A4F"/>
    <w:rsid w:val="00745353"/>
    <w:rsid w:val="0074600D"/>
    <w:rsid w:val="00747DAB"/>
    <w:rsid w:val="00752E79"/>
    <w:rsid w:val="00760E05"/>
    <w:rsid w:val="00762C8F"/>
    <w:rsid w:val="007634A3"/>
    <w:rsid w:val="00763576"/>
    <w:rsid w:val="00765383"/>
    <w:rsid w:val="00767CFA"/>
    <w:rsid w:val="00772718"/>
    <w:rsid w:val="00777427"/>
    <w:rsid w:val="00780B9A"/>
    <w:rsid w:val="007841CF"/>
    <w:rsid w:val="007905D7"/>
    <w:rsid w:val="00794DF6"/>
    <w:rsid w:val="00795E1D"/>
    <w:rsid w:val="00796DD7"/>
    <w:rsid w:val="007A3197"/>
    <w:rsid w:val="007A3400"/>
    <w:rsid w:val="007A5328"/>
    <w:rsid w:val="007A5B5F"/>
    <w:rsid w:val="007A6247"/>
    <w:rsid w:val="007A6D47"/>
    <w:rsid w:val="007B4E05"/>
    <w:rsid w:val="007C34B0"/>
    <w:rsid w:val="007C3DC5"/>
    <w:rsid w:val="007C42AF"/>
    <w:rsid w:val="007C5BAD"/>
    <w:rsid w:val="007C71D9"/>
    <w:rsid w:val="007C7C64"/>
    <w:rsid w:val="007D05AF"/>
    <w:rsid w:val="007D3790"/>
    <w:rsid w:val="007D50F0"/>
    <w:rsid w:val="007E4CA2"/>
    <w:rsid w:val="007E717A"/>
    <w:rsid w:val="007E725B"/>
    <w:rsid w:val="007E7CED"/>
    <w:rsid w:val="007F1A93"/>
    <w:rsid w:val="007F283E"/>
    <w:rsid w:val="007F3BA3"/>
    <w:rsid w:val="007F5558"/>
    <w:rsid w:val="007F628E"/>
    <w:rsid w:val="007F64C4"/>
    <w:rsid w:val="00800692"/>
    <w:rsid w:val="00801A6D"/>
    <w:rsid w:val="00801E14"/>
    <w:rsid w:val="008049C0"/>
    <w:rsid w:val="00804E95"/>
    <w:rsid w:val="00806533"/>
    <w:rsid w:val="0081243E"/>
    <w:rsid w:val="00814056"/>
    <w:rsid w:val="008143DE"/>
    <w:rsid w:val="0081445D"/>
    <w:rsid w:val="00816232"/>
    <w:rsid w:val="00816EA1"/>
    <w:rsid w:val="00820103"/>
    <w:rsid w:val="0082061B"/>
    <w:rsid w:val="0082287E"/>
    <w:rsid w:val="0082391D"/>
    <w:rsid w:val="00826558"/>
    <w:rsid w:val="00835B31"/>
    <w:rsid w:val="00837AB7"/>
    <w:rsid w:val="0084309E"/>
    <w:rsid w:val="00844D17"/>
    <w:rsid w:val="00847897"/>
    <w:rsid w:val="00850C77"/>
    <w:rsid w:val="00855C70"/>
    <w:rsid w:val="00857AD9"/>
    <w:rsid w:val="00860321"/>
    <w:rsid w:val="008615DE"/>
    <w:rsid w:val="00861CF3"/>
    <w:rsid w:val="00862183"/>
    <w:rsid w:val="00862C05"/>
    <w:rsid w:val="00864B8B"/>
    <w:rsid w:val="00870AE6"/>
    <w:rsid w:val="008729EA"/>
    <w:rsid w:val="00875127"/>
    <w:rsid w:val="00875C85"/>
    <w:rsid w:val="00876AA6"/>
    <w:rsid w:val="008811E1"/>
    <w:rsid w:val="00881A08"/>
    <w:rsid w:val="008848D4"/>
    <w:rsid w:val="00885DFA"/>
    <w:rsid w:val="00887685"/>
    <w:rsid w:val="00890905"/>
    <w:rsid w:val="00893AD9"/>
    <w:rsid w:val="008948F8"/>
    <w:rsid w:val="00894E41"/>
    <w:rsid w:val="008A0AF7"/>
    <w:rsid w:val="008A2E01"/>
    <w:rsid w:val="008B1616"/>
    <w:rsid w:val="008B1CF4"/>
    <w:rsid w:val="008C1FF1"/>
    <w:rsid w:val="008C2426"/>
    <w:rsid w:val="008C4375"/>
    <w:rsid w:val="008C46A7"/>
    <w:rsid w:val="008C77CB"/>
    <w:rsid w:val="008D2AA0"/>
    <w:rsid w:val="008D4324"/>
    <w:rsid w:val="008E135C"/>
    <w:rsid w:val="008E1CE7"/>
    <w:rsid w:val="008E29AB"/>
    <w:rsid w:val="008F1A47"/>
    <w:rsid w:val="008F1EC6"/>
    <w:rsid w:val="008F43CC"/>
    <w:rsid w:val="008F5FE7"/>
    <w:rsid w:val="00901885"/>
    <w:rsid w:val="00904047"/>
    <w:rsid w:val="00904910"/>
    <w:rsid w:val="0090559B"/>
    <w:rsid w:val="009072D3"/>
    <w:rsid w:val="00924AC8"/>
    <w:rsid w:val="009252FF"/>
    <w:rsid w:val="009254EB"/>
    <w:rsid w:val="00932A69"/>
    <w:rsid w:val="00933C26"/>
    <w:rsid w:val="00934F5F"/>
    <w:rsid w:val="009405F8"/>
    <w:rsid w:val="00943812"/>
    <w:rsid w:val="00944671"/>
    <w:rsid w:val="00945302"/>
    <w:rsid w:val="00962E03"/>
    <w:rsid w:val="00963B3F"/>
    <w:rsid w:val="0096689B"/>
    <w:rsid w:val="00970438"/>
    <w:rsid w:val="009705FA"/>
    <w:rsid w:val="00970E4F"/>
    <w:rsid w:val="00971F84"/>
    <w:rsid w:val="00973DF1"/>
    <w:rsid w:val="00974A73"/>
    <w:rsid w:val="00975F4F"/>
    <w:rsid w:val="00977303"/>
    <w:rsid w:val="00977770"/>
    <w:rsid w:val="00981420"/>
    <w:rsid w:val="00981883"/>
    <w:rsid w:val="00983865"/>
    <w:rsid w:val="009873A7"/>
    <w:rsid w:val="00990942"/>
    <w:rsid w:val="00990D5B"/>
    <w:rsid w:val="009911CF"/>
    <w:rsid w:val="00991AB8"/>
    <w:rsid w:val="00991FC5"/>
    <w:rsid w:val="009925A4"/>
    <w:rsid w:val="009A24E8"/>
    <w:rsid w:val="009A44E0"/>
    <w:rsid w:val="009A4D54"/>
    <w:rsid w:val="009A6B94"/>
    <w:rsid w:val="009B40B8"/>
    <w:rsid w:val="009C162C"/>
    <w:rsid w:val="009D0A31"/>
    <w:rsid w:val="009D19EC"/>
    <w:rsid w:val="009D218A"/>
    <w:rsid w:val="009D4C50"/>
    <w:rsid w:val="009D59EE"/>
    <w:rsid w:val="009D6D6A"/>
    <w:rsid w:val="009E125B"/>
    <w:rsid w:val="009E207F"/>
    <w:rsid w:val="009E680B"/>
    <w:rsid w:val="009E7522"/>
    <w:rsid w:val="009F0F35"/>
    <w:rsid w:val="009F3543"/>
    <w:rsid w:val="009F448D"/>
    <w:rsid w:val="009F46DD"/>
    <w:rsid w:val="009F6261"/>
    <w:rsid w:val="00A04E67"/>
    <w:rsid w:val="00A0550E"/>
    <w:rsid w:val="00A0709B"/>
    <w:rsid w:val="00A07F52"/>
    <w:rsid w:val="00A10B20"/>
    <w:rsid w:val="00A11807"/>
    <w:rsid w:val="00A134C1"/>
    <w:rsid w:val="00A1411B"/>
    <w:rsid w:val="00A1515B"/>
    <w:rsid w:val="00A171EF"/>
    <w:rsid w:val="00A25214"/>
    <w:rsid w:val="00A25CA2"/>
    <w:rsid w:val="00A279D3"/>
    <w:rsid w:val="00A27AFA"/>
    <w:rsid w:val="00A3385D"/>
    <w:rsid w:val="00A34EA2"/>
    <w:rsid w:val="00A35E3E"/>
    <w:rsid w:val="00A371CE"/>
    <w:rsid w:val="00A373E8"/>
    <w:rsid w:val="00A401E6"/>
    <w:rsid w:val="00A43AB2"/>
    <w:rsid w:val="00A4559D"/>
    <w:rsid w:val="00A45704"/>
    <w:rsid w:val="00A4574D"/>
    <w:rsid w:val="00A50E0E"/>
    <w:rsid w:val="00A528E2"/>
    <w:rsid w:val="00A5312D"/>
    <w:rsid w:val="00A53386"/>
    <w:rsid w:val="00A625FD"/>
    <w:rsid w:val="00A635C5"/>
    <w:rsid w:val="00A71542"/>
    <w:rsid w:val="00A7443A"/>
    <w:rsid w:val="00A75EF0"/>
    <w:rsid w:val="00A830CA"/>
    <w:rsid w:val="00A9404A"/>
    <w:rsid w:val="00A96A7E"/>
    <w:rsid w:val="00AA482D"/>
    <w:rsid w:val="00AA5897"/>
    <w:rsid w:val="00AA5B47"/>
    <w:rsid w:val="00AB6E94"/>
    <w:rsid w:val="00AC36FC"/>
    <w:rsid w:val="00AC5680"/>
    <w:rsid w:val="00AC571B"/>
    <w:rsid w:val="00AC6DB7"/>
    <w:rsid w:val="00AD1160"/>
    <w:rsid w:val="00AE313A"/>
    <w:rsid w:val="00AE41A1"/>
    <w:rsid w:val="00AE531E"/>
    <w:rsid w:val="00AE7E7C"/>
    <w:rsid w:val="00AF30E2"/>
    <w:rsid w:val="00AF4B8D"/>
    <w:rsid w:val="00AF5E29"/>
    <w:rsid w:val="00AF7EC7"/>
    <w:rsid w:val="00B00E35"/>
    <w:rsid w:val="00B00FB2"/>
    <w:rsid w:val="00B05C6F"/>
    <w:rsid w:val="00B076D9"/>
    <w:rsid w:val="00B076E6"/>
    <w:rsid w:val="00B07CA9"/>
    <w:rsid w:val="00B12F19"/>
    <w:rsid w:val="00B14895"/>
    <w:rsid w:val="00B16959"/>
    <w:rsid w:val="00B17FDA"/>
    <w:rsid w:val="00B20E3B"/>
    <w:rsid w:val="00B242FC"/>
    <w:rsid w:val="00B24945"/>
    <w:rsid w:val="00B24E05"/>
    <w:rsid w:val="00B27CEF"/>
    <w:rsid w:val="00B300A5"/>
    <w:rsid w:val="00B31554"/>
    <w:rsid w:val="00B36C24"/>
    <w:rsid w:val="00B40028"/>
    <w:rsid w:val="00B40BA1"/>
    <w:rsid w:val="00B41EDD"/>
    <w:rsid w:val="00B420D8"/>
    <w:rsid w:val="00B50CD8"/>
    <w:rsid w:val="00B51871"/>
    <w:rsid w:val="00B52DDD"/>
    <w:rsid w:val="00B53B16"/>
    <w:rsid w:val="00B55213"/>
    <w:rsid w:val="00B61430"/>
    <w:rsid w:val="00B61518"/>
    <w:rsid w:val="00B61711"/>
    <w:rsid w:val="00B6191A"/>
    <w:rsid w:val="00B61EB8"/>
    <w:rsid w:val="00B651B4"/>
    <w:rsid w:val="00B65224"/>
    <w:rsid w:val="00B65A71"/>
    <w:rsid w:val="00B73FA8"/>
    <w:rsid w:val="00B74C21"/>
    <w:rsid w:val="00B7594D"/>
    <w:rsid w:val="00B7626C"/>
    <w:rsid w:val="00B812A6"/>
    <w:rsid w:val="00B839B0"/>
    <w:rsid w:val="00B86E29"/>
    <w:rsid w:val="00B93238"/>
    <w:rsid w:val="00B94FEE"/>
    <w:rsid w:val="00B963CE"/>
    <w:rsid w:val="00B96A19"/>
    <w:rsid w:val="00BA13E7"/>
    <w:rsid w:val="00BA70ED"/>
    <w:rsid w:val="00BB2BD2"/>
    <w:rsid w:val="00BB6953"/>
    <w:rsid w:val="00BC15B8"/>
    <w:rsid w:val="00BC15D5"/>
    <w:rsid w:val="00BC26D0"/>
    <w:rsid w:val="00BC37B2"/>
    <w:rsid w:val="00BC74A3"/>
    <w:rsid w:val="00BD0221"/>
    <w:rsid w:val="00BD1658"/>
    <w:rsid w:val="00BD3A16"/>
    <w:rsid w:val="00BD52DB"/>
    <w:rsid w:val="00BD67B7"/>
    <w:rsid w:val="00BD7F89"/>
    <w:rsid w:val="00BE01A7"/>
    <w:rsid w:val="00BE3BF8"/>
    <w:rsid w:val="00BE5B20"/>
    <w:rsid w:val="00BE6210"/>
    <w:rsid w:val="00BE7FA7"/>
    <w:rsid w:val="00BF027F"/>
    <w:rsid w:val="00BF13EA"/>
    <w:rsid w:val="00BF1B00"/>
    <w:rsid w:val="00BF38C4"/>
    <w:rsid w:val="00BF3DBF"/>
    <w:rsid w:val="00BF5A49"/>
    <w:rsid w:val="00BF6BED"/>
    <w:rsid w:val="00C0182B"/>
    <w:rsid w:val="00C05AFA"/>
    <w:rsid w:val="00C14345"/>
    <w:rsid w:val="00C148E2"/>
    <w:rsid w:val="00C17A6D"/>
    <w:rsid w:val="00C20A57"/>
    <w:rsid w:val="00C22249"/>
    <w:rsid w:val="00C2244F"/>
    <w:rsid w:val="00C2308D"/>
    <w:rsid w:val="00C26B8E"/>
    <w:rsid w:val="00C3586A"/>
    <w:rsid w:val="00C40746"/>
    <w:rsid w:val="00C466B8"/>
    <w:rsid w:val="00C46CF3"/>
    <w:rsid w:val="00C57E06"/>
    <w:rsid w:val="00C64227"/>
    <w:rsid w:val="00C6436A"/>
    <w:rsid w:val="00C658B6"/>
    <w:rsid w:val="00C67F1A"/>
    <w:rsid w:val="00C714E8"/>
    <w:rsid w:val="00C727A9"/>
    <w:rsid w:val="00C72D6C"/>
    <w:rsid w:val="00C8783C"/>
    <w:rsid w:val="00C95331"/>
    <w:rsid w:val="00C95980"/>
    <w:rsid w:val="00C97E52"/>
    <w:rsid w:val="00CA212D"/>
    <w:rsid w:val="00CA29B6"/>
    <w:rsid w:val="00CB4633"/>
    <w:rsid w:val="00CB4FB4"/>
    <w:rsid w:val="00CB6B9C"/>
    <w:rsid w:val="00CC084D"/>
    <w:rsid w:val="00CC20BC"/>
    <w:rsid w:val="00CC762C"/>
    <w:rsid w:val="00CD69D9"/>
    <w:rsid w:val="00CD7C23"/>
    <w:rsid w:val="00CE6BFA"/>
    <w:rsid w:val="00CE745F"/>
    <w:rsid w:val="00CF3E3C"/>
    <w:rsid w:val="00D04A06"/>
    <w:rsid w:val="00D06A3B"/>
    <w:rsid w:val="00D0758C"/>
    <w:rsid w:val="00D125A8"/>
    <w:rsid w:val="00D13B43"/>
    <w:rsid w:val="00D17889"/>
    <w:rsid w:val="00D23EE5"/>
    <w:rsid w:val="00D251E8"/>
    <w:rsid w:val="00D313D0"/>
    <w:rsid w:val="00D320A5"/>
    <w:rsid w:val="00D328AF"/>
    <w:rsid w:val="00D3504A"/>
    <w:rsid w:val="00D36BEC"/>
    <w:rsid w:val="00D37CFD"/>
    <w:rsid w:val="00D4264B"/>
    <w:rsid w:val="00D47000"/>
    <w:rsid w:val="00D51B5D"/>
    <w:rsid w:val="00D52807"/>
    <w:rsid w:val="00D54444"/>
    <w:rsid w:val="00D610E7"/>
    <w:rsid w:val="00D63101"/>
    <w:rsid w:val="00D642C3"/>
    <w:rsid w:val="00D65A34"/>
    <w:rsid w:val="00D66096"/>
    <w:rsid w:val="00D70A97"/>
    <w:rsid w:val="00D73726"/>
    <w:rsid w:val="00D73C3E"/>
    <w:rsid w:val="00D73DC0"/>
    <w:rsid w:val="00D75CA1"/>
    <w:rsid w:val="00D76D07"/>
    <w:rsid w:val="00D77066"/>
    <w:rsid w:val="00D77155"/>
    <w:rsid w:val="00D80992"/>
    <w:rsid w:val="00D812D7"/>
    <w:rsid w:val="00D81411"/>
    <w:rsid w:val="00D860F1"/>
    <w:rsid w:val="00D8643A"/>
    <w:rsid w:val="00D903E7"/>
    <w:rsid w:val="00DA3C91"/>
    <w:rsid w:val="00DA45C9"/>
    <w:rsid w:val="00DA45E4"/>
    <w:rsid w:val="00DB62B1"/>
    <w:rsid w:val="00DB7838"/>
    <w:rsid w:val="00DC3B65"/>
    <w:rsid w:val="00DC3F02"/>
    <w:rsid w:val="00DC47FC"/>
    <w:rsid w:val="00DC5BB0"/>
    <w:rsid w:val="00DC6EA5"/>
    <w:rsid w:val="00DC7157"/>
    <w:rsid w:val="00DD15AE"/>
    <w:rsid w:val="00DD16B8"/>
    <w:rsid w:val="00DD4828"/>
    <w:rsid w:val="00DE2382"/>
    <w:rsid w:val="00DE505B"/>
    <w:rsid w:val="00DE64A1"/>
    <w:rsid w:val="00DF3D35"/>
    <w:rsid w:val="00E052F5"/>
    <w:rsid w:val="00E05D5E"/>
    <w:rsid w:val="00E071C0"/>
    <w:rsid w:val="00E10DF7"/>
    <w:rsid w:val="00E140C2"/>
    <w:rsid w:val="00E16DA9"/>
    <w:rsid w:val="00E20367"/>
    <w:rsid w:val="00E21810"/>
    <w:rsid w:val="00E27E9A"/>
    <w:rsid w:val="00E30633"/>
    <w:rsid w:val="00E30786"/>
    <w:rsid w:val="00E32B58"/>
    <w:rsid w:val="00E33319"/>
    <w:rsid w:val="00E35BD4"/>
    <w:rsid w:val="00E364DC"/>
    <w:rsid w:val="00E37A6E"/>
    <w:rsid w:val="00E42082"/>
    <w:rsid w:val="00E43008"/>
    <w:rsid w:val="00E4556D"/>
    <w:rsid w:val="00E46E43"/>
    <w:rsid w:val="00E50AC2"/>
    <w:rsid w:val="00E51EB8"/>
    <w:rsid w:val="00E54A79"/>
    <w:rsid w:val="00E5627D"/>
    <w:rsid w:val="00E57163"/>
    <w:rsid w:val="00E57C7F"/>
    <w:rsid w:val="00E637D5"/>
    <w:rsid w:val="00E649CC"/>
    <w:rsid w:val="00E64F63"/>
    <w:rsid w:val="00E65537"/>
    <w:rsid w:val="00E66B53"/>
    <w:rsid w:val="00E73B25"/>
    <w:rsid w:val="00E75D39"/>
    <w:rsid w:val="00E801E4"/>
    <w:rsid w:val="00E806A4"/>
    <w:rsid w:val="00E9271A"/>
    <w:rsid w:val="00EA05C0"/>
    <w:rsid w:val="00EA09CF"/>
    <w:rsid w:val="00EA4F53"/>
    <w:rsid w:val="00EA4FBD"/>
    <w:rsid w:val="00EA5DAB"/>
    <w:rsid w:val="00EA6547"/>
    <w:rsid w:val="00EB0466"/>
    <w:rsid w:val="00EB21A0"/>
    <w:rsid w:val="00EB2E93"/>
    <w:rsid w:val="00EB4095"/>
    <w:rsid w:val="00EB4F60"/>
    <w:rsid w:val="00EB7065"/>
    <w:rsid w:val="00EC0E77"/>
    <w:rsid w:val="00EC1CE3"/>
    <w:rsid w:val="00EC23DA"/>
    <w:rsid w:val="00EC7326"/>
    <w:rsid w:val="00EC7D83"/>
    <w:rsid w:val="00ED0569"/>
    <w:rsid w:val="00ED3568"/>
    <w:rsid w:val="00ED45FD"/>
    <w:rsid w:val="00ED4679"/>
    <w:rsid w:val="00EE117F"/>
    <w:rsid w:val="00EE23D6"/>
    <w:rsid w:val="00EE3758"/>
    <w:rsid w:val="00EE50D8"/>
    <w:rsid w:val="00EE625F"/>
    <w:rsid w:val="00EE635B"/>
    <w:rsid w:val="00EF2389"/>
    <w:rsid w:val="00F0023E"/>
    <w:rsid w:val="00F005C6"/>
    <w:rsid w:val="00F01151"/>
    <w:rsid w:val="00F0229D"/>
    <w:rsid w:val="00F026C8"/>
    <w:rsid w:val="00F04F54"/>
    <w:rsid w:val="00F14869"/>
    <w:rsid w:val="00F14D84"/>
    <w:rsid w:val="00F16863"/>
    <w:rsid w:val="00F16B7A"/>
    <w:rsid w:val="00F21CA6"/>
    <w:rsid w:val="00F22664"/>
    <w:rsid w:val="00F2339A"/>
    <w:rsid w:val="00F30EAD"/>
    <w:rsid w:val="00F32E1D"/>
    <w:rsid w:val="00F371DF"/>
    <w:rsid w:val="00F5000D"/>
    <w:rsid w:val="00F5224A"/>
    <w:rsid w:val="00F568D6"/>
    <w:rsid w:val="00F61B6A"/>
    <w:rsid w:val="00F623DF"/>
    <w:rsid w:val="00F63282"/>
    <w:rsid w:val="00F651F6"/>
    <w:rsid w:val="00F66991"/>
    <w:rsid w:val="00F71681"/>
    <w:rsid w:val="00F743E8"/>
    <w:rsid w:val="00F74C3E"/>
    <w:rsid w:val="00F75054"/>
    <w:rsid w:val="00F76367"/>
    <w:rsid w:val="00F76402"/>
    <w:rsid w:val="00F815CD"/>
    <w:rsid w:val="00F81CDD"/>
    <w:rsid w:val="00F839A5"/>
    <w:rsid w:val="00F877F8"/>
    <w:rsid w:val="00F87A59"/>
    <w:rsid w:val="00F91560"/>
    <w:rsid w:val="00F9751F"/>
    <w:rsid w:val="00FA11EA"/>
    <w:rsid w:val="00FB3736"/>
    <w:rsid w:val="00FB5864"/>
    <w:rsid w:val="00FB6BBB"/>
    <w:rsid w:val="00FB745F"/>
    <w:rsid w:val="00FB7947"/>
    <w:rsid w:val="00FC5AB6"/>
    <w:rsid w:val="00FC60FE"/>
    <w:rsid w:val="00FD17CC"/>
    <w:rsid w:val="00FD3C74"/>
    <w:rsid w:val="00FE149D"/>
    <w:rsid w:val="00FE2131"/>
    <w:rsid w:val="00FE548E"/>
    <w:rsid w:val="00FE7E79"/>
    <w:rsid w:val="00FF19EF"/>
    <w:rsid w:val="00FF4CDA"/>
    <w:rsid w:val="00FF5DA4"/>
    <w:rsid w:val="00FF7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854AD7"/>
  <w15:chartTrackingRefBased/>
  <w15:docId w15:val="{402D20C9-2CF1-482A-B0B0-EE3A377B6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ft,fn1,fn3"/>
    <w:basedOn w:val="Normal"/>
    <w:link w:val="FootnoteTextChar"/>
    <w:uiPriority w:val="99"/>
    <w:unhideWhenUsed/>
    <w:qFormat/>
    <w:rsid w:val="00AD1160"/>
    <w:pPr>
      <w:spacing w:after="0" w:line="240" w:lineRule="auto"/>
    </w:pPr>
    <w:rPr>
      <w:sz w:val="20"/>
      <w:szCs w:val="20"/>
    </w:rPr>
  </w:style>
  <w:style w:type="character" w:customStyle="1" w:styleId="FootnoteTextChar">
    <w:name w:val="Footnote Text Char"/>
    <w:aliases w:val="fn Char,Footnote Text Char1 Char1,Footnote Text Char Char Char1,Footnote Text Char1 Char Char,Footnote Text Char Char Char Char, Char Char,Footnote Text Char Char1 Char,Char Char,Footnote Text Char1 Char Char Char1 Char,ft Char Char"/>
    <w:basedOn w:val="DefaultParagraphFont"/>
    <w:link w:val="FootnoteText"/>
    <w:uiPriority w:val="99"/>
    <w:rsid w:val="00AD1160"/>
    <w:rPr>
      <w:sz w:val="20"/>
      <w:szCs w:val="20"/>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AD1160"/>
    <w:rPr>
      <w:rFonts w:ascii="Times New Roman" w:hAnsi="Times New Roman"/>
      <w:b/>
      <w:sz w:val="26"/>
      <w:szCs w:val="26"/>
      <w:vertAlign w:val="superscript"/>
    </w:rPr>
  </w:style>
  <w:style w:type="character" w:styleId="Hyperlink">
    <w:name w:val="Hyperlink"/>
    <w:basedOn w:val="DefaultParagraphFont"/>
    <w:uiPriority w:val="99"/>
    <w:unhideWhenUsed/>
    <w:rsid w:val="00AD1160"/>
    <w:rPr>
      <w:color w:val="0563C1" w:themeColor="hyperlink"/>
      <w:u w:val="single"/>
    </w:rPr>
  </w:style>
  <w:style w:type="paragraph" w:styleId="Header">
    <w:name w:val="header"/>
    <w:basedOn w:val="Normal"/>
    <w:link w:val="HeaderChar"/>
    <w:uiPriority w:val="99"/>
    <w:unhideWhenUsed/>
    <w:rsid w:val="00D35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4A"/>
  </w:style>
  <w:style w:type="paragraph" w:styleId="Footer">
    <w:name w:val="footer"/>
    <w:basedOn w:val="Normal"/>
    <w:link w:val="FooterChar"/>
    <w:uiPriority w:val="99"/>
    <w:unhideWhenUsed/>
    <w:rsid w:val="00D35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4A"/>
  </w:style>
  <w:style w:type="paragraph" w:styleId="ListParagraph">
    <w:name w:val="List Paragraph"/>
    <w:basedOn w:val="Normal"/>
    <w:uiPriority w:val="34"/>
    <w:qFormat/>
    <w:rsid w:val="00152CD4"/>
    <w:pPr>
      <w:ind w:left="720"/>
      <w:contextualSpacing/>
    </w:pPr>
  </w:style>
  <w:style w:type="paragraph" w:styleId="BalloonText">
    <w:name w:val="Balloon Text"/>
    <w:basedOn w:val="Normal"/>
    <w:link w:val="BalloonTextChar"/>
    <w:uiPriority w:val="99"/>
    <w:semiHidden/>
    <w:unhideWhenUsed/>
    <w:rsid w:val="00924A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AC8"/>
    <w:rPr>
      <w:rFonts w:ascii="Segoe UI" w:hAnsi="Segoe UI" w:cs="Segoe UI"/>
      <w:sz w:val="18"/>
      <w:szCs w:val="18"/>
    </w:rPr>
  </w:style>
  <w:style w:type="character" w:styleId="CommentReference">
    <w:name w:val="annotation reference"/>
    <w:basedOn w:val="DefaultParagraphFont"/>
    <w:uiPriority w:val="99"/>
    <w:semiHidden/>
    <w:unhideWhenUsed/>
    <w:rsid w:val="00446499"/>
    <w:rPr>
      <w:sz w:val="16"/>
      <w:szCs w:val="16"/>
    </w:rPr>
  </w:style>
  <w:style w:type="paragraph" w:styleId="CommentText">
    <w:name w:val="annotation text"/>
    <w:basedOn w:val="Normal"/>
    <w:link w:val="CommentTextChar"/>
    <w:uiPriority w:val="99"/>
    <w:unhideWhenUsed/>
    <w:rsid w:val="00446499"/>
    <w:pPr>
      <w:spacing w:line="240" w:lineRule="auto"/>
    </w:pPr>
    <w:rPr>
      <w:sz w:val="20"/>
      <w:szCs w:val="20"/>
    </w:rPr>
  </w:style>
  <w:style w:type="character" w:customStyle="1" w:styleId="CommentTextChar">
    <w:name w:val="Comment Text Char"/>
    <w:basedOn w:val="DefaultParagraphFont"/>
    <w:link w:val="CommentText"/>
    <w:uiPriority w:val="99"/>
    <w:rsid w:val="00446499"/>
    <w:rPr>
      <w:sz w:val="20"/>
      <w:szCs w:val="20"/>
    </w:rPr>
  </w:style>
  <w:style w:type="paragraph" w:styleId="CommentSubject">
    <w:name w:val="annotation subject"/>
    <w:basedOn w:val="CommentText"/>
    <w:next w:val="CommentText"/>
    <w:link w:val="CommentSubjectChar"/>
    <w:uiPriority w:val="99"/>
    <w:semiHidden/>
    <w:unhideWhenUsed/>
    <w:rsid w:val="00446499"/>
    <w:rPr>
      <w:b/>
      <w:bCs/>
    </w:rPr>
  </w:style>
  <w:style w:type="character" w:customStyle="1" w:styleId="CommentSubjectChar">
    <w:name w:val="Comment Subject Char"/>
    <w:basedOn w:val="CommentTextChar"/>
    <w:link w:val="CommentSubject"/>
    <w:uiPriority w:val="99"/>
    <w:semiHidden/>
    <w:rsid w:val="00446499"/>
    <w:rPr>
      <w:b/>
      <w:bCs/>
      <w:sz w:val="20"/>
      <w:szCs w:val="20"/>
    </w:rPr>
  </w:style>
  <w:style w:type="paragraph" w:styleId="Revision">
    <w:name w:val="Revision"/>
    <w:hidden/>
    <w:uiPriority w:val="99"/>
    <w:semiHidden/>
    <w:rsid w:val="00D313D0"/>
    <w:pPr>
      <w:spacing w:after="0" w:line="240" w:lineRule="auto"/>
    </w:pPr>
  </w:style>
  <w:style w:type="table" w:customStyle="1" w:styleId="Calendar1">
    <w:name w:val="Calendar 1"/>
    <w:basedOn w:val="TableNormal"/>
    <w:uiPriority w:val="99"/>
    <w:qFormat/>
    <w:rsid w:val="003A2EEC"/>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eGrid">
    <w:name w:val="Table Grid"/>
    <w:basedOn w:val="TableNormal"/>
    <w:uiPriority w:val="39"/>
    <w:rsid w:val="003A2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30EAD"/>
    <w:rPr>
      <w:color w:val="954F72" w:themeColor="followedHyperlink"/>
      <w:u w:val="single"/>
    </w:rPr>
  </w:style>
  <w:style w:type="character" w:styleId="UnresolvedMention">
    <w:name w:val="Unresolved Mention"/>
    <w:basedOn w:val="DefaultParagraphFont"/>
    <w:uiPriority w:val="99"/>
    <w:semiHidden/>
    <w:unhideWhenUsed/>
    <w:rsid w:val="00633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254577">
      <w:bodyDiv w:val="1"/>
      <w:marLeft w:val="0"/>
      <w:marRight w:val="0"/>
      <w:marTop w:val="0"/>
      <w:marBottom w:val="0"/>
      <w:divBdr>
        <w:top w:val="none" w:sz="0" w:space="0" w:color="auto"/>
        <w:left w:val="none" w:sz="0" w:space="0" w:color="auto"/>
        <w:bottom w:val="none" w:sz="0" w:space="0" w:color="auto"/>
        <w:right w:val="none" w:sz="0" w:space="0" w:color="auto"/>
      </w:divBdr>
    </w:div>
    <w:div w:id="1126002015">
      <w:bodyDiv w:val="1"/>
      <w:marLeft w:val="0"/>
      <w:marRight w:val="0"/>
      <w:marTop w:val="0"/>
      <w:marBottom w:val="0"/>
      <w:divBdr>
        <w:top w:val="none" w:sz="0" w:space="0" w:color="auto"/>
        <w:left w:val="none" w:sz="0" w:space="0" w:color="auto"/>
        <w:bottom w:val="none" w:sz="0" w:space="0" w:color="auto"/>
        <w:right w:val="none" w:sz="0" w:space="0" w:color="auto"/>
      </w:divBdr>
    </w:div>
    <w:div w:id="1169323510">
      <w:bodyDiv w:val="1"/>
      <w:marLeft w:val="0"/>
      <w:marRight w:val="0"/>
      <w:marTop w:val="0"/>
      <w:marBottom w:val="0"/>
      <w:divBdr>
        <w:top w:val="none" w:sz="0" w:space="0" w:color="auto"/>
        <w:left w:val="none" w:sz="0" w:space="0" w:color="auto"/>
        <w:bottom w:val="none" w:sz="0" w:space="0" w:color="auto"/>
        <w:right w:val="none" w:sz="0" w:space="0" w:color="auto"/>
      </w:divBdr>
    </w:div>
    <w:div w:id="189885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help/submission-guide.as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ferc.gov/docs-filing/efiling.as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docs-filing/docs-filing.asp"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library.ferc.gov/idmws/common/OpenNat.asp?fileID=15468689" TargetMode="External"/><Relationship Id="rId3" Type="http://schemas.openxmlformats.org/officeDocument/2006/relationships/hyperlink" Target="https://elibrary.ferc.gov/idmws/common/OpenNat.asp?fileID=15468689" TargetMode="External"/><Relationship Id="rId7" Type="http://schemas.openxmlformats.org/officeDocument/2006/relationships/hyperlink" Target="https://elibrary.ferc.gov/idmws/common/OpenNat.asp?fileID=15468689" TargetMode="External"/><Relationship Id="rId2" Type="http://schemas.openxmlformats.org/officeDocument/2006/relationships/hyperlink" Target="https://elibrary.ferc.gov/idmws/common/OpenNat.asp?fileID=15468689" TargetMode="External"/><Relationship Id="rId1" Type="http://schemas.openxmlformats.org/officeDocument/2006/relationships/hyperlink" Target="https://elibrary.ferc.gov/idmws/common/OpenNat.asp?fileID=15468689" TargetMode="External"/><Relationship Id="rId6" Type="http://schemas.openxmlformats.org/officeDocument/2006/relationships/hyperlink" Target="https://elibrary.ferc.gov/idmws/common/OpenNat.asp?fileID=15468689" TargetMode="External"/><Relationship Id="rId11" Type="http://schemas.openxmlformats.org/officeDocument/2006/relationships/hyperlink" Target="https://www.nerc.com/pa/comp/Registration%20and%20Certification%20DL/NCR%20Deregistered%20Entities.xls" TargetMode="External"/><Relationship Id="rId5" Type="http://schemas.openxmlformats.org/officeDocument/2006/relationships/hyperlink" Target="https://elibrary.ferc.gov/idmws/common/OpenNat.asp?fileID=15468689" TargetMode="External"/><Relationship Id="rId10" Type="http://schemas.openxmlformats.org/officeDocument/2006/relationships/hyperlink" Target="https://elibrary.ferc.gov/idmws/common/OpenNat.asp?fileID=15468689" TargetMode="External"/><Relationship Id="rId4" Type="http://schemas.openxmlformats.org/officeDocument/2006/relationships/hyperlink" Target="https://elibrary.ferc.gov/idmws/common/OpenNat.asp?fileID=15468689" TargetMode="External"/><Relationship Id="rId9" Type="http://schemas.openxmlformats.org/officeDocument/2006/relationships/hyperlink" Target="https://elibrary.ferc.gov/idmws/common/OpenNat.asp?fileID=154686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A0F8D-A909-4299-8D1E-894954AF1796}">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B4C561D6-DDC2-4517-9141-ED575D5F7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63EA44-73DD-4D77-96B3-0B577268B694}">
  <ds:schemaRefs>
    <ds:schemaRef ds:uri="http://schemas.microsoft.com/sharepoint/v3/contenttype/forms"/>
  </ds:schemaRefs>
</ds:datastoreItem>
</file>

<file path=customXml/itemProps4.xml><?xml version="1.0" encoding="utf-8"?>
<ds:datastoreItem xmlns:ds="http://schemas.openxmlformats.org/officeDocument/2006/customXml" ds:itemID="{2F129F38-FE82-435F-91F8-57010368CE4F}">
  <ds:schemaRefs>
    <ds:schemaRef ds:uri="Microsoft.SharePoint.Taxonomy.ContentTypeSync"/>
  </ds:schemaRefs>
</ds:datastoreItem>
</file>

<file path=customXml/itemProps5.xml><?xml version="1.0" encoding="utf-8"?>
<ds:datastoreItem xmlns:ds="http://schemas.openxmlformats.org/officeDocument/2006/customXml" ds:itemID="{205C1432-1CEB-4A96-BB62-67A2F07DB00D}">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otalTime>5</ap:TotalTime>
  <ap:Pages>18</ap:Pages>
  <ap:Words>2561</ap:Words>
  <ap:Characters>14603</ap:Characters>
  <ap:Application>Microsoft Office Word</ap:Application>
  <ap:DocSecurity>0</ap:DocSecurity>
  <ap:Lines>121</ap:Lines>
  <ap:Paragraphs>34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17130</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lastPrinted>2020-07-17T12:27:00.0000000Z</lastPrinted>
  <dcterms:created xsi:type="dcterms:W3CDTF">2020-07-17T12:30:00.0000000Z</dcterms:created>
  <dcterms:modified xsi:type="dcterms:W3CDTF">2020-07-17T12:56:00.0000000Z</dcterms:modified>
  <category/>
  <dc:identifier/>
  <contentStatus/>
  <version/>
</coreProperties>
</file>

<file path=docProps/custom.xml><?xml version="1.0" encoding="utf-8"?>
<op:Properties xmlns:vt="http://schemas.openxmlformats.org/officeDocument/2006/docPropsVTypes" xmlns:op="http://schemas.openxmlformats.org/officeDocument/2006/custom-properties"/>
</file>