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0253049A">
      <w:pPr>
        <w:jc w:val="center"/>
      </w:pPr>
      <w:r w:rsidRPr="00AC750B">
        <w:t xml:space="preserve">[Docket No. </w:t>
      </w:r>
      <w:r w:rsidR="007B1F16">
        <w:t>RD20-</w:t>
      </w:r>
      <w:r w:rsidR="00D46D80">
        <w:t>4</w:t>
      </w:r>
      <w:r w:rsidR="004F6A9A">
        <w:t>-000</w:t>
      </w:r>
      <w:r w:rsidRPr="00AC750B">
        <w:t>]</w:t>
      </w:r>
      <w:r w:rsidR="00DD18FF">
        <w:t xml:space="preserve"> </w:t>
      </w:r>
    </w:p>
    <w:p w:rsidR="00A2604E" w:rsidP="00A2604E" w:rsidRDefault="00A2604E" w14:paraId="37A99FB4" w14:textId="77777777"/>
    <w:p w:rsidR="00D46D80" w:rsidP="00D46D80" w:rsidRDefault="00A2604E" w14:paraId="2CA32854" w14:textId="1428FB89">
      <w:pPr>
        <w:jc w:val="center"/>
      </w:pPr>
      <w:r>
        <w:t>COMMISSION INFORMATION COLLECTION ACTIVITIES (</w:t>
      </w:r>
      <w:r w:rsidR="00D46D80">
        <w:t>FERC–725A</w:t>
      </w:r>
      <w:r w:rsidR="009027C6">
        <w:t>(1B)</w:t>
      </w:r>
      <w:r w:rsidR="00D46D80">
        <w:t xml:space="preserve">, </w:t>
      </w:r>
    </w:p>
    <w:p w:rsidR="00A2604E" w:rsidP="00D46D80" w:rsidRDefault="00D46D80" w14:paraId="0160830D" w14:textId="7182D89A">
      <w:pPr>
        <w:jc w:val="center"/>
      </w:pPr>
      <w:r>
        <w:t xml:space="preserve">FERC–725D, FERC–725F, FERC–725G, </w:t>
      </w:r>
      <w:r w:rsidR="009027C6">
        <w:t xml:space="preserve">and </w:t>
      </w:r>
      <w:r>
        <w:t>FERC–725L</w:t>
      </w:r>
      <w:r w:rsidR="009027C6">
        <w:t>)</w:t>
      </w:r>
      <w:r w:rsidR="00A2604E">
        <w:t>;</w:t>
      </w:r>
    </w:p>
    <w:p w:rsidR="00A2604E" w:rsidP="00A2604E" w:rsidRDefault="00A2604E" w14:paraId="6E904836" w14:textId="7E906979">
      <w:pPr>
        <w:jc w:val="center"/>
      </w:pPr>
      <w:r>
        <w:t xml:space="preserve">COMMENT REQUEST; </w:t>
      </w:r>
      <w:r w:rsidR="004E7B14">
        <w:t>REVISION</w:t>
      </w:r>
    </w:p>
    <w:p w:rsidR="00810D18" w:rsidP="00810D18" w:rsidRDefault="00810D18" w14:paraId="6FC67CE5" w14:textId="1157AFF8"/>
    <w:p w:rsidRPr="00EB3D1F" w:rsidR="00EB3D1F" w:rsidP="00EB3D1F" w:rsidRDefault="00EB3D1F" w14:paraId="03167B44" w14:textId="2C0E4905">
      <w:pPr>
        <w:jc w:val="center"/>
      </w:pPr>
      <w:r w:rsidRPr="00EB3D1F">
        <w:t>(October 13, 2020)</w:t>
      </w:r>
    </w:p>
    <w:p w:rsidRPr="009D58B8" w:rsidR="009D58B8" w:rsidP="009D58B8" w:rsidRDefault="009D58B8" w14:paraId="0F356D93"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44241F66">
      <w:pPr>
        <w:spacing w:line="480" w:lineRule="auto"/>
      </w:pPr>
      <w:r w:rsidRPr="00CE64F2">
        <w:rPr>
          <w:b/>
        </w:rPr>
        <w:t>ACTION:</w:t>
      </w:r>
      <w:r>
        <w:t xml:space="preserve">  Notice of information collection</w:t>
      </w:r>
      <w:r w:rsidR="00F6223A">
        <w:t>s</w:t>
      </w:r>
      <w:r>
        <w:t xml:space="preserve"> and request for comments.</w:t>
      </w:r>
      <w:r w:rsidR="0080003F">
        <w:t xml:space="preserve"> </w:t>
      </w:r>
    </w:p>
    <w:p w:rsidR="00A2604E" w:rsidP="00F8646E" w:rsidRDefault="00A2604E" w14:paraId="124637F9" w14:textId="1CAF2902">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w:t>
      </w:r>
      <w:r w:rsidR="004E7B14">
        <w:t xml:space="preserve">revisions to </w:t>
      </w:r>
      <w:r>
        <w:t>the information collection</w:t>
      </w:r>
      <w:r w:rsidR="004E7B14">
        <w:t>s</w:t>
      </w:r>
      <w:r>
        <w:t xml:space="preserve"> </w:t>
      </w:r>
      <w:r w:rsidRPr="00384C7A" w:rsidR="00384C7A">
        <w:t>FERC-725A</w:t>
      </w:r>
      <w:r w:rsidR="00F607E3">
        <w:t>(1B)</w:t>
      </w:r>
      <w:r w:rsidRPr="00384C7A" w:rsidR="00384C7A">
        <w:t xml:space="preserve"> (Mandatory Reliability Standards</w:t>
      </w:r>
      <w:r w:rsidR="00A61BA8">
        <w:t xml:space="preserve"> for the Bulk-Power System</w:t>
      </w:r>
      <w:r w:rsidRPr="00384C7A" w:rsidR="00384C7A">
        <w:t xml:space="preserve">), FERC-725D (Facilities Design, Connections and Maintenance Reliability Standards), FERC-725F (Mandatory Reliability Standard for Nuclear Plant Interface Coordination), FERC-725G (Reliability Standards for the </w:t>
      </w:r>
      <w:r w:rsidRPr="00384C7A" w:rsidR="00A61BA8">
        <w:t>Bulk</w:t>
      </w:r>
      <w:r w:rsidR="00A61BA8">
        <w:t>-</w:t>
      </w:r>
      <w:r w:rsidRPr="00384C7A" w:rsidR="00384C7A">
        <w:t xml:space="preserve">Power System: PRC Reliability Standards), </w:t>
      </w:r>
      <w:r w:rsidR="00F607E3">
        <w:t xml:space="preserve">and </w:t>
      </w:r>
      <w:r w:rsidRPr="00384C7A" w:rsidR="00384C7A">
        <w:t>FERC-725L (Mandatory Reliability Standards for the Bulk-Power System: MOD Reliability Standards)</w:t>
      </w:r>
      <w:r w:rsidRPr="00642602" w:rsidR="00642602">
        <w:t xml:space="preserve"> and submitting the information collection</w:t>
      </w:r>
      <w:r w:rsidR="004E7B14">
        <w:t>s</w:t>
      </w:r>
      <w:r w:rsidRPr="00642602" w:rsidR="00642602">
        <w:t xml:space="preserve"> to the Office of Management and Budget (OMB) for review.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3ACC032F">
      <w:pPr>
        <w:spacing w:line="480" w:lineRule="auto"/>
      </w:pPr>
      <w:r w:rsidRPr="00CE64F2">
        <w:rPr>
          <w:b/>
        </w:rPr>
        <w:t>DATES:</w:t>
      </w:r>
      <w:r>
        <w:t xml:space="preserve">  Comments on the collection</w:t>
      </w:r>
      <w:r w:rsidR="00F6223A">
        <w:t>s</w:t>
      </w:r>
      <w:r>
        <w:t xml:space="preserve"> of information are due </w:t>
      </w:r>
      <w:bookmarkStart w:name="OLE_LINK1" w:id="0"/>
      <w:r w:rsidRPr="007C1916" w:rsidR="007C1916">
        <w:rPr>
          <w:b/>
        </w:rPr>
        <w:t>[</w:t>
      </w:r>
      <w:r w:rsidRPr="00F11631" w:rsidR="001618A4">
        <w:rPr>
          <w:b/>
        </w:rPr>
        <w:t xml:space="preserve">Insert Date 30 </w:t>
      </w:r>
      <w:r w:rsidR="001618A4">
        <w:rPr>
          <w:b/>
        </w:rPr>
        <w:t>d</w:t>
      </w:r>
      <w:r w:rsidRPr="00F11631" w:rsidR="001618A4">
        <w:rPr>
          <w:b/>
        </w:rPr>
        <w:t xml:space="preserve">ays </w:t>
      </w:r>
      <w:r w:rsidR="001618A4">
        <w:rPr>
          <w:b/>
        </w:rPr>
        <w:t>a</w:t>
      </w:r>
      <w:r w:rsidRPr="00F11631" w:rsidR="001618A4">
        <w:rPr>
          <w:b/>
        </w:rPr>
        <w:t xml:space="preserve">fter </w:t>
      </w:r>
      <w:r w:rsidR="001618A4">
        <w:rPr>
          <w:b/>
        </w:rPr>
        <w:t>date of p</w:t>
      </w:r>
      <w:r w:rsidRPr="00F11631" w:rsidR="001618A4">
        <w:rPr>
          <w:b/>
        </w:rPr>
        <w:t xml:space="preserve">ublication </w:t>
      </w:r>
      <w:r w:rsidR="001618A4">
        <w:rPr>
          <w:b/>
        </w:rPr>
        <w:t>i</w:t>
      </w:r>
      <w:r w:rsidRPr="00F11631" w:rsidR="001618A4">
        <w:rPr>
          <w:b/>
        </w:rPr>
        <w:t xml:space="preserve">n </w:t>
      </w:r>
      <w:r w:rsidR="001618A4">
        <w:rPr>
          <w:b/>
        </w:rPr>
        <w:t>t</w:t>
      </w:r>
      <w:r w:rsidRPr="00F11631" w:rsidR="001618A4">
        <w:rPr>
          <w:b/>
        </w:rPr>
        <w:t>he Federal Register</w:t>
      </w:r>
      <w:r w:rsidRPr="00F11631" w:rsidR="007C1916">
        <w:rPr>
          <w:b/>
          <w:caps/>
        </w:rPr>
        <w:t>]</w:t>
      </w:r>
      <w:r w:rsidRPr="00F11631" w:rsidR="00B65A09">
        <w:rPr>
          <w:b/>
          <w:caps/>
        </w:rPr>
        <w:t>.</w:t>
      </w:r>
      <w:r w:rsidRPr="00F11631" w:rsidR="00B65A09">
        <w:rPr>
          <w:caps/>
        </w:rPr>
        <w:t xml:space="preserve">  </w:t>
      </w:r>
    </w:p>
    <w:p w:rsidRPr="004F6A9A" w:rsidR="007C1916" w:rsidP="007C1916" w:rsidRDefault="007C1916" w14:paraId="05EFC9C8" w14:textId="42103787">
      <w:pPr>
        <w:spacing w:line="480" w:lineRule="auto"/>
        <w:rPr>
          <w:szCs w:val="26"/>
        </w:rPr>
      </w:pPr>
      <w:r w:rsidRPr="007C1916">
        <w:rPr>
          <w:b/>
        </w:rPr>
        <w:lastRenderedPageBreak/>
        <w:t>ADDRESSES:</w:t>
      </w:r>
      <w:r w:rsidRPr="007C1916">
        <w:t xml:space="preserve">  </w:t>
      </w:r>
      <w:r w:rsidRPr="00AF34EA" w:rsidR="00754526">
        <w:rPr>
          <w:iCs/>
          <w:szCs w:val="26"/>
        </w:rPr>
        <w:t xml:space="preserve">Send written comments on </w:t>
      </w:r>
      <w:r w:rsidR="00D46D80">
        <w:rPr>
          <w:iCs/>
          <w:szCs w:val="26"/>
        </w:rPr>
        <w:t>the information collections</w:t>
      </w:r>
      <w:r w:rsidRPr="00AF34EA" w:rsidR="00754526">
        <w:rPr>
          <w:iCs/>
          <w:szCs w:val="26"/>
        </w:rPr>
        <w:t xml:space="preserve"> to OMB </w:t>
      </w:r>
      <w:r w:rsidRPr="00AF34EA" w:rsidR="00EB749E">
        <w:rPr>
          <w:iCs/>
          <w:szCs w:val="26"/>
        </w:rPr>
        <w:t>through</w:t>
      </w:r>
      <w:r w:rsidRPr="00AF34EA" w:rsidR="00754526">
        <w:rPr>
          <w:iCs/>
          <w:szCs w:val="26"/>
        </w:rPr>
        <w:t xml:space="preserve"> </w:t>
      </w:r>
      <w:hyperlink w:history="1" r:id="rId13">
        <w:r w:rsidRPr="00AF34EA" w:rsidR="00754526">
          <w:rPr>
            <w:rStyle w:val="Hyperlink"/>
            <w:szCs w:val="26"/>
          </w:rPr>
          <w:t>www.reginfo.gov/public/do/PRAMain</w:t>
        </w:r>
      </w:hyperlink>
      <w:r w:rsidRPr="00AF34EA" w:rsidR="00754526">
        <w:rPr>
          <w:iCs/>
          <w:szCs w:val="26"/>
        </w:rPr>
        <w:t xml:space="preserve">.  Attention:  Federal Energy Regulatory Commission Desk Officer.  Please identify the OMB </w:t>
      </w:r>
      <w:r w:rsidRPr="00AF34EA" w:rsidR="004F6A9A">
        <w:rPr>
          <w:iCs/>
          <w:szCs w:val="26"/>
        </w:rPr>
        <w:t>Control Number</w:t>
      </w:r>
      <w:r w:rsidRPr="00AF34EA" w:rsidR="00754526">
        <w:rPr>
          <w:iCs/>
          <w:szCs w:val="26"/>
        </w:rPr>
        <w:t>(</w:t>
      </w:r>
      <w:r w:rsidR="00F42FD4">
        <w:rPr>
          <w:iCs/>
          <w:szCs w:val="26"/>
        </w:rPr>
        <w:t>s</w:t>
      </w:r>
      <w:r w:rsidRPr="00AF34EA" w:rsidR="00754526">
        <w:rPr>
          <w:iCs/>
          <w:szCs w:val="26"/>
        </w:rPr>
        <w:t>) in the subject line of your comments</w:t>
      </w:r>
      <w:r w:rsidR="00CB4562">
        <w:rPr>
          <w:iCs/>
          <w:szCs w:val="26"/>
        </w:rPr>
        <w:t>.  Comments</w:t>
      </w:r>
      <w:r w:rsidRPr="00CB4562" w:rsidR="00CB4562">
        <w:rPr>
          <w:szCs w:val="26"/>
        </w:rPr>
        <w:t xml:space="preserve"> should</w:t>
      </w:r>
      <w:r w:rsidRPr="00AF34EA" w:rsidR="005F729D">
        <w:rPr>
          <w:szCs w:val="26"/>
        </w:rPr>
        <w:t xml:space="preserve"> be sent </w:t>
      </w:r>
      <w:bookmarkStart w:name="_Hlk35891527" w:id="1"/>
      <w:r w:rsidRPr="00AF34EA" w:rsidR="005F729D">
        <w:rPr>
          <w:szCs w:val="26"/>
        </w:rPr>
        <w:t xml:space="preserve">within 30 days of publication of this notice to </w:t>
      </w:r>
      <w:bookmarkStart w:name="_Hlk38028221" w:id="2"/>
      <w:r w:rsidRPr="00AF34EA" w:rsidR="00754526">
        <w:rPr>
          <w:szCs w:val="26"/>
        </w:rPr>
        <w:fldChar w:fldCharType="begin"/>
      </w:r>
      <w:r w:rsidRPr="00AF34EA" w:rsidR="00754526">
        <w:rPr>
          <w:szCs w:val="26"/>
        </w:rPr>
        <w:instrText xml:space="preserve"> HYPERLINK "http://www.reginfo.gov/public/do/PRAMain" </w:instrText>
      </w:r>
      <w:r w:rsidRPr="00AF34EA" w:rsidR="00754526">
        <w:rPr>
          <w:szCs w:val="26"/>
        </w:rPr>
        <w:fldChar w:fldCharType="separate"/>
      </w:r>
      <w:r w:rsidRPr="00AF34EA" w:rsidR="00754526">
        <w:rPr>
          <w:rStyle w:val="Hyperlink"/>
          <w:szCs w:val="26"/>
        </w:rPr>
        <w:t>www.reginfo.gov/public/do/PRAMain</w:t>
      </w:r>
      <w:r w:rsidRPr="00AF34EA" w:rsidR="00754526">
        <w:rPr>
          <w:szCs w:val="26"/>
        </w:rPr>
        <w:fldChar w:fldCharType="end"/>
      </w:r>
      <w:r w:rsidRPr="00AF34EA" w:rsidR="005F729D">
        <w:rPr>
          <w:szCs w:val="26"/>
        </w:rPr>
        <w:t>.</w:t>
      </w:r>
      <w:bookmarkEnd w:id="1"/>
      <w:bookmarkEnd w:id="2"/>
    </w:p>
    <w:p w:rsidRPr="007C1916" w:rsidR="007C1916" w:rsidP="007C1916" w:rsidRDefault="007C1916" w14:paraId="5B1CC12A" w14:textId="032F02A0">
      <w:pPr>
        <w:spacing w:line="480" w:lineRule="auto"/>
      </w:pPr>
      <w:r w:rsidRPr="007C1916">
        <w:t xml:space="preserve">A copy of the comments should also be sent to the Commission, in Docket No. </w:t>
      </w:r>
      <w:r w:rsidR="00D46D80">
        <w:t>RD20-4-000</w:t>
      </w:r>
      <w:r w:rsidRPr="007C1916">
        <w:t xml:space="preserve">, by </w:t>
      </w:r>
      <w:r w:rsidR="003850F7">
        <w:t>any</w:t>
      </w:r>
      <w:r w:rsidRPr="007C1916">
        <w:t xml:space="preserve"> of the following methods:</w:t>
      </w:r>
      <w:r w:rsidR="00140E4E">
        <w:t xml:space="preserve"> </w:t>
      </w:r>
    </w:p>
    <w:p w:rsidRPr="007C1916" w:rsidR="007C1916" w:rsidP="00EC47CD" w:rsidRDefault="007C1916" w14:paraId="792B5B58" w14:textId="0BD05FD4">
      <w:pPr>
        <w:numPr>
          <w:ilvl w:val="0"/>
          <w:numId w:val="2"/>
        </w:numPr>
        <w:tabs>
          <w:tab w:val="clear" w:pos="1500"/>
          <w:tab w:val="num" w:pos="720"/>
          <w:tab w:val="num" w:pos="1080"/>
        </w:tabs>
        <w:spacing w:line="480" w:lineRule="auto"/>
        <w:ind w:left="720"/>
      </w:pPr>
      <w:r w:rsidRPr="007C1916">
        <w:t xml:space="preserve">eFiling at Commission’s Web Site: </w:t>
      </w:r>
      <w:hyperlink w:history="1" r:id="rId14">
        <w:r w:rsidRPr="007C1916">
          <w:rPr>
            <w:rStyle w:val="Hyperlink"/>
          </w:rPr>
          <w:t>http://www.ferc.gov/docs-filing/efiling.asp</w:t>
        </w:r>
      </w:hyperlink>
    </w:p>
    <w:p w:rsidR="00D6054C" w:rsidP="00EC47CD" w:rsidRDefault="00D6054C" w14:paraId="16246F42" w14:textId="77777777">
      <w:pPr>
        <w:numPr>
          <w:ilvl w:val="0"/>
          <w:numId w:val="2"/>
        </w:numPr>
        <w:tabs>
          <w:tab w:val="clear" w:pos="1500"/>
          <w:tab w:val="num" w:pos="720"/>
        </w:tabs>
        <w:spacing w:line="480" w:lineRule="auto"/>
        <w:ind w:left="720"/>
      </w:pPr>
      <w:r>
        <w:t xml:space="preserve">U.S. Postal Service Mail: Persons unable to file electronically may mail similar pleadings to the Federal Energy Regulatory Commission, 888 First Street, NE, Washington, DC 20426. </w:t>
      </w:r>
    </w:p>
    <w:p w:rsidRPr="00D6054C" w:rsidR="00D6054C" w:rsidP="00EC47CD" w:rsidRDefault="00D6054C" w14:paraId="0ECD04C1" w14:textId="77777777">
      <w:pPr>
        <w:numPr>
          <w:ilvl w:val="0"/>
          <w:numId w:val="2"/>
        </w:numPr>
        <w:tabs>
          <w:tab w:val="clear" w:pos="1500"/>
          <w:tab w:val="num" w:pos="720"/>
        </w:tabs>
        <w:spacing w:line="480" w:lineRule="auto"/>
        <w:ind w:left="720"/>
      </w:pPr>
      <w:r>
        <w:t xml:space="preserve">Effective 7/1/2020, delivery of filings other than by eFiling or the U.S. Postal </w:t>
      </w:r>
      <w:r w:rsidRPr="00D6054C">
        <w:t xml:space="preserve">Service should be delivered to Health and Human Services, 12225 Wilkins Avenue, Rockville, Maryland 20852. </w:t>
      </w:r>
    </w:p>
    <w:p w:rsidR="00310EFC" w:rsidP="007C1916" w:rsidRDefault="00A2604E" w14:paraId="1D7D8F0D" w14:textId="77777777">
      <w:pPr>
        <w:spacing w:line="480" w:lineRule="auto"/>
        <w:rPr>
          <w:i/>
        </w:rPr>
      </w:pPr>
      <w:r>
        <w:rPr>
          <w:i/>
        </w:rPr>
        <w:t xml:space="preserve">Instructions: </w:t>
      </w:r>
    </w:p>
    <w:p w:rsidRPr="00C7209E" w:rsidR="00310EFC" w:rsidP="007C1916" w:rsidRDefault="00310EFC" w14:paraId="77DA2D2A" w14:textId="7E80BC72">
      <w:pPr>
        <w:spacing w:line="480" w:lineRule="auto"/>
        <w:rPr>
          <w:szCs w:val="26"/>
        </w:rPr>
      </w:pPr>
      <w:r>
        <w:rPr>
          <w:i/>
        </w:rPr>
        <w:t>OMB submissions</w:t>
      </w:r>
      <w:r w:rsidRPr="004F6A9A">
        <w:rPr>
          <w:iCs/>
        </w:rPr>
        <w:t xml:space="preserve"> </w:t>
      </w:r>
      <w:r>
        <w:t>must be formatted and filed in accordance with submission guidelines at</w:t>
      </w:r>
      <w:r w:rsidRPr="00D46D80">
        <w:rPr>
          <w:i/>
          <w:szCs w:val="26"/>
        </w:rPr>
        <w:t xml:space="preserve"> </w:t>
      </w:r>
      <w:hyperlink w:history="1" r:id="rId15">
        <w:r w:rsidRPr="00EC47CD">
          <w:rPr>
            <w:rStyle w:val="Hyperlink"/>
            <w:szCs w:val="26"/>
          </w:rPr>
          <w:t>www.reginfo.gov/public/do/PRAMain</w:t>
        </w:r>
      </w:hyperlink>
      <w:r w:rsidRPr="00EC47CD" w:rsidR="00C7209E">
        <w:rPr>
          <w:rStyle w:val="Hyperlink"/>
          <w:szCs w:val="26"/>
        </w:rPr>
        <w:t>.</w:t>
      </w:r>
      <w:r w:rsidRPr="00EC47CD">
        <w:rPr>
          <w:szCs w:val="26"/>
        </w:rPr>
        <w:t xml:space="preserve"> </w:t>
      </w:r>
      <w:r w:rsidRPr="00D46D80">
        <w:rPr>
          <w:szCs w:val="26"/>
        </w:rPr>
        <w:t xml:space="preserve"> </w:t>
      </w:r>
      <w:r w:rsidRPr="00360C98">
        <w:rPr>
          <w:szCs w:val="26"/>
        </w:rPr>
        <w:t>Using the search function under the “Currently Under Review</w:t>
      </w:r>
      <w:r w:rsidRPr="00360C98" w:rsidR="003248F9">
        <w:rPr>
          <w:szCs w:val="26"/>
        </w:rPr>
        <w:t>”</w:t>
      </w:r>
      <w:r w:rsidRPr="00360C98">
        <w:rPr>
          <w:szCs w:val="26"/>
        </w:rPr>
        <w:t xml:space="preserve"> field</w:t>
      </w:r>
      <w:r w:rsidRPr="00360C98" w:rsidR="003248F9">
        <w:rPr>
          <w:szCs w:val="26"/>
        </w:rPr>
        <w:t>,</w:t>
      </w:r>
      <w:r w:rsidRPr="00360C98">
        <w:rPr>
          <w:szCs w:val="26"/>
        </w:rPr>
        <w:t xml:space="preserve"> select Federal Energy Regulatory Commission; click “submit</w:t>
      </w:r>
      <w:r w:rsidRPr="00360C98" w:rsidR="003248F9">
        <w:rPr>
          <w:szCs w:val="26"/>
        </w:rPr>
        <w:t>,</w:t>
      </w:r>
      <w:r w:rsidRPr="00360C98">
        <w:rPr>
          <w:szCs w:val="26"/>
        </w:rPr>
        <w:t>” and select “comment” to the right of the subject collection.</w:t>
      </w:r>
      <w:r w:rsidRPr="00C7209E" w:rsidR="00A2604E">
        <w:rPr>
          <w:szCs w:val="26"/>
        </w:rPr>
        <w:t xml:space="preserve"> </w:t>
      </w:r>
    </w:p>
    <w:p w:rsidRPr="004F6A9A" w:rsidR="00A2604E" w:rsidP="007C1916" w:rsidRDefault="00310EFC" w14:paraId="72FFFB84" w14:textId="2BCA666A">
      <w:pPr>
        <w:spacing w:line="480" w:lineRule="auto"/>
        <w:rPr>
          <w:sz w:val="24"/>
        </w:rPr>
      </w:pPr>
      <w:r w:rsidRPr="003248F9">
        <w:rPr>
          <w:i/>
          <w:iCs/>
        </w:rPr>
        <w:lastRenderedPageBreak/>
        <w:t xml:space="preserve">FERC </w:t>
      </w:r>
      <w:r w:rsidRPr="003248F9" w:rsidR="00A2604E">
        <w:rPr>
          <w:i/>
          <w:iCs/>
        </w:rPr>
        <w:t>submissions</w:t>
      </w:r>
      <w:r w:rsidR="00A2604E">
        <w:t xml:space="preserve"> </w:t>
      </w:r>
      <w:bookmarkStart w:name="_Hlk38028397" w:id="3"/>
      <w:r w:rsidR="00A2604E">
        <w:t>must be formatted and filed in accordance with submission guidelines at</w:t>
      </w:r>
      <w:bookmarkEnd w:id="3"/>
      <w:r w:rsidR="00A2604E">
        <w:t xml:space="preserve">: </w:t>
      </w:r>
      <w:hyperlink w:history="1" r:id="rId16">
        <w:r w:rsidRPr="004B1C0B" w:rsidR="004B1C0B">
          <w:rPr>
            <w:rStyle w:val="Hyperlink"/>
          </w:rPr>
          <w:t>http://www.ferc.gov</w:t>
        </w:r>
      </w:hyperlink>
      <w:r w:rsidR="00A2604E">
        <w:t>.  For user assistance</w:t>
      </w:r>
      <w:r w:rsidR="00BF2D74">
        <w:t>,</w:t>
      </w:r>
      <w:r w:rsidR="00A2604E">
        <w:t xml:space="preserve"> contact FERC Online Support by e-mail at ferconlinesupport@ferc.gov, or by phone at:  (866) 208-3676 (toll-free)</w:t>
      </w:r>
      <w:r w:rsidR="00754526">
        <w:t>.</w:t>
      </w:r>
    </w:p>
    <w:p w:rsidRPr="00241BFD" w:rsidR="00A2604E" w:rsidP="00A2604E" w:rsidRDefault="00A2604E" w14:paraId="6160E432" w14:textId="0EC7B3DF">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7">
        <w:r w:rsidRPr="00697527" w:rsidR="00697527">
          <w:rPr>
            <w:rStyle w:val="Hyperlink"/>
          </w:rPr>
          <w:t>http://www.ferc.gov</w:t>
        </w:r>
      </w:hyperlink>
      <w:r>
        <w:t xml:space="preserve">. </w:t>
      </w:r>
    </w:p>
    <w:bookmarkEnd w:id="0"/>
    <w:p w:rsidR="00A2604E" w:rsidP="00A2604E" w:rsidRDefault="00A2604E" w14:paraId="5D1F4BEC" w14:textId="0E933D78">
      <w:pPr>
        <w:spacing w:line="480" w:lineRule="auto"/>
      </w:pPr>
      <w:r w:rsidRPr="00656DF0">
        <w:rPr>
          <w:b/>
        </w:rPr>
        <w:t>FOR FURTHER INFORMATION:</w:t>
      </w:r>
      <w:r>
        <w:t xml:space="preserve">  </w:t>
      </w:r>
      <w:r w:rsidRPr="007731D6">
        <w:t>Ellen Brown</w:t>
      </w:r>
      <w:r>
        <w:t xml:space="preserve"> may be reached by e-mail at </w:t>
      </w:r>
      <w:hyperlink w:history="1" r:id="rId18">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30D2A317">
      <w:pPr>
        <w:tabs>
          <w:tab w:val="left" w:pos="7880"/>
        </w:tabs>
        <w:spacing w:line="480" w:lineRule="auto"/>
      </w:pPr>
      <w:r w:rsidRPr="001C3703">
        <w:rPr>
          <w:b/>
        </w:rPr>
        <w:t>SUPPLEMENTARY INFORMATION:</w:t>
      </w:r>
      <w:bookmarkStart w:name="_Ref51833690" w:id="4"/>
      <w:r w:rsidR="00F607E3">
        <w:rPr>
          <w:rStyle w:val="FootnoteReference"/>
          <w:b w:val="0"/>
        </w:rPr>
        <w:footnoteReference w:id="1"/>
      </w:r>
      <w:bookmarkEnd w:id="4"/>
      <w:r>
        <w:t xml:space="preserve">  </w:t>
      </w:r>
    </w:p>
    <w:p w:rsidR="00AA4050" w:rsidP="009E5557" w:rsidRDefault="00AA4050" w14:paraId="1828F029" w14:textId="5AA23F52">
      <w:pPr>
        <w:spacing w:line="480" w:lineRule="auto"/>
        <w:rPr>
          <w:i/>
        </w:rPr>
      </w:pPr>
      <w:r>
        <w:rPr>
          <w:i/>
        </w:rPr>
        <w:t>Title</w:t>
      </w:r>
      <w:r w:rsidR="004E7B14">
        <w:rPr>
          <w:i/>
        </w:rPr>
        <w:t>s</w:t>
      </w:r>
      <w:r>
        <w:rPr>
          <w:i/>
        </w:rPr>
        <w:t xml:space="preserve">: </w:t>
      </w:r>
      <w:r w:rsidRPr="00D95821" w:rsidR="00D95821">
        <w:t>FERC-725A</w:t>
      </w:r>
      <w:r w:rsidR="00F607E3">
        <w:t>(1B)</w:t>
      </w:r>
      <w:r w:rsidRPr="00D95821" w:rsidR="00D95821">
        <w:t xml:space="preserve"> (Mandatory Reliability Standards</w:t>
      </w:r>
      <w:r w:rsidR="004B3E0E">
        <w:t xml:space="preserve"> for the Bulk-Power System</w:t>
      </w:r>
      <w:r w:rsidRPr="00D95821" w:rsidR="00D95821">
        <w:t xml:space="preserve">), FERC-725D (Facilities Design, Connections and Maintenance Reliability Standards), FERC-725F (Mandatory Reliability Standard for Nuclear Plant Interface Coordination), FERC-725G (Reliability Standards for the </w:t>
      </w:r>
      <w:r w:rsidRPr="00D95821" w:rsidR="004B3E0E">
        <w:t>Bulk</w:t>
      </w:r>
      <w:r w:rsidR="004B3E0E">
        <w:t>-</w:t>
      </w:r>
      <w:r w:rsidRPr="00D95821" w:rsidR="00D95821">
        <w:t xml:space="preserve">Power System: PRC Reliability Standards), </w:t>
      </w:r>
      <w:r w:rsidR="00F607E3">
        <w:t xml:space="preserve">and </w:t>
      </w:r>
      <w:r w:rsidRPr="00D95821" w:rsidR="00D95821">
        <w:t>FERC-725L (Mandatory Reliability Standards for the Bulk-Power System: MOD Reliability Standards)</w:t>
      </w:r>
      <w:r w:rsidRPr="00D95821" w:rsidDel="00F607E3" w:rsidR="00F607E3">
        <w:t xml:space="preserve"> </w:t>
      </w:r>
    </w:p>
    <w:p w:rsidRPr="004E7B14" w:rsidR="004E7B14" w:rsidP="004E7B14" w:rsidRDefault="004E7B14" w14:paraId="0DCDCAC9" w14:textId="2422D812">
      <w:pPr>
        <w:tabs>
          <w:tab w:val="center" w:pos="4680"/>
        </w:tabs>
        <w:spacing w:line="480" w:lineRule="auto"/>
        <w:rPr>
          <w:szCs w:val="26"/>
        </w:rPr>
      </w:pPr>
      <w:r w:rsidRPr="004E7B14">
        <w:rPr>
          <w:i/>
          <w:szCs w:val="26"/>
        </w:rPr>
        <w:t xml:space="preserve">OMB Control Nos.: </w:t>
      </w:r>
      <w:r w:rsidRPr="004E7B14">
        <w:rPr>
          <w:szCs w:val="26"/>
        </w:rPr>
        <w:t>1902-</w:t>
      </w:r>
      <w:r w:rsidRPr="004E7B14" w:rsidR="00F607E3">
        <w:rPr>
          <w:szCs w:val="26"/>
        </w:rPr>
        <w:t>02</w:t>
      </w:r>
      <w:r w:rsidR="00F607E3">
        <w:rPr>
          <w:szCs w:val="26"/>
        </w:rPr>
        <w:t>92</w:t>
      </w:r>
      <w:r w:rsidRPr="004E7B14" w:rsidR="00F607E3">
        <w:rPr>
          <w:szCs w:val="26"/>
        </w:rPr>
        <w:t xml:space="preserve"> </w:t>
      </w:r>
      <w:r w:rsidRPr="004E7B14">
        <w:rPr>
          <w:szCs w:val="26"/>
        </w:rPr>
        <w:t>(FERC-725A</w:t>
      </w:r>
      <w:r w:rsidR="00F607E3">
        <w:rPr>
          <w:szCs w:val="26"/>
        </w:rPr>
        <w:t>(1B)</w:t>
      </w:r>
      <w:r w:rsidRPr="004E7B14">
        <w:rPr>
          <w:szCs w:val="26"/>
        </w:rPr>
        <w:t xml:space="preserve">); 1902-0247 (FERC-725D); 1902-0249 (FERC-725F); 1902-0252 (FERC-725G); </w:t>
      </w:r>
      <w:r w:rsidR="00F607E3">
        <w:rPr>
          <w:szCs w:val="26"/>
        </w:rPr>
        <w:t xml:space="preserve">and </w:t>
      </w:r>
      <w:r w:rsidRPr="004E7B14">
        <w:rPr>
          <w:szCs w:val="26"/>
        </w:rPr>
        <w:t>1902-0261 (FERC-725L)</w:t>
      </w:r>
    </w:p>
    <w:p w:rsidRPr="004E7B14" w:rsidR="004E7B14" w:rsidP="004E7B14" w:rsidRDefault="004E7B14" w14:paraId="2AE939BE" w14:textId="67C7E535">
      <w:pPr>
        <w:tabs>
          <w:tab w:val="center" w:pos="4680"/>
        </w:tabs>
        <w:spacing w:line="480" w:lineRule="auto"/>
        <w:rPr>
          <w:szCs w:val="26"/>
        </w:rPr>
      </w:pPr>
      <w:r w:rsidRPr="004E7B14">
        <w:rPr>
          <w:i/>
          <w:szCs w:val="26"/>
        </w:rPr>
        <w:lastRenderedPageBreak/>
        <w:t xml:space="preserve">Type of Request: </w:t>
      </w:r>
      <w:r w:rsidRPr="004E7B14">
        <w:rPr>
          <w:szCs w:val="26"/>
        </w:rPr>
        <w:t>Revisions to FERC-725A</w:t>
      </w:r>
      <w:r w:rsidR="00F607E3">
        <w:rPr>
          <w:szCs w:val="26"/>
        </w:rPr>
        <w:t>(1B)</w:t>
      </w:r>
      <w:r w:rsidRPr="004E7B14">
        <w:rPr>
          <w:szCs w:val="26"/>
        </w:rPr>
        <w:t xml:space="preserve">, FERC-725D, FERC-725F, FERC-725G, </w:t>
      </w:r>
      <w:r w:rsidR="00F607E3">
        <w:rPr>
          <w:szCs w:val="26"/>
        </w:rPr>
        <w:t xml:space="preserve">and </w:t>
      </w:r>
      <w:r w:rsidRPr="004E7B14">
        <w:rPr>
          <w:szCs w:val="26"/>
        </w:rPr>
        <w:t>FERC-725L information collection requirements, as discussed in Docket No. RD20-4-000.</w:t>
      </w:r>
    </w:p>
    <w:p w:rsidR="00C730C0" w:rsidP="004C700E" w:rsidRDefault="00477B88" w14:paraId="20C79E71" w14:textId="62273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77B88">
        <w:rPr>
          <w:i/>
          <w:iCs/>
          <w:szCs w:val="26"/>
        </w:rPr>
        <w:t xml:space="preserve">Abstract: </w:t>
      </w:r>
      <w:r>
        <w:rPr>
          <w:szCs w:val="26"/>
        </w:rPr>
        <w:t xml:space="preserve"> </w:t>
      </w:r>
      <w:r w:rsidR="00C730C0">
        <w:rPr>
          <w:szCs w:val="26"/>
        </w:rPr>
        <w:t xml:space="preserve">The Commission published a </w:t>
      </w:r>
      <w:r w:rsidR="00AA20B3">
        <w:rPr>
          <w:szCs w:val="26"/>
        </w:rPr>
        <w:t xml:space="preserve">60-day </w:t>
      </w:r>
      <w:r w:rsidR="00C730C0">
        <w:rPr>
          <w:szCs w:val="26"/>
        </w:rPr>
        <w:t xml:space="preserve">Notice requesting public comments on July 24, 2020 (85 FR 44875).  </w:t>
      </w:r>
      <w:r w:rsidR="00AA20B3">
        <w:rPr>
          <w:szCs w:val="26"/>
        </w:rPr>
        <w:t>Comments were due September 22, 2020; n</w:t>
      </w:r>
      <w:r w:rsidR="00C730C0">
        <w:rPr>
          <w:szCs w:val="26"/>
        </w:rPr>
        <w:t>o comments were received.</w:t>
      </w:r>
    </w:p>
    <w:p w:rsidRPr="004C700E" w:rsidR="004C700E" w:rsidP="004C700E" w:rsidRDefault="004C700E" w14:paraId="035216CF" w14:textId="7967DE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C700E">
        <w:rPr>
          <w:szCs w:val="26"/>
        </w:rPr>
        <w:t xml:space="preserve">The North American Electric Reliability Corporation (NERC) filed a petition to modify seven Reliability Standards.    </w:t>
      </w:r>
    </w:p>
    <w:p w:rsidRPr="004C700E" w:rsidR="004C700E" w:rsidP="004C700E" w:rsidRDefault="004C700E" w14:paraId="7F41C1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C700E">
        <w:rPr>
          <w:szCs w:val="26"/>
        </w:rPr>
        <w:tab/>
        <w:t>On February 21, 2020, NERC filed a petition in Docket No. RD20-4-000</w:t>
      </w:r>
      <w:r w:rsidRPr="004C700E">
        <w:rPr>
          <w:b/>
          <w:szCs w:val="26"/>
          <w:vertAlign w:val="superscript"/>
        </w:rPr>
        <w:footnoteReference w:id="2"/>
      </w:r>
      <w:r w:rsidRPr="004C700E">
        <w:rPr>
          <w:szCs w:val="26"/>
        </w:rPr>
        <w:t xml:space="preserve"> requesting Commission approval of:  </w:t>
      </w:r>
    </w:p>
    <w:p w:rsidRPr="004C700E" w:rsidR="004C700E" w:rsidP="004C700E" w:rsidRDefault="004C700E" w14:paraId="18996A8C"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szCs w:val="26"/>
        </w:rPr>
      </w:pPr>
      <w:r w:rsidRPr="004C700E">
        <w:rPr>
          <w:szCs w:val="26"/>
        </w:rPr>
        <w:t>Reliability Standard TOP-003-4 (Operational Reliability Data),</w:t>
      </w:r>
    </w:p>
    <w:p w:rsidRPr="004C700E" w:rsidR="004C700E" w:rsidP="004C700E" w:rsidRDefault="004C700E" w14:paraId="50994983"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szCs w:val="26"/>
        </w:rPr>
      </w:pPr>
      <w:r w:rsidRPr="004C700E">
        <w:rPr>
          <w:szCs w:val="26"/>
        </w:rPr>
        <w:t>Reliability Standard FAC-002-3 (Facility Interconnection Studies),</w:t>
      </w:r>
    </w:p>
    <w:p w:rsidRPr="004C700E" w:rsidR="004C700E" w:rsidP="004C700E" w:rsidRDefault="004C700E" w14:paraId="23A5F976"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szCs w:val="26"/>
        </w:rPr>
      </w:pPr>
      <w:r w:rsidRPr="004C700E">
        <w:rPr>
          <w:szCs w:val="26"/>
        </w:rPr>
        <w:t>Reliability Standard NUC-001-4 (Nuclear Plant Interface Coordination),</w:t>
      </w:r>
    </w:p>
    <w:p w:rsidRPr="004C700E" w:rsidR="004C700E" w:rsidP="004C700E" w:rsidRDefault="004C700E" w14:paraId="315FF9A9"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szCs w:val="26"/>
        </w:rPr>
      </w:pPr>
      <w:r w:rsidRPr="004C700E">
        <w:rPr>
          <w:szCs w:val="26"/>
        </w:rPr>
        <w:t>Reliability Standard PRC-006-4 (Automatic Underfrequency Load Shedding),</w:t>
      </w:r>
    </w:p>
    <w:p w:rsidRPr="004C700E" w:rsidR="004C700E" w:rsidP="004C700E" w:rsidRDefault="004C700E" w14:paraId="49F9A1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rPr>
          <w:szCs w:val="26"/>
        </w:rPr>
      </w:pPr>
    </w:p>
    <w:p w:rsidRPr="004C700E" w:rsidR="004C700E" w:rsidP="004C700E" w:rsidRDefault="004C700E" w14:paraId="08B20AE5"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szCs w:val="26"/>
        </w:rPr>
      </w:pPr>
      <w:r w:rsidRPr="004C700E">
        <w:rPr>
          <w:szCs w:val="26"/>
        </w:rPr>
        <w:t>Reliability Standard MOD-031-3 (Demand and Energy Data),</w:t>
      </w:r>
    </w:p>
    <w:p w:rsidRPr="004C700E" w:rsidR="004C700E" w:rsidP="004C700E" w:rsidRDefault="004C700E" w14:paraId="3158AD30"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szCs w:val="26"/>
        </w:rPr>
      </w:pPr>
      <w:r w:rsidRPr="004C700E">
        <w:rPr>
          <w:szCs w:val="26"/>
        </w:rPr>
        <w:t>Reliability Standard MOD-033-2 (Steady-State and Dynamic System Model Validation), and</w:t>
      </w:r>
    </w:p>
    <w:p w:rsidRPr="004C700E" w:rsidR="004C700E" w:rsidP="004C700E" w:rsidRDefault="004C700E" w14:paraId="31F8D4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rPr>
          <w:szCs w:val="26"/>
        </w:rPr>
      </w:pPr>
    </w:p>
    <w:p w:rsidRPr="004C700E" w:rsidR="004C700E" w:rsidP="004C700E" w:rsidRDefault="004C700E" w14:paraId="31FEA4A0"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szCs w:val="26"/>
        </w:rPr>
      </w:pPr>
      <w:r w:rsidRPr="004C700E">
        <w:rPr>
          <w:szCs w:val="26"/>
        </w:rPr>
        <w:t>Reliability Standard IRO-010-3 (Reliability Coordinator Data Specification and Collection)</w:t>
      </w:r>
    </w:p>
    <w:p w:rsidRPr="004C700E" w:rsidR="004C700E" w:rsidP="004C700E" w:rsidRDefault="004C700E" w14:paraId="10FE56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rPr>
          <w:szCs w:val="26"/>
        </w:rPr>
      </w:pPr>
    </w:p>
    <w:p w:rsidRPr="004C700E" w:rsidR="004C700E" w:rsidP="004C700E" w:rsidRDefault="004C700E" w14:paraId="084C5E69" w14:textId="6BFBA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C700E">
        <w:rPr>
          <w:szCs w:val="26"/>
        </w:rPr>
        <w:lastRenderedPageBreak/>
        <w:tab/>
        <w:t xml:space="preserve">NERC is requesting approval of the seven proposed Reliability Standards pursuant to </w:t>
      </w:r>
      <w:r w:rsidR="00EB3D1F">
        <w:rPr>
          <w:szCs w:val="26"/>
        </w:rPr>
        <w:t>s</w:t>
      </w:r>
      <w:r w:rsidRPr="004C700E">
        <w:rPr>
          <w:szCs w:val="26"/>
        </w:rPr>
        <w:t>ection 215(d)(1) of the Federal Power Act (“FPA”)</w:t>
      </w:r>
      <w:r w:rsidRPr="004C700E">
        <w:rPr>
          <w:b/>
          <w:szCs w:val="26"/>
          <w:vertAlign w:val="superscript"/>
        </w:rPr>
        <w:footnoteReference w:id="3"/>
      </w:r>
      <w:r w:rsidRPr="004C700E">
        <w:rPr>
          <w:szCs w:val="26"/>
        </w:rPr>
        <w:t xml:space="preserve"> and Section 39.5</w:t>
      </w:r>
      <w:r w:rsidRPr="004C700E">
        <w:rPr>
          <w:b/>
          <w:szCs w:val="26"/>
          <w:vertAlign w:val="superscript"/>
        </w:rPr>
        <w:footnoteReference w:id="4"/>
      </w:r>
      <w:r w:rsidRPr="004C700E">
        <w:rPr>
          <w:szCs w:val="26"/>
        </w:rPr>
        <w:t xml:space="preserve"> of the</w:t>
      </w:r>
    </w:p>
    <w:p w:rsidRPr="004C700E" w:rsidR="004C700E" w:rsidP="004C700E" w:rsidRDefault="004C700E" w14:paraId="74CE92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C700E">
        <w:rPr>
          <w:szCs w:val="26"/>
        </w:rPr>
        <w:t>Federal Energy Regulatory Commission’s (“FERC” or “Commission”) regulations.  The revisions in the proposed Reliability Standards will align these standards with the previously-approved changes to the NERC registration criteria</w:t>
      </w:r>
      <w:r w:rsidRPr="004C700E">
        <w:rPr>
          <w:b/>
          <w:szCs w:val="26"/>
          <w:vertAlign w:val="superscript"/>
        </w:rPr>
        <w:footnoteReference w:id="5"/>
      </w:r>
      <w:r w:rsidRPr="004C700E">
        <w:rPr>
          <w:szCs w:val="26"/>
        </w:rPr>
        <w:t xml:space="preserve"> by removing reference to entities</w:t>
      </w:r>
      <w:r w:rsidRPr="004C700E">
        <w:rPr>
          <w:b/>
          <w:szCs w:val="26"/>
          <w:vertAlign w:val="superscript"/>
        </w:rPr>
        <w:footnoteReference w:id="6"/>
      </w:r>
      <w:r w:rsidRPr="004C700E">
        <w:rPr>
          <w:szCs w:val="26"/>
        </w:rPr>
        <w:t xml:space="preserve"> that are no longer registered with NERC.  In proposed Reliability Standard PRC-006-4, NERC adds the UFLS-only Distribution Provider as an applicable entity.  In two instances, NERC has proposed changes that will promote consistent use of the term Planning Coordinator across the Reliability Standards.</w:t>
      </w:r>
      <w:r w:rsidRPr="004C700E">
        <w:rPr>
          <w:b/>
          <w:szCs w:val="26"/>
          <w:vertAlign w:val="superscript"/>
        </w:rPr>
        <w:footnoteReference w:id="7"/>
      </w:r>
    </w:p>
    <w:p w:rsidRPr="004C700E" w:rsidR="004C700E" w:rsidP="004C700E" w:rsidRDefault="004C700E" w14:paraId="33CA8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C700E">
        <w:rPr>
          <w:szCs w:val="26"/>
        </w:rPr>
        <w:tab/>
        <w:t>The Commission’s request to OMB will reflect the following:</w:t>
      </w:r>
    </w:p>
    <w:p w:rsidRPr="004C700E" w:rsidR="004C700E" w:rsidP="004C700E" w:rsidRDefault="004C700E" w14:paraId="7C7862BD" w14:textId="77777777">
      <w:pPr>
        <w:numPr>
          <w:ilvl w:val="0"/>
          <w:numId w:val="3"/>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4C700E">
        <w:rPr>
          <w:szCs w:val="26"/>
        </w:rPr>
        <w:t>Elimination of the burden associated with the load-serving entity (LSE) function in Requirement R5 of proposed Reliability Standard TOP-003-4 .</w:t>
      </w:r>
      <w:r w:rsidRPr="004C700E">
        <w:rPr>
          <w:b/>
          <w:szCs w:val="26"/>
          <w:vertAlign w:val="superscript"/>
        </w:rPr>
        <w:footnoteReference w:id="8"/>
      </w:r>
      <w:r w:rsidRPr="004C700E">
        <w:rPr>
          <w:szCs w:val="26"/>
        </w:rPr>
        <w:t xml:space="preserve"> The petition states that the currently effective standard is applicable to the transmission operator, balancing authority, generator owner, generator operator, load-serving entity, transmission owner, and distribution provider. As </w:t>
      </w:r>
      <w:r w:rsidRPr="004C700E">
        <w:rPr>
          <w:szCs w:val="26"/>
        </w:rPr>
        <w:lastRenderedPageBreak/>
        <w:t>the load-serving entity is no longer a NERC registration category, NERC proposes to remove this entity from the applicability section of proposed Reliability Standard TOP-003-4 and remove reference to this entity in Requirement R5.</w:t>
      </w:r>
      <w:r w:rsidRPr="004C700E">
        <w:rPr>
          <w:b/>
          <w:szCs w:val="26"/>
          <w:vertAlign w:val="superscript"/>
        </w:rPr>
        <w:footnoteReference w:id="9"/>
      </w:r>
      <w:r w:rsidRPr="004C700E">
        <w:rPr>
          <w:szCs w:val="26"/>
        </w:rPr>
        <w:t xml:space="preserve"> </w:t>
      </w:r>
    </w:p>
    <w:p w:rsidRPr="004C700E" w:rsidR="004C700E" w:rsidP="004C700E" w:rsidRDefault="004C700E" w14:paraId="3170F661"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rPr>
          <w:szCs w:val="26"/>
        </w:rPr>
      </w:pPr>
    </w:p>
    <w:p w:rsidRPr="004C700E" w:rsidR="004C700E" w:rsidP="004C700E" w:rsidRDefault="004C700E" w14:paraId="55A8BBAE" w14:textId="77777777">
      <w:pPr>
        <w:numPr>
          <w:ilvl w:val="0"/>
          <w:numId w:val="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ind w:left="1080"/>
        <w:contextualSpacing/>
        <w:rPr>
          <w:szCs w:val="26"/>
        </w:rPr>
      </w:pPr>
      <w:r w:rsidRPr="004C700E">
        <w:rPr>
          <w:szCs w:val="26"/>
        </w:rPr>
        <w:t>Elimination of the burden associated with the load-serving entity (LSE) function in Requirement R3 of proposed Reliability Standard FAC-002-3.</w:t>
      </w:r>
      <w:r w:rsidRPr="004C700E">
        <w:rPr>
          <w:b/>
          <w:szCs w:val="26"/>
          <w:vertAlign w:val="superscript"/>
        </w:rPr>
        <w:footnoteReference w:id="10"/>
      </w:r>
      <w:r w:rsidRPr="004C700E">
        <w:rPr>
          <w:szCs w:val="26"/>
        </w:rPr>
        <w:t xml:space="preserve">  The NERC petition states as the load-serving entity is no longer a NERC registration category, NERC proposes to remove this entity from the applicability section of proposed Reliability Standard FAC-002-3 and remove reference to this entity in Requirement R3.</w:t>
      </w:r>
      <w:r w:rsidRPr="004C700E">
        <w:rPr>
          <w:b/>
          <w:szCs w:val="26"/>
          <w:vertAlign w:val="superscript"/>
        </w:rPr>
        <w:footnoteReference w:id="11"/>
      </w:r>
    </w:p>
    <w:p w:rsidRPr="004C700E" w:rsidR="004C700E" w:rsidP="004C700E" w:rsidRDefault="004C700E" w14:paraId="4534F7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contextualSpacing/>
        <w:rPr>
          <w:szCs w:val="26"/>
        </w:rPr>
      </w:pPr>
    </w:p>
    <w:p w:rsidRPr="004C700E" w:rsidR="004C700E" w:rsidP="004C700E" w:rsidRDefault="004C700E" w14:paraId="1BFE2174" w14:textId="77777777">
      <w:pPr>
        <w:numPr>
          <w:ilvl w:val="0"/>
          <w:numId w:val="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4C700E">
        <w:rPr>
          <w:szCs w:val="26"/>
        </w:rPr>
        <w:t>Removal of the load-serving entity (LSE) function in the applicability section of proposed Reliability Standard NUC-001-4.</w:t>
      </w:r>
      <w:r w:rsidRPr="004C700E">
        <w:rPr>
          <w:b/>
          <w:szCs w:val="26"/>
          <w:vertAlign w:val="superscript"/>
        </w:rPr>
        <w:footnoteReference w:id="12"/>
      </w:r>
      <w:r w:rsidRPr="004C700E">
        <w:rPr>
          <w:szCs w:val="26"/>
        </w:rPr>
        <w:t xml:space="preserve"> The NERC petition states as the load-serving entity is no longer a NERC registration category, NERC proposes to remove this entity from the list of applicable transmission entities in the applicability section of proposed Reliability Standard NUC-001-4.</w:t>
      </w:r>
      <w:r w:rsidRPr="004C700E">
        <w:rPr>
          <w:b/>
          <w:szCs w:val="26"/>
          <w:vertAlign w:val="superscript"/>
        </w:rPr>
        <w:footnoteReference w:id="13"/>
      </w:r>
      <w:r w:rsidRPr="004C700E">
        <w:rPr>
          <w:szCs w:val="26"/>
        </w:rPr>
        <w:t xml:space="preserve"> Removing this function from the list of transmission entities will not change the estimated burden associated with this standard.</w:t>
      </w:r>
    </w:p>
    <w:p w:rsidRPr="004C700E" w:rsidR="004C700E" w:rsidP="004C700E" w:rsidRDefault="004C700E" w14:paraId="7F561263" w14:textId="77777777">
      <w:pPr>
        <w:spacing w:after="160" w:line="259" w:lineRule="auto"/>
        <w:ind w:left="720"/>
        <w:contextualSpacing/>
        <w:rPr>
          <w:szCs w:val="26"/>
        </w:rPr>
      </w:pPr>
    </w:p>
    <w:p w:rsidRPr="004C700E" w:rsidR="004C700E" w:rsidP="004C700E" w:rsidRDefault="004C700E" w14:paraId="240C6976" w14:textId="77777777">
      <w:pPr>
        <w:numPr>
          <w:ilvl w:val="0"/>
          <w:numId w:val="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4C700E">
        <w:rPr>
          <w:szCs w:val="26"/>
        </w:rPr>
        <w:t>Addition of the burden associated with UFLS-only distribution providers to proposed Reliability Standard PRC-006-4.</w:t>
      </w:r>
      <w:r w:rsidRPr="004C700E">
        <w:rPr>
          <w:b/>
          <w:szCs w:val="26"/>
          <w:vertAlign w:val="superscript"/>
        </w:rPr>
        <w:footnoteReference w:id="14"/>
      </w:r>
      <w:r w:rsidRPr="004C700E">
        <w:rPr>
          <w:szCs w:val="26"/>
        </w:rPr>
        <w:t xml:space="preserve"> The petition states that the </w:t>
      </w:r>
      <w:r w:rsidRPr="004C700E">
        <w:rPr>
          <w:szCs w:val="26"/>
        </w:rPr>
        <w:lastRenderedPageBreak/>
        <w:t>currently effective standard is applicable to planning coordinators, “UFLS entities” (which may include transmission owners and distribution providers that own, operate, or control UFLS equipment), and transmission owners that own certain elements. In proposed Reliability Standard PRC-006-4, NERC proposes to add the UFLS-only distribution provider as an applicable UFLS entity.</w:t>
      </w:r>
      <w:r w:rsidRPr="004C700E">
        <w:rPr>
          <w:b/>
          <w:szCs w:val="26"/>
          <w:vertAlign w:val="superscript"/>
        </w:rPr>
        <w:footnoteReference w:id="15"/>
      </w:r>
    </w:p>
    <w:p w:rsidRPr="004C700E" w:rsidR="004C700E" w:rsidP="004C700E" w:rsidRDefault="004C700E" w14:paraId="0B3693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rPr>
          <w:szCs w:val="26"/>
        </w:rPr>
      </w:pPr>
    </w:p>
    <w:p w:rsidRPr="004C700E" w:rsidR="004C700E" w:rsidP="004C700E" w:rsidRDefault="004C700E" w14:paraId="47BEF7F3" w14:textId="77777777">
      <w:pPr>
        <w:numPr>
          <w:ilvl w:val="0"/>
          <w:numId w:val="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4C700E">
        <w:rPr>
          <w:szCs w:val="26"/>
        </w:rPr>
        <w:t>Elimination of the burden associated with the load-serving entity (LSE) function in Requirement R1 of proposed Reliability Standard MOD-031-3.</w:t>
      </w:r>
      <w:r w:rsidRPr="004C700E">
        <w:rPr>
          <w:b/>
          <w:szCs w:val="26"/>
          <w:vertAlign w:val="superscript"/>
        </w:rPr>
        <w:footnoteReference w:id="16"/>
      </w:r>
      <w:r w:rsidRPr="004C700E">
        <w:rPr>
          <w:szCs w:val="26"/>
        </w:rPr>
        <w:t xml:space="preserve"> The NERC petition states as the load-serving entity is no longer a NERC registration category, NERC proposes to remove this entity from the applicability section of proposed Reliability Standard MOD-031-3 and remove reference to this entity in Requirement R1, Part 1.1, where it is listed as an “Applicable Entity” for purposes of Requirements R2 and R4.</w:t>
      </w:r>
      <w:r w:rsidRPr="004C700E">
        <w:rPr>
          <w:b/>
          <w:szCs w:val="26"/>
          <w:vertAlign w:val="superscript"/>
        </w:rPr>
        <w:footnoteReference w:id="17"/>
      </w:r>
      <w:r w:rsidRPr="004C700E">
        <w:rPr>
          <w:szCs w:val="26"/>
        </w:rPr>
        <w:t xml:space="preserve"> </w:t>
      </w:r>
    </w:p>
    <w:p w:rsidRPr="004C700E" w:rsidR="004C700E" w:rsidP="004C700E" w:rsidRDefault="004C700E" w14:paraId="043AF77A" w14:textId="77777777">
      <w:pPr>
        <w:spacing w:after="160" w:line="259" w:lineRule="auto"/>
        <w:ind w:left="720"/>
        <w:contextualSpacing/>
        <w:rPr>
          <w:szCs w:val="26"/>
        </w:rPr>
      </w:pPr>
    </w:p>
    <w:p w:rsidRPr="004C700E" w:rsidR="004C700E" w:rsidP="004C700E" w:rsidRDefault="004C700E" w14:paraId="6534C0C2"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rPr>
          <w:szCs w:val="26"/>
        </w:rPr>
      </w:pPr>
      <w:r w:rsidRPr="004C700E">
        <w:rPr>
          <w:szCs w:val="26"/>
        </w:rPr>
        <w:t>Additionally, NERC proposes to strike the term “Planning Authority” from the applicability section of the standard and the explanatory text that follows. The preferred terminology for the responsible entity that coordinates and integrates transmission facilities and service plans, resource plans, and protection systems is “Planning Coordinator.”</w:t>
      </w:r>
      <w:r w:rsidRPr="004C700E">
        <w:rPr>
          <w:b/>
          <w:szCs w:val="26"/>
          <w:vertAlign w:val="superscript"/>
        </w:rPr>
        <w:footnoteReference w:id="18"/>
      </w:r>
      <w:r w:rsidRPr="004C700E">
        <w:rPr>
          <w:szCs w:val="26"/>
        </w:rPr>
        <w:t xml:space="preserve">  This is a terminology change and will not result in a change in burden.</w:t>
      </w:r>
    </w:p>
    <w:p w:rsidRPr="004C700E" w:rsidR="004C700E" w:rsidP="004C700E" w:rsidRDefault="004C700E" w14:paraId="33D3D095"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4C700E" w:rsidR="004C700E" w:rsidP="004C700E" w:rsidRDefault="004C700E" w14:paraId="5FF5B281" w14:textId="77777777">
      <w:pPr>
        <w:numPr>
          <w:ilvl w:val="0"/>
          <w:numId w:val="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4C700E">
        <w:rPr>
          <w:szCs w:val="26"/>
        </w:rPr>
        <w:t>Modification of the term “Planning Authority” to “Planning Coordinator” in proposed Reliability Standard MOD-033-2.</w:t>
      </w:r>
      <w:r w:rsidRPr="004C700E">
        <w:rPr>
          <w:b/>
          <w:szCs w:val="26"/>
          <w:vertAlign w:val="superscript"/>
        </w:rPr>
        <w:footnoteReference w:id="19"/>
      </w:r>
      <w:r w:rsidRPr="004C700E">
        <w:rPr>
          <w:szCs w:val="26"/>
        </w:rPr>
        <w:t xml:space="preserve"> In the petition, NERC proposes to strike the term “Planning Authority” from the applicability section of the standard and the explanatory text that follows. The proposed change is </w:t>
      </w:r>
      <w:r w:rsidRPr="004C700E">
        <w:rPr>
          <w:szCs w:val="26"/>
        </w:rPr>
        <w:lastRenderedPageBreak/>
        <w:t>intended to promote consistent use of “Planning Coordinator” throughout the Reliability Standards.</w:t>
      </w:r>
      <w:r w:rsidRPr="004C700E">
        <w:rPr>
          <w:b/>
          <w:szCs w:val="26"/>
          <w:vertAlign w:val="superscript"/>
        </w:rPr>
        <w:footnoteReference w:id="20"/>
      </w:r>
      <w:r w:rsidRPr="004C700E">
        <w:rPr>
          <w:szCs w:val="26"/>
        </w:rPr>
        <w:t xml:space="preserve"> This is a terminology change and will not result in a change in burden.</w:t>
      </w:r>
    </w:p>
    <w:p w:rsidRPr="004C700E" w:rsidR="004C700E" w:rsidP="004C700E" w:rsidRDefault="004C700E" w14:paraId="6FCDD88D"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4C700E" w:rsidR="004C700E" w:rsidP="004C700E" w:rsidRDefault="004C700E" w14:paraId="46F98352" w14:textId="77777777">
      <w:pPr>
        <w:numPr>
          <w:ilvl w:val="0"/>
          <w:numId w:val="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4C700E">
        <w:rPr>
          <w:szCs w:val="26"/>
        </w:rPr>
        <w:t>Elimination of the burden associated with the load-serving entity (LSE) function in Requirement R3 of proposed Reliability Standard IRO-010-3.</w:t>
      </w:r>
      <w:r w:rsidRPr="004C700E">
        <w:rPr>
          <w:b/>
          <w:szCs w:val="26"/>
          <w:vertAlign w:val="superscript"/>
        </w:rPr>
        <w:footnoteReference w:id="21"/>
      </w:r>
      <w:r w:rsidRPr="004C700E">
        <w:rPr>
          <w:szCs w:val="26"/>
        </w:rPr>
        <w:t xml:space="preserve"> The NERC petition states as the load-serving entity is no longer a NERC registration category, NERC proposes to remove this entity from the applicability section of proposed Reliability Standard IRO-010-3 and remove reference to this entity in Requirement R3.</w:t>
      </w:r>
      <w:r w:rsidRPr="004C700E">
        <w:rPr>
          <w:b/>
          <w:szCs w:val="26"/>
          <w:vertAlign w:val="superscript"/>
        </w:rPr>
        <w:footnoteReference w:id="22"/>
      </w:r>
    </w:p>
    <w:p w:rsidRPr="004C700E" w:rsidR="004C700E" w:rsidP="004C700E" w:rsidRDefault="004C700E" w14:paraId="6D2FC26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4C700E" w:rsidR="004C700E" w:rsidP="004C700E" w:rsidRDefault="004C700E" w14:paraId="5C4276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4C700E">
        <w:rPr>
          <w:i/>
          <w:szCs w:val="26"/>
        </w:rPr>
        <w:t xml:space="preserve">Type of Respondents: </w:t>
      </w:r>
      <w:r w:rsidRPr="004C700E">
        <w:rPr>
          <w:iCs/>
          <w:szCs w:val="26"/>
        </w:rPr>
        <w:t>Reliability coordinator (RC), balancing authority (BA), t</w:t>
      </w:r>
      <w:r w:rsidRPr="004C700E">
        <w:rPr>
          <w:szCs w:val="26"/>
        </w:rPr>
        <w:t xml:space="preserve">ransmission owner (TO), transmission operator (TOP), generator owner (GO), generator operator (GOP), distribution provider (DP), UFLS-only distribution provider (UFLS-only DP), planning coordinator (PC), and transmission planner (TP). </w:t>
      </w:r>
    </w:p>
    <w:p w:rsidRPr="0003758D" w:rsidR="0003758D" w:rsidP="0003758D" w:rsidRDefault="0003758D" w14:paraId="08E416AA" w14:textId="77777777">
      <w:pPr>
        <w:spacing w:line="480" w:lineRule="auto"/>
        <w:rPr>
          <w:iCs/>
        </w:rPr>
      </w:pPr>
      <w:r w:rsidRPr="0003758D">
        <w:rPr>
          <w:i/>
        </w:rPr>
        <w:t>Estimate of Annual Burden</w:t>
      </w:r>
      <w:r w:rsidRPr="0003758D">
        <w:rPr>
          <w:b/>
          <w:szCs w:val="26"/>
          <w:vertAlign w:val="superscript"/>
        </w:rPr>
        <w:footnoteReference w:id="23"/>
      </w:r>
      <w:r w:rsidRPr="0003758D">
        <w:rPr>
          <w:i/>
        </w:rPr>
        <w:t xml:space="preserve">: </w:t>
      </w:r>
      <w:r w:rsidRPr="0003758D">
        <w:rPr>
          <w:iCs/>
        </w:rPr>
        <w:t xml:space="preserve">The Commission based its estimates on the NERC compliance registry as of April 10, 2020.  According to the registry, there are 12 reliability coordinators, 98 balancing authorities, 314 distribution providers, 63 UFLS-only distribution providers, 973 generator owners, 916 generator operators, 321 transmission owners, 169 transmission operators, 64 planning coordinators, and 196 </w:t>
      </w:r>
      <w:r w:rsidRPr="0003758D">
        <w:rPr>
          <w:iCs/>
        </w:rPr>
        <w:lastRenderedPageBreak/>
        <w:t>transmission planners in the United States.  NERC registered entities can be registered as multiple functions, and the burden estimates reflect the overlapping of functions per entity respondent.</w:t>
      </w:r>
    </w:p>
    <w:p w:rsidRPr="0003758D" w:rsidR="0003758D" w:rsidP="0003758D" w:rsidRDefault="0003758D" w14:paraId="3146253E" w14:textId="7A0E0394">
      <w:pPr>
        <w:spacing w:line="480" w:lineRule="auto"/>
        <w:rPr>
          <w:i/>
        </w:rPr>
      </w:pPr>
      <w:r w:rsidRPr="0003758D">
        <w:rPr>
          <w:i/>
        </w:rPr>
        <w:t>Changes Due to Docket No. RD20-4</w:t>
      </w:r>
      <w:r w:rsidR="007835DD">
        <w:rPr>
          <w:i/>
        </w:rPr>
        <w:t>-000</w:t>
      </w:r>
    </w:p>
    <w:p w:rsidRPr="0003758D" w:rsidR="0003758D" w:rsidP="0003758D" w:rsidRDefault="0003758D" w14:paraId="6B0F78D0" w14:textId="77777777">
      <w:pPr>
        <w:spacing w:line="480" w:lineRule="auto"/>
        <w:ind w:firstLine="720"/>
      </w:pPr>
      <w:r w:rsidRPr="0003758D">
        <w:rPr>
          <w:iCs/>
        </w:rPr>
        <w:t xml:space="preserve">The </w:t>
      </w:r>
      <w:r w:rsidRPr="0003758D">
        <w:t>changes proposed in Docket No. RD20-4-000 include the removal of load-serving entity from the applicability of five Reliability Standards; addition of UFLS-only distribution provider in one Reliability Standard; and a terminology change of “planning authority” to “planning coordinator” in the applicability of two Reliability Standards.  The load-serving entity function was removed from the NERC compliance registry in October 2015 as a result of the risk-based registration order.</w:t>
      </w:r>
      <w:r w:rsidRPr="0003758D">
        <w:rPr>
          <w:b/>
          <w:szCs w:val="26"/>
          <w:vertAlign w:val="superscript"/>
        </w:rPr>
        <w:footnoteReference w:id="24"/>
      </w:r>
      <w:r w:rsidRPr="0003758D">
        <w:t xml:space="preserve">  Prior to the removal of the load-serving entity function, the NERC compliance registry in early 2015 included 446 registered load-serving entities, however, many of these entities were also registered as other functions and remained on the registry.  NERC deregistered 63 load-serving entities from the compliance registry on October 15, 2015, coinciding with the Commission approval of NERC’s risk-based registration initiative.</w:t>
      </w:r>
      <w:r w:rsidRPr="0003758D">
        <w:rPr>
          <w:b/>
          <w:szCs w:val="26"/>
          <w:vertAlign w:val="superscript"/>
        </w:rPr>
        <w:footnoteReference w:id="25"/>
      </w:r>
    </w:p>
    <w:p w:rsidRPr="0003758D" w:rsidR="0003758D" w:rsidP="0003758D" w:rsidRDefault="0003758D" w14:paraId="4B9AB3BB" w14:textId="77777777">
      <w:pPr>
        <w:spacing w:line="480" w:lineRule="auto"/>
        <w:ind w:firstLine="720"/>
      </w:pPr>
      <w:r w:rsidRPr="0003758D">
        <w:t xml:space="preserve">The proposed Reliability Standard NUC-001-4 modification of removing the load-serving entity from its applicability is not a substantive change and does not require a </w:t>
      </w:r>
      <w:r w:rsidRPr="0003758D">
        <w:lastRenderedPageBreak/>
        <w:t>change in burden.  This is due to the current burden assumptions based on:  1) the number of nuclear plants in the United States, and 2) applicability including two transmission entities</w:t>
      </w:r>
      <w:r w:rsidRPr="0003758D">
        <w:rPr>
          <w:b/>
          <w:szCs w:val="26"/>
          <w:vertAlign w:val="superscript"/>
        </w:rPr>
        <w:footnoteReference w:id="26"/>
      </w:r>
      <w:r w:rsidRPr="0003758D">
        <w:t xml:space="preserve"> for each nuclear plant.  The removal of load-serving entity from the list of possible transmission entities does not change these assumptions. </w:t>
      </w:r>
    </w:p>
    <w:p w:rsidRPr="0003758D" w:rsidR="0003758D" w:rsidP="0003758D" w:rsidRDefault="0003758D" w14:paraId="08EDE3A1" w14:textId="310F4321">
      <w:pPr>
        <w:spacing w:line="480" w:lineRule="auto"/>
        <w:ind w:firstLine="720"/>
      </w:pPr>
      <w:r w:rsidRPr="0003758D">
        <w:t>The Commission staff estimates the program changes, due to Docket No. RD20-4</w:t>
      </w:r>
      <w:r w:rsidR="007835DD">
        <w:t>-000</w:t>
      </w:r>
      <w:r w:rsidRPr="0003758D">
        <w:t xml:space="preserve">, for the listed information collections.  Because the affected Reliability Standards were implemented at various times since Order No. 693 in March 2007, using the hourly cost estimates in effect at that time, we are being conservative and not showing cost estimates for the changes.  </w:t>
      </w:r>
    </w:p>
    <w:p w:rsidRPr="0003758D" w:rsidR="0003758D" w:rsidP="0003758D" w:rsidRDefault="0003758D" w14:paraId="29425109" w14:textId="208DE05C">
      <w:pPr>
        <w:spacing w:line="480" w:lineRule="auto"/>
        <w:rPr>
          <w:i/>
          <w:iCs/>
        </w:rPr>
      </w:pPr>
      <w:r w:rsidRPr="0003758D">
        <w:rPr>
          <w:i/>
          <w:iCs/>
        </w:rPr>
        <w:t>Adjustments, Updates, and Clarification of Estimates (not Due to Docket No. RD20-4</w:t>
      </w:r>
      <w:r w:rsidR="007835DD">
        <w:rPr>
          <w:i/>
          <w:iCs/>
        </w:rPr>
        <w:t>-000</w:t>
      </w:r>
      <w:r w:rsidRPr="0003758D">
        <w:rPr>
          <w:i/>
          <w:iCs/>
        </w:rPr>
        <w:t>)</w:t>
      </w:r>
    </w:p>
    <w:p w:rsidRPr="0003758D" w:rsidR="0003758D" w:rsidP="0003758D" w:rsidRDefault="0003758D" w14:paraId="702B8CED" w14:textId="77777777">
      <w:pPr>
        <w:spacing w:line="480" w:lineRule="auto"/>
        <w:ind w:firstLine="720"/>
      </w:pPr>
      <w:r w:rsidRPr="0003758D">
        <w:t>In addition to the changes identified in Docket No. RD20-4-000, the Commission is updating the entire burden estimates for six of the Reliability Standards.  These adjustments are warranted based on updates to the number of applicable registered entities and to ensure that the burden for each applicable function is quantified with clear granularity.</w:t>
      </w:r>
    </w:p>
    <w:p w:rsidRPr="0003758D" w:rsidR="0003758D" w:rsidP="0003758D" w:rsidRDefault="0003758D" w14:paraId="51CA44F3" w14:textId="77777777">
      <w:pPr>
        <w:spacing w:line="480" w:lineRule="auto"/>
        <w:ind w:firstLine="720"/>
      </w:pPr>
      <w:r w:rsidRPr="0003758D">
        <w:lastRenderedPageBreak/>
        <w:t xml:space="preserve">The table also includes adjustments due to normal industry fluctuations (e.g., companies merging or splitting, going into or leaving the industry, or filling more or fewer roles in the NERC registry); the figures are based on the NERC registry </w:t>
      </w:r>
      <w:r w:rsidRPr="0003758D">
        <w:rPr>
          <w:iCs/>
        </w:rPr>
        <w:t>as of April 10, 2020</w:t>
      </w:r>
      <w:r w:rsidRPr="0003758D">
        <w:t xml:space="preserve">.  </w:t>
      </w:r>
    </w:p>
    <w:tbl>
      <w:tblPr>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6"/>
        <w:gridCol w:w="1369"/>
        <w:gridCol w:w="1260"/>
        <w:gridCol w:w="1260"/>
        <w:gridCol w:w="1350"/>
        <w:gridCol w:w="2160"/>
      </w:tblGrid>
      <w:tr w:rsidRPr="0003758D" w:rsidR="0003758D" w:rsidTr="00D83060" w14:paraId="0F0C8D34" w14:textId="77777777">
        <w:trPr>
          <w:cantSplit/>
          <w:trHeight w:val="800"/>
          <w:jc w:val="center"/>
        </w:trPr>
        <w:tc>
          <w:tcPr>
            <w:tcW w:w="9085" w:type="dxa"/>
            <w:gridSpan w:val="6"/>
            <w:shd w:val="clear" w:color="auto" w:fill="D9D9D9"/>
          </w:tcPr>
          <w:p w:rsidRPr="0003758D" w:rsidR="0003758D" w:rsidP="0003758D" w:rsidRDefault="0003758D" w14:paraId="4EB17748" w14:textId="7B336A18">
            <w:pPr>
              <w:jc w:val="center"/>
              <w:rPr>
                <w:rFonts w:eastAsia="Calibri"/>
                <w:b/>
                <w:sz w:val="22"/>
                <w:szCs w:val="22"/>
              </w:rPr>
            </w:pPr>
            <w:r w:rsidRPr="0003758D">
              <w:rPr>
                <w:rFonts w:eastAsia="Calibri"/>
                <w:b/>
                <w:sz w:val="22"/>
                <w:szCs w:val="22"/>
              </w:rPr>
              <w:t xml:space="preserve">Proposed Changes to Burden Due to Docket No. RD20-4-000 </w:t>
            </w:r>
          </w:p>
          <w:p w:rsidRPr="0003758D" w:rsidR="0003758D" w:rsidP="0003758D" w:rsidRDefault="0003758D" w14:paraId="0939F22E" w14:textId="77777777">
            <w:pPr>
              <w:jc w:val="center"/>
              <w:rPr>
                <w:rFonts w:eastAsia="Calibri"/>
                <w:b/>
                <w:sz w:val="22"/>
                <w:szCs w:val="22"/>
              </w:rPr>
            </w:pPr>
            <w:r w:rsidRPr="0003758D">
              <w:rPr>
                <w:rFonts w:eastAsia="Calibri"/>
                <w:b/>
                <w:sz w:val="22"/>
                <w:szCs w:val="22"/>
              </w:rPr>
              <w:t>and Adjustments and Clarifications</w:t>
            </w:r>
            <w:bookmarkStart w:name="_Ref40275808" w:id="5"/>
            <w:r w:rsidRPr="0003758D">
              <w:rPr>
                <w:rFonts w:eastAsia="Calibri"/>
                <w:b/>
                <w:szCs w:val="26"/>
                <w:vertAlign w:val="superscript"/>
              </w:rPr>
              <w:footnoteReference w:id="27"/>
            </w:r>
            <w:bookmarkEnd w:id="5"/>
            <w:r w:rsidRPr="0003758D">
              <w:rPr>
                <w:rFonts w:eastAsia="Calibri"/>
                <w:b/>
                <w:sz w:val="22"/>
                <w:szCs w:val="22"/>
              </w:rPr>
              <w:t xml:space="preserve"> </w:t>
            </w:r>
          </w:p>
        </w:tc>
      </w:tr>
      <w:tr w:rsidRPr="0003758D" w:rsidR="0003758D" w:rsidTr="00D83060" w14:paraId="1C1396D5" w14:textId="77777777">
        <w:trPr>
          <w:cantSplit/>
          <w:trHeight w:val="744"/>
          <w:jc w:val="center"/>
        </w:trPr>
        <w:tc>
          <w:tcPr>
            <w:tcW w:w="1686" w:type="dxa"/>
            <w:shd w:val="clear" w:color="auto" w:fill="D9D9D9"/>
            <w:vAlign w:val="bottom"/>
          </w:tcPr>
          <w:p w:rsidRPr="0003758D" w:rsidR="0003758D" w:rsidP="0003758D" w:rsidRDefault="0003758D" w14:paraId="6F91CA19" w14:textId="77777777">
            <w:pPr>
              <w:jc w:val="center"/>
              <w:rPr>
                <w:rFonts w:eastAsia="Calibri"/>
                <w:b/>
                <w:sz w:val="22"/>
                <w:szCs w:val="22"/>
              </w:rPr>
            </w:pPr>
            <w:r w:rsidRPr="0003758D">
              <w:rPr>
                <w:rFonts w:eastAsia="Calibri"/>
                <w:b/>
                <w:sz w:val="22"/>
                <w:szCs w:val="22"/>
              </w:rPr>
              <w:t xml:space="preserve">Reliability Standard &amp; Requirements </w:t>
            </w:r>
          </w:p>
        </w:tc>
        <w:tc>
          <w:tcPr>
            <w:tcW w:w="1369" w:type="dxa"/>
            <w:shd w:val="clear" w:color="auto" w:fill="D9D9D9"/>
            <w:vAlign w:val="bottom"/>
          </w:tcPr>
          <w:p w:rsidRPr="0003758D" w:rsidR="0003758D" w:rsidP="0003758D" w:rsidRDefault="0003758D" w14:paraId="4703027D" w14:textId="77777777">
            <w:pPr>
              <w:jc w:val="center"/>
              <w:rPr>
                <w:rFonts w:eastAsia="Calibri"/>
                <w:b/>
                <w:sz w:val="22"/>
                <w:szCs w:val="22"/>
              </w:rPr>
            </w:pPr>
            <w:r w:rsidRPr="0003758D">
              <w:rPr>
                <w:rFonts w:eastAsia="Calibri"/>
                <w:b/>
                <w:sz w:val="22"/>
                <w:szCs w:val="22"/>
              </w:rPr>
              <w:t>No. of Respondents &amp; Type of Entity</w:t>
            </w:r>
          </w:p>
          <w:p w:rsidRPr="0003758D" w:rsidR="0003758D" w:rsidP="0003758D" w:rsidRDefault="0003758D" w14:paraId="59835458" w14:textId="77777777">
            <w:pPr>
              <w:jc w:val="center"/>
              <w:rPr>
                <w:rFonts w:eastAsia="Calibri"/>
                <w:b/>
                <w:sz w:val="22"/>
                <w:szCs w:val="22"/>
              </w:rPr>
            </w:pPr>
            <w:r w:rsidRPr="0003758D">
              <w:rPr>
                <w:rFonts w:eastAsia="Calibri"/>
                <w:b/>
                <w:sz w:val="22"/>
                <w:szCs w:val="22"/>
              </w:rPr>
              <w:t>(1)</w:t>
            </w:r>
          </w:p>
        </w:tc>
        <w:tc>
          <w:tcPr>
            <w:tcW w:w="1260" w:type="dxa"/>
            <w:shd w:val="clear" w:color="auto" w:fill="D9D9D9"/>
            <w:vAlign w:val="bottom"/>
          </w:tcPr>
          <w:p w:rsidRPr="0003758D" w:rsidR="0003758D" w:rsidP="0003758D" w:rsidRDefault="0003758D" w14:paraId="1E479321" w14:textId="77777777">
            <w:pPr>
              <w:jc w:val="center"/>
              <w:rPr>
                <w:rFonts w:eastAsia="Calibri"/>
                <w:b/>
                <w:sz w:val="22"/>
                <w:szCs w:val="22"/>
              </w:rPr>
            </w:pPr>
            <w:r w:rsidRPr="0003758D">
              <w:rPr>
                <w:rFonts w:eastAsia="Calibri"/>
                <w:b/>
                <w:sz w:val="22"/>
                <w:szCs w:val="22"/>
              </w:rPr>
              <w:t>Annual No. of Responses per Respondent</w:t>
            </w:r>
          </w:p>
          <w:p w:rsidRPr="0003758D" w:rsidR="0003758D" w:rsidP="0003758D" w:rsidRDefault="0003758D" w14:paraId="3AE426B1" w14:textId="77777777">
            <w:pPr>
              <w:jc w:val="center"/>
              <w:rPr>
                <w:rFonts w:eastAsia="Calibri"/>
                <w:b/>
                <w:sz w:val="22"/>
                <w:szCs w:val="22"/>
              </w:rPr>
            </w:pPr>
            <w:r w:rsidRPr="0003758D">
              <w:rPr>
                <w:rFonts w:eastAsia="Calibri"/>
                <w:b/>
                <w:sz w:val="22"/>
                <w:szCs w:val="22"/>
              </w:rPr>
              <w:t>(2)</w:t>
            </w:r>
          </w:p>
        </w:tc>
        <w:tc>
          <w:tcPr>
            <w:tcW w:w="1260" w:type="dxa"/>
            <w:shd w:val="clear" w:color="auto" w:fill="D9D9D9"/>
            <w:vAlign w:val="bottom"/>
          </w:tcPr>
          <w:p w:rsidRPr="0003758D" w:rsidR="0003758D" w:rsidP="0003758D" w:rsidRDefault="0003758D" w14:paraId="5DAD15A3" w14:textId="77777777">
            <w:pPr>
              <w:jc w:val="center"/>
              <w:rPr>
                <w:rFonts w:eastAsia="Calibri"/>
                <w:b/>
                <w:sz w:val="22"/>
                <w:szCs w:val="22"/>
              </w:rPr>
            </w:pPr>
            <w:r w:rsidRPr="0003758D">
              <w:rPr>
                <w:rFonts w:eastAsia="Calibri"/>
                <w:b/>
                <w:sz w:val="22"/>
                <w:szCs w:val="22"/>
              </w:rPr>
              <w:t>Annual No. of Responses</w:t>
            </w:r>
          </w:p>
          <w:p w:rsidRPr="0003758D" w:rsidR="0003758D" w:rsidP="0003758D" w:rsidRDefault="0003758D" w14:paraId="5423F70A" w14:textId="77777777">
            <w:pPr>
              <w:jc w:val="center"/>
              <w:rPr>
                <w:rFonts w:eastAsia="Calibri"/>
                <w:b/>
                <w:sz w:val="22"/>
                <w:szCs w:val="22"/>
              </w:rPr>
            </w:pPr>
            <w:r w:rsidRPr="0003758D">
              <w:rPr>
                <w:rFonts w:eastAsia="Calibri"/>
                <w:b/>
                <w:sz w:val="22"/>
                <w:szCs w:val="22"/>
              </w:rPr>
              <w:t>(1)*(2)=(3)</w:t>
            </w:r>
          </w:p>
        </w:tc>
        <w:tc>
          <w:tcPr>
            <w:tcW w:w="1350" w:type="dxa"/>
            <w:shd w:val="clear" w:color="auto" w:fill="D9D9D9"/>
            <w:vAlign w:val="bottom"/>
          </w:tcPr>
          <w:p w:rsidRPr="0003758D" w:rsidR="0003758D" w:rsidP="0003758D" w:rsidRDefault="0003758D" w14:paraId="02C918E6" w14:textId="77777777">
            <w:pPr>
              <w:jc w:val="center"/>
              <w:rPr>
                <w:rFonts w:eastAsia="Calibri"/>
                <w:b/>
                <w:bCs/>
                <w:sz w:val="22"/>
                <w:szCs w:val="22"/>
              </w:rPr>
            </w:pPr>
            <w:r w:rsidRPr="0003758D">
              <w:rPr>
                <w:rFonts w:eastAsia="Calibri"/>
                <w:b/>
                <w:sz w:val="22"/>
                <w:szCs w:val="22"/>
              </w:rPr>
              <w:t>Average Burden Hrs.</w:t>
            </w:r>
            <w:r w:rsidRPr="0003758D" w:rsidDel="00674408">
              <w:rPr>
                <w:rFonts w:eastAsia="Calibri"/>
                <w:b/>
                <w:sz w:val="22"/>
                <w:szCs w:val="22"/>
                <w:vertAlign w:val="superscript"/>
              </w:rPr>
              <w:t xml:space="preserve"> </w:t>
            </w:r>
            <w:r w:rsidRPr="0003758D">
              <w:rPr>
                <w:rFonts w:eastAsia="Calibri"/>
                <w:b/>
                <w:bCs/>
                <w:sz w:val="22"/>
                <w:szCs w:val="22"/>
              </w:rPr>
              <w:t xml:space="preserve">Per Response </w:t>
            </w:r>
          </w:p>
          <w:p w:rsidRPr="0003758D" w:rsidR="0003758D" w:rsidP="0003758D" w:rsidRDefault="0003758D" w14:paraId="77CCCFFF" w14:textId="77777777">
            <w:pPr>
              <w:jc w:val="center"/>
              <w:rPr>
                <w:rFonts w:eastAsia="Calibri"/>
                <w:b/>
                <w:sz w:val="22"/>
                <w:szCs w:val="22"/>
              </w:rPr>
            </w:pPr>
            <w:r w:rsidRPr="0003758D">
              <w:rPr>
                <w:rFonts w:eastAsia="Calibri"/>
                <w:b/>
                <w:sz w:val="22"/>
                <w:szCs w:val="22"/>
              </w:rPr>
              <w:t>(4)</w:t>
            </w:r>
          </w:p>
        </w:tc>
        <w:tc>
          <w:tcPr>
            <w:tcW w:w="2160" w:type="dxa"/>
            <w:shd w:val="clear" w:color="auto" w:fill="D9D9D9"/>
            <w:vAlign w:val="bottom"/>
          </w:tcPr>
          <w:p w:rsidRPr="0003758D" w:rsidR="0003758D" w:rsidP="0003758D" w:rsidRDefault="0003758D" w14:paraId="07545C6F" w14:textId="77777777">
            <w:pPr>
              <w:jc w:val="center"/>
              <w:rPr>
                <w:rFonts w:eastAsia="Calibri"/>
                <w:b/>
                <w:sz w:val="22"/>
                <w:szCs w:val="22"/>
              </w:rPr>
            </w:pPr>
            <w:r w:rsidRPr="0003758D">
              <w:rPr>
                <w:rFonts w:eastAsia="Calibri"/>
                <w:b/>
                <w:sz w:val="22"/>
                <w:szCs w:val="22"/>
              </w:rPr>
              <w:t xml:space="preserve">Total Annual Burden Hours </w:t>
            </w:r>
          </w:p>
          <w:p w:rsidRPr="0003758D" w:rsidR="0003758D" w:rsidP="0003758D" w:rsidRDefault="0003758D" w14:paraId="4A6ABD01" w14:textId="77777777">
            <w:pPr>
              <w:jc w:val="center"/>
              <w:rPr>
                <w:rFonts w:eastAsia="Calibri"/>
                <w:b/>
                <w:sz w:val="22"/>
                <w:szCs w:val="22"/>
              </w:rPr>
            </w:pPr>
            <w:r w:rsidRPr="0003758D">
              <w:rPr>
                <w:rFonts w:eastAsia="Calibri"/>
                <w:b/>
                <w:sz w:val="22"/>
                <w:szCs w:val="22"/>
              </w:rPr>
              <w:t>(3)*(4)=(5)</w:t>
            </w:r>
          </w:p>
          <w:p w:rsidRPr="0003758D" w:rsidR="0003758D" w:rsidP="0003758D" w:rsidRDefault="0003758D" w14:paraId="7BE1AF6B" w14:textId="77777777">
            <w:pPr>
              <w:jc w:val="center"/>
              <w:rPr>
                <w:rFonts w:eastAsia="Calibri"/>
                <w:b/>
                <w:sz w:val="22"/>
                <w:szCs w:val="22"/>
              </w:rPr>
            </w:pPr>
            <w:r w:rsidRPr="0003758D" w:rsidDel="00176624">
              <w:rPr>
                <w:rFonts w:eastAsia="Calibri"/>
                <w:b/>
                <w:sz w:val="22"/>
                <w:szCs w:val="22"/>
              </w:rPr>
              <w:t xml:space="preserve"> </w:t>
            </w:r>
            <w:r w:rsidRPr="0003758D">
              <w:rPr>
                <w:rFonts w:eastAsia="Calibri"/>
                <w:b/>
                <w:sz w:val="22"/>
                <w:szCs w:val="22"/>
              </w:rPr>
              <w:t>(</w:t>
            </w:r>
            <w:r w:rsidRPr="0003758D" w:rsidDel="00176624">
              <w:rPr>
                <w:rFonts w:eastAsia="Calibri"/>
                <w:b/>
                <w:sz w:val="22"/>
                <w:szCs w:val="22"/>
              </w:rPr>
              <w:t xml:space="preserve"> </w:t>
            </w:r>
          </w:p>
        </w:tc>
      </w:tr>
      <w:tr w:rsidRPr="0003758D" w:rsidR="0003758D" w:rsidTr="00D83060" w14:paraId="05630A52" w14:textId="77777777">
        <w:trPr>
          <w:cantSplit/>
          <w:trHeight w:val="299"/>
          <w:jc w:val="center"/>
        </w:trPr>
        <w:tc>
          <w:tcPr>
            <w:tcW w:w="9085" w:type="dxa"/>
            <w:gridSpan w:val="6"/>
            <w:shd w:val="pct10" w:color="auto" w:fill="auto"/>
            <w:vAlign w:val="center"/>
          </w:tcPr>
          <w:p w:rsidRPr="0003758D" w:rsidR="0003758D" w:rsidP="0003758D" w:rsidRDefault="0003758D" w14:paraId="368E1FB4" w14:textId="7AB104B5">
            <w:pPr>
              <w:jc w:val="center"/>
              <w:rPr>
                <w:rFonts w:eastAsia="Calibri"/>
                <w:b/>
                <w:bCs/>
                <w:iCs/>
                <w:sz w:val="22"/>
                <w:szCs w:val="22"/>
              </w:rPr>
            </w:pPr>
            <w:r w:rsidRPr="0003758D">
              <w:rPr>
                <w:rFonts w:eastAsia="Calibri"/>
                <w:b/>
                <w:bCs/>
                <w:iCs/>
                <w:sz w:val="22"/>
                <w:szCs w:val="22"/>
              </w:rPr>
              <w:t>FERC-725A</w:t>
            </w:r>
            <w:r w:rsidR="00FD5A34">
              <w:rPr>
                <w:rFonts w:eastAsia="Calibri"/>
                <w:b/>
                <w:bCs/>
                <w:iCs/>
                <w:sz w:val="22"/>
                <w:szCs w:val="22"/>
              </w:rPr>
              <w:t>(1B)</w:t>
            </w:r>
            <w:r w:rsidRPr="0003758D">
              <w:rPr>
                <w:rFonts w:eastAsia="Calibri"/>
                <w:b/>
                <w:bCs/>
                <w:iCs/>
                <w:sz w:val="22"/>
                <w:szCs w:val="22"/>
              </w:rPr>
              <w:t>, OMB Control No. 1902-</w:t>
            </w:r>
            <w:r w:rsidRPr="0003758D" w:rsidR="00FD5A34">
              <w:rPr>
                <w:rFonts w:eastAsia="Calibri"/>
                <w:b/>
                <w:bCs/>
                <w:iCs/>
                <w:sz w:val="22"/>
                <w:szCs w:val="22"/>
              </w:rPr>
              <w:t>02</w:t>
            </w:r>
            <w:r w:rsidR="00FD5A34">
              <w:rPr>
                <w:rFonts w:eastAsia="Calibri"/>
                <w:b/>
                <w:bCs/>
                <w:iCs/>
                <w:sz w:val="22"/>
                <w:szCs w:val="22"/>
              </w:rPr>
              <w:t xml:space="preserve">92 </w:t>
            </w:r>
            <w:r w:rsidRPr="000D6C70" w:rsidR="00FD5A34">
              <w:rPr>
                <w:rFonts w:eastAsia="Calibri"/>
                <w:b/>
                <w:bCs/>
                <w:iCs/>
                <w:sz w:val="22"/>
                <w:szCs w:val="22"/>
                <w:vertAlign w:val="superscript"/>
              </w:rPr>
              <w:fldChar w:fldCharType="begin"/>
            </w:r>
            <w:r w:rsidRPr="000D6C70" w:rsidR="00FD5A34">
              <w:rPr>
                <w:rFonts w:eastAsia="Calibri"/>
                <w:b/>
                <w:bCs/>
                <w:iCs/>
                <w:sz w:val="22"/>
                <w:szCs w:val="22"/>
                <w:vertAlign w:val="superscript"/>
              </w:rPr>
              <w:instrText xml:space="preserve"> NOTEREF _Ref51833690 \h </w:instrText>
            </w:r>
            <w:r w:rsidR="00FD5A34">
              <w:rPr>
                <w:rFonts w:eastAsia="Calibri"/>
                <w:b/>
                <w:bCs/>
                <w:iCs/>
                <w:sz w:val="22"/>
                <w:szCs w:val="22"/>
                <w:vertAlign w:val="superscript"/>
              </w:rPr>
              <w:instrText xml:space="preserve"> \* MERGEFORMAT </w:instrText>
            </w:r>
            <w:r w:rsidRPr="000D6C70" w:rsidR="00FD5A34">
              <w:rPr>
                <w:rFonts w:eastAsia="Calibri"/>
                <w:b/>
                <w:bCs/>
                <w:iCs/>
                <w:sz w:val="22"/>
                <w:szCs w:val="22"/>
                <w:vertAlign w:val="superscript"/>
              </w:rPr>
            </w:r>
            <w:r w:rsidRPr="000D6C70" w:rsidR="00FD5A34">
              <w:rPr>
                <w:rFonts w:eastAsia="Calibri"/>
                <w:b/>
                <w:bCs/>
                <w:iCs/>
                <w:sz w:val="22"/>
                <w:szCs w:val="22"/>
                <w:vertAlign w:val="superscript"/>
              </w:rPr>
              <w:fldChar w:fldCharType="separate"/>
            </w:r>
            <w:r w:rsidRPr="000D6C70" w:rsidR="00FD5A34">
              <w:rPr>
                <w:rFonts w:eastAsia="Calibri"/>
                <w:b/>
                <w:bCs/>
                <w:iCs/>
                <w:sz w:val="22"/>
                <w:szCs w:val="22"/>
                <w:vertAlign w:val="superscript"/>
              </w:rPr>
              <w:t>1</w:t>
            </w:r>
            <w:r w:rsidRPr="000D6C70" w:rsidR="00FD5A34">
              <w:rPr>
                <w:rFonts w:eastAsia="Calibri"/>
                <w:b/>
                <w:bCs/>
                <w:iCs/>
                <w:sz w:val="22"/>
                <w:szCs w:val="22"/>
                <w:vertAlign w:val="superscript"/>
              </w:rPr>
              <w:fldChar w:fldCharType="end"/>
            </w:r>
          </w:p>
        </w:tc>
      </w:tr>
      <w:tr w:rsidRPr="0003758D" w:rsidR="0003758D" w:rsidTr="00D83060" w14:paraId="53FD1EAD" w14:textId="77777777">
        <w:trPr>
          <w:cantSplit/>
          <w:trHeight w:val="299"/>
          <w:jc w:val="center"/>
        </w:trPr>
        <w:tc>
          <w:tcPr>
            <w:tcW w:w="1686" w:type="dxa"/>
            <w:vAlign w:val="bottom"/>
          </w:tcPr>
          <w:p w:rsidRPr="0003758D" w:rsidR="0003758D" w:rsidP="0003758D" w:rsidRDefault="0003758D" w14:paraId="438F9BAB" w14:textId="77777777">
            <w:pPr>
              <w:rPr>
                <w:rFonts w:eastAsia="Calibri"/>
                <w:sz w:val="22"/>
                <w:szCs w:val="22"/>
              </w:rPr>
            </w:pPr>
            <w:r w:rsidRPr="0003758D">
              <w:rPr>
                <w:rFonts w:eastAsia="Calibri"/>
                <w:sz w:val="22"/>
                <w:szCs w:val="22"/>
              </w:rPr>
              <w:t xml:space="preserve">TOP-003-4  (Operational Reliability Data), R1-R5 , &amp; Evidence Retention—adjustment </w:t>
            </w:r>
          </w:p>
        </w:tc>
        <w:tc>
          <w:tcPr>
            <w:tcW w:w="1369" w:type="dxa"/>
            <w:vAlign w:val="bottom"/>
          </w:tcPr>
          <w:p w:rsidRPr="0003758D" w:rsidR="0003758D" w:rsidP="0003758D" w:rsidRDefault="0003758D" w14:paraId="7753CB94" w14:textId="77777777">
            <w:pPr>
              <w:jc w:val="right"/>
              <w:rPr>
                <w:rFonts w:eastAsia="Calibri"/>
                <w:sz w:val="22"/>
                <w:szCs w:val="22"/>
              </w:rPr>
            </w:pPr>
            <w:r w:rsidRPr="0003758D">
              <w:rPr>
                <w:rFonts w:eastAsia="Calibri"/>
                <w:sz w:val="22"/>
                <w:szCs w:val="22"/>
              </w:rPr>
              <w:t>-3 (TOP &amp; BA)</w:t>
            </w:r>
          </w:p>
        </w:tc>
        <w:tc>
          <w:tcPr>
            <w:tcW w:w="1260" w:type="dxa"/>
            <w:vAlign w:val="bottom"/>
          </w:tcPr>
          <w:p w:rsidRPr="0003758D" w:rsidR="0003758D" w:rsidP="0003758D" w:rsidRDefault="0003758D" w14:paraId="64B5F283"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33256E46" w14:textId="77777777">
            <w:pPr>
              <w:jc w:val="right"/>
              <w:rPr>
                <w:rFonts w:eastAsia="Calibri"/>
                <w:sz w:val="22"/>
                <w:szCs w:val="22"/>
              </w:rPr>
            </w:pPr>
            <w:r w:rsidRPr="0003758D">
              <w:rPr>
                <w:rFonts w:eastAsia="Calibri"/>
                <w:sz w:val="22"/>
                <w:szCs w:val="22"/>
              </w:rPr>
              <w:t>-3</w:t>
            </w:r>
          </w:p>
        </w:tc>
        <w:tc>
          <w:tcPr>
            <w:tcW w:w="1350" w:type="dxa"/>
            <w:vAlign w:val="bottom"/>
          </w:tcPr>
          <w:p w:rsidRPr="0003758D" w:rsidR="0003758D" w:rsidP="0003758D" w:rsidRDefault="0003758D" w14:paraId="3E042F5F" w14:textId="77777777">
            <w:pPr>
              <w:jc w:val="right"/>
              <w:rPr>
                <w:rFonts w:eastAsia="Calibri"/>
                <w:sz w:val="22"/>
                <w:szCs w:val="22"/>
              </w:rPr>
            </w:pPr>
            <w:r w:rsidRPr="0003758D">
              <w:rPr>
                <w:rFonts w:eastAsia="Calibri"/>
                <w:sz w:val="22"/>
                <w:szCs w:val="22"/>
              </w:rPr>
              <w:t>230 hrs.</w:t>
            </w:r>
          </w:p>
        </w:tc>
        <w:tc>
          <w:tcPr>
            <w:tcW w:w="2160" w:type="dxa"/>
            <w:vAlign w:val="bottom"/>
          </w:tcPr>
          <w:p w:rsidRPr="0003758D" w:rsidR="0003758D" w:rsidP="0003758D" w:rsidRDefault="0003758D" w14:paraId="419A3557" w14:textId="77777777">
            <w:pPr>
              <w:jc w:val="right"/>
              <w:rPr>
                <w:rFonts w:eastAsia="Calibri"/>
                <w:sz w:val="22"/>
                <w:szCs w:val="22"/>
                <w:highlight w:val="yellow"/>
              </w:rPr>
            </w:pPr>
            <w:r w:rsidRPr="0003758D">
              <w:rPr>
                <w:rFonts w:eastAsia="Calibri"/>
                <w:sz w:val="22"/>
                <w:szCs w:val="22"/>
              </w:rPr>
              <w:t>-690 hrs.</w:t>
            </w:r>
          </w:p>
        </w:tc>
      </w:tr>
      <w:tr w:rsidRPr="0003758D" w:rsidR="0003758D" w:rsidTr="00C475FF" w14:paraId="4688A5F5" w14:textId="77777777">
        <w:trPr>
          <w:cantSplit/>
          <w:trHeight w:val="2213"/>
          <w:jc w:val="center"/>
        </w:trPr>
        <w:tc>
          <w:tcPr>
            <w:tcW w:w="1686" w:type="dxa"/>
            <w:vAlign w:val="bottom"/>
          </w:tcPr>
          <w:p w:rsidRPr="0003758D" w:rsidR="0003758D" w:rsidP="0003758D" w:rsidRDefault="0003758D" w14:paraId="308EA50C" w14:textId="77777777">
            <w:pPr>
              <w:rPr>
                <w:rFonts w:eastAsia="Calibri"/>
                <w:sz w:val="22"/>
                <w:szCs w:val="22"/>
              </w:rPr>
            </w:pPr>
            <w:r w:rsidRPr="0003758D">
              <w:rPr>
                <w:rFonts w:eastAsia="Calibri"/>
                <w:sz w:val="22"/>
                <w:szCs w:val="22"/>
              </w:rPr>
              <w:t>TOP-003-4 (Operational Reliability Data), R5 &amp;Evidence Retention—program increase</w:t>
            </w:r>
            <w:r w:rsidRPr="0003758D">
              <w:rPr>
                <w:rFonts w:eastAsia="Calibri"/>
                <w:b/>
                <w:szCs w:val="26"/>
                <w:vertAlign w:val="superscript"/>
              </w:rPr>
              <w:footnoteReference w:id="28"/>
            </w:r>
          </w:p>
        </w:tc>
        <w:tc>
          <w:tcPr>
            <w:tcW w:w="1369" w:type="dxa"/>
            <w:tcBorders>
              <w:bottom w:val="single" w:color="auto" w:sz="4" w:space="0"/>
            </w:tcBorders>
            <w:vAlign w:val="bottom"/>
          </w:tcPr>
          <w:p w:rsidRPr="0003758D" w:rsidR="0003758D" w:rsidP="0003758D" w:rsidRDefault="0003758D" w14:paraId="6B5E7ACC" w14:textId="77777777">
            <w:pPr>
              <w:jc w:val="right"/>
              <w:rPr>
                <w:rFonts w:eastAsia="Calibri"/>
                <w:sz w:val="22"/>
                <w:szCs w:val="22"/>
              </w:rPr>
            </w:pPr>
            <w:r w:rsidRPr="0003758D">
              <w:rPr>
                <w:rFonts w:eastAsia="Calibri"/>
                <w:sz w:val="22"/>
                <w:szCs w:val="22"/>
              </w:rPr>
              <w:t>1,363 (</w:t>
            </w:r>
            <w:bookmarkStart w:name="_Hlk40858305" w:id="6"/>
            <w:r w:rsidRPr="0003758D">
              <w:rPr>
                <w:rFonts w:eastAsia="Calibri"/>
                <w:sz w:val="22"/>
                <w:szCs w:val="22"/>
              </w:rPr>
              <w:t>GO, GOP, TO &amp; DP</w:t>
            </w:r>
            <w:bookmarkEnd w:id="6"/>
            <w:r w:rsidRPr="0003758D">
              <w:rPr>
                <w:rFonts w:eastAsia="Calibri"/>
                <w:sz w:val="22"/>
                <w:szCs w:val="22"/>
              </w:rPr>
              <w:t>)</w:t>
            </w:r>
          </w:p>
        </w:tc>
        <w:tc>
          <w:tcPr>
            <w:tcW w:w="1260" w:type="dxa"/>
            <w:tcBorders>
              <w:bottom w:val="single" w:color="auto" w:sz="4" w:space="0"/>
            </w:tcBorders>
            <w:vAlign w:val="bottom"/>
          </w:tcPr>
          <w:p w:rsidRPr="0003758D" w:rsidR="0003758D" w:rsidP="0003758D" w:rsidRDefault="0003758D" w14:paraId="2299E237" w14:textId="77777777">
            <w:pPr>
              <w:jc w:val="right"/>
              <w:rPr>
                <w:rFonts w:eastAsia="Calibri"/>
                <w:sz w:val="22"/>
                <w:szCs w:val="22"/>
              </w:rPr>
            </w:pPr>
            <w:r w:rsidRPr="0003758D">
              <w:rPr>
                <w:rFonts w:eastAsia="Calibri"/>
                <w:sz w:val="22"/>
                <w:szCs w:val="22"/>
              </w:rPr>
              <w:t>1</w:t>
            </w:r>
          </w:p>
        </w:tc>
        <w:tc>
          <w:tcPr>
            <w:tcW w:w="1260" w:type="dxa"/>
            <w:tcBorders>
              <w:bottom w:val="single" w:color="auto" w:sz="4" w:space="0"/>
            </w:tcBorders>
            <w:vAlign w:val="bottom"/>
          </w:tcPr>
          <w:p w:rsidRPr="0003758D" w:rsidR="0003758D" w:rsidP="0003758D" w:rsidRDefault="0003758D" w14:paraId="0488266F" w14:textId="77777777">
            <w:pPr>
              <w:jc w:val="right"/>
              <w:rPr>
                <w:rFonts w:eastAsia="Calibri"/>
                <w:sz w:val="22"/>
                <w:szCs w:val="22"/>
              </w:rPr>
            </w:pPr>
            <w:r w:rsidRPr="0003758D">
              <w:rPr>
                <w:rFonts w:eastAsia="Calibri"/>
                <w:sz w:val="22"/>
                <w:szCs w:val="22"/>
              </w:rPr>
              <w:t>1,363</w:t>
            </w:r>
          </w:p>
        </w:tc>
        <w:tc>
          <w:tcPr>
            <w:tcW w:w="1350" w:type="dxa"/>
            <w:vAlign w:val="bottom"/>
          </w:tcPr>
          <w:p w:rsidRPr="0003758D" w:rsidR="0003758D" w:rsidP="0003758D" w:rsidRDefault="0003758D" w14:paraId="76372A9E" w14:textId="77777777">
            <w:pPr>
              <w:jc w:val="right"/>
              <w:rPr>
                <w:rFonts w:eastAsia="Calibri"/>
                <w:sz w:val="22"/>
                <w:szCs w:val="22"/>
              </w:rPr>
            </w:pPr>
            <w:r w:rsidRPr="0003758D">
              <w:rPr>
                <w:rFonts w:eastAsia="Calibri"/>
                <w:sz w:val="22"/>
                <w:szCs w:val="22"/>
              </w:rPr>
              <w:t>8 hrs.</w:t>
            </w:r>
          </w:p>
        </w:tc>
        <w:tc>
          <w:tcPr>
            <w:tcW w:w="2160" w:type="dxa"/>
            <w:vAlign w:val="bottom"/>
          </w:tcPr>
          <w:p w:rsidRPr="0003758D" w:rsidR="0003758D" w:rsidP="0003758D" w:rsidRDefault="0003758D" w14:paraId="3D6AD560" w14:textId="77777777">
            <w:pPr>
              <w:jc w:val="right"/>
              <w:rPr>
                <w:rFonts w:eastAsia="Calibri"/>
                <w:sz w:val="22"/>
                <w:szCs w:val="22"/>
                <w:highlight w:val="yellow"/>
              </w:rPr>
            </w:pPr>
            <w:r w:rsidRPr="0003758D">
              <w:rPr>
                <w:rFonts w:eastAsia="Calibri"/>
                <w:sz w:val="22"/>
                <w:szCs w:val="22"/>
              </w:rPr>
              <w:t>10,904 hrs.</w:t>
            </w:r>
          </w:p>
        </w:tc>
      </w:tr>
      <w:tr w:rsidRPr="0003758D" w:rsidR="00FD5A34" w:rsidTr="000D6C70" w14:paraId="5092E270" w14:textId="77777777">
        <w:trPr>
          <w:cantSplit/>
          <w:trHeight w:val="299"/>
          <w:jc w:val="center"/>
        </w:trPr>
        <w:tc>
          <w:tcPr>
            <w:tcW w:w="1686" w:type="dxa"/>
            <w:vAlign w:val="bottom"/>
          </w:tcPr>
          <w:p w:rsidRPr="0003758D" w:rsidR="00FD5A34" w:rsidP="00FD5A34" w:rsidRDefault="00FD5A34" w14:paraId="6BE39843" w14:textId="78D91F08">
            <w:pPr>
              <w:rPr>
                <w:rFonts w:eastAsia="Calibri"/>
                <w:bCs/>
                <w:sz w:val="22"/>
                <w:szCs w:val="22"/>
              </w:rPr>
            </w:pPr>
            <w:r w:rsidRPr="0003758D">
              <w:rPr>
                <w:rFonts w:eastAsia="Calibri"/>
                <w:bCs/>
                <w:sz w:val="22"/>
                <w:szCs w:val="22"/>
              </w:rPr>
              <w:lastRenderedPageBreak/>
              <w:t>IRO-010-3 (Reliability Coordinator Data Specification and Collection)</w:t>
            </w:r>
          </w:p>
          <w:p w:rsidRPr="0003758D" w:rsidR="00FD5A34" w:rsidP="00FD5A34" w:rsidRDefault="00FD5A34" w14:paraId="15552F5D" w14:textId="77777777">
            <w:pPr>
              <w:rPr>
                <w:rFonts w:eastAsia="Calibri"/>
                <w:bCs/>
                <w:sz w:val="22"/>
                <w:szCs w:val="22"/>
              </w:rPr>
            </w:pPr>
            <w:r w:rsidRPr="0003758D">
              <w:rPr>
                <w:rFonts w:eastAsia="Calibri"/>
                <w:bCs/>
                <w:sz w:val="22"/>
                <w:szCs w:val="22"/>
              </w:rPr>
              <w:t>R1-R3</w:t>
            </w:r>
          </w:p>
          <w:p w:rsidR="00FD5A34" w:rsidP="00FD5A34" w:rsidRDefault="00FD5A34" w14:paraId="2570E3D8" w14:textId="6EBD7FC3">
            <w:pPr>
              <w:rPr>
                <w:rFonts w:eastAsia="Calibri"/>
                <w:sz w:val="22"/>
                <w:szCs w:val="22"/>
              </w:rPr>
            </w:pPr>
            <w:r w:rsidRPr="0003758D">
              <w:rPr>
                <w:rFonts w:eastAsia="Calibri"/>
                <w:bCs/>
                <w:sz w:val="22"/>
                <w:szCs w:val="22"/>
              </w:rPr>
              <w:t>Evidence Retention--adjustment</w:t>
            </w:r>
          </w:p>
        </w:tc>
        <w:tc>
          <w:tcPr>
            <w:tcW w:w="1369" w:type="dxa"/>
            <w:shd w:val="clear" w:color="auto" w:fill="auto"/>
            <w:vAlign w:val="bottom"/>
          </w:tcPr>
          <w:p w:rsidRPr="0003758D" w:rsidR="00FD5A34" w:rsidP="00FD5A34" w:rsidRDefault="00FD5A34" w14:paraId="76E1A976" w14:textId="1E3466E0">
            <w:pPr>
              <w:jc w:val="right"/>
              <w:rPr>
                <w:rFonts w:eastAsia="Calibri"/>
                <w:sz w:val="22"/>
                <w:szCs w:val="22"/>
              </w:rPr>
            </w:pPr>
            <w:r w:rsidRPr="0003758D">
              <w:rPr>
                <w:rFonts w:eastAsia="Calibri"/>
                <w:sz w:val="22"/>
                <w:szCs w:val="22"/>
              </w:rPr>
              <w:t>+1 (RC)</w:t>
            </w:r>
            <w:r w:rsidRPr="0003758D">
              <w:rPr>
                <w:rFonts w:eastAsia="Calibri"/>
                <w:bCs/>
                <w:sz w:val="22"/>
                <w:szCs w:val="22"/>
              </w:rPr>
              <w:t xml:space="preserve"> </w:t>
            </w:r>
          </w:p>
        </w:tc>
        <w:tc>
          <w:tcPr>
            <w:tcW w:w="1260" w:type="dxa"/>
            <w:shd w:val="clear" w:color="auto" w:fill="auto"/>
            <w:vAlign w:val="bottom"/>
          </w:tcPr>
          <w:p w:rsidRPr="0003758D" w:rsidR="00FD5A34" w:rsidP="00FD5A34" w:rsidRDefault="00FD5A34" w14:paraId="4A2F0575" w14:textId="5B5B564C">
            <w:pPr>
              <w:jc w:val="right"/>
              <w:rPr>
                <w:rFonts w:eastAsia="Calibri"/>
                <w:sz w:val="22"/>
                <w:szCs w:val="22"/>
              </w:rPr>
            </w:pPr>
            <w:r w:rsidRPr="0003758D">
              <w:rPr>
                <w:rFonts w:eastAsia="Calibri"/>
                <w:sz w:val="22"/>
                <w:szCs w:val="22"/>
              </w:rPr>
              <w:t>1</w:t>
            </w:r>
          </w:p>
        </w:tc>
        <w:tc>
          <w:tcPr>
            <w:tcW w:w="1260" w:type="dxa"/>
            <w:vAlign w:val="bottom"/>
          </w:tcPr>
          <w:p w:rsidRPr="0003758D" w:rsidR="00FD5A34" w:rsidP="00FD5A34" w:rsidRDefault="00FD5A34" w14:paraId="08F1416F" w14:textId="5A0A8E8E">
            <w:pPr>
              <w:jc w:val="right"/>
              <w:rPr>
                <w:rFonts w:eastAsia="Calibri"/>
                <w:sz w:val="22"/>
                <w:szCs w:val="22"/>
              </w:rPr>
            </w:pPr>
            <w:r w:rsidRPr="0003758D">
              <w:rPr>
                <w:rFonts w:eastAsia="Calibri"/>
                <w:sz w:val="22"/>
                <w:szCs w:val="22"/>
              </w:rPr>
              <w:t>1</w:t>
            </w:r>
          </w:p>
        </w:tc>
        <w:tc>
          <w:tcPr>
            <w:tcW w:w="1350" w:type="dxa"/>
            <w:shd w:val="clear" w:color="auto" w:fill="auto"/>
            <w:vAlign w:val="bottom"/>
          </w:tcPr>
          <w:p w:rsidRPr="0003758D" w:rsidR="00FD5A34" w:rsidP="00FD5A34" w:rsidRDefault="00FD5A34" w14:paraId="2A67F054" w14:textId="620BBB78">
            <w:pPr>
              <w:jc w:val="right"/>
              <w:rPr>
                <w:rFonts w:eastAsia="Calibri"/>
                <w:sz w:val="22"/>
                <w:szCs w:val="22"/>
              </w:rPr>
            </w:pPr>
            <w:r w:rsidRPr="0003758D">
              <w:rPr>
                <w:rFonts w:eastAsia="Calibri"/>
                <w:sz w:val="22"/>
                <w:szCs w:val="22"/>
              </w:rPr>
              <w:t>36 hrs.</w:t>
            </w:r>
          </w:p>
        </w:tc>
        <w:tc>
          <w:tcPr>
            <w:tcW w:w="2160" w:type="dxa"/>
            <w:shd w:val="clear" w:color="auto" w:fill="auto"/>
            <w:vAlign w:val="bottom"/>
          </w:tcPr>
          <w:p w:rsidR="00FD5A34" w:rsidP="00FD5A34" w:rsidRDefault="00FD5A34" w14:paraId="707B9869" w14:textId="1AF30A26">
            <w:pPr>
              <w:jc w:val="right"/>
              <w:rPr>
                <w:rFonts w:eastAsia="Calibri"/>
                <w:sz w:val="22"/>
                <w:szCs w:val="22"/>
              </w:rPr>
            </w:pPr>
            <w:r w:rsidRPr="0003758D">
              <w:rPr>
                <w:rFonts w:eastAsia="Calibri"/>
                <w:sz w:val="22"/>
                <w:szCs w:val="22"/>
              </w:rPr>
              <w:t>+36 hrs.</w:t>
            </w:r>
          </w:p>
        </w:tc>
      </w:tr>
      <w:tr w:rsidRPr="0003758D" w:rsidR="00FD5A34" w:rsidTr="000D6C70" w14:paraId="6B6494B6" w14:textId="77777777">
        <w:trPr>
          <w:cantSplit/>
          <w:trHeight w:val="299"/>
          <w:jc w:val="center"/>
        </w:trPr>
        <w:tc>
          <w:tcPr>
            <w:tcW w:w="1686" w:type="dxa"/>
            <w:vAlign w:val="bottom"/>
          </w:tcPr>
          <w:p w:rsidR="00FD5A34" w:rsidP="00FD5A34" w:rsidRDefault="00FD5A34" w14:paraId="77578C02" w14:textId="61587E52">
            <w:pPr>
              <w:rPr>
                <w:rFonts w:eastAsia="Calibri"/>
                <w:sz w:val="22"/>
                <w:szCs w:val="22"/>
              </w:rPr>
            </w:pPr>
            <w:r w:rsidRPr="0003758D">
              <w:rPr>
                <w:rFonts w:eastAsia="Calibri"/>
                <w:bCs/>
                <w:sz w:val="22"/>
                <w:szCs w:val="22"/>
              </w:rPr>
              <w:t>IRO-010-3 (Reliability Coordinator Data Specification and Collection), R3 &amp;Evidence Retention—adjustment/clarification</w:t>
            </w:r>
            <w:r w:rsidRPr="0003758D">
              <w:rPr>
                <w:rFonts w:eastAsia="Calibri"/>
                <w:b/>
                <w:bCs/>
                <w:szCs w:val="26"/>
                <w:vertAlign w:val="superscript"/>
              </w:rPr>
              <w:footnoteReference w:id="29"/>
            </w:r>
          </w:p>
        </w:tc>
        <w:tc>
          <w:tcPr>
            <w:tcW w:w="1369" w:type="dxa"/>
            <w:shd w:val="clear" w:color="auto" w:fill="auto"/>
            <w:vAlign w:val="bottom"/>
          </w:tcPr>
          <w:p w:rsidRPr="0003758D" w:rsidR="00FD5A34" w:rsidP="00FD5A34" w:rsidRDefault="00FD5A34" w14:paraId="74A32448" w14:textId="59193458">
            <w:pPr>
              <w:jc w:val="right"/>
              <w:rPr>
                <w:rFonts w:eastAsia="Calibri"/>
                <w:sz w:val="22"/>
                <w:szCs w:val="22"/>
              </w:rPr>
            </w:pPr>
            <w:r w:rsidRPr="0003758D">
              <w:rPr>
                <w:rFonts w:eastAsia="Calibri"/>
                <w:sz w:val="22"/>
                <w:szCs w:val="22"/>
              </w:rPr>
              <w:t xml:space="preserve">1,388 (BA, GO, GOP, TOP, TO &amp; DP) </w:t>
            </w:r>
          </w:p>
        </w:tc>
        <w:tc>
          <w:tcPr>
            <w:tcW w:w="1260" w:type="dxa"/>
            <w:shd w:val="clear" w:color="auto" w:fill="auto"/>
            <w:vAlign w:val="bottom"/>
          </w:tcPr>
          <w:p w:rsidRPr="0003758D" w:rsidR="00FD5A34" w:rsidP="00FD5A34" w:rsidRDefault="00FD5A34" w14:paraId="31B3CC3A" w14:textId="36FA069C">
            <w:pPr>
              <w:jc w:val="right"/>
              <w:rPr>
                <w:rFonts w:eastAsia="Calibri"/>
                <w:sz w:val="22"/>
                <w:szCs w:val="22"/>
              </w:rPr>
            </w:pPr>
            <w:r w:rsidRPr="0003758D">
              <w:rPr>
                <w:rFonts w:eastAsia="Calibri"/>
                <w:sz w:val="22"/>
                <w:szCs w:val="22"/>
              </w:rPr>
              <w:t>1</w:t>
            </w:r>
          </w:p>
        </w:tc>
        <w:tc>
          <w:tcPr>
            <w:tcW w:w="1260" w:type="dxa"/>
            <w:vAlign w:val="bottom"/>
          </w:tcPr>
          <w:p w:rsidRPr="0003758D" w:rsidR="00FD5A34" w:rsidP="00FD5A34" w:rsidRDefault="00FD5A34" w14:paraId="59AEA077" w14:textId="30DC6511">
            <w:pPr>
              <w:jc w:val="right"/>
              <w:rPr>
                <w:rFonts w:eastAsia="Calibri"/>
                <w:sz w:val="22"/>
                <w:szCs w:val="22"/>
              </w:rPr>
            </w:pPr>
            <w:r w:rsidRPr="0003758D">
              <w:rPr>
                <w:rFonts w:eastAsia="Calibri"/>
                <w:sz w:val="22"/>
                <w:szCs w:val="22"/>
              </w:rPr>
              <w:t>1,388</w:t>
            </w:r>
          </w:p>
        </w:tc>
        <w:tc>
          <w:tcPr>
            <w:tcW w:w="1350" w:type="dxa"/>
            <w:shd w:val="clear" w:color="auto" w:fill="auto"/>
            <w:vAlign w:val="bottom"/>
          </w:tcPr>
          <w:p w:rsidRPr="0003758D" w:rsidR="00FD5A34" w:rsidP="00FD5A34" w:rsidRDefault="00FD5A34" w14:paraId="1B4ED571" w14:textId="121E0137">
            <w:pPr>
              <w:jc w:val="right"/>
              <w:rPr>
                <w:rFonts w:eastAsia="Calibri"/>
                <w:sz w:val="22"/>
                <w:szCs w:val="22"/>
              </w:rPr>
            </w:pPr>
            <w:r w:rsidRPr="0003758D">
              <w:rPr>
                <w:rFonts w:eastAsia="Calibri"/>
                <w:sz w:val="22"/>
                <w:szCs w:val="22"/>
              </w:rPr>
              <w:t>8 hrs.</w:t>
            </w:r>
          </w:p>
        </w:tc>
        <w:tc>
          <w:tcPr>
            <w:tcW w:w="2160" w:type="dxa"/>
            <w:shd w:val="clear" w:color="auto" w:fill="auto"/>
            <w:vAlign w:val="bottom"/>
          </w:tcPr>
          <w:p w:rsidR="00FD5A34" w:rsidP="00FD5A34" w:rsidRDefault="00FD5A34" w14:paraId="3A5F0C38" w14:textId="1A73A39D">
            <w:pPr>
              <w:jc w:val="right"/>
              <w:rPr>
                <w:rFonts w:eastAsia="Calibri"/>
                <w:sz w:val="22"/>
                <w:szCs w:val="22"/>
              </w:rPr>
            </w:pPr>
            <w:r w:rsidRPr="0003758D">
              <w:rPr>
                <w:rFonts w:eastAsia="Calibri"/>
                <w:sz w:val="22"/>
                <w:szCs w:val="22"/>
              </w:rPr>
              <w:t>11,104 hrs.;</w:t>
            </w:r>
          </w:p>
        </w:tc>
      </w:tr>
      <w:tr w:rsidRPr="0003758D" w:rsidR="0003758D" w:rsidTr="00D83060" w14:paraId="777460A1" w14:textId="77777777">
        <w:trPr>
          <w:cantSplit/>
          <w:trHeight w:val="299"/>
          <w:jc w:val="center"/>
        </w:trPr>
        <w:tc>
          <w:tcPr>
            <w:tcW w:w="1686" w:type="dxa"/>
            <w:vAlign w:val="bottom"/>
          </w:tcPr>
          <w:p w:rsidRPr="0003758D" w:rsidR="0003758D" w:rsidP="0003758D" w:rsidRDefault="0003758D" w14:paraId="035378EE" w14:textId="51760D37">
            <w:pPr>
              <w:rPr>
                <w:rFonts w:eastAsia="Calibri"/>
                <w:b/>
                <w:bCs/>
                <w:sz w:val="22"/>
                <w:szCs w:val="22"/>
              </w:rPr>
            </w:pPr>
            <w:r w:rsidRPr="0003758D">
              <w:rPr>
                <w:rFonts w:eastAsia="Calibri"/>
                <w:b/>
                <w:bCs/>
                <w:sz w:val="22"/>
                <w:szCs w:val="22"/>
              </w:rPr>
              <w:t>Net Sub-Total for FERC-725A</w:t>
            </w:r>
            <w:r w:rsidR="00FD5A34">
              <w:rPr>
                <w:rFonts w:eastAsia="Calibri"/>
                <w:b/>
                <w:bCs/>
                <w:sz w:val="22"/>
                <w:szCs w:val="22"/>
              </w:rPr>
              <w:t>(1B)</w:t>
            </w:r>
          </w:p>
        </w:tc>
        <w:tc>
          <w:tcPr>
            <w:tcW w:w="1369" w:type="dxa"/>
            <w:shd w:val="clear" w:color="auto" w:fill="D9D9D9"/>
            <w:vAlign w:val="bottom"/>
          </w:tcPr>
          <w:p w:rsidRPr="0003758D" w:rsidR="0003758D" w:rsidP="0003758D" w:rsidRDefault="0003758D" w14:paraId="3452FC88" w14:textId="77777777">
            <w:pPr>
              <w:rPr>
                <w:rFonts w:eastAsia="Calibri"/>
                <w:sz w:val="22"/>
                <w:szCs w:val="22"/>
              </w:rPr>
            </w:pPr>
          </w:p>
        </w:tc>
        <w:tc>
          <w:tcPr>
            <w:tcW w:w="1260" w:type="dxa"/>
            <w:shd w:val="clear" w:color="auto" w:fill="D9D9D9"/>
            <w:vAlign w:val="bottom"/>
          </w:tcPr>
          <w:p w:rsidRPr="0003758D" w:rsidR="0003758D" w:rsidP="0003758D" w:rsidRDefault="0003758D" w14:paraId="6EAEBE7A" w14:textId="77777777">
            <w:pPr>
              <w:rPr>
                <w:rFonts w:eastAsia="Calibri"/>
                <w:sz w:val="22"/>
                <w:szCs w:val="22"/>
              </w:rPr>
            </w:pPr>
          </w:p>
        </w:tc>
        <w:tc>
          <w:tcPr>
            <w:tcW w:w="1260" w:type="dxa"/>
            <w:shd w:val="clear" w:color="auto" w:fill="auto"/>
            <w:vAlign w:val="bottom"/>
          </w:tcPr>
          <w:p w:rsidRPr="0003758D" w:rsidR="0003758D" w:rsidP="0003758D" w:rsidRDefault="00FD5A34" w14:paraId="40CE53B1" w14:textId="63A7CF55">
            <w:pPr>
              <w:jc w:val="right"/>
              <w:rPr>
                <w:rFonts w:eastAsia="Calibri"/>
                <w:sz w:val="22"/>
                <w:szCs w:val="22"/>
              </w:rPr>
            </w:pPr>
            <w:r>
              <w:rPr>
                <w:rFonts w:eastAsia="Calibri"/>
                <w:sz w:val="22"/>
                <w:szCs w:val="22"/>
              </w:rPr>
              <w:t>2,749</w:t>
            </w:r>
            <w:r w:rsidRPr="0003758D" w:rsidR="0003758D">
              <w:rPr>
                <w:rFonts w:eastAsia="Calibri"/>
                <w:sz w:val="22"/>
                <w:szCs w:val="22"/>
              </w:rPr>
              <w:t xml:space="preserve"> (net increase)</w:t>
            </w:r>
          </w:p>
        </w:tc>
        <w:tc>
          <w:tcPr>
            <w:tcW w:w="1350" w:type="dxa"/>
            <w:shd w:val="clear" w:color="auto" w:fill="D9D9D9"/>
            <w:vAlign w:val="bottom"/>
          </w:tcPr>
          <w:p w:rsidRPr="0003758D" w:rsidR="0003758D" w:rsidP="0003758D" w:rsidRDefault="0003758D" w14:paraId="466D936E" w14:textId="77777777">
            <w:pPr>
              <w:rPr>
                <w:rFonts w:eastAsia="Calibri"/>
                <w:sz w:val="22"/>
                <w:szCs w:val="22"/>
              </w:rPr>
            </w:pPr>
          </w:p>
        </w:tc>
        <w:tc>
          <w:tcPr>
            <w:tcW w:w="2160" w:type="dxa"/>
            <w:vAlign w:val="bottom"/>
          </w:tcPr>
          <w:p w:rsidRPr="0003758D" w:rsidR="0003758D" w:rsidP="0003758D" w:rsidRDefault="00FD5A34" w14:paraId="74BDAC8A" w14:textId="37C9CF90">
            <w:pPr>
              <w:jc w:val="right"/>
              <w:rPr>
                <w:rFonts w:eastAsia="Calibri"/>
                <w:sz w:val="22"/>
                <w:szCs w:val="22"/>
              </w:rPr>
            </w:pPr>
            <w:r>
              <w:rPr>
                <w:rFonts w:eastAsia="Calibri"/>
                <w:sz w:val="22"/>
                <w:szCs w:val="22"/>
              </w:rPr>
              <w:t xml:space="preserve">21,354 </w:t>
            </w:r>
            <w:r w:rsidRPr="0003758D" w:rsidR="0003758D">
              <w:rPr>
                <w:rFonts w:eastAsia="Calibri"/>
                <w:sz w:val="22"/>
                <w:szCs w:val="22"/>
              </w:rPr>
              <w:t>hr.</w:t>
            </w:r>
          </w:p>
          <w:p w:rsidRPr="0003758D" w:rsidR="0003758D" w:rsidP="0003758D" w:rsidRDefault="0003758D" w14:paraId="2B911236" w14:textId="77777777">
            <w:pPr>
              <w:jc w:val="right"/>
              <w:rPr>
                <w:rFonts w:eastAsia="Calibri"/>
                <w:sz w:val="22"/>
                <w:szCs w:val="22"/>
                <w:highlight w:val="yellow"/>
              </w:rPr>
            </w:pPr>
            <w:r w:rsidRPr="0003758D">
              <w:rPr>
                <w:rFonts w:eastAsia="Calibri"/>
                <w:sz w:val="22"/>
                <w:szCs w:val="22"/>
              </w:rPr>
              <w:t>(net increase)</w:t>
            </w:r>
          </w:p>
        </w:tc>
      </w:tr>
      <w:tr w:rsidRPr="0003758D" w:rsidR="0003758D" w:rsidTr="00D83060" w14:paraId="4E41C7E1" w14:textId="77777777">
        <w:trPr>
          <w:cantSplit/>
          <w:trHeight w:val="299"/>
          <w:jc w:val="center"/>
        </w:trPr>
        <w:tc>
          <w:tcPr>
            <w:tcW w:w="9085" w:type="dxa"/>
            <w:gridSpan w:val="6"/>
            <w:shd w:val="pct10" w:color="auto" w:fill="auto"/>
            <w:vAlign w:val="bottom"/>
          </w:tcPr>
          <w:p w:rsidRPr="0003758D" w:rsidR="0003758D" w:rsidP="0003758D" w:rsidRDefault="0003758D" w14:paraId="46ABF779" w14:textId="77777777">
            <w:pPr>
              <w:jc w:val="center"/>
              <w:rPr>
                <w:rFonts w:eastAsia="Calibri"/>
                <w:b/>
                <w:bCs/>
                <w:iCs/>
                <w:sz w:val="22"/>
                <w:szCs w:val="22"/>
              </w:rPr>
            </w:pPr>
            <w:bookmarkStart w:name="_GoBack" w:colFirst="0" w:colLast="5" w:id="7"/>
            <w:r w:rsidRPr="0003758D">
              <w:rPr>
                <w:rFonts w:eastAsia="Calibri"/>
                <w:b/>
                <w:bCs/>
                <w:iCs/>
                <w:sz w:val="22"/>
                <w:szCs w:val="22"/>
              </w:rPr>
              <w:t>FERC-725D, OMB Control No. 1902-0247</w:t>
            </w:r>
          </w:p>
        </w:tc>
      </w:tr>
      <w:tr w:rsidRPr="0003758D" w:rsidR="0003758D" w:rsidTr="00D83060" w14:paraId="3843D2C1" w14:textId="77777777">
        <w:trPr>
          <w:cantSplit/>
          <w:trHeight w:val="299"/>
          <w:jc w:val="center"/>
        </w:trPr>
        <w:tc>
          <w:tcPr>
            <w:tcW w:w="1686" w:type="dxa"/>
            <w:vAlign w:val="bottom"/>
          </w:tcPr>
          <w:p w:rsidRPr="0003758D" w:rsidR="0003758D" w:rsidP="0003758D" w:rsidRDefault="0003758D" w14:paraId="4C9DE44B" w14:textId="77777777">
            <w:pPr>
              <w:rPr>
                <w:rFonts w:eastAsia="Calibri"/>
                <w:sz w:val="22"/>
                <w:szCs w:val="22"/>
              </w:rPr>
            </w:pPr>
            <w:r w:rsidRPr="0003758D">
              <w:rPr>
                <w:rFonts w:eastAsia="Calibri"/>
                <w:sz w:val="22"/>
                <w:szCs w:val="22"/>
              </w:rPr>
              <w:t xml:space="preserve">FAC-002-3 (Facility Interconnection Studies) </w:t>
            </w:r>
          </w:p>
          <w:p w:rsidRPr="0003758D" w:rsidR="0003758D" w:rsidP="0003758D" w:rsidRDefault="0003758D" w14:paraId="604BFE1E" w14:textId="77777777">
            <w:pPr>
              <w:rPr>
                <w:rFonts w:eastAsia="Calibri"/>
                <w:sz w:val="22"/>
                <w:szCs w:val="22"/>
              </w:rPr>
            </w:pPr>
            <w:r w:rsidRPr="0003758D">
              <w:rPr>
                <w:rFonts w:eastAsia="Calibri"/>
                <w:sz w:val="22"/>
                <w:szCs w:val="22"/>
              </w:rPr>
              <w:t>R1</w:t>
            </w:r>
          </w:p>
          <w:p w:rsidRPr="0003758D" w:rsidR="0003758D" w:rsidP="0003758D" w:rsidRDefault="0003758D" w14:paraId="5E609BD0" w14:textId="77777777">
            <w:pPr>
              <w:rPr>
                <w:rFonts w:eastAsia="Calibri"/>
                <w:sz w:val="22"/>
                <w:szCs w:val="22"/>
              </w:rPr>
            </w:pPr>
            <w:r w:rsidRPr="0003758D">
              <w:rPr>
                <w:rFonts w:eastAsia="Calibri"/>
                <w:sz w:val="22"/>
                <w:szCs w:val="22"/>
              </w:rPr>
              <w:t>Study--adjustment</w:t>
            </w:r>
          </w:p>
        </w:tc>
        <w:tc>
          <w:tcPr>
            <w:tcW w:w="1369" w:type="dxa"/>
            <w:vAlign w:val="bottom"/>
          </w:tcPr>
          <w:p w:rsidRPr="0003758D" w:rsidR="0003758D" w:rsidP="0003758D" w:rsidRDefault="0003758D" w14:paraId="3B466F60" w14:textId="77777777">
            <w:pPr>
              <w:jc w:val="right"/>
              <w:rPr>
                <w:rFonts w:eastAsia="Calibri"/>
                <w:sz w:val="22"/>
                <w:szCs w:val="22"/>
              </w:rPr>
            </w:pPr>
            <w:r w:rsidRPr="0003758D">
              <w:rPr>
                <w:rFonts w:eastAsia="Calibri"/>
                <w:sz w:val="22"/>
                <w:szCs w:val="22"/>
              </w:rPr>
              <w:t>+20 (PC &amp; TP)</w:t>
            </w:r>
          </w:p>
        </w:tc>
        <w:tc>
          <w:tcPr>
            <w:tcW w:w="1260" w:type="dxa"/>
            <w:vAlign w:val="bottom"/>
          </w:tcPr>
          <w:p w:rsidRPr="0003758D" w:rsidR="0003758D" w:rsidP="0003758D" w:rsidRDefault="0003758D" w14:paraId="182B9689"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5B3AC562" w14:textId="77777777">
            <w:pPr>
              <w:jc w:val="right"/>
              <w:rPr>
                <w:rFonts w:eastAsia="Calibri"/>
                <w:sz w:val="22"/>
                <w:szCs w:val="22"/>
              </w:rPr>
            </w:pPr>
            <w:r w:rsidRPr="0003758D">
              <w:rPr>
                <w:rFonts w:eastAsia="Calibri"/>
                <w:sz w:val="22"/>
                <w:szCs w:val="22"/>
              </w:rPr>
              <w:t>+20</w:t>
            </w:r>
          </w:p>
        </w:tc>
        <w:tc>
          <w:tcPr>
            <w:tcW w:w="1350" w:type="dxa"/>
            <w:vAlign w:val="bottom"/>
          </w:tcPr>
          <w:p w:rsidRPr="0003758D" w:rsidR="0003758D" w:rsidP="0003758D" w:rsidRDefault="0003758D" w14:paraId="78B3229B" w14:textId="77777777">
            <w:pPr>
              <w:jc w:val="right"/>
              <w:rPr>
                <w:rFonts w:eastAsia="Calibri"/>
                <w:sz w:val="22"/>
                <w:szCs w:val="22"/>
              </w:rPr>
            </w:pPr>
            <w:r w:rsidRPr="0003758D">
              <w:rPr>
                <w:rFonts w:eastAsia="Calibri"/>
                <w:sz w:val="22"/>
                <w:szCs w:val="22"/>
              </w:rPr>
              <w:t>32 hrs.</w:t>
            </w:r>
          </w:p>
        </w:tc>
        <w:tc>
          <w:tcPr>
            <w:tcW w:w="2160" w:type="dxa"/>
            <w:vAlign w:val="bottom"/>
          </w:tcPr>
          <w:p w:rsidRPr="0003758D" w:rsidR="0003758D" w:rsidP="0003758D" w:rsidRDefault="0003758D" w14:paraId="0B4384A1" w14:textId="77777777">
            <w:pPr>
              <w:jc w:val="right"/>
              <w:rPr>
                <w:rFonts w:eastAsia="Calibri"/>
                <w:sz w:val="22"/>
                <w:szCs w:val="22"/>
              </w:rPr>
            </w:pPr>
            <w:r w:rsidRPr="0003758D">
              <w:rPr>
                <w:rFonts w:eastAsia="Calibri"/>
                <w:sz w:val="22"/>
                <w:szCs w:val="22"/>
              </w:rPr>
              <w:t>640 hrs.</w:t>
            </w:r>
          </w:p>
        </w:tc>
      </w:tr>
      <w:tr w:rsidRPr="0003758D" w:rsidR="0003758D" w:rsidTr="00D83060" w14:paraId="2171A4BE" w14:textId="77777777">
        <w:trPr>
          <w:cantSplit/>
          <w:trHeight w:val="299"/>
          <w:jc w:val="center"/>
        </w:trPr>
        <w:tc>
          <w:tcPr>
            <w:tcW w:w="1686" w:type="dxa"/>
            <w:vAlign w:val="bottom"/>
          </w:tcPr>
          <w:p w:rsidRPr="0003758D" w:rsidR="0003758D" w:rsidP="0003758D" w:rsidRDefault="0003758D" w14:paraId="1CF90DC8" w14:textId="77777777">
            <w:pPr>
              <w:rPr>
                <w:rFonts w:eastAsia="Calibri"/>
                <w:sz w:val="22"/>
                <w:szCs w:val="22"/>
              </w:rPr>
            </w:pPr>
            <w:r w:rsidRPr="0003758D">
              <w:rPr>
                <w:rFonts w:eastAsia="Calibri"/>
                <w:sz w:val="22"/>
                <w:szCs w:val="22"/>
              </w:rPr>
              <w:t xml:space="preserve">FAC-002-3 (Facility Interconnection Studies) </w:t>
            </w:r>
          </w:p>
          <w:p w:rsidRPr="0003758D" w:rsidR="0003758D" w:rsidP="0003758D" w:rsidRDefault="0003758D" w14:paraId="19927911" w14:textId="77777777">
            <w:pPr>
              <w:rPr>
                <w:rFonts w:eastAsia="Calibri"/>
                <w:sz w:val="22"/>
                <w:szCs w:val="22"/>
              </w:rPr>
            </w:pPr>
            <w:r w:rsidRPr="0003758D">
              <w:rPr>
                <w:rFonts w:eastAsia="Calibri"/>
                <w:sz w:val="22"/>
                <w:szCs w:val="22"/>
              </w:rPr>
              <w:t>R1</w:t>
            </w:r>
          </w:p>
          <w:p w:rsidRPr="0003758D" w:rsidR="0003758D" w:rsidP="0003758D" w:rsidRDefault="0003758D" w14:paraId="233B38A0" w14:textId="77777777">
            <w:pPr>
              <w:rPr>
                <w:rFonts w:eastAsia="Calibri"/>
                <w:sz w:val="22"/>
                <w:szCs w:val="22"/>
              </w:rPr>
            </w:pPr>
            <w:r w:rsidRPr="0003758D">
              <w:rPr>
                <w:rFonts w:eastAsia="Calibri"/>
                <w:sz w:val="22"/>
                <w:szCs w:val="22"/>
              </w:rPr>
              <w:t>Evidence Retention--adjustment</w:t>
            </w:r>
          </w:p>
        </w:tc>
        <w:tc>
          <w:tcPr>
            <w:tcW w:w="1369" w:type="dxa"/>
            <w:vAlign w:val="bottom"/>
          </w:tcPr>
          <w:p w:rsidRPr="0003758D" w:rsidR="0003758D" w:rsidP="0003758D" w:rsidRDefault="0003758D" w14:paraId="31F8157D" w14:textId="77777777">
            <w:pPr>
              <w:jc w:val="right"/>
              <w:rPr>
                <w:rFonts w:eastAsia="Calibri"/>
                <w:sz w:val="22"/>
                <w:szCs w:val="22"/>
              </w:rPr>
            </w:pPr>
            <w:r w:rsidRPr="0003758D">
              <w:rPr>
                <w:rFonts w:eastAsia="Calibri"/>
                <w:sz w:val="22"/>
                <w:szCs w:val="22"/>
              </w:rPr>
              <w:t>+20 (PC &amp; TP)</w:t>
            </w:r>
          </w:p>
        </w:tc>
        <w:tc>
          <w:tcPr>
            <w:tcW w:w="1260" w:type="dxa"/>
            <w:vAlign w:val="bottom"/>
          </w:tcPr>
          <w:p w:rsidRPr="0003758D" w:rsidR="0003758D" w:rsidP="0003758D" w:rsidRDefault="0003758D" w14:paraId="155D1B34"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2FE9559C" w14:textId="77777777">
            <w:pPr>
              <w:jc w:val="right"/>
              <w:rPr>
                <w:rFonts w:eastAsia="Calibri"/>
                <w:sz w:val="22"/>
                <w:szCs w:val="22"/>
              </w:rPr>
            </w:pPr>
            <w:r w:rsidRPr="0003758D">
              <w:rPr>
                <w:rFonts w:eastAsia="Calibri"/>
                <w:sz w:val="22"/>
                <w:szCs w:val="22"/>
              </w:rPr>
              <w:t>+20</w:t>
            </w:r>
          </w:p>
        </w:tc>
        <w:tc>
          <w:tcPr>
            <w:tcW w:w="1350" w:type="dxa"/>
            <w:vAlign w:val="bottom"/>
          </w:tcPr>
          <w:p w:rsidRPr="0003758D" w:rsidR="0003758D" w:rsidP="0003758D" w:rsidRDefault="0003758D" w14:paraId="25861299" w14:textId="77777777">
            <w:pPr>
              <w:jc w:val="right"/>
              <w:rPr>
                <w:rFonts w:eastAsia="Calibri"/>
                <w:sz w:val="22"/>
                <w:szCs w:val="22"/>
              </w:rPr>
            </w:pPr>
            <w:r w:rsidRPr="0003758D">
              <w:rPr>
                <w:rFonts w:eastAsia="Calibri"/>
                <w:sz w:val="22"/>
                <w:szCs w:val="22"/>
              </w:rPr>
              <w:t>1 hr.</w:t>
            </w:r>
          </w:p>
        </w:tc>
        <w:tc>
          <w:tcPr>
            <w:tcW w:w="2160" w:type="dxa"/>
            <w:vAlign w:val="bottom"/>
          </w:tcPr>
          <w:p w:rsidRPr="0003758D" w:rsidR="0003758D" w:rsidP="0003758D" w:rsidRDefault="0003758D" w14:paraId="238431A7" w14:textId="77777777">
            <w:pPr>
              <w:jc w:val="right"/>
              <w:rPr>
                <w:rFonts w:eastAsia="Calibri"/>
                <w:sz w:val="22"/>
                <w:szCs w:val="22"/>
              </w:rPr>
            </w:pPr>
            <w:r w:rsidRPr="0003758D">
              <w:rPr>
                <w:rFonts w:eastAsia="Calibri"/>
                <w:sz w:val="22"/>
                <w:szCs w:val="22"/>
              </w:rPr>
              <w:t xml:space="preserve">20 hrs. </w:t>
            </w:r>
          </w:p>
        </w:tc>
      </w:tr>
      <w:tr w:rsidRPr="0003758D" w:rsidR="0003758D" w:rsidTr="00D83060" w14:paraId="2646C9AE" w14:textId="77777777">
        <w:trPr>
          <w:cantSplit/>
          <w:trHeight w:val="299"/>
          <w:jc w:val="center"/>
        </w:trPr>
        <w:tc>
          <w:tcPr>
            <w:tcW w:w="1686" w:type="dxa"/>
            <w:vAlign w:val="bottom"/>
          </w:tcPr>
          <w:p w:rsidRPr="0003758D" w:rsidR="0003758D" w:rsidP="0003758D" w:rsidRDefault="0003758D" w14:paraId="1FC9D508" w14:textId="77777777">
            <w:pPr>
              <w:rPr>
                <w:rFonts w:eastAsia="Calibri"/>
                <w:sz w:val="22"/>
                <w:szCs w:val="22"/>
              </w:rPr>
            </w:pPr>
            <w:r w:rsidRPr="0003758D">
              <w:rPr>
                <w:rFonts w:eastAsia="Calibri"/>
                <w:sz w:val="22"/>
                <w:szCs w:val="22"/>
              </w:rPr>
              <w:lastRenderedPageBreak/>
              <w:t xml:space="preserve">FAC-002-3 (Facility Interconnection Studies) </w:t>
            </w:r>
          </w:p>
          <w:p w:rsidRPr="0003758D" w:rsidR="0003758D" w:rsidP="0003758D" w:rsidRDefault="0003758D" w14:paraId="1CFE5CBD" w14:textId="77777777">
            <w:pPr>
              <w:rPr>
                <w:rFonts w:eastAsia="Calibri"/>
                <w:sz w:val="22"/>
                <w:szCs w:val="22"/>
              </w:rPr>
            </w:pPr>
            <w:r w:rsidRPr="0003758D">
              <w:rPr>
                <w:rFonts w:eastAsia="Calibri"/>
                <w:sz w:val="22"/>
                <w:szCs w:val="22"/>
              </w:rPr>
              <w:t>R2-R5</w:t>
            </w:r>
          </w:p>
          <w:p w:rsidRPr="0003758D" w:rsidR="0003758D" w:rsidP="0003758D" w:rsidRDefault="0003758D" w14:paraId="6538876A" w14:textId="77777777">
            <w:pPr>
              <w:rPr>
                <w:rFonts w:eastAsia="Calibri"/>
                <w:sz w:val="22"/>
                <w:szCs w:val="22"/>
              </w:rPr>
            </w:pPr>
            <w:r w:rsidRPr="0003758D">
              <w:rPr>
                <w:rFonts w:eastAsia="Calibri"/>
                <w:sz w:val="22"/>
                <w:szCs w:val="22"/>
              </w:rPr>
              <w:t>Coordination—(program decrease &amp; adjustment decrease)</w:t>
            </w:r>
            <w:r w:rsidRPr="0003758D">
              <w:rPr>
                <w:rFonts w:eastAsia="Calibri"/>
                <w:b/>
                <w:szCs w:val="26"/>
                <w:vertAlign w:val="superscript"/>
              </w:rPr>
              <w:footnoteReference w:id="30"/>
            </w:r>
          </w:p>
        </w:tc>
        <w:tc>
          <w:tcPr>
            <w:tcW w:w="1369" w:type="dxa"/>
            <w:vAlign w:val="bottom"/>
          </w:tcPr>
          <w:p w:rsidRPr="0003758D" w:rsidR="0003758D" w:rsidP="0003758D" w:rsidRDefault="0003758D" w14:paraId="44AFD5A8" w14:textId="77777777">
            <w:pPr>
              <w:jc w:val="right"/>
              <w:rPr>
                <w:rFonts w:eastAsia="Calibri"/>
                <w:sz w:val="22"/>
                <w:szCs w:val="22"/>
              </w:rPr>
            </w:pPr>
            <w:r w:rsidRPr="0003758D">
              <w:rPr>
                <w:rFonts w:eastAsia="Calibri"/>
                <w:sz w:val="22"/>
                <w:szCs w:val="22"/>
              </w:rPr>
              <w:t xml:space="preserve"> -93 (TO, GO &amp; DP)</w:t>
            </w:r>
            <w:r w:rsidRPr="0003758D">
              <w:rPr>
                <w:rFonts w:eastAsia="Calibri"/>
                <w:b/>
                <w:szCs w:val="26"/>
                <w:vertAlign w:val="superscript"/>
              </w:rPr>
              <w:footnoteReference w:id="31"/>
            </w:r>
          </w:p>
        </w:tc>
        <w:tc>
          <w:tcPr>
            <w:tcW w:w="1260" w:type="dxa"/>
            <w:vAlign w:val="bottom"/>
          </w:tcPr>
          <w:p w:rsidRPr="0003758D" w:rsidR="0003758D" w:rsidP="0003758D" w:rsidRDefault="0003758D" w14:paraId="28A47A4E"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48F4C7DF" w14:textId="77777777">
            <w:pPr>
              <w:jc w:val="right"/>
              <w:rPr>
                <w:rFonts w:eastAsia="Calibri"/>
                <w:sz w:val="22"/>
                <w:szCs w:val="22"/>
              </w:rPr>
            </w:pPr>
            <w:r w:rsidRPr="0003758D">
              <w:rPr>
                <w:rFonts w:eastAsia="Calibri"/>
                <w:sz w:val="22"/>
                <w:szCs w:val="22"/>
              </w:rPr>
              <w:t>-93</w:t>
            </w:r>
          </w:p>
        </w:tc>
        <w:tc>
          <w:tcPr>
            <w:tcW w:w="1350" w:type="dxa"/>
            <w:vAlign w:val="bottom"/>
          </w:tcPr>
          <w:p w:rsidRPr="0003758D" w:rsidR="0003758D" w:rsidP="0003758D" w:rsidRDefault="0003758D" w14:paraId="71A47F10" w14:textId="77777777">
            <w:pPr>
              <w:jc w:val="right"/>
              <w:rPr>
                <w:rFonts w:eastAsia="Calibri"/>
                <w:sz w:val="22"/>
                <w:szCs w:val="22"/>
              </w:rPr>
            </w:pPr>
            <w:r w:rsidRPr="0003758D">
              <w:rPr>
                <w:rFonts w:eastAsia="Calibri"/>
                <w:sz w:val="22"/>
                <w:szCs w:val="22"/>
              </w:rPr>
              <w:t>16 hrs.</w:t>
            </w:r>
          </w:p>
        </w:tc>
        <w:tc>
          <w:tcPr>
            <w:tcW w:w="2160" w:type="dxa"/>
            <w:vAlign w:val="bottom"/>
          </w:tcPr>
          <w:p w:rsidRPr="0003758D" w:rsidR="0003758D" w:rsidP="0003758D" w:rsidRDefault="0003758D" w14:paraId="4EAB8CD6" w14:textId="77777777">
            <w:pPr>
              <w:jc w:val="right"/>
              <w:rPr>
                <w:rFonts w:eastAsia="Calibri"/>
                <w:sz w:val="22"/>
                <w:szCs w:val="22"/>
                <w:highlight w:val="yellow"/>
              </w:rPr>
            </w:pPr>
            <w:r w:rsidRPr="0003758D">
              <w:rPr>
                <w:rFonts w:eastAsia="Calibri"/>
                <w:sz w:val="22"/>
                <w:szCs w:val="22"/>
              </w:rPr>
              <w:t>-1,488 hrs.</w:t>
            </w:r>
          </w:p>
        </w:tc>
      </w:tr>
      <w:tr w:rsidRPr="0003758D" w:rsidR="0003758D" w:rsidTr="00D83060" w14:paraId="415F9DBE" w14:textId="77777777">
        <w:trPr>
          <w:cantSplit/>
          <w:trHeight w:val="299"/>
          <w:jc w:val="center"/>
        </w:trPr>
        <w:tc>
          <w:tcPr>
            <w:tcW w:w="1686" w:type="dxa"/>
            <w:vAlign w:val="bottom"/>
          </w:tcPr>
          <w:p w:rsidRPr="0003758D" w:rsidR="0003758D" w:rsidP="0003758D" w:rsidRDefault="0003758D" w14:paraId="04B3ED2F" w14:textId="77777777">
            <w:pPr>
              <w:rPr>
                <w:rFonts w:eastAsia="Calibri"/>
                <w:sz w:val="22"/>
                <w:szCs w:val="22"/>
              </w:rPr>
            </w:pPr>
            <w:r w:rsidRPr="0003758D">
              <w:rPr>
                <w:rFonts w:eastAsia="Calibri"/>
                <w:sz w:val="22"/>
                <w:szCs w:val="22"/>
              </w:rPr>
              <w:t xml:space="preserve">FAC-002-3 (Facility Interconnection Studies) </w:t>
            </w:r>
          </w:p>
          <w:p w:rsidRPr="0003758D" w:rsidR="0003758D" w:rsidP="0003758D" w:rsidRDefault="0003758D" w14:paraId="059ED6CE" w14:textId="77777777">
            <w:pPr>
              <w:rPr>
                <w:rFonts w:eastAsia="Calibri"/>
                <w:sz w:val="22"/>
                <w:szCs w:val="22"/>
              </w:rPr>
            </w:pPr>
            <w:r w:rsidRPr="0003758D">
              <w:rPr>
                <w:rFonts w:eastAsia="Calibri"/>
                <w:sz w:val="22"/>
                <w:szCs w:val="22"/>
              </w:rPr>
              <w:t>R2-R5</w:t>
            </w:r>
          </w:p>
          <w:p w:rsidRPr="0003758D" w:rsidR="0003758D" w:rsidP="0003758D" w:rsidRDefault="0003758D" w14:paraId="39A34F30" w14:textId="77777777">
            <w:pPr>
              <w:rPr>
                <w:rFonts w:eastAsia="Calibri"/>
                <w:sz w:val="22"/>
                <w:szCs w:val="22"/>
              </w:rPr>
            </w:pPr>
            <w:r w:rsidRPr="0003758D">
              <w:rPr>
                <w:rFonts w:eastAsia="Calibri"/>
                <w:sz w:val="22"/>
                <w:szCs w:val="22"/>
              </w:rPr>
              <w:t xml:space="preserve">Evidence Retention--(program decrease &amp; adjustment decrease) </w:t>
            </w:r>
            <w:r w:rsidRPr="0003758D">
              <w:rPr>
                <w:rFonts w:eastAsia="Calibri"/>
                <w:b/>
                <w:szCs w:val="26"/>
                <w:vertAlign w:val="superscript"/>
              </w:rPr>
              <w:footnoteReference w:id="32"/>
            </w:r>
            <w:r w:rsidRPr="0003758D">
              <w:rPr>
                <w:rFonts w:eastAsia="Calibri"/>
                <w:sz w:val="22"/>
                <w:szCs w:val="22"/>
              </w:rPr>
              <w:t xml:space="preserve"> </w:t>
            </w:r>
          </w:p>
        </w:tc>
        <w:tc>
          <w:tcPr>
            <w:tcW w:w="1369" w:type="dxa"/>
            <w:vAlign w:val="bottom"/>
          </w:tcPr>
          <w:p w:rsidRPr="0003758D" w:rsidR="0003758D" w:rsidP="0003758D" w:rsidRDefault="0003758D" w14:paraId="4921C0AD" w14:textId="77777777">
            <w:pPr>
              <w:jc w:val="right"/>
              <w:rPr>
                <w:rFonts w:eastAsia="Calibri"/>
                <w:sz w:val="22"/>
                <w:szCs w:val="22"/>
              </w:rPr>
            </w:pPr>
            <w:r w:rsidRPr="0003758D">
              <w:rPr>
                <w:rFonts w:eastAsia="Calibri"/>
                <w:sz w:val="22"/>
                <w:szCs w:val="22"/>
              </w:rPr>
              <w:t xml:space="preserve"> -93(TO, GO &amp; DP)</w:t>
            </w:r>
          </w:p>
        </w:tc>
        <w:tc>
          <w:tcPr>
            <w:tcW w:w="1260" w:type="dxa"/>
            <w:vAlign w:val="bottom"/>
          </w:tcPr>
          <w:p w:rsidRPr="0003758D" w:rsidR="0003758D" w:rsidP="0003758D" w:rsidRDefault="0003758D" w14:paraId="2EE97754"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4D939A1F" w14:textId="77777777">
            <w:pPr>
              <w:jc w:val="right"/>
              <w:rPr>
                <w:rFonts w:eastAsia="Calibri"/>
                <w:sz w:val="22"/>
                <w:szCs w:val="22"/>
              </w:rPr>
            </w:pPr>
            <w:r w:rsidRPr="0003758D">
              <w:rPr>
                <w:rFonts w:eastAsia="Calibri"/>
                <w:sz w:val="22"/>
                <w:szCs w:val="22"/>
              </w:rPr>
              <w:t>-93</w:t>
            </w:r>
          </w:p>
        </w:tc>
        <w:tc>
          <w:tcPr>
            <w:tcW w:w="1350" w:type="dxa"/>
            <w:vAlign w:val="bottom"/>
          </w:tcPr>
          <w:p w:rsidRPr="0003758D" w:rsidR="0003758D" w:rsidP="0003758D" w:rsidRDefault="0003758D" w14:paraId="328C717A" w14:textId="77777777">
            <w:pPr>
              <w:jc w:val="right"/>
              <w:rPr>
                <w:rFonts w:eastAsia="Calibri"/>
                <w:sz w:val="22"/>
                <w:szCs w:val="22"/>
              </w:rPr>
            </w:pPr>
            <w:r w:rsidRPr="0003758D">
              <w:rPr>
                <w:rFonts w:eastAsia="Calibri"/>
                <w:sz w:val="22"/>
                <w:szCs w:val="22"/>
              </w:rPr>
              <w:t>1 hr.</w:t>
            </w:r>
          </w:p>
        </w:tc>
        <w:tc>
          <w:tcPr>
            <w:tcW w:w="2160" w:type="dxa"/>
            <w:vAlign w:val="bottom"/>
          </w:tcPr>
          <w:p w:rsidRPr="0003758D" w:rsidR="0003758D" w:rsidP="0003758D" w:rsidRDefault="0003758D" w14:paraId="50EA2378" w14:textId="77777777">
            <w:pPr>
              <w:jc w:val="right"/>
              <w:rPr>
                <w:rFonts w:eastAsia="Calibri"/>
                <w:sz w:val="22"/>
                <w:szCs w:val="22"/>
                <w:highlight w:val="yellow"/>
              </w:rPr>
            </w:pPr>
            <w:r w:rsidRPr="0003758D">
              <w:rPr>
                <w:rFonts w:eastAsia="Calibri"/>
                <w:sz w:val="22"/>
                <w:szCs w:val="22"/>
              </w:rPr>
              <w:t>-93 hrs.</w:t>
            </w:r>
          </w:p>
        </w:tc>
      </w:tr>
      <w:tr w:rsidRPr="0003758D" w:rsidR="0003758D" w:rsidTr="00D83060" w14:paraId="690A1987" w14:textId="77777777">
        <w:trPr>
          <w:cantSplit/>
          <w:trHeight w:val="299"/>
          <w:jc w:val="center"/>
        </w:trPr>
        <w:tc>
          <w:tcPr>
            <w:tcW w:w="1686" w:type="dxa"/>
            <w:vAlign w:val="bottom"/>
          </w:tcPr>
          <w:p w:rsidRPr="0003758D" w:rsidR="0003758D" w:rsidP="0003758D" w:rsidRDefault="0003758D" w14:paraId="0C335220" w14:textId="77777777">
            <w:pPr>
              <w:rPr>
                <w:rFonts w:eastAsia="Calibri"/>
                <w:b/>
                <w:bCs/>
                <w:sz w:val="22"/>
                <w:szCs w:val="22"/>
              </w:rPr>
            </w:pPr>
            <w:r w:rsidRPr="0003758D">
              <w:rPr>
                <w:rFonts w:eastAsia="Calibri"/>
                <w:b/>
                <w:bCs/>
                <w:sz w:val="22"/>
                <w:szCs w:val="22"/>
              </w:rPr>
              <w:t>Net Sub-Total for FERC-725D</w:t>
            </w:r>
          </w:p>
        </w:tc>
        <w:tc>
          <w:tcPr>
            <w:tcW w:w="1369" w:type="dxa"/>
            <w:shd w:val="clear" w:color="auto" w:fill="D9D9D9"/>
            <w:vAlign w:val="bottom"/>
          </w:tcPr>
          <w:p w:rsidRPr="0003758D" w:rsidR="0003758D" w:rsidP="0003758D" w:rsidRDefault="0003758D" w14:paraId="27E24FC5" w14:textId="77777777">
            <w:pPr>
              <w:jc w:val="right"/>
              <w:rPr>
                <w:rFonts w:eastAsia="Calibri"/>
                <w:sz w:val="22"/>
                <w:szCs w:val="22"/>
              </w:rPr>
            </w:pPr>
          </w:p>
        </w:tc>
        <w:tc>
          <w:tcPr>
            <w:tcW w:w="1260" w:type="dxa"/>
            <w:shd w:val="clear" w:color="auto" w:fill="D9D9D9"/>
            <w:vAlign w:val="bottom"/>
          </w:tcPr>
          <w:p w:rsidRPr="0003758D" w:rsidR="0003758D" w:rsidP="0003758D" w:rsidRDefault="0003758D" w14:paraId="301B109C" w14:textId="77777777">
            <w:pPr>
              <w:jc w:val="right"/>
              <w:rPr>
                <w:rFonts w:eastAsia="Calibri"/>
                <w:sz w:val="22"/>
                <w:szCs w:val="22"/>
              </w:rPr>
            </w:pPr>
          </w:p>
        </w:tc>
        <w:tc>
          <w:tcPr>
            <w:tcW w:w="1260" w:type="dxa"/>
            <w:shd w:val="clear" w:color="auto" w:fill="auto"/>
            <w:vAlign w:val="bottom"/>
          </w:tcPr>
          <w:p w:rsidRPr="0003758D" w:rsidR="0003758D" w:rsidP="0003758D" w:rsidRDefault="0003758D" w14:paraId="1958F48F" w14:textId="77777777">
            <w:pPr>
              <w:jc w:val="right"/>
              <w:rPr>
                <w:rFonts w:eastAsia="Calibri"/>
                <w:sz w:val="22"/>
                <w:szCs w:val="22"/>
              </w:rPr>
            </w:pPr>
            <w:r w:rsidRPr="0003758D">
              <w:rPr>
                <w:rFonts w:eastAsia="Calibri"/>
                <w:sz w:val="22"/>
                <w:szCs w:val="22"/>
              </w:rPr>
              <w:t>-146 (net reduction)</w:t>
            </w:r>
          </w:p>
        </w:tc>
        <w:tc>
          <w:tcPr>
            <w:tcW w:w="1350" w:type="dxa"/>
            <w:shd w:val="clear" w:color="auto" w:fill="D9D9D9"/>
            <w:vAlign w:val="bottom"/>
          </w:tcPr>
          <w:p w:rsidRPr="0003758D" w:rsidR="0003758D" w:rsidP="0003758D" w:rsidRDefault="0003758D" w14:paraId="04AADB28" w14:textId="77777777">
            <w:pPr>
              <w:jc w:val="right"/>
              <w:rPr>
                <w:rFonts w:eastAsia="Calibri"/>
                <w:sz w:val="22"/>
                <w:szCs w:val="22"/>
              </w:rPr>
            </w:pPr>
          </w:p>
        </w:tc>
        <w:tc>
          <w:tcPr>
            <w:tcW w:w="2160" w:type="dxa"/>
            <w:vAlign w:val="bottom"/>
          </w:tcPr>
          <w:p w:rsidRPr="0003758D" w:rsidR="0003758D" w:rsidP="0003758D" w:rsidRDefault="0003758D" w14:paraId="29A652C4" w14:textId="77777777">
            <w:pPr>
              <w:jc w:val="right"/>
              <w:rPr>
                <w:rFonts w:eastAsia="Calibri"/>
                <w:sz w:val="22"/>
                <w:szCs w:val="22"/>
              </w:rPr>
            </w:pPr>
            <w:r w:rsidRPr="0003758D">
              <w:rPr>
                <w:rFonts w:eastAsia="Calibri"/>
                <w:sz w:val="22"/>
                <w:szCs w:val="22"/>
              </w:rPr>
              <w:t>-921 hrs.</w:t>
            </w:r>
          </w:p>
          <w:p w:rsidRPr="0003758D" w:rsidR="0003758D" w:rsidP="0003758D" w:rsidRDefault="0003758D" w14:paraId="6CC1FCBF" w14:textId="77777777">
            <w:pPr>
              <w:jc w:val="right"/>
              <w:rPr>
                <w:rFonts w:eastAsia="Calibri"/>
                <w:sz w:val="22"/>
                <w:szCs w:val="22"/>
              </w:rPr>
            </w:pPr>
            <w:r w:rsidRPr="0003758D">
              <w:rPr>
                <w:rFonts w:eastAsia="Calibri"/>
                <w:sz w:val="22"/>
                <w:szCs w:val="22"/>
              </w:rPr>
              <w:t>(net reduction)</w:t>
            </w:r>
          </w:p>
        </w:tc>
      </w:tr>
      <w:bookmarkEnd w:id="7"/>
      <w:tr w:rsidRPr="0003758D" w:rsidR="0003758D" w:rsidTr="00D83060" w14:paraId="79645185" w14:textId="77777777">
        <w:trPr>
          <w:cantSplit/>
          <w:trHeight w:val="299"/>
          <w:jc w:val="center"/>
        </w:trPr>
        <w:tc>
          <w:tcPr>
            <w:tcW w:w="9085" w:type="dxa"/>
            <w:gridSpan w:val="6"/>
            <w:shd w:val="pct10" w:color="auto" w:fill="auto"/>
            <w:vAlign w:val="bottom"/>
          </w:tcPr>
          <w:p w:rsidRPr="0003758D" w:rsidR="0003758D" w:rsidP="0003758D" w:rsidRDefault="0003758D" w14:paraId="438250D8" w14:textId="77777777">
            <w:pPr>
              <w:jc w:val="center"/>
              <w:rPr>
                <w:rFonts w:eastAsia="Calibri"/>
                <w:sz w:val="22"/>
                <w:szCs w:val="22"/>
              </w:rPr>
            </w:pPr>
            <w:r w:rsidRPr="0003758D">
              <w:rPr>
                <w:rFonts w:eastAsia="Calibri"/>
                <w:b/>
                <w:bCs/>
                <w:iCs/>
                <w:sz w:val="22"/>
                <w:szCs w:val="22"/>
              </w:rPr>
              <w:t>FERC-725G, OMB Control No. 1902-0252</w:t>
            </w:r>
          </w:p>
        </w:tc>
      </w:tr>
      <w:tr w:rsidRPr="0003758D" w:rsidR="0003758D" w:rsidTr="00D83060" w14:paraId="4A995F99" w14:textId="77777777">
        <w:trPr>
          <w:cantSplit/>
          <w:trHeight w:val="299"/>
          <w:jc w:val="center"/>
        </w:trPr>
        <w:tc>
          <w:tcPr>
            <w:tcW w:w="1686" w:type="dxa"/>
            <w:vAlign w:val="bottom"/>
          </w:tcPr>
          <w:p w:rsidRPr="0003758D" w:rsidR="0003758D" w:rsidP="0003758D" w:rsidRDefault="0003758D" w14:paraId="18986077" w14:textId="77777777">
            <w:pPr>
              <w:rPr>
                <w:rFonts w:eastAsia="Calibri"/>
                <w:bCs/>
                <w:sz w:val="22"/>
                <w:szCs w:val="22"/>
              </w:rPr>
            </w:pPr>
            <w:bookmarkStart w:name="_Hlk44939780" w:id="9"/>
            <w:r w:rsidRPr="0003758D">
              <w:rPr>
                <w:rFonts w:eastAsia="Calibri"/>
                <w:bCs/>
                <w:sz w:val="22"/>
                <w:szCs w:val="22"/>
              </w:rPr>
              <w:lastRenderedPageBreak/>
              <w:t>PRC-006-4 (Automatic Underfrequency Load Shedding)</w:t>
            </w:r>
          </w:p>
          <w:p w:rsidRPr="0003758D" w:rsidR="0003758D" w:rsidP="0003758D" w:rsidRDefault="0003758D" w14:paraId="28B98688" w14:textId="77777777">
            <w:pPr>
              <w:rPr>
                <w:rFonts w:eastAsia="Calibri"/>
                <w:bCs/>
                <w:sz w:val="22"/>
                <w:szCs w:val="22"/>
              </w:rPr>
            </w:pPr>
            <w:r w:rsidRPr="0003758D">
              <w:rPr>
                <w:rFonts w:eastAsia="Calibri"/>
                <w:bCs/>
                <w:sz w:val="22"/>
                <w:szCs w:val="22"/>
              </w:rPr>
              <w:t>Reporting Requirement—program decrease</w:t>
            </w:r>
            <w:bookmarkStart w:name="_Ref43394898" w:id="10"/>
            <w:r w:rsidRPr="0003758D">
              <w:rPr>
                <w:rFonts w:eastAsia="Calibri"/>
                <w:b/>
                <w:bCs/>
                <w:szCs w:val="26"/>
                <w:vertAlign w:val="superscript"/>
              </w:rPr>
              <w:footnoteReference w:id="33"/>
            </w:r>
            <w:bookmarkEnd w:id="10"/>
          </w:p>
        </w:tc>
        <w:tc>
          <w:tcPr>
            <w:tcW w:w="1369" w:type="dxa"/>
            <w:shd w:val="clear" w:color="auto" w:fill="auto"/>
            <w:vAlign w:val="bottom"/>
          </w:tcPr>
          <w:p w:rsidRPr="0003758D" w:rsidR="0003758D" w:rsidP="0003758D" w:rsidRDefault="0003758D" w14:paraId="706AC5F4" w14:textId="77777777">
            <w:pPr>
              <w:jc w:val="right"/>
              <w:rPr>
                <w:rFonts w:eastAsia="Calibri"/>
                <w:sz w:val="22"/>
                <w:szCs w:val="22"/>
              </w:rPr>
            </w:pPr>
            <w:r w:rsidRPr="0003758D">
              <w:rPr>
                <w:rFonts w:eastAsia="Calibri"/>
                <w:sz w:val="22"/>
                <w:szCs w:val="22"/>
              </w:rPr>
              <w:t>-80 (TO &amp; DP)</w:t>
            </w:r>
          </w:p>
        </w:tc>
        <w:tc>
          <w:tcPr>
            <w:tcW w:w="1260" w:type="dxa"/>
            <w:shd w:val="clear" w:color="auto" w:fill="auto"/>
            <w:vAlign w:val="bottom"/>
          </w:tcPr>
          <w:p w:rsidRPr="0003758D" w:rsidR="0003758D" w:rsidP="0003758D" w:rsidRDefault="0003758D" w14:paraId="4B390478" w14:textId="77777777">
            <w:pPr>
              <w:jc w:val="right"/>
              <w:rPr>
                <w:rFonts w:eastAsia="Calibri"/>
                <w:sz w:val="22"/>
                <w:szCs w:val="22"/>
              </w:rPr>
            </w:pPr>
            <w:r w:rsidRPr="0003758D">
              <w:rPr>
                <w:rFonts w:eastAsia="Calibri"/>
                <w:sz w:val="22"/>
                <w:szCs w:val="22"/>
              </w:rPr>
              <w:t>1</w:t>
            </w:r>
          </w:p>
        </w:tc>
        <w:tc>
          <w:tcPr>
            <w:tcW w:w="1260" w:type="dxa"/>
            <w:shd w:val="clear" w:color="auto" w:fill="auto"/>
            <w:vAlign w:val="bottom"/>
          </w:tcPr>
          <w:p w:rsidRPr="0003758D" w:rsidR="0003758D" w:rsidP="0003758D" w:rsidRDefault="0003758D" w14:paraId="656D5FE9" w14:textId="77777777">
            <w:pPr>
              <w:jc w:val="right"/>
              <w:rPr>
                <w:rFonts w:eastAsia="Calibri"/>
                <w:sz w:val="22"/>
                <w:szCs w:val="22"/>
              </w:rPr>
            </w:pPr>
            <w:r w:rsidRPr="0003758D">
              <w:rPr>
                <w:rFonts w:eastAsia="Calibri"/>
                <w:sz w:val="22"/>
                <w:szCs w:val="22"/>
              </w:rPr>
              <w:t>-80</w:t>
            </w:r>
          </w:p>
        </w:tc>
        <w:tc>
          <w:tcPr>
            <w:tcW w:w="1350" w:type="dxa"/>
            <w:shd w:val="clear" w:color="auto" w:fill="auto"/>
            <w:vAlign w:val="bottom"/>
          </w:tcPr>
          <w:p w:rsidRPr="0003758D" w:rsidR="0003758D" w:rsidP="0003758D" w:rsidRDefault="0003758D" w14:paraId="30055233" w14:textId="77777777">
            <w:pPr>
              <w:jc w:val="right"/>
              <w:rPr>
                <w:rFonts w:eastAsia="Calibri"/>
                <w:sz w:val="22"/>
                <w:szCs w:val="22"/>
              </w:rPr>
            </w:pPr>
            <w:r w:rsidRPr="0003758D">
              <w:rPr>
                <w:rFonts w:eastAsia="Calibri"/>
                <w:sz w:val="22"/>
                <w:szCs w:val="22"/>
              </w:rPr>
              <w:t>47 hrs.</w:t>
            </w:r>
          </w:p>
        </w:tc>
        <w:tc>
          <w:tcPr>
            <w:tcW w:w="2160" w:type="dxa"/>
            <w:shd w:val="clear" w:color="auto" w:fill="auto"/>
            <w:vAlign w:val="bottom"/>
          </w:tcPr>
          <w:p w:rsidRPr="0003758D" w:rsidR="0003758D" w:rsidP="0003758D" w:rsidRDefault="0003758D" w14:paraId="572F3F39" w14:textId="77777777">
            <w:pPr>
              <w:jc w:val="right"/>
              <w:rPr>
                <w:rFonts w:eastAsia="Calibri"/>
                <w:sz w:val="22"/>
                <w:szCs w:val="22"/>
              </w:rPr>
            </w:pPr>
            <w:r w:rsidRPr="0003758D">
              <w:rPr>
                <w:rFonts w:eastAsia="Calibri"/>
                <w:sz w:val="22"/>
                <w:szCs w:val="22"/>
              </w:rPr>
              <w:t>-3,760 hrs.;</w:t>
            </w:r>
          </w:p>
        </w:tc>
      </w:tr>
      <w:tr w:rsidRPr="0003758D" w:rsidR="0003758D" w:rsidTr="00D83060" w14:paraId="246465C2" w14:textId="77777777">
        <w:trPr>
          <w:cantSplit/>
          <w:trHeight w:val="299"/>
          <w:jc w:val="center"/>
        </w:trPr>
        <w:tc>
          <w:tcPr>
            <w:tcW w:w="1686" w:type="dxa"/>
            <w:vAlign w:val="bottom"/>
          </w:tcPr>
          <w:p w:rsidRPr="0003758D" w:rsidR="0003758D" w:rsidP="0003758D" w:rsidRDefault="0003758D" w14:paraId="78F54E04" w14:textId="77777777">
            <w:pPr>
              <w:rPr>
                <w:rFonts w:eastAsia="Calibri"/>
                <w:bCs/>
                <w:sz w:val="22"/>
                <w:szCs w:val="22"/>
              </w:rPr>
            </w:pPr>
            <w:r w:rsidRPr="0003758D">
              <w:rPr>
                <w:rFonts w:eastAsia="Calibri"/>
                <w:bCs/>
                <w:sz w:val="22"/>
                <w:szCs w:val="22"/>
              </w:rPr>
              <w:t>PRC-006-4 (Automatic Underfrequency Load Shedding)</w:t>
            </w:r>
          </w:p>
          <w:p w:rsidRPr="0003758D" w:rsidR="0003758D" w:rsidP="0003758D" w:rsidRDefault="0003758D" w14:paraId="75BEDCB2" w14:textId="1D641E9C">
            <w:pPr>
              <w:rPr>
                <w:rFonts w:eastAsia="Calibri"/>
                <w:bCs/>
                <w:sz w:val="22"/>
                <w:szCs w:val="22"/>
              </w:rPr>
            </w:pPr>
            <w:r w:rsidRPr="0003758D">
              <w:rPr>
                <w:rFonts w:eastAsia="Calibri"/>
                <w:bCs/>
                <w:sz w:val="22"/>
                <w:szCs w:val="22"/>
              </w:rPr>
              <w:t xml:space="preserve">Evidence Retention—program decrease </w:t>
            </w:r>
            <w:r w:rsidRPr="0003758D">
              <w:rPr>
                <w:rFonts w:eastAsia="Calibri"/>
                <w:b/>
                <w:bCs/>
                <w:szCs w:val="26"/>
                <w:vertAlign w:val="superscript"/>
              </w:rPr>
              <w:fldChar w:fldCharType="begin"/>
            </w:r>
            <w:r w:rsidRPr="0003758D">
              <w:rPr>
                <w:rFonts w:eastAsia="Calibri"/>
                <w:b/>
                <w:bCs/>
                <w:szCs w:val="26"/>
                <w:vertAlign w:val="superscript"/>
              </w:rPr>
              <w:instrText xml:space="preserve"> NOTEREF _Ref43394898 \h  \* MERGEFORMAT </w:instrText>
            </w:r>
            <w:r w:rsidRPr="0003758D">
              <w:rPr>
                <w:rFonts w:eastAsia="Calibri"/>
                <w:b/>
                <w:bCs/>
                <w:szCs w:val="26"/>
                <w:vertAlign w:val="superscript"/>
              </w:rPr>
            </w:r>
            <w:r w:rsidRPr="0003758D">
              <w:rPr>
                <w:rFonts w:eastAsia="Calibri"/>
                <w:b/>
                <w:bCs/>
                <w:szCs w:val="26"/>
                <w:vertAlign w:val="superscript"/>
              </w:rPr>
              <w:fldChar w:fldCharType="separate"/>
            </w:r>
            <w:r w:rsidR="008A2C83">
              <w:rPr>
                <w:rFonts w:eastAsia="Calibri"/>
                <w:b/>
                <w:bCs/>
                <w:szCs w:val="26"/>
                <w:vertAlign w:val="superscript"/>
              </w:rPr>
              <w:t>33</w:t>
            </w:r>
            <w:r w:rsidRPr="0003758D">
              <w:rPr>
                <w:rFonts w:eastAsia="Calibri"/>
                <w:b/>
                <w:bCs/>
                <w:szCs w:val="26"/>
                <w:vertAlign w:val="superscript"/>
              </w:rPr>
              <w:fldChar w:fldCharType="end"/>
            </w:r>
          </w:p>
        </w:tc>
        <w:tc>
          <w:tcPr>
            <w:tcW w:w="1369" w:type="dxa"/>
            <w:shd w:val="clear" w:color="auto" w:fill="auto"/>
            <w:vAlign w:val="bottom"/>
          </w:tcPr>
          <w:p w:rsidRPr="0003758D" w:rsidR="0003758D" w:rsidP="0003758D" w:rsidRDefault="0003758D" w14:paraId="36259293" w14:textId="77777777">
            <w:pPr>
              <w:jc w:val="right"/>
              <w:rPr>
                <w:rFonts w:eastAsia="Calibri"/>
                <w:sz w:val="22"/>
                <w:szCs w:val="22"/>
              </w:rPr>
            </w:pPr>
            <w:r w:rsidRPr="0003758D">
              <w:rPr>
                <w:rFonts w:eastAsia="Calibri"/>
                <w:sz w:val="22"/>
                <w:szCs w:val="22"/>
              </w:rPr>
              <w:t>-80 (TO &amp; DP)</w:t>
            </w:r>
          </w:p>
        </w:tc>
        <w:tc>
          <w:tcPr>
            <w:tcW w:w="1260" w:type="dxa"/>
            <w:shd w:val="clear" w:color="auto" w:fill="auto"/>
            <w:vAlign w:val="bottom"/>
          </w:tcPr>
          <w:p w:rsidRPr="0003758D" w:rsidR="0003758D" w:rsidP="0003758D" w:rsidRDefault="0003758D" w14:paraId="5A74D942" w14:textId="77777777">
            <w:pPr>
              <w:jc w:val="right"/>
              <w:rPr>
                <w:rFonts w:eastAsia="Calibri"/>
                <w:sz w:val="22"/>
                <w:szCs w:val="22"/>
              </w:rPr>
            </w:pPr>
            <w:r w:rsidRPr="0003758D">
              <w:rPr>
                <w:rFonts w:eastAsia="Calibri"/>
                <w:sz w:val="22"/>
                <w:szCs w:val="22"/>
              </w:rPr>
              <w:t>1</w:t>
            </w:r>
          </w:p>
        </w:tc>
        <w:tc>
          <w:tcPr>
            <w:tcW w:w="1260" w:type="dxa"/>
            <w:shd w:val="clear" w:color="auto" w:fill="auto"/>
            <w:vAlign w:val="bottom"/>
          </w:tcPr>
          <w:p w:rsidRPr="0003758D" w:rsidR="0003758D" w:rsidP="0003758D" w:rsidRDefault="0003758D" w14:paraId="4FBF9A3C" w14:textId="77777777">
            <w:pPr>
              <w:jc w:val="right"/>
              <w:rPr>
                <w:rFonts w:eastAsia="Calibri"/>
                <w:sz w:val="22"/>
                <w:szCs w:val="22"/>
              </w:rPr>
            </w:pPr>
            <w:r w:rsidRPr="0003758D">
              <w:rPr>
                <w:rFonts w:eastAsia="Calibri"/>
                <w:sz w:val="22"/>
                <w:szCs w:val="22"/>
              </w:rPr>
              <w:t>-80</w:t>
            </w:r>
          </w:p>
        </w:tc>
        <w:tc>
          <w:tcPr>
            <w:tcW w:w="1350" w:type="dxa"/>
            <w:shd w:val="clear" w:color="auto" w:fill="auto"/>
            <w:vAlign w:val="bottom"/>
          </w:tcPr>
          <w:p w:rsidRPr="0003758D" w:rsidR="0003758D" w:rsidP="0003758D" w:rsidRDefault="0003758D" w14:paraId="048CC0CC" w14:textId="77777777">
            <w:pPr>
              <w:jc w:val="right"/>
              <w:rPr>
                <w:rFonts w:eastAsia="Calibri"/>
                <w:sz w:val="22"/>
                <w:szCs w:val="22"/>
              </w:rPr>
            </w:pPr>
            <w:r w:rsidRPr="0003758D">
              <w:rPr>
                <w:rFonts w:eastAsia="Calibri"/>
                <w:sz w:val="22"/>
                <w:szCs w:val="22"/>
              </w:rPr>
              <w:t>5 hrs.</w:t>
            </w:r>
          </w:p>
        </w:tc>
        <w:tc>
          <w:tcPr>
            <w:tcW w:w="2160" w:type="dxa"/>
            <w:shd w:val="clear" w:color="auto" w:fill="auto"/>
            <w:vAlign w:val="bottom"/>
          </w:tcPr>
          <w:p w:rsidRPr="0003758D" w:rsidR="0003758D" w:rsidP="0003758D" w:rsidRDefault="0003758D" w14:paraId="26CD1326" w14:textId="77777777">
            <w:pPr>
              <w:jc w:val="right"/>
              <w:rPr>
                <w:rFonts w:eastAsia="Calibri"/>
                <w:sz w:val="22"/>
                <w:szCs w:val="22"/>
              </w:rPr>
            </w:pPr>
            <w:r w:rsidRPr="0003758D">
              <w:rPr>
                <w:rFonts w:eastAsia="Calibri"/>
                <w:sz w:val="22"/>
                <w:szCs w:val="22"/>
              </w:rPr>
              <w:t>-400 hrs.</w:t>
            </w:r>
          </w:p>
        </w:tc>
      </w:tr>
      <w:bookmarkEnd w:id="9"/>
      <w:tr w:rsidRPr="0003758D" w:rsidR="0003758D" w:rsidTr="00D83060" w14:paraId="1A44EFC5" w14:textId="77777777">
        <w:trPr>
          <w:cantSplit/>
          <w:trHeight w:val="299"/>
          <w:jc w:val="center"/>
        </w:trPr>
        <w:tc>
          <w:tcPr>
            <w:tcW w:w="1686" w:type="dxa"/>
            <w:vAlign w:val="bottom"/>
          </w:tcPr>
          <w:p w:rsidRPr="0003758D" w:rsidR="0003758D" w:rsidP="0003758D" w:rsidRDefault="0003758D" w14:paraId="3AA08BDC" w14:textId="77777777">
            <w:pPr>
              <w:rPr>
                <w:rFonts w:eastAsia="Calibri"/>
                <w:bCs/>
                <w:sz w:val="22"/>
                <w:szCs w:val="22"/>
              </w:rPr>
            </w:pPr>
            <w:r w:rsidRPr="0003758D">
              <w:rPr>
                <w:rFonts w:eastAsia="Calibri"/>
                <w:bCs/>
                <w:sz w:val="22"/>
                <w:szCs w:val="22"/>
              </w:rPr>
              <w:t>PRC-006-4 (Automatic Underfrequency Load Shedding)</w:t>
            </w:r>
          </w:p>
          <w:p w:rsidRPr="0003758D" w:rsidR="0003758D" w:rsidP="0003758D" w:rsidRDefault="0003758D" w14:paraId="3C223C3B" w14:textId="77777777">
            <w:pPr>
              <w:rPr>
                <w:rFonts w:eastAsia="Calibri"/>
                <w:bCs/>
                <w:sz w:val="22"/>
                <w:szCs w:val="22"/>
              </w:rPr>
            </w:pPr>
            <w:r w:rsidRPr="0003758D">
              <w:rPr>
                <w:rFonts w:eastAsia="Calibri"/>
                <w:bCs/>
                <w:sz w:val="22"/>
                <w:szCs w:val="22"/>
              </w:rPr>
              <w:t>R1-R7, R11-R15</w:t>
            </w:r>
          </w:p>
          <w:p w:rsidRPr="0003758D" w:rsidR="0003758D" w:rsidP="0003758D" w:rsidRDefault="0003758D" w14:paraId="086D7DF3" w14:textId="77777777">
            <w:pPr>
              <w:rPr>
                <w:rFonts w:eastAsia="Calibri"/>
                <w:bCs/>
                <w:sz w:val="22"/>
                <w:szCs w:val="22"/>
              </w:rPr>
            </w:pPr>
            <w:r w:rsidRPr="0003758D">
              <w:rPr>
                <w:rFonts w:eastAsia="Calibri"/>
                <w:bCs/>
                <w:sz w:val="22"/>
                <w:szCs w:val="22"/>
              </w:rPr>
              <w:t>Reporting Requirement—program increase &amp; clarification</w:t>
            </w:r>
            <w:bookmarkStart w:name="_Ref43395262" w:id="11"/>
            <w:r w:rsidRPr="0003758D">
              <w:rPr>
                <w:rFonts w:eastAsia="Calibri"/>
                <w:b/>
                <w:bCs/>
                <w:szCs w:val="26"/>
                <w:vertAlign w:val="superscript"/>
              </w:rPr>
              <w:footnoteReference w:id="34"/>
            </w:r>
            <w:bookmarkEnd w:id="11"/>
          </w:p>
        </w:tc>
        <w:tc>
          <w:tcPr>
            <w:tcW w:w="1369" w:type="dxa"/>
            <w:shd w:val="clear" w:color="auto" w:fill="auto"/>
            <w:vAlign w:val="bottom"/>
          </w:tcPr>
          <w:p w:rsidRPr="0003758D" w:rsidR="0003758D" w:rsidP="0003758D" w:rsidRDefault="0003758D" w14:paraId="6B8596EF" w14:textId="77777777">
            <w:pPr>
              <w:jc w:val="right"/>
              <w:rPr>
                <w:rFonts w:eastAsia="Calibri"/>
                <w:sz w:val="22"/>
                <w:szCs w:val="22"/>
              </w:rPr>
            </w:pPr>
            <w:r w:rsidRPr="0003758D">
              <w:rPr>
                <w:rFonts w:eastAsia="Calibri"/>
                <w:sz w:val="22"/>
                <w:szCs w:val="22"/>
              </w:rPr>
              <w:t>64 (PC)</w:t>
            </w:r>
          </w:p>
        </w:tc>
        <w:tc>
          <w:tcPr>
            <w:tcW w:w="1260" w:type="dxa"/>
            <w:shd w:val="clear" w:color="auto" w:fill="auto"/>
            <w:vAlign w:val="bottom"/>
          </w:tcPr>
          <w:p w:rsidRPr="0003758D" w:rsidR="0003758D" w:rsidP="0003758D" w:rsidRDefault="0003758D" w14:paraId="7EFC4FD9" w14:textId="77777777">
            <w:pPr>
              <w:jc w:val="right"/>
              <w:rPr>
                <w:rFonts w:eastAsia="Calibri"/>
                <w:sz w:val="22"/>
                <w:szCs w:val="22"/>
              </w:rPr>
            </w:pPr>
            <w:r w:rsidRPr="0003758D">
              <w:rPr>
                <w:rFonts w:eastAsia="Calibri"/>
                <w:sz w:val="22"/>
                <w:szCs w:val="22"/>
              </w:rPr>
              <w:t>1</w:t>
            </w:r>
          </w:p>
        </w:tc>
        <w:tc>
          <w:tcPr>
            <w:tcW w:w="1260" w:type="dxa"/>
            <w:shd w:val="clear" w:color="auto" w:fill="auto"/>
            <w:vAlign w:val="bottom"/>
          </w:tcPr>
          <w:p w:rsidRPr="0003758D" w:rsidR="0003758D" w:rsidP="0003758D" w:rsidRDefault="0003758D" w14:paraId="30902FF1" w14:textId="77777777">
            <w:pPr>
              <w:jc w:val="right"/>
              <w:rPr>
                <w:rFonts w:eastAsia="Calibri"/>
                <w:sz w:val="22"/>
                <w:szCs w:val="22"/>
              </w:rPr>
            </w:pPr>
            <w:r w:rsidRPr="0003758D">
              <w:rPr>
                <w:rFonts w:eastAsia="Calibri"/>
                <w:sz w:val="22"/>
                <w:szCs w:val="22"/>
              </w:rPr>
              <w:t>64</w:t>
            </w:r>
          </w:p>
        </w:tc>
        <w:tc>
          <w:tcPr>
            <w:tcW w:w="1350" w:type="dxa"/>
            <w:shd w:val="clear" w:color="auto" w:fill="auto"/>
            <w:vAlign w:val="bottom"/>
          </w:tcPr>
          <w:p w:rsidRPr="0003758D" w:rsidR="0003758D" w:rsidP="0003758D" w:rsidRDefault="0003758D" w14:paraId="268C10FC" w14:textId="77777777">
            <w:pPr>
              <w:jc w:val="right"/>
              <w:rPr>
                <w:rFonts w:eastAsia="Calibri"/>
                <w:sz w:val="22"/>
                <w:szCs w:val="22"/>
              </w:rPr>
            </w:pPr>
            <w:r w:rsidRPr="0003758D">
              <w:rPr>
                <w:rFonts w:eastAsia="Calibri"/>
                <w:sz w:val="22"/>
                <w:szCs w:val="22"/>
              </w:rPr>
              <w:t>47 hrs.;</w:t>
            </w:r>
          </w:p>
        </w:tc>
        <w:tc>
          <w:tcPr>
            <w:tcW w:w="2160" w:type="dxa"/>
            <w:shd w:val="clear" w:color="auto" w:fill="auto"/>
            <w:vAlign w:val="bottom"/>
          </w:tcPr>
          <w:p w:rsidRPr="0003758D" w:rsidR="0003758D" w:rsidP="0003758D" w:rsidRDefault="0003758D" w14:paraId="6674649E" w14:textId="77777777">
            <w:pPr>
              <w:jc w:val="right"/>
              <w:rPr>
                <w:rFonts w:eastAsia="Calibri"/>
                <w:sz w:val="22"/>
                <w:szCs w:val="22"/>
              </w:rPr>
            </w:pPr>
            <w:r w:rsidRPr="0003758D">
              <w:rPr>
                <w:rFonts w:eastAsia="Calibri"/>
                <w:sz w:val="22"/>
                <w:szCs w:val="22"/>
              </w:rPr>
              <w:t>3,008 hrs.;</w:t>
            </w:r>
          </w:p>
        </w:tc>
      </w:tr>
      <w:tr w:rsidRPr="0003758D" w:rsidR="0003758D" w:rsidTr="00D83060" w14:paraId="338F338A" w14:textId="77777777">
        <w:trPr>
          <w:cantSplit/>
          <w:trHeight w:val="299"/>
          <w:jc w:val="center"/>
        </w:trPr>
        <w:tc>
          <w:tcPr>
            <w:tcW w:w="1686" w:type="dxa"/>
            <w:vAlign w:val="bottom"/>
          </w:tcPr>
          <w:p w:rsidRPr="0003758D" w:rsidR="0003758D" w:rsidP="0003758D" w:rsidRDefault="0003758D" w14:paraId="61AF2165" w14:textId="77777777">
            <w:pPr>
              <w:rPr>
                <w:rFonts w:eastAsia="Calibri"/>
                <w:bCs/>
                <w:sz w:val="22"/>
                <w:szCs w:val="22"/>
              </w:rPr>
            </w:pPr>
            <w:r w:rsidRPr="0003758D">
              <w:rPr>
                <w:rFonts w:eastAsia="Calibri"/>
                <w:bCs/>
                <w:sz w:val="22"/>
                <w:szCs w:val="22"/>
              </w:rPr>
              <w:lastRenderedPageBreak/>
              <w:t>PRC-006-4 (Automatic Underfrequency Load Shedding)</w:t>
            </w:r>
          </w:p>
          <w:p w:rsidRPr="0003758D" w:rsidR="0003758D" w:rsidP="0003758D" w:rsidRDefault="0003758D" w14:paraId="16A10ED0" w14:textId="77777777">
            <w:pPr>
              <w:rPr>
                <w:rFonts w:eastAsia="Calibri"/>
                <w:bCs/>
                <w:sz w:val="22"/>
                <w:szCs w:val="22"/>
              </w:rPr>
            </w:pPr>
            <w:r w:rsidRPr="0003758D">
              <w:rPr>
                <w:rFonts w:eastAsia="Calibri"/>
                <w:bCs/>
                <w:sz w:val="22"/>
                <w:szCs w:val="22"/>
              </w:rPr>
              <w:t>R1-R7, R11-R15</w:t>
            </w:r>
          </w:p>
          <w:p w:rsidRPr="0003758D" w:rsidR="0003758D" w:rsidP="0003758D" w:rsidRDefault="0003758D" w14:paraId="3BC2035A" w14:textId="0464B989">
            <w:pPr>
              <w:rPr>
                <w:rFonts w:eastAsia="Calibri"/>
                <w:bCs/>
                <w:sz w:val="22"/>
                <w:szCs w:val="22"/>
              </w:rPr>
            </w:pPr>
            <w:r w:rsidRPr="0003758D">
              <w:rPr>
                <w:rFonts w:eastAsia="Calibri"/>
                <w:bCs/>
                <w:sz w:val="22"/>
                <w:szCs w:val="22"/>
              </w:rPr>
              <w:t>Evidence Retention-program increase &amp; clarification</w:t>
            </w:r>
            <w:r w:rsidRPr="0003758D">
              <w:rPr>
                <w:rFonts w:eastAsia="Calibri"/>
                <w:bCs/>
                <w:sz w:val="22"/>
                <w:szCs w:val="22"/>
                <w:vertAlign w:val="superscript"/>
              </w:rPr>
              <w:fldChar w:fldCharType="begin"/>
            </w:r>
            <w:r w:rsidRPr="0003758D">
              <w:rPr>
                <w:rFonts w:eastAsia="Calibri"/>
                <w:bCs/>
                <w:sz w:val="22"/>
                <w:szCs w:val="22"/>
                <w:vertAlign w:val="superscript"/>
              </w:rPr>
              <w:instrText xml:space="preserve"> NOTEREF _Ref43395262 \h  \* MERGEFORMAT </w:instrText>
            </w:r>
            <w:r w:rsidRPr="0003758D">
              <w:rPr>
                <w:rFonts w:eastAsia="Calibri"/>
                <w:bCs/>
                <w:sz w:val="22"/>
                <w:szCs w:val="22"/>
                <w:vertAlign w:val="superscript"/>
              </w:rPr>
            </w:r>
            <w:r w:rsidRPr="0003758D">
              <w:rPr>
                <w:rFonts w:eastAsia="Calibri"/>
                <w:bCs/>
                <w:sz w:val="22"/>
                <w:szCs w:val="22"/>
                <w:vertAlign w:val="superscript"/>
              </w:rPr>
              <w:fldChar w:fldCharType="separate"/>
            </w:r>
            <w:r w:rsidRPr="00D46D0F" w:rsidR="008445A8">
              <w:rPr>
                <w:rFonts w:eastAsia="Calibri"/>
                <w:b/>
                <w:bCs/>
                <w:szCs w:val="26"/>
                <w:vertAlign w:val="superscript"/>
              </w:rPr>
              <w:t>34</w:t>
            </w:r>
            <w:r w:rsidRPr="0003758D">
              <w:rPr>
                <w:rFonts w:eastAsia="Calibri"/>
                <w:bCs/>
                <w:sz w:val="22"/>
                <w:szCs w:val="22"/>
                <w:vertAlign w:val="superscript"/>
              </w:rPr>
              <w:fldChar w:fldCharType="end"/>
            </w:r>
          </w:p>
        </w:tc>
        <w:tc>
          <w:tcPr>
            <w:tcW w:w="1369" w:type="dxa"/>
            <w:shd w:val="clear" w:color="auto" w:fill="auto"/>
            <w:vAlign w:val="bottom"/>
          </w:tcPr>
          <w:p w:rsidRPr="0003758D" w:rsidR="0003758D" w:rsidP="0003758D" w:rsidRDefault="0003758D" w14:paraId="1D07599B" w14:textId="77777777">
            <w:pPr>
              <w:jc w:val="right"/>
              <w:rPr>
                <w:rFonts w:eastAsia="Calibri"/>
                <w:sz w:val="22"/>
                <w:szCs w:val="22"/>
              </w:rPr>
            </w:pPr>
            <w:r w:rsidRPr="0003758D">
              <w:rPr>
                <w:rFonts w:eastAsia="Calibri"/>
                <w:sz w:val="22"/>
                <w:szCs w:val="22"/>
              </w:rPr>
              <w:t>64 (PC)</w:t>
            </w:r>
          </w:p>
        </w:tc>
        <w:tc>
          <w:tcPr>
            <w:tcW w:w="1260" w:type="dxa"/>
            <w:shd w:val="clear" w:color="auto" w:fill="auto"/>
            <w:vAlign w:val="bottom"/>
          </w:tcPr>
          <w:p w:rsidRPr="0003758D" w:rsidR="0003758D" w:rsidP="0003758D" w:rsidRDefault="0003758D" w14:paraId="3E0554D8" w14:textId="77777777">
            <w:pPr>
              <w:jc w:val="right"/>
              <w:rPr>
                <w:rFonts w:eastAsia="Calibri"/>
                <w:sz w:val="22"/>
                <w:szCs w:val="22"/>
              </w:rPr>
            </w:pPr>
            <w:r w:rsidRPr="0003758D">
              <w:rPr>
                <w:rFonts w:eastAsia="Calibri"/>
                <w:sz w:val="22"/>
                <w:szCs w:val="22"/>
              </w:rPr>
              <w:t>1</w:t>
            </w:r>
          </w:p>
        </w:tc>
        <w:tc>
          <w:tcPr>
            <w:tcW w:w="1260" w:type="dxa"/>
            <w:shd w:val="clear" w:color="auto" w:fill="auto"/>
            <w:vAlign w:val="bottom"/>
          </w:tcPr>
          <w:p w:rsidRPr="0003758D" w:rsidR="0003758D" w:rsidP="0003758D" w:rsidRDefault="0003758D" w14:paraId="6D94AB85" w14:textId="77777777">
            <w:pPr>
              <w:jc w:val="right"/>
              <w:rPr>
                <w:rFonts w:eastAsia="Calibri"/>
                <w:sz w:val="22"/>
                <w:szCs w:val="22"/>
              </w:rPr>
            </w:pPr>
            <w:r w:rsidRPr="0003758D">
              <w:rPr>
                <w:rFonts w:eastAsia="Calibri"/>
                <w:sz w:val="22"/>
                <w:szCs w:val="22"/>
              </w:rPr>
              <w:t>64</w:t>
            </w:r>
          </w:p>
        </w:tc>
        <w:tc>
          <w:tcPr>
            <w:tcW w:w="1350" w:type="dxa"/>
            <w:shd w:val="clear" w:color="auto" w:fill="auto"/>
            <w:vAlign w:val="bottom"/>
          </w:tcPr>
          <w:p w:rsidRPr="0003758D" w:rsidR="0003758D" w:rsidP="0003758D" w:rsidRDefault="0003758D" w14:paraId="7B851156" w14:textId="77777777">
            <w:pPr>
              <w:jc w:val="right"/>
              <w:rPr>
                <w:rFonts w:eastAsia="Calibri"/>
                <w:sz w:val="22"/>
                <w:szCs w:val="22"/>
              </w:rPr>
            </w:pPr>
            <w:r w:rsidRPr="0003758D">
              <w:rPr>
                <w:rFonts w:eastAsia="Calibri"/>
                <w:sz w:val="22"/>
                <w:szCs w:val="22"/>
              </w:rPr>
              <w:t>5 hrs.</w:t>
            </w:r>
          </w:p>
        </w:tc>
        <w:tc>
          <w:tcPr>
            <w:tcW w:w="2160" w:type="dxa"/>
            <w:shd w:val="clear" w:color="auto" w:fill="auto"/>
            <w:vAlign w:val="bottom"/>
          </w:tcPr>
          <w:p w:rsidRPr="0003758D" w:rsidR="0003758D" w:rsidP="0003758D" w:rsidRDefault="0003758D" w14:paraId="3AF7128B" w14:textId="77777777">
            <w:pPr>
              <w:jc w:val="right"/>
              <w:rPr>
                <w:rFonts w:eastAsia="Calibri"/>
                <w:sz w:val="22"/>
                <w:szCs w:val="22"/>
              </w:rPr>
            </w:pPr>
            <w:r w:rsidRPr="0003758D">
              <w:rPr>
                <w:rFonts w:eastAsia="Calibri"/>
                <w:sz w:val="22"/>
                <w:szCs w:val="22"/>
              </w:rPr>
              <w:t xml:space="preserve">320 hrs. </w:t>
            </w:r>
          </w:p>
        </w:tc>
      </w:tr>
      <w:tr w:rsidRPr="0003758D" w:rsidR="0003758D" w:rsidTr="00D83060" w14:paraId="465768B9" w14:textId="77777777">
        <w:trPr>
          <w:cantSplit/>
          <w:trHeight w:val="299"/>
          <w:jc w:val="center"/>
        </w:trPr>
        <w:tc>
          <w:tcPr>
            <w:tcW w:w="1686" w:type="dxa"/>
            <w:vAlign w:val="bottom"/>
          </w:tcPr>
          <w:p w:rsidRPr="0003758D" w:rsidR="0003758D" w:rsidP="0003758D" w:rsidRDefault="0003758D" w14:paraId="17B91532" w14:textId="77777777">
            <w:pPr>
              <w:rPr>
                <w:rFonts w:eastAsia="Calibri"/>
                <w:bCs/>
                <w:sz w:val="22"/>
                <w:szCs w:val="22"/>
              </w:rPr>
            </w:pPr>
            <w:r w:rsidRPr="0003758D">
              <w:rPr>
                <w:rFonts w:eastAsia="Calibri"/>
                <w:bCs/>
                <w:sz w:val="22"/>
                <w:szCs w:val="22"/>
              </w:rPr>
              <w:t>PRC-006-4 (Automatic Underfrequency Load Shedding)</w:t>
            </w:r>
          </w:p>
          <w:p w:rsidRPr="0003758D" w:rsidR="0003758D" w:rsidP="0003758D" w:rsidRDefault="0003758D" w14:paraId="326ECD65" w14:textId="77777777">
            <w:pPr>
              <w:rPr>
                <w:rFonts w:eastAsia="Calibri"/>
                <w:bCs/>
                <w:sz w:val="22"/>
                <w:szCs w:val="22"/>
              </w:rPr>
            </w:pPr>
            <w:r w:rsidRPr="0003758D">
              <w:rPr>
                <w:rFonts w:eastAsia="Calibri"/>
                <w:bCs/>
                <w:sz w:val="22"/>
                <w:szCs w:val="22"/>
              </w:rPr>
              <w:t>R8-R10</w:t>
            </w:r>
          </w:p>
          <w:p w:rsidRPr="0003758D" w:rsidR="0003758D" w:rsidP="0003758D" w:rsidRDefault="0003758D" w14:paraId="5FCA784D" w14:textId="77777777">
            <w:pPr>
              <w:rPr>
                <w:rFonts w:eastAsia="Calibri"/>
                <w:bCs/>
                <w:sz w:val="22"/>
                <w:szCs w:val="22"/>
              </w:rPr>
            </w:pPr>
            <w:r w:rsidRPr="0003758D">
              <w:rPr>
                <w:rFonts w:eastAsia="Calibri"/>
                <w:bCs/>
                <w:sz w:val="22"/>
                <w:szCs w:val="22"/>
              </w:rPr>
              <w:t>Evidence Retention—program increase &amp; clarification</w:t>
            </w:r>
            <w:r w:rsidRPr="0003758D">
              <w:rPr>
                <w:rFonts w:eastAsia="Calibri"/>
                <w:b/>
                <w:bCs/>
                <w:szCs w:val="26"/>
                <w:vertAlign w:val="superscript"/>
              </w:rPr>
              <w:footnoteReference w:id="35"/>
            </w:r>
          </w:p>
        </w:tc>
        <w:tc>
          <w:tcPr>
            <w:tcW w:w="1369" w:type="dxa"/>
            <w:shd w:val="clear" w:color="auto" w:fill="auto"/>
            <w:vAlign w:val="bottom"/>
          </w:tcPr>
          <w:p w:rsidRPr="0003758D" w:rsidR="0003758D" w:rsidP="0003758D" w:rsidRDefault="0003758D" w14:paraId="75760F4A" w14:textId="77777777">
            <w:pPr>
              <w:jc w:val="right"/>
              <w:rPr>
                <w:rFonts w:eastAsia="Calibri"/>
                <w:sz w:val="22"/>
                <w:szCs w:val="22"/>
              </w:rPr>
            </w:pPr>
            <w:r w:rsidRPr="0003758D">
              <w:rPr>
                <w:rFonts w:eastAsia="Calibri"/>
                <w:sz w:val="22"/>
                <w:szCs w:val="22"/>
              </w:rPr>
              <w:t>478 (TO, DP, UFLS-only DP)</w:t>
            </w:r>
          </w:p>
        </w:tc>
        <w:tc>
          <w:tcPr>
            <w:tcW w:w="1260" w:type="dxa"/>
            <w:shd w:val="clear" w:color="auto" w:fill="auto"/>
            <w:vAlign w:val="bottom"/>
          </w:tcPr>
          <w:p w:rsidRPr="0003758D" w:rsidR="0003758D" w:rsidP="0003758D" w:rsidRDefault="0003758D" w14:paraId="4D358A9C" w14:textId="77777777">
            <w:pPr>
              <w:jc w:val="right"/>
              <w:rPr>
                <w:rFonts w:eastAsia="Calibri"/>
                <w:sz w:val="22"/>
                <w:szCs w:val="22"/>
              </w:rPr>
            </w:pPr>
            <w:r w:rsidRPr="0003758D">
              <w:rPr>
                <w:rFonts w:eastAsia="Calibri"/>
                <w:sz w:val="22"/>
                <w:szCs w:val="22"/>
              </w:rPr>
              <w:t>1</w:t>
            </w:r>
          </w:p>
        </w:tc>
        <w:tc>
          <w:tcPr>
            <w:tcW w:w="1260" w:type="dxa"/>
            <w:shd w:val="clear" w:color="auto" w:fill="auto"/>
            <w:vAlign w:val="bottom"/>
          </w:tcPr>
          <w:p w:rsidRPr="0003758D" w:rsidR="0003758D" w:rsidP="0003758D" w:rsidRDefault="0003758D" w14:paraId="1A135EE9" w14:textId="77777777">
            <w:pPr>
              <w:jc w:val="right"/>
              <w:rPr>
                <w:rFonts w:eastAsia="Calibri"/>
                <w:sz w:val="22"/>
                <w:szCs w:val="22"/>
              </w:rPr>
            </w:pPr>
            <w:r w:rsidRPr="0003758D">
              <w:rPr>
                <w:rFonts w:eastAsia="Calibri"/>
                <w:sz w:val="22"/>
                <w:szCs w:val="22"/>
              </w:rPr>
              <w:t>478</w:t>
            </w:r>
          </w:p>
        </w:tc>
        <w:tc>
          <w:tcPr>
            <w:tcW w:w="1350" w:type="dxa"/>
            <w:shd w:val="clear" w:color="auto" w:fill="auto"/>
            <w:vAlign w:val="bottom"/>
          </w:tcPr>
          <w:p w:rsidRPr="0003758D" w:rsidR="0003758D" w:rsidP="0003758D" w:rsidRDefault="0003758D" w14:paraId="742CDB1F" w14:textId="77777777">
            <w:pPr>
              <w:jc w:val="right"/>
              <w:rPr>
                <w:rFonts w:eastAsia="Calibri"/>
                <w:sz w:val="22"/>
                <w:szCs w:val="22"/>
              </w:rPr>
            </w:pPr>
            <w:r w:rsidRPr="0003758D">
              <w:rPr>
                <w:rFonts w:eastAsia="Calibri"/>
                <w:sz w:val="22"/>
                <w:szCs w:val="22"/>
              </w:rPr>
              <w:t>5 hrs.</w:t>
            </w:r>
          </w:p>
        </w:tc>
        <w:tc>
          <w:tcPr>
            <w:tcW w:w="2160" w:type="dxa"/>
            <w:shd w:val="clear" w:color="auto" w:fill="auto"/>
            <w:vAlign w:val="bottom"/>
          </w:tcPr>
          <w:p w:rsidRPr="0003758D" w:rsidR="0003758D" w:rsidP="0003758D" w:rsidRDefault="0003758D" w14:paraId="77DF233A" w14:textId="77777777">
            <w:pPr>
              <w:jc w:val="right"/>
              <w:rPr>
                <w:rFonts w:eastAsia="Calibri"/>
                <w:sz w:val="22"/>
                <w:szCs w:val="22"/>
              </w:rPr>
            </w:pPr>
            <w:r w:rsidRPr="0003758D">
              <w:rPr>
                <w:rFonts w:eastAsia="Calibri"/>
                <w:sz w:val="22"/>
                <w:szCs w:val="22"/>
              </w:rPr>
              <w:t xml:space="preserve">2,390 hrs. </w:t>
            </w:r>
          </w:p>
        </w:tc>
      </w:tr>
      <w:tr w:rsidRPr="0003758D" w:rsidR="0003758D" w:rsidTr="00D83060" w14:paraId="2EBC22D8" w14:textId="77777777">
        <w:trPr>
          <w:cantSplit/>
          <w:trHeight w:val="299"/>
          <w:jc w:val="center"/>
        </w:trPr>
        <w:tc>
          <w:tcPr>
            <w:tcW w:w="1686" w:type="dxa"/>
            <w:vAlign w:val="bottom"/>
          </w:tcPr>
          <w:p w:rsidRPr="0003758D" w:rsidR="0003758D" w:rsidP="0003758D" w:rsidRDefault="0003758D" w14:paraId="22595667" w14:textId="77777777">
            <w:pPr>
              <w:rPr>
                <w:rFonts w:eastAsia="Calibri"/>
                <w:b/>
                <w:bCs/>
                <w:sz w:val="22"/>
                <w:szCs w:val="22"/>
              </w:rPr>
            </w:pPr>
            <w:r w:rsidRPr="0003758D">
              <w:rPr>
                <w:rFonts w:eastAsia="Calibri"/>
                <w:b/>
                <w:bCs/>
                <w:sz w:val="22"/>
                <w:szCs w:val="22"/>
              </w:rPr>
              <w:t>Net Sub-Total for FERC-725G</w:t>
            </w:r>
          </w:p>
        </w:tc>
        <w:tc>
          <w:tcPr>
            <w:tcW w:w="1369" w:type="dxa"/>
            <w:shd w:val="clear" w:color="auto" w:fill="D9D9D9"/>
            <w:vAlign w:val="bottom"/>
          </w:tcPr>
          <w:p w:rsidRPr="0003758D" w:rsidR="0003758D" w:rsidP="0003758D" w:rsidRDefault="0003758D" w14:paraId="5854750C" w14:textId="77777777">
            <w:pPr>
              <w:jc w:val="right"/>
              <w:rPr>
                <w:rFonts w:eastAsia="Calibri"/>
                <w:sz w:val="22"/>
                <w:szCs w:val="22"/>
              </w:rPr>
            </w:pPr>
          </w:p>
        </w:tc>
        <w:tc>
          <w:tcPr>
            <w:tcW w:w="1260" w:type="dxa"/>
            <w:shd w:val="clear" w:color="auto" w:fill="D9D9D9"/>
            <w:vAlign w:val="bottom"/>
          </w:tcPr>
          <w:p w:rsidRPr="0003758D" w:rsidR="0003758D" w:rsidP="0003758D" w:rsidRDefault="0003758D" w14:paraId="3B1B4013" w14:textId="77777777">
            <w:pPr>
              <w:jc w:val="right"/>
              <w:rPr>
                <w:rFonts w:eastAsia="Calibri"/>
                <w:sz w:val="22"/>
                <w:szCs w:val="22"/>
              </w:rPr>
            </w:pPr>
          </w:p>
        </w:tc>
        <w:tc>
          <w:tcPr>
            <w:tcW w:w="1260" w:type="dxa"/>
            <w:shd w:val="clear" w:color="auto" w:fill="auto"/>
            <w:vAlign w:val="bottom"/>
          </w:tcPr>
          <w:p w:rsidRPr="0003758D" w:rsidR="0003758D" w:rsidP="0003758D" w:rsidRDefault="0003758D" w14:paraId="1F75F644" w14:textId="77777777">
            <w:pPr>
              <w:jc w:val="right"/>
              <w:rPr>
                <w:rFonts w:eastAsia="Calibri"/>
                <w:sz w:val="22"/>
                <w:szCs w:val="22"/>
              </w:rPr>
            </w:pPr>
            <w:r w:rsidRPr="0003758D">
              <w:rPr>
                <w:rFonts w:eastAsia="Calibri"/>
                <w:sz w:val="22"/>
                <w:szCs w:val="22"/>
              </w:rPr>
              <w:t>446 (net increase)</w:t>
            </w:r>
          </w:p>
        </w:tc>
        <w:tc>
          <w:tcPr>
            <w:tcW w:w="1350" w:type="dxa"/>
            <w:shd w:val="clear" w:color="auto" w:fill="D9D9D9"/>
            <w:vAlign w:val="bottom"/>
          </w:tcPr>
          <w:p w:rsidRPr="0003758D" w:rsidR="0003758D" w:rsidP="0003758D" w:rsidRDefault="0003758D" w14:paraId="0B754E9F" w14:textId="77777777">
            <w:pPr>
              <w:jc w:val="right"/>
              <w:rPr>
                <w:rFonts w:eastAsia="Calibri"/>
                <w:sz w:val="22"/>
                <w:szCs w:val="22"/>
              </w:rPr>
            </w:pPr>
          </w:p>
        </w:tc>
        <w:tc>
          <w:tcPr>
            <w:tcW w:w="2160" w:type="dxa"/>
            <w:shd w:val="clear" w:color="auto" w:fill="auto"/>
            <w:vAlign w:val="bottom"/>
          </w:tcPr>
          <w:p w:rsidRPr="0003758D" w:rsidR="0003758D" w:rsidP="0003758D" w:rsidRDefault="0003758D" w14:paraId="2E55DAEB" w14:textId="77777777">
            <w:pPr>
              <w:jc w:val="right"/>
              <w:rPr>
                <w:rFonts w:eastAsia="Calibri"/>
                <w:sz w:val="22"/>
                <w:szCs w:val="22"/>
              </w:rPr>
            </w:pPr>
            <w:r w:rsidRPr="0003758D">
              <w:rPr>
                <w:rFonts w:eastAsia="Calibri"/>
                <w:sz w:val="22"/>
                <w:szCs w:val="22"/>
              </w:rPr>
              <w:t>1,558 hrs.</w:t>
            </w:r>
            <w:r w:rsidRPr="0003758D" w:rsidDel="00BC15D5">
              <w:rPr>
                <w:rFonts w:eastAsia="Calibri"/>
                <w:sz w:val="22"/>
                <w:szCs w:val="22"/>
              </w:rPr>
              <w:t xml:space="preserve"> </w:t>
            </w:r>
            <w:r w:rsidRPr="0003758D">
              <w:rPr>
                <w:rFonts w:eastAsia="Calibri"/>
                <w:sz w:val="22"/>
                <w:szCs w:val="22"/>
              </w:rPr>
              <w:t>(net increase)</w:t>
            </w:r>
          </w:p>
        </w:tc>
      </w:tr>
      <w:tr w:rsidRPr="0003758D" w:rsidR="0003758D" w:rsidTr="00D83060" w14:paraId="21BB7F82" w14:textId="77777777">
        <w:trPr>
          <w:cantSplit/>
          <w:trHeight w:val="299"/>
          <w:jc w:val="center"/>
        </w:trPr>
        <w:tc>
          <w:tcPr>
            <w:tcW w:w="9085" w:type="dxa"/>
            <w:gridSpan w:val="6"/>
            <w:shd w:val="pct10" w:color="auto" w:fill="auto"/>
            <w:vAlign w:val="bottom"/>
          </w:tcPr>
          <w:p w:rsidRPr="0003758D" w:rsidR="0003758D" w:rsidP="0003758D" w:rsidRDefault="0003758D" w14:paraId="02917829" w14:textId="77777777">
            <w:pPr>
              <w:jc w:val="center"/>
              <w:rPr>
                <w:rFonts w:eastAsia="Calibri"/>
                <w:sz w:val="22"/>
                <w:szCs w:val="22"/>
              </w:rPr>
            </w:pPr>
            <w:r w:rsidRPr="0003758D">
              <w:rPr>
                <w:rFonts w:eastAsia="Calibri"/>
                <w:b/>
                <w:bCs/>
                <w:iCs/>
                <w:sz w:val="22"/>
                <w:szCs w:val="22"/>
              </w:rPr>
              <w:t xml:space="preserve">FERC-725L, OMB Control No. 1902-0261 </w:t>
            </w:r>
          </w:p>
        </w:tc>
      </w:tr>
      <w:tr w:rsidRPr="0003758D" w:rsidR="0003758D" w:rsidTr="00D83060" w14:paraId="30F35AC0" w14:textId="77777777">
        <w:trPr>
          <w:cantSplit/>
          <w:trHeight w:val="299"/>
          <w:jc w:val="center"/>
        </w:trPr>
        <w:tc>
          <w:tcPr>
            <w:tcW w:w="1686" w:type="dxa"/>
            <w:vAlign w:val="bottom"/>
          </w:tcPr>
          <w:p w:rsidRPr="0003758D" w:rsidR="0003758D" w:rsidP="0003758D" w:rsidRDefault="0003758D" w14:paraId="31176410" w14:textId="77777777">
            <w:pPr>
              <w:rPr>
                <w:rFonts w:eastAsia="Calibri"/>
                <w:bCs/>
                <w:sz w:val="22"/>
                <w:szCs w:val="22"/>
              </w:rPr>
            </w:pPr>
            <w:r w:rsidRPr="0003758D">
              <w:rPr>
                <w:rFonts w:eastAsia="Calibri"/>
                <w:bCs/>
                <w:sz w:val="22"/>
                <w:szCs w:val="22"/>
              </w:rPr>
              <w:t>MOD-031-3 (Demand and Energy Data)</w:t>
            </w:r>
          </w:p>
          <w:p w:rsidRPr="0003758D" w:rsidR="0003758D" w:rsidP="0003758D" w:rsidRDefault="0003758D" w14:paraId="69668F61" w14:textId="77777777">
            <w:pPr>
              <w:rPr>
                <w:rFonts w:eastAsia="Calibri"/>
                <w:bCs/>
                <w:sz w:val="22"/>
                <w:szCs w:val="22"/>
              </w:rPr>
            </w:pPr>
            <w:r w:rsidRPr="0003758D">
              <w:rPr>
                <w:rFonts w:eastAsia="Calibri"/>
                <w:bCs/>
                <w:sz w:val="22"/>
                <w:szCs w:val="22"/>
              </w:rPr>
              <w:t>Develop summary in accordance w/ R1, Subparts 1.5.4 and 1.5.5.—program decrease &amp; adjustment / clarification</w:t>
            </w:r>
            <w:bookmarkStart w:name="_Ref43994201" w:id="12"/>
            <w:r w:rsidRPr="0003758D">
              <w:rPr>
                <w:rFonts w:eastAsia="Calibri"/>
                <w:b/>
                <w:bCs/>
                <w:szCs w:val="26"/>
                <w:vertAlign w:val="superscript"/>
              </w:rPr>
              <w:footnoteReference w:id="36"/>
            </w:r>
            <w:bookmarkEnd w:id="12"/>
          </w:p>
        </w:tc>
        <w:tc>
          <w:tcPr>
            <w:tcW w:w="1369" w:type="dxa"/>
            <w:shd w:val="clear" w:color="auto" w:fill="auto"/>
            <w:vAlign w:val="bottom"/>
          </w:tcPr>
          <w:p w:rsidRPr="0003758D" w:rsidR="0003758D" w:rsidP="0003758D" w:rsidRDefault="0003758D" w14:paraId="1E9766B7" w14:textId="77777777">
            <w:pPr>
              <w:jc w:val="right"/>
              <w:rPr>
                <w:rFonts w:eastAsia="Calibri"/>
                <w:sz w:val="22"/>
                <w:szCs w:val="22"/>
              </w:rPr>
            </w:pPr>
            <w:r w:rsidRPr="0003758D">
              <w:rPr>
                <w:rFonts w:eastAsia="Calibri"/>
                <w:sz w:val="22"/>
                <w:szCs w:val="22"/>
              </w:rPr>
              <w:t>-561 (DP, LSE, TP &amp; BA)</w:t>
            </w:r>
          </w:p>
        </w:tc>
        <w:tc>
          <w:tcPr>
            <w:tcW w:w="1260" w:type="dxa"/>
            <w:shd w:val="clear" w:color="auto" w:fill="auto"/>
            <w:vAlign w:val="bottom"/>
          </w:tcPr>
          <w:p w:rsidRPr="0003758D" w:rsidR="0003758D" w:rsidP="0003758D" w:rsidRDefault="0003758D" w14:paraId="314C323A"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532FBA4E" w14:textId="77777777">
            <w:pPr>
              <w:jc w:val="right"/>
              <w:rPr>
                <w:rFonts w:eastAsia="Calibri"/>
                <w:sz w:val="22"/>
                <w:szCs w:val="22"/>
              </w:rPr>
            </w:pPr>
            <w:r w:rsidRPr="0003758D">
              <w:rPr>
                <w:rFonts w:eastAsia="Calibri"/>
                <w:sz w:val="22"/>
                <w:szCs w:val="22"/>
              </w:rPr>
              <w:t>-561</w:t>
            </w:r>
          </w:p>
        </w:tc>
        <w:tc>
          <w:tcPr>
            <w:tcW w:w="1350" w:type="dxa"/>
            <w:shd w:val="clear" w:color="auto" w:fill="auto"/>
            <w:vAlign w:val="bottom"/>
          </w:tcPr>
          <w:p w:rsidRPr="0003758D" w:rsidR="0003758D" w:rsidP="0003758D" w:rsidRDefault="0003758D" w14:paraId="690B1701" w14:textId="77777777">
            <w:pPr>
              <w:jc w:val="right"/>
              <w:rPr>
                <w:rFonts w:eastAsia="Calibri"/>
                <w:sz w:val="22"/>
                <w:szCs w:val="22"/>
              </w:rPr>
            </w:pPr>
            <w:r w:rsidRPr="0003758D">
              <w:rPr>
                <w:rFonts w:eastAsia="Calibri"/>
                <w:sz w:val="22"/>
                <w:szCs w:val="22"/>
              </w:rPr>
              <w:t>8 hrs.</w:t>
            </w:r>
          </w:p>
        </w:tc>
        <w:tc>
          <w:tcPr>
            <w:tcW w:w="2160" w:type="dxa"/>
            <w:shd w:val="clear" w:color="auto" w:fill="auto"/>
            <w:vAlign w:val="bottom"/>
          </w:tcPr>
          <w:p w:rsidRPr="0003758D" w:rsidR="0003758D" w:rsidP="0003758D" w:rsidRDefault="0003758D" w14:paraId="697E64F1" w14:textId="77777777">
            <w:pPr>
              <w:jc w:val="right"/>
              <w:rPr>
                <w:rFonts w:eastAsia="Calibri"/>
                <w:sz w:val="22"/>
                <w:szCs w:val="22"/>
              </w:rPr>
            </w:pPr>
            <w:r w:rsidRPr="0003758D">
              <w:rPr>
                <w:rFonts w:eastAsia="Calibri"/>
                <w:sz w:val="22"/>
                <w:szCs w:val="22"/>
              </w:rPr>
              <w:t>-4,488 hrs.</w:t>
            </w:r>
          </w:p>
        </w:tc>
      </w:tr>
      <w:tr w:rsidRPr="0003758D" w:rsidR="0003758D" w:rsidTr="00D83060" w14:paraId="45B6B906" w14:textId="77777777">
        <w:trPr>
          <w:cantSplit/>
          <w:trHeight w:val="299"/>
          <w:jc w:val="center"/>
        </w:trPr>
        <w:tc>
          <w:tcPr>
            <w:tcW w:w="1686" w:type="dxa"/>
            <w:vAlign w:val="bottom"/>
          </w:tcPr>
          <w:p w:rsidRPr="0003758D" w:rsidR="0003758D" w:rsidP="0003758D" w:rsidRDefault="0003758D" w14:paraId="02ED527E" w14:textId="77777777">
            <w:pPr>
              <w:rPr>
                <w:rFonts w:eastAsia="Calibri"/>
                <w:bCs/>
                <w:sz w:val="22"/>
                <w:szCs w:val="22"/>
              </w:rPr>
            </w:pPr>
            <w:r w:rsidRPr="0003758D">
              <w:rPr>
                <w:rFonts w:eastAsia="Calibri"/>
                <w:bCs/>
                <w:sz w:val="22"/>
                <w:szCs w:val="22"/>
              </w:rPr>
              <w:lastRenderedPageBreak/>
              <w:t xml:space="preserve">MOD-031-3 (Demand and Energy Data) Develop data request in accordance w/ R1 and R3 </w:t>
            </w:r>
          </w:p>
          <w:p w:rsidRPr="0003758D" w:rsidR="0003758D" w:rsidP="0003758D" w:rsidRDefault="0003758D" w14:paraId="65825DF9" w14:textId="77777777">
            <w:pPr>
              <w:rPr>
                <w:rFonts w:eastAsia="Calibri"/>
                <w:bCs/>
                <w:sz w:val="22"/>
                <w:szCs w:val="22"/>
              </w:rPr>
            </w:pPr>
            <w:r w:rsidRPr="0003758D">
              <w:rPr>
                <w:rFonts w:eastAsia="Calibri"/>
                <w:bCs/>
                <w:sz w:val="22"/>
                <w:szCs w:val="22"/>
              </w:rPr>
              <w:t>&amp; Evidence Retention—adjustment / clarification</w:t>
            </w:r>
            <w:r w:rsidRPr="0003758D">
              <w:rPr>
                <w:rFonts w:eastAsia="Calibri"/>
                <w:b/>
                <w:bCs/>
                <w:szCs w:val="26"/>
                <w:vertAlign w:val="superscript"/>
              </w:rPr>
              <w:footnoteReference w:id="37"/>
            </w:r>
          </w:p>
        </w:tc>
        <w:tc>
          <w:tcPr>
            <w:tcW w:w="1369" w:type="dxa"/>
            <w:shd w:val="clear" w:color="auto" w:fill="auto"/>
            <w:vAlign w:val="bottom"/>
          </w:tcPr>
          <w:p w:rsidRPr="0003758D" w:rsidR="0003758D" w:rsidP="0003758D" w:rsidRDefault="0003758D" w14:paraId="555C0E1F" w14:textId="77777777">
            <w:pPr>
              <w:jc w:val="right"/>
              <w:rPr>
                <w:rFonts w:eastAsia="Calibri"/>
                <w:sz w:val="22"/>
                <w:szCs w:val="22"/>
              </w:rPr>
            </w:pPr>
            <w:r w:rsidRPr="0003758D">
              <w:rPr>
                <w:rFonts w:eastAsia="Calibri"/>
                <w:sz w:val="22"/>
                <w:szCs w:val="22"/>
              </w:rPr>
              <w:t>113 (PC &amp; BA)</w:t>
            </w:r>
          </w:p>
        </w:tc>
        <w:tc>
          <w:tcPr>
            <w:tcW w:w="1260" w:type="dxa"/>
            <w:shd w:val="clear" w:color="auto" w:fill="auto"/>
            <w:vAlign w:val="bottom"/>
          </w:tcPr>
          <w:p w:rsidRPr="0003758D" w:rsidR="0003758D" w:rsidP="0003758D" w:rsidRDefault="0003758D" w14:paraId="4796A4FC"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79443CB2" w14:textId="77777777">
            <w:pPr>
              <w:jc w:val="right"/>
              <w:rPr>
                <w:rFonts w:eastAsia="Calibri"/>
                <w:sz w:val="22"/>
                <w:szCs w:val="22"/>
              </w:rPr>
            </w:pPr>
            <w:r w:rsidRPr="0003758D">
              <w:rPr>
                <w:rFonts w:eastAsia="Calibri"/>
                <w:sz w:val="22"/>
                <w:szCs w:val="22"/>
              </w:rPr>
              <w:t>113</w:t>
            </w:r>
          </w:p>
        </w:tc>
        <w:tc>
          <w:tcPr>
            <w:tcW w:w="1350" w:type="dxa"/>
            <w:shd w:val="clear" w:color="auto" w:fill="auto"/>
            <w:vAlign w:val="bottom"/>
          </w:tcPr>
          <w:p w:rsidRPr="0003758D" w:rsidR="0003758D" w:rsidP="0003758D" w:rsidRDefault="0003758D" w14:paraId="49D9811C" w14:textId="77777777">
            <w:pPr>
              <w:jc w:val="right"/>
              <w:rPr>
                <w:rFonts w:eastAsia="Calibri"/>
                <w:sz w:val="22"/>
                <w:szCs w:val="22"/>
              </w:rPr>
            </w:pPr>
            <w:r w:rsidRPr="0003758D">
              <w:rPr>
                <w:rFonts w:eastAsia="Calibri"/>
                <w:sz w:val="22"/>
                <w:szCs w:val="22"/>
              </w:rPr>
              <w:t>8 hrs.</w:t>
            </w:r>
          </w:p>
        </w:tc>
        <w:tc>
          <w:tcPr>
            <w:tcW w:w="2160" w:type="dxa"/>
            <w:shd w:val="clear" w:color="auto" w:fill="auto"/>
            <w:vAlign w:val="bottom"/>
          </w:tcPr>
          <w:p w:rsidRPr="0003758D" w:rsidR="0003758D" w:rsidP="0003758D" w:rsidRDefault="0003758D" w14:paraId="383AE02C" w14:textId="77777777">
            <w:pPr>
              <w:jc w:val="right"/>
              <w:rPr>
                <w:rFonts w:eastAsia="Calibri"/>
                <w:sz w:val="22"/>
                <w:szCs w:val="22"/>
              </w:rPr>
            </w:pPr>
            <w:r w:rsidRPr="0003758D">
              <w:rPr>
                <w:rFonts w:eastAsia="Calibri"/>
                <w:sz w:val="22"/>
                <w:szCs w:val="22"/>
              </w:rPr>
              <w:t>904 hrs.</w:t>
            </w:r>
          </w:p>
        </w:tc>
      </w:tr>
      <w:tr w:rsidRPr="0003758D" w:rsidR="0003758D" w:rsidTr="00D83060" w14:paraId="74930CEE" w14:textId="77777777">
        <w:trPr>
          <w:cantSplit/>
          <w:trHeight w:val="299"/>
          <w:jc w:val="center"/>
        </w:trPr>
        <w:tc>
          <w:tcPr>
            <w:tcW w:w="1686" w:type="dxa"/>
            <w:vAlign w:val="bottom"/>
          </w:tcPr>
          <w:p w:rsidRPr="0003758D" w:rsidR="0003758D" w:rsidP="0003758D" w:rsidRDefault="0003758D" w14:paraId="0DE4E822" w14:textId="77777777">
            <w:pPr>
              <w:rPr>
                <w:rFonts w:eastAsia="Calibri"/>
                <w:bCs/>
                <w:sz w:val="22"/>
                <w:szCs w:val="22"/>
              </w:rPr>
            </w:pPr>
            <w:r w:rsidRPr="0003758D">
              <w:rPr>
                <w:rFonts w:eastAsia="Calibri"/>
                <w:bCs/>
                <w:sz w:val="22"/>
                <w:szCs w:val="22"/>
              </w:rPr>
              <w:t xml:space="preserve">MOD-031-3 (Demand and Energy Data) Develop and provide data in accordance w/ R2 and R4 </w:t>
            </w:r>
          </w:p>
          <w:p w:rsidRPr="0003758D" w:rsidR="0003758D" w:rsidP="0003758D" w:rsidRDefault="0003758D" w14:paraId="21AA28BC" w14:textId="272E6F59">
            <w:pPr>
              <w:rPr>
                <w:rFonts w:eastAsia="Calibri"/>
                <w:bCs/>
                <w:sz w:val="22"/>
                <w:szCs w:val="22"/>
              </w:rPr>
            </w:pPr>
            <w:r w:rsidRPr="0003758D">
              <w:rPr>
                <w:rFonts w:eastAsia="Calibri"/>
                <w:bCs/>
                <w:sz w:val="22"/>
                <w:szCs w:val="22"/>
              </w:rPr>
              <w:t>&amp; Evidence Retention—adjustment / clarification</w:t>
            </w:r>
            <w:r w:rsidRPr="0003758D">
              <w:rPr>
                <w:rFonts w:eastAsiaTheme="minorHAnsi" w:cstheme="minorBidi"/>
                <w:b/>
                <w:szCs w:val="26"/>
                <w:vertAlign w:val="superscript"/>
              </w:rPr>
              <w:fldChar w:fldCharType="begin"/>
            </w:r>
            <w:r w:rsidRPr="0003758D">
              <w:rPr>
                <w:rFonts w:eastAsiaTheme="minorHAnsi" w:cstheme="minorBidi"/>
                <w:b/>
                <w:szCs w:val="26"/>
                <w:vertAlign w:val="superscript"/>
              </w:rPr>
              <w:instrText xml:space="preserve"> NOTEREF _Ref43994201 \h  \* MERGEFORMAT </w:instrText>
            </w:r>
            <w:r w:rsidRPr="0003758D">
              <w:rPr>
                <w:rFonts w:eastAsiaTheme="minorHAnsi" w:cstheme="minorBidi"/>
                <w:b/>
                <w:szCs w:val="26"/>
                <w:vertAlign w:val="superscript"/>
              </w:rPr>
            </w:r>
            <w:r w:rsidRPr="0003758D">
              <w:rPr>
                <w:rFonts w:eastAsiaTheme="minorHAnsi" w:cstheme="minorBidi"/>
                <w:b/>
                <w:szCs w:val="26"/>
                <w:vertAlign w:val="superscript"/>
              </w:rPr>
              <w:fldChar w:fldCharType="separate"/>
            </w:r>
            <w:r w:rsidR="002E0AEA">
              <w:rPr>
                <w:rFonts w:eastAsiaTheme="minorHAnsi" w:cstheme="minorBidi"/>
                <w:b/>
                <w:szCs w:val="26"/>
                <w:vertAlign w:val="superscript"/>
              </w:rPr>
              <w:t>36</w:t>
            </w:r>
            <w:r w:rsidRPr="0003758D">
              <w:rPr>
                <w:rFonts w:eastAsiaTheme="minorHAnsi" w:cstheme="minorBidi"/>
                <w:b/>
                <w:szCs w:val="26"/>
                <w:vertAlign w:val="superscript"/>
              </w:rPr>
              <w:fldChar w:fldCharType="end"/>
            </w:r>
          </w:p>
        </w:tc>
        <w:tc>
          <w:tcPr>
            <w:tcW w:w="1369" w:type="dxa"/>
            <w:shd w:val="clear" w:color="auto" w:fill="auto"/>
            <w:vAlign w:val="bottom"/>
          </w:tcPr>
          <w:p w:rsidRPr="0003758D" w:rsidR="0003758D" w:rsidP="0003758D" w:rsidRDefault="0003758D" w14:paraId="17E9799C" w14:textId="77777777">
            <w:pPr>
              <w:jc w:val="right"/>
              <w:rPr>
                <w:rFonts w:eastAsia="Calibri"/>
                <w:sz w:val="22"/>
                <w:szCs w:val="22"/>
              </w:rPr>
            </w:pPr>
            <w:r w:rsidRPr="0003758D">
              <w:rPr>
                <w:rFonts w:eastAsia="Calibri"/>
                <w:sz w:val="22"/>
                <w:szCs w:val="22"/>
              </w:rPr>
              <w:t>381 (TP, BA &amp; DP)</w:t>
            </w:r>
          </w:p>
        </w:tc>
        <w:tc>
          <w:tcPr>
            <w:tcW w:w="1260" w:type="dxa"/>
            <w:shd w:val="clear" w:color="auto" w:fill="auto"/>
            <w:vAlign w:val="bottom"/>
          </w:tcPr>
          <w:p w:rsidRPr="0003758D" w:rsidR="0003758D" w:rsidP="0003758D" w:rsidRDefault="0003758D" w14:paraId="72EB09D2"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3DE4A750" w14:textId="77777777">
            <w:pPr>
              <w:jc w:val="right"/>
              <w:rPr>
                <w:rFonts w:eastAsia="Calibri"/>
                <w:sz w:val="22"/>
                <w:szCs w:val="22"/>
              </w:rPr>
            </w:pPr>
            <w:r w:rsidRPr="0003758D">
              <w:rPr>
                <w:rFonts w:eastAsia="Calibri"/>
                <w:sz w:val="22"/>
                <w:szCs w:val="22"/>
              </w:rPr>
              <w:t>381</w:t>
            </w:r>
          </w:p>
        </w:tc>
        <w:tc>
          <w:tcPr>
            <w:tcW w:w="1350" w:type="dxa"/>
            <w:shd w:val="clear" w:color="auto" w:fill="auto"/>
            <w:vAlign w:val="bottom"/>
          </w:tcPr>
          <w:p w:rsidRPr="0003758D" w:rsidR="0003758D" w:rsidP="0003758D" w:rsidRDefault="0003758D" w14:paraId="07F382CE" w14:textId="77777777">
            <w:pPr>
              <w:jc w:val="right"/>
              <w:rPr>
                <w:rFonts w:eastAsia="Calibri"/>
                <w:sz w:val="22"/>
                <w:szCs w:val="22"/>
              </w:rPr>
            </w:pPr>
            <w:r w:rsidRPr="0003758D">
              <w:rPr>
                <w:rFonts w:eastAsia="Calibri"/>
                <w:sz w:val="22"/>
                <w:szCs w:val="22"/>
              </w:rPr>
              <w:t>8 hrs.</w:t>
            </w:r>
          </w:p>
        </w:tc>
        <w:tc>
          <w:tcPr>
            <w:tcW w:w="2160" w:type="dxa"/>
            <w:shd w:val="clear" w:color="auto" w:fill="auto"/>
            <w:vAlign w:val="bottom"/>
          </w:tcPr>
          <w:p w:rsidRPr="0003758D" w:rsidR="0003758D" w:rsidP="0003758D" w:rsidRDefault="0003758D" w14:paraId="23EDCB0A" w14:textId="77777777">
            <w:pPr>
              <w:jc w:val="right"/>
              <w:rPr>
                <w:rFonts w:eastAsia="Calibri"/>
                <w:sz w:val="22"/>
                <w:szCs w:val="22"/>
              </w:rPr>
            </w:pPr>
            <w:r w:rsidRPr="0003758D">
              <w:rPr>
                <w:rFonts w:eastAsia="Calibri"/>
                <w:sz w:val="22"/>
                <w:szCs w:val="22"/>
              </w:rPr>
              <w:t>3,048 hrs.</w:t>
            </w:r>
            <w:r w:rsidRPr="0003758D" w:rsidDel="00BC15D5">
              <w:rPr>
                <w:rFonts w:eastAsia="Calibri"/>
                <w:sz w:val="22"/>
                <w:szCs w:val="22"/>
              </w:rPr>
              <w:t xml:space="preserve"> </w:t>
            </w:r>
          </w:p>
        </w:tc>
      </w:tr>
      <w:tr w:rsidRPr="0003758D" w:rsidR="0003758D" w:rsidTr="00D83060" w14:paraId="37331E8C" w14:textId="77777777">
        <w:trPr>
          <w:cantSplit/>
          <w:trHeight w:val="299"/>
          <w:jc w:val="center"/>
        </w:trPr>
        <w:tc>
          <w:tcPr>
            <w:tcW w:w="1686" w:type="dxa"/>
            <w:vAlign w:val="bottom"/>
          </w:tcPr>
          <w:p w:rsidRPr="0003758D" w:rsidR="0003758D" w:rsidP="0003758D" w:rsidRDefault="0003758D" w14:paraId="4863FF8B" w14:textId="77777777">
            <w:pPr>
              <w:rPr>
                <w:rFonts w:eastAsia="Calibri"/>
                <w:bCs/>
                <w:sz w:val="22"/>
                <w:szCs w:val="22"/>
              </w:rPr>
            </w:pPr>
            <w:r w:rsidRPr="0003758D">
              <w:rPr>
                <w:rFonts w:eastAsia="Calibri"/>
                <w:bCs/>
                <w:sz w:val="22"/>
                <w:szCs w:val="22"/>
              </w:rPr>
              <w:t>MOD-033-2 (Steady-State Dynamic System Model Validation)</w:t>
            </w:r>
          </w:p>
          <w:p w:rsidRPr="0003758D" w:rsidR="0003758D" w:rsidP="0003758D" w:rsidRDefault="0003758D" w14:paraId="3F4F65B7" w14:textId="77777777">
            <w:pPr>
              <w:rPr>
                <w:rFonts w:eastAsia="Calibri"/>
                <w:bCs/>
                <w:sz w:val="22"/>
                <w:szCs w:val="22"/>
              </w:rPr>
            </w:pPr>
            <w:r w:rsidRPr="0003758D">
              <w:rPr>
                <w:rFonts w:eastAsia="Calibri"/>
                <w:bCs/>
                <w:sz w:val="22"/>
                <w:szCs w:val="22"/>
              </w:rPr>
              <w:t>R2</w:t>
            </w:r>
          </w:p>
          <w:p w:rsidRPr="0003758D" w:rsidR="00C475FF" w:rsidP="0003758D" w:rsidRDefault="0003758D" w14:paraId="63FDFEBC" w14:textId="15AFB3DC">
            <w:pPr>
              <w:rPr>
                <w:rFonts w:eastAsia="Calibri"/>
                <w:bCs/>
                <w:sz w:val="22"/>
                <w:szCs w:val="22"/>
              </w:rPr>
            </w:pPr>
            <w:r w:rsidRPr="0003758D">
              <w:rPr>
                <w:rFonts w:eastAsia="Calibri"/>
                <w:bCs/>
                <w:sz w:val="22"/>
                <w:szCs w:val="22"/>
              </w:rPr>
              <w:t>Data Submittal [for R2]</w:t>
            </w:r>
            <w:r w:rsidR="00C475FF">
              <w:rPr>
                <w:rFonts w:eastAsia="Calibri"/>
                <w:bCs/>
                <w:sz w:val="22"/>
                <w:szCs w:val="22"/>
              </w:rPr>
              <w:t>—</w:t>
            </w:r>
            <w:r w:rsidRPr="0003758D">
              <w:rPr>
                <w:rFonts w:eastAsia="Calibri"/>
                <w:bCs/>
                <w:sz w:val="22"/>
                <w:szCs w:val="22"/>
              </w:rPr>
              <w:t>adjustment</w:t>
            </w:r>
          </w:p>
        </w:tc>
        <w:tc>
          <w:tcPr>
            <w:tcW w:w="1369" w:type="dxa"/>
            <w:shd w:val="clear" w:color="auto" w:fill="auto"/>
            <w:vAlign w:val="bottom"/>
          </w:tcPr>
          <w:p w:rsidRPr="0003758D" w:rsidR="0003758D" w:rsidP="0003758D" w:rsidRDefault="0003758D" w14:paraId="222269A9" w14:textId="77777777">
            <w:pPr>
              <w:jc w:val="right"/>
              <w:rPr>
                <w:rFonts w:eastAsia="Calibri"/>
                <w:sz w:val="22"/>
                <w:szCs w:val="22"/>
              </w:rPr>
            </w:pPr>
            <w:r w:rsidRPr="0003758D">
              <w:rPr>
                <w:rFonts w:eastAsia="Calibri"/>
                <w:sz w:val="22"/>
                <w:szCs w:val="22"/>
              </w:rPr>
              <w:t>-14 (RC &amp; TOP)</w:t>
            </w:r>
            <w:r w:rsidRPr="0003758D">
              <w:rPr>
                <w:rFonts w:eastAsia="Calibri"/>
                <w:b/>
                <w:bCs/>
                <w:sz w:val="22"/>
                <w:szCs w:val="22"/>
                <w:vertAlign w:val="superscript"/>
              </w:rPr>
              <w:t xml:space="preserve"> </w:t>
            </w:r>
            <w:r w:rsidRPr="0003758D">
              <w:rPr>
                <w:rFonts w:eastAsiaTheme="minorHAnsi" w:cstheme="minorBidi"/>
                <w:b/>
                <w:szCs w:val="26"/>
                <w:vertAlign w:val="superscript"/>
              </w:rPr>
              <w:footnoteReference w:id="38"/>
            </w:r>
          </w:p>
        </w:tc>
        <w:tc>
          <w:tcPr>
            <w:tcW w:w="1260" w:type="dxa"/>
            <w:shd w:val="clear" w:color="auto" w:fill="auto"/>
            <w:vAlign w:val="bottom"/>
          </w:tcPr>
          <w:p w:rsidRPr="0003758D" w:rsidR="0003758D" w:rsidP="0003758D" w:rsidRDefault="0003758D" w14:paraId="1D3C396F"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2A742447" w14:textId="77777777">
            <w:pPr>
              <w:jc w:val="right"/>
              <w:rPr>
                <w:rFonts w:eastAsia="Calibri"/>
                <w:sz w:val="22"/>
                <w:szCs w:val="22"/>
              </w:rPr>
            </w:pPr>
            <w:r w:rsidRPr="0003758D">
              <w:rPr>
                <w:rFonts w:eastAsia="Calibri"/>
                <w:sz w:val="22"/>
                <w:szCs w:val="22"/>
              </w:rPr>
              <w:t>-14</w:t>
            </w:r>
          </w:p>
        </w:tc>
        <w:tc>
          <w:tcPr>
            <w:tcW w:w="1350" w:type="dxa"/>
            <w:shd w:val="clear" w:color="auto" w:fill="auto"/>
            <w:vAlign w:val="bottom"/>
          </w:tcPr>
          <w:p w:rsidRPr="0003758D" w:rsidR="0003758D" w:rsidP="0003758D" w:rsidRDefault="0003758D" w14:paraId="44A0802C" w14:textId="77777777">
            <w:pPr>
              <w:jc w:val="right"/>
              <w:rPr>
                <w:rFonts w:eastAsia="Calibri"/>
                <w:sz w:val="22"/>
                <w:szCs w:val="22"/>
              </w:rPr>
            </w:pPr>
            <w:r w:rsidRPr="0003758D">
              <w:rPr>
                <w:rFonts w:eastAsia="Calibri"/>
                <w:sz w:val="22"/>
                <w:szCs w:val="22"/>
              </w:rPr>
              <w:t>8 hrs.</w:t>
            </w:r>
          </w:p>
        </w:tc>
        <w:tc>
          <w:tcPr>
            <w:tcW w:w="2160" w:type="dxa"/>
            <w:shd w:val="clear" w:color="auto" w:fill="auto"/>
            <w:vAlign w:val="bottom"/>
          </w:tcPr>
          <w:p w:rsidRPr="0003758D" w:rsidR="0003758D" w:rsidP="0003758D" w:rsidRDefault="0003758D" w14:paraId="5C6203A8" w14:textId="77777777">
            <w:pPr>
              <w:jc w:val="right"/>
              <w:rPr>
                <w:rFonts w:eastAsia="Calibri"/>
                <w:sz w:val="22"/>
                <w:szCs w:val="22"/>
                <w:highlight w:val="yellow"/>
              </w:rPr>
            </w:pPr>
            <w:r w:rsidRPr="0003758D">
              <w:rPr>
                <w:rFonts w:eastAsia="Calibri"/>
                <w:sz w:val="22"/>
                <w:szCs w:val="22"/>
              </w:rPr>
              <w:t>-112 hrs.;</w:t>
            </w:r>
          </w:p>
        </w:tc>
      </w:tr>
      <w:tr w:rsidRPr="0003758D" w:rsidR="0003758D" w:rsidTr="00D83060" w14:paraId="74B2D648" w14:textId="77777777">
        <w:trPr>
          <w:cantSplit/>
          <w:trHeight w:val="299"/>
          <w:jc w:val="center"/>
        </w:trPr>
        <w:tc>
          <w:tcPr>
            <w:tcW w:w="1686" w:type="dxa"/>
            <w:vAlign w:val="bottom"/>
          </w:tcPr>
          <w:p w:rsidRPr="0003758D" w:rsidR="0003758D" w:rsidP="0003758D" w:rsidRDefault="0003758D" w14:paraId="3F27A485" w14:textId="77777777">
            <w:pPr>
              <w:rPr>
                <w:rFonts w:eastAsia="Calibri"/>
                <w:bCs/>
                <w:sz w:val="22"/>
                <w:szCs w:val="22"/>
              </w:rPr>
            </w:pPr>
            <w:r w:rsidRPr="0003758D">
              <w:rPr>
                <w:rFonts w:eastAsia="Calibri"/>
                <w:bCs/>
                <w:sz w:val="22"/>
                <w:szCs w:val="22"/>
              </w:rPr>
              <w:lastRenderedPageBreak/>
              <w:t>MOD-033-2 (Steady-State Dynamic System Model Validation),R1-R2, Evidence Retention, adjustment</w:t>
            </w:r>
          </w:p>
        </w:tc>
        <w:tc>
          <w:tcPr>
            <w:tcW w:w="1369" w:type="dxa"/>
            <w:shd w:val="clear" w:color="auto" w:fill="auto"/>
            <w:vAlign w:val="bottom"/>
          </w:tcPr>
          <w:p w:rsidRPr="0003758D" w:rsidR="0003758D" w:rsidP="0003758D" w:rsidRDefault="0003758D" w14:paraId="6EDF5CFA" w14:textId="77777777">
            <w:pPr>
              <w:jc w:val="right"/>
              <w:rPr>
                <w:rFonts w:eastAsia="Calibri"/>
                <w:sz w:val="22"/>
                <w:szCs w:val="22"/>
              </w:rPr>
            </w:pPr>
            <w:r w:rsidRPr="0003758D">
              <w:rPr>
                <w:rFonts w:eastAsia="Calibri"/>
                <w:sz w:val="22"/>
                <w:szCs w:val="22"/>
              </w:rPr>
              <w:t xml:space="preserve">-14 (PC, RC &amp; TOP) </w:t>
            </w:r>
            <w:r w:rsidRPr="0003758D">
              <w:rPr>
                <w:rFonts w:eastAsia="Calibri"/>
                <w:b/>
                <w:szCs w:val="26"/>
                <w:vertAlign w:val="superscript"/>
              </w:rPr>
              <w:footnoteReference w:id="39"/>
            </w:r>
          </w:p>
        </w:tc>
        <w:tc>
          <w:tcPr>
            <w:tcW w:w="1260" w:type="dxa"/>
            <w:shd w:val="clear" w:color="auto" w:fill="auto"/>
            <w:vAlign w:val="bottom"/>
          </w:tcPr>
          <w:p w:rsidRPr="0003758D" w:rsidR="0003758D" w:rsidP="0003758D" w:rsidRDefault="0003758D" w14:paraId="09FEDAC9" w14:textId="77777777">
            <w:pPr>
              <w:jc w:val="right"/>
              <w:rPr>
                <w:rFonts w:eastAsia="Calibri"/>
                <w:sz w:val="22"/>
                <w:szCs w:val="22"/>
              </w:rPr>
            </w:pPr>
            <w:r w:rsidRPr="0003758D">
              <w:rPr>
                <w:rFonts w:eastAsia="Calibri"/>
                <w:sz w:val="22"/>
                <w:szCs w:val="22"/>
              </w:rPr>
              <w:t>1</w:t>
            </w:r>
          </w:p>
        </w:tc>
        <w:tc>
          <w:tcPr>
            <w:tcW w:w="1260" w:type="dxa"/>
            <w:vAlign w:val="bottom"/>
          </w:tcPr>
          <w:p w:rsidRPr="0003758D" w:rsidR="0003758D" w:rsidP="0003758D" w:rsidRDefault="0003758D" w14:paraId="111BFD28" w14:textId="77777777">
            <w:pPr>
              <w:jc w:val="right"/>
              <w:rPr>
                <w:rFonts w:eastAsia="Calibri"/>
                <w:sz w:val="22"/>
                <w:szCs w:val="22"/>
              </w:rPr>
            </w:pPr>
            <w:r w:rsidRPr="0003758D">
              <w:rPr>
                <w:rFonts w:eastAsia="Calibri"/>
                <w:sz w:val="22"/>
                <w:szCs w:val="22"/>
              </w:rPr>
              <w:t>-14</w:t>
            </w:r>
          </w:p>
        </w:tc>
        <w:tc>
          <w:tcPr>
            <w:tcW w:w="1350" w:type="dxa"/>
            <w:shd w:val="clear" w:color="auto" w:fill="auto"/>
            <w:vAlign w:val="bottom"/>
          </w:tcPr>
          <w:p w:rsidRPr="0003758D" w:rsidR="0003758D" w:rsidP="0003758D" w:rsidRDefault="0003758D" w14:paraId="79CB9A7B" w14:textId="77777777">
            <w:pPr>
              <w:jc w:val="right"/>
              <w:rPr>
                <w:rFonts w:eastAsia="Calibri"/>
                <w:sz w:val="22"/>
                <w:szCs w:val="22"/>
              </w:rPr>
            </w:pPr>
            <w:r w:rsidRPr="0003758D">
              <w:rPr>
                <w:rFonts w:eastAsia="Calibri"/>
                <w:sz w:val="22"/>
                <w:szCs w:val="22"/>
              </w:rPr>
              <w:t>1 hr.</w:t>
            </w:r>
          </w:p>
        </w:tc>
        <w:tc>
          <w:tcPr>
            <w:tcW w:w="2160" w:type="dxa"/>
            <w:shd w:val="clear" w:color="auto" w:fill="auto"/>
            <w:vAlign w:val="bottom"/>
          </w:tcPr>
          <w:p w:rsidRPr="0003758D" w:rsidR="0003758D" w:rsidP="0003758D" w:rsidRDefault="0003758D" w14:paraId="12F24E4F" w14:textId="77777777">
            <w:pPr>
              <w:jc w:val="right"/>
              <w:rPr>
                <w:rFonts w:eastAsia="Calibri"/>
                <w:sz w:val="22"/>
                <w:szCs w:val="22"/>
                <w:highlight w:val="yellow"/>
              </w:rPr>
            </w:pPr>
            <w:r w:rsidRPr="0003758D">
              <w:rPr>
                <w:rFonts w:eastAsia="Calibri"/>
                <w:sz w:val="22"/>
                <w:szCs w:val="22"/>
              </w:rPr>
              <w:t>-14 hrs.</w:t>
            </w:r>
          </w:p>
        </w:tc>
      </w:tr>
      <w:tr w:rsidRPr="0003758D" w:rsidR="0003758D" w:rsidTr="00D83060" w14:paraId="0897BBB9" w14:textId="77777777">
        <w:trPr>
          <w:cantSplit/>
          <w:trHeight w:val="299"/>
          <w:jc w:val="center"/>
        </w:trPr>
        <w:tc>
          <w:tcPr>
            <w:tcW w:w="1686" w:type="dxa"/>
            <w:vAlign w:val="bottom"/>
          </w:tcPr>
          <w:p w:rsidRPr="0003758D" w:rsidR="0003758D" w:rsidP="0003758D" w:rsidRDefault="0003758D" w14:paraId="0BD38118" w14:textId="77777777">
            <w:pPr>
              <w:rPr>
                <w:rFonts w:eastAsia="Calibri"/>
                <w:b/>
                <w:bCs/>
                <w:sz w:val="22"/>
                <w:szCs w:val="22"/>
              </w:rPr>
            </w:pPr>
            <w:r w:rsidRPr="0003758D">
              <w:rPr>
                <w:rFonts w:eastAsia="Calibri"/>
                <w:b/>
                <w:bCs/>
                <w:sz w:val="22"/>
                <w:szCs w:val="22"/>
              </w:rPr>
              <w:t>Net Sub-Total for FERC-725L</w:t>
            </w:r>
          </w:p>
        </w:tc>
        <w:tc>
          <w:tcPr>
            <w:tcW w:w="1369" w:type="dxa"/>
            <w:shd w:val="clear" w:color="auto" w:fill="D9D9D9"/>
            <w:vAlign w:val="bottom"/>
          </w:tcPr>
          <w:p w:rsidRPr="0003758D" w:rsidR="0003758D" w:rsidP="0003758D" w:rsidRDefault="0003758D" w14:paraId="4C0C2FCA" w14:textId="77777777">
            <w:pPr>
              <w:jc w:val="right"/>
              <w:rPr>
                <w:rFonts w:eastAsia="Calibri"/>
                <w:sz w:val="22"/>
                <w:szCs w:val="22"/>
              </w:rPr>
            </w:pPr>
          </w:p>
        </w:tc>
        <w:tc>
          <w:tcPr>
            <w:tcW w:w="1260" w:type="dxa"/>
            <w:shd w:val="clear" w:color="auto" w:fill="D9D9D9"/>
            <w:vAlign w:val="bottom"/>
          </w:tcPr>
          <w:p w:rsidRPr="0003758D" w:rsidR="0003758D" w:rsidP="0003758D" w:rsidRDefault="0003758D" w14:paraId="0A922975" w14:textId="77777777">
            <w:pPr>
              <w:jc w:val="right"/>
              <w:rPr>
                <w:rFonts w:eastAsia="Calibri"/>
                <w:sz w:val="22"/>
                <w:szCs w:val="22"/>
              </w:rPr>
            </w:pPr>
          </w:p>
        </w:tc>
        <w:tc>
          <w:tcPr>
            <w:tcW w:w="1260" w:type="dxa"/>
            <w:shd w:val="clear" w:color="auto" w:fill="auto"/>
            <w:vAlign w:val="bottom"/>
          </w:tcPr>
          <w:p w:rsidRPr="0003758D" w:rsidR="0003758D" w:rsidP="0003758D" w:rsidRDefault="0003758D" w14:paraId="244D3583" w14:textId="77777777">
            <w:pPr>
              <w:jc w:val="right"/>
              <w:rPr>
                <w:rFonts w:eastAsia="Calibri"/>
                <w:sz w:val="22"/>
                <w:szCs w:val="22"/>
              </w:rPr>
            </w:pPr>
            <w:r w:rsidRPr="0003758D">
              <w:rPr>
                <w:rFonts w:eastAsia="Calibri"/>
                <w:sz w:val="22"/>
                <w:szCs w:val="22"/>
              </w:rPr>
              <w:t>-95 (net reduction)</w:t>
            </w:r>
          </w:p>
        </w:tc>
        <w:tc>
          <w:tcPr>
            <w:tcW w:w="1350" w:type="dxa"/>
            <w:shd w:val="clear" w:color="auto" w:fill="D9D9D9"/>
            <w:vAlign w:val="bottom"/>
          </w:tcPr>
          <w:p w:rsidRPr="0003758D" w:rsidR="0003758D" w:rsidP="0003758D" w:rsidRDefault="0003758D" w14:paraId="410AAB6C" w14:textId="77777777">
            <w:pPr>
              <w:jc w:val="right"/>
              <w:rPr>
                <w:rFonts w:eastAsia="Calibri"/>
                <w:sz w:val="22"/>
                <w:szCs w:val="22"/>
              </w:rPr>
            </w:pPr>
          </w:p>
        </w:tc>
        <w:tc>
          <w:tcPr>
            <w:tcW w:w="2160" w:type="dxa"/>
            <w:shd w:val="clear" w:color="auto" w:fill="auto"/>
            <w:vAlign w:val="bottom"/>
          </w:tcPr>
          <w:p w:rsidRPr="0003758D" w:rsidR="0003758D" w:rsidP="0003758D" w:rsidRDefault="0003758D" w14:paraId="515F16FD" w14:textId="77777777">
            <w:pPr>
              <w:jc w:val="right"/>
              <w:rPr>
                <w:rFonts w:eastAsia="Calibri"/>
                <w:sz w:val="22"/>
                <w:szCs w:val="22"/>
              </w:rPr>
            </w:pPr>
            <w:r w:rsidRPr="0003758D">
              <w:rPr>
                <w:rFonts w:eastAsia="Calibri"/>
                <w:sz w:val="22"/>
                <w:szCs w:val="22"/>
              </w:rPr>
              <w:t>-662 hrs.;</w:t>
            </w:r>
          </w:p>
          <w:p w:rsidRPr="0003758D" w:rsidR="0003758D" w:rsidP="0003758D" w:rsidRDefault="0003758D" w14:paraId="4801D00F" w14:textId="77777777">
            <w:pPr>
              <w:jc w:val="right"/>
              <w:rPr>
                <w:rFonts w:eastAsia="Calibri"/>
                <w:sz w:val="22"/>
                <w:szCs w:val="22"/>
              </w:rPr>
            </w:pPr>
            <w:r w:rsidRPr="0003758D">
              <w:rPr>
                <w:rFonts w:eastAsia="Calibri"/>
                <w:sz w:val="22"/>
                <w:szCs w:val="22"/>
              </w:rPr>
              <w:t>(net reduction)</w:t>
            </w:r>
          </w:p>
        </w:tc>
      </w:tr>
      <w:tr w:rsidRPr="0003758D" w:rsidR="0003758D" w:rsidTr="00D83060" w14:paraId="27EA9302" w14:textId="77777777">
        <w:trPr>
          <w:cantSplit/>
          <w:trHeight w:val="299"/>
          <w:jc w:val="center"/>
        </w:trPr>
        <w:tc>
          <w:tcPr>
            <w:tcW w:w="1686" w:type="dxa"/>
            <w:vAlign w:val="bottom"/>
          </w:tcPr>
          <w:p w:rsidRPr="0003758D" w:rsidR="0003758D" w:rsidP="0003758D" w:rsidRDefault="0003758D" w14:paraId="7AE83BA2" w14:textId="77777777">
            <w:pPr>
              <w:rPr>
                <w:rFonts w:eastAsia="Calibri"/>
                <w:b/>
                <w:bCs/>
                <w:sz w:val="22"/>
                <w:szCs w:val="22"/>
              </w:rPr>
            </w:pPr>
            <w:r w:rsidRPr="0003758D">
              <w:rPr>
                <w:rFonts w:eastAsia="Calibri"/>
                <w:b/>
                <w:bCs/>
                <w:sz w:val="22"/>
                <w:szCs w:val="22"/>
              </w:rPr>
              <w:t>Net Total Program Changes</w:t>
            </w:r>
            <w:r w:rsidRPr="0003758D" w:rsidDel="00FB5864">
              <w:rPr>
                <w:rFonts w:eastAsia="Calibri"/>
                <w:b/>
                <w:bCs/>
                <w:sz w:val="22"/>
                <w:szCs w:val="22"/>
              </w:rPr>
              <w:t xml:space="preserve"> </w:t>
            </w:r>
            <w:bookmarkStart w:name="_Ref45528630" w:id="13"/>
            <w:r w:rsidRPr="0003758D">
              <w:rPr>
                <w:rFonts w:eastAsia="Calibri"/>
                <w:bCs/>
                <w:szCs w:val="26"/>
                <w:vertAlign w:val="superscript"/>
              </w:rPr>
              <w:footnoteReference w:id="40"/>
            </w:r>
            <w:bookmarkEnd w:id="13"/>
          </w:p>
        </w:tc>
        <w:tc>
          <w:tcPr>
            <w:tcW w:w="1369" w:type="dxa"/>
            <w:shd w:val="clear" w:color="auto" w:fill="D9D9D9"/>
            <w:vAlign w:val="bottom"/>
          </w:tcPr>
          <w:p w:rsidRPr="0003758D" w:rsidR="0003758D" w:rsidP="0003758D" w:rsidRDefault="0003758D" w14:paraId="3A44C02B" w14:textId="77777777">
            <w:pPr>
              <w:jc w:val="right"/>
              <w:rPr>
                <w:rFonts w:eastAsia="Calibri"/>
                <w:sz w:val="22"/>
                <w:szCs w:val="22"/>
                <w:highlight w:val="lightGray"/>
              </w:rPr>
            </w:pPr>
          </w:p>
        </w:tc>
        <w:tc>
          <w:tcPr>
            <w:tcW w:w="1260" w:type="dxa"/>
            <w:shd w:val="clear" w:color="auto" w:fill="D9D9D9"/>
            <w:vAlign w:val="bottom"/>
          </w:tcPr>
          <w:p w:rsidRPr="0003758D" w:rsidR="0003758D" w:rsidP="0003758D" w:rsidRDefault="0003758D" w14:paraId="7A8D1772" w14:textId="77777777">
            <w:pPr>
              <w:jc w:val="right"/>
              <w:rPr>
                <w:rFonts w:eastAsia="Calibri"/>
                <w:sz w:val="22"/>
                <w:szCs w:val="22"/>
                <w:highlight w:val="lightGray"/>
              </w:rPr>
            </w:pPr>
          </w:p>
        </w:tc>
        <w:tc>
          <w:tcPr>
            <w:tcW w:w="1260" w:type="dxa"/>
            <w:tcBorders>
              <w:bottom w:val="single" w:color="auto" w:sz="4" w:space="0"/>
            </w:tcBorders>
            <w:shd w:val="clear" w:color="auto" w:fill="D9D9D9" w:themeFill="background1" w:themeFillShade="D9"/>
            <w:vAlign w:val="bottom"/>
          </w:tcPr>
          <w:p w:rsidRPr="0003758D" w:rsidR="0003758D" w:rsidP="0003758D" w:rsidRDefault="0003758D" w14:paraId="11C96ADA" w14:textId="77777777">
            <w:pPr>
              <w:jc w:val="right"/>
              <w:rPr>
                <w:rFonts w:eastAsia="Calibri"/>
                <w:sz w:val="22"/>
                <w:szCs w:val="22"/>
              </w:rPr>
            </w:pPr>
          </w:p>
        </w:tc>
        <w:tc>
          <w:tcPr>
            <w:tcW w:w="1350" w:type="dxa"/>
            <w:shd w:val="clear" w:color="auto" w:fill="D9D9D9"/>
            <w:vAlign w:val="bottom"/>
          </w:tcPr>
          <w:p w:rsidRPr="0003758D" w:rsidR="0003758D" w:rsidP="0003758D" w:rsidRDefault="0003758D" w14:paraId="7714D92D" w14:textId="77777777">
            <w:pPr>
              <w:jc w:val="right"/>
              <w:rPr>
                <w:rFonts w:eastAsia="Calibri"/>
                <w:sz w:val="22"/>
                <w:szCs w:val="22"/>
              </w:rPr>
            </w:pPr>
          </w:p>
        </w:tc>
        <w:tc>
          <w:tcPr>
            <w:tcW w:w="2160" w:type="dxa"/>
            <w:shd w:val="clear" w:color="auto" w:fill="auto"/>
            <w:vAlign w:val="bottom"/>
          </w:tcPr>
          <w:p w:rsidRPr="0003758D" w:rsidR="0003758D" w:rsidP="0003758D" w:rsidRDefault="0003758D" w14:paraId="75DC8516" w14:textId="77777777">
            <w:pPr>
              <w:jc w:val="right"/>
              <w:rPr>
                <w:rFonts w:eastAsia="Calibri"/>
                <w:sz w:val="22"/>
                <w:szCs w:val="22"/>
              </w:rPr>
            </w:pPr>
            <w:r w:rsidRPr="0003758D">
              <w:rPr>
                <w:rFonts w:eastAsia="Calibri"/>
                <w:sz w:val="22"/>
                <w:szCs w:val="22"/>
              </w:rPr>
              <w:t>+8,812 hrs.</w:t>
            </w:r>
          </w:p>
        </w:tc>
      </w:tr>
      <w:tr w:rsidRPr="0003758D" w:rsidR="0003758D" w:rsidTr="00D83060" w14:paraId="2640E5A4" w14:textId="77777777">
        <w:trPr>
          <w:cantSplit/>
          <w:trHeight w:val="299"/>
          <w:jc w:val="center"/>
        </w:trPr>
        <w:tc>
          <w:tcPr>
            <w:tcW w:w="1686" w:type="dxa"/>
            <w:vAlign w:val="bottom"/>
          </w:tcPr>
          <w:p w:rsidRPr="0003758D" w:rsidR="0003758D" w:rsidP="0003758D" w:rsidRDefault="0003758D" w14:paraId="6D166A7F" w14:textId="3B72741C">
            <w:pPr>
              <w:rPr>
                <w:rFonts w:eastAsia="Calibri"/>
                <w:b/>
                <w:bCs/>
                <w:sz w:val="22"/>
                <w:szCs w:val="22"/>
              </w:rPr>
            </w:pPr>
            <w:r w:rsidRPr="0003758D">
              <w:rPr>
                <w:rFonts w:eastAsia="Calibri"/>
                <w:b/>
                <w:bCs/>
                <w:sz w:val="22"/>
                <w:szCs w:val="22"/>
              </w:rPr>
              <w:t xml:space="preserve">Net Total Adjustments </w:t>
            </w:r>
          </w:p>
        </w:tc>
        <w:tc>
          <w:tcPr>
            <w:tcW w:w="1369" w:type="dxa"/>
            <w:shd w:val="clear" w:color="auto" w:fill="D9D9D9"/>
            <w:vAlign w:val="bottom"/>
          </w:tcPr>
          <w:p w:rsidRPr="0003758D" w:rsidR="0003758D" w:rsidP="0003758D" w:rsidRDefault="0003758D" w14:paraId="100081E0" w14:textId="77777777">
            <w:pPr>
              <w:jc w:val="right"/>
              <w:rPr>
                <w:rFonts w:eastAsia="Calibri"/>
                <w:sz w:val="22"/>
                <w:szCs w:val="22"/>
                <w:highlight w:val="lightGray"/>
              </w:rPr>
            </w:pPr>
          </w:p>
        </w:tc>
        <w:tc>
          <w:tcPr>
            <w:tcW w:w="1260" w:type="dxa"/>
            <w:shd w:val="clear" w:color="auto" w:fill="D9D9D9"/>
            <w:vAlign w:val="bottom"/>
          </w:tcPr>
          <w:p w:rsidRPr="0003758D" w:rsidR="0003758D" w:rsidP="0003758D" w:rsidRDefault="0003758D" w14:paraId="7E832C0A" w14:textId="77777777">
            <w:pPr>
              <w:jc w:val="right"/>
              <w:rPr>
                <w:rFonts w:eastAsia="Calibri"/>
                <w:sz w:val="22"/>
                <w:szCs w:val="22"/>
                <w:highlight w:val="lightGray"/>
              </w:rPr>
            </w:pPr>
          </w:p>
        </w:tc>
        <w:tc>
          <w:tcPr>
            <w:tcW w:w="1260" w:type="dxa"/>
            <w:shd w:val="clear" w:color="auto" w:fill="D9D9D9" w:themeFill="background1" w:themeFillShade="D9"/>
            <w:vAlign w:val="bottom"/>
          </w:tcPr>
          <w:p w:rsidRPr="0003758D" w:rsidR="0003758D" w:rsidP="0003758D" w:rsidRDefault="0003758D" w14:paraId="093D6848" w14:textId="77777777">
            <w:pPr>
              <w:jc w:val="right"/>
              <w:rPr>
                <w:rFonts w:eastAsia="Calibri"/>
                <w:sz w:val="22"/>
                <w:szCs w:val="22"/>
              </w:rPr>
            </w:pPr>
          </w:p>
        </w:tc>
        <w:tc>
          <w:tcPr>
            <w:tcW w:w="1350" w:type="dxa"/>
            <w:shd w:val="clear" w:color="auto" w:fill="D9D9D9"/>
            <w:vAlign w:val="bottom"/>
          </w:tcPr>
          <w:p w:rsidRPr="0003758D" w:rsidR="0003758D" w:rsidP="0003758D" w:rsidRDefault="0003758D" w14:paraId="13D65452" w14:textId="77777777">
            <w:pPr>
              <w:jc w:val="right"/>
              <w:rPr>
                <w:rFonts w:eastAsia="Calibri"/>
                <w:sz w:val="22"/>
                <w:szCs w:val="22"/>
              </w:rPr>
            </w:pPr>
          </w:p>
        </w:tc>
        <w:tc>
          <w:tcPr>
            <w:tcW w:w="2160" w:type="dxa"/>
            <w:shd w:val="clear" w:color="auto" w:fill="auto"/>
            <w:vAlign w:val="bottom"/>
          </w:tcPr>
          <w:p w:rsidRPr="0003758D" w:rsidR="0003758D" w:rsidP="0003758D" w:rsidRDefault="0003758D" w14:paraId="206D902E" w14:textId="77777777">
            <w:pPr>
              <w:jc w:val="right"/>
              <w:rPr>
                <w:rFonts w:eastAsia="Calibri"/>
                <w:sz w:val="22"/>
                <w:szCs w:val="22"/>
              </w:rPr>
            </w:pPr>
            <w:r w:rsidRPr="0003758D">
              <w:rPr>
                <w:rFonts w:eastAsia="Calibri"/>
                <w:sz w:val="22"/>
                <w:szCs w:val="22"/>
              </w:rPr>
              <w:t>+12,517 hrs.</w:t>
            </w:r>
          </w:p>
        </w:tc>
      </w:tr>
      <w:tr w:rsidRPr="0003758D" w:rsidR="0003758D" w:rsidTr="00D83060" w14:paraId="431B7BD9" w14:textId="77777777">
        <w:trPr>
          <w:cantSplit/>
          <w:trHeight w:val="299"/>
          <w:jc w:val="center"/>
        </w:trPr>
        <w:tc>
          <w:tcPr>
            <w:tcW w:w="1686" w:type="dxa"/>
            <w:vAlign w:val="bottom"/>
          </w:tcPr>
          <w:p w:rsidRPr="0003758D" w:rsidR="0003758D" w:rsidP="0003758D" w:rsidRDefault="0003758D" w14:paraId="22B68F82" w14:textId="30DD3AA7">
            <w:pPr>
              <w:rPr>
                <w:rFonts w:eastAsia="Calibri"/>
                <w:b/>
                <w:bCs/>
                <w:sz w:val="22"/>
                <w:szCs w:val="22"/>
              </w:rPr>
            </w:pPr>
            <w:r w:rsidRPr="0003758D">
              <w:rPr>
                <w:rFonts w:eastAsia="Calibri"/>
                <w:b/>
                <w:bCs/>
                <w:sz w:val="22"/>
                <w:szCs w:val="22"/>
              </w:rPr>
              <w:t>TOTAL NET CHANGES (Including Program Changes and Adjustments)</w:t>
            </w:r>
            <w:r w:rsidRPr="0003758D">
              <w:rPr>
                <w:rFonts w:eastAsia="Calibri"/>
                <w:szCs w:val="26"/>
                <w:vertAlign w:val="superscript"/>
              </w:rPr>
              <w:fldChar w:fldCharType="begin"/>
            </w:r>
            <w:r w:rsidRPr="0003758D">
              <w:rPr>
                <w:rFonts w:eastAsia="Calibri"/>
                <w:szCs w:val="26"/>
                <w:vertAlign w:val="superscript"/>
              </w:rPr>
              <w:instrText xml:space="preserve"> NOTEREF _Ref45528630 \h  \* MERGEFORMAT </w:instrText>
            </w:r>
            <w:r w:rsidRPr="0003758D">
              <w:rPr>
                <w:rFonts w:eastAsia="Calibri"/>
                <w:szCs w:val="26"/>
                <w:vertAlign w:val="superscript"/>
              </w:rPr>
            </w:r>
            <w:r w:rsidRPr="0003758D">
              <w:rPr>
                <w:rFonts w:eastAsia="Calibri"/>
                <w:szCs w:val="26"/>
                <w:vertAlign w:val="superscript"/>
              </w:rPr>
              <w:fldChar w:fldCharType="separate"/>
            </w:r>
            <w:r w:rsidRPr="00D46D0F" w:rsidR="007835DD">
              <w:rPr>
                <w:rFonts w:eastAsia="Calibri"/>
                <w:b/>
                <w:bCs/>
                <w:szCs w:val="26"/>
                <w:vertAlign w:val="superscript"/>
              </w:rPr>
              <w:t>40</w:t>
            </w:r>
            <w:r w:rsidRPr="0003758D">
              <w:rPr>
                <w:rFonts w:eastAsia="Calibri"/>
                <w:szCs w:val="26"/>
                <w:vertAlign w:val="superscript"/>
              </w:rPr>
              <w:fldChar w:fldCharType="end"/>
            </w:r>
          </w:p>
        </w:tc>
        <w:tc>
          <w:tcPr>
            <w:tcW w:w="1369" w:type="dxa"/>
            <w:shd w:val="clear" w:color="auto" w:fill="D9D9D9"/>
            <w:vAlign w:val="bottom"/>
          </w:tcPr>
          <w:p w:rsidRPr="0003758D" w:rsidR="0003758D" w:rsidP="0003758D" w:rsidRDefault="0003758D" w14:paraId="50AC3A47" w14:textId="77777777">
            <w:pPr>
              <w:jc w:val="right"/>
              <w:rPr>
                <w:rFonts w:eastAsia="Calibri"/>
                <w:sz w:val="22"/>
                <w:szCs w:val="22"/>
                <w:highlight w:val="lightGray"/>
              </w:rPr>
            </w:pPr>
          </w:p>
        </w:tc>
        <w:tc>
          <w:tcPr>
            <w:tcW w:w="1260" w:type="dxa"/>
            <w:shd w:val="clear" w:color="auto" w:fill="D9D9D9"/>
            <w:vAlign w:val="bottom"/>
          </w:tcPr>
          <w:p w:rsidRPr="0003758D" w:rsidR="0003758D" w:rsidP="0003758D" w:rsidRDefault="0003758D" w14:paraId="7A449DA4" w14:textId="77777777">
            <w:pPr>
              <w:jc w:val="right"/>
              <w:rPr>
                <w:rFonts w:eastAsia="Calibri"/>
                <w:sz w:val="22"/>
                <w:szCs w:val="22"/>
                <w:highlight w:val="lightGray"/>
              </w:rPr>
            </w:pPr>
          </w:p>
        </w:tc>
        <w:tc>
          <w:tcPr>
            <w:tcW w:w="1260" w:type="dxa"/>
            <w:shd w:val="clear" w:color="auto" w:fill="D9D9D9" w:themeFill="background1" w:themeFillShade="D9"/>
            <w:vAlign w:val="bottom"/>
          </w:tcPr>
          <w:p w:rsidRPr="0003758D" w:rsidR="0003758D" w:rsidP="0003758D" w:rsidRDefault="0003758D" w14:paraId="35609357" w14:textId="77777777">
            <w:pPr>
              <w:jc w:val="right"/>
              <w:rPr>
                <w:rFonts w:eastAsia="Calibri"/>
                <w:sz w:val="22"/>
                <w:szCs w:val="22"/>
              </w:rPr>
            </w:pPr>
          </w:p>
        </w:tc>
        <w:tc>
          <w:tcPr>
            <w:tcW w:w="1350" w:type="dxa"/>
            <w:shd w:val="clear" w:color="auto" w:fill="D9D9D9"/>
            <w:vAlign w:val="bottom"/>
          </w:tcPr>
          <w:p w:rsidRPr="0003758D" w:rsidR="0003758D" w:rsidP="0003758D" w:rsidRDefault="0003758D" w14:paraId="550146B2" w14:textId="77777777">
            <w:pPr>
              <w:jc w:val="right"/>
              <w:rPr>
                <w:rFonts w:eastAsia="Calibri"/>
                <w:sz w:val="22"/>
                <w:szCs w:val="22"/>
              </w:rPr>
            </w:pPr>
          </w:p>
        </w:tc>
        <w:tc>
          <w:tcPr>
            <w:tcW w:w="2160" w:type="dxa"/>
            <w:shd w:val="clear" w:color="auto" w:fill="auto"/>
            <w:vAlign w:val="bottom"/>
          </w:tcPr>
          <w:p w:rsidRPr="0003758D" w:rsidR="0003758D" w:rsidP="0003758D" w:rsidRDefault="0003758D" w14:paraId="2D020F8E" w14:textId="77777777">
            <w:pPr>
              <w:jc w:val="right"/>
              <w:rPr>
                <w:rFonts w:eastAsia="Calibri"/>
                <w:sz w:val="22"/>
                <w:szCs w:val="22"/>
              </w:rPr>
            </w:pPr>
            <w:r w:rsidRPr="0003758D">
              <w:rPr>
                <w:rFonts w:eastAsia="Calibri"/>
                <w:sz w:val="22"/>
                <w:szCs w:val="22"/>
              </w:rPr>
              <w:t>+21,329 hrs.</w:t>
            </w:r>
          </w:p>
        </w:tc>
      </w:tr>
    </w:tbl>
    <w:p w:rsidRPr="0003758D" w:rsidR="0003758D" w:rsidP="0003758D" w:rsidRDefault="0003758D" w14:paraId="772BE351" w14:textId="11FAC5B4">
      <w:pPr>
        <w:spacing w:before="240" w:line="480" w:lineRule="auto"/>
      </w:pPr>
      <w:r w:rsidRPr="0003758D">
        <w:rPr>
          <w:i/>
        </w:rPr>
        <w:t xml:space="preserve">Comments:  </w:t>
      </w:r>
      <w:r w:rsidRPr="0003758D">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Pr="009D58B8" w:rsidR="009D58B8" w:rsidP="009D58B8" w:rsidRDefault="009D58B8" w14:paraId="5E223FB7" w14:textId="62ABC918">
      <w:pPr>
        <w:ind w:firstLine="2606"/>
        <w:jc w:val="center"/>
      </w:pPr>
      <w:r w:rsidRPr="009D58B8">
        <w:t>Nathaniel J. Davis, Sr.,</w:t>
      </w:r>
    </w:p>
    <w:p w:rsidR="009D58B8" w:rsidP="00C475FF" w:rsidRDefault="009D58B8" w14:paraId="0072144B" w14:textId="11D952FD">
      <w:pPr>
        <w:ind w:firstLine="2606"/>
        <w:jc w:val="center"/>
      </w:pPr>
      <w:r w:rsidRPr="009D58B8">
        <w:t>Deputy Secretary.</w:t>
      </w:r>
      <w:r w:rsidR="00C475FF">
        <w:t xml:space="preserve"> </w:t>
      </w:r>
    </w:p>
    <w:sectPr w:rsidR="009D58B8" w:rsidSect="00C475F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5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A554D" w14:textId="77777777" w:rsidR="006D4A84" w:rsidRDefault="006D4A84" w:rsidP="00B01B16">
      <w:r>
        <w:separator/>
      </w:r>
    </w:p>
  </w:endnote>
  <w:endnote w:type="continuationSeparator" w:id="0">
    <w:p w14:paraId="5F2F17C6" w14:textId="77777777" w:rsidR="006D4A84" w:rsidRDefault="006D4A84"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0658" w14:textId="77777777" w:rsidR="007835DD" w:rsidRDefault="00783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513F" w14:textId="77777777" w:rsidR="007835DD" w:rsidRDefault="00783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282AA" w14:textId="77777777" w:rsidR="007835DD" w:rsidRDefault="0078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543A8" w14:textId="77777777" w:rsidR="006D4A84" w:rsidRDefault="006D4A84" w:rsidP="00B01B16">
      <w:r>
        <w:separator/>
      </w:r>
    </w:p>
  </w:footnote>
  <w:footnote w:type="continuationSeparator" w:id="0">
    <w:p w14:paraId="1896327A" w14:textId="77777777" w:rsidR="006D4A84" w:rsidRDefault="006D4A84" w:rsidP="00B01B16">
      <w:r>
        <w:continuationSeparator/>
      </w:r>
    </w:p>
  </w:footnote>
  <w:footnote w:id="1">
    <w:p w14:paraId="1BC779FB" w14:textId="7A1C2B6D" w:rsidR="00F607E3" w:rsidRPr="000D6C70" w:rsidRDefault="009B011B">
      <w:pPr>
        <w:pStyle w:val="FootnoteText"/>
        <w:rPr>
          <w:sz w:val="26"/>
          <w:szCs w:val="26"/>
        </w:rPr>
      </w:pPr>
      <w:r>
        <w:rPr>
          <w:sz w:val="26"/>
          <w:szCs w:val="26"/>
        </w:rPr>
        <w:tab/>
      </w:r>
      <w:r w:rsidR="00F607E3" w:rsidRPr="00F607E3">
        <w:rPr>
          <w:rStyle w:val="FootnoteReference"/>
        </w:rPr>
        <w:footnoteRef/>
      </w:r>
      <w:r w:rsidR="00F607E3" w:rsidRPr="000D6C70">
        <w:rPr>
          <w:sz w:val="26"/>
          <w:szCs w:val="26"/>
        </w:rPr>
        <w:t xml:space="preserve"> The 60-day Notice </w:t>
      </w:r>
      <w:r w:rsidR="00F607E3">
        <w:rPr>
          <w:sz w:val="26"/>
          <w:szCs w:val="26"/>
        </w:rPr>
        <w:t>also proposed changes to the FERC-725A (</w:t>
      </w:r>
      <w:r w:rsidR="00515F81">
        <w:rPr>
          <w:sz w:val="26"/>
          <w:szCs w:val="26"/>
        </w:rPr>
        <w:t xml:space="preserve">OMB Control No. </w:t>
      </w:r>
      <w:r w:rsidR="00F607E3">
        <w:rPr>
          <w:sz w:val="26"/>
          <w:szCs w:val="26"/>
        </w:rPr>
        <w:t>1902-0244) and FERC-725Z (</w:t>
      </w:r>
      <w:r w:rsidR="00515F81">
        <w:rPr>
          <w:sz w:val="26"/>
          <w:szCs w:val="26"/>
        </w:rPr>
        <w:t xml:space="preserve">OMB Control No. </w:t>
      </w:r>
      <w:r w:rsidR="00F607E3">
        <w:rPr>
          <w:sz w:val="26"/>
          <w:szCs w:val="26"/>
        </w:rPr>
        <w:t>1902-0276).  However other items are pending OMB review under FERC-725A and FERC-725Z</w:t>
      </w:r>
      <w:r w:rsidR="00EF65BD">
        <w:rPr>
          <w:sz w:val="26"/>
          <w:szCs w:val="26"/>
        </w:rPr>
        <w:t>,</w:t>
      </w:r>
      <w:r w:rsidR="00F607E3">
        <w:rPr>
          <w:sz w:val="26"/>
          <w:szCs w:val="26"/>
        </w:rPr>
        <w:t xml:space="preserve"> and only one item per OMB Control No. can be pending OMB review at a time.  In order to submit the proposed changes in Docket No. RD20-4</w:t>
      </w:r>
      <w:r w:rsidR="007835DD">
        <w:rPr>
          <w:sz w:val="26"/>
          <w:szCs w:val="26"/>
        </w:rPr>
        <w:t>-000</w:t>
      </w:r>
      <w:r w:rsidR="004E6394" w:rsidRPr="004E6394">
        <w:rPr>
          <w:sz w:val="26"/>
          <w:szCs w:val="26"/>
        </w:rPr>
        <w:t xml:space="preserve"> </w:t>
      </w:r>
      <w:r w:rsidR="004E6394">
        <w:rPr>
          <w:sz w:val="26"/>
          <w:szCs w:val="26"/>
        </w:rPr>
        <w:t>to OMB timely</w:t>
      </w:r>
      <w:r w:rsidR="00D50B57">
        <w:rPr>
          <w:sz w:val="26"/>
          <w:szCs w:val="26"/>
        </w:rPr>
        <w:t>, we are submitting the proposed changes for FERC-725A and FERC-725Z to OMB under the placeholder informat</w:t>
      </w:r>
      <w:r w:rsidR="00EF65BD">
        <w:rPr>
          <w:sz w:val="26"/>
          <w:szCs w:val="26"/>
        </w:rPr>
        <w:t>i</w:t>
      </w:r>
      <w:r w:rsidR="00D50B57">
        <w:rPr>
          <w:sz w:val="26"/>
          <w:szCs w:val="26"/>
        </w:rPr>
        <w:t>on collection FERC-725A(1B) (OMB Control No. 1902</w:t>
      </w:r>
      <w:r w:rsidR="00EC7881">
        <w:rPr>
          <w:sz w:val="26"/>
          <w:szCs w:val="26"/>
        </w:rPr>
        <w:t>-</w:t>
      </w:r>
      <w:r w:rsidR="00D50B57">
        <w:rPr>
          <w:sz w:val="26"/>
          <w:szCs w:val="26"/>
        </w:rPr>
        <w:t>0292).</w:t>
      </w:r>
      <w:r w:rsidR="004E6394">
        <w:rPr>
          <w:sz w:val="26"/>
          <w:szCs w:val="26"/>
        </w:rPr>
        <w:t xml:space="preserve"> </w:t>
      </w:r>
    </w:p>
  </w:footnote>
  <w:footnote w:id="2">
    <w:p w14:paraId="7CD0F70F" w14:textId="77777777" w:rsidR="004C700E" w:rsidRDefault="004C700E" w:rsidP="004C700E">
      <w:pPr>
        <w:pStyle w:val="FootnoteText"/>
        <w:ind w:firstLine="720"/>
        <w:rPr>
          <w:sz w:val="26"/>
          <w:szCs w:val="26"/>
        </w:rPr>
      </w:pPr>
      <w:r w:rsidRPr="004F4CD7">
        <w:rPr>
          <w:rStyle w:val="FootnoteReference"/>
        </w:rPr>
        <w:footnoteRef/>
      </w:r>
      <w:r w:rsidRPr="004F4CD7">
        <w:rPr>
          <w:sz w:val="26"/>
          <w:szCs w:val="26"/>
        </w:rPr>
        <w:t xml:space="preserve"> The petition and exhibits are posted in the Commission’s eLibrary system in Docket No. RD</w:t>
      </w:r>
      <w:r>
        <w:rPr>
          <w:sz w:val="26"/>
          <w:szCs w:val="26"/>
        </w:rPr>
        <w:t>20</w:t>
      </w:r>
      <w:r w:rsidRPr="004F4CD7">
        <w:rPr>
          <w:sz w:val="26"/>
          <w:szCs w:val="26"/>
        </w:rPr>
        <w:t>-</w:t>
      </w:r>
      <w:r>
        <w:rPr>
          <w:sz w:val="26"/>
          <w:szCs w:val="26"/>
        </w:rPr>
        <w:t>4</w:t>
      </w:r>
      <w:r w:rsidRPr="004F4CD7">
        <w:rPr>
          <w:sz w:val="26"/>
          <w:szCs w:val="26"/>
        </w:rPr>
        <w:t xml:space="preserve">-000 </w:t>
      </w:r>
      <w:hyperlink r:id="rId1" w:history="1">
        <w:r w:rsidRPr="004F4CD7">
          <w:rPr>
            <w:rStyle w:val="Hyperlink"/>
            <w:sz w:val="26"/>
            <w:szCs w:val="26"/>
          </w:rPr>
          <w:t>(</w:t>
        </w:r>
        <w:r>
          <w:rPr>
            <w:rStyle w:val="Hyperlink"/>
            <w:sz w:val="26"/>
            <w:szCs w:val="26"/>
          </w:rPr>
          <w:t>Standards Alignment with Registration</w:t>
        </w:r>
        <w:r w:rsidRPr="004F4CD7">
          <w:rPr>
            <w:rStyle w:val="Hyperlink"/>
            <w:sz w:val="26"/>
            <w:szCs w:val="26"/>
          </w:rPr>
          <w:t xml:space="preserve"> Petition)</w:t>
        </w:r>
      </w:hyperlink>
      <w:r w:rsidRPr="004F4CD7">
        <w:rPr>
          <w:sz w:val="26"/>
          <w:szCs w:val="26"/>
        </w:rPr>
        <w:t>.</w:t>
      </w:r>
    </w:p>
    <w:p w14:paraId="77A2FD92" w14:textId="77777777" w:rsidR="004C700E" w:rsidRPr="004F4CD7" w:rsidRDefault="004C700E" w:rsidP="004C700E">
      <w:pPr>
        <w:pStyle w:val="FootnoteText"/>
        <w:ind w:firstLine="720"/>
        <w:rPr>
          <w:sz w:val="26"/>
          <w:szCs w:val="26"/>
        </w:rPr>
      </w:pPr>
    </w:p>
  </w:footnote>
  <w:footnote w:id="3">
    <w:p w14:paraId="42E6C572" w14:textId="77777777" w:rsidR="004C700E" w:rsidRDefault="004C700E" w:rsidP="004C700E">
      <w:pPr>
        <w:pStyle w:val="FootnoteText"/>
        <w:ind w:firstLine="720"/>
        <w:rPr>
          <w:sz w:val="26"/>
          <w:szCs w:val="26"/>
        </w:rPr>
      </w:pPr>
      <w:r>
        <w:rPr>
          <w:rStyle w:val="FootnoteReference"/>
        </w:rPr>
        <w:footnoteRef/>
      </w:r>
      <w:r>
        <w:t xml:space="preserve"> </w:t>
      </w:r>
      <w:r w:rsidRPr="003E1402">
        <w:rPr>
          <w:sz w:val="26"/>
          <w:szCs w:val="26"/>
        </w:rPr>
        <w:t>16 U.S.C. § 824o (</w:t>
      </w:r>
      <w:r w:rsidRPr="00E807A5">
        <w:rPr>
          <w:sz w:val="26"/>
          <w:szCs w:val="26"/>
        </w:rPr>
        <w:t>2018</w:t>
      </w:r>
      <w:r w:rsidRPr="003E1402">
        <w:rPr>
          <w:sz w:val="26"/>
          <w:szCs w:val="26"/>
        </w:rPr>
        <w:t>).</w:t>
      </w:r>
    </w:p>
    <w:p w14:paraId="2A31868C" w14:textId="77777777" w:rsidR="004C700E" w:rsidRPr="003E1402" w:rsidRDefault="004C700E" w:rsidP="004C700E">
      <w:pPr>
        <w:pStyle w:val="FootnoteText"/>
        <w:ind w:firstLine="720"/>
        <w:rPr>
          <w:sz w:val="26"/>
          <w:szCs w:val="26"/>
        </w:rPr>
      </w:pPr>
    </w:p>
  </w:footnote>
  <w:footnote w:id="4">
    <w:p w14:paraId="4903846C" w14:textId="36EB9141" w:rsidR="004C700E" w:rsidRDefault="004C700E" w:rsidP="004C700E">
      <w:pPr>
        <w:pStyle w:val="FootnoteText"/>
        <w:ind w:firstLine="720"/>
        <w:rPr>
          <w:sz w:val="26"/>
          <w:szCs w:val="26"/>
        </w:rPr>
      </w:pPr>
      <w:r>
        <w:rPr>
          <w:rStyle w:val="FootnoteReference"/>
        </w:rPr>
        <w:footnoteRef/>
      </w:r>
      <w:r>
        <w:t xml:space="preserve"> </w:t>
      </w:r>
      <w:r w:rsidRPr="003E1402">
        <w:rPr>
          <w:sz w:val="26"/>
          <w:szCs w:val="26"/>
        </w:rPr>
        <w:t>18 CFR 39.5 (</w:t>
      </w:r>
      <w:r w:rsidR="00423041">
        <w:rPr>
          <w:sz w:val="26"/>
          <w:szCs w:val="26"/>
        </w:rPr>
        <w:t>2020</w:t>
      </w:r>
      <w:r w:rsidRPr="003E1402">
        <w:rPr>
          <w:sz w:val="26"/>
          <w:szCs w:val="26"/>
        </w:rPr>
        <w:t>).</w:t>
      </w:r>
    </w:p>
    <w:p w14:paraId="26FBFBBA" w14:textId="77777777" w:rsidR="004C700E" w:rsidRPr="003E1402" w:rsidRDefault="004C700E" w:rsidP="004C700E">
      <w:pPr>
        <w:pStyle w:val="FootnoteText"/>
        <w:ind w:firstLine="720"/>
        <w:rPr>
          <w:sz w:val="26"/>
          <w:szCs w:val="26"/>
        </w:rPr>
      </w:pPr>
    </w:p>
  </w:footnote>
  <w:footnote w:id="5">
    <w:p w14:paraId="2BF4D5E7" w14:textId="77777777" w:rsidR="004C700E" w:rsidRDefault="004C700E" w:rsidP="004C700E">
      <w:pPr>
        <w:pStyle w:val="FootnoteText"/>
        <w:ind w:firstLine="720"/>
        <w:rPr>
          <w:sz w:val="26"/>
          <w:szCs w:val="26"/>
        </w:rPr>
      </w:pPr>
      <w:r>
        <w:rPr>
          <w:rStyle w:val="FootnoteReference"/>
        </w:rPr>
        <w:footnoteRef/>
      </w:r>
      <w:r>
        <w:t xml:space="preserve"> </w:t>
      </w:r>
      <w:r w:rsidRPr="003A5DB0">
        <w:rPr>
          <w:i/>
          <w:iCs/>
          <w:sz w:val="26"/>
          <w:szCs w:val="26"/>
        </w:rPr>
        <w:t>Order on Electric Reliability Organization Risk Based Registration Initiative and Requiring Compliance Filing</w:t>
      </w:r>
      <w:r w:rsidRPr="003358FD">
        <w:rPr>
          <w:sz w:val="26"/>
          <w:szCs w:val="26"/>
        </w:rPr>
        <w:t>, 150 FERC ¶ 61,213</w:t>
      </w:r>
      <w:r>
        <w:rPr>
          <w:sz w:val="26"/>
          <w:szCs w:val="26"/>
        </w:rPr>
        <w:t xml:space="preserve"> </w:t>
      </w:r>
      <w:r w:rsidRPr="003358FD">
        <w:rPr>
          <w:sz w:val="26"/>
          <w:szCs w:val="26"/>
        </w:rPr>
        <w:t>(2015)</w:t>
      </w:r>
      <w:r>
        <w:rPr>
          <w:sz w:val="26"/>
          <w:szCs w:val="26"/>
        </w:rPr>
        <w:t>;</w:t>
      </w:r>
      <w:r w:rsidRPr="003358FD">
        <w:rPr>
          <w:sz w:val="26"/>
          <w:szCs w:val="26"/>
        </w:rPr>
        <w:t xml:space="preserve"> </w:t>
      </w:r>
      <w:r w:rsidRPr="003A5DB0">
        <w:rPr>
          <w:i/>
          <w:iCs/>
          <w:sz w:val="26"/>
          <w:szCs w:val="26"/>
        </w:rPr>
        <w:t>Order on Compliance Filing</w:t>
      </w:r>
      <w:r w:rsidRPr="003358FD">
        <w:rPr>
          <w:sz w:val="26"/>
          <w:szCs w:val="26"/>
        </w:rPr>
        <w:t>, 153 FERC ¶ 61,024 (2015).</w:t>
      </w:r>
    </w:p>
    <w:p w14:paraId="6ABED5C2" w14:textId="77777777" w:rsidR="004C700E" w:rsidRPr="003358FD" w:rsidRDefault="004C700E" w:rsidP="004C700E">
      <w:pPr>
        <w:pStyle w:val="FootnoteText"/>
        <w:ind w:firstLine="720"/>
        <w:rPr>
          <w:sz w:val="26"/>
          <w:szCs w:val="26"/>
        </w:rPr>
      </w:pPr>
    </w:p>
  </w:footnote>
  <w:footnote w:id="6">
    <w:p w14:paraId="361B6153" w14:textId="77777777" w:rsidR="004C700E" w:rsidRDefault="004C700E" w:rsidP="004C700E">
      <w:pPr>
        <w:pStyle w:val="FootnoteText"/>
        <w:ind w:firstLine="720"/>
        <w:rPr>
          <w:sz w:val="26"/>
          <w:szCs w:val="26"/>
        </w:rPr>
      </w:pPr>
      <w:r>
        <w:rPr>
          <w:rStyle w:val="FootnoteReference"/>
        </w:rPr>
        <w:footnoteRef/>
      </w:r>
      <w:r>
        <w:t xml:space="preserve"> </w:t>
      </w:r>
      <w:r>
        <w:rPr>
          <w:sz w:val="26"/>
          <w:szCs w:val="26"/>
        </w:rPr>
        <w:t>NERC’s risk-based registration initiative resulted in the removal of the load-serving entity and purchasing-selling entity from the NERC compliance registry.</w:t>
      </w:r>
    </w:p>
    <w:p w14:paraId="53716B91" w14:textId="77777777" w:rsidR="004C700E" w:rsidRPr="005C2307" w:rsidRDefault="004C700E" w:rsidP="004C700E">
      <w:pPr>
        <w:pStyle w:val="FootnoteText"/>
        <w:ind w:firstLine="720"/>
        <w:rPr>
          <w:sz w:val="26"/>
          <w:szCs w:val="26"/>
        </w:rPr>
      </w:pPr>
      <w:r>
        <w:rPr>
          <w:sz w:val="26"/>
          <w:szCs w:val="26"/>
        </w:rPr>
        <w:t xml:space="preserve"> </w:t>
      </w:r>
    </w:p>
  </w:footnote>
  <w:footnote w:id="7">
    <w:p w14:paraId="41387F47"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2" w:history="1">
        <w:r>
          <w:rPr>
            <w:rStyle w:val="Hyperlink"/>
            <w:sz w:val="26"/>
            <w:szCs w:val="26"/>
          </w:rPr>
          <w:t>Standards Alignment with Registration Petition</w:t>
        </w:r>
      </w:hyperlink>
      <w:r>
        <w:rPr>
          <w:rStyle w:val="Hyperlink"/>
          <w:sz w:val="26"/>
          <w:szCs w:val="26"/>
        </w:rPr>
        <w:t xml:space="preserve"> at 7.</w:t>
      </w:r>
    </w:p>
    <w:p w14:paraId="2F77AC52" w14:textId="77777777" w:rsidR="004C700E" w:rsidRDefault="004C700E" w:rsidP="004C700E">
      <w:pPr>
        <w:pStyle w:val="FootnoteText"/>
      </w:pPr>
    </w:p>
  </w:footnote>
  <w:footnote w:id="8">
    <w:p w14:paraId="1D1AA45A"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current version of this standard, TOP-003-3, is </w:t>
      </w:r>
      <w:r w:rsidRPr="004F4CD7">
        <w:rPr>
          <w:sz w:val="26"/>
          <w:szCs w:val="26"/>
        </w:rPr>
        <w:t xml:space="preserve">included in </w:t>
      </w:r>
      <w:r>
        <w:rPr>
          <w:sz w:val="26"/>
          <w:szCs w:val="26"/>
        </w:rPr>
        <w:t>FERC-725A.</w:t>
      </w:r>
    </w:p>
    <w:p w14:paraId="221FCD04" w14:textId="77777777" w:rsidR="004C700E" w:rsidRDefault="004C700E" w:rsidP="004C700E">
      <w:pPr>
        <w:pStyle w:val="FootnoteText"/>
        <w:ind w:firstLine="720"/>
      </w:pPr>
    </w:p>
  </w:footnote>
  <w:footnote w:id="9">
    <w:p w14:paraId="3908CE66"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3" w:history="1">
        <w:r>
          <w:rPr>
            <w:rStyle w:val="Hyperlink"/>
            <w:sz w:val="26"/>
            <w:szCs w:val="26"/>
          </w:rPr>
          <w:t>Standards Alignment with Registration Petition</w:t>
        </w:r>
      </w:hyperlink>
      <w:r>
        <w:rPr>
          <w:rStyle w:val="Hyperlink"/>
          <w:sz w:val="26"/>
          <w:szCs w:val="26"/>
        </w:rPr>
        <w:t xml:space="preserve"> at 14.</w:t>
      </w:r>
    </w:p>
    <w:p w14:paraId="21E2DE85" w14:textId="77777777" w:rsidR="004C700E" w:rsidRDefault="004C700E" w:rsidP="004C700E">
      <w:pPr>
        <w:pStyle w:val="FootnoteText"/>
        <w:ind w:firstLine="720"/>
      </w:pPr>
    </w:p>
  </w:footnote>
  <w:footnote w:id="10">
    <w:p w14:paraId="177F6864"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current version of this standard, FAC-002-2, is </w:t>
      </w:r>
      <w:r w:rsidRPr="004F4CD7">
        <w:rPr>
          <w:sz w:val="26"/>
          <w:szCs w:val="26"/>
        </w:rPr>
        <w:t xml:space="preserve">included in </w:t>
      </w:r>
      <w:r>
        <w:rPr>
          <w:sz w:val="26"/>
          <w:szCs w:val="26"/>
        </w:rPr>
        <w:t>FERC-725D.</w:t>
      </w:r>
    </w:p>
    <w:p w14:paraId="0DD4702A" w14:textId="77777777" w:rsidR="004C700E" w:rsidRPr="00497CBC" w:rsidRDefault="004C700E" w:rsidP="004C700E">
      <w:pPr>
        <w:pStyle w:val="FootnoteText"/>
        <w:ind w:firstLine="720"/>
        <w:rPr>
          <w:sz w:val="26"/>
          <w:szCs w:val="26"/>
        </w:rPr>
      </w:pPr>
    </w:p>
  </w:footnote>
  <w:footnote w:id="11">
    <w:p w14:paraId="29DFB8B3"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4" w:history="1">
        <w:r>
          <w:rPr>
            <w:rStyle w:val="Hyperlink"/>
            <w:sz w:val="26"/>
            <w:szCs w:val="26"/>
          </w:rPr>
          <w:t>Standards Alignment with Registration Petition</w:t>
        </w:r>
      </w:hyperlink>
      <w:r>
        <w:rPr>
          <w:rStyle w:val="Hyperlink"/>
          <w:sz w:val="26"/>
          <w:szCs w:val="26"/>
        </w:rPr>
        <w:t xml:space="preserve"> at 8.</w:t>
      </w:r>
    </w:p>
    <w:p w14:paraId="06BD82C6" w14:textId="77777777" w:rsidR="004C700E" w:rsidRDefault="004C700E" w:rsidP="004C700E">
      <w:pPr>
        <w:pStyle w:val="FootnoteText"/>
      </w:pPr>
    </w:p>
  </w:footnote>
  <w:footnote w:id="12">
    <w:p w14:paraId="2F4E8DF1"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current version of this standard, NUC-001-3, is </w:t>
      </w:r>
      <w:r w:rsidRPr="004F4CD7">
        <w:rPr>
          <w:sz w:val="26"/>
          <w:szCs w:val="26"/>
        </w:rPr>
        <w:t xml:space="preserve">included in </w:t>
      </w:r>
      <w:r>
        <w:rPr>
          <w:sz w:val="26"/>
          <w:szCs w:val="26"/>
        </w:rPr>
        <w:t>FERC-725F.</w:t>
      </w:r>
    </w:p>
    <w:p w14:paraId="73A8303D" w14:textId="77777777" w:rsidR="004C700E" w:rsidRDefault="004C700E" w:rsidP="004C700E">
      <w:pPr>
        <w:pStyle w:val="FootnoteText"/>
        <w:ind w:firstLine="720"/>
      </w:pPr>
    </w:p>
  </w:footnote>
  <w:footnote w:id="13">
    <w:p w14:paraId="164F7E43"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5" w:history="1">
        <w:r>
          <w:rPr>
            <w:rStyle w:val="Hyperlink"/>
            <w:sz w:val="26"/>
            <w:szCs w:val="26"/>
          </w:rPr>
          <w:t>Standards Alignment with Registration Petition</w:t>
        </w:r>
      </w:hyperlink>
      <w:r>
        <w:rPr>
          <w:rStyle w:val="Hyperlink"/>
          <w:sz w:val="26"/>
          <w:szCs w:val="26"/>
        </w:rPr>
        <w:t xml:space="preserve"> at 12.</w:t>
      </w:r>
    </w:p>
    <w:p w14:paraId="02AB8B9D" w14:textId="77777777" w:rsidR="004C700E" w:rsidRDefault="004C700E" w:rsidP="004C700E">
      <w:pPr>
        <w:pStyle w:val="FootnoteText"/>
        <w:ind w:firstLine="720"/>
      </w:pPr>
    </w:p>
  </w:footnote>
  <w:footnote w:id="14">
    <w:p w14:paraId="0A17AD27"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Commission approved standard, PRC-006-2, is </w:t>
      </w:r>
      <w:r w:rsidRPr="004F4CD7">
        <w:rPr>
          <w:sz w:val="26"/>
          <w:szCs w:val="26"/>
        </w:rPr>
        <w:t xml:space="preserve">included in </w:t>
      </w:r>
      <w:r>
        <w:rPr>
          <w:sz w:val="26"/>
          <w:szCs w:val="26"/>
        </w:rPr>
        <w:t>FERC-725G.  The current version of this standard, PRC-006-3, was adopted by the NERC Board of Trustees on August 10, 2017.  Reliability Standard PRC-006-3 was not submitted to the Commission for approval because it is identical to the Commission-approved version, PRC-006-2.  The only change was a revision to the regional variance for the Quebec Interconnection and does not impact the requirements for entities in the United States.</w:t>
      </w:r>
    </w:p>
    <w:p w14:paraId="495A5D9A" w14:textId="77777777" w:rsidR="004C700E" w:rsidRDefault="004C700E" w:rsidP="004C700E">
      <w:pPr>
        <w:pStyle w:val="FootnoteText"/>
        <w:ind w:firstLine="720"/>
      </w:pPr>
    </w:p>
  </w:footnote>
  <w:footnote w:id="15">
    <w:p w14:paraId="2AC5C2C4"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6" w:history="1">
        <w:r>
          <w:rPr>
            <w:rStyle w:val="Hyperlink"/>
            <w:sz w:val="26"/>
            <w:szCs w:val="26"/>
          </w:rPr>
          <w:t>Standards Alignment with Registration Petition</w:t>
        </w:r>
      </w:hyperlink>
      <w:r>
        <w:rPr>
          <w:rStyle w:val="Hyperlink"/>
          <w:sz w:val="26"/>
          <w:szCs w:val="26"/>
        </w:rPr>
        <w:t xml:space="preserve"> at 13.</w:t>
      </w:r>
    </w:p>
    <w:p w14:paraId="7FCD9DFC" w14:textId="77777777" w:rsidR="004C700E" w:rsidRDefault="004C700E" w:rsidP="004C700E">
      <w:pPr>
        <w:pStyle w:val="FootnoteText"/>
        <w:ind w:firstLine="720"/>
      </w:pPr>
    </w:p>
  </w:footnote>
  <w:footnote w:id="16">
    <w:p w14:paraId="0E32C303"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current version of this standard, MOD-031-2, is </w:t>
      </w:r>
      <w:r w:rsidRPr="004F4CD7">
        <w:rPr>
          <w:sz w:val="26"/>
          <w:szCs w:val="26"/>
        </w:rPr>
        <w:t xml:space="preserve">included in </w:t>
      </w:r>
      <w:r>
        <w:rPr>
          <w:sz w:val="26"/>
          <w:szCs w:val="26"/>
        </w:rPr>
        <w:t>FERC-725L.</w:t>
      </w:r>
    </w:p>
    <w:p w14:paraId="4C70044F" w14:textId="77777777" w:rsidR="004C700E" w:rsidRDefault="004C700E" w:rsidP="004C700E">
      <w:pPr>
        <w:pStyle w:val="FootnoteText"/>
        <w:ind w:firstLine="720"/>
      </w:pPr>
    </w:p>
  </w:footnote>
  <w:footnote w:id="17">
    <w:p w14:paraId="006229B6"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7" w:history="1">
        <w:r>
          <w:rPr>
            <w:rStyle w:val="Hyperlink"/>
            <w:sz w:val="26"/>
            <w:szCs w:val="26"/>
          </w:rPr>
          <w:t>Standards Alignment with Registration Petition</w:t>
        </w:r>
      </w:hyperlink>
      <w:r>
        <w:rPr>
          <w:rStyle w:val="Hyperlink"/>
          <w:sz w:val="26"/>
          <w:szCs w:val="26"/>
        </w:rPr>
        <w:t xml:space="preserve"> at 10.</w:t>
      </w:r>
    </w:p>
    <w:p w14:paraId="50E6EAE1" w14:textId="77777777" w:rsidR="004C700E" w:rsidRDefault="004C700E" w:rsidP="004C700E">
      <w:pPr>
        <w:pStyle w:val="FootnoteText"/>
        <w:ind w:firstLine="720"/>
      </w:pPr>
    </w:p>
  </w:footnote>
  <w:footnote w:id="18">
    <w:p w14:paraId="45CDA9AF"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8" w:history="1">
        <w:r>
          <w:rPr>
            <w:rStyle w:val="Hyperlink"/>
            <w:sz w:val="26"/>
            <w:szCs w:val="26"/>
          </w:rPr>
          <w:t>Standards Alignment with Registration Petition</w:t>
        </w:r>
      </w:hyperlink>
      <w:r>
        <w:rPr>
          <w:rStyle w:val="Hyperlink"/>
          <w:sz w:val="26"/>
          <w:szCs w:val="26"/>
        </w:rPr>
        <w:t xml:space="preserve"> at 10.</w:t>
      </w:r>
    </w:p>
    <w:p w14:paraId="7DF36EAB" w14:textId="77777777" w:rsidR="004C700E" w:rsidRDefault="004C700E" w:rsidP="004C700E">
      <w:pPr>
        <w:pStyle w:val="FootnoteText"/>
        <w:ind w:firstLine="720"/>
      </w:pPr>
    </w:p>
  </w:footnote>
  <w:footnote w:id="19">
    <w:p w14:paraId="7EE99CFD"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current version of this standard, MOD-033-1, is </w:t>
      </w:r>
      <w:r w:rsidRPr="004F4CD7">
        <w:rPr>
          <w:sz w:val="26"/>
          <w:szCs w:val="26"/>
        </w:rPr>
        <w:t xml:space="preserve">included in </w:t>
      </w:r>
      <w:r>
        <w:rPr>
          <w:sz w:val="26"/>
          <w:szCs w:val="26"/>
        </w:rPr>
        <w:t>FERC-725L.</w:t>
      </w:r>
    </w:p>
    <w:p w14:paraId="63389450" w14:textId="77777777" w:rsidR="004C700E" w:rsidRDefault="004C700E" w:rsidP="004C700E">
      <w:pPr>
        <w:pStyle w:val="FootnoteText"/>
        <w:ind w:firstLine="720"/>
      </w:pPr>
    </w:p>
  </w:footnote>
  <w:footnote w:id="20">
    <w:p w14:paraId="0C9EAB64"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9" w:history="1">
        <w:r>
          <w:rPr>
            <w:rStyle w:val="Hyperlink"/>
            <w:sz w:val="26"/>
            <w:szCs w:val="26"/>
          </w:rPr>
          <w:t>Standards Alignment with Registration Petition</w:t>
        </w:r>
      </w:hyperlink>
      <w:r>
        <w:rPr>
          <w:rStyle w:val="Hyperlink"/>
          <w:sz w:val="26"/>
          <w:szCs w:val="26"/>
        </w:rPr>
        <w:t xml:space="preserve"> at 11.</w:t>
      </w:r>
    </w:p>
    <w:p w14:paraId="3E21C523" w14:textId="77777777" w:rsidR="004C700E" w:rsidRDefault="004C700E" w:rsidP="004C700E">
      <w:pPr>
        <w:pStyle w:val="FootnoteText"/>
        <w:ind w:firstLine="720"/>
      </w:pPr>
    </w:p>
  </w:footnote>
  <w:footnote w:id="21">
    <w:p w14:paraId="3094B731" w14:textId="77777777" w:rsidR="004C700E" w:rsidRDefault="004C700E" w:rsidP="004C700E">
      <w:pPr>
        <w:pStyle w:val="FootnoteText"/>
        <w:ind w:firstLine="720"/>
        <w:rPr>
          <w:sz w:val="26"/>
          <w:szCs w:val="26"/>
        </w:rPr>
      </w:pPr>
      <w:r>
        <w:rPr>
          <w:rStyle w:val="FootnoteReference"/>
        </w:rPr>
        <w:footnoteRef/>
      </w:r>
      <w:r>
        <w:t xml:space="preserve"> </w:t>
      </w:r>
      <w:r w:rsidRPr="00497CBC">
        <w:rPr>
          <w:sz w:val="26"/>
          <w:szCs w:val="26"/>
        </w:rPr>
        <w:t xml:space="preserve">The </w:t>
      </w:r>
      <w:r>
        <w:rPr>
          <w:sz w:val="26"/>
          <w:szCs w:val="26"/>
        </w:rPr>
        <w:t xml:space="preserve">burden associated with the current version of this standard, </w:t>
      </w:r>
      <w:r w:rsidRPr="00EA05C0">
        <w:rPr>
          <w:sz w:val="26"/>
          <w:szCs w:val="26"/>
        </w:rPr>
        <w:t>IRO-010-</w:t>
      </w:r>
      <w:r>
        <w:rPr>
          <w:sz w:val="26"/>
          <w:szCs w:val="26"/>
        </w:rPr>
        <w:t xml:space="preserve">2, is </w:t>
      </w:r>
      <w:r w:rsidRPr="004F4CD7">
        <w:rPr>
          <w:sz w:val="26"/>
          <w:szCs w:val="26"/>
        </w:rPr>
        <w:t xml:space="preserve">included in </w:t>
      </w:r>
      <w:r>
        <w:rPr>
          <w:sz w:val="26"/>
          <w:szCs w:val="26"/>
        </w:rPr>
        <w:t>FERC-725Z.</w:t>
      </w:r>
    </w:p>
    <w:p w14:paraId="5444A6B8" w14:textId="77777777" w:rsidR="004C700E" w:rsidRDefault="004C700E" w:rsidP="004C700E">
      <w:pPr>
        <w:pStyle w:val="FootnoteText"/>
        <w:ind w:firstLine="720"/>
      </w:pPr>
    </w:p>
  </w:footnote>
  <w:footnote w:id="22">
    <w:p w14:paraId="68BCCB77" w14:textId="77777777" w:rsidR="004C700E" w:rsidRDefault="004C700E" w:rsidP="004C700E">
      <w:pPr>
        <w:pStyle w:val="FootnoteText"/>
        <w:ind w:firstLine="720"/>
        <w:rPr>
          <w:rStyle w:val="Hyperlink"/>
          <w:sz w:val="26"/>
          <w:szCs w:val="26"/>
        </w:rPr>
      </w:pPr>
      <w:r>
        <w:rPr>
          <w:rStyle w:val="FootnoteReference"/>
        </w:rPr>
        <w:footnoteRef/>
      </w:r>
      <w:r>
        <w:t xml:space="preserve"> </w:t>
      </w:r>
      <w:hyperlink r:id="rId10" w:history="1">
        <w:r>
          <w:rPr>
            <w:rStyle w:val="Hyperlink"/>
            <w:sz w:val="26"/>
            <w:szCs w:val="26"/>
          </w:rPr>
          <w:t>Standards Alignment with Registration Petition</w:t>
        </w:r>
      </w:hyperlink>
      <w:r>
        <w:rPr>
          <w:rStyle w:val="Hyperlink"/>
          <w:sz w:val="26"/>
          <w:szCs w:val="26"/>
        </w:rPr>
        <w:t xml:space="preserve"> at 9.</w:t>
      </w:r>
    </w:p>
    <w:p w14:paraId="2DD68047" w14:textId="77777777" w:rsidR="004C700E" w:rsidRDefault="004C700E" w:rsidP="004C700E">
      <w:pPr>
        <w:pStyle w:val="FootnoteText"/>
      </w:pPr>
    </w:p>
  </w:footnote>
  <w:footnote w:id="23">
    <w:p w14:paraId="69BC8738" w14:textId="77777777" w:rsidR="0003758D" w:rsidRPr="004F4CD7" w:rsidRDefault="0003758D" w:rsidP="0003758D">
      <w:pPr>
        <w:pStyle w:val="FootnoteText"/>
        <w:ind w:firstLine="720"/>
        <w:rPr>
          <w:sz w:val="26"/>
          <w:szCs w:val="26"/>
        </w:rPr>
      </w:pPr>
      <w:r w:rsidRPr="004F4CD7">
        <w:rPr>
          <w:rStyle w:val="FootnoteReference"/>
        </w:rPr>
        <w:footnoteRef/>
      </w:r>
      <w:r w:rsidRPr="004F4CD7">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14:paraId="009C65A9" w14:textId="77777777" w:rsidR="0003758D" w:rsidRPr="004F4CD7" w:rsidRDefault="0003758D" w:rsidP="0003758D">
      <w:pPr>
        <w:pStyle w:val="FootnoteText"/>
        <w:ind w:firstLine="720"/>
        <w:rPr>
          <w:sz w:val="26"/>
          <w:szCs w:val="26"/>
        </w:rPr>
      </w:pPr>
    </w:p>
  </w:footnote>
  <w:footnote w:id="24">
    <w:p w14:paraId="0AF4B09B" w14:textId="77777777" w:rsidR="0003758D" w:rsidRDefault="0003758D" w:rsidP="0003758D">
      <w:pPr>
        <w:pStyle w:val="FootnoteText"/>
        <w:ind w:firstLine="720"/>
        <w:rPr>
          <w:sz w:val="26"/>
          <w:szCs w:val="26"/>
        </w:rPr>
      </w:pPr>
      <w:r>
        <w:rPr>
          <w:rStyle w:val="FootnoteReference"/>
        </w:rPr>
        <w:footnoteRef/>
      </w:r>
      <w:r>
        <w:t xml:space="preserve"> </w:t>
      </w:r>
      <w:r w:rsidRPr="003A5DB0">
        <w:rPr>
          <w:i/>
          <w:iCs/>
          <w:sz w:val="26"/>
          <w:szCs w:val="26"/>
        </w:rPr>
        <w:t>Order on Electric Reliability Organization Risk Based Registration Initiative and Requiring Compliance Filing</w:t>
      </w:r>
      <w:r w:rsidRPr="003358FD">
        <w:rPr>
          <w:sz w:val="26"/>
          <w:szCs w:val="26"/>
        </w:rPr>
        <w:t>, 150 FERC ¶ 61,213</w:t>
      </w:r>
      <w:r>
        <w:rPr>
          <w:sz w:val="26"/>
          <w:szCs w:val="26"/>
        </w:rPr>
        <w:t xml:space="preserve"> </w:t>
      </w:r>
      <w:r w:rsidRPr="003358FD">
        <w:rPr>
          <w:sz w:val="26"/>
          <w:szCs w:val="26"/>
        </w:rPr>
        <w:t>(2015)</w:t>
      </w:r>
      <w:r>
        <w:rPr>
          <w:sz w:val="26"/>
          <w:szCs w:val="26"/>
        </w:rPr>
        <w:t>;</w:t>
      </w:r>
      <w:r w:rsidRPr="003358FD">
        <w:rPr>
          <w:sz w:val="26"/>
          <w:szCs w:val="26"/>
        </w:rPr>
        <w:t xml:space="preserve"> </w:t>
      </w:r>
      <w:r w:rsidRPr="003A5DB0">
        <w:rPr>
          <w:i/>
          <w:iCs/>
          <w:sz w:val="26"/>
          <w:szCs w:val="26"/>
        </w:rPr>
        <w:t>Order on Compliance Filing</w:t>
      </w:r>
      <w:r w:rsidRPr="003358FD">
        <w:rPr>
          <w:sz w:val="26"/>
          <w:szCs w:val="26"/>
        </w:rPr>
        <w:t>, 153 FERC ¶ 61,024 (2015).</w:t>
      </w:r>
    </w:p>
    <w:p w14:paraId="6827E43A" w14:textId="77777777" w:rsidR="0003758D" w:rsidRDefault="0003758D" w:rsidP="0003758D">
      <w:pPr>
        <w:pStyle w:val="FootnoteText"/>
        <w:ind w:firstLine="720"/>
      </w:pPr>
    </w:p>
  </w:footnote>
  <w:footnote w:id="25">
    <w:p w14:paraId="5D6B7A12" w14:textId="77777777" w:rsidR="0003758D" w:rsidRDefault="0003758D" w:rsidP="0003758D">
      <w:pPr>
        <w:pStyle w:val="FootnoteText"/>
        <w:ind w:firstLine="720"/>
        <w:rPr>
          <w:sz w:val="26"/>
          <w:szCs w:val="26"/>
        </w:rPr>
      </w:pPr>
      <w:r>
        <w:rPr>
          <w:rStyle w:val="FootnoteReference"/>
        </w:rPr>
        <w:footnoteRef/>
      </w:r>
      <w:r>
        <w:t xml:space="preserve"> </w:t>
      </w:r>
      <w:r w:rsidRPr="00633F9D">
        <w:rPr>
          <w:sz w:val="26"/>
          <w:szCs w:val="26"/>
        </w:rPr>
        <w:t xml:space="preserve">NERC </w:t>
      </w:r>
      <w:r>
        <w:rPr>
          <w:sz w:val="26"/>
          <w:szCs w:val="26"/>
        </w:rPr>
        <w:t xml:space="preserve">posts its list of deregistered entities at the following link. </w:t>
      </w:r>
      <w:hyperlink r:id="rId11" w:history="1">
        <w:r w:rsidRPr="00720847">
          <w:rPr>
            <w:rStyle w:val="Hyperlink"/>
            <w:sz w:val="26"/>
            <w:szCs w:val="26"/>
          </w:rPr>
          <w:t>https://www.nerc.com/pa/comp/Registration%20and%20Certification%20DL/NCR%20Deregistered%20Entities.xls</w:t>
        </w:r>
      </w:hyperlink>
      <w:r w:rsidRPr="00633F9D">
        <w:rPr>
          <w:sz w:val="26"/>
          <w:szCs w:val="26"/>
        </w:rPr>
        <w:t xml:space="preserve"> </w:t>
      </w:r>
    </w:p>
    <w:p w14:paraId="7F36E365" w14:textId="77777777" w:rsidR="0003758D" w:rsidRPr="00633F9D" w:rsidRDefault="0003758D" w:rsidP="0003758D">
      <w:pPr>
        <w:pStyle w:val="FootnoteText"/>
        <w:ind w:firstLine="720"/>
        <w:rPr>
          <w:sz w:val="26"/>
          <w:szCs w:val="26"/>
        </w:rPr>
      </w:pPr>
    </w:p>
  </w:footnote>
  <w:footnote w:id="26">
    <w:p w14:paraId="65E37AC8" w14:textId="58BC6852" w:rsidR="0003758D" w:rsidRDefault="0003758D" w:rsidP="0003758D">
      <w:pPr>
        <w:pStyle w:val="FootnoteText"/>
        <w:ind w:firstLine="720"/>
        <w:rPr>
          <w:sz w:val="26"/>
          <w:szCs w:val="26"/>
        </w:rPr>
      </w:pPr>
      <w:r>
        <w:rPr>
          <w:rStyle w:val="FootnoteReference"/>
        </w:rPr>
        <w:footnoteRef/>
      </w:r>
      <w:r>
        <w:t xml:space="preserve"> </w:t>
      </w:r>
      <w:r w:rsidRPr="007F64C4">
        <w:rPr>
          <w:sz w:val="26"/>
          <w:szCs w:val="26"/>
        </w:rPr>
        <w:t xml:space="preserve">The </w:t>
      </w:r>
      <w:r>
        <w:rPr>
          <w:sz w:val="26"/>
          <w:szCs w:val="26"/>
        </w:rPr>
        <w:t xml:space="preserve">current </w:t>
      </w:r>
      <w:r w:rsidRPr="007F64C4">
        <w:rPr>
          <w:sz w:val="26"/>
          <w:szCs w:val="26"/>
        </w:rPr>
        <w:t>Reliability Standard</w:t>
      </w:r>
      <w:r>
        <w:rPr>
          <w:sz w:val="26"/>
          <w:szCs w:val="26"/>
        </w:rPr>
        <w:t xml:space="preserve"> NUC-001-3 defines the phrase “transmission entities” as all entities that are responsible for providing services related to nuclear plant interface requirements (NPIRs).  Such entities may include one or more of the following: transmission operators, transmission owners, transmission planners, transmission service providers, balancing authorities, reliability coordinators, planning coordinators, distribution providers, load-serving entities, generator owners, and generator operators.</w:t>
      </w:r>
    </w:p>
    <w:p w14:paraId="62EA3906" w14:textId="77777777" w:rsidR="0003758D" w:rsidRPr="007F64C4" w:rsidRDefault="0003758D" w:rsidP="0003758D">
      <w:pPr>
        <w:pStyle w:val="FootnoteText"/>
        <w:ind w:firstLine="720"/>
        <w:rPr>
          <w:sz w:val="26"/>
          <w:szCs w:val="26"/>
        </w:rPr>
      </w:pPr>
    </w:p>
  </w:footnote>
  <w:footnote w:id="27">
    <w:p w14:paraId="4E9A8A5F" w14:textId="77777777" w:rsidR="0003758D" w:rsidRDefault="0003758D" w:rsidP="0003758D">
      <w:pPr>
        <w:pStyle w:val="FootnoteText"/>
        <w:ind w:firstLine="720"/>
        <w:rPr>
          <w:sz w:val="26"/>
          <w:szCs w:val="26"/>
        </w:rPr>
      </w:pPr>
      <w:r w:rsidRPr="00E140C2">
        <w:rPr>
          <w:rStyle w:val="FootnoteReference"/>
        </w:rPr>
        <w:footnoteRef/>
      </w:r>
      <w:r w:rsidRPr="00E140C2">
        <w:rPr>
          <w:sz w:val="26"/>
          <w:szCs w:val="26"/>
        </w:rPr>
        <w:t xml:space="preserve"> The adjustments, due to normal industry fluctuations, are based on figures in the NERC </w:t>
      </w:r>
      <w:r>
        <w:rPr>
          <w:sz w:val="26"/>
          <w:szCs w:val="26"/>
        </w:rPr>
        <w:t>r</w:t>
      </w:r>
      <w:r w:rsidRPr="00E140C2">
        <w:rPr>
          <w:sz w:val="26"/>
          <w:szCs w:val="26"/>
        </w:rPr>
        <w:t>egistry</w:t>
      </w:r>
      <w:r>
        <w:rPr>
          <w:sz w:val="26"/>
          <w:szCs w:val="26"/>
        </w:rPr>
        <w:t xml:space="preserve"> </w:t>
      </w:r>
      <w:r w:rsidRPr="000111BB">
        <w:rPr>
          <w:iCs/>
          <w:sz w:val="26"/>
          <w:szCs w:val="26"/>
        </w:rPr>
        <w:t>as of April 10, 2020</w:t>
      </w:r>
      <w:r w:rsidRPr="00E140C2">
        <w:rPr>
          <w:sz w:val="26"/>
          <w:szCs w:val="26"/>
        </w:rPr>
        <w:t xml:space="preserve">. </w:t>
      </w:r>
    </w:p>
    <w:p w14:paraId="19BB4DA2" w14:textId="77777777" w:rsidR="0003758D" w:rsidRPr="00176624" w:rsidRDefault="0003758D" w:rsidP="0003758D">
      <w:pPr>
        <w:pStyle w:val="FootnoteText"/>
        <w:ind w:firstLine="720"/>
        <w:rPr>
          <w:sz w:val="26"/>
          <w:szCs w:val="26"/>
        </w:rPr>
      </w:pPr>
    </w:p>
  </w:footnote>
  <w:footnote w:id="28">
    <w:p w14:paraId="419E01A4" w14:textId="13B86001" w:rsidR="0003758D" w:rsidRPr="00176624" w:rsidRDefault="0003758D" w:rsidP="0003758D">
      <w:pPr>
        <w:pStyle w:val="FootnoteText"/>
        <w:ind w:firstLine="720"/>
        <w:rPr>
          <w:sz w:val="26"/>
          <w:szCs w:val="26"/>
        </w:rPr>
      </w:pPr>
      <w:r w:rsidRPr="00713A04">
        <w:rPr>
          <w:rStyle w:val="FootnoteReference"/>
        </w:rPr>
        <w:footnoteRef/>
      </w:r>
      <w:r w:rsidRPr="00176624">
        <w:rPr>
          <w:sz w:val="26"/>
          <w:szCs w:val="26"/>
        </w:rPr>
        <w:t xml:space="preserve"> This is not a program change (increase) due to Docket No. RD20-4</w:t>
      </w:r>
      <w:r w:rsidR="007835DD">
        <w:rPr>
          <w:sz w:val="26"/>
          <w:szCs w:val="26"/>
        </w:rPr>
        <w:t>-000</w:t>
      </w:r>
      <w:r w:rsidRPr="00176624">
        <w:rPr>
          <w:sz w:val="26"/>
          <w:szCs w:val="26"/>
        </w:rPr>
        <w:t>.  Rather, we are correcting an earlier oversight.  It appears that the estimated burden figures for the GO, GOP, TO and DP were inadvertently omitted from the package submitted to and approved by OMB related to the Final Rule (Order No. 817, issued 11/19/2015) in Docket No. RM15-16.</w:t>
      </w:r>
      <w:r w:rsidRPr="00713A04">
        <w:rPr>
          <w:sz w:val="26"/>
          <w:szCs w:val="26"/>
        </w:rPr>
        <w:t xml:space="preserve">  The number of respondents is the current figure based on the NERC </w:t>
      </w:r>
      <w:r>
        <w:rPr>
          <w:sz w:val="26"/>
          <w:szCs w:val="26"/>
        </w:rPr>
        <w:t>r</w:t>
      </w:r>
      <w:r w:rsidRPr="00713A04">
        <w:rPr>
          <w:sz w:val="26"/>
          <w:szCs w:val="26"/>
        </w:rPr>
        <w:t>egistry.</w:t>
      </w:r>
    </w:p>
  </w:footnote>
  <w:footnote w:id="29">
    <w:p w14:paraId="6D04562E" w14:textId="4934FBBB" w:rsidR="00FD5A34" w:rsidRDefault="00FD5A34" w:rsidP="0003758D">
      <w:pPr>
        <w:pStyle w:val="FootnoteText"/>
        <w:ind w:firstLine="720"/>
        <w:rPr>
          <w:sz w:val="26"/>
          <w:szCs w:val="26"/>
        </w:rPr>
      </w:pPr>
      <w:r w:rsidRPr="007C2EA4">
        <w:rPr>
          <w:rStyle w:val="FootnoteReference"/>
        </w:rPr>
        <w:footnoteRef/>
      </w:r>
      <w:r w:rsidRPr="00176624">
        <w:rPr>
          <w:sz w:val="26"/>
          <w:szCs w:val="26"/>
        </w:rPr>
        <w:t xml:space="preserve"> The original </w:t>
      </w:r>
      <w:r>
        <w:rPr>
          <w:sz w:val="26"/>
          <w:szCs w:val="26"/>
        </w:rPr>
        <w:t>Reliability Standard IRO-010-1a</w:t>
      </w:r>
      <w:r w:rsidRPr="00176624">
        <w:rPr>
          <w:sz w:val="26"/>
          <w:szCs w:val="26"/>
        </w:rPr>
        <w:t xml:space="preserve"> was included in Order</w:t>
      </w:r>
      <w:r>
        <w:rPr>
          <w:sz w:val="26"/>
          <w:szCs w:val="26"/>
        </w:rPr>
        <w:t xml:space="preserve"> No.</w:t>
      </w:r>
      <w:r w:rsidRPr="00176624">
        <w:rPr>
          <w:sz w:val="26"/>
          <w:szCs w:val="26"/>
        </w:rPr>
        <w:t xml:space="preserve"> </w:t>
      </w:r>
      <w:r>
        <w:rPr>
          <w:sz w:val="26"/>
          <w:szCs w:val="26"/>
        </w:rPr>
        <w:t xml:space="preserve">748 (Docket No. RM10-15) </w:t>
      </w:r>
      <w:r w:rsidRPr="00176624">
        <w:rPr>
          <w:sz w:val="26"/>
          <w:szCs w:val="26"/>
        </w:rPr>
        <w:t>under FERC-725A.</w:t>
      </w:r>
      <w:r>
        <w:rPr>
          <w:sz w:val="26"/>
          <w:szCs w:val="26"/>
        </w:rPr>
        <w:t xml:space="preserve">  The burden for 11 RCs for IRO-010-2 (Order No. 817 in Docket No. RM15-16) was covered by FERC-725Z.  Some of this burden may still be in FERC-725A (and double counted temporarily).  This action is an adjustment and not related to Docket No. RD20-4</w:t>
      </w:r>
      <w:r w:rsidR="007835DD">
        <w:rPr>
          <w:sz w:val="26"/>
          <w:szCs w:val="26"/>
        </w:rPr>
        <w:t>-000</w:t>
      </w:r>
      <w:r>
        <w:rPr>
          <w:sz w:val="26"/>
          <w:szCs w:val="26"/>
        </w:rPr>
        <w:t>.</w:t>
      </w:r>
    </w:p>
    <w:p w14:paraId="5A6B1533" w14:textId="77777777" w:rsidR="00FD5A34" w:rsidRPr="001922A4" w:rsidRDefault="00FD5A34" w:rsidP="0003758D">
      <w:pPr>
        <w:pStyle w:val="FootnoteText"/>
        <w:ind w:firstLine="720"/>
        <w:rPr>
          <w:sz w:val="26"/>
          <w:szCs w:val="26"/>
        </w:rPr>
      </w:pPr>
    </w:p>
  </w:footnote>
  <w:footnote w:id="30">
    <w:p w14:paraId="65B1B67C" w14:textId="77777777" w:rsidR="0003758D" w:rsidRDefault="0003758D" w:rsidP="0003758D">
      <w:pPr>
        <w:pStyle w:val="FootnoteText"/>
        <w:ind w:firstLine="720"/>
        <w:rPr>
          <w:sz w:val="26"/>
          <w:szCs w:val="26"/>
        </w:rPr>
      </w:pPr>
      <w:r>
        <w:rPr>
          <w:rStyle w:val="FootnoteReference"/>
        </w:rPr>
        <w:footnoteRef/>
      </w:r>
      <w:r>
        <w:t xml:space="preserve"> </w:t>
      </w:r>
      <w:bookmarkStart w:id="8" w:name="_Hlk43394320"/>
      <w:r w:rsidRPr="00763B36">
        <w:rPr>
          <w:sz w:val="26"/>
          <w:szCs w:val="26"/>
        </w:rPr>
        <w:t>The reduction of 93 respondents and corresponding burden hours include 63 LSEs that were de-registered (program decrease of 1,008 hrs.) and an adjustment decrease of 30 respondents (480 hrs.) due to normal industry fluctuations.</w:t>
      </w:r>
      <w:bookmarkEnd w:id="8"/>
    </w:p>
    <w:p w14:paraId="6DB29EF1" w14:textId="076D7648" w:rsidR="0003758D" w:rsidRDefault="0003758D" w:rsidP="0003758D">
      <w:pPr>
        <w:pStyle w:val="FootnoteText"/>
        <w:ind w:firstLine="720"/>
        <w:rPr>
          <w:sz w:val="26"/>
          <w:szCs w:val="26"/>
        </w:rPr>
      </w:pPr>
      <w:r>
        <w:rPr>
          <w:sz w:val="26"/>
          <w:szCs w:val="26"/>
        </w:rPr>
        <w:t>Out of the total decrease of 1,488 hours, the program decrease of 1,008 hours [corresponding decrease of 63 responses] is due to Docket No. RD20-4</w:t>
      </w:r>
      <w:r w:rsidR="007835DD">
        <w:rPr>
          <w:sz w:val="26"/>
          <w:szCs w:val="26"/>
        </w:rPr>
        <w:t>-000</w:t>
      </w:r>
      <w:r>
        <w:rPr>
          <w:sz w:val="26"/>
          <w:szCs w:val="26"/>
        </w:rPr>
        <w:t>.  The reduction of 480 hours is due to normal adjustments.</w:t>
      </w:r>
    </w:p>
    <w:p w14:paraId="788872F7" w14:textId="77777777" w:rsidR="0003758D" w:rsidRPr="00763B36" w:rsidRDefault="0003758D" w:rsidP="0003758D">
      <w:pPr>
        <w:pStyle w:val="FootnoteText"/>
        <w:ind w:firstLine="720"/>
        <w:rPr>
          <w:sz w:val="26"/>
          <w:szCs w:val="26"/>
        </w:rPr>
      </w:pPr>
    </w:p>
  </w:footnote>
  <w:footnote w:id="31">
    <w:p w14:paraId="25AF71D5" w14:textId="77777777" w:rsidR="0003758D" w:rsidRDefault="0003758D" w:rsidP="0003758D">
      <w:pPr>
        <w:pStyle w:val="FootnoteText"/>
        <w:ind w:firstLine="720"/>
        <w:rPr>
          <w:sz w:val="26"/>
          <w:szCs w:val="26"/>
        </w:rPr>
      </w:pPr>
      <w:r>
        <w:rPr>
          <w:rStyle w:val="FootnoteReference"/>
        </w:rPr>
        <w:footnoteRef/>
      </w:r>
      <w:r>
        <w:t xml:space="preserve"> </w:t>
      </w:r>
      <w:r w:rsidRPr="00887685">
        <w:rPr>
          <w:sz w:val="26"/>
          <w:szCs w:val="26"/>
        </w:rPr>
        <w:t xml:space="preserve">Although </w:t>
      </w:r>
      <w:r>
        <w:rPr>
          <w:sz w:val="26"/>
          <w:szCs w:val="26"/>
        </w:rPr>
        <w:t>1,232</w:t>
      </w:r>
      <w:r w:rsidRPr="00887685">
        <w:rPr>
          <w:sz w:val="26"/>
          <w:szCs w:val="26"/>
        </w:rPr>
        <w:t xml:space="preserve"> entities are registered as TO, DP, or GO, we expect at the most </w:t>
      </w:r>
      <w:r>
        <w:rPr>
          <w:sz w:val="26"/>
          <w:szCs w:val="26"/>
        </w:rPr>
        <w:t>123</w:t>
      </w:r>
      <w:r w:rsidRPr="00887685">
        <w:rPr>
          <w:sz w:val="26"/>
          <w:szCs w:val="26"/>
        </w:rPr>
        <w:t xml:space="preserve"> entities (ten percent) will seek to interconnect and go through the study phase that may </w:t>
      </w:r>
      <w:r w:rsidRPr="00763B36">
        <w:rPr>
          <w:sz w:val="26"/>
          <w:szCs w:val="26"/>
        </w:rPr>
        <w:t>require coordination in any given year.</w:t>
      </w:r>
    </w:p>
    <w:p w14:paraId="56AEB4D8" w14:textId="77777777" w:rsidR="0003758D" w:rsidRDefault="0003758D" w:rsidP="0003758D">
      <w:pPr>
        <w:pStyle w:val="FootnoteText"/>
        <w:ind w:firstLine="720"/>
      </w:pPr>
    </w:p>
  </w:footnote>
  <w:footnote w:id="32">
    <w:p w14:paraId="075CB2B7" w14:textId="77B13156" w:rsidR="0003758D" w:rsidRDefault="0003758D" w:rsidP="0003758D">
      <w:pPr>
        <w:pStyle w:val="FootnoteText"/>
        <w:ind w:firstLine="720"/>
        <w:rPr>
          <w:sz w:val="26"/>
          <w:szCs w:val="26"/>
        </w:rPr>
      </w:pPr>
      <w:r>
        <w:rPr>
          <w:rStyle w:val="FootnoteReference"/>
        </w:rPr>
        <w:footnoteRef/>
      </w:r>
      <w:r>
        <w:t xml:space="preserve"> </w:t>
      </w:r>
      <w:r w:rsidRPr="00763B36">
        <w:rPr>
          <w:sz w:val="26"/>
          <w:szCs w:val="26"/>
        </w:rPr>
        <w:t xml:space="preserve">The reduction of 93 respondents and corresponding burden hours include 63 LSEs that were de-registered (program decrease of </w:t>
      </w:r>
      <w:r>
        <w:rPr>
          <w:sz w:val="26"/>
          <w:szCs w:val="26"/>
        </w:rPr>
        <w:t>63</w:t>
      </w:r>
      <w:r w:rsidRPr="00763B36">
        <w:rPr>
          <w:sz w:val="26"/>
          <w:szCs w:val="26"/>
        </w:rPr>
        <w:t xml:space="preserve"> hrs.</w:t>
      </w:r>
      <w:r>
        <w:rPr>
          <w:sz w:val="26"/>
          <w:szCs w:val="26"/>
        </w:rPr>
        <w:t>, due to Docket No. RD20-4</w:t>
      </w:r>
      <w:r w:rsidR="007835DD">
        <w:rPr>
          <w:sz w:val="26"/>
          <w:szCs w:val="26"/>
        </w:rPr>
        <w:t>-000</w:t>
      </w:r>
      <w:r w:rsidRPr="00763B36">
        <w:rPr>
          <w:sz w:val="26"/>
          <w:szCs w:val="26"/>
        </w:rPr>
        <w:t>) and an adjustment decrease of 30 respondents (</w:t>
      </w:r>
      <w:r>
        <w:rPr>
          <w:sz w:val="26"/>
          <w:szCs w:val="26"/>
        </w:rPr>
        <w:t>30</w:t>
      </w:r>
      <w:r w:rsidRPr="00763B36">
        <w:rPr>
          <w:sz w:val="26"/>
          <w:szCs w:val="26"/>
        </w:rPr>
        <w:t xml:space="preserve"> hrs.) due to normal industry fluctuations.</w:t>
      </w:r>
    </w:p>
    <w:p w14:paraId="0A40CDB5" w14:textId="77777777" w:rsidR="0003758D" w:rsidRDefault="0003758D" w:rsidP="0003758D">
      <w:pPr>
        <w:pStyle w:val="FootnoteText"/>
        <w:ind w:firstLine="720"/>
      </w:pPr>
    </w:p>
  </w:footnote>
  <w:footnote w:id="33">
    <w:p w14:paraId="73204735" w14:textId="71A3F720" w:rsidR="0003758D" w:rsidRDefault="0003758D" w:rsidP="0003758D">
      <w:pPr>
        <w:autoSpaceDE w:val="0"/>
        <w:autoSpaceDN w:val="0"/>
        <w:adjustRightInd w:val="0"/>
        <w:ind w:firstLine="720"/>
        <w:rPr>
          <w:szCs w:val="26"/>
        </w:rPr>
      </w:pPr>
      <w:r w:rsidRPr="004133F0">
        <w:rPr>
          <w:rStyle w:val="FootnoteReference"/>
        </w:rPr>
        <w:footnoteRef/>
      </w:r>
      <w:r w:rsidRPr="00176624">
        <w:rPr>
          <w:szCs w:val="26"/>
        </w:rPr>
        <w:t xml:space="preserve"> The </w:t>
      </w:r>
      <w:r>
        <w:rPr>
          <w:szCs w:val="26"/>
        </w:rPr>
        <w:t xml:space="preserve">number of </w:t>
      </w:r>
      <w:r w:rsidRPr="00176624">
        <w:rPr>
          <w:szCs w:val="26"/>
        </w:rPr>
        <w:t xml:space="preserve">entities </w:t>
      </w:r>
      <w:r>
        <w:rPr>
          <w:szCs w:val="26"/>
        </w:rPr>
        <w:t xml:space="preserve">is </w:t>
      </w:r>
      <w:r w:rsidRPr="00176624">
        <w:rPr>
          <w:szCs w:val="26"/>
        </w:rPr>
        <w:t>being reduced in order to more clearly identify the applicable entities</w:t>
      </w:r>
      <w:r>
        <w:rPr>
          <w:szCs w:val="26"/>
        </w:rPr>
        <w:t xml:space="preserve"> in subsequent rows in this table</w:t>
      </w:r>
      <w:r w:rsidRPr="00176624">
        <w:rPr>
          <w:szCs w:val="26"/>
        </w:rPr>
        <w:t>.  As stated in the NERC Petition, “[</w:t>
      </w:r>
      <w:r>
        <w:rPr>
          <w:szCs w:val="26"/>
        </w:rPr>
        <w:t>t</w:t>
      </w:r>
      <w:r w:rsidRPr="00176624">
        <w:rPr>
          <w:szCs w:val="26"/>
        </w:rPr>
        <w:t xml:space="preserve">]he currently effective standard is applicable to Planning Coordinators, “UFLS entities” (which may include Transmission Owners and Distribution Providers that own, operate, or control UFLS equipment), and Transmission Owners that own certain Elements. In proposed Reliability Standard PRC-006-4, NERC proposes to add the UFLS-Only Distribution </w:t>
      </w:r>
      <w:r w:rsidRPr="00763B36">
        <w:rPr>
          <w:szCs w:val="26"/>
        </w:rPr>
        <w:t>Provider as an applicable UFLS entity, consistent with the language in Section III(b) of Appendix 5B of the NERC Rules of Procedure (Statement of Compliance Registry Criteria) that the Reliability Standards applicable to UFLS-Only Distribution Providers includes prior effective versions of the PRC-006 standard.”</w:t>
      </w:r>
      <w:r>
        <w:rPr>
          <w:szCs w:val="26"/>
        </w:rPr>
        <w:t xml:space="preserve">  The changes are not due to Docket No. RD20-4</w:t>
      </w:r>
      <w:r w:rsidR="007835DD">
        <w:rPr>
          <w:szCs w:val="26"/>
        </w:rPr>
        <w:t>-000</w:t>
      </w:r>
      <w:r>
        <w:rPr>
          <w:szCs w:val="26"/>
        </w:rPr>
        <w:t>.</w:t>
      </w:r>
    </w:p>
    <w:p w14:paraId="3858ADC5" w14:textId="77777777" w:rsidR="0003758D" w:rsidRDefault="0003758D" w:rsidP="0003758D">
      <w:pPr>
        <w:pStyle w:val="FootnoteText"/>
        <w:ind w:firstLine="720"/>
      </w:pPr>
    </w:p>
  </w:footnote>
  <w:footnote w:id="34">
    <w:p w14:paraId="3D0F3F99" w14:textId="1FC3EB12" w:rsidR="0003758D" w:rsidRDefault="0003758D" w:rsidP="0003758D">
      <w:pPr>
        <w:pStyle w:val="FootnoteText"/>
        <w:ind w:firstLine="720"/>
        <w:rPr>
          <w:sz w:val="26"/>
          <w:szCs w:val="26"/>
        </w:rPr>
      </w:pPr>
      <w:r w:rsidRPr="00763B36">
        <w:rPr>
          <w:rStyle w:val="FootnoteReference"/>
        </w:rPr>
        <w:footnoteRef/>
      </w:r>
      <w:r w:rsidRPr="00763B36">
        <w:rPr>
          <w:sz w:val="26"/>
          <w:szCs w:val="26"/>
        </w:rPr>
        <w:t xml:space="preserve"> The </w:t>
      </w:r>
      <w:r>
        <w:rPr>
          <w:sz w:val="26"/>
          <w:szCs w:val="26"/>
        </w:rPr>
        <w:t>increases are not due to Docket No. RD20-4</w:t>
      </w:r>
      <w:r w:rsidR="007835DD">
        <w:rPr>
          <w:sz w:val="26"/>
          <w:szCs w:val="26"/>
        </w:rPr>
        <w:t>-000</w:t>
      </w:r>
      <w:r>
        <w:rPr>
          <w:sz w:val="26"/>
          <w:szCs w:val="26"/>
        </w:rPr>
        <w:t>.  They</w:t>
      </w:r>
      <w:r w:rsidRPr="00763B36">
        <w:rPr>
          <w:sz w:val="26"/>
          <w:szCs w:val="26"/>
        </w:rPr>
        <w:t xml:space="preserve"> are a program increase of 64 PC</w:t>
      </w:r>
      <w:r>
        <w:rPr>
          <w:sz w:val="26"/>
          <w:szCs w:val="26"/>
        </w:rPr>
        <w:t>s</w:t>
      </w:r>
      <w:r w:rsidRPr="00763B36">
        <w:rPr>
          <w:sz w:val="26"/>
          <w:szCs w:val="26"/>
        </w:rPr>
        <w:t xml:space="preserve"> (and the corresponding hrs.) in order to correct and clarify the estimates.</w:t>
      </w:r>
    </w:p>
    <w:p w14:paraId="0D07B30B" w14:textId="77777777" w:rsidR="0003758D" w:rsidRDefault="0003758D" w:rsidP="0003758D">
      <w:pPr>
        <w:pStyle w:val="FootnoteText"/>
        <w:ind w:firstLine="720"/>
      </w:pPr>
    </w:p>
  </w:footnote>
  <w:footnote w:id="35">
    <w:p w14:paraId="7B6C5408" w14:textId="01899A9D" w:rsidR="0003758D" w:rsidRDefault="0003758D" w:rsidP="0003758D">
      <w:pPr>
        <w:pStyle w:val="CommentText"/>
        <w:ind w:firstLine="720"/>
        <w:rPr>
          <w:sz w:val="26"/>
          <w:szCs w:val="26"/>
        </w:rPr>
      </w:pPr>
      <w:r w:rsidRPr="00763B36">
        <w:rPr>
          <w:rStyle w:val="FootnoteReference"/>
        </w:rPr>
        <w:footnoteRef/>
      </w:r>
      <w:r w:rsidRPr="00763B36">
        <w:rPr>
          <w:sz w:val="26"/>
          <w:szCs w:val="26"/>
        </w:rPr>
        <w:t xml:space="preserve"> The program increase is due to adding 63 UFLS-only DPs due to Docket No. RD</w:t>
      </w:r>
      <w:r>
        <w:rPr>
          <w:sz w:val="26"/>
          <w:szCs w:val="26"/>
        </w:rPr>
        <w:t>20</w:t>
      </w:r>
      <w:r w:rsidRPr="00763B36">
        <w:rPr>
          <w:sz w:val="26"/>
          <w:szCs w:val="26"/>
        </w:rPr>
        <w:t>-4</w:t>
      </w:r>
      <w:r w:rsidR="007835DD">
        <w:rPr>
          <w:sz w:val="26"/>
          <w:szCs w:val="26"/>
        </w:rPr>
        <w:t>-000</w:t>
      </w:r>
      <w:r w:rsidRPr="00763B36">
        <w:rPr>
          <w:sz w:val="26"/>
          <w:szCs w:val="26"/>
        </w:rPr>
        <w:t xml:space="preserve">.  In addition, 415 TOs and DPs were originally estimated in FERC-725A due to Order </w:t>
      </w:r>
      <w:r>
        <w:rPr>
          <w:sz w:val="26"/>
          <w:szCs w:val="26"/>
        </w:rPr>
        <w:t xml:space="preserve">No. </w:t>
      </w:r>
      <w:r w:rsidRPr="00763B36">
        <w:rPr>
          <w:sz w:val="26"/>
          <w:szCs w:val="26"/>
        </w:rPr>
        <w:t>693.  However</w:t>
      </w:r>
      <w:r>
        <w:rPr>
          <w:sz w:val="26"/>
          <w:szCs w:val="26"/>
        </w:rPr>
        <w:t>,</w:t>
      </w:r>
      <w:r w:rsidRPr="00763B36">
        <w:rPr>
          <w:sz w:val="26"/>
          <w:szCs w:val="26"/>
        </w:rPr>
        <w:t xml:space="preserve"> the estimates and descriptions were not clearly spelled out, so we are clarifying the</w:t>
      </w:r>
      <w:r>
        <w:rPr>
          <w:sz w:val="26"/>
          <w:szCs w:val="26"/>
        </w:rPr>
        <w:t>m</w:t>
      </w:r>
      <w:r w:rsidRPr="00763B36">
        <w:rPr>
          <w:sz w:val="26"/>
          <w:szCs w:val="26"/>
        </w:rPr>
        <w:t>.</w:t>
      </w:r>
      <w:r>
        <w:rPr>
          <w:sz w:val="26"/>
          <w:szCs w:val="26"/>
        </w:rPr>
        <w:t xml:space="preserve">  As a result, there are 315 hours (63*5 hours) and the corresponding increase of 63 respondents of program increase due to Docket No. RD20-4</w:t>
      </w:r>
      <w:r w:rsidR="007835DD">
        <w:rPr>
          <w:sz w:val="26"/>
          <w:szCs w:val="26"/>
        </w:rPr>
        <w:t>-000</w:t>
      </w:r>
      <w:r>
        <w:rPr>
          <w:sz w:val="26"/>
          <w:szCs w:val="26"/>
        </w:rPr>
        <w:t>, and 2,075 hours (415*5 hours) of increase due to adjustment.</w:t>
      </w:r>
    </w:p>
    <w:p w14:paraId="05E0A91A" w14:textId="77777777" w:rsidR="0003758D" w:rsidRPr="00763B36" w:rsidRDefault="0003758D" w:rsidP="0003758D">
      <w:pPr>
        <w:pStyle w:val="FootnoteText"/>
        <w:ind w:firstLine="720"/>
        <w:rPr>
          <w:sz w:val="26"/>
          <w:szCs w:val="26"/>
        </w:rPr>
      </w:pPr>
    </w:p>
  </w:footnote>
  <w:footnote w:id="36">
    <w:p w14:paraId="16C3F708" w14:textId="6C43C69A" w:rsidR="0003758D" w:rsidRDefault="0003758D" w:rsidP="0003758D">
      <w:pPr>
        <w:pStyle w:val="FootnoteText"/>
        <w:ind w:firstLine="720"/>
        <w:rPr>
          <w:sz w:val="26"/>
          <w:szCs w:val="26"/>
        </w:rPr>
      </w:pPr>
      <w:r w:rsidRPr="00763B36">
        <w:rPr>
          <w:rStyle w:val="FootnoteReference"/>
        </w:rPr>
        <w:footnoteRef/>
      </w:r>
      <w:r w:rsidRPr="00763B36">
        <w:rPr>
          <w:sz w:val="26"/>
          <w:szCs w:val="26"/>
        </w:rPr>
        <w:t xml:space="preserve"> </w:t>
      </w:r>
      <w:r>
        <w:rPr>
          <w:sz w:val="26"/>
          <w:szCs w:val="26"/>
        </w:rPr>
        <w:t xml:space="preserve">The estimates reflect a </w:t>
      </w:r>
      <w:r w:rsidRPr="00ED4B10">
        <w:rPr>
          <w:sz w:val="26"/>
          <w:szCs w:val="26"/>
        </w:rPr>
        <w:t xml:space="preserve">program decrease of 63 de-registered LSEs </w:t>
      </w:r>
      <w:r>
        <w:rPr>
          <w:sz w:val="26"/>
          <w:szCs w:val="26"/>
        </w:rPr>
        <w:t xml:space="preserve">(and corresponding program decrease of 504 hrs.) </w:t>
      </w:r>
      <w:r w:rsidRPr="00ED4B10">
        <w:rPr>
          <w:sz w:val="26"/>
          <w:szCs w:val="26"/>
        </w:rPr>
        <w:t xml:space="preserve">related to </w:t>
      </w:r>
      <w:r>
        <w:rPr>
          <w:sz w:val="26"/>
          <w:szCs w:val="26"/>
        </w:rPr>
        <w:t xml:space="preserve">Docket No. </w:t>
      </w:r>
      <w:r w:rsidRPr="00ED4B10">
        <w:rPr>
          <w:sz w:val="26"/>
          <w:szCs w:val="26"/>
        </w:rPr>
        <w:t>RD</w:t>
      </w:r>
      <w:r>
        <w:rPr>
          <w:sz w:val="26"/>
          <w:szCs w:val="26"/>
        </w:rPr>
        <w:t>20</w:t>
      </w:r>
      <w:r w:rsidRPr="00ED4B10">
        <w:rPr>
          <w:sz w:val="26"/>
          <w:szCs w:val="26"/>
        </w:rPr>
        <w:t>-4</w:t>
      </w:r>
      <w:r w:rsidR="007835DD">
        <w:rPr>
          <w:sz w:val="26"/>
          <w:szCs w:val="26"/>
        </w:rPr>
        <w:t>-000</w:t>
      </w:r>
      <w:r>
        <w:rPr>
          <w:sz w:val="26"/>
          <w:szCs w:val="26"/>
        </w:rPr>
        <w:t xml:space="preserve">, and an </w:t>
      </w:r>
      <w:r w:rsidRPr="00ED4B10">
        <w:rPr>
          <w:sz w:val="26"/>
          <w:szCs w:val="26"/>
        </w:rPr>
        <w:t xml:space="preserve">adjustment/clarification </w:t>
      </w:r>
      <w:r>
        <w:rPr>
          <w:sz w:val="26"/>
          <w:szCs w:val="26"/>
        </w:rPr>
        <w:t xml:space="preserve">(decrease) </w:t>
      </w:r>
      <w:r w:rsidRPr="00ED4B10">
        <w:rPr>
          <w:sz w:val="26"/>
          <w:szCs w:val="26"/>
        </w:rPr>
        <w:t>of 498 DP</w:t>
      </w:r>
      <w:r>
        <w:rPr>
          <w:sz w:val="26"/>
          <w:szCs w:val="26"/>
        </w:rPr>
        <w:t>s</w:t>
      </w:r>
      <w:r w:rsidRPr="00ED4B10">
        <w:rPr>
          <w:sz w:val="26"/>
          <w:szCs w:val="26"/>
        </w:rPr>
        <w:t>,</w:t>
      </w:r>
      <w:r>
        <w:rPr>
          <w:sz w:val="26"/>
          <w:szCs w:val="26"/>
        </w:rPr>
        <w:t xml:space="preserve"> </w:t>
      </w:r>
      <w:r w:rsidRPr="00ED4B10">
        <w:rPr>
          <w:sz w:val="26"/>
          <w:szCs w:val="26"/>
        </w:rPr>
        <w:t>TP</w:t>
      </w:r>
      <w:r>
        <w:rPr>
          <w:sz w:val="26"/>
          <w:szCs w:val="26"/>
        </w:rPr>
        <w:t>s</w:t>
      </w:r>
      <w:r w:rsidRPr="00ED4B10">
        <w:rPr>
          <w:sz w:val="26"/>
          <w:szCs w:val="26"/>
        </w:rPr>
        <w:t>,</w:t>
      </w:r>
      <w:r>
        <w:rPr>
          <w:sz w:val="26"/>
          <w:szCs w:val="26"/>
        </w:rPr>
        <w:t xml:space="preserve"> and </w:t>
      </w:r>
      <w:r w:rsidRPr="00ED4B10">
        <w:rPr>
          <w:sz w:val="26"/>
          <w:szCs w:val="26"/>
        </w:rPr>
        <w:t>BA</w:t>
      </w:r>
      <w:r>
        <w:rPr>
          <w:sz w:val="26"/>
          <w:szCs w:val="26"/>
        </w:rPr>
        <w:t>s (and corresponding decrease of 3,984 hrs.)</w:t>
      </w:r>
      <w:r w:rsidRPr="00ED4B10">
        <w:rPr>
          <w:sz w:val="26"/>
          <w:szCs w:val="26"/>
        </w:rPr>
        <w:t xml:space="preserve">, not related to </w:t>
      </w:r>
      <w:r>
        <w:rPr>
          <w:sz w:val="26"/>
          <w:szCs w:val="26"/>
        </w:rPr>
        <w:t xml:space="preserve">Docket No. </w:t>
      </w:r>
      <w:r w:rsidRPr="00ED4B10">
        <w:rPr>
          <w:sz w:val="26"/>
          <w:szCs w:val="26"/>
        </w:rPr>
        <w:t>RD</w:t>
      </w:r>
      <w:r>
        <w:rPr>
          <w:sz w:val="26"/>
          <w:szCs w:val="26"/>
        </w:rPr>
        <w:t>20</w:t>
      </w:r>
      <w:r w:rsidRPr="00ED4B10">
        <w:rPr>
          <w:sz w:val="26"/>
          <w:szCs w:val="26"/>
        </w:rPr>
        <w:t>-4</w:t>
      </w:r>
      <w:r w:rsidR="007835DD">
        <w:rPr>
          <w:sz w:val="26"/>
          <w:szCs w:val="26"/>
        </w:rPr>
        <w:t>-000</w:t>
      </w:r>
      <w:r>
        <w:rPr>
          <w:sz w:val="26"/>
          <w:szCs w:val="26"/>
        </w:rPr>
        <w:t>.  The updated number of 381 DPs, TPs and BAs is listed in a new row clarifying their applicability with Requirements R2 and R4.   Requirement R2 requires applicable entities to develop and provide data pursuant with Requirement R1.</w:t>
      </w:r>
    </w:p>
    <w:p w14:paraId="76E8A44D" w14:textId="77777777" w:rsidR="0003758D" w:rsidRDefault="0003758D" w:rsidP="0003758D">
      <w:pPr>
        <w:pStyle w:val="FootnoteText"/>
        <w:ind w:firstLine="720"/>
        <w:rPr>
          <w:sz w:val="26"/>
          <w:szCs w:val="26"/>
        </w:rPr>
      </w:pPr>
    </w:p>
  </w:footnote>
  <w:footnote w:id="37">
    <w:p w14:paraId="55F4193B" w14:textId="77777777" w:rsidR="0003758D" w:rsidRDefault="0003758D" w:rsidP="0003758D">
      <w:pPr>
        <w:pStyle w:val="FootnoteText"/>
        <w:ind w:firstLine="720"/>
        <w:rPr>
          <w:sz w:val="26"/>
          <w:szCs w:val="26"/>
        </w:rPr>
      </w:pPr>
      <w:r>
        <w:rPr>
          <w:rStyle w:val="FootnoteReference"/>
        </w:rPr>
        <w:footnoteRef/>
      </w:r>
      <w:r>
        <w:t xml:space="preserve"> </w:t>
      </w:r>
      <w:r w:rsidRPr="00A279D3">
        <w:rPr>
          <w:sz w:val="26"/>
          <w:szCs w:val="26"/>
        </w:rPr>
        <w:t xml:space="preserve">The </w:t>
      </w:r>
      <w:r>
        <w:rPr>
          <w:sz w:val="26"/>
          <w:szCs w:val="26"/>
        </w:rPr>
        <w:t>113</w:t>
      </w:r>
      <w:r w:rsidRPr="00A279D3">
        <w:rPr>
          <w:sz w:val="26"/>
          <w:szCs w:val="26"/>
        </w:rPr>
        <w:t xml:space="preserve"> </w:t>
      </w:r>
      <w:r>
        <w:rPr>
          <w:sz w:val="26"/>
          <w:szCs w:val="26"/>
        </w:rPr>
        <w:t>PC</w:t>
      </w:r>
      <w:r w:rsidRPr="00A279D3">
        <w:rPr>
          <w:sz w:val="26"/>
          <w:szCs w:val="26"/>
        </w:rPr>
        <w:t xml:space="preserve">s and </w:t>
      </w:r>
      <w:r>
        <w:rPr>
          <w:sz w:val="26"/>
          <w:szCs w:val="26"/>
        </w:rPr>
        <w:t>BA</w:t>
      </w:r>
      <w:r w:rsidRPr="00A279D3">
        <w:rPr>
          <w:sz w:val="26"/>
          <w:szCs w:val="26"/>
        </w:rPr>
        <w:t>s were originally estimated in FERC-725A due to  Order No. 693.  However, the estimates and descriptions were not clearly spelled out, so we are clarifying them.</w:t>
      </w:r>
      <w:r w:rsidRPr="0084309E">
        <w:rPr>
          <w:sz w:val="26"/>
          <w:szCs w:val="26"/>
        </w:rPr>
        <w:t xml:space="preserve"> </w:t>
      </w:r>
      <w:r>
        <w:rPr>
          <w:sz w:val="26"/>
          <w:szCs w:val="26"/>
        </w:rPr>
        <w:t xml:space="preserve"> [Some of this burden may still be in FERC-725A (and double counted temporarily).]</w:t>
      </w:r>
    </w:p>
    <w:p w14:paraId="1078BEA2" w14:textId="77777777" w:rsidR="0003758D" w:rsidRPr="00140DAC" w:rsidRDefault="0003758D" w:rsidP="0003758D">
      <w:pPr>
        <w:pStyle w:val="FootnoteText"/>
        <w:rPr>
          <w:sz w:val="26"/>
          <w:szCs w:val="26"/>
        </w:rPr>
      </w:pPr>
    </w:p>
  </w:footnote>
  <w:footnote w:id="38">
    <w:p w14:paraId="03360A4C" w14:textId="77777777" w:rsidR="0003758D" w:rsidRDefault="0003758D" w:rsidP="0003758D">
      <w:pPr>
        <w:pStyle w:val="FootnoteText"/>
        <w:ind w:firstLine="720"/>
        <w:rPr>
          <w:sz w:val="26"/>
          <w:szCs w:val="26"/>
        </w:rPr>
      </w:pPr>
      <w:r w:rsidRPr="004133F0">
        <w:rPr>
          <w:rStyle w:val="FootnoteReference"/>
        </w:rPr>
        <w:footnoteRef/>
      </w:r>
      <w:r w:rsidRPr="00176624">
        <w:rPr>
          <w:sz w:val="26"/>
          <w:szCs w:val="26"/>
        </w:rPr>
        <w:t xml:space="preserve"> The estimate is changing to 174 (from 188)</w:t>
      </w:r>
      <w:r>
        <w:rPr>
          <w:sz w:val="26"/>
          <w:szCs w:val="26"/>
        </w:rPr>
        <w:t xml:space="preserve"> due to normal industry fluctuation</w:t>
      </w:r>
      <w:r w:rsidRPr="00176624">
        <w:rPr>
          <w:sz w:val="26"/>
          <w:szCs w:val="26"/>
        </w:rPr>
        <w:t>.</w:t>
      </w:r>
    </w:p>
    <w:p w14:paraId="4B35B6FD" w14:textId="77777777" w:rsidR="0003758D" w:rsidRPr="00176624" w:rsidRDefault="0003758D" w:rsidP="0003758D">
      <w:pPr>
        <w:pStyle w:val="FootnoteText"/>
        <w:ind w:firstLine="720"/>
        <w:rPr>
          <w:sz w:val="26"/>
          <w:szCs w:val="26"/>
        </w:rPr>
      </w:pPr>
    </w:p>
  </w:footnote>
  <w:footnote w:id="39">
    <w:p w14:paraId="66B9D649" w14:textId="77777777" w:rsidR="0003758D" w:rsidRDefault="0003758D" w:rsidP="0003758D">
      <w:pPr>
        <w:pStyle w:val="FootnoteText"/>
        <w:ind w:firstLine="720"/>
        <w:rPr>
          <w:sz w:val="26"/>
          <w:szCs w:val="26"/>
        </w:rPr>
      </w:pPr>
      <w:r w:rsidRPr="004133F0">
        <w:rPr>
          <w:rStyle w:val="FootnoteReference"/>
        </w:rPr>
        <w:footnoteRef/>
      </w:r>
      <w:r w:rsidRPr="00176624">
        <w:rPr>
          <w:sz w:val="26"/>
          <w:szCs w:val="26"/>
        </w:rPr>
        <w:t xml:space="preserve"> The estimate is changing to 188 (from 194)</w:t>
      </w:r>
      <w:r>
        <w:rPr>
          <w:sz w:val="26"/>
          <w:szCs w:val="26"/>
        </w:rPr>
        <w:t xml:space="preserve"> due to normal industry fluctuation</w:t>
      </w:r>
      <w:r w:rsidRPr="00176624">
        <w:rPr>
          <w:sz w:val="26"/>
          <w:szCs w:val="26"/>
        </w:rPr>
        <w:t>.</w:t>
      </w:r>
    </w:p>
    <w:p w14:paraId="025E9F37" w14:textId="77777777" w:rsidR="0003758D" w:rsidRPr="00176624" w:rsidRDefault="0003758D" w:rsidP="0003758D">
      <w:pPr>
        <w:pStyle w:val="FootnoteText"/>
        <w:ind w:firstLine="720"/>
        <w:rPr>
          <w:sz w:val="26"/>
          <w:szCs w:val="26"/>
        </w:rPr>
      </w:pPr>
    </w:p>
  </w:footnote>
  <w:footnote w:id="40">
    <w:p w14:paraId="5E4D6A3D" w14:textId="045B32EC" w:rsidR="0003758D" w:rsidRDefault="0003758D" w:rsidP="0003758D">
      <w:pPr>
        <w:pStyle w:val="FootnoteText"/>
        <w:ind w:firstLine="720"/>
      </w:pPr>
      <w:r w:rsidRPr="00A43AB2">
        <w:rPr>
          <w:rStyle w:val="FootnoteReference"/>
        </w:rPr>
        <w:footnoteRef/>
      </w:r>
      <w:r w:rsidRPr="00140DAC">
        <w:rPr>
          <w:sz w:val="26"/>
          <w:szCs w:val="26"/>
        </w:rPr>
        <w:t xml:space="preserve"> The</w:t>
      </w:r>
      <w:r w:rsidRPr="001922A4">
        <w:rPr>
          <w:sz w:val="26"/>
          <w:szCs w:val="26"/>
        </w:rPr>
        <w:t xml:space="preserve"> </w:t>
      </w:r>
      <w:r w:rsidRPr="009A511B">
        <w:rPr>
          <w:sz w:val="26"/>
          <w:szCs w:val="26"/>
        </w:rPr>
        <w:t>net</w:t>
      </w:r>
      <w:r w:rsidRPr="00140DAC">
        <w:rPr>
          <w:sz w:val="26"/>
          <w:szCs w:val="26"/>
        </w:rPr>
        <w:t xml:space="preserve"> total program chang</w:t>
      </w:r>
      <w:r>
        <w:rPr>
          <w:sz w:val="26"/>
          <w:szCs w:val="26"/>
        </w:rPr>
        <w:t>es</w:t>
      </w:r>
      <w:r w:rsidRPr="00140DAC">
        <w:rPr>
          <w:sz w:val="26"/>
          <w:szCs w:val="26"/>
        </w:rPr>
        <w:t xml:space="preserve"> due to Docket No. RD20-4</w:t>
      </w:r>
      <w:r w:rsidR="007835DD">
        <w:rPr>
          <w:sz w:val="26"/>
          <w:szCs w:val="26"/>
        </w:rPr>
        <w:t>-000</w:t>
      </w:r>
      <w:r w:rsidRPr="00140DAC">
        <w:rPr>
          <w:sz w:val="26"/>
          <w:szCs w:val="26"/>
        </w:rPr>
        <w:t xml:space="preserve"> </w:t>
      </w:r>
      <w:r>
        <w:rPr>
          <w:sz w:val="26"/>
          <w:szCs w:val="26"/>
        </w:rPr>
        <w:t>result in</w:t>
      </w:r>
      <w:r w:rsidRPr="00140DAC">
        <w:rPr>
          <w:sz w:val="26"/>
          <w:szCs w:val="26"/>
        </w:rPr>
        <w:t xml:space="preserve"> a decrease of 1,260 hours and decrease of 126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EBFF" w14:textId="77777777" w:rsidR="007835DD" w:rsidRDefault="00783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39ED2EDE" w:rsidR="00810D18" w:rsidRDefault="00810D18" w:rsidP="00810D18">
    <w:pPr>
      <w:pStyle w:val="Header"/>
    </w:pPr>
    <w:r>
      <w:t xml:space="preserve">Docket No. </w:t>
    </w:r>
    <w:r w:rsidR="009B5E9F">
      <w:t>RD20-4</w:t>
    </w:r>
    <w:r w:rsidR="004F6A9A">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B0C">
          <w:rPr>
            <w:noProof/>
          </w:rPr>
          <w:t>8</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537F" w14:textId="77777777" w:rsidR="007835DD" w:rsidRDefault="00783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23EA9"/>
    <w:rsid w:val="000241AE"/>
    <w:rsid w:val="00034C49"/>
    <w:rsid w:val="0003758D"/>
    <w:rsid w:val="00042091"/>
    <w:rsid w:val="000459B6"/>
    <w:rsid w:val="00056C5D"/>
    <w:rsid w:val="00062427"/>
    <w:rsid w:val="000A0250"/>
    <w:rsid w:val="000A7E5D"/>
    <w:rsid w:val="000A7E68"/>
    <w:rsid w:val="000D6C70"/>
    <w:rsid w:val="000E2568"/>
    <w:rsid w:val="000F03A6"/>
    <w:rsid w:val="00140E4E"/>
    <w:rsid w:val="0015578A"/>
    <w:rsid w:val="00156BBB"/>
    <w:rsid w:val="001600DF"/>
    <w:rsid w:val="001618A4"/>
    <w:rsid w:val="00171725"/>
    <w:rsid w:val="00181BF7"/>
    <w:rsid w:val="001A6AD6"/>
    <w:rsid w:val="001B78B8"/>
    <w:rsid w:val="001C4FB3"/>
    <w:rsid w:val="001E6510"/>
    <w:rsid w:val="002025F3"/>
    <w:rsid w:val="002125AE"/>
    <w:rsid w:val="0021342F"/>
    <w:rsid w:val="00224BF2"/>
    <w:rsid w:val="00224F67"/>
    <w:rsid w:val="00226023"/>
    <w:rsid w:val="00244423"/>
    <w:rsid w:val="00254C99"/>
    <w:rsid w:val="00261F97"/>
    <w:rsid w:val="0027452E"/>
    <w:rsid w:val="002844D6"/>
    <w:rsid w:val="00291CF9"/>
    <w:rsid w:val="00293D56"/>
    <w:rsid w:val="002B7AA8"/>
    <w:rsid w:val="002D5237"/>
    <w:rsid w:val="002E0351"/>
    <w:rsid w:val="002E0AEA"/>
    <w:rsid w:val="002F24E8"/>
    <w:rsid w:val="002F697A"/>
    <w:rsid w:val="003060F0"/>
    <w:rsid w:val="00310EFC"/>
    <w:rsid w:val="00311D90"/>
    <w:rsid w:val="003149BC"/>
    <w:rsid w:val="003248F9"/>
    <w:rsid w:val="00333816"/>
    <w:rsid w:val="0034195C"/>
    <w:rsid w:val="00347056"/>
    <w:rsid w:val="00360C98"/>
    <w:rsid w:val="00361371"/>
    <w:rsid w:val="00363638"/>
    <w:rsid w:val="003673EC"/>
    <w:rsid w:val="00376525"/>
    <w:rsid w:val="00384C7A"/>
    <w:rsid w:val="003850F7"/>
    <w:rsid w:val="003960E0"/>
    <w:rsid w:val="003A1A72"/>
    <w:rsid w:val="003A3189"/>
    <w:rsid w:val="003B4ADC"/>
    <w:rsid w:val="003C385E"/>
    <w:rsid w:val="003C3E7A"/>
    <w:rsid w:val="003C7BC3"/>
    <w:rsid w:val="003E44AD"/>
    <w:rsid w:val="003E53CF"/>
    <w:rsid w:val="003E65BC"/>
    <w:rsid w:val="0040718A"/>
    <w:rsid w:val="004111D3"/>
    <w:rsid w:val="00423041"/>
    <w:rsid w:val="00441EFA"/>
    <w:rsid w:val="00443282"/>
    <w:rsid w:val="0045734B"/>
    <w:rsid w:val="0047142B"/>
    <w:rsid w:val="004759C4"/>
    <w:rsid w:val="00477B88"/>
    <w:rsid w:val="00485A51"/>
    <w:rsid w:val="004879AA"/>
    <w:rsid w:val="0049480F"/>
    <w:rsid w:val="004B1C0B"/>
    <w:rsid w:val="004B3E0E"/>
    <w:rsid w:val="004B7B57"/>
    <w:rsid w:val="004C700E"/>
    <w:rsid w:val="004C70C8"/>
    <w:rsid w:val="004C77EF"/>
    <w:rsid w:val="004D27A2"/>
    <w:rsid w:val="004E6394"/>
    <w:rsid w:val="004E7B14"/>
    <w:rsid w:val="004F26DA"/>
    <w:rsid w:val="004F6559"/>
    <w:rsid w:val="004F6A9A"/>
    <w:rsid w:val="00513DA8"/>
    <w:rsid w:val="00514B50"/>
    <w:rsid w:val="00515F81"/>
    <w:rsid w:val="00516493"/>
    <w:rsid w:val="00523E26"/>
    <w:rsid w:val="0054073B"/>
    <w:rsid w:val="0054746C"/>
    <w:rsid w:val="00585F73"/>
    <w:rsid w:val="005A0148"/>
    <w:rsid w:val="005A2F24"/>
    <w:rsid w:val="005A3F56"/>
    <w:rsid w:val="005B4840"/>
    <w:rsid w:val="005B4DA4"/>
    <w:rsid w:val="005C3739"/>
    <w:rsid w:val="005C6D4E"/>
    <w:rsid w:val="005D16A1"/>
    <w:rsid w:val="005E5BD3"/>
    <w:rsid w:val="005E6D8A"/>
    <w:rsid w:val="005F3DAA"/>
    <w:rsid w:val="005F726F"/>
    <w:rsid w:val="005F729D"/>
    <w:rsid w:val="006128A5"/>
    <w:rsid w:val="006144F3"/>
    <w:rsid w:val="00634374"/>
    <w:rsid w:val="00637F43"/>
    <w:rsid w:val="00642602"/>
    <w:rsid w:val="00644A1B"/>
    <w:rsid w:val="00650FA1"/>
    <w:rsid w:val="006536D8"/>
    <w:rsid w:val="00654BA4"/>
    <w:rsid w:val="00680D78"/>
    <w:rsid w:val="00683254"/>
    <w:rsid w:val="00695E65"/>
    <w:rsid w:val="006963BC"/>
    <w:rsid w:val="00697527"/>
    <w:rsid w:val="006A34AE"/>
    <w:rsid w:val="006A423E"/>
    <w:rsid w:val="006B2E91"/>
    <w:rsid w:val="006B3F2C"/>
    <w:rsid w:val="006C6B0C"/>
    <w:rsid w:val="006D4A84"/>
    <w:rsid w:val="006E10F4"/>
    <w:rsid w:val="006E75AA"/>
    <w:rsid w:val="006E7CBB"/>
    <w:rsid w:val="00714F57"/>
    <w:rsid w:val="00727C5E"/>
    <w:rsid w:val="00741C80"/>
    <w:rsid w:val="0075009F"/>
    <w:rsid w:val="00751279"/>
    <w:rsid w:val="00754526"/>
    <w:rsid w:val="00782ACA"/>
    <w:rsid w:val="007835DD"/>
    <w:rsid w:val="00790A8C"/>
    <w:rsid w:val="00791DDD"/>
    <w:rsid w:val="007B1F16"/>
    <w:rsid w:val="007B588C"/>
    <w:rsid w:val="007C1916"/>
    <w:rsid w:val="007C6AC2"/>
    <w:rsid w:val="007C729C"/>
    <w:rsid w:val="0080003F"/>
    <w:rsid w:val="00803CA2"/>
    <w:rsid w:val="00807CAC"/>
    <w:rsid w:val="00810D18"/>
    <w:rsid w:val="008115BF"/>
    <w:rsid w:val="00812B30"/>
    <w:rsid w:val="00824D81"/>
    <w:rsid w:val="00836DF9"/>
    <w:rsid w:val="008445A8"/>
    <w:rsid w:val="00853ABC"/>
    <w:rsid w:val="00881405"/>
    <w:rsid w:val="00883D0E"/>
    <w:rsid w:val="0088743B"/>
    <w:rsid w:val="0089069F"/>
    <w:rsid w:val="008920F4"/>
    <w:rsid w:val="00895DA2"/>
    <w:rsid w:val="00897359"/>
    <w:rsid w:val="008A020E"/>
    <w:rsid w:val="008A2C83"/>
    <w:rsid w:val="008B6E06"/>
    <w:rsid w:val="008B7C67"/>
    <w:rsid w:val="008C572B"/>
    <w:rsid w:val="008D25B7"/>
    <w:rsid w:val="008D300A"/>
    <w:rsid w:val="008D5479"/>
    <w:rsid w:val="008E06FC"/>
    <w:rsid w:val="008E0DF5"/>
    <w:rsid w:val="008E3273"/>
    <w:rsid w:val="008E7400"/>
    <w:rsid w:val="009027C6"/>
    <w:rsid w:val="009179E9"/>
    <w:rsid w:val="00937284"/>
    <w:rsid w:val="00940C0F"/>
    <w:rsid w:val="0095311D"/>
    <w:rsid w:val="00954CCB"/>
    <w:rsid w:val="009744C8"/>
    <w:rsid w:val="00981886"/>
    <w:rsid w:val="0098384E"/>
    <w:rsid w:val="00985714"/>
    <w:rsid w:val="00990FEC"/>
    <w:rsid w:val="009A1B08"/>
    <w:rsid w:val="009A51B6"/>
    <w:rsid w:val="009A6E91"/>
    <w:rsid w:val="009B011B"/>
    <w:rsid w:val="009B4450"/>
    <w:rsid w:val="009B5E9F"/>
    <w:rsid w:val="009C25C4"/>
    <w:rsid w:val="009C4A13"/>
    <w:rsid w:val="009D1CEA"/>
    <w:rsid w:val="009D284E"/>
    <w:rsid w:val="009D3147"/>
    <w:rsid w:val="009D58B8"/>
    <w:rsid w:val="009E5557"/>
    <w:rsid w:val="009E66F8"/>
    <w:rsid w:val="009F7DE3"/>
    <w:rsid w:val="00A038F9"/>
    <w:rsid w:val="00A1585A"/>
    <w:rsid w:val="00A210CF"/>
    <w:rsid w:val="00A2604E"/>
    <w:rsid w:val="00A43A4A"/>
    <w:rsid w:val="00A507F0"/>
    <w:rsid w:val="00A61BA8"/>
    <w:rsid w:val="00A664DF"/>
    <w:rsid w:val="00A713D0"/>
    <w:rsid w:val="00A72814"/>
    <w:rsid w:val="00A759B3"/>
    <w:rsid w:val="00A82A29"/>
    <w:rsid w:val="00A8690F"/>
    <w:rsid w:val="00A86D9E"/>
    <w:rsid w:val="00AA20B3"/>
    <w:rsid w:val="00AA4050"/>
    <w:rsid w:val="00AA516A"/>
    <w:rsid w:val="00AA5B0E"/>
    <w:rsid w:val="00AA68BF"/>
    <w:rsid w:val="00AB3D0C"/>
    <w:rsid w:val="00AC750B"/>
    <w:rsid w:val="00AC77B8"/>
    <w:rsid w:val="00AD4128"/>
    <w:rsid w:val="00AE1F12"/>
    <w:rsid w:val="00AE3A78"/>
    <w:rsid w:val="00AE4155"/>
    <w:rsid w:val="00AE4B7C"/>
    <w:rsid w:val="00AF349B"/>
    <w:rsid w:val="00AF34EA"/>
    <w:rsid w:val="00B01B16"/>
    <w:rsid w:val="00B22DCB"/>
    <w:rsid w:val="00B2382E"/>
    <w:rsid w:val="00B40F34"/>
    <w:rsid w:val="00B447D7"/>
    <w:rsid w:val="00B46F03"/>
    <w:rsid w:val="00B5066A"/>
    <w:rsid w:val="00B56882"/>
    <w:rsid w:val="00B65A09"/>
    <w:rsid w:val="00B76A1F"/>
    <w:rsid w:val="00B82F8C"/>
    <w:rsid w:val="00BA0FBC"/>
    <w:rsid w:val="00BA5479"/>
    <w:rsid w:val="00BB7D82"/>
    <w:rsid w:val="00BC200B"/>
    <w:rsid w:val="00BD74AE"/>
    <w:rsid w:val="00BE3C44"/>
    <w:rsid w:val="00BE3FE7"/>
    <w:rsid w:val="00BF29D8"/>
    <w:rsid w:val="00BF2D74"/>
    <w:rsid w:val="00BF38BC"/>
    <w:rsid w:val="00BF4CC8"/>
    <w:rsid w:val="00C1124F"/>
    <w:rsid w:val="00C37B1C"/>
    <w:rsid w:val="00C37BFF"/>
    <w:rsid w:val="00C475FF"/>
    <w:rsid w:val="00C51458"/>
    <w:rsid w:val="00C53580"/>
    <w:rsid w:val="00C55838"/>
    <w:rsid w:val="00C65817"/>
    <w:rsid w:val="00C7209E"/>
    <w:rsid w:val="00C728C5"/>
    <w:rsid w:val="00C730C0"/>
    <w:rsid w:val="00C77EF7"/>
    <w:rsid w:val="00C81A97"/>
    <w:rsid w:val="00C820F1"/>
    <w:rsid w:val="00C91512"/>
    <w:rsid w:val="00CA6636"/>
    <w:rsid w:val="00CA6D76"/>
    <w:rsid w:val="00CB106C"/>
    <w:rsid w:val="00CB4562"/>
    <w:rsid w:val="00CC1AEC"/>
    <w:rsid w:val="00CD37C7"/>
    <w:rsid w:val="00CD57EB"/>
    <w:rsid w:val="00CD5C97"/>
    <w:rsid w:val="00CD786C"/>
    <w:rsid w:val="00CE3598"/>
    <w:rsid w:val="00CF4753"/>
    <w:rsid w:val="00CF71E0"/>
    <w:rsid w:val="00D0083B"/>
    <w:rsid w:val="00D42209"/>
    <w:rsid w:val="00D4270B"/>
    <w:rsid w:val="00D44183"/>
    <w:rsid w:val="00D46D0F"/>
    <w:rsid w:val="00D46D80"/>
    <w:rsid w:val="00D50B57"/>
    <w:rsid w:val="00D6054C"/>
    <w:rsid w:val="00D861F7"/>
    <w:rsid w:val="00D95821"/>
    <w:rsid w:val="00D9761F"/>
    <w:rsid w:val="00DA529F"/>
    <w:rsid w:val="00DC5017"/>
    <w:rsid w:val="00DD18FF"/>
    <w:rsid w:val="00DD2ED3"/>
    <w:rsid w:val="00DD7F1B"/>
    <w:rsid w:val="00DF6553"/>
    <w:rsid w:val="00E024B6"/>
    <w:rsid w:val="00E123C7"/>
    <w:rsid w:val="00E13A02"/>
    <w:rsid w:val="00E34382"/>
    <w:rsid w:val="00E3438B"/>
    <w:rsid w:val="00E41674"/>
    <w:rsid w:val="00E41DB9"/>
    <w:rsid w:val="00E5286B"/>
    <w:rsid w:val="00E762BB"/>
    <w:rsid w:val="00E77B33"/>
    <w:rsid w:val="00E807A5"/>
    <w:rsid w:val="00E808D7"/>
    <w:rsid w:val="00E863D5"/>
    <w:rsid w:val="00E8661B"/>
    <w:rsid w:val="00E96D5D"/>
    <w:rsid w:val="00EA689F"/>
    <w:rsid w:val="00EB38BA"/>
    <w:rsid w:val="00EB3D1F"/>
    <w:rsid w:val="00EB749E"/>
    <w:rsid w:val="00EC47CD"/>
    <w:rsid w:val="00EC7881"/>
    <w:rsid w:val="00EF2866"/>
    <w:rsid w:val="00EF33BE"/>
    <w:rsid w:val="00EF65BD"/>
    <w:rsid w:val="00F02DD7"/>
    <w:rsid w:val="00F0383C"/>
    <w:rsid w:val="00F11631"/>
    <w:rsid w:val="00F12297"/>
    <w:rsid w:val="00F24AB0"/>
    <w:rsid w:val="00F309CB"/>
    <w:rsid w:val="00F3288E"/>
    <w:rsid w:val="00F42FD4"/>
    <w:rsid w:val="00F44A0E"/>
    <w:rsid w:val="00F607E3"/>
    <w:rsid w:val="00F6223A"/>
    <w:rsid w:val="00F8646E"/>
    <w:rsid w:val="00F9675E"/>
    <w:rsid w:val="00F96EF6"/>
    <w:rsid w:val="00FC3F00"/>
    <w:rsid w:val="00FD5A34"/>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PRAMain" TargetMode="Externa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er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5468689" TargetMode="External"/><Relationship Id="rId3" Type="http://schemas.openxmlformats.org/officeDocument/2006/relationships/hyperlink" Target="https://elibrary.ferc.gov/idmws/common/OpenNat.asp?fileID=15468689" TargetMode="External"/><Relationship Id="rId7" Type="http://schemas.openxmlformats.org/officeDocument/2006/relationships/hyperlink" Target="https://elibrary.ferc.gov/idmws/common/OpenNat.asp?fileID=15468689" TargetMode="External"/><Relationship Id="rId2" Type="http://schemas.openxmlformats.org/officeDocument/2006/relationships/hyperlink" Target="https://elibrary.ferc.gov/idmws/common/OpenNat.asp?fileID=15468689" TargetMode="External"/><Relationship Id="rId1" Type="http://schemas.openxmlformats.org/officeDocument/2006/relationships/hyperlink" Target="https://elibrary.ferc.gov/idmws/common/OpenNat.asp?fileID=15468689" TargetMode="External"/><Relationship Id="rId6" Type="http://schemas.openxmlformats.org/officeDocument/2006/relationships/hyperlink" Target="https://elibrary.ferc.gov/idmws/common/OpenNat.asp?fileID=15468689" TargetMode="External"/><Relationship Id="rId11" Type="http://schemas.openxmlformats.org/officeDocument/2006/relationships/hyperlink" Target="https://www.nerc.com/pa/comp/Registration%20and%20Certification%20DL/NCR%20Deregistered%20Entities.xls" TargetMode="External"/><Relationship Id="rId5" Type="http://schemas.openxmlformats.org/officeDocument/2006/relationships/hyperlink" Target="https://elibrary.ferc.gov/idmws/common/OpenNat.asp?fileID=15468689" TargetMode="External"/><Relationship Id="rId10" Type="http://schemas.openxmlformats.org/officeDocument/2006/relationships/hyperlink" Target="https://elibrary.ferc.gov/idmws/common/OpenNat.asp?fileID=15468689" TargetMode="External"/><Relationship Id="rId4" Type="http://schemas.openxmlformats.org/officeDocument/2006/relationships/hyperlink" Target="https://elibrary.ferc.gov/idmws/common/OpenNat.asp?fileID=15468689" TargetMode="External"/><Relationship Id="rId9"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725A(1B)</_x0031__x002e__x0020_Collection_x0020_Number>
    <Date xmlns="d6eefc7d-9817-4fa6-84d5-3bc009be21b8">2020-10-14T04:00:00+00:00</Date>
    <Status xmlns="d6eefc7d-9817-4fa6-84d5-3bc009be21b8">Issued</Status>
    <_x0032__x002e__x0020_Docket_x0020_Number xmlns="d6eefc7d-9817-4fa6-84d5-3bc009be21b8" xsi:nil="true"/>
    <_x0032__x002e__x0020_Collection_x0020_Number xmlns="d6eefc7d-9817-4fa6-84d5-3bc009be21b8">725D</_x0032__x002e__x0020_Collection_x0020_Number>
    <_x0031__x002e__x0020_Docket_x0020_Number xmlns="d6eefc7d-9817-4fa6-84d5-3bc009be21b8">RD20-4</_x0031__x002e__x0020_Docket_x0020_Number>
    <_x0033__x002e__x0020_Collection_x0020_Number xmlns="d6eefc7d-9817-4fa6-84d5-3bc009be21b8">725F</_x0033__x002e__x0020_Collection_x0020_Number>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6eefc7d-9817-4fa6-84d5-3bc009be21b8"/>
    <ds:schemaRef ds:uri="http://www.w3.org/XML/1998/namespace"/>
  </ds:schemaRefs>
</ds:datastoreItem>
</file>

<file path=customXml/itemProps3.xml><?xml version="1.0" encoding="utf-8"?>
<ds:datastoreItem xmlns:ds="http://schemas.openxmlformats.org/officeDocument/2006/customXml" ds:itemID="{8FA651D9-E8A3-45AF-941E-EEA1A613CBE2}">
  <ds:schemaRefs>
    <ds:schemaRef ds:uri="http://schemas.microsoft.com/office/2006/metadata/customXsn"/>
  </ds:schemaRefs>
</ds:datastoreItem>
</file>

<file path=customXml/itemProps4.xml><?xml version="1.0" encoding="utf-8"?>
<ds:datastoreItem xmlns:ds="http://schemas.openxmlformats.org/officeDocument/2006/customXml" ds:itemID="{3FFB3A1A-13EE-4A1E-A224-A48E561D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6.xml><?xml version="1.0" encoding="utf-8"?>
<ds:datastoreItem xmlns:ds="http://schemas.openxmlformats.org/officeDocument/2006/customXml" ds:itemID="{3293AD9E-A0F1-4314-AE86-4BB6FBBE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2020-07-22T13:56:00Z</cp:lastPrinted>
  <dcterms:created xsi:type="dcterms:W3CDTF">2020-12-10T22:19:00Z</dcterms:created>
  <dcterms:modified xsi:type="dcterms:W3CDTF">2020-12-10T22:19:00Z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2020-10-15T12:09:10.3092223Z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4b19f609-0196-46f2-8d55-21e056386b01</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