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219DE" w:rsidR="00794663" w:rsidP="00794663" w:rsidRDefault="00794663" w14:paraId="071A8806" w14:textId="77777777">
      <w:pPr>
        <w:jc w:val="center"/>
        <w:rPr>
          <w:szCs w:val="26"/>
        </w:rPr>
      </w:pPr>
      <w:r w:rsidRPr="007219DE">
        <w:rPr>
          <w:szCs w:val="26"/>
        </w:rPr>
        <w:t>UNITED STATES OF AMERICA</w:t>
      </w:r>
    </w:p>
    <w:p w:rsidRPr="007219DE" w:rsidR="00794663" w:rsidP="00794663" w:rsidRDefault="00794663" w14:paraId="1FE1003C" w14:textId="77777777">
      <w:pPr>
        <w:jc w:val="center"/>
        <w:rPr>
          <w:szCs w:val="26"/>
        </w:rPr>
      </w:pPr>
      <w:r w:rsidRPr="007219DE">
        <w:rPr>
          <w:szCs w:val="26"/>
        </w:rPr>
        <w:t>FEDERAL ENERGY REGULATORY COMMISSION</w:t>
      </w:r>
    </w:p>
    <w:p w:rsidRPr="007219DE" w:rsidR="00794663" w:rsidP="00794663" w:rsidRDefault="00794663" w14:paraId="15D2BE2A" w14:textId="77777777">
      <w:pPr>
        <w:rPr>
          <w:szCs w:val="26"/>
        </w:rPr>
      </w:pPr>
    </w:p>
    <w:p w:rsidRPr="007219DE" w:rsidR="00794663" w:rsidP="00794663" w:rsidRDefault="00794663" w14:paraId="50D605DB" w14:textId="6D116C1B">
      <w:pPr>
        <w:jc w:val="center"/>
        <w:rPr>
          <w:szCs w:val="26"/>
        </w:rPr>
      </w:pPr>
      <w:r w:rsidRPr="007219DE">
        <w:rPr>
          <w:szCs w:val="26"/>
        </w:rPr>
        <w:t>[Docket No. IC</w:t>
      </w:r>
      <w:r w:rsidRPr="007219DE" w:rsidR="00F7561E">
        <w:rPr>
          <w:szCs w:val="26"/>
        </w:rPr>
        <w:t>2</w:t>
      </w:r>
      <w:r w:rsidRPr="0070024F" w:rsidR="00503DBF">
        <w:rPr>
          <w:szCs w:val="26"/>
        </w:rPr>
        <w:t>1</w:t>
      </w:r>
      <w:r w:rsidRPr="007219DE" w:rsidR="00F7561E">
        <w:rPr>
          <w:szCs w:val="26"/>
        </w:rPr>
        <w:t>-</w:t>
      </w:r>
      <w:r w:rsidRPr="007219DE" w:rsidR="00F56397">
        <w:rPr>
          <w:szCs w:val="26"/>
        </w:rPr>
        <w:t>3</w:t>
      </w:r>
      <w:r w:rsidRPr="007219DE">
        <w:rPr>
          <w:szCs w:val="26"/>
        </w:rPr>
        <w:t>-000]</w:t>
      </w:r>
    </w:p>
    <w:p w:rsidRPr="007219DE" w:rsidR="00794663" w:rsidP="00794663" w:rsidRDefault="00794663" w14:paraId="3DAB9007" w14:textId="77777777">
      <w:pPr>
        <w:rPr>
          <w:szCs w:val="26"/>
        </w:rPr>
      </w:pPr>
    </w:p>
    <w:p w:rsidRPr="007219DE" w:rsidR="00794663" w:rsidP="00794663" w:rsidRDefault="00794663" w14:paraId="067AE651" w14:textId="45E2FC6C">
      <w:pPr>
        <w:jc w:val="center"/>
        <w:rPr>
          <w:szCs w:val="26"/>
        </w:rPr>
      </w:pPr>
      <w:r w:rsidRPr="007219DE">
        <w:rPr>
          <w:szCs w:val="26"/>
        </w:rPr>
        <w:t>COMMISSION INFORMATION COLLECTION ACTIVITIES (FERC-</w:t>
      </w:r>
      <w:r w:rsidRPr="007219DE" w:rsidR="009A399C">
        <w:rPr>
          <w:szCs w:val="26"/>
        </w:rPr>
        <w:t>725D</w:t>
      </w:r>
      <w:r w:rsidRPr="007219DE">
        <w:rPr>
          <w:szCs w:val="26"/>
        </w:rPr>
        <w:t>);</w:t>
      </w:r>
    </w:p>
    <w:p w:rsidRPr="007219DE" w:rsidR="00794663" w:rsidP="00794663" w:rsidRDefault="00794663" w14:paraId="33E26ECB" w14:textId="430AEBA2">
      <w:pPr>
        <w:jc w:val="center"/>
        <w:rPr>
          <w:szCs w:val="26"/>
        </w:rPr>
      </w:pPr>
      <w:r w:rsidRPr="007219DE">
        <w:rPr>
          <w:szCs w:val="26"/>
        </w:rPr>
        <w:t>COMMENT REQUEST; EXTENSION</w:t>
      </w:r>
    </w:p>
    <w:p w:rsidRPr="007219DE" w:rsidR="00794663" w:rsidP="00794663" w:rsidRDefault="00794663" w14:paraId="10C13286" w14:textId="77777777">
      <w:pPr>
        <w:rPr>
          <w:szCs w:val="26"/>
        </w:rPr>
      </w:pPr>
    </w:p>
    <w:p w:rsidR="00A54C23" w:rsidP="00964A22" w:rsidRDefault="00964A22" w14:paraId="3045F23A" w14:textId="138084CF">
      <w:pPr>
        <w:jc w:val="center"/>
        <w:rPr>
          <w:szCs w:val="26"/>
        </w:rPr>
      </w:pPr>
      <w:r w:rsidRPr="00964A22">
        <w:rPr>
          <w:szCs w:val="26"/>
        </w:rPr>
        <w:t>(October 30, 2020)</w:t>
      </w:r>
    </w:p>
    <w:p w:rsidRPr="00964A22" w:rsidR="00964A22" w:rsidP="00964A22" w:rsidRDefault="00964A22" w14:paraId="4473B178" w14:textId="77777777">
      <w:pPr>
        <w:rPr>
          <w:szCs w:val="26"/>
        </w:rPr>
      </w:pPr>
    </w:p>
    <w:p w:rsidRPr="007219DE" w:rsidR="00794663" w:rsidP="00794663" w:rsidRDefault="00794663" w14:paraId="3610ACFF" w14:textId="77777777">
      <w:pPr>
        <w:rPr>
          <w:szCs w:val="26"/>
        </w:rPr>
      </w:pPr>
      <w:r w:rsidRPr="007219DE">
        <w:rPr>
          <w:b/>
          <w:szCs w:val="26"/>
        </w:rPr>
        <w:t>AGENCY:</w:t>
      </w:r>
      <w:r w:rsidRPr="007219DE">
        <w:rPr>
          <w:szCs w:val="26"/>
        </w:rPr>
        <w:t xml:space="preserve">  Federal Energy Regulatory Commission.</w:t>
      </w:r>
    </w:p>
    <w:p w:rsidRPr="007219DE" w:rsidR="00794663" w:rsidP="00794663" w:rsidRDefault="00794663" w14:paraId="38C98283" w14:textId="77777777">
      <w:pPr>
        <w:rPr>
          <w:szCs w:val="26"/>
        </w:rPr>
      </w:pPr>
    </w:p>
    <w:p w:rsidRPr="007219DE" w:rsidR="00794663" w:rsidP="00794663" w:rsidRDefault="00794663" w14:paraId="25A0A732" w14:textId="14FE77FA">
      <w:pPr>
        <w:spacing w:line="480" w:lineRule="auto"/>
        <w:rPr>
          <w:szCs w:val="26"/>
        </w:rPr>
      </w:pPr>
      <w:r w:rsidRPr="007219DE">
        <w:rPr>
          <w:b/>
          <w:szCs w:val="26"/>
        </w:rPr>
        <w:t>ACTION:</w:t>
      </w:r>
      <w:r w:rsidRPr="007219DE">
        <w:rPr>
          <w:szCs w:val="26"/>
        </w:rPr>
        <w:t xml:space="preserve">  Notice of information collection and request for comments.</w:t>
      </w:r>
    </w:p>
    <w:p w:rsidRPr="007219DE" w:rsidR="004E3713" w:rsidP="004E3713" w:rsidRDefault="00794663" w14:paraId="1F3AE735" w14:textId="1C11B99A">
      <w:pPr>
        <w:spacing w:line="480" w:lineRule="auto"/>
        <w:rPr>
          <w:szCs w:val="26"/>
        </w:rPr>
      </w:pPr>
      <w:r w:rsidRPr="007219DE">
        <w:rPr>
          <w:b/>
          <w:szCs w:val="26"/>
        </w:rPr>
        <w:t>SUMMARY:</w:t>
      </w:r>
      <w:r w:rsidRPr="007219DE">
        <w:rPr>
          <w:szCs w:val="26"/>
        </w:rPr>
        <w:t xml:space="preserve">  In compliance with the requirements of the Paperwork Reduction Act of 1995, the Federal Energy Regulatory Commission (Commission or FERC) is soliciting public comment on a re</w:t>
      </w:r>
      <w:r w:rsidRPr="007219DE" w:rsidR="00E4588B">
        <w:rPr>
          <w:szCs w:val="26"/>
        </w:rPr>
        <w:t>newal</w:t>
      </w:r>
      <w:r w:rsidRPr="007219DE">
        <w:rPr>
          <w:szCs w:val="26"/>
        </w:rPr>
        <w:t xml:space="preserve"> </w:t>
      </w:r>
      <w:r w:rsidRPr="007219DE" w:rsidR="00E4588B">
        <w:rPr>
          <w:szCs w:val="26"/>
        </w:rPr>
        <w:t>of currently approved</w:t>
      </w:r>
      <w:r w:rsidRPr="007219DE">
        <w:rPr>
          <w:szCs w:val="26"/>
        </w:rPr>
        <w:t xml:space="preserve"> information collection, FERC-</w:t>
      </w:r>
      <w:r w:rsidRPr="007219DE" w:rsidR="009A399C">
        <w:rPr>
          <w:szCs w:val="26"/>
        </w:rPr>
        <w:t>725D</w:t>
      </w:r>
      <w:r w:rsidRPr="007219DE" w:rsidR="004E3713">
        <w:rPr>
          <w:szCs w:val="26"/>
        </w:rPr>
        <w:t xml:space="preserve"> </w:t>
      </w:r>
      <w:r w:rsidRPr="007219DE" w:rsidR="00910883">
        <w:rPr>
          <w:szCs w:val="26"/>
        </w:rPr>
        <w:t>(</w:t>
      </w:r>
      <w:r w:rsidRPr="007219DE" w:rsidR="009A399C">
        <w:rPr>
          <w:color w:val="000000"/>
          <w:szCs w:val="26"/>
        </w:rPr>
        <w:t>Facilities Design, Connections and Maintenance Reliability Standards</w:t>
      </w:r>
      <w:r w:rsidRPr="007219DE" w:rsidR="00910883">
        <w:rPr>
          <w:color w:val="000000"/>
          <w:szCs w:val="26"/>
        </w:rPr>
        <w:t>)</w:t>
      </w:r>
      <w:r w:rsidRPr="007219DE" w:rsidR="004E3713">
        <w:rPr>
          <w:szCs w:val="26"/>
        </w:rPr>
        <w:t xml:space="preserve">. </w:t>
      </w:r>
    </w:p>
    <w:p w:rsidRPr="007219DE" w:rsidR="004E3713" w:rsidP="004E3713" w:rsidRDefault="004E3713" w14:paraId="31C49F04" w14:textId="506A2398">
      <w:pPr>
        <w:spacing w:line="480" w:lineRule="auto"/>
        <w:rPr>
          <w:szCs w:val="26"/>
        </w:rPr>
      </w:pPr>
      <w:r w:rsidRPr="007219DE">
        <w:rPr>
          <w:b/>
          <w:szCs w:val="26"/>
        </w:rPr>
        <w:t>DATES:</w:t>
      </w:r>
      <w:r w:rsidRPr="007219DE">
        <w:rPr>
          <w:szCs w:val="26"/>
        </w:rPr>
        <w:t xml:space="preserve">  Comments on the collection of information are due</w:t>
      </w:r>
      <w:r w:rsidRPr="007219DE">
        <w:rPr>
          <w:b/>
          <w:szCs w:val="26"/>
        </w:rPr>
        <w:t xml:space="preserve"> [</w:t>
      </w:r>
      <w:r w:rsidRPr="007219DE" w:rsidR="00DF4B69">
        <w:rPr>
          <w:b/>
          <w:szCs w:val="26"/>
        </w:rPr>
        <w:t xml:space="preserve">Insert Date </w:t>
      </w:r>
      <w:r w:rsidRPr="007219DE">
        <w:rPr>
          <w:b/>
          <w:szCs w:val="26"/>
        </w:rPr>
        <w:t xml:space="preserve">60 days after </w:t>
      </w:r>
      <w:r w:rsidRPr="007219DE" w:rsidR="00A54C23">
        <w:rPr>
          <w:b/>
          <w:szCs w:val="26"/>
        </w:rPr>
        <w:t xml:space="preserve">date of </w:t>
      </w:r>
      <w:r w:rsidRPr="007219DE">
        <w:rPr>
          <w:b/>
          <w:szCs w:val="26"/>
        </w:rPr>
        <w:t>publication in the Federal Register].</w:t>
      </w:r>
      <w:r w:rsidRPr="007219DE">
        <w:rPr>
          <w:szCs w:val="26"/>
        </w:rPr>
        <w:t xml:space="preserve"> </w:t>
      </w:r>
    </w:p>
    <w:p w:rsidRPr="007219DE" w:rsidR="00FA194B" w:rsidP="004E3713" w:rsidRDefault="004E3713" w14:paraId="17840756" w14:textId="135BD209">
      <w:pPr>
        <w:rPr>
          <w:szCs w:val="26"/>
        </w:rPr>
      </w:pPr>
      <w:r w:rsidRPr="007219DE">
        <w:rPr>
          <w:b/>
          <w:szCs w:val="26"/>
        </w:rPr>
        <w:t>ADDRESSES:</w:t>
      </w:r>
      <w:r w:rsidRPr="007219DE">
        <w:rPr>
          <w:szCs w:val="26"/>
        </w:rPr>
        <w:t xml:space="preserve">  You may submit comments </w:t>
      </w:r>
      <w:r w:rsidRPr="007219DE" w:rsidR="00F7561E">
        <w:rPr>
          <w:szCs w:val="26"/>
        </w:rPr>
        <w:t>(</w:t>
      </w:r>
      <w:r w:rsidRPr="007219DE">
        <w:rPr>
          <w:szCs w:val="26"/>
        </w:rPr>
        <w:t>identified by Docket No. IC</w:t>
      </w:r>
      <w:r w:rsidRPr="007219DE" w:rsidR="00F7561E">
        <w:rPr>
          <w:szCs w:val="26"/>
        </w:rPr>
        <w:t>2</w:t>
      </w:r>
      <w:r w:rsidRPr="0070024F" w:rsidR="00503DBF">
        <w:rPr>
          <w:szCs w:val="26"/>
        </w:rPr>
        <w:t>1</w:t>
      </w:r>
      <w:r w:rsidRPr="007219DE">
        <w:rPr>
          <w:szCs w:val="26"/>
        </w:rPr>
        <w:t>-</w:t>
      </w:r>
      <w:r w:rsidRPr="0070024F" w:rsidR="00F56397">
        <w:rPr>
          <w:szCs w:val="26"/>
        </w:rPr>
        <w:t>3</w:t>
      </w:r>
      <w:r w:rsidRPr="007219DE">
        <w:rPr>
          <w:szCs w:val="26"/>
        </w:rPr>
        <w:t>-</w:t>
      </w:r>
      <w:r w:rsidRPr="007219DE" w:rsidR="00EB499B">
        <w:rPr>
          <w:szCs w:val="26"/>
        </w:rPr>
        <w:t>000</w:t>
      </w:r>
      <w:r w:rsidRPr="007219DE" w:rsidR="00F7561E">
        <w:rPr>
          <w:szCs w:val="26"/>
        </w:rPr>
        <w:t>)</w:t>
      </w:r>
      <w:r w:rsidRPr="007219DE">
        <w:rPr>
          <w:szCs w:val="26"/>
        </w:rPr>
        <w:t xml:space="preserve"> by</w:t>
      </w:r>
    </w:p>
    <w:p w:rsidRPr="007219DE" w:rsidR="004E3713" w:rsidP="004E3713" w:rsidRDefault="004E3713" w14:paraId="4AE7D765" w14:textId="55CC3E6F">
      <w:pPr>
        <w:rPr>
          <w:szCs w:val="26"/>
        </w:rPr>
      </w:pPr>
      <w:r w:rsidRPr="007219DE">
        <w:rPr>
          <w:szCs w:val="26"/>
        </w:rPr>
        <w:t xml:space="preserve"> </w:t>
      </w:r>
    </w:p>
    <w:p w:rsidRPr="007219DE" w:rsidR="00E4588B" w:rsidP="004E3713" w:rsidRDefault="001777DC" w14:paraId="35E2A5A1" w14:textId="5B102630">
      <w:pPr>
        <w:rPr>
          <w:szCs w:val="26"/>
        </w:rPr>
      </w:pPr>
      <w:r w:rsidRPr="007219DE">
        <w:rPr>
          <w:szCs w:val="26"/>
        </w:rPr>
        <w:t xml:space="preserve">one </w:t>
      </w:r>
      <w:r w:rsidRPr="007219DE" w:rsidR="004E3713">
        <w:rPr>
          <w:szCs w:val="26"/>
        </w:rPr>
        <w:t>of the following methods:</w:t>
      </w:r>
    </w:p>
    <w:p w:rsidRPr="007219DE" w:rsidR="00E4588B" w:rsidP="004E3713" w:rsidRDefault="00E4588B" w14:paraId="2E74F4B6" w14:textId="4A312CDE">
      <w:pPr>
        <w:rPr>
          <w:szCs w:val="26"/>
        </w:rPr>
      </w:pPr>
      <w:r w:rsidRPr="007219DE">
        <w:rPr>
          <w:szCs w:val="26"/>
        </w:rPr>
        <w:tab/>
      </w:r>
      <w:r w:rsidRPr="007219DE">
        <w:rPr>
          <w:szCs w:val="26"/>
        </w:rPr>
        <w:tab/>
      </w:r>
    </w:p>
    <w:p w:rsidRPr="007219DE" w:rsidR="00910883" w:rsidP="004E3713" w:rsidRDefault="00910883" w14:paraId="7CAD82A3" w14:textId="77777777">
      <w:pPr>
        <w:rPr>
          <w:szCs w:val="26"/>
        </w:rPr>
      </w:pPr>
    </w:p>
    <w:p w:rsidRPr="007219DE" w:rsidR="00E4588B" w:rsidP="008C4FC4" w:rsidRDefault="00E4588B" w14:paraId="6BBC7740" w14:textId="2E325ABC">
      <w:pPr>
        <w:numPr>
          <w:ilvl w:val="0"/>
          <w:numId w:val="3"/>
        </w:numPr>
        <w:tabs>
          <w:tab w:val="num" w:pos="1080"/>
        </w:tabs>
        <w:spacing w:line="480" w:lineRule="auto"/>
        <w:ind w:left="1080"/>
        <w:rPr>
          <w:rStyle w:val="Hyperlink"/>
          <w:color w:val="auto"/>
          <w:u w:val="none"/>
        </w:rPr>
      </w:pPr>
      <w:bookmarkStart w:name="OLE_LINK1" w:id="0"/>
      <w:proofErr w:type="spellStart"/>
      <w:r w:rsidRPr="007219DE">
        <w:t>eFiling</w:t>
      </w:r>
      <w:proofErr w:type="spellEnd"/>
      <w:r w:rsidRPr="007219DE">
        <w:t xml:space="preserve"> at Commission’s Web Site: </w:t>
      </w:r>
      <w:hyperlink w:history="1" r:id="rId12">
        <w:r w:rsidRPr="007219DE" w:rsidR="00FA194B">
          <w:rPr>
            <w:rStyle w:val="Hyperlink"/>
          </w:rPr>
          <w:t>http://www.ferc.gov</w:t>
        </w:r>
      </w:hyperlink>
    </w:p>
    <w:p w:rsidRPr="007219DE" w:rsidR="00791623" w:rsidP="008C4FC4" w:rsidRDefault="00791623" w14:paraId="6D22B7E8" w14:textId="547A105C">
      <w:pPr>
        <w:numPr>
          <w:ilvl w:val="0"/>
          <w:numId w:val="3"/>
        </w:numPr>
        <w:tabs>
          <w:tab w:val="num" w:pos="1080"/>
        </w:tabs>
        <w:spacing w:line="480" w:lineRule="auto"/>
        <w:ind w:left="1080"/>
      </w:pPr>
      <w:r w:rsidRPr="007219DE">
        <w:t>U.S. Postal Service Mail: Persons unable to file electronically may mail similar pleadings to the Federal Energy Regulatory Commission, 888 First Street, NE, Washington, DC 20426</w:t>
      </w:r>
    </w:p>
    <w:p w:rsidRPr="007219DE" w:rsidR="00022DBB" w:rsidP="008C4FC4" w:rsidRDefault="00791623" w14:paraId="12A00372" w14:textId="24078806">
      <w:pPr>
        <w:pStyle w:val="ListParagraph"/>
        <w:numPr>
          <w:ilvl w:val="0"/>
          <w:numId w:val="7"/>
        </w:numPr>
        <w:spacing w:line="480" w:lineRule="auto"/>
        <w:ind w:left="1080"/>
      </w:pPr>
      <w:r w:rsidRPr="007219DE">
        <w:lastRenderedPageBreak/>
        <w:t xml:space="preserve">Effective 7/1/2020, delivery of filings other than by </w:t>
      </w:r>
      <w:proofErr w:type="spellStart"/>
      <w:r w:rsidRPr="007219DE">
        <w:t>eFiling</w:t>
      </w:r>
      <w:proofErr w:type="spellEnd"/>
      <w:r w:rsidRPr="007219DE">
        <w:t xml:space="preserve"> or the U.S. Postal Service should be delivered to Health and Human Services, 12225 Wilkins Avenue, Rockville, Maryland 20852</w:t>
      </w:r>
      <w:r w:rsidRPr="007219DE" w:rsidR="00A60763">
        <w:t>.</w:t>
      </w:r>
    </w:p>
    <w:p w:rsidRPr="007219DE" w:rsidR="00E4588B" w:rsidP="00022DBB" w:rsidRDefault="00E4588B" w14:paraId="5085FE67" w14:textId="62B1A234">
      <w:pPr>
        <w:spacing w:line="480" w:lineRule="auto"/>
      </w:pPr>
      <w:r w:rsidRPr="007219DE">
        <w:rPr>
          <w:i/>
        </w:rPr>
        <w:t xml:space="preserve">Instructions: </w:t>
      </w:r>
      <w:r w:rsidRPr="007219DE">
        <w:t>All submissions must be formatted and filed in accordance with submission guidelines at:</w:t>
      </w:r>
      <w:r w:rsidRPr="007219DE" w:rsidR="007E05B2">
        <w:t xml:space="preserve">   </w:t>
      </w:r>
      <w:hyperlink w:history="1" r:id="rId13">
        <w:r w:rsidRPr="007219DE" w:rsidR="007E05B2">
          <w:rPr>
            <w:rStyle w:val="Hyperlink"/>
          </w:rPr>
          <w:t>http://www.ferc.gov</w:t>
        </w:r>
      </w:hyperlink>
      <w:r w:rsidRPr="007219DE" w:rsidR="008C4FC4">
        <w:t>.</w:t>
      </w:r>
      <w:r w:rsidRPr="007219DE">
        <w:t xml:space="preserve">  For user assistance, contact FERC Online Support by e-mail at ferconlinesupport@ferc.gov, or by phone at (866) 208-3676 (toll-free).</w:t>
      </w:r>
    </w:p>
    <w:p w:rsidRPr="007219DE" w:rsidR="00E4588B" w:rsidP="00E4588B" w:rsidRDefault="00E4588B" w14:paraId="3F7DA643" w14:textId="26D53407">
      <w:pPr>
        <w:spacing w:line="480" w:lineRule="auto"/>
      </w:pPr>
      <w:r w:rsidRPr="007219DE">
        <w:rPr>
          <w:i/>
        </w:rPr>
        <w:t>Docket:</w:t>
      </w:r>
      <w:r w:rsidRPr="007219DE">
        <w:t xml:space="preserve"> Users interested in receiving automatic notification of activity in this docket or in viewing/downloading comments and issuances in this docket may do so at </w:t>
      </w:r>
      <w:hyperlink w:history="1" r:id="rId14">
        <w:r w:rsidRPr="007219DE" w:rsidR="00FA194B">
          <w:rPr>
            <w:rStyle w:val="Hyperlink"/>
          </w:rPr>
          <w:t>http://www.ferc.gov</w:t>
        </w:r>
      </w:hyperlink>
      <w:r w:rsidRPr="007219DE">
        <w:t xml:space="preserve">. </w:t>
      </w:r>
    </w:p>
    <w:bookmarkEnd w:id="0"/>
    <w:p w:rsidRPr="007219DE" w:rsidR="004E3713" w:rsidP="004E3713" w:rsidRDefault="004E3713" w14:paraId="667827D6" w14:textId="40FDEB6E">
      <w:pPr>
        <w:spacing w:line="480" w:lineRule="auto"/>
        <w:rPr>
          <w:szCs w:val="26"/>
        </w:rPr>
      </w:pPr>
      <w:r w:rsidRPr="007219DE">
        <w:rPr>
          <w:b/>
          <w:szCs w:val="26"/>
        </w:rPr>
        <w:t>FOR FURTHER INFORMATION:</w:t>
      </w:r>
      <w:r w:rsidRPr="007219DE">
        <w:rPr>
          <w:szCs w:val="26"/>
        </w:rPr>
        <w:t xml:space="preserve">  Ellen Brown may be reached by e-mail at </w:t>
      </w:r>
      <w:hyperlink w:history="1" r:id="rId15">
        <w:r w:rsidRPr="007219DE">
          <w:rPr>
            <w:rStyle w:val="Hyperlink"/>
            <w:szCs w:val="26"/>
          </w:rPr>
          <w:t>DataClearance@FERC.gov</w:t>
        </w:r>
      </w:hyperlink>
      <w:r w:rsidRPr="007219DE">
        <w:rPr>
          <w:szCs w:val="26"/>
        </w:rPr>
        <w:t>, telephone at (202) 502-8663.</w:t>
      </w:r>
    </w:p>
    <w:p w:rsidRPr="007219DE" w:rsidR="004E3713" w:rsidP="004E3713" w:rsidRDefault="004E3713" w14:paraId="2A9D27D1" w14:textId="325CA2F4">
      <w:pPr>
        <w:spacing w:line="480" w:lineRule="auto"/>
        <w:rPr>
          <w:szCs w:val="26"/>
        </w:rPr>
      </w:pPr>
      <w:r w:rsidRPr="007219DE">
        <w:rPr>
          <w:b/>
          <w:szCs w:val="26"/>
        </w:rPr>
        <w:t>SUPPLEMENTARY INFORMATION:</w:t>
      </w:r>
      <w:r w:rsidRPr="007219DE">
        <w:rPr>
          <w:szCs w:val="26"/>
        </w:rPr>
        <w:t xml:space="preserve">  </w:t>
      </w:r>
    </w:p>
    <w:p w:rsidRPr="007219DE" w:rsidR="004E3713" w:rsidP="004E3713" w:rsidRDefault="004E3713" w14:paraId="6A0D460E" w14:textId="4CB897BA">
      <w:pPr>
        <w:spacing w:line="480" w:lineRule="auto"/>
        <w:rPr>
          <w:color w:val="000000"/>
          <w:szCs w:val="26"/>
        </w:rPr>
      </w:pPr>
      <w:r w:rsidRPr="007219DE">
        <w:rPr>
          <w:i/>
          <w:szCs w:val="26"/>
        </w:rPr>
        <w:t xml:space="preserve">Title: </w:t>
      </w:r>
      <w:r w:rsidRPr="007219DE">
        <w:rPr>
          <w:szCs w:val="26"/>
        </w:rPr>
        <w:t>FERC-</w:t>
      </w:r>
      <w:r w:rsidRPr="007219DE" w:rsidR="009A399C">
        <w:rPr>
          <w:szCs w:val="26"/>
        </w:rPr>
        <w:t>725D</w:t>
      </w:r>
      <w:r w:rsidRPr="007219DE" w:rsidR="00B50690">
        <w:rPr>
          <w:rStyle w:val="FootnoteReference"/>
        </w:rPr>
        <w:footnoteReference w:id="2"/>
      </w:r>
      <w:r w:rsidRPr="007219DE">
        <w:rPr>
          <w:szCs w:val="26"/>
        </w:rPr>
        <w:t xml:space="preserve">, </w:t>
      </w:r>
      <w:r w:rsidRPr="007219DE" w:rsidR="009A399C">
        <w:rPr>
          <w:color w:val="000000"/>
          <w:szCs w:val="26"/>
        </w:rPr>
        <w:t>Facilities Design, Connections and Maintenance Reliability Standards</w:t>
      </w:r>
    </w:p>
    <w:p w:rsidRPr="007219DE" w:rsidR="004E3713" w:rsidP="004E3713" w:rsidRDefault="004E3713" w14:paraId="1A456BB8" w14:textId="508FA243">
      <w:pPr>
        <w:spacing w:line="480" w:lineRule="auto"/>
        <w:rPr>
          <w:szCs w:val="26"/>
        </w:rPr>
      </w:pPr>
      <w:r w:rsidRPr="007219DE">
        <w:rPr>
          <w:i/>
          <w:szCs w:val="26"/>
        </w:rPr>
        <w:t>OMB Control No.:</w:t>
      </w:r>
      <w:r w:rsidRPr="007219DE">
        <w:rPr>
          <w:szCs w:val="26"/>
        </w:rPr>
        <w:t xml:space="preserve"> 1902-0</w:t>
      </w:r>
      <w:r w:rsidRPr="007219DE" w:rsidR="009A399C">
        <w:rPr>
          <w:szCs w:val="26"/>
        </w:rPr>
        <w:t>247</w:t>
      </w:r>
    </w:p>
    <w:p w:rsidRPr="007219DE" w:rsidR="004E3713" w:rsidP="004E3713" w:rsidRDefault="004E3713" w14:paraId="74422325" w14:textId="58B9E0ED">
      <w:pPr>
        <w:spacing w:line="480" w:lineRule="auto"/>
        <w:rPr>
          <w:szCs w:val="26"/>
        </w:rPr>
      </w:pPr>
      <w:r w:rsidRPr="007219DE">
        <w:rPr>
          <w:i/>
          <w:szCs w:val="26"/>
        </w:rPr>
        <w:t>Type of Request:</w:t>
      </w:r>
      <w:r w:rsidRPr="007219DE">
        <w:rPr>
          <w:szCs w:val="26"/>
        </w:rPr>
        <w:t xml:space="preserve"> Three-year approval of the FERC-</w:t>
      </w:r>
      <w:r w:rsidRPr="007219DE" w:rsidR="009A399C">
        <w:rPr>
          <w:szCs w:val="26"/>
        </w:rPr>
        <w:t>725D</w:t>
      </w:r>
      <w:r w:rsidRPr="007219DE">
        <w:rPr>
          <w:szCs w:val="26"/>
        </w:rPr>
        <w:t xml:space="preserve"> information collection requirements</w:t>
      </w:r>
      <w:r w:rsidRPr="007219DE" w:rsidR="00C72703">
        <w:rPr>
          <w:szCs w:val="26"/>
        </w:rPr>
        <w:t xml:space="preserve">, </w:t>
      </w:r>
      <w:r w:rsidRPr="007219DE" w:rsidR="00A246E7">
        <w:rPr>
          <w:szCs w:val="26"/>
        </w:rPr>
        <w:t>with no changes to the reporting or recordkeeping requirements.  (There are adjustments to the estimates</w:t>
      </w:r>
      <w:r w:rsidR="00FF165E">
        <w:rPr>
          <w:szCs w:val="26"/>
        </w:rPr>
        <w:t xml:space="preserve"> to update the totals that represent the numbers reflected in the NERC Compliance Registry as of July 17, 2020)</w:t>
      </w:r>
      <w:r w:rsidRPr="007219DE" w:rsidR="00A246E7">
        <w:rPr>
          <w:szCs w:val="26"/>
        </w:rPr>
        <w:t xml:space="preserve"> </w:t>
      </w:r>
    </w:p>
    <w:p w:rsidRPr="007219DE" w:rsidR="001A1468" w:rsidP="00F12008" w:rsidRDefault="004E3713" w14:paraId="450677FA" w14:textId="313B7B38">
      <w:pPr>
        <w:spacing w:line="480" w:lineRule="auto"/>
        <w:rPr>
          <w:szCs w:val="26"/>
        </w:rPr>
      </w:pPr>
      <w:r w:rsidRPr="007219DE">
        <w:rPr>
          <w:i/>
          <w:szCs w:val="26"/>
        </w:rPr>
        <w:lastRenderedPageBreak/>
        <w:t xml:space="preserve">Abstract: </w:t>
      </w:r>
      <w:r w:rsidRPr="007219DE" w:rsidR="009A399C">
        <w:rPr>
          <w:iCs/>
          <w:szCs w:val="26"/>
        </w:rPr>
        <w:t xml:space="preserve">On August 8, 2005, The Electricity Modernization Act of 2005, which is Title XII of the Energy Policy Act of 2005 (EPAct 2005), was enacted into law.   EPAct 2005 added a new section 215 to the Federal Power Act (FPA), which requires a Commission-certified Electric Reliability Organization (ERO) to develop mandatory and enforceable Reliability Standards, subject to Commission review and approval.  Once approved, the Reliability Standards may be enforced by the ERO, subject to Commission oversight, or by the Commission independently. Section 215 of the FPA requires a Commission-certified ERO to develop mandatory and enforceable Reliability Standards, subject to Commission review and approval.  Once approved, the Reliability Standards may be enforced by the ERO subject to Commission oversight or by the Commission independently.  In 2006, the Commission certified NERC (now called the North American Electric Reliability Corporation) as the ERO pursuant to section 215 of the FPA. </w:t>
      </w:r>
      <w:r w:rsidRPr="007219DE" w:rsidR="000A551A">
        <w:rPr>
          <w:szCs w:val="26"/>
        </w:rPr>
        <w:t>On March 16, 2007 (pursuant to section 215(d) of the FPA), the Commission issued Order No. 693, approving 83 of the 107 initial Reliability Standards filed by NERC.  In the intervening years, numerous changes have been made to update, eliminate, or establish various Reliability Standards.</w:t>
      </w:r>
      <w:r w:rsidRPr="007219DE" w:rsidR="00F12008">
        <w:rPr>
          <w:szCs w:val="26"/>
        </w:rPr>
        <w:t xml:space="preserve"> </w:t>
      </w:r>
    </w:p>
    <w:p w:rsidRPr="007219DE" w:rsidR="00F12008" w:rsidP="00F12008" w:rsidRDefault="000A551A" w14:paraId="56E733DC" w14:textId="23302E9D">
      <w:pPr>
        <w:spacing w:line="480" w:lineRule="auto"/>
        <w:rPr>
          <w:szCs w:val="26"/>
        </w:rPr>
      </w:pPr>
      <w:r w:rsidRPr="007219DE">
        <w:rPr>
          <w:szCs w:val="26"/>
        </w:rPr>
        <w:t xml:space="preserve">The information collected by FERC-725D is required to implement the statutory provisions of section 215 of the Federal Power Act (FPA) (16 U.S.C. 824c).  </w:t>
      </w:r>
      <w:r w:rsidRPr="007219DE" w:rsidR="00F12008">
        <w:rPr>
          <w:rFonts w:eastAsia="Calibri"/>
          <w:sz w:val="24"/>
        </w:rPr>
        <w:t>Pursuant to section 215 of the Federal Power Act (FPA),</w:t>
      </w:r>
      <w:r w:rsidRPr="007219DE" w:rsidR="00F12008">
        <w:rPr>
          <w:rFonts w:eastAsia="Calibri"/>
          <w:b/>
          <w:sz w:val="24"/>
          <w:vertAlign w:val="superscript"/>
        </w:rPr>
        <w:footnoteReference w:id="3"/>
      </w:r>
      <w:r w:rsidRPr="007219DE" w:rsidR="00F12008">
        <w:rPr>
          <w:rFonts w:eastAsia="Calibri"/>
          <w:sz w:val="24"/>
        </w:rPr>
        <w:t xml:space="preserve"> in Order 836,</w:t>
      </w:r>
      <w:r w:rsidRPr="007219DE" w:rsidR="00F12008">
        <w:rPr>
          <w:rFonts w:eastAsia="Calibri"/>
          <w:sz w:val="24"/>
          <w:vertAlign w:val="superscript"/>
        </w:rPr>
        <w:footnoteReference w:id="4"/>
      </w:r>
      <w:r w:rsidRPr="007219DE" w:rsidR="00F12008">
        <w:rPr>
          <w:rFonts w:eastAsia="Calibri"/>
          <w:sz w:val="24"/>
          <w:vertAlign w:val="superscript"/>
        </w:rPr>
        <w:t xml:space="preserve">  </w:t>
      </w:r>
      <w:r w:rsidRPr="007219DE" w:rsidR="0036496C">
        <w:rPr>
          <w:rFonts w:eastAsia="Calibri"/>
          <w:sz w:val="24"/>
        </w:rPr>
        <w:t xml:space="preserve">the </w:t>
      </w:r>
      <w:r w:rsidR="00AA34A3">
        <w:rPr>
          <w:rFonts w:eastAsia="Calibri"/>
          <w:sz w:val="24"/>
        </w:rPr>
        <w:t>C</w:t>
      </w:r>
      <w:r w:rsidRPr="007219DE" w:rsidR="0036496C">
        <w:rPr>
          <w:rFonts w:eastAsia="Calibri"/>
          <w:sz w:val="24"/>
        </w:rPr>
        <w:t xml:space="preserve">ommission approved the </w:t>
      </w:r>
      <w:r w:rsidRPr="007219DE" w:rsidR="0036496C">
        <w:rPr>
          <w:rFonts w:eastAsia="Calibri"/>
          <w:sz w:val="24"/>
        </w:rPr>
        <w:lastRenderedPageBreak/>
        <w:t>following standards</w:t>
      </w:r>
      <w:r w:rsidRPr="007219DE" w:rsidR="00F12008">
        <w:rPr>
          <w:rFonts w:eastAsia="Calibri"/>
          <w:sz w:val="24"/>
        </w:rPr>
        <w:t xml:space="preserve">, </w:t>
      </w:r>
      <w:r w:rsidRPr="00AA34A3" w:rsidR="00F12008">
        <w:rPr>
          <w:rFonts w:eastAsia="Calibri"/>
          <w:sz w:val="24"/>
        </w:rPr>
        <w:t>FAC-001-2 (</w:t>
      </w:r>
      <w:bookmarkStart w:name="_Hlk53794043" w:id="1"/>
      <w:r w:rsidRPr="00AA34A3" w:rsidR="00F12008">
        <w:rPr>
          <w:rFonts w:eastAsia="Calibri"/>
          <w:sz w:val="24"/>
        </w:rPr>
        <w:t>Facility Interconnection Requirements</w:t>
      </w:r>
      <w:bookmarkEnd w:id="1"/>
      <w:r w:rsidRPr="00AA34A3" w:rsidR="00F12008">
        <w:rPr>
          <w:rFonts w:eastAsia="Calibri"/>
          <w:sz w:val="24"/>
        </w:rPr>
        <w:t>)</w:t>
      </w:r>
      <w:r w:rsidRPr="00AA34A3" w:rsidR="0036496C">
        <w:rPr>
          <w:rFonts w:eastAsia="Calibri"/>
          <w:sz w:val="24"/>
        </w:rPr>
        <w:t>,</w:t>
      </w:r>
      <w:r w:rsidR="00AA34A3">
        <w:rPr>
          <w:rFonts w:eastAsia="Calibri"/>
          <w:sz w:val="24"/>
        </w:rPr>
        <w:t xml:space="preserve"> </w:t>
      </w:r>
      <w:r w:rsidRPr="00AA34A3" w:rsidR="00F12008">
        <w:rPr>
          <w:rFonts w:eastAsia="Calibri"/>
          <w:sz w:val="24"/>
        </w:rPr>
        <w:t>FAC-002-2</w:t>
      </w:r>
      <w:r w:rsidRPr="00AA34A3" w:rsidR="00C46738">
        <w:rPr>
          <w:rFonts w:eastAsia="Calibri"/>
          <w:sz w:val="24"/>
        </w:rPr>
        <w:t xml:space="preserve"> (Facility Interconnection Requirements)</w:t>
      </w:r>
      <w:r w:rsidR="00AA34A3">
        <w:rPr>
          <w:rFonts w:eastAsia="Calibri"/>
          <w:sz w:val="24"/>
        </w:rPr>
        <w:t>,</w:t>
      </w:r>
      <w:r w:rsidRPr="00AA34A3" w:rsidR="0036496C">
        <w:rPr>
          <w:rFonts w:eastAsia="Calibri"/>
          <w:sz w:val="24"/>
        </w:rPr>
        <w:t xml:space="preserve"> FAC-001-3 (Facility Interconnection Requirements)</w:t>
      </w:r>
      <w:r w:rsidRPr="00AA34A3" w:rsidR="00F12008">
        <w:rPr>
          <w:rFonts w:eastAsia="Calibri"/>
          <w:sz w:val="24"/>
        </w:rPr>
        <w:t>.</w:t>
      </w:r>
      <w:r w:rsidRPr="007219DE" w:rsidR="00F12008">
        <w:rPr>
          <w:rFonts w:eastAsia="Calibri"/>
          <w:sz w:val="24"/>
        </w:rPr>
        <w:t xml:space="preserve">  </w:t>
      </w:r>
      <w:r w:rsidRPr="007219DE" w:rsidR="00F12008">
        <w:rPr>
          <w:szCs w:val="26"/>
        </w:rPr>
        <w:t xml:space="preserve">Reliability Standard FAC-001-2 requires each transmission owner and applicable generator owner to document facility interconnection requirements, and to make them available upon request to entities seeking to interconnect.  In addition, Reliability Standard FAC-001-2 requires each transmission owner and applicable generator owner to include procedures for coordinating studies to determine the impact of interconnecting facilities on existing interconnections as well as on affected systems.  </w:t>
      </w:r>
    </w:p>
    <w:p w:rsidRPr="007219DE" w:rsidR="003B29FB" w:rsidP="009A399C" w:rsidRDefault="00F12008" w14:paraId="0393D032" w14:textId="3F3541E4">
      <w:pPr>
        <w:spacing w:line="480" w:lineRule="auto"/>
        <w:rPr>
          <w:szCs w:val="26"/>
        </w:rPr>
      </w:pPr>
      <w:r w:rsidRPr="007219DE">
        <w:rPr>
          <w:szCs w:val="26"/>
        </w:rPr>
        <w:t xml:space="preserve">Reliability Standard FAC-002-2 requires each transmission planner and each planning coordinator to study the reliability impact of interconnecting new--or materially modifying existing--generation, transmission, or electricity end-user facilities on affected systems.  </w:t>
      </w:r>
      <w:proofErr w:type="gramStart"/>
      <w:r w:rsidRPr="007219DE">
        <w:rPr>
          <w:szCs w:val="26"/>
        </w:rPr>
        <w:t>In particular, Reliability</w:t>
      </w:r>
      <w:proofErr w:type="gramEnd"/>
      <w:r w:rsidRPr="007219DE">
        <w:rPr>
          <w:szCs w:val="26"/>
        </w:rPr>
        <w:t xml:space="preserve"> Standard FAC-002-2 requires transmission planners and planning coordinators to perform steady-state, short-circuit, and dynamic studies to evaluate system performance under both normal and contingency conditions.  In addition, Reliability Standard FAC-002-2 requires each generator owner seeking to interconnect, each transmission owner, each distribution provider, and each load-serving entity that is seeking to interconnect new--or materially modifying existing--transmission facilities or end-user facilities to coordinate and cooperate on studies with its transmission planner and planning coordinator.</w:t>
      </w:r>
      <w:r w:rsidRPr="007219DE" w:rsidR="0036496C">
        <w:rPr>
          <w:szCs w:val="26"/>
        </w:rPr>
        <w:t xml:space="preserve"> Reliability Standard FAC-001-3</w:t>
      </w:r>
      <w:r w:rsidRPr="007219DE" w:rsidR="0036496C">
        <w:t xml:space="preserve"> (Transmission Owners) are set out </w:t>
      </w:r>
      <w:r w:rsidRPr="007219DE" w:rsidR="0036496C">
        <w:rPr>
          <w:szCs w:val="26"/>
        </w:rPr>
        <w:t xml:space="preserve">to avoid adverse impacts on the reliability of the Bulk Electric System, Transmission Owners and applicable Generator Owners must document and make Facility </w:t>
      </w:r>
      <w:r w:rsidRPr="007219DE" w:rsidR="0036496C">
        <w:rPr>
          <w:szCs w:val="26"/>
        </w:rPr>
        <w:lastRenderedPageBreak/>
        <w:t xml:space="preserve">interconnection requirements available so that entities seeking to interconnect will have the necessary information. </w:t>
      </w:r>
    </w:p>
    <w:p w:rsidRPr="007219DE" w:rsidR="00C46738" w:rsidP="004E3713" w:rsidRDefault="003B29FB" w14:paraId="10ACEE6B" w14:textId="090B5BBB">
      <w:pPr>
        <w:spacing w:line="480" w:lineRule="auto"/>
        <w:rPr>
          <w:i/>
          <w:szCs w:val="26"/>
        </w:rPr>
      </w:pPr>
      <w:r w:rsidRPr="007219DE">
        <w:rPr>
          <w:i/>
          <w:szCs w:val="26"/>
        </w:rPr>
        <w:t xml:space="preserve">Type of Respondents: </w:t>
      </w:r>
      <w:r w:rsidRPr="007219DE" w:rsidR="005922F1">
        <w:rPr>
          <w:szCs w:val="26"/>
        </w:rPr>
        <w:t>PA/PC, TP, TO, DP, &amp; GO</w:t>
      </w:r>
      <w:r w:rsidRPr="007219DE" w:rsidR="005922F1">
        <w:rPr>
          <w:rStyle w:val="FootnoteReference"/>
        </w:rPr>
        <w:footnoteReference w:id="5"/>
      </w:r>
    </w:p>
    <w:p w:rsidRPr="007219DE" w:rsidR="00DF4B69" w:rsidP="004E3713" w:rsidRDefault="003B29FB" w14:paraId="01B8E11C" w14:textId="5C9B842A">
      <w:pPr>
        <w:spacing w:line="480" w:lineRule="auto"/>
        <w:rPr>
          <w:szCs w:val="26"/>
        </w:rPr>
      </w:pPr>
      <w:r w:rsidRPr="007219DE">
        <w:rPr>
          <w:i/>
          <w:szCs w:val="26"/>
        </w:rPr>
        <w:t>Estimate of Annual Burden</w:t>
      </w:r>
      <w:r w:rsidRPr="007219DE">
        <w:rPr>
          <w:rStyle w:val="FootnoteReference"/>
          <w:i/>
        </w:rPr>
        <w:footnoteReference w:id="6"/>
      </w:r>
      <w:r w:rsidRPr="007219DE" w:rsidR="00C57D75">
        <w:rPr>
          <w:i/>
          <w:szCs w:val="26"/>
        </w:rPr>
        <w:t xml:space="preserve">and </w:t>
      </w:r>
      <w:r w:rsidRPr="007219DE" w:rsidR="008C7F23">
        <w:rPr>
          <w:i/>
          <w:szCs w:val="26"/>
        </w:rPr>
        <w:t>Cost</w:t>
      </w:r>
      <w:r w:rsidRPr="007219DE" w:rsidR="00C57D75">
        <w:rPr>
          <w:rStyle w:val="FootnoteReference"/>
          <w:i/>
        </w:rPr>
        <w:footnoteReference w:id="7"/>
      </w:r>
      <w:r w:rsidRPr="007219DE">
        <w:rPr>
          <w:i/>
          <w:szCs w:val="26"/>
        </w:rPr>
        <w:t xml:space="preserve">: </w:t>
      </w:r>
      <w:r w:rsidRPr="007219DE">
        <w:rPr>
          <w:szCs w:val="26"/>
        </w:rPr>
        <w:t xml:space="preserve">The Commission </w:t>
      </w:r>
      <w:r w:rsidR="00BD7C61">
        <w:rPr>
          <w:szCs w:val="26"/>
        </w:rPr>
        <w:t>estima</w:t>
      </w:r>
      <w:r w:rsidRPr="007219DE" w:rsidR="006B0822">
        <w:rPr>
          <w:szCs w:val="26"/>
        </w:rPr>
        <w:t xml:space="preserve">tes </w:t>
      </w:r>
      <w:r w:rsidRPr="007219DE" w:rsidR="00C0632C">
        <w:rPr>
          <w:szCs w:val="26"/>
        </w:rPr>
        <w:t xml:space="preserve">an increase </w:t>
      </w:r>
      <w:r w:rsidRPr="007219DE" w:rsidR="008C7F23">
        <w:rPr>
          <w:szCs w:val="26"/>
        </w:rPr>
        <w:t xml:space="preserve">(adjustment) </w:t>
      </w:r>
      <w:r w:rsidRPr="007219DE">
        <w:rPr>
          <w:szCs w:val="26"/>
        </w:rPr>
        <w:t>in the annual public reporting burden for the FERC-</w:t>
      </w:r>
      <w:r w:rsidRPr="007219DE" w:rsidR="009A399C">
        <w:rPr>
          <w:szCs w:val="26"/>
        </w:rPr>
        <w:t>725</w:t>
      </w:r>
      <w:proofErr w:type="gramStart"/>
      <w:r w:rsidRPr="007219DE" w:rsidR="009A399C">
        <w:rPr>
          <w:szCs w:val="26"/>
        </w:rPr>
        <w:t>D</w:t>
      </w:r>
      <w:r w:rsidRPr="007219DE" w:rsidR="006B0822">
        <w:rPr>
          <w:szCs w:val="26"/>
        </w:rPr>
        <w:t xml:space="preserve"> </w:t>
      </w:r>
      <w:r w:rsidRPr="007219DE" w:rsidR="006B0822">
        <w:t xml:space="preserve"> that</w:t>
      </w:r>
      <w:proofErr w:type="gramEnd"/>
      <w:r w:rsidRPr="007219DE" w:rsidR="006B0822">
        <w:t xml:space="preserve"> follow the two standards</w:t>
      </w:r>
      <w:r w:rsidR="005B2A79">
        <w:t xml:space="preserve"> FAC-001-3 and FAC-002-2.</w:t>
      </w:r>
      <w:r w:rsidRPr="007219DE" w:rsidR="006B0822">
        <w:t xml:space="preserve"> </w:t>
      </w:r>
      <w:r w:rsidR="001E396E">
        <w:t xml:space="preserve"> </w:t>
      </w:r>
      <w:r w:rsidRPr="007219DE" w:rsidR="006B0822">
        <w:t xml:space="preserve">FAC-002-2 </w:t>
      </w:r>
      <w:r w:rsidR="00FF165E">
        <w:t xml:space="preserve">which </w:t>
      </w:r>
      <w:r w:rsidRPr="007219DE" w:rsidR="006B0822">
        <w:t>increased from 1</w:t>
      </w:r>
      <w:r w:rsidR="005B2A79">
        <w:t>,</w:t>
      </w:r>
      <w:r w:rsidRPr="007219DE" w:rsidR="006B0822">
        <w:t xml:space="preserve">206 to </w:t>
      </w:r>
      <w:r w:rsidRPr="007219DE" w:rsidR="0008609F">
        <w:t>1</w:t>
      </w:r>
      <w:r w:rsidR="005B2A79">
        <w:t>,</w:t>
      </w:r>
      <w:r w:rsidRPr="007219DE" w:rsidR="0008609F">
        <w:t>542</w:t>
      </w:r>
      <w:r w:rsidRPr="007219DE" w:rsidR="006B0822">
        <w:t xml:space="preserve"> and FAC-001-3</w:t>
      </w:r>
      <w:r w:rsidR="00AA34A3">
        <w:t xml:space="preserve"> </w:t>
      </w:r>
      <w:bookmarkStart w:name="_GoBack" w:id="3"/>
      <w:bookmarkEnd w:id="3"/>
      <w:r w:rsidRPr="00FF165E" w:rsidR="00FF165E">
        <w:t>(Formerly FAC-001-2)</w:t>
      </w:r>
      <w:r w:rsidR="00FF165E">
        <w:t xml:space="preserve"> which</w:t>
      </w:r>
      <w:r w:rsidRPr="007219DE" w:rsidR="006B0822">
        <w:t xml:space="preserve"> </w:t>
      </w:r>
      <w:r w:rsidR="0063152F">
        <w:t xml:space="preserve">has no change, </w:t>
      </w:r>
      <w:r w:rsidRPr="007219DE" w:rsidR="006B0822">
        <w:t>remains at 1</w:t>
      </w:r>
      <w:r w:rsidR="005B2A79">
        <w:t>61</w:t>
      </w:r>
      <w:r w:rsidRPr="007219DE" w:rsidR="006B0822">
        <w:t xml:space="preserve"> respo</w:t>
      </w:r>
      <w:r w:rsidR="005B2A79">
        <w:t>n</w:t>
      </w:r>
      <w:r w:rsidRPr="007219DE" w:rsidR="006B0822">
        <w:t>s</w:t>
      </w:r>
      <w:r w:rsidR="005B2A79">
        <w:t>es. 1,542 responses + 161 responses</w:t>
      </w:r>
      <w:r w:rsidRPr="007219DE" w:rsidR="006B0822">
        <w:t xml:space="preserve"> for </w:t>
      </w:r>
      <w:proofErr w:type="spellStart"/>
      <w:r w:rsidRPr="007219DE" w:rsidR="006B0822">
        <w:t>at</w:t>
      </w:r>
      <w:proofErr w:type="spellEnd"/>
      <w:r w:rsidRPr="007219DE" w:rsidR="006B0822">
        <w:t xml:space="preserve"> </w:t>
      </w:r>
      <w:r w:rsidR="005B2A79">
        <w:t>t</w:t>
      </w:r>
      <w:r w:rsidRPr="007219DE" w:rsidR="006B0822">
        <w:t>otal of 1,703 respo</w:t>
      </w:r>
      <w:r w:rsidR="005B2A79">
        <w:t>n</w:t>
      </w:r>
      <w:r w:rsidRPr="007219DE" w:rsidR="006B0822">
        <w:t>s</w:t>
      </w:r>
      <w:r w:rsidR="005B2A79">
        <w:t>es</w:t>
      </w:r>
      <w:r w:rsidRPr="007219DE">
        <w:rPr>
          <w:szCs w:val="26"/>
        </w:rPr>
        <w:t xml:space="preserve">, as </w:t>
      </w:r>
      <w:r w:rsidR="005B2A79">
        <w:rPr>
          <w:szCs w:val="26"/>
        </w:rPr>
        <w:t>shown below in the table</w:t>
      </w:r>
      <w:r w:rsidRPr="007219DE">
        <w:rPr>
          <w:szCs w:val="26"/>
        </w:rPr>
        <w:t>:</w:t>
      </w:r>
    </w:p>
    <w:tbl>
      <w:tblPr>
        <w:tblW w:w="5435" w:type="pct"/>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69"/>
        <w:gridCol w:w="1603"/>
        <w:gridCol w:w="1430"/>
        <w:gridCol w:w="1313"/>
        <w:gridCol w:w="1177"/>
        <w:gridCol w:w="1541"/>
        <w:gridCol w:w="1430"/>
      </w:tblGrid>
      <w:tr w:rsidRPr="007219DE" w:rsidR="007B2872" w:rsidTr="00EB499B" w14:paraId="0C1ECA7A" w14:textId="77777777">
        <w:trPr>
          <w:cantSplit/>
          <w:trHeight w:val="531"/>
        </w:trPr>
        <w:tc>
          <w:tcPr>
            <w:tcW w:w="5000" w:type="pct"/>
            <w:gridSpan w:val="7"/>
            <w:tcBorders>
              <w:top w:val="single" w:color="auto" w:sz="4" w:space="0"/>
              <w:left w:val="single" w:color="auto" w:sz="4" w:space="0"/>
              <w:bottom w:val="single" w:color="auto" w:sz="4" w:space="0"/>
              <w:right w:val="single" w:color="auto" w:sz="4" w:space="0"/>
            </w:tcBorders>
            <w:shd w:val="clear" w:color="auto" w:fill="D9D9D9"/>
            <w:hideMark/>
          </w:tcPr>
          <w:p w:rsidRPr="007219DE" w:rsidR="007B2872" w:rsidP="007B2872" w:rsidRDefault="007B2872" w14:paraId="1C588CD0" w14:textId="77777777">
            <w:pPr>
              <w:jc w:val="center"/>
              <w:rPr>
                <w:rFonts w:eastAsia="Calibri"/>
                <w:b/>
                <w:sz w:val="24"/>
              </w:rPr>
            </w:pPr>
            <w:r w:rsidRPr="007219DE">
              <w:rPr>
                <w:rFonts w:eastAsia="Calibri"/>
                <w:b/>
                <w:sz w:val="24"/>
              </w:rPr>
              <w:t>FERC-725D: (Mandatory Reliability Standards: FAC (Facilities, Design, Connections, and Maintenance</w:t>
            </w:r>
            <w:r w:rsidRPr="007219DE">
              <w:rPr>
                <w:b/>
                <w:bCs/>
                <w:color w:val="000000"/>
                <w:sz w:val="24"/>
              </w:rPr>
              <w:t>)</w:t>
            </w:r>
          </w:p>
        </w:tc>
      </w:tr>
      <w:tr w:rsidRPr="007219DE" w:rsidR="00EB499B" w:rsidTr="00EB499B" w14:paraId="58908E65" w14:textId="77777777">
        <w:trPr>
          <w:cantSplit/>
          <w:trHeight w:val="1907"/>
        </w:trPr>
        <w:tc>
          <w:tcPr>
            <w:tcW w:w="579" w:type="pct"/>
            <w:tcBorders>
              <w:top w:val="single" w:color="auto" w:sz="4" w:space="0"/>
              <w:left w:val="single" w:color="auto" w:sz="4" w:space="0"/>
              <w:bottom w:val="single" w:color="auto" w:sz="4" w:space="0"/>
              <w:right w:val="single" w:color="auto" w:sz="4" w:space="0"/>
            </w:tcBorders>
            <w:shd w:val="clear" w:color="auto" w:fill="D9D9D9"/>
          </w:tcPr>
          <w:p w:rsidRPr="007219DE" w:rsidR="007B2872" w:rsidP="00127448" w:rsidRDefault="00127448" w14:paraId="144A65AB" w14:textId="6758EBAF">
            <w:pPr>
              <w:jc w:val="center"/>
              <w:rPr>
                <w:rFonts w:eastAsia="Calibri"/>
                <w:b/>
                <w:bCs/>
                <w:sz w:val="24"/>
              </w:rPr>
            </w:pPr>
            <w:r w:rsidRPr="007219DE">
              <w:rPr>
                <w:rFonts w:eastAsia="Calibri"/>
                <w:sz w:val="24"/>
              </w:rPr>
              <w:br/>
            </w:r>
            <w:r w:rsidRPr="007219DE">
              <w:rPr>
                <w:rFonts w:eastAsia="Calibri"/>
                <w:sz w:val="24"/>
              </w:rPr>
              <w:br/>
            </w:r>
            <w:r w:rsidRPr="007219DE">
              <w:rPr>
                <w:rFonts w:eastAsia="Calibri"/>
                <w:sz w:val="24"/>
              </w:rPr>
              <w:br/>
            </w:r>
            <w:r w:rsidRPr="007219DE">
              <w:rPr>
                <w:rFonts w:eastAsia="Calibri"/>
                <w:sz w:val="24"/>
              </w:rPr>
              <w:br/>
            </w:r>
          </w:p>
        </w:tc>
        <w:tc>
          <w:tcPr>
            <w:tcW w:w="789"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7219DE" w:rsidR="007B2872" w:rsidP="007B2872" w:rsidRDefault="007B2872" w14:paraId="052AFF35" w14:textId="77777777">
            <w:pPr>
              <w:jc w:val="center"/>
              <w:rPr>
                <w:rFonts w:eastAsia="Calibri"/>
                <w:b/>
                <w:sz w:val="24"/>
              </w:rPr>
            </w:pPr>
            <w:r w:rsidRPr="007219DE">
              <w:rPr>
                <w:rFonts w:eastAsia="Calibri"/>
                <w:b/>
                <w:sz w:val="24"/>
              </w:rPr>
              <w:t>Number of Respondents</w:t>
            </w:r>
            <w:r w:rsidRPr="007219DE">
              <w:rPr>
                <w:rFonts w:eastAsia="Calibri"/>
                <w:b/>
                <w:sz w:val="24"/>
                <w:vertAlign w:val="superscript"/>
              </w:rPr>
              <w:footnoteReference w:id="8"/>
            </w:r>
            <w:r w:rsidRPr="007219DE">
              <w:rPr>
                <w:rFonts w:eastAsia="Calibri"/>
                <w:b/>
                <w:sz w:val="24"/>
              </w:rPr>
              <w:br/>
              <w:t>(1)</w:t>
            </w:r>
          </w:p>
        </w:tc>
        <w:tc>
          <w:tcPr>
            <w:tcW w:w="70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7219DE" w:rsidR="007B2872" w:rsidP="007B2872" w:rsidRDefault="007B2872" w14:paraId="5D8D3C90" w14:textId="77777777">
            <w:pPr>
              <w:jc w:val="center"/>
              <w:rPr>
                <w:rFonts w:eastAsia="Calibri"/>
                <w:b/>
                <w:sz w:val="24"/>
              </w:rPr>
            </w:pPr>
            <w:r w:rsidRPr="007219DE">
              <w:rPr>
                <w:rFonts w:eastAsia="Calibri"/>
                <w:b/>
                <w:sz w:val="24"/>
              </w:rPr>
              <w:t>Annual Number of Responses per Respondent</w:t>
            </w:r>
          </w:p>
          <w:p w:rsidRPr="007219DE" w:rsidR="007B2872" w:rsidP="007B2872" w:rsidRDefault="007B2872" w14:paraId="0E5955E1" w14:textId="77777777">
            <w:pPr>
              <w:jc w:val="center"/>
              <w:rPr>
                <w:rFonts w:eastAsia="Calibri"/>
                <w:b/>
                <w:sz w:val="24"/>
              </w:rPr>
            </w:pPr>
            <w:r w:rsidRPr="007219DE">
              <w:rPr>
                <w:rFonts w:eastAsia="Calibri"/>
                <w:b/>
                <w:sz w:val="24"/>
              </w:rPr>
              <w:t>(2)</w:t>
            </w:r>
          </w:p>
        </w:tc>
        <w:tc>
          <w:tcPr>
            <w:tcW w:w="646"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7219DE" w:rsidR="007B2872" w:rsidP="007B2872" w:rsidRDefault="007B2872" w14:paraId="14404BFE" w14:textId="77777777">
            <w:pPr>
              <w:jc w:val="center"/>
              <w:rPr>
                <w:rFonts w:eastAsia="Calibri"/>
                <w:b/>
                <w:sz w:val="24"/>
              </w:rPr>
            </w:pPr>
            <w:r w:rsidRPr="007219DE">
              <w:rPr>
                <w:rFonts w:eastAsia="Calibri"/>
                <w:b/>
                <w:sz w:val="24"/>
              </w:rPr>
              <w:t>Total Number of Responses (</w:t>
            </w:r>
            <w:proofErr w:type="gramStart"/>
            <w:r w:rsidRPr="007219DE">
              <w:rPr>
                <w:rFonts w:eastAsia="Calibri"/>
                <w:b/>
                <w:sz w:val="24"/>
              </w:rPr>
              <w:t>1)*</w:t>
            </w:r>
            <w:proofErr w:type="gramEnd"/>
            <w:r w:rsidRPr="007219DE">
              <w:rPr>
                <w:rFonts w:eastAsia="Calibri"/>
                <w:b/>
                <w:sz w:val="24"/>
              </w:rPr>
              <w:t>(2)=(3)</w:t>
            </w:r>
          </w:p>
        </w:tc>
        <w:tc>
          <w:tcPr>
            <w:tcW w:w="638"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7219DE" w:rsidR="007B2872" w:rsidP="007B2872" w:rsidRDefault="007B2872" w14:paraId="01B00C0B" w14:textId="77777777">
            <w:pPr>
              <w:jc w:val="center"/>
              <w:rPr>
                <w:rFonts w:eastAsia="Calibri"/>
                <w:b/>
                <w:sz w:val="24"/>
              </w:rPr>
            </w:pPr>
            <w:r w:rsidRPr="007219DE">
              <w:rPr>
                <w:rFonts w:eastAsia="Calibri"/>
                <w:b/>
                <w:sz w:val="24"/>
              </w:rPr>
              <w:t>Average Burden Hours &amp; Cost Per Response</w:t>
            </w:r>
          </w:p>
          <w:p w:rsidRPr="007219DE" w:rsidR="007B2872" w:rsidP="007B2872" w:rsidRDefault="007B2872" w14:paraId="59CAC162" w14:textId="77777777">
            <w:pPr>
              <w:jc w:val="center"/>
              <w:rPr>
                <w:rFonts w:eastAsia="Calibri"/>
                <w:b/>
                <w:sz w:val="24"/>
              </w:rPr>
            </w:pPr>
            <w:r w:rsidRPr="007219DE">
              <w:rPr>
                <w:rFonts w:eastAsia="Calibri"/>
                <w:b/>
                <w:sz w:val="24"/>
              </w:rPr>
              <w:t>(4)</w:t>
            </w:r>
          </w:p>
        </w:tc>
        <w:tc>
          <w:tcPr>
            <w:tcW w:w="941"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7219DE" w:rsidR="007B2872" w:rsidP="007B2872" w:rsidRDefault="007B2872" w14:paraId="5269C011" w14:textId="46F425E3">
            <w:pPr>
              <w:jc w:val="center"/>
              <w:rPr>
                <w:rFonts w:eastAsia="Calibri"/>
                <w:b/>
                <w:sz w:val="24"/>
              </w:rPr>
            </w:pPr>
            <w:r w:rsidRPr="007219DE">
              <w:rPr>
                <w:rFonts w:eastAsia="Calibri"/>
                <w:b/>
                <w:sz w:val="24"/>
              </w:rPr>
              <w:t>Total Annual Burden Hours &amp; Total Annual Cost</w:t>
            </w:r>
          </w:p>
          <w:p w:rsidRPr="007219DE" w:rsidR="007B2872" w:rsidP="007B2872" w:rsidRDefault="007B2872" w14:paraId="3DFA397F" w14:textId="77777777">
            <w:pPr>
              <w:jc w:val="center"/>
              <w:rPr>
                <w:rFonts w:eastAsia="Calibri"/>
                <w:b/>
                <w:sz w:val="24"/>
              </w:rPr>
            </w:pPr>
            <w:r w:rsidRPr="007219DE">
              <w:rPr>
                <w:rFonts w:eastAsia="Calibri"/>
                <w:b/>
                <w:sz w:val="24"/>
              </w:rPr>
              <w:t>(</w:t>
            </w:r>
            <w:proofErr w:type="gramStart"/>
            <w:r w:rsidRPr="007219DE">
              <w:rPr>
                <w:rFonts w:eastAsia="Calibri"/>
                <w:b/>
                <w:sz w:val="24"/>
              </w:rPr>
              <w:t>3)*</w:t>
            </w:r>
            <w:proofErr w:type="gramEnd"/>
            <w:r w:rsidRPr="007219DE">
              <w:rPr>
                <w:rFonts w:eastAsia="Calibri"/>
                <w:b/>
                <w:sz w:val="24"/>
              </w:rPr>
              <w:t>(4)=(5)</w:t>
            </w:r>
          </w:p>
        </w:tc>
        <w:tc>
          <w:tcPr>
            <w:tcW w:w="704" w:type="pct"/>
            <w:tcBorders>
              <w:top w:val="single" w:color="auto" w:sz="4" w:space="0"/>
              <w:left w:val="single" w:color="auto" w:sz="4" w:space="0"/>
              <w:bottom w:val="single" w:color="auto" w:sz="4" w:space="0"/>
              <w:right w:val="single" w:color="auto" w:sz="4" w:space="0"/>
            </w:tcBorders>
            <w:shd w:val="clear" w:color="auto" w:fill="D9D9D9"/>
            <w:vAlign w:val="bottom"/>
          </w:tcPr>
          <w:p w:rsidRPr="007219DE" w:rsidR="007B2872" w:rsidP="007B2872" w:rsidRDefault="007B2872" w14:paraId="437C9780" w14:textId="77777777">
            <w:pPr>
              <w:jc w:val="center"/>
              <w:rPr>
                <w:rFonts w:eastAsia="Calibri"/>
                <w:b/>
                <w:sz w:val="24"/>
              </w:rPr>
            </w:pPr>
            <w:r w:rsidRPr="007219DE">
              <w:rPr>
                <w:rFonts w:eastAsia="Calibri"/>
                <w:b/>
                <w:sz w:val="24"/>
              </w:rPr>
              <w:t>Average Annual Cost per Respondent</w:t>
            </w:r>
          </w:p>
          <w:p w:rsidRPr="007219DE" w:rsidR="007B2872" w:rsidP="007B2872" w:rsidRDefault="007B2872" w14:paraId="1DCCE597" w14:textId="77777777">
            <w:pPr>
              <w:jc w:val="center"/>
              <w:rPr>
                <w:rFonts w:eastAsia="Calibri"/>
                <w:b/>
                <w:sz w:val="24"/>
              </w:rPr>
            </w:pPr>
            <w:r w:rsidRPr="007219DE">
              <w:rPr>
                <w:rFonts w:eastAsia="Calibri"/>
                <w:b/>
                <w:sz w:val="24"/>
              </w:rPr>
              <w:t>(</w:t>
            </w:r>
            <w:proofErr w:type="gramStart"/>
            <w:r w:rsidRPr="007219DE">
              <w:rPr>
                <w:rFonts w:eastAsia="Calibri"/>
                <w:b/>
                <w:sz w:val="24"/>
              </w:rPr>
              <w:t>5)÷</w:t>
            </w:r>
            <w:proofErr w:type="gramEnd"/>
            <w:r w:rsidRPr="007219DE">
              <w:rPr>
                <w:rFonts w:eastAsia="Calibri"/>
                <w:b/>
                <w:sz w:val="24"/>
              </w:rPr>
              <w:t>(1)</w:t>
            </w:r>
          </w:p>
        </w:tc>
      </w:tr>
      <w:tr w:rsidRPr="007219DE" w:rsidR="003268EE" w:rsidTr="00EB499B" w14:paraId="62EE3A8D" w14:textId="77777777">
        <w:trPr>
          <w:cantSplit/>
          <w:trHeight w:val="566"/>
        </w:trPr>
        <w:tc>
          <w:tcPr>
            <w:tcW w:w="579" w:type="pct"/>
            <w:tcBorders>
              <w:top w:val="single" w:color="auto" w:sz="4" w:space="0"/>
              <w:left w:val="single" w:color="auto" w:sz="4" w:space="0"/>
              <w:bottom w:val="single" w:color="auto" w:sz="4" w:space="0"/>
              <w:right w:val="single" w:color="auto" w:sz="4" w:space="0"/>
            </w:tcBorders>
          </w:tcPr>
          <w:p w:rsidRPr="007219DE" w:rsidR="00806A01" w:rsidP="00806A01" w:rsidRDefault="006B1354" w14:paraId="4C4A8C72" w14:textId="0FC086AE">
            <w:pPr>
              <w:widowControl w:val="0"/>
              <w:autoSpaceDE w:val="0"/>
              <w:autoSpaceDN w:val="0"/>
              <w:adjustRightInd w:val="0"/>
              <w:jc w:val="right"/>
              <w:rPr>
                <w:sz w:val="24"/>
              </w:rPr>
            </w:pPr>
            <w:r w:rsidRPr="007219DE">
              <w:rPr>
                <w:sz w:val="24"/>
              </w:rPr>
              <w:lastRenderedPageBreak/>
              <w:t>Annual Reporting</w:t>
            </w:r>
            <w:r w:rsidR="00FC40B0">
              <w:rPr>
                <w:sz w:val="24"/>
              </w:rPr>
              <w:t xml:space="preserve"> and Recordkeeping</w:t>
            </w:r>
            <w:r w:rsidRPr="007219DE">
              <w:rPr>
                <w:sz w:val="24"/>
              </w:rPr>
              <w:t xml:space="preserve"> </w:t>
            </w:r>
            <w:r w:rsidRPr="007219DE" w:rsidR="008C7F23">
              <w:rPr>
                <w:sz w:val="24"/>
              </w:rPr>
              <w:t>(</w:t>
            </w:r>
            <w:bookmarkStart w:name="_Hlk54087955" w:id="4"/>
            <w:r w:rsidRPr="007219DE" w:rsidR="00806A01">
              <w:rPr>
                <w:sz w:val="24"/>
              </w:rPr>
              <w:t xml:space="preserve">PA/PC, TP, TO, </w:t>
            </w:r>
            <w:r w:rsidRPr="007219DE">
              <w:rPr>
                <w:sz w:val="24"/>
              </w:rPr>
              <w:t xml:space="preserve">DP, </w:t>
            </w:r>
            <w:r w:rsidRPr="007219DE" w:rsidR="008C7F23">
              <w:rPr>
                <w:sz w:val="24"/>
              </w:rPr>
              <w:t xml:space="preserve">&amp; </w:t>
            </w:r>
            <w:r w:rsidRPr="007219DE">
              <w:rPr>
                <w:sz w:val="24"/>
              </w:rPr>
              <w:t>GO</w:t>
            </w:r>
            <w:bookmarkEnd w:id="4"/>
            <w:r w:rsidRPr="007219DE" w:rsidR="008C7F23">
              <w:rPr>
                <w:sz w:val="24"/>
              </w:rPr>
              <w:t>)</w:t>
            </w:r>
          </w:p>
        </w:tc>
        <w:tc>
          <w:tcPr>
            <w:tcW w:w="789" w:type="pct"/>
            <w:tcBorders>
              <w:top w:val="single" w:color="auto" w:sz="4" w:space="0"/>
              <w:left w:val="single" w:color="auto" w:sz="4" w:space="0"/>
              <w:bottom w:val="single" w:color="auto" w:sz="4" w:space="0"/>
              <w:right w:val="single" w:color="auto" w:sz="4" w:space="0"/>
            </w:tcBorders>
          </w:tcPr>
          <w:p w:rsidRPr="007219DE" w:rsidR="00806A01" w:rsidP="00806A01" w:rsidRDefault="00806A01" w14:paraId="000D8B2B" w14:textId="109914B7">
            <w:pPr>
              <w:jc w:val="right"/>
              <w:rPr>
                <w:rFonts w:eastAsia="Calibri"/>
                <w:sz w:val="24"/>
              </w:rPr>
            </w:pPr>
            <w:r w:rsidRPr="007219DE">
              <w:rPr>
                <w:rFonts w:eastAsia="Calibri"/>
                <w:sz w:val="24"/>
              </w:rPr>
              <w:t>1,</w:t>
            </w:r>
            <w:r w:rsidRPr="007219DE" w:rsidR="003268EE">
              <w:rPr>
                <w:rFonts w:eastAsia="Calibri"/>
                <w:sz w:val="24"/>
              </w:rPr>
              <w:t>703</w:t>
            </w:r>
          </w:p>
          <w:p w:rsidRPr="007219DE" w:rsidR="00806A01" w:rsidP="00806A01" w:rsidRDefault="00806A01" w14:paraId="62FACF99" w14:textId="77777777">
            <w:pPr>
              <w:widowControl w:val="0"/>
              <w:autoSpaceDE w:val="0"/>
              <w:autoSpaceDN w:val="0"/>
              <w:adjustRightInd w:val="0"/>
              <w:jc w:val="right"/>
              <w:rPr>
                <w:sz w:val="24"/>
              </w:rPr>
            </w:pPr>
          </w:p>
        </w:tc>
        <w:tc>
          <w:tcPr>
            <w:tcW w:w="704" w:type="pct"/>
            <w:tcBorders>
              <w:top w:val="single" w:color="auto" w:sz="4" w:space="0"/>
              <w:left w:val="single" w:color="auto" w:sz="4" w:space="0"/>
              <w:bottom w:val="single" w:color="auto" w:sz="4" w:space="0"/>
              <w:right w:val="single" w:color="auto" w:sz="4" w:space="0"/>
            </w:tcBorders>
          </w:tcPr>
          <w:p w:rsidRPr="007219DE" w:rsidR="00806A01" w:rsidP="00806A01" w:rsidRDefault="00806A01" w14:paraId="4AFB06C9" w14:textId="22A0B256">
            <w:pPr>
              <w:widowControl w:val="0"/>
              <w:autoSpaceDE w:val="0"/>
              <w:autoSpaceDN w:val="0"/>
              <w:adjustRightInd w:val="0"/>
              <w:jc w:val="right"/>
              <w:rPr>
                <w:sz w:val="24"/>
              </w:rPr>
            </w:pPr>
            <w:r w:rsidRPr="007219DE">
              <w:rPr>
                <w:rFonts w:eastAsia="Calibri"/>
                <w:sz w:val="24"/>
              </w:rPr>
              <w:t>1</w:t>
            </w:r>
          </w:p>
        </w:tc>
        <w:tc>
          <w:tcPr>
            <w:tcW w:w="646" w:type="pct"/>
            <w:tcBorders>
              <w:top w:val="single" w:color="auto" w:sz="4" w:space="0"/>
              <w:left w:val="single" w:color="auto" w:sz="4" w:space="0"/>
              <w:bottom w:val="single" w:color="auto" w:sz="4" w:space="0"/>
              <w:right w:val="single" w:color="auto" w:sz="4" w:space="0"/>
            </w:tcBorders>
          </w:tcPr>
          <w:p w:rsidRPr="007219DE" w:rsidR="00806A01" w:rsidP="00806A01" w:rsidRDefault="00806A01" w14:paraId="1B401D92" w14:textId="0F3C1C54">
            <w:pPr>
              <w:widowControl w:val="0"/>
              <w:autoSpaceDE w:val="0"/>
              <w:autoSpaceDN w:val="0"/>
              <w:adjustRightInd w:val="0"/>
              <w:jc w:val="right"/>
              <w:rPr>
                <w:sz w:val="24"/>
              </w:rPr>
            </w:pPr>
            <w:r w:rsidRPr="007219DE">
              <w:rPr>
                <w:rFonts w:eastAsia="Calibri"/>
                <w:sz w:val="24"/>
              </w:rPr>
              <w:t>1,</w:t>
            </w:r>
            <w:r w:rsidRPr="007219DE" w:rsidR="003268EE">
              <w:rPr>
                <w:rFonts w:eastAsia="Calibri"/>
                <w:sz w:val="24"/>
              </w:rPr>
              <w:t>703</w:t>
            </w:r>
          </w:p>
        </w:tc>
        <w:tc>
          <w:tcPr>
            <w:tcW w:w="638" w:type="pct"/>
            <w:tcBorders>
              <w:top w:val="single" w:color="auto" w:sz="4" w:space="0"/>
              <w:left w:val="single" w:color="auto" w:sz="4" w:space="0"/>
              <w:bottom w:val="single" w:color="auto" w:sz="4" w:space="0"/>
              <w:right w:val="single" w:color="auto" w:sz="4" w:space="0"/>
            </w:tcBorders>
          </w:tcPr>
          <w:p w:rsidRPr="007219DE" w:rsidR="00806A01" w:rsidP="00806A01" w:rsidRDefault="00BA699D" w14:paraId="05BB27A2" w14:textId="05E42E22">
            <w:pPr>
              <w:widowControl w:val="0"/>
              <w:autoSpaceDE w:val="0"/>
              <w:autoSpaceDN w:val="0"/>
              <w:adjustRightInd w:val="0"/>
              <w:jc w:val="right"/>
              <w:rPr>
                <w:sz w:val="24"/>
              </w:rPr>
            </w:pPr>
            <w:r w:rsidRPr="007219DE">
              <w:rPr>
                <w:rFonts w:eastAsia="Calibri"/>
                <w:sz w:val="24"/>
              </w:rPr>
              <w:t>270</w:t>
            </w:r>
            <w:r w:rsidRPr="007219DE" w:rsidR="008C7F23">
              <w:rPr>
                <w:rFonts w:eastAsia="Calibri"/>
                <w:sz w:val="24"/>
              </w:rPr>
              <w:t xml:space="preserve"> hrs.; </w:t>
            </w:r>
            <w:r w:rsidRPr="007219DE" w:rsidR="00806A01">
              <w:rPr>
                <w:rFonts w:eastAsia="Calibri"/>
                <w:sz w:val="24"/>
              </w:rPr>
              <w:t>$</w:t>
            </w:r>
            <w:r w:rsidRPr="007219DE" w:rsidR="00CF4C54">
              <w:rPr>
                <w:rFonts w:eastAsia="Calibri"/>
                <w:sz w:val="24"/>
              </w:rPr>
              <w:t>22</w:t>
            </w:r>
            <w:r w:rsidRPr="007219DE" w:rsidR="00806A01">
              <w:rPr>
                <w:rFonts w:eastAsia="Calibri"/>
                <w:sz w:val="24"/>
              </w:rPr>
              <w:t>,</w:t>
            </w:r>
            <w:r w:rsidRPr="007219DE" w:rsidR="00CF4C54">
              <w:rPr>
                <w:rFonts w:eastAsia="Calibri"/>
                <w:sz w:val="24"/>
              </w:rPr>
              <w:t>410</w:t>
            </w:r>
          </w:p>
        </w:tc>
        <w:tc>
          <w:tcPr>
            <w:tcW w:w="941" w:type="pct"/>
            <w:tcBorders>
              <w:top w:val="single" w:color="auto" w:sz="4" w:space="0"/>
              <w:left w:val="single" w:color="auto" w:sz="4" w:space="0"/>
              <w:bottom w:val="single" w:color="auto" w:sz="4" w:space="0"/>
              <w:right w:val="single" w:color="auto" w:sz="4" w:space="0"/>
            </w:tcBorders>
          </w:tcPr>
          <w:p w:rsidRPr="007219DE" w:rsidR="00806A01" w:rsidP="00806A01" w:rsidRDefault="00BA699D" w14:paraId="77EC312A" w14:textId="13F06222">
            <w:pPr>
              <w:widowControl w:val="0"/>
              <w:autoSpaceDE w:val="0"/>
              <w:autoSpaceDN w:val="0"/>
              <w:adjustRightInd w:val="0"/>
              <w:ind w:left="-108"/>
              <w:jc w:val="right"/>
              <w:rPr>
                <w:sz w:val="24"/>
              </w:rPr>
            </w:pPr>
            <w:r w:rsidRPr="007219DE">
              <w:rPr>
                <w:rFonts w:eastAsia="Calibri"/>
                <w:sz w:val="24"/>
              </w:rPr>
              <w:t>459,810</w:t>
            </w:r>
            <w:r w:rsidRPr="007219DE" w:rsidR="00EB499B">
              <w:rPr>
                <w:rFonts w:eastAsia="Calibri"/>
                <w:sz w:val="24"/>
              </w:rPr>
              <w:t xml:space="preserve"> </w:t>
            </w:r>
            <w:r w:rsidRPr="007219DE" w:rsidR="00806A01">
              <w:rPr>
                <w:rFonts w:eastAsia="Calibri"/>
                <w:sz w:val="24"/>
              </w:rPr>
              <w:t>hrs.</w:t>
            </w:r>
            <w:r w:rsidRPr="007219DE" w:rsidR="008C7F23">
              <w:rPr>
                <w:rFonts w:eastAsia="Calibri"/>
                <w:sz w:val="24"/>
              </w:rPr>
              <w:t xml:space="preserve">; </w:t>
            </w:r>
            <w:r w:rsidRPr="007219DE" w:rsidR="00A759FA">
              <w:rPr>
                <w:sz w:val="24"/>
              </w:rPr>
              <w:t>$</w:t>
            </w:r>
            <w:r w:rsidRPr="007219DE" w:rsidR="00CF4C54">
              <w:rPr>
                <w:sz w:val="24"/>
              </w:rPr>
              <w:t>38</w:t>
            </w:r>
            <w:r w:rsidRPr="007219DE" w:rsidR="003268EE">
              <w:rPr>
                <w:sz w:val="24"/>
              </w:rPr>
              <w:t>,</w:t>
            </w:r>
            <w:r w:rsidRPr="007219DE" w:rsidR="00CF4C54">
              <w:rPr>
                <w:sz w:val="24"/>
              </w:rPr>
              <w:t>164</w:t>
            </w:r>
            <w:r w:rsidRPr="007219DE" w:rsidR="003268EE">
              <w:rPr>
                <w:sz w:val="24"/>
              </w:rPr>
              <w:t>,230</w:t>
            </w:r>
            <w:r w:rsidRPr="007219DE" w:rsidR="00806A01">
              <w:rPr>
                <w:sz w:val="24"/>
              </w:rPr>
              <w:t xml:space="preserve"> </w:t>
            </w:r>
          </w:p>
        </w:tc>
        <w:tc>
          <w:tcPr>
            <w:tcW w:w="704" w:type="pct"/>
            <w:tcBorders>
              <w:top w:val="single" w:color="auto" w:sz="4" w:space="0"/>
              <w:left w:val="single" w:color="auto" w:sz="4" w:space="0"/>
              <w:bottom w:val="single" w:color="auto" w:sz="4" w:space="0"/>
              <w:right w:val="single" w:color="auto" w:sz="4" w:space="0"/>
            </w:tcBorders>
          </w:tcPr>
          <w:p w:rsidRPr="007219DE" w:rsidR="00806A01" w:rsidP="00806A01" w:rsidRDefault="00806A01" w14:paraId="4F941931" w14:textId="7E4597BA">
            <w:pPr>
              <w:jc w:val="right"/>
              <w:rPr>
                <w:rFonts w:eastAsia="Calibri"/>
                <w:sz w:val="24"/>
              </w:rPr>
            </w:pPr>
            <w:r w:rsidRPr="007219DE">
              <w:rPr>
                <w:rFonts w:eastAsia="Calibri"/>
                <w:sz w:val="24"/>
              </w:rPr>
              <w:t>$</w:t>
            </w:r>
            <w:r w:rsidRPr="007219DE" w:rsidR="00CF4C54">
              <w:rPr>
                <w:rFonts w:eastAsia="Calibri"/>
                <w:sz w:val="24"/>
              </w:rPr>
              <w:t>22</w:t>
            </w:r>
            <w:r w:rsidRPr="007219DE">
              <w:rPr>
                <w:rFonts w:eastAsia="Calibri"/>
                <w:sz w:val="24"/>
              </w:rPr>
              <w:t>,</w:t>
            </w:r>
            <w:r w:rsidRPr="007219DE" w:rsidR="00CF4C54">
              <w:rPr>
                <w:rFonts w:eastAsia="Calibri"/>
                <w:sz w:val="24"/>
              </w:rPr>
              <w:t>410</w:t>
            </w:r>
            <w:r w:rsidRPr="007219DE">
              <w:rPr>
                <w:rFonts w:eastAsia="Calibri"/>
                <w:sz w:val="24"/>
              </w:rPr>
              <w:t xml:space="preserve"> </w:t>
            </w:r>
          </w:p>
          <w:p w:rsidRPr="007219DE" w:rsidR="00806A01" w:rsidP="00806A01" w:rsidRDefault="00806A01" w14:paraId="3B2704C1" w14:textId="77777777">
            <w:pPr>
              <w:widowControl w:val="0"/>
              <w:autoSpaceDE w:val="0"/>
              <w:autoSpaceDN w:val="0"/>
              <w:adjustRightInd w:val="0"/>
              <w:ind w:left="-108"/>
              <w:jc w:val="right"/>
              <w:rPr>
                <w:sz w:val="24"/>
              </w:rPr>
            </w:pPr>
          </w:p>
        </w:tc>
      </w:tr>
      <w:tr w:rsidRPr="007219DE" w:rsidR="003268EE" w:rsidTr="00665AB3" w14:paraId="5F14BCE9" w14:textId="77777777">
        <w:trPr>
          <w:cantSplit/>
          <w:trHeight w:val="890"/>
        </w:trPr>
        <w:tc>
          <w:tcPr>
            <w:tcW w:w="579" w:type="pct"/>
            <w:tcBorders>
              <w:top w:val="single" w:color="auto" w:sz="4" w:space="0"/>
              <w:left w:val="single" w:color="auto" w:sz="4" w:space="0"/>
              <w:bottom w:val="single" w:color="auto" w:sz="4" w:space="0"/>
              <w:right w:val="single" w:color="auto" w:sz="4" w:space="0"/>
            </w:tcBorders>
            <w:shd w:val="clear" w:color="auto" w:fill="D9D9D9"/>
          </w:tcPr>
          <w:p w:rsidRPr="007219DE" w:rsidR="006B0822" w:rsidP="00806A01" w:rsidRDefault="00806A01" w14:paraId="2B5C9039" w14:textId="6B46923D">
            <w:pPr>
              <w:widowControl w:val="0"/>
              <w:autoSpaceDE w:val="0"/>
              <w:autoSpaceDN w:val="0"/>
              <w:adjustRightInd w:val="0"/>
              <w:jc w:val="right"/>
              <w:rPr>
                <w:b/>
                <w:bCs/>
                <w:sz w:val="24"/>
              </w:rPr>
            </w:pPr>
            <w:r w:rsidRPr="007219DE">
              <w:rPr>
                <w:b/>
                <w:bCs/>
                <w:sz w:val="24"/>
              </w:rPr>
              <w:t xml:space="preserve">TOTAL </w:t>
            </w:r>
            <w:r w:rsidRPr="007219DE" w:rsidR="006B0822">
              <w:rPr>
                <w:b/>
                <w:bCs/>
                <w:sz w:val="24"/>
              </w:rPr>
              <w:t>FERC-725D</w:t>
            </w:r>
          </w:p>
          <w:p w:rsidRPr="007219DE" w:rsidR="00806A01" w:rsidP="00806A01" w:rsidRDefault="00806A01" w14:paraId="18DC17F7" w14:textId="6732AD14">
            <w:pPr>
              <w:widowControl w:val="0"/>
              <w:autoSpaceDE w:val="0"/>
              <w:autoSpaceDN w:val="0"/>
              <w:adjustRightInd w:val="0"/>
              <w:jc w:val="right"/>
              <w:rPr>
                <w:b/>
                <w:bCs/>
                <w:sz w:val="24"/>
              </w:rPr>
            </w:pPr>
          </w:p>
        </w:tc>
        <w:tc>
          <w:tcPr>
            <w:tcW w:w="789" w:type="pct"/>
            <w:tcBorders>
              <w:top w:val="single" w:color="auto" w:sz="4" w:space="0"/>
              <w:left w:val="single" w:color="auto" w:sz="4" w:space="0"/>
              <w:bottom w:val="single" w:color="auto" w:sz="4" w:space="0"/>
              <w:right w:val="single" w:color="auto" w:sz="4" w:space="0"/>
            </w:tcBorders>
            <w:shd w:val="clear" w:color="auto" w:fill="D9D9D9"/>
            <w:vAlign w:val="bottom"/>
          </w:tcPr>
          <w:p w:rsidRPr="007219DE" w:rsidR="00806A01" w:rsidP="00806A01" w:rsidRDefault="00806A01" w14:paraId="4E902397" w14:textId="7B459D11">
            <w:pPr>
              <w:widowControl w:val="0"/>
              <w:autoSpaceDE w:val="0"/>
              <w:autoSpaceDN w:val="0"/>
              <w:adjustRightInd w:val="0"/>
              <w:jc w:val="right"/>
              <w:rPr>
                <w:b/>
                <w:bCs/>
                <w:sz w:val="24"/>
              </w:rPr>
            </w:pPr>
            <w:r w:rsidRPr="007219DE">
              <w:rPr>
                <w:b/>
                <w:bCs/>
                <w:sz w:val="24"/>
              </w:rPr>
              <w:t>1</w:t>
            </w:r>
            <w:r w:rsidRPr="007219DE" w:rsidR="003268EE">
              <w:rPr>
                <w:b/>
                <w:bCs/>
                <w:sz w:val="24"/>
              </w:rPr>
              <w:t>,703</w:t>
            </w:r>
          </w:p>
        </w:tc>
        <w:tc>
          <w:tcPr>
            <w:tcW w:w="704" w:type="pct"/>
            <w:tcBorders>
              <w:top w:val="single" w:color="auto" w:sz="4" w:space="0"/>
              <w:left w:val="single" w:color="auto" w:sz="4" w:space="0"/>
              <w:bottom w:val="single" w:color="auto" w:sz="4" w:space="0"/>
              <w:right w:val="single" w:color="auto" w:sz="4" w:space="0"/>
            </w:tcBorders>
            <w:shd w:val="clear" w:color="auto" w:fill="D9D9D9"/>
            <w:vAlign w:val="bottom"/>
          </w:tcPr>
          <w:p w:rsidRPr="007219DE" w:rsidR="00806A01" w:rsidP="00806A01" w:rsidRDefault="00806A01" w14:paraId="0AB22EED" w14:textId="77777777">
            <w:pPr>
              <w:widowControl w:val="0"/>
              <w:autoSpaceDE w:val="0"/>
              <w:autoSpaceDN w:val="0"/>
              <w:adjustRightInd w:val="0"/>
              <w:jc w:val="right"/>
              <w:rPr>
                <w:b/>
                <w:bCs/>
                <w:sz w:val="24"/>
              </w:rPr>
            </w:pPr>
            <w:r w:rsidRPr="007219DE">
              <w:rPr>
                <w:b/>
                <w:bCs/>
                <w:sz w:val="24"/>
              </w:rPr>
              <w:t>1</w:t>
            </w:r>
          </w:p>
        </w:tc>
        <w:tc>
          <w:tcPr>
            <w:tcW w:w="646" w:type="pct"/>
            <w:tcBorders>
              <w:top w:val="single" w:color="auto" w:sz="4" w:space="0"/>
              <w:left w:val="single" w:color="auto" w:sz="4" w:space="0"/>
              <w:bottom w:val="single" w:color="auto" w:sz="4" w:space="0"/>
              <w:right w:val="single" w:color="auto" w:sz="4" w:space="0"/>
            </w:tcBorders>
            <w:shd w:val="clear" w:color="auto" w:fill="D9D9D9"/>
            <w:vAlign w:val="bottom"/>
          </w:tcPr>
          <w:p w:rsidRPr="007219DE" w:rsidR="00806A01" w:rsidP="00806A01" w:rsidRDefault="00806A01" w14:paraId="70BEF01E" w14:textId="30F9D3F8">
            <w:pPr>
              <w:widowControl w:val="0"/>
              <w:autoSpaceDE w:val="0"/>
              <w:autoSpaceDN w:val="0"/>
              <w:adjustRightInd w:val="0"/>
              <w:jc w:val="right"/>
              <w:rPr>
                <w:b/>
                <w:bCs/>
                <w:sz w:val="24"/>
              </w:rPr>
            </w:pPr>
            <w:r w:rsidRPr="007219DE">
              <w:rPr>
                <w:b/>
                <w:bCs/>
                <w:sz w:val="24"/>
              </w:rPr>
              <w:t>1,</w:t>
            </w:r>
            <w:r w:rsidRPr="007219DE" w:rsidR="003268EE">
              <w:rPr>
                <w:b/>
                <w:bCs/>
                <w:sz w:val="24"/>
              </w:rPr>
              <w:t>703</w:t>
            </w:r>
          </w:p>
        </w:tc>
        <w:tc>
          <w:tcPr>
            <w:tcW w:w="638" w:type="pct"/>
            <w:tcBorders>
              <w:top w:val="single" w:color="auto" w:sz="4" w:space="0"/>
              <w:left w:val="single" w:color="auto" w:sz="4" w:space="0"/>
              <w:bottom w:val="single" w:color="auto" w:sz="4" w:space="0"/>
              <w:right w:val="single" w:color="auto" w:sz="4" w:space="0"/>
            </w:tcBorders>
            <w:shd w:val="clear" w:color="auto" w:fill="D9D9D9"/>
            <w:vAlign w:val="bottom"/>
          </w:tcPr>
          <w:p w:rsidRPr="007219DE" w:rsidR="00806A01" w:rsidP="006B1354" w:rsidRDefault="00CF4C54" w14:paraId="680EADAD" w14:textId="39636B72">
            <w:pPr>
              <w:widowControl w:val="0"/>
              <w:autoSpaceDE w:val="0"/>
              <w:autoSpaceDN w:val="0"/>
              <w:adjustRightInd w:val="0"/>
              <w:jc w:val="right"/>
              <w:rPr>
                <w:b/>
                <w:bCs/>
                <w:sz w:val="24"/>
              </w:rPr>
            </w:pPr>
            <w:r w:rsidRPr="007219DE">
              <w:rPr>
                <w:rFonts w:eastAsia="Calibri"/>
                <w:b/>
                <w:bCs/>
                <w:sz w:val="24"/>
              </w:rPr>
              <w:t>270</w:t>
            </w:r>
            <w:r w:rsidRPr="007219DE" w:rsidR="008C7F23">
              <w:rPr>
                <w:rFonts w:eastAsia="Calibri"/>
                <w:b/>
                <w:bCs/>
                <w:sz w:val="24"/>
              </w:rPr>
              <w:t xml:space="preserve"> hrs.; </w:t>
            </w:r>
            <w:r w:rsidRPr="007219DE" w:rsidR="006B1354">
              <w:rPr>
                <w:rFonts w:eastAsia="Calibri"/>
                <w:b/>
                <w:bCs/>
                <w:sz w:val="24"/>
              </w:rPr>
              <w:t>$</w:t>
            </w:r>
            <w:r w:rsidRPr="007219DE">
              <w:rPr>
                <w:rFonts w:eastAsia="Calibri"/>
                <w:b/>
                <w:bCs/>
                <w:sz w:val="24"/>
              </w:rPr>
              <w:t>22</w:t>
            </w:r>
            <w:r w:rsidRPr="007219DE" w:rsidR="006B1354">
              <w:rPr>
                <w:rFonts w:eastAsia="Calibri"/>
                <w:b/>
                <w:bCs/>
                <w:sz w:val="24"/>
              </w:rPr>
              <w:t>,</w:t>
            </w:r>
            <w:r w:rsidRPr="007219DE">
              <w:rPr>
                <w:rFonts w:eastAsia="Calibri"/>
                <w:b/>
                <w:bCs/>
                <w:sz w:val="24"/>
              </w:rPr>
              <w:t>410</w:t>
            </w:r>
          </w:p>
        </w:tc>
        <w:tc>
          <w:tcPr>
            <w:tcW w:w="941" w:type="pct"/>
            <w:tcBorders>
              <w:top w:val="single" w:color="auto" w:sz="4" w:space="0"/>
              <w:left w:val="single" w:color="auto" w:sz="4" w:space="0"/>
              <w:bottom w:val="single" w:color="auto" w:sz="4" w:space="0"/>
              <w:right w:val="single" w:color="auto" w:sz="4" w:space="0"/>
            </w:tcBorders>
            <w:shd w:val="clear" w:color="auto" w:fill="D9D9D9"/>
            <w:vAlign w:val="bottom"/>
          </w:tcPr>
          <w:p w:rsidRPr="007219DE" w:rsidR="00806A01" w:rsidP="00806A01" w:rsidRDefault="00CF4C54" w14:paraId="57CE5E5D" w14:textId="3F957FA6">
            <w:pPr>
              <w:widowControl w:val="0"/>
              <w:autoSpaceDE w:val="0"/>
              <w:autoSpaceDN w:val="0"/>
              <w:adjustRightInd w:val="0"/>
              <w:ind w:left="-108"/>
              <w:jc w:val="right"/>
              <w:rPr>
                <w:b/>
                <w:bCs/>
                <w:sz w:val="24"/>
              </w:rPr>
            </w:pPr>
            <w:r w:rsidRPr="007219DE">
              <w:rPr>
                <w:b/>
                <w:bCs/>
                <w:sz w:val="24"/>
              </w:rPr>
              <w:t>459</w:t>
            </w:r>
            <w:r w:rsidRPr="007219DE" w:rsidR="003268EE">
              <w:rPr>
                <w:b/>
                <w:bCs/>
                <w:sz w:val="24"/>
              </w:rPr>
              <w:t>,</w:t>
            </w:r>
            <w:r w:rsidRPr="007219DE">
              <w:rPr>
                <w:b/>
                <w:bCs/>
                <w:sz w:val="24"/>
              </w:rPr>
              <w:t>810</w:t>
            </w:r>
            <w:r w:rsidRPr="007219DE" w:rsidR="00EB499B">
              <w:rPr>
                <w:b/>
                <w:bCs/>
                <w:sz w:val="24"/>
              </w:rPr>
              <w:t xml:space="preserve"> </w:t>
            </w:r>
            <w:r w:rsidRPr="007219DE" w:rsidR="00806A01">
              <w:rPr>
                <w:b/>
                <w:bCs/>
                <w:sz w:val="24"/>
              </w:rPr>
              <w:t>hrs.</w:t>
            </w:r>
            <w:r w:rsidRPr="007219DE" w:rsidR="008C7F23">
              <w:rPr>
                <w:b/>
                <w:bCs/>
                <w:sz w:val="24"/>
              </w:rPr>
              <w:t xml:space="preserve">; </w:t>
            </w:r>
            <w:r w:rsidRPr="007219DE" w:rsidR="00806A01">
              <w:rPr>
                <w:b/>
                <w:bCs/>
                <w:sz w:val="24"/>
              </w:rPr>
              <w:t>$</w:t>
            </w:r>
            <w:r w:rsidRPr="007219DE">
              <w:rPr>
                <w:b/>
                <w:bCs/>
                <w:sz w:val="24"/>
              </w:rPr>
              <w:t>38</w:t>
            </w:r>
            <w:r w:rsidRPr="007219DE" w:rsidR="00806A01">
              <w:rPr>
                <w:b/>
                <w:bCs/>
                <w:sz w:val="24"/>
              </w:rPr>
              <w:t>,</w:t>
            </w:r>
            <w:r w:rsidRPr="007219DE" w:rsidDel="00CF4C54">
              <w:rPr>
                <w:b/>
                <w:bCs/>
                <w:sz w:val="24"/>
              </w:rPr>
              <w:t xml:space="preserve"> </w:t>
            </w:r>
            <w:r w:rsidRPr="007219DE">
              <w:rPr>
                <w:b/>
                <w:bCs/>
                <w:sz w:val="24"/>
              </w:rPr>
              <w:t>164</w:t>
            </w:r>
            <w:r w:rsidRPr="007219DE" w:rsidR="00806A01">
              <w:rPr>
                <w:b/>
                <w:bCs/>
                <w:sz w:val="24"/>
              </w:rPr>
              <w:t>,</w:t>
            </w:r>
            <w:r w:rsidRPr="007219DE" w:rsidR="003268EE">
              <w:rPr>
                <w:b/>
                <w:bCs/>
                <w:sz w:val="24"/>
              </w:rPr>
              <w:t>23</w:t>
            </w:r>
            <w:r w:rsidRPr="007219DE">
              <w:rPr>
                <w:b/>
                <w:bCs/>
                <w:sz w:val="24"/>
              </w:rPr>
              <w:t>0</w:t>
            </w:r>
          </w:p>
        </w:tc>
        <w:tc>
          <w:tcPr>
            <w:tcW w:w="704" w:type="pct"/>
            <w:tcBorders>
              <w:top w:val="single" w:color="auto" w:sz="4" w:space="0"/>
              <w:left w:val="single" w:color="auto" w:sz="4" w:space="0"/>
              <w:bottom w:val="single" w:color="auto" w:sz="4" w:space="0"/>
              <w:right w:val="single" w:color="auto" w:sz="4" w:space="0"/>
            </w:tcBorders>
            <w:shd w:val="clear" w:color="auto" w:fill="D9D9D9"/>
          </w:tcPr>
          <w:p w:rsidRPr="007219DE" w:rsidR="00806A01" w:rsidP="00806A01" w:rsidRDefault="00806A01" w14:paraId="23070342" w14:textId="10FBF1F1">
            <w:pPr>
              <w:widowControl w:val="0"/>
              <w:autoSpaceDE w:val="0"/>
              <w:autoSpaceDN w:val="0"/>
              <w:adjustRightInd w:val="0"/>
              <w:ind w:left="-108"/>
              <w:jc w:val="right"/>
              <w:rPr>
                <w:b/>
                <w:bCs/>
                <w:sz w:val="24"/>
              </w:rPr>
            </w:pPr>
            <w:r w:rsidRPr="007219DE">
              <w:rPr>
                <w:b/>
                <w:bCs/>
                <w:sz w:val="24"/>
              </w:rPr>
              <w:t>$</w:t>
            </w:r>
            <w:r w:rsidRPr="007219DE" w:rsidR="00CF4C54">
              <w:rPr>
                <w:b/>
                <w:bCs/>
                <w:sz w:val="24"/>
              </w:rPr>
              <w:t>22</w:t>
            </w:r>
            <w:r w:rsidRPr="007219DE">
              <w:rPr>
                <w:b/>
                <w:bCs/>
                <w:sz w:val="24"/>
              </w:rPr>
              <w:t>,</w:t>
            </w:r>
            <w:r w:rsidRPr="007219DE" w:rsidR="00CF4C54">
              <w:rPr>
                <w:b/>
                <w:bCs/>
                <w:sz w:val="24"/>
              </w:rPr>
              <w:t>410</w:t>
            </w:r>
          </w:p>
        </w:tc>
      </w:tr>
    </w:tbl>
    <w:p w:rsidRPr="007219DE" w:rsidR="007B2872" w:rsidP="004E3713" w:rsidRDefault="007B2872" w14:paraId="70CBB90E" w14:textId="77777777">
      <w:pPr>
        <w:spacing w:line="480" w:lineRule="auto"/>
        <w:rPr>
          <w:szCs w:val="26"/>
        </w:rPr>
      </w:pPr>
    </w:p>
    <w:p w:rsidRPr="007219DE" w:rsidR="003B29FB" w:rsidP="003B29FB" w:rsidRDefault="003B29FB" w14:paraId="50E8392C" w14:textId="77777777">
      <w:pPr>
        <w:spacing w:line="480" w:lineRule="auto"/>
        <w:rPr>
          <w:szCs w:val="26"/>
        </w:rPr>
      </w:pPr>
      <w:r w:rsidRPr="007219DE">
        <w:rPr>
          <w:i/>
          <w:szCs w:val="26"/>
        </w:rPr>
        <w:t xml:space="preserve">Comments:  </w:t>
      </w:r>
      <w:r w:rsidRPr="007219DE">
        <w:rPr>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004E3713" w:rsidP="00964A22" w:rsidRDefault="004E3713" w14:paraId="46680D64" w14:textId="5BC4D186">
      <w:pPr>
        <w:rPr>
          <w:szCs w:val="26"/>
        </w:rPr>
      </w:pPr>
    </w:p>
    <w:p w:rsidR="00964A22" w:rsidP="00964A22" w:rsidRDefault="00964A22" w14:paraId="28A6E4D0" w14:textId="40854657">
      <w:pPr>
        <w:rPr>
          <w:szCs w:val="26"/>
        </w:rPr>
      </w:pPr>
    </w:p>
    <w:p w:rsidR="00964A22" w:rsidP="00964A22" w:rsidRDefault="00964A22" w14:paraId="53E85B09" w14:textId="1875FCC9">
      <w:pPr>
        <w:rPr>
          <w:szCs w:val="26"/>
        </w:rPr>
      </w:pPr>
    </w:p>
    <w:p w:rsidR="00964A22" w:rsidP="00964A22" w:rsidRDefault="00964A22" w14:paraId="016F5A01" w14:textId="1B6D14A0">
      <w:pPr>
        <w:rPr>
          <w:szCs w:val="26"/>
        </w:rPr>
      </w:pPr>
    </w:p>
    <w:p w:rsidRPr="00964A22" w:rsidR="00964A22" w:rsidP="00964A22" w:rsidRDefault="00964A22" w14:paraId="42BD0B4D" w14:textId="31E24360">
      <w:pPr>
        <w:ind w:firstLine="2606"/>
        <w:jc w:val="center"/>
      </w:pPr>
      <w:r w:rsidRPr="00964A22">
        <w:t>Nathaniel J. Davis, Sr.,</w:t>
      </w:r>
    </w:p>
    <w:p w:rsidRPr="00964A22" w:rsidR="00964A22" w:rsidP="00964A22" w:rsidRDefault="00964A22" w14:paraId="5A633556" w14:textId="503F77B1">
      <w:pPr>
        <w:ind w:firstLine="2606"/>
        <w:jc w:val="center"/>
      </w:pPr>
      <w:r w:rsidRPr="00964A22">
        <w:t>Deputy Secretary.</w:t>
      </w:r>
    </w:p>
    <w:p w:rsidRPr="003B29FB" w:rsidR="00964A22" w:rsidP="00964A22" w:rsidRDefault="00964A22" w14:paraId="3119682A" w14:textId="77777777">
      <w:pPr>
        <w:rPr>
          <w:szCs w:val="26"/>
        </w:rPr>
      </w:pPr>
    </w:p>
    <w:sectPr w:rsidRPr="003B29FB" w:rsidR="00964A22" w:rsidSect="00DF4B69">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9FC16" w14:textId="77777777" w:rsidR="006B0822" w:rsidRDefault="006B0822" w:rsidP="003B29FB">
      <w:r>
        <w:separator/>
      </w:r>
    </w:p>
  </w:endnote>
  <w:endnote w:type="continuationSeparator" w:id="0">
    <w:p w14:paraId="7AA337AF" w14:textId="77777777" w:rsidR="006B0822" w:rsidRDefault="006B0822" w:rsidP="003B29FB">
      <w:r>
        <w:continuationSeparator/>
      </w:r>
    </w:p>
  </w:endnote>
  <w:endnote w:type="continuationNotice" w:id="1">
    <w:p w14:paraId="1C1A99A1" w14:textId="77777777" w:rsidR="006B0822" w:rsidRDefault="006B08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C3F21" w14:textId="77777777" w:rsidR="00964A22" w:rsidRDefault="00964A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4E8BD" w14:textId="77777777" w:rsidR="00964A22" w:rsidRDefault="00964A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75E1C" w14:textId="77777777" w:rsidR="00964A22" w:rsidRDefault="00964A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1F5BE" w14:textId="77777777" w:rsidR="006B0822" w:rsidRDefault="006B0822" w:rsidP="003B29FB">
      <w:r>
        <w:separator/>
      </w:r>
    </w:p>
  </w:footnote>
  <w:footnote w:type="continuationSeparator" w:id="0">
    <w:p w14:paraId="6291214D" w14:textId="77777777" w:rsidR="006B0822" w:rsidRDefault="006B0822" w:rsidP="003B29FB">
      <w:r>
        <w:continuationSeparator/>
      </w:r>
    </w:p>
  </w:footnote>
  <w:footnote w:type="continuationNotice" w:id="1">
    <w:p w14:paraId="3D6276B2" w14:textId="77777777" w:rsidR="006B0822" w:rsidRDefault="006B0822"/>
  </w:footnote>
  <w:footnote w:id="2">
    <w:p w14:paraId="60A18DBD" w14:textId="01F53194" w:rsidR="006B0822" w:rsidRDefault="006B0822">
      <w:pPr>
        <w:pStyle w:val="FootnoteText"/>
      </w:pPr>
      <w:r>
        <w:rPr>
          <w:rStyle w:val="FootnoteReference"/>
        </w:rPr>
        <w:footnoteRef/>
      </w:r>
      <w:r>
        <w:t xml:space="preserve"> This renewal is being submitted to extend the OMB expiration date and will not </w:t>
      </w:r>
      <w:proofErr w:type="gramStart"/>
      <w:r>
        <w:t>have an effect on</w:t>
      </w:r>
      <w:proofErr w:type="gramEnd"/>
      <w:r>
        <w:t xml:space="preserve"> the Docket No. RD20-4 that is being addressed separately.</w:t>
      </w:r>
    </w:p>
  </w:footnote>
  <w:footnote w:id="3">
    <w:p w14:paraId="009DE878" w14:textId="77777777" w:rsidR="006B0822" w:rsidRDefault="006B0822" w:rsidP="00F12008">
      <w:pPr>
        <w:pStyle w:val="FootnoteText"/>
        <w:rPr>
          <w:sz w:val="20"/>
        </w:rPr>
      </w:pPr>
      <w:r>
        <w:rPr>
          <w:rStyle w:val="FootnoteReference"/>
        </w:rPr>
        <w:footnoteRef/>
      </w:r>
      <w:r>
        <w:t xml:space="preserve">  16 U.S.C. 824(o).</w:t>
      </w:r>
    </w:p>
  </w:footnote>
  <w:footnote w:id="4">
    <w:p w14:paraId="44EBF4F9" w14:textId="77777777" w:rsidR="006B0822" w:rsidRDefault="006B0822" w:rsidP="00F12008">
      <w:pPr>
        <w:pStyle w:val="FootnoteText"/>
      </w:pPr>
      <w:r>
        <w:rPr>
          <w:rStyle w:val="FootnoteReference"/>
        </w:rPr>
        <w:footnoteRef/>
      </w:r>
      <w:r>
        <w:t xml:space="preserve"> Order 836 in Docket No. RM16-13 was issued on 9/20/2017 and is posted at https://elibrary.ferc.gov/idmws/common/opennat.asp?fileID=14684897.</w:t>
      </w:r>
    </w:p>
  </w:footnote>
  <w:footnote w:id="5">
    <w:p w14:paraId="4E2C6A02" w14:textId="50D22225" w:rsidR="006B0822" w:rsidRDefault="006B0822">
      <w:pPr>
        <w:pStyle w:val="FootnoteText"/>
      </w:pPr>
      <w:r>
        <w:rPr>
          <w:rStyle w:val="FootnoteReference"/>
        </w:rPr>
        <w:footnoteRef/>
      </w:r>
      <w:r>
        <w:rPr>
          <w:sz w:val="26"/>
          <w:szCs w:val="24"/>
        </w:rPr>
        <w:t xml:space="preserve"> PA=Planning Authority; PC=Planning Coordinator</w:t>
      </w:r>
      <w:r w:rsidRPr="0007116A">
        <w:rPr>
          <w:sz w:val="26"/>
          <w:szCs w:val="24"/>
        </w:rPr>
        <w:t>; TO=Transmission Owner; GO=Generator Owner; DP=Distribution Provider; TP=Transmission Provider</w:t>
      </w:r>
      <w:r>
        <w:rPr>
          <w:sz w:val="26"/>
          <w:szCs w:val="24"/>
        </w:rPr>
        <w:t>.</w:t>
      </w:r>
      <w:r w:rsidRPr="0007116A">
        <w:rPr>
          <w:sz w:val="26"/>
          <w:szCs w:val="24"/>
        </w:rPr>
        <w:t xml:space="preserve">  </w:t>
      </w:r>
    </w:p>
  </w:footnote>
  <w:footnote w:id="6">
    <w:p w14:paraId="0C63063C" w14:textId="77777777" w:rsidR="006B0822" w:rsidRPr="00277B18" w:rsidRDefault="006B0822" w:rsidP="003B29FB">
      <w:pPr>
        <w:pStyle w:val="FootnoteText"/>
        <w:rPr>
          <w:sz w:val="20"/>
        </w:rPr>
      </w:pPr>
      <w:r w:rsidRPr="000D189D">
        <w:rPr>
          <w:rStyle w:val="FootnoteReference"/>
        </w:rPr>
        <w:footnoteRef/>
      </w:r>
      <w:r w:rsidRPr="000D189D">
        <w:rPr>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5 Code of Federal Regulations 1320.3.</w:t>
      </w:r>
    </w:p>
  </w:footnote>
  <w:footnote w:id="7">
    <w:p w14:paraId="4E5D08AF" w14:textId="367BB73C" w:rsidR="006B0822" w:rsidRDefault="006B0822">
      <w:pPr>
        <w:pStyle w:val="FootnoteText"/>
      </w:pPr>
      <w:r>
        <w:rPr>
          <w:rStyle w:val="FootnoteReference"/>
        </w:rPr>
        <w:footnoteRef/>
      </w:r>
      <w:r>
        <w:t xml:space="preserve"> </w:t>
      </w:r>
      <w:bookmarkStart w:id="2" w:name="_Hlk53772401"/>
      <w:r w:rsidRPr="00010429">
        <w:rPr>
          <w:sz w:val="26"/>
          <w:szCs w:val="26"/>
        </w:rPr>
        <w:t xml:space="preserve">Commission staff estimates that the industry’s skill set and cost (for wages and benefits) for </w:t>
      </w:r>
      <w:r w:rsidRPr="002F3236">
        <w:rPr>
          <w:sz w:val="26"/>
          <w:szCs w:val="26"/>
        </w:rPr>
        <w:t>FERC-</w:t>
      </w:r>
      <w:r>
        <w:rPr>
          <w:sz w:val="26"/>
          <w:szCs w:val="26"/>
        </w:rPr>
        <w:t>725D</w:t>
      </w:r>
      <w:r w:rsidRPr="00010429">
        <w:rPr>
          <w:sz w:val="26"/>
          <w:szCs w:val="26"/>
        </w:rPr>
        <w:t xml:space="preserve"> are approximately the same as the Commission’s average cost.  The FERC 20</w:t>
      </w:r>
      <w:r>
        <w:rPr>
          <w:sz w:val="26"/>
          <w:szCs w:val="26"/>
        </w:rPr>
        <w:t>20</w:t>
      </w:r>
      <w:r w:rsidRPr="00010429">
        <w:rPr>
          <w:sz w:val="26"/>
          <w:szCs w:val="26"/>
        </w:rPr>
        <w:t xml:space="preserve"> average salary plus benefits for one FERC full-time equivalent (FTE) is $</w:t>
      </w:r>
      <w:r>
        <w:rPr>
          <w:sz w:val="26"/>
          <w:szCs w:val="26"/>
        </w:rPr>
        <w:t>172,329</w:t>
      </w:r>
      <w:r w:rsidRPr="00010429">
        <w:rPr>
          <w:sz w:val="26"/>
          <w:szCs w:val="26"/>
        </w:rPr>
        <w:t>/year (or $8</w:t>
      </w:r>
      <w:r>
        <w:rPr>
          <w:sz w:val="26"/>
          <w:szCs w:val="26"/>
        </w:rPr>
        <w:t>3</w:t>
      </w:r>
      <w:r w:rsidRPr="00010429">
        <w:rPr>
          <w:sz w:val="26"/>
          <w:szCs w:val="26"/>
        </w:rPr>
        <w:t>.00/hour)</w:t>
      </w:r>
      <w:r w:rsidR="001E396E">
        <w:rPr>
          <w:sz w:val="26"/>
          <w:szCs w:val="26"/>
        </w:rPr>
        <w:t>.  S</w:t>
      </w:r>
      <w:r>
        <w:rPr>
          <w:sz w:val="26"/>
          <w:szCs w:val="26"/>
        </w:rPr>
        <w:t>ee footnote 4.</w:t>
      </w:r>
    </w:p>
    <w:bookmarkEnd w:id="2"/>
  </w:footnote>
  <w:footnote w:id="8">
    <w:p w14:paraId="39A030DA" w14:textId="30D1FB73" w:rsidR="006B0822" w:rsidRPr="005759BD" w:rsidRDefault="006B0822" w:rsidP="007B2872">
      <w:pPr>
        <w:pStyle w:val="FootnoteText"/>
        <w:rPr>
          <w:sz w:val="24"/>
          <w:szCs w:val="24"/>
        </w:rPr>
      </w:pPr>
      <w:r w:rsidRPr="005759BD">
        <w:rPr>
          <w:rStyle w:val="FootnoteReference"/>
          <w:sz w:val="24"/>
          <w:szCs w:val="24"/>
        </w:rPr>
        <w:footnoteRef/>
      </w:r>
      <w:r w:rsidRPr="005759BD">
        <w:rPr>
          <w:sz w:val="24"/>
          <w:szCs w:val="24"/>
          <w:vertAlign w:val="superscript"/>
        </w:rPr>
        <w:t xml:space="preserve"> </w:t>
      </w:r>
      <w:r w:rsidRPr="005759BD">
        <w:rPr>
          <w:sz w:val="24"/>
          <w:szCs w:val="24"/>
        </w:rPr>
        <w:t xml:space="preserve">The total number of planning authorities, transmission planners and transmission owners, generator owners and distribution providers </w:t>
      </w:r>
      <w:proofErr w:type="gramStart"/>
      <w:r w:rsidRPr="005759BD">
        <w:rPr>
          <w:sz w:val="24"/>
          <w:szCs w:val="24"/>
        </w:rPr>
        <w:t>equal</w:t>
      </w:r>
      <w:r>
        <w:rPr>
          <w:sz w:val="24"/>
          <w:szCs w:val="24"/>
        </w:rPr>
        <w:t>s</w:t>
      </w:r>
      <w:proofErr w:type="gramEnd"/>
      <w:r w:rsidRPr="005759BD">
        <w:rPr>
          <w:sz w:val="24"/>
          <w:szCs w:val="24"/>
        </w:rPr>
        <w:t xml:space="preserve"> 1,703.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FE440" w14:textId="77777777" w:rsidR="00964A22" w:rsidRDefault="00964A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1907" w14:textId="4DA2B625" w:rsidR="006B0822" w:rsidRDefault="00AA34A3" w:rsidP="00DF4B69">
    <w:pPr>
      <w:pStyle w:val="Header"/>
    </w:pPr>
    <w:sdt>
      <w:sdtPr>
        <w:id w:val="-1913149317"/>
        <w:docPartObj>
          <w:docPartGallery w:val="Page Numbers (Top of Page)"/>
          <w:docPartUnique/>
        </w:docPartObj>
      </w:sdtPr>
      <w:sdtEndPr>
        <w:rPr>
          <w:noProof/>
        </w:rPr>
      </w:sdtEndPr>
      <w:sdtContent>
        <w:r w:rsidR="006B0822" w:rsidRPr="004E2FB0">
          <w:t>Docket No</w:t>
        </w:r>
        <w:r w:rsidR="006B0822" w:rsidRPr="007219DE">
          <w:t>. IC2</w:t>
        </w:r>
        <w:r w:rsidR="006B0822" w:rsidRPr="0070024F">
          <w:t>1</w:t>
        </w:r>
        <w:r w:rsidR="006B0822" w:rsidRPr="007219DE">
          <w:t>-</w:t>
        </w:r>
        <w:r w:rsidR="006B0822" w:rsidRPr="0070024F">
          <w:t>3</w:t>
        </w:r>
        <w:r w:rsidR="006B0822" w:rsidRPr="007219DE">
          <w:t>-000</w:t>
        </w:r>
        <w:r w:rsidR="006B0822">
          <w:tab/>
        </w:r>
        <w:r w:rsidR="006B0822">
          <w:fldChar w:fldCharType="begin"/>
        </w:r>
        <w:r w:rsidR="006B0822">
          <w:instrText xml:space="preserve"> PAGE   \* MERGEFORMAT </w:instrText>
        </w:r>
        <w:r w:rsidR="006B0822">
          <w:fldChar w:fldCharType="separate"/>
        </w:r>
        <w:r w:rsidR="006B0822">
          <w:rPr>
            <w:noProof/>
          </w:rPr>
          <w:t>2</w:t>
        </w:r>
        <w:r w:rsidR="006B0822">
          <w:rPr>
            <w:noProof/>
          </w:rPr>
          <w:fldChar w:fldCharType="end"/>
        </w:r>
      </w:sdtContent>
    </w:sdt>
  </w:p>
  <w:p w14:paraId="3ADA0C13" w14:textId="0333F351" w:rsidR="006B0822" w:rsidRDefault="006B08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4EB8A" w14:textId="4097AE4A" w:rsidR="006B0822" w:rsidRDefault="006B0822">
    <w:pPr>
      <w:pStyle w:val="Header"/>
    </w:pPr>
    <w:r>
      <w:rPr>
        <w:noProof/>
      </w:rPr>
      <mc:AlternateContent>
        <mc:Choice Requires="wps">
          <w:drawing>
            <wp:anchor distT="0" distB="0" distL="114300" distR="114300" simplePos="0" relativeHeight="251658242" behindDoc="0" locked="0" layoutInCell="0" allowOverlap="1" wp14:anchorId="1606363C" wp14:editId="0711398A">
              <wp:simplePos x="0" y="0"/>
              <wp:positionH relativeFrom="page">
                <wp:posOffset>0</wp:posOffset>
              </wp:positionH>
              <wp:positionV relativeFrom="page">
                <wp:posOffset>190500</wp:posOffset>
              </wp:positionV>
              <wp:extent cx="7772400" cy="266700"/>
              <wp:effectExtent l="0" t="0" r="0" b="0"/>
              <wp:wrapNone/>
              <wp:docPr id="3" name="MSIPCM1f4e45378febd951af600c74" descr="{&quot;HashCode&quot;:-175139966,&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BC5F2F" w14:textId="5C8A1F28" w:rsidR="006B0822" w:rsidRPr="007C30A0" w:rsidRDefault="006B0822" w:rsidP="007C30A0">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606363C" id="_x0000_t202" coordsize="21600,21600" o:spt="202" path="m,l,21600r21600,l21600,xe">
              <v:stroke joinstyle="miter"/>
              <v:path gradientshapeok="t" o:connecttype="rect"/>
            </v:shapetype>
            <v:shape id="MSIPCM1f4e45378febd951af600c74" o:spid="_x0000_s1026" type="#_x0000_t202" alt="{&quot;HashCode&quot;:-175139966,&quot;Height&quot;:792.0,&quot;Width&quot;:612.0,&quot;Placement&quot;:&quot;Header&quot;,&quot;Index&quot;:&quot;FirstPage&quot;,&quot;Section&quot;:1,&quot;Top&quot;:0.0,&quot;Left&quot;:0.0}" style="position:absolute;margin-left:0;margin-top:15pt;width:612pt;height:21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" o:allowincell="f" filled="f" stroked="f" strokeweight=".5pt">
              <v:textbox inset=",0,,0">
                <w:txbxContent>
                  <w:p w14:paraId="53BC5F2F" w14:textId="5C8A1F28" w:rsidR="006B0822" w:rsidRPr="007C30A0" w:rsidRDefault="006B0822" w:rsidP="007C30A0">
                    <w:pPr>
                      <w:jc w:val="center"/>
                      <w:rPr>
                        <w:color w:val="A8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5223B"/>
    <w:multiLevelType w:val="hybridMultilevel"/>
    <w:tmpl w:val="DBA29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4D875D6"/>
    <w:multiLevelType w:val="hybridMultilevel"/>
    <w:tmpl w:val="DC6CBC4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 w15:restartNumberingAfterBreak="0">
    <w:nsid w:val="452D22A2"/>
    <w:multiLevelType w:val="hybridMultilevel"/>
    <w:tmpl w:val="ABE03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316C53"/>
    <w:multiLevelType w:val="hybridMultilevel"/>
    <w:tmpl w:val="F6CC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663"/>
    <w:rsid w:val="0000266D"/>
    <w:rsid w:val="00022DBB"/>
    <w:rsid w:val="00025C53"/>
    <w:rsid w:val="000315F5"/>
    <w:rsid w:val="000518A2"/>
    <w:rsid w:val="00053244"/>
    <w:rsid w:val="0007116A"/>
    <w:rsid w:val="00081CB8"/>
    <w:rsid w:val="0008609F"/>
    <w:rsid w:val="000A418D"/>
    <w:rsid w:val="000A551A"/>
    <w:rsid w:val="00127448"/>
    <w:rsid w:val="001311B7"/>
    <w:rsid w:val="00146881"/>
    <w:rsid w:val="001475D4"/>
    <w:rsid w:val="00173CA3"/>
    <w:rsid w:val="001777DC"/>
    <w:rsid w:val="00186C2C"/>
    <w:rsid w:val="001A1468"/>
    <w:rsid w:val="001B1C97"/>
    <w:rsid w:val="001B207F"/>
    <w:rsid w:val="001E396E"/>
    <w:rsid w:val="00231A26"/>
    <w:rsid w:val="00257D36"/>
    <w:rsid w:val="00264E27"/>
    <w:rsid w:val="002701BA"/>
    <w:rsid w:val="002836AC"/>
    <w:rsid w:val="0029053F"/>
    <w:rsid w:val="002C393B"/>
    <w:rsid w:val="002E1429"/>
    <w:rsid w:val="002F0A84"/>
    <w:rsid w:val="002F3236"/>
    <w:rsid w:val="00312CEF"/>
    <w:rsid w:val="003268EE"/>
    <w:rsid w:val="00351412"/>
    <w:rsid w:val="003566B1"/>
    <w:rsid w:val="00364232"/>
    <w:rsid w:val="0036496C"/>
    <w:rsid w:val="00395DD9"/>
    <w:rsid w:val="003A79FD"/>
    <w:rsid w:val="003B29FB"/>
    <w:rsid w:val="003B7027"/>
    <w:rsid w:val="003C127D"/>
    <w:rsid w:val="003C4E85"/>
    <w:rsid w:val="004313D5"/>
    <w:rsid w:val="00465EEC"/>
    <w:rsid w:val="004B2BA4"/>
    <w:rsid w:val="004D17F8"/>
    <w:rsid w:val="004E2FB0"/>
    <w:rsid w:val="004E3713"/>
    <w:rsid w:val="00503DBF"/>
    <w:rsid w:val="005068D1"/>
    <w:rsid w:val="005441EB"/>
    <w:rsid w:val="00550E9B"/>
    <w:rsid w:val="005745B3"/>
    <w:rsid w:val="005759BD"/>
    <w:rsid w:val="005922F1"/>
    <w:rsid w:val="00593F21"/>
    <w:rsid w:val="00597DAA"/>
    <w:rsid w:val="005B22D0"/>
    <w:rsid w:val="005B2A79"/>
    <w:rsid w:val="006002E6"/>
    <w:rsid w:val="00621371"/>
    <w:rsid w:val="0063152F"/>
    <w:rsid w:val="00661FC3"/>
    <w:rsid w:val="00665AB3"/>
    <w:rsid w:val="00687C68"/>
    <w:rsid w:val="006A692D"/>
    <w:rsid w:val="006B0822"/>
    <w:rsid w:val="006B1354"/>
    <w:rsid w:val="006B4F0D"/>
    <w:rsid w:val="006C7623"/>
    <w:rsid w:val="006D6D65"/>
    <w:rsid w:val="006F2190"/>
    <w:rsid w:val="0070024F"/>
    <w:rsid w:val="00717629"/>
    <w:rsid w:val="007219DE"/>
    <w:rsid w:val="00780EED"/>
    <w:rsid w:val="00791623"/>
    <w:rsid w:val="00794663"/>
    <w:rsid w:val="007A30F7"/>
    <w:rsid w:val="007A3197"/>
    <w:rsid w:val="007A6A95"/>
    <w:rsid w:val="007B2872"/>
    <w:rsid w:val="007C30A0"/>
    <w:rsid w:val="007E05B2"/>
    <w:rsid w:val="007F0A13"/>
    <w:rsid w:val="00806A01"/>
    <w:rsid w:val="008109BD"/>
    <w:rsid w:val="0082249B"/>
    <w:rsid w:val="00833713"/>
    <w:rsid w:val="00852B15"/>
    <w:rsid w:val="008614F2"/>
    <w:rsid w:val="008716FA"/>
    <w:rsid w:val="00871AC1"/>
    <w:rsid w:val="00883FF9"/>
    <w:rsid w:val="00893AF9"/>
    <w:rsid w:val="00896FD7"/>
    <w:rsid w:val="008C4FC4"/>
    <w:rsid w:val="008C7F23"/>
    <w:rsid w:val="008D20FF"/>
    <w:rsid w:val="008E27D9"/>
    <w:rsid w:val="00910883"/>
    <w:rsid w:val="00917388"/>
    <w:rsid w:val="00934564"/>
    <w:rsid w:val="0095777B"/>
    <w:rsid w:val="00964A22"/>
    <w:rsid w:val="00984421"/>
    <w:rsid w:val="00987B8C"/>
    <w:rsid w:val="00995791"/>
    <w:rsid w:val="009A399C"/>
    <w:rsid w:val="009E59D7"/>
    <w:rsid w:val="00A1596F"/>
    <w:rsid w:val="00A246E7"/>
    <w:rsid w:val="00A3264B"/>
    <w:rsid w:val="00A34F73"/>
    <w:rsid w:val="00A41B88"/>
    <w:rsid w:val="00A54C23"/>
    <w:rsid w:val="00A60763"/>
    <w:rsid w:val="00A759FA"/>
    <w:rsid w:val="00AA34A3"/>
    <w:rsid w:val="00AB48DA"/>
    <w:rsid w:val="00AD1402"/>
    <w:rsid w:val="00AE2DEF"/>
    <w:rsid w:val="00B05BBA"/>
    <w:rsid w:val="00B22C21"/>
    <w:rsid w:val="00B33F20"/>
    <w:rsid w:val="00B35B79"/>
    <w:rsid w:val="00B46664"/>
    <w:rsid w:val="00B50690"/>
    <w:rsid w:val="00B57E5D"/>
    <w:rsid w:val="00B844CF"/>
    <w:rsid w:val="00B922FD"/>
    <w:rsid w:val="00B94DBD"/>
    <w:rsid w:val="00B96868"/>
    <w:rsid w:val="00BA699D"/>
    <w:rsid w:val="00BD7C61"/>
    <w:rsid w:val="00BF5F40"/>
    <w:rsid w:val="00C0632C"/>
    <w:rsid w:val="00C46738"/>
    <w:rsid w:val="00C57D75"/>
    <w:rsid w:val="00C66D59"/>
    <w:rsid w:val="00C72703"/>
    <w:rsid w:val="00C74F4E"/>
    <w:rsid w:val="00C85B0C"/>
    <w:rsid w:val="00CC18E2"/>
    <w:rsid w:val="00CC40C3"/>
    <w:rsid w:val="00CE1512"/>
    <w:rsid w:val="00CF4C54"/>
    <w:rsid w:val="00D23082"/>
    <w:rsid w:val="00D35412"/>
    <w:rsid w:val="00D651FD"/>
    <w:rsid w:val="00D70C5C"/>
    <w:rsid w:val="00DF4B69"/>
    <w:rsid w:val="00E031BF"/>
    <w:rsid w:val="00E237C2"/>
    <w:rsid w:val="00E26855"/>
    <w:rsid w:val="00E26ABB"/>
    <w:rsid w:val="00E4588B"/>
    <w:rsid w:val="00E535B8"/>
    <w:rsid w:val="00E5742E"/>
    <w:rsid w:val="00E57AB0"/>
    <w:rsid w:val="00E70324"/>
    <w:rsid w:val="00E7333B"/>
    <w:rsid w:val="00E77220"/>
    <w:rsid w:val="00EB499B"/>
    <w:rsid w:val="00EE198F"/>
    <w:rsid w:val="00EE49FE"/>
    <w:rsid w:val="00EF2008"/>
    <w:rsid w:val="00F12008"/>
    <w:rsid w:val="00F1351F"/>
    <w:rsid w:val="00F40FE9"/>
    <w:rsid w:val="00F56397"/>
    <w:rsid w:val="00F64AC9"/>
    <w:rsid w:val="00F66294"/>
    <w:rsid w:val="00F7561E"/>
    <w:rsid w:val="00F80267"/>
    <w:rsid w:val="00FA0BD0"/>
    <w:rsid w:val="00FA13EE"/>
    <w:rsid w:val="00FA194B"/>
    <w:rsid w:val="00FC40B0"/>
    <w:rsid w:val="00FF1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FB1F316"/>
  <w15:docId w15:val="{C3ACCFEB-867C-4D2A-B01B-573F9D26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94663"/>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E3713"/>
    <w:rPr>
      <w:color w:val="0000FF"/>
      <w:u w:val="single"/>
    </w:rPr>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3B29FB"/>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 Char"/>
    <w:basedOn w:val="Normal"/>
    <w:link w:val="FootnoteTextChar2"/>
    <w:uiPriority w:val="99"/>
    <w:rsid w:val="003B29FB"/>
    <w:rPr>
      <w:sz w:val="22"/>
      <w:szCs w:val="20"/>
    </w:rPr>
  </w:style>
  <w:style w:type="character" w:customStyle="1" w:styleId="FootnoteTextChar">
    <w:name w:val="Footnote Text Char"/>
    <w:basedOn w:val="DefaultParagraphFont"/>
    <w:uiPriority w:val="99"/>
    <w:semiHidden/>
    <w:rsid w:val="003B29FB"/>
    <w:rPr>
      <w:rFonts w:ascii="Times New Roman" w:eastAsia="Times New Roman" w:hAnsi="Times New Roman" w:cs="Times New Roman"/>
      <w:sz w:val="20"/>
      <w:szCs w:val="20"/>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Char Char,Footnote Text Char1 Char Char Char1 Char,ft Char Char"/>
    <w:link w:val="FootnoteText"/>
    <w:uiPriority w:val="99"/>
    <w:rsid w:val="003B29FB"/>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5B22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2D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B22D0"/>
    <w:rPr>
      <w:sz w:val="16"/>
      <w:szCs w:val="16"/>
    </w:rPr>
  </w:style>
  <w:style w:type="paragraph" w:styleId="CommentText">
    <w:name w:val="annotation text"/>
    <w:basedOn w:val="Normal"/>
    <w:link w:val="CommentTextChar"/>
    <w:uiPriority w:val="99"/>
    <w:semiHidden/>
    <w:unhideWhenUsed/>
    <w:rsid w:val="005B22D0"/>
    <w:rPr>
      <w:sz w:val="20"/>
      <w:szCs w:val="20"/>
    </w:rPr>
  </w:style>
  <w:style w:type="character" w:customStyle="1" w:styleId="CommentTextChar">
    <w:name w:val="Comment Text Char"/>
    <w:basedOn w:val="DefaultParagraphFont"/>
    <w:link w:val="CommentText"/>
    <w:uiPriority w:val="99"/>
    <w:semiHidden/>
    <w:rsid w:val="005B22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22D0"/>
    <w:rPr>
      <w:b/>
      <w:bCs/>
    </w:rPr>
  </w:style>
  <w:style w:type="character" w:customStyle="1" w:styleId="CommentSubjectChar">
    <w:name w:val="Comment Subject Char"/>
    <w:basedOn w:val="CommentTextChar"/>
    <w:link w:val="CommentSubject"/>
    <w:uiPriority w:val="99"/>
    <w:semiHidden/>
    <w:rsid w:val="005B22D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4B69"/>
    <w:pPr>
      <w:tabs>
        <w:tab w:val="center" w:pos="4680"/>
        <w:tab w:val="right" w:pos="9360"/>
      </w:tabs>
    </w:pPr>
  </w:style>
  <w:style w:type="character" w:customStyle="1" w:styleId="HeaderChar">
    <w:name w:val="Header Char"/>
    <w:basedOn w:val="DefaultParagraphFont"/>
    <w:link w:val="Header"/>
    <w:uiPriority w:val="99"/>
    <w:rsid w:val="00DF4B69"/>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DF4B69"/>
    <w:pPr>
      <w:tabs>
        <w:tab w:val="center" w:pos="4680"/>
        <w:tab w:val="right" w:pos="9360"/>
      </w:tabs>
    </w:pPr>
  </w:style>
  <w:style w:type="character" w:customStyle="1" w:styleId="FooterChar">
    <w:name w:val="Footer Char"/>
    <w:basedOn w:val="DefaultParagraphFont"/>
    <w:link w:val="Footer"/>
    <w:uiPriority w:val="99"/>
    <w:rsid w:val="00DF4B6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1777DC"/>
    <w:rPr>
      <w:color w:val="954F72" w:themeColor="followedHyperlink"/>
      <w:u w:val="single"/>
    </w:rPr>
  </w:style>
  <w:style w:type="character" w:styleId="UnresolvedMention">
    <w:name w:val="Unresolved Mention"/>
    <w:basedOn w:val="DefaultParagraphFont"/>
    <w:uiPriority w:val="99"/>
    <w:semiHidden/>
    <w:unhideWhenUsed/>
    <w:rsid w:val="007E05B2"/>
    <w:rPr>
      <w:color w:val="605E5C"/>
      <w:shd w:val="clear" w:color="auto" w:fill="E1DFDD"/>
    </w:rPr>
  </w:style>
  <w:style w:type="paragraph" w:styleId="ListParagraph">
    <w:name w:val="List Paragraph"/>
    <w:basedOn w:val="Normal"/>
    <w:uiPriority w:val="34"/>
    <w:qFormat/>
    <w:rsid w:val="00022DBB"/>
    <w:pPr>
      <w:ind w:left="720"/>
      <w:contextualSpacing/>
    </w:pPr>
  </w:style>
  <w:style w:type="paragraph" w:customStyle="1" w:styleId="Default">
    <w:name w:val="Default"/>
    <w:rsid w:val="007219D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171000">
      <w:bodyDiv w:val="1"/>
      <w:marLeft w:val="0"/>
      <w:marRight w:val="0"/>
      <w:marTop w:val="0"/>
      <w:marBottom w:val="0"/>
      <w:divBdr>
        <w:top w:val="none" w:sz="0" w:space="0" w:color="auto"/>
        <w:left w:val="none" w:sz="0" w:space="0" w:color="auto"/>
        <w:bottom w:val="none" w:sz="0" w:space="0" w:color="auto"/>
        <w:right w:val="none" w:sz="0" w:space="0" w:color="auto"/>
      </w:divBdr>
    </w:div>
    <w:div w:id="860707488">
      <w:bodyDiv w:val="1"/>
      <w:marLeft w:val="0"/>
      <w:marRight w:val="0"/>
      <w:marTop w:val="0"/>
      <w:marBottom w:val="0"/>
      <w:divBdr>
        <w:top w:val="none" w:sz="0" w:space="0" w:color="auto"/>
        <w:left w:val="none" w:sz="0" w:space="0" w:color="auto"/>
        <w:bottom w:val="none" w:sz="0" w:space="0" w:color="auto"/>
        <w:right w:val="none" w:sz="0" w:space="0" w:color="auto"/>
      </w:divBdr>
    </w:div>
    <w:div w:id="1025254605">
      <w:bodyDiv w:val="1"/>
      <w:marLeft w:val="0"/>
      <w:marRight w:val="0"/>
      <w:marTop w:val="0"/>
      <w:marBottom w:val="0"/>
      <w:divBdr>
        <w:top w:val="none" w:sz="0" w:space="0" w:color="auto"/>
        <w:left w:val="none" w:sz="0" w:space="0" w:color="auto"/>
        <w:bottom w:val="none" w:sz="0" w:space="0" w:color="auto"/>
        <w:right w:val="none" w:sz="0" w:space="0" w:color="auto"/>
      </w:divBdr>
    </w:div>
    <w:div w:id="1159346370">
      <w:bodyDiv w:val="1"/>
      <w:marLeft w:val="0"/>
      <w:marRight w:val="0"/>
      <w:marTop w:val="0"/>
      <w:marBottom w:val="0"/>
      <w:divBdr>
        <w:top w:val="none" w:sz="0" w:space="0" w:color="auto"/>
        <w:left w:val="none" w:sz="0" w:space="0" w:color="auto"/>
        <w:bottom w:val="none" w:sz="0" w:space="0" w:color="auto"/>
        <w:right w:val="none" w:sz="0" w:space="0" w:color="auto"/>
      </w:divBdr>
    </w:div>
    <w:div w:id="1677808819">
      <w:bodyDiv w:val="1"/>
      <w:marLeft w:val="0"/>
      <w:marRight w:val="0"/>
      <w:marTop w:val="0"/>
      <w:marBottom w:val="0"/>
      <w:divBdr>
        <w:top w:val="none" w:sz="0" w:space="0" w:color="auto"/>
        <w:left w:val="none" w:sz="0" w:space="0" w:color="auto"/>
        <w:bottom w:val="none" w:sz="0" w:space="0" w:color="auto"/>
        <w:right w:val="none" w:sz="0" w:space="0" w:color="auto"/>
      </w:divBdr>
    </w:div>
    <w:div w:id="1685747444">
      <w:bodyDiv w:val="1"/>
      <w:marLeft w:val="0"/>
      <w:marRight w:val="0"/>
      <w:marTop w:val="0"/>
      <w:marBottom w:val="0"/>
      <w:divBdr>
        <w:top w:val="none" w:sz="0" w:space="0" w:color="auto"/>
        <w:left w:val="none" w:sz="0" w:space="0" w:color="auto"/>
        <w:bottom w:val="none" w:sz="0" w:space="0" w:color="auto"/>
        <w:right w:val="none" w:sz="0" w:space="0" w:color="auto"/>
      </w:divBdr>
    </w:div>
    <w:div w:id="174891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ferc.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Clearance@FERC.go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948BF-03C3-4E96-AA1A-77F7349B893B}">
  <ds:schemaRefs>
    <ds:schemaRef ds:uri="Microsoft.SharePoint.Taxonomy.ContentTypeSync"/>
  </ds:schemaRefs>
</ds:datastoreItem>
</file>

<file path=customXml/itemProps2.xml><?xml version="1.0" encoding="utf-8"?>
<ds:datastoreItem xmlns:ds="http://schemas.openxmlformats.org/officeDocument/2006/customXml" ds:itemID="{20360D5A-5217-480E-81BE-E6798A5D7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A71C13-7B15-4D47-A34C-EF426D9B90D3}">
  <ds:schemaRefs>
    <ds:schemaRef ds:uri="http://schemas.microsoft.com/sharepoint/v3/contenttype/forms"/>
  </ds:schemaRefs>
</ds:datastoreItem>
</file>

<file path=customXml/itemProps4.xml><?xml version="1.0" encoding="utf-8"?>
<ds:datastoreItem xmlns:ds="http://schemas.openxmlformats.org/officeDocument/2006/customXml" ds:itemID="{D1211447-C4F6-42EE-ACC9-2AF08EEA09A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www.w3.org/XML/1998/namespace"/>
    <ds:schemaRef ds:uri="http://purl.org/dc/dcmitype/"/>
  </ds:schemaRefs>
</ds:datastoreItem>
</file>

<file path=customXml/itemProps5.xml><?xml version="1.0" encoding="utf-8"?>
<ds:datastoreItem xmlns:ds="http://schemas.openxmlformats.org/officeDocument/2006/customXml" ds:itemID="{89BF0C65-9605-4937-A0CF-C4DB61752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1147</Words>
  <Characters>6539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Application for Authorization for the Issuance of Securities or the Assumption of Liabilities</vt:lpstr>
    </vt:vector>
  </TitlesOfParts>
  <Manager/>
  <Company/>
  <LinksUpToDate>false</LinksUpToDate>
  <CharactersWithSpaces>7671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Kayla Williams</cp:lastModifiedBy>
  <cp:revision>1</cp:revision>
  <dcterms:created xsi:type="dcterms:W3CDTF">2020-10-30T14:47:00Z</dcterms:created>
  <dcterms:modified xsi:type="dcterms:W3CDTF">2020-11-25T14:33:00Z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iteId">
    <vt:lpwstr>19caa9e9-04ff-43fa-885f-d77fac387903</vt:lpwstr>
  </property>
  <property fmtid="{D5CDD505-2E9C-101B-9397-08002B2CF9AE}" pid="4" name="MSIP_Label_6155a89b-0f08-4a93-8ea2-8a916d6643b5_Owner">
    <vt:lpwstr>Kayla.Williams@ferc.gov</vt:lpwstr>
  </property>
  <property fmtid="{D5CDD505-2E9C-101B-9397-08002B2CF9AE}" pid="5" name="MSIP_Label_6155a89b-0f08-4a93-8ea2-8a916d6643b5_SetDate">
    <vt:lpwstr>2020-11-25T14:33:32.5563393Z</vt:lpwstr>
  </property>
  <property fmtid="{D5CDD505-2E9C-101B-9397-08002B2CF9AE}" pid="6" name="MSIP_Label_6155a89b-0f08-4a93-8ea2-8a916d6643b5_Name">
    <vt:lpwstr>General</vt:lpwstr>
  </property>
  <property fmtid="{D5CDD505-2E9C-101B-9397-08002B2CF9AE}" pid="7" name="MSIP_Label_6155a89b-0f08-4a93-8ea2-8a916d6643b5_Application">
    <vt:lpwstr>Microsoft Azure Information Protection</vt:lpwstr>
  </property>
  <property fmtid="{D5CDD505-2E9C-101B-9397-08002B2CF9AE}" pid="8" name="MSIP_Label_6155a89b-0f08-4a93-8ea2-8a916d6643b5_ActionId">
    <vt:lpwstr>1613bc7c-5874-4994-875a-8c28e5e37bb0</vt:lpwstr>
  </property>
  <property fmtid="{D5CDD505-2E9C-101B-9397-08002B2CF9AE}" pid="9" name="MSIP_Label_6155a89b-0f08-4a93-8ea2-8a916d6643b5_Extended_MSFT_Method">
    <vt:lpwstr>Manual</vt:lpwstr>
  </property>
  <property fmtid="{D5CDD505-2E9C-101B-9397-08002B2CF9AE}" pid="10" name="Sensitivity">
    <vt:lpwstr>General</vt:lpwstr>
  </property>
</Properties>
</file>