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19DE" w:rsidR="00794663" w:rsidP="00794663" w:rsidRDefault="00794663" w14:paraId="071A8806" w14:textId="77777777">
      <w:pPr>
        <w:jc w:val="center"/>
        <w:rPr>
          <w:szCs w:val="26"/>
        </w:rPr>
      </w:pPr>
      <w:r w:rsidRPr="007219DE">
        <w:rPr>
          <w:szCs w:val="26"/>
        </w:rPr>
        <w:t>UNITED STATES OF AMERICA</w:t>
      </w:r>
    </w:p>
    <w:p w:rsidRPr="007219DE" w:rsidR="00794663" w:rsidP="00794663" w:rsidRDefault="00794663" w14:paraId="1FE1003C" w14:textId="77777777">
      <w:pPr>
        <w:jc w:val="center"/>
        <w:rPr>
          <w:szCs w:val="26"/>
        </w:rPr>
      </w:pPr>
      <w:r w:rsidRPr="007219DE">
        <w:rPr>
          <w:szCs w:val="26"/>
        </w:rPr>
        <w:t>FEDERAL ENERGY REGULATORY COMMISSION</w:t>
      </w:r>
    </w:p>
    <w:p w:rsidRPr="007219DE" w:rsidR="00794663" w:rsidP="00794663" w:rsidRDefault="00794663" w14:paraId="15D2BE2A" w14:textId="77777777">
      <w:pPr>
        <w:rPr>
          <w:szCs w:val="26"/>
        </w:rPr>
      </w:pPr>
    </w:p>
    <w:p w:rsidRPr="007219DE" w:rsidR="00794663" w:rsidP="00794663" w:rsidRDefault="00794663" w14:paraId="50D605DB" w14:textId="2D7C1FBA">
      <w:pPr>
        <w:jc w:val="center"/>
        <w:rPr>
          <w:szCs w:val="26"/>
        </w:rPr>
      </w:pPr>
      <w:r w:rsidRPr="007219DE">
        <w:rPr>
          <w:szCs w:val="26"/>
        </w:rPr>
        <w:t>[Docket No. IC</w:t>
      </w:r>
      <w:r w:rsidRPr="007219DE" w:rsidR="00F7561E">
        <w:rPr>
          <w:szCs w:val="26"/>
        </w:rPr>
        <w:t>2</w:t>
      </w:r>
      <w:r w:rsidRPr="0070024F" w:rsidR="00503DBF">
        <w:rPr>
          <w:szCs w:val="26"/>
        </w:rPr>
        <w:t>1</w:t>
      </w:r>
      <w:r w:rsidRPr="007219DE" w:rsidR="00F7561E">
        <w:rPr>
          <w:szCs w:val="26"/>
        </w:rPr>
        <w:t>-</w:t>
      </w:r>
      <w:r w:rsidRPr="007219DE" w:rsidR="00F56397">
        <w:rPr>
          <w:szCs w:val="26"/>
        </w:rPr>
        <w:t>3</w:t>
      </w:r>
      <w:r w:rsidRPr="007219DE">
        <w:rPr>
          <w:szCs w:val="26"/>
        </w:rPr>
        <w:t>-000</w:t>
      </w:r>
      <w:r w:rsidR="00282E43">
        <w:rPr>
          <w:szCs w:val="26"/>
        </w:rPr>
        <w:t xml:space="preserve"> and RD20-4-000</w:t>
      </w:r>
      <w:r w:rsidRPr="007219DE">
        <w:rPr>
          <w:szCs w:val="26"/>
        </w:rPr>
        <w:t>]</w:t>
      </w:r>
    </w:p>
    <w:p w:rsidRPr="007219DE" w:rsidR="00794663" w:rsidP="00794663" w:rsidRDefault="00794663" w14:paraId="3DAB9007" w14:textId="77777777">
      <w:pPr>
        <w:rPr>
          <w:szCs w:val="26"/>
        </w:rPr>
      </w:pPr>
    </w:p>
    <w:p w:rsidRPr="007219DE" w:rsidR="00794663" w:rsidP="00794663" w:rsidRDefault="00794663" w14:paraId="067AE651" w14:textId="45E2FC6C">
      <w:pPr>
        <w:jc w:val="center"/>
        <w:rPr>
          <w:szCs w:val="26"/>
        </w:rPr>
      </w:pPr>
      <w:r w:rsidRPr="007219DE">
        <w:rPr>
          <w:szCs w:val="26"/>
        </w:rPr>
        <w:t>COMMISSION INFORMATION COLLECTION ACTIVITIES (FERC-</w:t>
      </w:r>
      <w:r w:rsidRPr="007219DE" w:rsidR="009A399C">
        <w:rPr>
          <w:szCs w:val="26"/>
        </w:rPr>
        <w:t>725D</w:t>
      </w:r>
      <w:r w:rsidRPr="007219DE">
        <w:rPr>
          <w:szCs w:val="26"/>
        </w:rPr>
        <w:t>);</w:t>
      </w:r>
    </w:p>
    <w:p w:rsidRPr="007219DE" w:rsidR="00794663" w:rsidP="00794663" w:rsidRDefault="00794663" w14:paraId="33E26ECB" w14:textId="0717B834">
      <w:pPr>
        <w:jc w:val="center"/>
        <w:rPr>
          <w:szCs w:val="26"/>
        </w:rPr>
      </w:pPr>
      <w:r w:rsidRPr="007219DE">
        <w:rPr>
          <w:szCs w:val="26"/>
        </w:rPr>
        <w:t>COMMENT REQUEST; EXTENSION</w:t>
      </w:r>
    </w:p>
    <w:p w:rsidRPr="007219DE" w:rsidR="00794663" w:rsidP="00794663" w:rsidRDefault="00794663" w14:paraId="10C13286" w14:textId="77777777">
      <w:pPr>
        <w:rPr>
          <w:szCs w:val="26"/>
        </w:rPr>
      </w:pPr>
    </w:p>
    <w:p w:rsidR="00964A22" w:rsidP="00C56940" w:rsidRDefault="00C56940" w14:paraId="4473B178" w14:textId="28636DE9">
      <w:pPr>
        <w:jc w:val="center"/>
        <w:rPr>
          <w:szCs w:val="26"/>
        </w:rPr>
      </w:pPr>
      <w:r w:rsidRPr="00C56940">
        <w:rPr>
          <w:szCs w:val="26"/>
        </w:rPr>
        <w:t>(January 7, 2021)</w:t>
      </w:r>
    </w:p>
    <w:p w:rsidRPr="00C56940" w:rsidR="00C56940" w:rsidP="00C56940" w:rsidRDefault="00C56940" w14:paraId="097C3FD1" w14:textId="77777777">
      <w:pPr>
        <w:rPr>
          <w:szCs w:val="26"/>
        </w:rPr>
      </w:pPr>
    </w:p>
    <w:p w:rsidRPr="007219DE" w:rsidR="00794663" w:rsidP="00794663" w:rsidRDefault="00794663" w14:paraId="3610ACFF" w14:textId="77777777">
      <w:pPr>
        <w:rPr>
          <w:szCs w:val="26"/>
        </w:rPr>
      </w:pPr>
      <w:r w:rsidRPr="007219DE">
        <w:rPr>
          <w:b/>
          <w:szCs w:val="26"/>
        </w:rPr>
        <w:t>AGENCY:</w:t>
      </w:r>
      <w:r w:rsidRPr="007219DE">
        <w:rPr>
          <w:szCs w:val="26"/>
        </w:rPr>
        <w:t xml:space="preserve">  Federal Energy Regulatory Commission.</w:t>
      </w:r>
    </w:p>
    <w:p w:rsidRPr="007219DE" w:rsidR="00794663" w:rsidP="00794663" w:rsidRDefault="00794663" w14:paraId="38C98283" w14:textId="77777777">
      <w:pPr>
        <w:rPr>
          <w:szCs w:val="26"/>
        </w:rPr>
      </w:pPr>
    </w:p>
    <w:p w:rsidRPr="007219DE" w:rsidR="00794663" w:rsidP="00794663" w:rsidRDefault="00794663" w14:paraId="25A0A732" w14:textId="14FE77FA">
      <w:pPr>
        <w:spacing w:line="480" w:lineRule="auto"/>
        <w:rPr>
          <w:szCs w:val="26"/>
        </w:rPr>
      </w:pPr>
      <w:r w:rsidRPr="007219DE">
        <w:rPr>
          <w:b/>
          <w:szCs w:val="26"/>
        </w:rPr>
        <w:t>ACTION:</w:t>
      </w:r>
      <w:r w:rsidRPr="007219DE">
        <w:rPr>
          <w:szCs w:val="26"/>
        </w:rPr>
        <w:t xml:space="preserve">  Notice of information collection and request for comments.</w:t>
      </w:r>
    </w:p>
    <w:p w:rsidRPr="007219DE" w:rsidR="004E3713" w:rsidP="004E3713" w:rsidRDefault="00794663" w14:paraId="1F3AE735" w14:textId="0D03590D">
      <w:pPr>
        <w:spacing w:line="480" w:lineRule="auto"/>
        <w:rPr>
          <w:szCs w:val="26"/>
        </w:rPr>
      </w:pPr>
      <w:r w:rsidRPr="007219DE">
        <w:rPr>
          <w:b/>
          <w:szCs w:val="26"/>
        </w:rPr>
        <w:t>SUMMARY:</w:t>
      </w:r>
      <w:r w:rsidRPr="007219DE">
        <w:rPr>
          <w:szCs w:val="26"/>
        </w:rPr>
        <w:t xml:space="preserve">  In compliance with the requirements of the Paperwork Reduction Act of 1995, the Federal Energy Regulatory Commission (Commission or FERC) is soliciting public comment on a re</w:t>
      </w:r>
      <w:r w:rsidRPr="007219DE" w:rsidR="00E4588B">
        <w:rPr>
          <w:szCs w:val="26"/>
        </w:rPr>
        <w:t>newal</w:t>
      </w:r>
      <w:r w:rsidRPr="007219DE">
        <w:rPr>
          <w:szCs w:val="26"/>
        </w:rPr>
        <w:t xml:space="preserve"> </w:t>
      </w:r>
      <w:r w:rsidRPr="007219DE" w:rsidR="00E4588B">
        <w:rPr>
          <w:szCs w:val="26"/>
        </w:rPr>
        <w:t>of currently approved</w:t>
      </w:r>
      <w:r w:rsidRPr="007219DE">
        <w:rPr>
          <w:szCs w:val="26"/>
        </w:rPr>
        <w:t xml:space="preserve"> information collection, FERC-</w:t>
      </w:r>
      <w:r w:rsidRPr="007219DE" w:rsidR="009A399C">
        <w:rPr>
          <w:szCs w:val="26"/>
        </w:rPr>
        <w:t>725D</w:t>
      </w:r>
      <w:r w:rsidRPr="007219DE" w:rsidR="004E3713">
        <w:rPr>
          <w:szCs w:val="26"/>
        </w:rPr>
        <w:t xml:space="preserve"> </w:t>
      </w:r>
      <w:r w:rsidRPr="007219DE" w:rsidR="00910883">
        <w:rPr>
          <w:szCs w:val="26"/>
        </w:rPr>
        <w:t>(</w:t>
      </w:r>
      <w:r w:rsidRPr="007219DE" w:rsidR="009A399C">
        <w:rPr>
          <w:color w:val="000000"/>
          <w:szCs w:val="26"/>
        </w:rPr>
        <w:t>Facilities Design, Connections and Maintenance Reliability Standards</w:t>
      </w:r>
      <w:r w:rsidRPr="007219DE" w:rsidR="00910883">
        <w:rPr>
          <w:color w:val="000000"/>
          <w:szCs w:val="26"/>
        </w:rPr>
        <w:t>)</w:t>
      </w:r>
      <w:r w:rsidRPr="00282E43" w:rsidR="001E367D">
        <w:rPr>
          <w:color w:val="000000"/>
        </w:rPr>
        <w:t xml:space="preserve">. </w:t>
      </w:r>
      <w:r w:rsidR="001E367D">
        <w:rPr>
          <w:color w:val="000000"/>
          <w:szCs w:val="26"/>
        </w:rPr>
        <w:t xml:space="preserve"> This notice includes all </w:t>
      </w:r>
      <w:r w:rsidR="00C523AA">
        <w:rPr>
          <w:color w:val="000000"/>
          <w:szCs w:val="26"/>
        </w:rPr>
        <w:t xml:space="preserve">modified </w:t>
      </w:r>
      <w:r w:rsidR="001E367D">
        <w:rPr>
          <w:color w:val="000000"/>
          <w:szCs w:val="26"/>
        </w:rPr>
        <w:t>standards included in FERC725D (FAC-001-3, FAC</w:t>
      </w:r>
      <w:r w:rsidR="00EB5561">
        <w:rPr>
          <w:color w:val="000000"/>
          <w:szCs w:val="26"/>
        </w:rPr>
        <w:t>-</w:t>
      </w:r>
      <w:r w:rsidR="00282E43">
        <w:rPr>
          <w:color w:val="000000"/>
          <w:szCs w:val="26"/>
        </w:rPr>
        <w:t>00</w:t>
      </w:r>
      <w:r w:rsidR="001E367D">
        <w:rPr>
          <w:color w:val="000000"/>
          <w:szCs w:val="26"/>
        </w:rPr>
        <w:t>2-3, FAC</w:t>
      </w:r>
      <w:r w:rsidR="00EB5561">
        <w:rPr>
          <w:color w:val="000000"/>
          <w:szCs w:val="26"/>
        </w:rPr>
        <w:t>-</w:t>
      </w:r>
      <w:r w:rsidR="00282E43">
        <w:rPr>
          <w:color w:val="000000"/>
          <w:szCs w:val="26"/>
        </w:rPr>
        <w:t>0</w:t>
      </w:r>
      <w:r w:rsidR="001E367D">
        <w:rPr>
          <w:color w:val="000000"/>
          <w:szCs w:val="26"/>
        </w:rPr>
        <w:t>10-2, FAC</w:t>
      </w:r>
      <w:r w:rsidR="00EB5561">
        <w:rPr>
          <w:color w:val="000000"/>
          <w:szCs w:val="26"/>
        </w:rPr>
        <w:t>-</w:t>
      </w:r>
      <w:r w:rsidR="001E367D">
        <w:rPr>
          <w:color w:val="000000"/>
          <w:szCs w:val="26"/>
        </w:rPr>
        <w:t>011-3, and FAC</w:t>
      </w:r>
      <w:r w:rsidR="00EB5561">
        <w:rPr>
          <w:color w:val="000000"/>
          <w:szCs w:val="26"/>
        </w:rPr>
        <w:t>-</w:t>
      </w:r>
      <w:r w:rsidR="001E367D">
        <w:rPr>
          <w:color w:val="000000"/>
          <w:szCs w:val="26"/>
        </w:rPr>
        <w:t>014-2) in Docket no. IC21-3-000 for renewal which already reflect the changes mentioned in version update RD20-4-000 published separately</w:t>
      </w:r>
      <w:r w:rsidRPr="007219DE" w:rsidR="004E3713">
        <w:rPr>
          <w:szCs w:val="26"/>
        </w:rPr>
        <w:t xml:space="preserve">. </w:t>
      </w:r>
      <w:r w:rsidR="00C523AA">
        <w:rPr>
          <w:szCs w:val="26"/>
        </w:rPr>
        <w:t xml:space="preserve">  All </w:t>
      </w:r>
      <w:r w:rsidR="00783E07">
        <w:rPr>
          <w:szCs w:val="26"/>
        </w:rPr>
        <w:t xml:space="preserve">burden </w:t>
      </w:r>
      <w:r w:rsidR="00C523AA">
        <w:rPr>
          <w:szCs w:val="26"/>
        </w:rPr>
        <w:t>totals supersede previous notices for both dockets.</w:t>
      </w:r>
    </w:p>
    <w:p w:rsidRPr="007219DE" w:rsidR="004E3713" w:rsidP="004E3713" w:rsidRDefault="004E3713" w14:paraId="31C49F04" w14:textId="4C45DACF">
      <w:pPr>
        <w:spacing w:line="480" w:lineRule="auto"/>
        <w:rPr>
          <w:szCs w:val="26"/>
        </w:rPr>
      </w:pPr>
      <w:r w:rsidRPr="007219DE">
        <w:rPr>
          <w:b/>
          <w:szCs w:val="26"/>
        </w:rPr>
        <w:t>DATES:</w:t>
      </w:r>
      <w:r w:rsidRPr="007219DE">
        <w:rPr>
          <w:szCs w:val="26"/>
        </w:rPr>
        <w:t xml:space="preserve">  Comments on the collection of information are due</w:t>
      </w:r>
      <w:r w:rsidRPr="007219DE">
        <w:rPr>
          <w:b/>
          <w:szCs w:val="26"/>
        </w:rPr>
        <w:t xml:space="preserve"> [</w:t>
      </w:r>
      <w:r w:rsidRPr="007219DE" w:rsidR="00DF4B69">
        <w:rPr>
          <w:b/>
          <w:szCs w:val="26"/>
        </w:rPr>
        <w:t xml:space="preserve">Insert Date </w:t>
      </w:r>
      <w:r w:rsidR="00F069B6">
        <w:rPr>
          <w:b/>
          <w:szCs w:val="26"/>
        </w:rPr>
        <w:t>3</w:t>
      </w:r>
      <w:r w:rsidRPr="007219DE">
        <w:rPr>
          <w:b/>
          <w:szCs w:val="26"/>
        </w:rPr>
        <w:t xml:space="preserve">0 days after </w:t>
      </w:r>
      <w:r w:rsidRPr="007219DE" w:rsidR="00A54C23">
        <w:rPr>
          <w:b/>
          <w:szCs w:val="26"/>
        </w:rPr>
        <w:t xml:space="preserve">date of </w:t>
      </w:r>
      <w:r w:rsidRPr="007219DE">
        <w:rPr>
          <w:b/>
          <w:szCs w:val="26"/>
        </w:rPr>
        <w:t>publication in the Federal Register].</w:t>
      </w:r>
      <w:r w:rsidRPr="007219DE">
        <w:rPr>
          <w:szCs w:val="26"/>
        </w:rPr>
        <w:t xml:space="preserve"> </w:t>
      </w:r>
    </w:p>
    <w:p w:rsidRPr="007219DE" w:rsidR="00E4588B" w:rsidP="004E3713" w:rsidRDefault="004E3713" w14:paraId="2E74F4B6" w14:textId="6C952A9E">
      <w:pPr>
        <w:rPr>
          <w:szCs w:val="26"/>
        </w:rPr>
      </w:pPr>
      <w:r w:rsidRPr="007219DE">
        <w:rPr>
          <w:b/>
          <w:szCs w:val="26"/>
        </w:rPr>
        <w:t>ADDRESSES:</w:t>
      </w:r>
      <w:r w:rsidRPr="007219DE">
        <w:rPr>
          <w:szCs w:val="26"/>
        </w:rPr>
        <w:t xml:space="preserve">  You may submit comments </w:t>
      </w:r>
      <w:r w:rsidRPr="007219DE" w:rsidR="00F7561E">
        <w:rPr>
          <w:szCs w:val="26"/>
        </w:rPr>
        <w:t>(</w:t>
      </w:r>
      <w:r w:rsidRPr="007219DE">
        <w:rPr>
          <w:szCs w:val="26"/>
        </w:rPr>
        <w:t>identified by Docket No. IC</w:t>
      </w:r>
      <w:r w:rsidRPr="007219DE" w:rsidR="00F7561E">
        <w:rPr>
          <w:szCs w:val="26"/>
        </w:rPr>
        <w:t>2</w:t>
      </w:r>
      <w:r w:rsidRPr="0070024F" w:rsidR="00503DBF">
        <w:rPr>
          <w:szCs w:val="26"/>
        </w:rPr>
        <w:t>1</w:t>
      </w:r>
      <w:r w:rsidRPr="007219DE">
        <w:rPr>
          <w:szCs w:val="26"/>
        </w:rPr>
        <w:t>-</w:t>
      </w:r>
      <w:r w:rsidRPr="0070024F" w:rsidR="00F56397">
        <w:rPr>
          <w:szCs w:val="26"/>
        </w:rPr>
        <w:t>3</w:t>
      </w:r>
      <w:r w:rsidRPr="007219DE">
        <w:rPr>
          <w:szCs w:val="26"/>
        </w:rPr>
        <w:t>-</w:t>
      </w:r>
      <w:r w:rsidRPr="007219DE" w:rsidR="00EB499B">
        <w:rPr>
          <w:szCs w:val="26"/>
        </w:rPr>
        <w:t>000</w:t>
      </w:r>
      <w:r w:rsidR="00C523AA">
        <w:rPr>
          <w:szCs w:val="26"/>
        </w:rPr>
        <w:t xml:space="preserve"> and RD20-4-000</w:t>
      </w:r>
      <w:r w:rsidRPr="007219DE" w:rsidR="00F7561E">
        <w:rPr>
          <w:szCs w:val="26"/>
        </w:rPr>
        <w:t>)</w:t>
      </w:r>
      <w:r w:rsidRPr="007219DE">
        <w:rPr>
          <w:szCs w:val="26"/>
        </w:rPr>
        <w:t xml:space="preserve"> by</w:t>
      </w:r>
      <w:r w:rsidR="009468F0">
        <w:rPr>
          <w:szCs w:val="26"/>
        </w:rPr>
        <w:t xml:space="preserve"> </w:t>
      </w:r>
      <w:r w:rsidRPr="007219DE" w:rsidR="001777DC">
        <w:rPr>
          <w:szCs w:val="26"/>
        </w:rPr>
        <w:t xml:space="preserve">one </w:t>
      </w:r>
      <w:r w:rsidRPr="007219DE">
        <w:rPr>
          <w:szCs w:val="26"/>
        </w:rPr>
        <w:t>of the following methods:</w:t>
      </w:r>
      <w:r w:rsidRPr="007219DE" w:rsidR="00E4588B">
        <w:rPr>
          <w:szCs w:val="26"/>
        </w:rPr>
        <w:tab/>
      </w:r>
      <w:r w:rsidRPr="007219DE" w:rsidR="00E4588B">
        <w:rPr>
          <w:szCs w:val="26"/>
        </w:rPr>
        <w:tab/>
      </w:r>
    </w:p>
    <w:p w:rsidRPr="007219DE" w:rsidR="00910883" w:rsidP="004E3713" w:rsidRDefault="00910883" w14:paraId="7CAD82A3" w14:textId="77777777">
      <w:pPr>
        <w:rPr>
          <w:szCs w:val="26"/>
        </w:rPr>
      </w:pPr>
    </w:p>
    <w:p w:rsidRPr="007219DE" w:rsidR="00E4588B" w:rsidP="008C4FC4" w:rsidRDefault="00E4588B" w14:paraId="6BBC7740" w14:textId="2E325ABC">
      <w:pPr>
        <w:numPr>
          <w:ilvl w:val="0"/>
          <w:numId w:val="3"/>
        </w:numPr>
        <w:tabs>
          <w:tab w:val="num" w:pos="1080"/>
        </w:tabs>
        <w:spacing w:line="480" w:lineRule="auto"/>
        <w:ind w:left="1080"/>
        <w:rPr>
          <w:rStyle w:val="Hyperlink"/>
          <w:color w:val="auto"/>
          <w:u w:val="none"/>
        </w:rPr>
      </w:pPr>
      <w:bookmarkStart w:name="OLE_LINK1" w:id="0"/>
      <w:proofErr w:type="spellStart"/>
      <w:r w:rsidRPr="007219DE">
        <w:t>eFiling</w:t>
      </w:r>
      <w:proofErr w:type="spellEnd"/>
      <w:r w:rsidRPr="007219DE">
        <w:t xml:space="preserve"> at Commission’s Web Site: </w:t>
      </w:r>
      <w:hyperlink w:history="1" r:id="rId12">
        <w:r w:rsidRPr="007219DE" w:rsidR="00FA194B">
          <w:rPr>
            <w:rStyle w:val="Hyperlink"/>
          </w:rPr>
          <w:t>http://www.ferc.gov</w:t>
        </w:r>
      </w:hyperlink>
    </w:p>
    <w:p w:rsidRPr="007219DE" w:rsidR="00791623" w:rsidP="008C4FC4" w:rsidRDefault="00791623" w14:paraId="6D22B7E8" w14:textId="547A105C">
      <w:pPr>
        <w:numPr>
          <w:ilvl w:val="0"/>
          <w:numId w:val="3"/>
        </w:numPr>
        <w:tabs>
          <w:tab w:val="num" w:pos="1080"/>
        </w:tabs>
        <w:spacing w:line="480" w:lineRule="auto"/>
        <w:ind w:left="1080"/>
      </w:pPr>
      <w:r w:rsidRPr="007219DE">
        <w:lastRenderedPageBreak/>
        <w:t>U.S. Postal Service Mail: Persons unable to file electronically may mail similar pleadings to the Federal Energy Regulatory Commission, 888 First Street, NE, Washington, DC 20426</w:t>
      </w:r>
    </w:p>
    <w:p w:rsidRPr="007219DE" w:rsidR="00022DBB" w:rsidP="008C4FC4" w:rsidRDefault="00791623" w14:paraId="12A00372" w14:textId="27874161">
      <w:pPr>
        <w:pStyle w:val="ListParagraph"/>
        <w:numPr>
          <w:ilvl w:val="0"/>
          <w:numId w:val="7"/>
        </w:numPr>
        <w:spacing w:line="480" w:lineRule="auto"/>
        <w:ind w:left="1080"/>
      </w:pPr>
      <w:r w:rsidRPr="007219DE">
        <w:t xml:space="preserve">Effective 7/1/2020, delivery of filings other than by </w:t>
      </w:r>
      <w:proofErr w:type="spellStart"/>
      <w:r w:rsidRPr="007219DE">
        <w:t>eFiling</w:t>
      </w:r>
      <w:proofErr w:type="spellEnd"/>
      <w:r w:rsidRPr="007219DE">
        <w:t xml:space="preserve"> or the U.S. Postal Service should be delivered to</w:t>
      </w:r>
      <w:r w:rsidRPr="007654ED" w:rsidR="007654ED">
        <w:t xml:space="preserve"> </w:t>
      </w:r>
      <w:r w:rsidR="007654ED">
        <w:t>Federal Energy Regulatory Commission, Office of the Secretary</w:t>
      </w:r>
      <w:r w:rsidRPr="007219DE">
        <w:t xml:space="preserve"> 12225 Wilkins Avenue, Rockville, Maryland 20852</w:t>
      </w:r>
      <w:r w:rsidRPr="007219DE" w:rsidR="00A60763">
        <w:t>.</w:t>
      </w:r>
    </w:p>
    <w:p w:rsidRPr="007219DE" w:rsidR="00E4588B" w:rsidP="00022DBB" w:rsidRDefault="00E4588B" w14:paraId="5085FE67" w14:textId="62B1A234">
      <w:pPr>
        <w:spacing w:line="480" w:lineRule="auto"/>
      </w:pPr>
      <w:r w:rsidRPr="007219DE">
        <w:rPr>
          <w:i/>
        </w:rPr>
        <w:t xml:space="preserve">Instructions: </w:t>
      </w:r>
      <w:r w:rsidRPr="007219DE">
        <w:t>All submissions must be formatted and filed in accordance with submission guidelines at:</w:t>
      </w:r>
      <w:r w:rsidRPr="007219DE" w:rsidR="007E05B2">
        <w:t xml:space="preserve">   </w:t>
      </w:r>
      <w:hyperlink w:history="1" r:id="rId13">
        <w:r w:rsidRPr="007219DE" w:rsidR="007E05B2">
          <w:rPr>
            <w:rStyle w:val="Hyperlink"/>
          </w:rPr>
          <w:t>http://www.ferc.gov</w:t>
        </w:r>
      </w:hyperlink>
      <w:r w:rsidRPr="007219DE" w:rsidR="008C4FC4">
        <w:t>.</w:t>
      </w:r>
      <w:r w:rsidRPr="007219DE">
        <w:t xml:space="preserve">  For user assistance, contact FERC Online Support by e-mail at ferconlinesupport@ferc.gov, or by phone at (866) 208-3676 (toll-free).</w:t>
      </w:r>
    </w:p>
    <w:p w:rsidRPr="007219DE" w:rsidR="00E4588B" w:rsidP="00E4588B" w:rsidRDefault="00E4588B" w14:paraId="3F7DA643" w14:textId="26D53407">
      <w:pPr>
        <w:spacing w:line="480" w:lineRule="auto"/>
      </w:pPr>
      <w:r w:rsidRPr="007219DE">
        <w:rPr>
          <w:i/>
        </w:rPr>
        <w:t>Docket:</w:t>
      </w:r>
      <w:r w:rsidRPr="007219DE">
        <w:t xml:space="preserve"> Users interested in receiving automatic notification of activity in this docket or in viewing/downloading comments and issuances in this docket may do so at </w:t>
      </w:r>
      <w:hyperlink w:history="1" r:id="rId14">
        <w:r w:rsidRPr="007219DE" w:rsidR="00FA194B">
          <w:rPr>
            <w:rStyle w:val="Hyperlink"/>
          </w:rPr>
          <w:t>http://www.ferc.gov</w:t>
        </w:r>
      </w:hyperlink>
      <w:r w:rsidRPr="007219DE">
        <w:t xml:space="preserve">. </w:t>
      </w:r>
    </w:p>
    <w:bookmarkEnd w:id="0"/>
    <w:p w:rsidRPr="007219DE" w:rsidR="004E3713" w:rsidP="004E3713" w:rsidRDefault="004E3713" w14:paraId="667827D6" w14:textId="0D2B2E56">
      <w:pPr>
        <w:spacing w:line="480" w:lineRule="auto"/>
        <w:rPr>
          <w:szCs w:val="26"/>
        </w:rPr>
      </w:pPr>
      <w:r w:rsidRPr="007219DE">
        <w:rPr>
          <w:b/>
          <w:szCs w:val="26"/>
        </w:rPr>
        <w:t>FOR FURTHER INFORMATION</w:t>
      </w:r>
      <w:r w:rsidR="002C700C">
        <w:rPr>
          <w:b/>
          <w:szCs w:val="26"/>
        </w:rPr>
        <w:t xml:space="preserve"> CONTACT</w:t>
      </w:r>
      <w:r w:rsidRPr="007219DE">
        <w:rPr>
          <w:b/>
          <w:szCs w:val="26"/>
        </w:rPr>
        <w:t>:</w:t>
      </w:r>
      <w:r w:rsidRPr="007219DE">
        <w:rPr>
          <w:szCs w:val="26"/>
        </w:rPr>
        <w:t xml:space="preserve">  Ellen Brown may be reached by e-mail at </w:t>
      </w:r>
      <w:hyperlink w:history="1" r:id="rId15">
        <w:r w:rsidRPr="007219DE">
          <w:rPr>
            <w:rStyle w:val="Hyperlink"/>
            <w:szCs w:val="26"/>
          </w:rPr>
          <w:t>DataClearance@FERC.gov</w:t>
        </w:r>
      </w:hyperlink>
      <w:r w:rsidRPr="007219DE">
        <w:rPr>
          <w:szCs w:val="26"/>
        </w:rPr>
        <w:t>, telephone at (202) 502-8663.</w:t>
      </w:r>
    </w:p>
    <w:p w:rsidRPr="007219DE" w:rsidR="004E3713" w:rsidP="004E3713" w:rsidRDefault="004E3713" w14:paraId="2A9D27D1" w14:textId="325CA2F4">
      <w:pPr>
        <w:spacing w:line="480" w:lineRule="auto"/>
        <w:rPr>
          <w:szCs w:val="26"/>
        </w:rPr>
      </w:pPr>
      <w:r w:rsidRPr="007219DE">
        <w:rPr>
          <w:b/>
          <w:szCs w:val="26"/>
        </w:rPr>
        <w:t>SUPPLEMENTARY INFORMATION:</w:t>
      </w:r>
      <w:r w:rsidRPr="007219DE">
        <w:rPr>
          <w:szCs w:val="26"/>
        </w:rPr>
        <w:t xml:space="preserve">  </w:t>
      </w:r>
    </w:p>
    <w:p w:rsidRPr="007219DE" w:rsidR="004E3713" w:rsidP="004E3713" w:rsidRDefault="004E3713" w14:paraId="6A0D460E" w14:textId="4CB897BA">
      <w:pPr>
        <w:spacing w:line="480" w:lineRule="auto"/>
        <w:rPr>
          <w:color w:val="000000"/>
          <w:szCs w:val="26"/>
        </w:rPr>
      </w:pPr>
      <w:r w:rsidRPr="007219DE">
        <w:rPr>
          <w:i/>
          <w:szCs w:val="26"/>
        </w:rPr>
        <w:t xml:space="preserve">Title: </w:t>
      </w:r>
      <w:r w:rsidRPr="007219DE">
        <w:rPr>
          <w:szCs w:val="26"/>
        </w:rPr>
        <w:t>FERC-</w:t>
      </w:r>
      <w:r w:rsidRPr="007219DE" w:rsidR="009A399C">
        <w:rPr>
          <w:szCs w:val="26"/>
        </w:rPr>
        <w:t>725D</w:t>
      </w:r>
      <w:r w:rsidRPr="007219DE" w:rsidR="00B50690">
        <w:rPr>
          <w:rStyle w:val="FootnoteReference"/>
        </w:rPr>
        <w:footnoteReference w:id="2"/>
      </w:r>
      <w:r w:rsidRPr="007219DE">
        <w:rPr>
          <w:szCs w:val="26"/>
        </w:rPr>
        <w:t xml:space="preserve">, </w:t>
      </w:r>
      <w:r w:rsidRPr="007219DE" w:rsidR="009A399C">
        <w:rPr>
          <w:color w:val="000000"/>
          <w:szCs w:val="26"/>
        </w:rPr>
        <w:t>Facilities Design, Connections and Maintenance Reliability Standards</w:t>
      </w:r>
    </w:p>
    <w:p w:rsidRPr="007219DE" w:rsidR="004E3713" w:rsidP="004E3713" w:rsidRDefault="004E3713" w14:paraId="1A456BB8" w14:textId="508FA243">
      <w:pPr>
        <w:spacing w:line="480" w:lineRule="auto"/>
        <w:rPr>
          <w:szCs w:val="26"/>
        </w:rPr>
      </w:pPr>
      <w:r w:rsidRPr="007219DE">
        <w:rPr>
          <w:i/>
          <w:szCs w:val="26"/>
        </w:rPr>
        <w:t>OMB Control No.:</w:t>
      </w:r>
      <w:r w:rsidRPr="007219DE">
        <w:rPr>
          <w:szCs w:val="26"/>
        </w:rPr>
        <w:t xml:space="preserve"> 1902-0</w:t>
      </w:r>
      <w:r w:rsidRPr="007219DE" w:rsidR="009A399C">
        <w:rPr>
          <w:szCs w:val="26"/>
        </w:rPr>
        <w:t>247</w:t>
      </w:r>
    </w:p>
    <w:p w:rsidRPr="007219DE" w:rsidR="004E3713" w:rsidP="004E3713" w:rsidRDefault="004E3713" w14:paraId="74422325" w14:textId="2E828BEC">
      <w:pPr>
        <w:spacing w:line="480" w:lineRule="auto"/>
        <w:rPr>
          <w:szCs w:val="26"/>
        </w:rPr>
      </w:pPr>
      <w:r w:rsidRPr="007219DE">
        <w:rPr>
          <w:i/>
          <w:szCs w:val="26"/>
        </w:rPr>
        <w:t>Type of Request:</w:t>
      </w:r>
      <w:r w:rsidRPr="007219DE">
        <w:rPr>
          <w:szCs w:val="26"/>
        </w:rPr>
        <w:t xml:space="preserve"> Three-year approval of the FERC-</w:t>
      </w:r>
      <w:r w:rsidRPr="007219DE" w:rsidR="009A399C">
        <w:rPr>
          <w:szCs w:val="26"/>
        </w:rPr>
        <w:t>725D</w:t>
      </w:r>
      <w:r w:rsidRPr="007219DE">
        <w:rPr>
          <w:szCs w:val="26"/>
        </w:rPr>
        <w:t xml:space="preserve"> information collection requirements</w:t>
      </w:r>
      <w:r w:rsidRPr="007219DE" w:rsidR="00C72703">
        <w:rPr>
          <w:szCs w:val="26"/>
        </w:rPr>
        <w:t xml:space="preserve">, </w:t>
      </w:r>
      <w:r w:rsidRPr="007219DE" w:rsidR="00A246E7">
        <w:rPr>
          <w:szCs w:val="26"/>
        </w:rPr>
        <w:t xml:space="preserve">with no changes to the reporting or recordkeeping requirements.  (There </w:t>
      </w:r>
      <w:r w:rsidRPr="007219DE" w:rsidR="00A246E7">
        <w:rPr>
          <w:szCs w:val="26"/>
        </w:rPr>
        <w:lastRenderedPageBreak/>
        <w:t>are adjustments to the estimates</w:t>
      </w:r>
      <w:r w:rsidR="00FF165E">
        <w:rPr>
          <w:szCs w:val="26"/>
        </w:rPr>
        <w:t xml:space="preserve"> to update the totals that represent the numbers reflected in the NERC Compliance Registry as of July 17, 2020)</w:t>
      </w:r>
      <w:r w:rsidRPr="007219DE" w:rsidR="00A246E7">
        <w:rPr>
          <w:szCs w:val="26"/>
        </w:rPr>
        <w:t xml:space="preserve"> </w:t>
      </w:r>
    </w:p>
    <w:p w:rsidRPr="00707D8E" w:rsidR="00707D8E" w:rsidP="00FD02FE" w:rsidRDefault="004E3713" w14:paraId="05EB6896" w14:textId="2B433C0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480" w:lineRule="auto"/>
        <w:contextualSpacing/>
        <w:rPr>
          <w:szCs w:val="26"/>
        </w:rPr>
      </w:pPr>
      <w:r w:rsidRPr="007219DE">
        <w:rPr>
          <w:i/>
          <w:szCs w:val="26"/>
        </w:rPr>
        <w:t xml:space="preserve">Abstract: </w:t>
      </w:r>
      <w:r w:rsidRPr="00707D8E" w:rsidR="00707D8E">
        <w:rPr>
          <w:iCs/>
          <w:szCs w:val="26"/>
        </w:rPr>
        <w:t>On August 8, 2005, The Electricity Modernization Act of 2005, which is Title XII of the Energy Policy Act of 2005 (</w:t>
      </w:r>
      <w:proofErr w:type="spellStart"/>
      <w:r w:rsidRPr="00707D8E" w:rsidR="00707D8E">
        <w:rPr>
          <w:iCs/>
          <w:szCs w:val="26"/>
        </w:rPr>
        <w:t>EPAct</w:t>
      </w:r>
      <w:proofErr w:type="spellEnd"/>
      <w:r w:rsidRPr="00707D8E" w:rsidR="00707D8E">
        <w:rPr>
          <w:iCs/>
          <w:szCs w:val="26"/>
        </w:rPr>
        <w:t xml:space="preserve"> 2005), was enacted into law.   </w:t>
      </w:r>
      <w:proofErr w:type="spellStart"/>
      <w:r w:rsidRPr="00707D8E" w:rsidR="00707D8E">
        <w:rPr>
          <w:iCs/>
          <w:szCs w:val="26"/>
        </w:rPr>
        <w:t>EPAct</w:t>
      </w:r>
      <w:proofErr w:type="spellEnd"/>
      <w:r w:rsidRPr="00707D8E" w:rsidR="00707D8E">
        <w:rPr>
          <w:iCs/>
          <w:szCs w:val="26"/>
        </w:rPr>
        <w:t xml:space="preserve">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NERC (now called the North American Electric Reliability Corporation) as the ERO pursuant to section 215 of the FPA. </w:t>
      </w:r>
      <w:r w:rsidRPr="00707D8E" w:rsidR="00707D8E">
        <w:rPr>
          <w:szCs w:val="26"/>
        </w:rPr>
        <w:t xml:space="preserve">On March 16, 2007 (pursuant to section 215(d) of the FPA), the Commission issued Order No. 693, approving 83 of the 107 initial Reliability Standards filed by NERC.  In the intervening years, numerous changes have been made to update, eliminate, or establish various Reliability Standards. </w:t>
      </w:r>
    </w:p>
    <w:p w:rsidRPr="00707D8E" w:rsidR="00707D8E" w:rsidP="00707D8E" w:rsidRDefault="00707D8E" w14:paraId="3317F419" w14:textId="77777777">
      <w:pPr>
        <w:spacing w:line="480" w:lineRule="auto"/>
        <w:ind w:firstLine="720"/>
        <w:rPr>
          <w:rFonts w:eastAsia="Calibri"/>
          <w:szCs w:val="26"/>
        </w:rPr>
      </w:pPr>
      <w:r w:rsidRPr="00707D8E">
        <w:rPr>
          <w:szCs w:val="26"/>
        </w:rPr>
        <w:t xml:space="preserve">The information collected by FERC-725D is required to implement the statutory provisions of section 215 of the Federal Power Act (FPA) (16 U.S.C. 824c).  </w:t>
      </w:r>
      <w:r w:rsidRPr="00707D8E">
        <w:rPr>
          <w:rFonts w:eastAsia="Calibri"/>
          <w:szCs w:val="26"/>
        </w:rPr>
        <w:t>The following standards are included in FERC-725D.</w:t>
      </w:r>
    </w:p>
    <w:p w:rsidRPr="00707D8E" w:rsidR="00707D8E" w:rsidP="00FD02FE" w:rsidRDefault="00707D8E" w14:paraId="38FC2B7F" w14:textId="77777777">
      <w:pPr>
        <w:numPr>
          <w:ilvl w:val="0"/>
          <w:numId w:val="7"/>
        </w:numPr>
        <w:spacing w:after="120" w:line="480" w:lineRule="auto"/>
        <w:rPr>
          <w:szCs w:val="26"/>
        </w:rPr>
      </w:pPr>
      <w:r w:rsidRPr="00707D8E">
        <w:rPr>
          <w:rFonts w:eastAsia="Calibri"/>
          <w:szCs w:val="26"/>
        </w:rPr>
        <w:lastRenderedPageBreak/>
        <w:t xml:space="preserve"> FAC-001-3 (</w:t>
      </w:r>
      <w:bookmarkStart w:name="_Hlk53794043" w:id="1"/>
      <w:r w:rsidRPr="00707D8E">
        <w:rPr>
          <w:rFonts w:eastAsia="Calibri"/>
          <w:szCs w:val="26"/>
        </w:rPr>
        <w:t>Facility Interconnection Requirements</w:t>
      </w:r>
      <w:bookmarkEnd w:id="1"/>
      <w:r w:rsidRPr="00707D8E">
        <w:rPr>
          <w:rFonts w:eastAsia="Calibri"/>
          <w:szCs w:val="26"/>
        </w:rPr>
        <w:t>)</w:t>
      </w:r>
      <w:r w:rsidRPr="00707D8E">
        <w:rPr>
          <w:rFonts w:eastAsia="Calibri"/>
          <w:b/>
          <w:szCs w:val="26"/>
          <w:vertAlign w:val="superscript"/>
        </w:rPr>
        <w:footnoteReference w:id="3"/>
      </w:r>
      <w:r w:rsidRPr="00707D8E">
        <w:rPr>
          <w:rFonts w:eastAsia="Calibri"/>
          <w:szCs w:val="26"/>
        </w:rPr>
        <w:t xml:space="preserve"> </w:t>
      </w:r>
      <w:r w:rsidRPr="00707D8E">
        <w:rPr>
          <w:szCs w:val="26"/>
        </w:rPr>
        <w:t>requires each transmission owner and applicable generator owner to document facility interconnection requirements, and to make them available upon request to entities seeking to interconnect.  In addition, Reliability Standard FAC-001-3 requires each transmission owner and applicable generator owner to include procedures for coordinating studies to determine the impact of interconnecting facilities on existing interconnections as well as on affected systems.</w:t>
      </w:r>
    </w:p>
    <w:p w:rsidRPr="00707D8E" w:rsidR="00707D8E" w:rsidP="00FD02FE" w:rsidRDefault="00707D8E" w14:paraId="3D1D7B78" w14:textId="77777777">
      <w:pPr>
        <w:numPr>
          <w:ilvl w:val="0"/>
          <w:numId w:val="7"/>
        </w:numPr>
        <w:spacing w:after="120" w:line="480" w:lineRule="auto"/>
        <w:rPr>
          <w:szCs w:val="26"/>
        </w:rPr>
      </w:pPr>
      <w:r w:rsidRPr="00707D8E">
        <w:rPr>
          <w:szCs w:val="26"/>
        </w:rPr>
        <w:t xml:space="preserve">FAC-002-3 </w:t>
      </w:r>
      <w:r w:rsidRPr="00707D8E">
        <w:rPr>
          <w:rFonts w:eastAsia="Calibri"/>
          <w:szCs w:val="26"/>
        </w:rPr>
        <w:t>(Facility Interconnection Studies)</w:t>
      </w:r>
      <w:r w:rsidRPr="00707D8E">
        <w:rPr>
          <w:rFonts w:eastAsia="Calibri"/>
          <w:b/>
          <w:szCs w:val="26"/>
          <w:vertAlign w:val="superscript"/>
        </w:rPr>
        <w:t xml:space="preserve"> </w:t>
      </w:r>
      <w:r w:rsidRPr="00707D8E">
        <w:rPr>
          <w:rFonts w:eastAsia="Calibri"/>
          <w:b/>
          <w:szCs w:val="26"/>
          <w:vertAlign w:val="superscript"/>
        </w:rPr>
        <w:footnoteReference w:id="4"/>
      </w:r>
      <w:r w:rsidRPr="00707D8E">
        <w:rPr>
          <w:rFonts w:eastAsia="Calibri"/>
          <w:szCs w:val="26"/>
        </w:rPr>
        <w:t xml:space="preserve"> </w:t>
      </w:r>
      <w:r w:rsidRPr="00707D8E">
        <w:rPr>
          <w:szCs w:val="26"/>
        </w:rPr>
        <w:t xml:space="preserve">requires each transmission planner and each planning coordinator to study the reliability impact of interconnecting new--or materially modifying existing--generation, transmission, or electricity end-user facilities on affected systems.  </w:t>
      </w:r>
      <w:proofErr w:type="gramStart"/>
      <w:r w:rsidRPr="00707D8E">
        <w:rPr>
          <w:szCs w:val="26"/>
        </w:rPr>
        <w:t>In particular, Reliability</w:t>
      </w:r>
      <w:proofErr w:type="gramEnd"/>
      <w:r w:rsidRPr="00707D8E">
        <w:rPr>
          <w:szCs w:val="26"/>
        </w:rPr>
        <w:t xml:space="preserve"> Standard FAC-002-3 requires transmission planners and planning coordinators to perform steady-state, short-circuit, and dynamic studies to evaluate system performance under both normal and contingency conditions.  In addition, Reliability Standard FAC-002-3 requires each generator owner seeking to interconnect, each transmission owner, each distribution provider, and each load-serving entity that is seeking to </w:t>
      </w:r>
      <w:r w:rsidRPr="00707D8E">
        <w:rPr>
          <w:szCs w:val="26"/>
        </w:rPr>
        <w:lastRenderedPageBreak/>
        <w:t>interconnect new--or materially modifying existing--transmission facilities or end-user facilities to coordinate and cooperate on studies with its transmission planner and planning coordinator.</w:t>
      </w:r>
    </w:p>
    <w:p w:rsidRPr="00707D8E" w:rsidR="00707D8E" w:rsidP="00FD02FE" w:rsidRDefault="00707D8E" w14:paraId="2F1681F6" w14:textId="77777777">
      <w:pPr>
        <w:numPr>
          <w:ilvl w:val="0"/>
          <w:numId w:val="7"/>
        </w:numPr>
        <w:spacing w:after="120" w:line="480" w:lineRule="auto"/>
        <w:rPr>
          <w:szCs w:val="26"/>
        </w:rPr>
      </w:pPr>
      <w:r w:rsidRPr="00707D8E">
        <w:rPr>
          <w:rFonts w:eastAsia="Calibri"/>
          <w:szCs w:val="26"/>
        </w:rPr>
        <w:t>FAC-010-3 (System Operating Limits Methodology for the Planning Horizon)</w:t>
      </w:r>
      <w:r w:rsidRPr="00707D8E">
        <w:rPr>
          <w:rFonts w:eastAsia="Calibri"/>
          <w:b/>
          <w:szCs w:val="26"/>
          <w:vertAlign w:val="superscript"/>
        </w:rPr>
        <w:footnoteReference w:id="5"/>
      </w:r>
      <w:r w:rsidRPr="00707D8E">
        <w:rPr>
          <w:rFonts w:eastAsia="Calibri"/>
          <w:szCs w:val="26"/>
        </w:rPr>
        <w:t xml:space="preserve"> requires the planning authority to have a documented methodology for use in developing system operating limits (SOLs) and must retain evidence that it issued its SOL methodology to relevant reliability coordinators, transmission operators and adjacent planning authorities.  Likewise, the planning authority must respond to technical comments on the methodology within 45 days of receipt.  Further, each planning authority must self-certify its compliance to the compliance monitor once every three years.</w:t>
      </w:r>
    </w:p>
    <w:p w:rsidRPr="00707D8E" w:rsidR="00707D8E" w:rsidP="00FD02FE" w:rsidRDefault="00707D8E" w14:paraId="0D848C44" w14:textId="77777777">
      <w:pPr>
        <w:numPr>
          <w:ilvl w:val="0"/>
          <w:numId w:val="7"/>
        </w:numPr>
        <w:spacing w:after="120" w:line="480" w:lineRule="auto"/>
        <w:rPr>
          <w:szCs w:val="26"/>
        </w:rPr>
      </w:pPr>
      <w:r w:rsidRPr="00707D8E">
        <w:rPr>
          <w:rFonts w:eastAsia="Calibri"/>
          <w:szCs w:val="26"/>
        </w:rPr>
        <w:t>FAC-011-3 (System Operating Limits Methodology for the Operations Horizon)</w:t>
      </w:r>
      <w:r w:rsidRPr="00707D8E">
        <w:rPr>
          <w:rFonts w:eastAsia="Calibri"/>
          <w:b/>
          <w:szCs w:val="26"/>
          <w:vertAlign w:val="superscript"/>
        </w:rPr>
        <w:footnoteReference w:id="6"/>
      </w:r>
      <w:r w:rsidRPr="00707D8E">
        <w:rPr>
          <w:rFonts w:eastAsia="Calibri"/>
          <w:szCs w:val="26"/>
        </w:rPr>
        <w:t xml:space="preserve"> requires the reliability coordinator to have a documented methodology for use in </w:t>
      </w:r>
      <w:r w:rsidRPr="00707D8E">
        <w:rPr>
          <w:rFonts w:eastAsia="Calibri"/>
          <w:szCs w:val="26"/>
        </w:rPr>
        <w:lastRenderedPageBreak/>
        <w:t>developing SOLs and must retain evidence that it issued its SOL methodology to relevant reliability coordinators, transmission operators and adjacent planning authorities.  Likewise, the reliability coordinator must respond to technical comments on the methodology within 45 days of receipt.  Further, each reliability coordinator must self-certify its compliance to the compliance monitor once every three years.</w:t>
      </w:r>
    </w:p>
    <w:p w:rsidRPr="00707D8E" w:rsidR="00707D8E" w:rsidP="00FD02FE" w:rsidRDefault="00707D8E" w14:paraId="3105D4A3" w14:textId="77777777">
      <w:pPr>
        <w:numPr>
          <w:ilvl w:val="0"/>
          <w:numId w:val="7"/>
        </w:numPr>
        <w:spacing w:after="120" w:line="480" w:lineRule="auto"/>
        <w:rPr>
          <w:szCs w:val="26"/>
        </w:rPr>
      </w:pPr>
      <w:r w:rsidRPr="00707D8E">
        <w:rPr>
          <w:rFonts w:eastAsia="Calibri"/>
          <w:szCs w:val="26"/>
        </w:rPr>
        <w:t>FAC-014-2 (Establish and Communicate System Operating Limits)</w:t>
      </w:r>
      <w:r w:rsidRPr="00707D8E">
        <w:rPr>
          <w:rFonts w:eastAsia="Calibri"/>
          <w:b/>
          <w:szCs w:val="26"/>
          <w:vertAlign w:val="superscript"/>
        </w:rPr>
        <w:footnoteReference w:id="7"/>
      </w:r>
      <w:r w:rsidRPr="00707D8E">
        <w:rPr>
          <w:rFonts w:eastAsia="Calibri"/>
          <w:szCs w:val="26"/>
        </w:rPr>
        <w:t xml:space="preserve"> requires the reliability coordinator, planning authority, transmission operator, and transmission planner to verify compliance through self-certification submitted to the compliance monitor annually.  These entities must also document that they have developed SOLs consistent with the applicable SOL methodology and that they have provided SOLs to entities identified in Requirement 5 of the Reliability Standard.  Further, the planning authority must maintain a list of multiple contingencies and their associated stability limits.</w:t>
      </w:r>
    </w:p>
    <w:p w:rsidRPr="00707D8E" w:rsidR="00707D8E" w:rsidP="00FD02FE" w:rsidRDefault="00707D8E" w14:paraId="47BB3314" w14:textId="77777777">
      <w:pPr>
        <w:spacing w:line="480" w:lineRule="auto"/>
        <w:ind w:left="720"/>
        <w:contextualSpacing/>
        <w:rPr>
          <w:szCs w:val="26"/>
        </w:rPr>
      </w:pPr>
      <w:r w:rsidRPr="00707D8E">
        <w:rPr>
          <w:rFonts w:eastAsia="Calibri"/>
          <w:szCs w:val="26"/>
        </w:rPr>
        <w:t>The associated reporting and recordkeeping requirements included in the Reliability Standards FAC-001-3, FAC010-3, FAC-011-3 and FAC-014-2 above are not being revised, and the Commission requests to extend these requirements for three years.  The Commission’s request also reflects the following:</w:t>
      </w:r>
    </w:p>
    <w:p w:rsidRPr="00707D8E" w:rsidR="00707D8E" w:rsidP="00FD02FE" w:rsidRDefault="00707D8E" w14:paraId="73A35324" w14:textId="0A2775EB">
      <w:pPr>
        <w:numPr>
          <w:ilvl w:val="0"/>
          <w:numId w:val="7"/>
        </w:numPr>
        <w:spacing w:after="120" w:line="480" w:lineRule="auto"/>
        <w:rPr>
          <w:szCs w:val="26"/>
        </w:rPr>
      </w:pPr>
      <w:r w:rsidRPr="00707D8E">
        <w:rPr>
          <w:rFonts w:eastAsia="Calibri"/>
          <w:szCs w:val="26"/>
        </w:rPr>
        <w:lastRenderedPageBreak/>
        <w:t>Implement</w:t>
      </w:r>
      <w:r w:rsidR="005D19C7">
        <w:rPr>
          <w:rFonts w:eastAsia="Calibri"/>
          <w:szCs w:val="26"/>
        </w:rPr>
        <w:t>ation of</w:t>
      </w:r>
      <w:r w:rsidRPr="00707D8E">
        <w:rPr>
          <w:rFonts w:eastAsia="Calibri"/>
          <w:szCs w:val="26"/>
        </w:rPr>
        <w:t xml:space="preserve"> FAC-002-3 (as approved by order in Docket No. RD20-4-000).</w:t>
      </w:r>
      <w:r w:rsidRPr="00707D8E">
        <w:rPr>
          <w:rFonts w:eastAsia="Calibri"/>
          <w:b/>
          <w:szCs w:val="26"/>
          <w:vertAlign w:val="superscript"/>
        </w:rPr>
        <w:footnoteReference w:id="8"/>
      </w:r>
      <w:r w:rsidRPr="00707D8E">
        <w:rPr>
          <w:rFonts w:eastAsia="Calibri"/>
          <w:szCs w:val="26"/>
        </w:rPr>
        <w:t xml:space="preserve">  This includes elimination of the burden associated with the load-serving entity (LSE) function in Requirement R3 of proposed Reliability Standard FAC-002-3. The NERC petition states as the load-serving entity is no longer a NERC registration category, NERC proposed to remove this entity from the applicability section of proposed Reliability Standard FAC-002-3 and remove reference to this entity in Requirement R3.</w:t>
      </w:r>
      <w:r w:rsidRPr="00707D8E">
        <w:rPr>
          <w:rFonts w:eastAsia="Calibri"/>
          <w:b/>
          <w:szCs w:val="26"/>
          <w:vertAlign w:val="superscript"/>
        </w:rPr>
        <w:footnoteReference w:id="9"/>
      </w:r>
    </w:p>
    <w:p w:rsidRPr="00FD02FE" w:rsidR="00707D8E" w:rsidP="00707D8E" w:rsidRDefault="00707D8E" w14:paraId="50D580CB" w14:textId="34B6D2F0">
      <w:pPr>
        <w:numPr>
          <w:ilvl w:val="0"/>
          <w:numId w:val="7"/>
        </w:numPr>
        <w:spacing w:after="120" w:line="480" w:lineRule="auto"/>
        <w:rPr>
          <w:szCs w:val="26"/>
        </w:rPr>
      </w:pPr>
      <w:r w:rsidRPr="00707D8E">
        <w:rPr>
          <w:szCs w:val="26"/>
        </w:rPr>
        <w:t>Adjustments to the burden estimates due to changes in the NERC Compliance Registry for Reliability Standard FAC-002-3.</w:t>
      </w:r>
      <w:r w:rsidRPr="00707D8E">
        <w:rPr>
          <w:b/>
          <w:szCs w:val="26"/>
          <w:vertAlign w:val="superscript"/>
        </w:rPr>
        <w:footnoteReference w:id="10"/>
      </w:r>
    </w:p>
    <w:p w:rsidRPr="00707D8E" w:rsidR="00707D8E" w:rsidP="00707D8E" w:rsidRDefault="00707D8E" w14:paraId="29BADB77" w14:textId="77777777">
      <w:pPr>
        <w:spacing w:line="480" w:lineRule="auto"/>
        <w:rPr>
          <w:szCs w:val="26"/>
        </w:rPr>
      </w:pPr>
      <w:r w:rsidRPr="00707D8E">
        <w:rPr>
          <w:szCs w:val="26"/>
        </w:rPr>
        <w:t>The 60-day notice was published on November 5, 2020 (85 FR 70606), and no comments were received.  The burden estimate in the 60-day notice has been updated below to correct the net decrease in burden for Reliability Standard FAC-002-3.</w:t>
      </w:r>
    </w:p>
    <w:p w:rsidRPr="007219DE" w:rsidR="00FD02FE" w:rsidP="00FD02FE" w:rsidRDefault="00707D8E" w14:paraId="32B5EF88" w14:textId="57E01C7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480" w:lineRule="auto"/>
        <w:contextualSpacing/>
        <w:rPr>
          <w:i/>
          <w:szCs w:val="26"/>
        </w:rPr>
      </w:pPr>
      <w:r w:rsidRPr="00707D8E">
        <w:rPr>
          <w:i/>
          <w:szCs w:val="26"/>
        </w:rPr>
        <w:t>Type of Respondents</w:t>
      </w:r>
      <w:r w:rsidRPr="00FD02FE" w:rsidR="00FD02FE">
        <w:rPr>
          <w:i/>
          <w:szCs w:val="26"/>
        </w:rPr>
        <w:t xml:space="preserve"> </w:t>
      </w:r>
      <w:r w:rsidRPr="007219DE" w:rsidR="00FD02FE">
        <w:rPr>
          <w:i/>
          <w:szCs w:val="26"/>
        </w:rPr>
        <w:t xml:space="preserve">Type of Respondents: </w:t>
      </w:r>
      <w:r w:rsidRPr="007219DE" w:rsidR="00FD02FE">
        <w:rPr>
          <w:szCs w:val="26"/>
        </w:rPr>
        <w:t>PA/PC, TP, TO, DP, &amp; GO</w:t>
      </w:r>
      <w:r w:rsidRPr="007219DE" w:rsidR="00FD02FE">
        <w:rPr>
          <w:rStyle w:val="FootnoteReference"/>
        </w:rPr>
        <w:footnoteReference w:id="11"/>
      </w:r>
    </w:p>
    <w:p w:rsidRPr="00FD02FE" w:rsidR="00707D8E" w:rsidP="00707D8E" w:rsidRDefault="00707D8E" w14:paraId="1E9435B9" w14:textId="5389C105">
      <w:pPr>
        <w:spacing w:line="480" w:lineRule="auto"/>
        <w:rPr>
          <w:i/>
          <w:szCs w:val="26"/>
        </w:rPr>
      </w:pPr>
      <w:r w:rsidRPr="00707D8E">
        <w:rPr>
          <w:i/>
          <w:szCs w:val="26"/>
        </w:rPr>
        <w:lastRenderedPageBreak/>
        <w:t>Estimate of Annual Burden</w:t>
      </w:r>
      <w:r w:rsidRPr="00707D8E">
        <w:rPr>
          <w:b/>
          <w:i/>
          <w:szCs w:val="26"/>
          <w:vertAlign w:val="superscript"/>
        </w:rPr>
        <w:footnoteReference w:id="12"/>
      </w:r>
      <w:r w:rsidRPr="00707D8E">
        <w:rPr>
          <w:i/>
          <w:szCs w:val="26"/>
        </w:rPr>
        <w:t>and Cost:</w:t>
      </w:r>
      <w:r w:rsidRPr="00707D8E">
        <w:rPr>
          <w:b/>
          <w:i/>
          <w:szCs w:val="26"/>
          <w:vertAlign w:val="superscript"/>
        </w:rPr>
        <w:footnoteReference w:id="13"/>
      </w:r>
      <w:r w:rsidRPr="00707D8E">
        <w:rPr>
          <w:i/>
          <w:szCs w:val="26"/>
        </w:rPr>
        <w:t xml:space="preserve"> </w:t>
      </w:r>
      <w:r w:rsidRPr="00FC71E8" w:rsidR="00FD02FE">
        <w:rPr>
          <w:b/>
          <w:bCs/>
          <w:szCs w:val="26"/>
        </w:rPr>
        <w:t>Renewal Docket No. IC21-3.</w:t>
      </w:r>
      <w:r w:rsidRPr="00282E43" w:rsidR="00FD02FE">
        <w:t xml:space="preserve"> </w:t>
      </w:r>
      <w:r w:rsidRPr="00FC71E8" w:rsidR="00FD02FE">
        <w:rPr>
          <w:szCs w:val="26"/>
        </w:rPr>
        <w:t>The Commission estimates an increase (adjustment) in the annual public reporting burden for the FERC-725D</w:t>
      </w:r>
      <w:r w:rsidRPr="00FC71E8" w:rsidR="00FD02FE">
        <w:t xml:space="preserve"> that follow the standards FAC-001-3, FAC-002-3, FAC</w:t>
      </w:r>
      <w:r w:rsidR="00FD02FE">
        <w:t>-</w:t>
      </w:r>
      <w:r w:rsidRPr="00FC71E8" w:rsidR="00FD02FE">
        <w:t>010-3, FAC</w:t>
      </w:r>
      <w:r w:rsidR="00FD02FE">
        <w:t>-</w:t>
      </w:r>
      <w:r w:rsidRPr="00FC71E8" w:rsidR="00FD02FE">
        <w:t>011-3, and FAC</w:t>
      </w:r>
      <w:r w:rsidR="00FD02FE">
        <w:t>-</w:t>
      </w:r>
      <w:r w:rsidRPr="00FC71E8" w:rsidR="00FD02FE">
        <w:t>014-2.</w:t>
      </w:r>
      <w:r w:rsidR="00FD02FE">
        <w:t xml:space="preserve"> </w:t>
      </w:r>
      <w:r w:rsidRPr="00707D8E">
        <w:rPr>
          <w:szCs w:val="26"/>
        </w:rPr>
        <w:t xml:space="preserve">The Commission estimates a net decrease (adjustment) in the annual public reporting burden for the FERC-725D </w:t>
      </w:r>
      <w:r w:rsidRPr="00707D8E">
        <w:t xml:space="preserve">for the Reliability Standard FAC-002-3.  The estimate for Reliability Standard FAC-002-3 decreased from 399 to </w:t>
      </w:r>
      <w:r w:rsidR="003B1617">
        <w:t>253</w:t>
      </w:r>
      <w:r w:rsidRPr="00707D8E">
        <w:t xml:space="preserve"> responses.</w:t>
      </w:r>
      <w:r w:rsidRPr="00707D8E">
        <w:rPr>
          <w:b/>
          <w:szCs w:val="26"/>
          <w:vertAlign w:val="superscript"/>
        </w:rPr>
        <w:footnoteReference w:id="14"/>
      </w:r>
      <w:r w:rsidRPr="00707D8E">
        <w:t xml:space="preserve"> Burden estimates for the remaining Reliability Standards in FERC-725D are unchanged as follows:</w:t>
      </w:r>
    </w:p>
    <w:p w:rsidRPr="00707D8E" w:rsidR="00707D8E" w:rsidP="00707D8E" w:rsidRDefault="00707D8E" w14:paraId="36DDC2BD" w14:textId="77777777">
      <w:pPr>
        <w:numPr>
          <w:ilvl w:val="0"/>
          <w:numId w:val="12"/>
        </w:numPr>
        <w:spacing w:line="480" w:lineRule="auto"/>
        <w:contextualSpacing/>
        <w:rPr>
          <w:szCs w:val="26"/>
        </w:rPr>
      </w:pPr>
      <w:r w:rsidRPr="00707D8E">
        <w:t>FAC-001-3 remain unchanged at 498 responses.</w:t>
      </w:r>
      <w:r w:rsidRPr="00707D8E">
        <w:rPr>
          <w:b/>
          <w:szCs w:val="26"/>
          <w:vertAlign w:val="superscript"/>
        </w:rPr>
        <w:footnoteReference w:id="15"/>
      </w:r>
      <w:r w:rsidRPr="00707D8E">
        <w:t xml:space="preserve"> </w:t>
      </w:r>
    </w:p>
    <w:p w:rsidRPr="00707D8E" w:rsidR="00707D8E" w:rsidP="00707D8E" w:rsidRDefault="00707D8E" w14:paraId="7484AB67" w14:textId="77777777">
      <w:pPr>
        <w:numPr>
          <w:ilvl w:val="0"/>
          <w:numId w:val="12"/>
        </w:numPr>
        <w:spacing w:line="480" w:lineRule="auto"/>
        <w:contextualSpacing/>
        <w:rPr>
          <w:szCs w:val="26"/>
        </w:rPr>
      </w:pPr>
      <w:r w:rsidRPr="00707D8E">
        <w:lastRenderedPageBreak/>
        <w:t>FAC-</w:t>
      </w:r>
      <w:r w:rsidRPr="00707D8E">
        <w:rPr>
          <w:szCs w:val="26"/>
        </w:rPr>
        <w:t>010-3, FAC-011-3 and FAC-014-2 remains unchanged at 470 responses.</w:t>
      </w:r>
      <w:r w:rsidRPr="00707D8E">
        <w:rPr>
          <w:b/>
          <w:szCs w:val="26"/>
          <w:vertAlign w:val="superscript"/>
        </w:rPr>
        <w:footnoteReference w:id="16"/>
      </w:r>
    </w:p>
    <w:p w:rsidR="00FC71E8" w:rsidP="00282E43" w:rsidRDefault="00707D8E" w14:paraId="14817DF1" w14:textId="2985FD4E">
      <w:pPr>
        <w:spacing w:line="480" w:lineRule="auto"/>
        <w:rPr>
          <w:szCs w:val="26"/>
        </w:rPr>
      </w:pPr>
      <w:r w:rsidRPr="00707D8E">
        <w:rPr>
          <w:szCs w:val="26"/>
        </w:rPr>
        <w:t>The following table shows the previous figures from the 60-day renewal notice in Docket No. IC21-3, the program changes and adjustments from Docket No. RD20-4, and the resulting totals.</w:t>
      </w:r>
      <w:r w:rsidR="00FD02FE">
        <w:rPr>
          <w:szCs w:val="26"/>
        </w:rPr>
        <w:t xml:space="preserve"> </w:t>
      </w:r>
      <w:r w:rsidRPr="00FC71E8" w:rsidR="00FD02FE">
        <w:rPr>
          <w:b/>
          <w:bCs/>
        </w:rPr>
        <w:t>RD20-4 version update</w:t>
      </w:r>
      <w:r w:rsidRPr="00FC71E8" w:rsidR="00FD02FE">
        <w:t xml:space="preserve">); </w:t>
      </w:r>
      <w:r w:rsidRPr="00FC71E8" w:rsidR="00FD02FE">
        <w:rPr>
          <w:b/>
          <w:bCs/>
        </w:rPr>
        <w:t xml:space="preserve">Version Update RD20-4 has a net </w:t>
      </w:r>
      <w:r w:rsidRPr="00FC71E8" w:rsidR="00FD02FE">
        <w:t xml:space="preserve">decrease </w:t>
      </w:r>
      <w:r w:rsidRPr="00311DF4" w:rsidR="00FD02FE">
        <w:t>(-146)</w:t>
      </w:r>
      <w:r w:rsidRPr="00FC71E8" w:rsidR="00FD02FE">
        <w:t xml:space="preserve"> in responses for FAC002-3 (previously FAC002-2) which created a total of </w:t>
      </w:r>
      <w:r w:rsidR="00311DF4">
        <w:t>1,957</w:t>
      </w:r>
      <w:r w:rsidRPr="00FC71E8" w:rsidR="00FD02FE">
        <w:t xml:space="preserve"> responses (net change was already calculated in the renewal</w:t>
      </w:r>
      <w:r w:rsidR="00372CA1">
        <w:t xml:space="preserve"> but omitted the retention totals in prior renewals.  For this notice and moving forward, Record Retention will be included in the burden estimates for all standards</w:t>
      </w:r>
      <w:r w:rsidRPr="00FC71E8" w:rsidR="00FD02FE">
        <w:t>)</w:t>
      </w:r>
      <w:r w:rsidRPr="00FC71E8" w:rsidR="00FD02FE">
        <w:rPr>
          <w:szCs w:val="26"/>
        </w:rPr>
        <w:t>, as shown below in the table:</w:t>
      </w:r>
      <w:bookmarkStart w:name="_Hlk59228429" w:id="2"/>
    </w:p>
    <w:tbl>
      <w:tblPr>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86"/>
        <w:gridCol w:w="1369"/>
        <w:gridCol w:w="1260"/>
        <w:gridCol w:w="1440"/>
        <w:gridCol w:w="1170"/>
        <w:gridCol w:w="2250"/>
      </w:tblGrid>
      <w:tr w:rsidRPr="00DE2D6E" w:rsidR="00055E7E" w:rsidTr="00BC6CF5" w14:paraId="49304D5E" w14:textId="77777777">
        <w:trPr>
          <w:cantSplit/>
          <w:trHeight w:val="299"/>
          <w:jc w:val="center"/>
        </w:trPr>
        <w:tc>
          <w:tcPr>
            <w:tcW w:w="9275" w:type="dxa"/>
            <w:gridSpan w:val="6"/>
            <w:shd w:val="pct10" w:color="auto" w:fill="auto"/>
            <w:vAlign w:val="bottom"/>
          </w:tcPr>
          <w:tbl>
            <w:tblPr>
              <w:tblW w:w="9085" w:type="dxa"/>
              <w:jc w:val="center"/>
              <w:tblLayout w:type="fixed"/>
              <w:tblLook w:val="01E0" w:firstRow="1" w:lastRow="1" w:firstColumn="1" w:lastColumn="1" w:noHBand="0" w:noVBand="0"/>
            </w:tblPr>
            <w:tblGrid>
              <w:gridCol w:w="9085"/>
            </w:tblGrid>
            <w:tr w:rsidRPr="00DE2D6E" w:rsidR="00055E7E" w:rsidTr="00BC6CF5" w14:paraId="73FAF3EC" w14:textId="77777777">
              <w:trPr>
                <w:cantSplit/>
                <w:trHeight w:val="800"/>
                <w:jc w:val="center"/>
              </w:trPr>
              <w:tc>
                <w:tcPr>
                  <w:tcW w:w="9085" w:type="dxa"/>
                  <w:shd w:val="clear" w:color="auto" w:fill="D9D9D9"/>
                </w:tcPr>
                <w:bookmarkEnd w:id="2"/>
                <w:p w:rsidRPr="00DE2D6E" w:rsidR="00055E7E" w:rsidP="00707D8E" w:rsidRDefault="00055E7E" w14:paraId="3F036770" w14:textId="77777777">
                  <w:pPr>
                    <w:jc w:val="center"/>
                    <w:rPr>
                      <w:rFonts w:eastAsia="Calibri"/>
                      <w:b/>
                    </w:rPr>
                  </w:pPr>
                  <w:r w:rsidRPr="00DE2D6E">
                    <w:rPr>
                      <w:rFonts w:eastAsia="Calibri"/>
                      <w:b/>
                    </w:rPr>
                    <w:t xml:space="preserve">Proposed Changes to Burden Due to Docket No. RD20-4-000 </w:t>
                  </w:r>
                </w:p>
                <w:p w:rsidR="00055E7E" w:rsidP="00707D8E" w:rsidRDefault="00055E7E" w14:paraId="00A41925" w14:textId="77777777">
                  <w:pPr>
                    <w:jc w:val="center"/>
                    <w:rPr>
                      <w:rFonts w:eastAsia="Calibri"/>
                      <w:b/>
                    </w:rPr>
                  </w:pPr>
                  <w:r w:rsidRPr="00DE2D6E">
                    <w:rPr>
                      <w:rFonts w:eastAsia="Calibri"/>
                      <w:b/>
                    </w:rPr>
                    <w:t>and Adjustments and Clarifications</w:t>
                  </w:r>
                  <w:bookmarkStart w:name="_Ref40275808" w:id="3"/>
                  <w:r w:rsidRPr="00DE2D6E">
                    <w:rPr>
                      <w:rFonts w:eastAsia="Calibri"/>
                      <w:b/>
                      <w:szCs w:val="26"/>
                      <w:vertAlign w:val="superscript"/>
                    </w:rPr>
                    <w:footnoteReference w:id="17"/>
                  </w:r>
                  <w:bookmarkEnd w:id="3"/>
                  <w:r w:rsidRPr="00DE2D6E">
                    <w:rPr>
                      <w:rFonts w:eastAsia="Calibri"/>
                      <w:b/>
                    </w:rPr>
                    <w:t xml:space="preserve"> </w:t>
                  </w:r>
                </w:p>
                <w:p w:rsidRPr="00DE2D6E" w:rsidR="00055E7E" w:rsidP="00707D8E" w:rsidRDefault="00055E7E" w14:paraId="326551AC" w14:textId="77777777">
                  <w:pPr>
                    <w:jc w:val="center"/>
                    <w:rPr>
                      <w:rFonts w:eastAsia="Calibri"/>
                      <w:b/>
                    </w:rPr>
                  </w:pPr>
                  <w:r>
                    <w:rPr>
                      <w:rFonts w:eastAsia="Calibri"/>
                      <w:b/>
                    </w:rPr>
                    <w:t>Version update for FAC-002-3 (formerly FAC-002-2)</w:t>
                  </w:r>
                </w:p>
              </w:tc>
            </w:tr>
          </w:tbl>
          <w:p w:rsidRPr="00DE2D6E" w:rsidR="00055E7E" w:rsidP="00707D8E" w:rsidRDefault="00055E7E" w14:paraId="7D6C922A" w14:textId="77777777">
            <w:pPr>
              <w:jc w:val="center"/>
              <w:rPr>
                <w:rFonts w:eastAsia="Calibri"/>
                <w:b/>
                <w:bCs/>
                <w:iCs/>
              </w:rPr>
            </w:pPr>
            <w:r w:rsidRPr="00DE2D6E">
              <w:rPr>
                <w:rFonts w:eastAsia="Calibri"/>
                <w:b/>
                <w:bCs/>
                <w:iCs/>
              </w:rPr>
              <w:t>FERC-725D, OMB Control No. 1902-0247</w:t>
            </w:r>
          </w:p>
        </w:tc>
      </w:tr>
      <w:tr w:rsidRPr="00DE2D6E" w:rsidR="00055E7E" w:rsidTr="00BC6CF5" w14:paraId="1FAAC1C0" w14:textId="77777777">
        <w:trPr>
          <w:cantSplit/>
          <w:trHeight w:val="299"/>
          <w:jc w:val="center"/>
        </w:trPr>
        <w:tc>
          <w:tcPr>
            <w:tcW w:w="1786" w:type="dxa"/>
            <w:vAlign w:val="bottom"/>
          </w:tcPr>
          <w:p w:rsidRPr="00DE2D6E" w:rsidR="00055E7E" w:rsidP="00707D8E" w:rsidRDefault="00055E7E" w14:paraId="5D14EF94" w14:textId="77777777">
            <w:pPr>
              <w:rPr>
                <w:rFonts w:eastAsia="Calibri"/>
              </w:rPr>
            </w:pPr>
            <w:r w:rsidRPr="00DE2D6E">
              <w:rPr>
                <w:rFonts w:eastAsia="Calibri"/>
              </w:rPr>
              <w:t xml:space="preserve">FAC-002-3 (Facility Interconnection Studies) </w:t>
            </w:r>
          </w:p>
          <w:p w:rsidRPr="00DE2D6E" w:rsidR="00055E7E" w:rsidP="00707D8E" w:rsidRDefault="00055E7E" w14:paraId="0737F835" w14:textId="77777777">
            <w:pPr>
              <w:rPr>
                <w:rFonts w:eastAsia="Calibri"/>
              </w:rPr>
            </w:pPr>
            <w:r w:rsidRPr="00DE2D6E">
              <w:rPr>
                <w:rFonts w:eastAsia="Calibri"/>
              </w:rPr>
              <w:t>R1</w:t>
            </w:r>
          </w:p>
          <w:p w:rsidRPr="00DE2D6E" w:rsidR="00055E7E" w:rsidP="00707D8E" w:rsidRDefault="00055E7E" w14:paraId="0939AAE6" w14:textId="77777777">
            <w:pPr>
              <w:rPr>
                <w:rFonts w:eastAsia="Calibri"/>
              </w:rPr>
            </w:pPr>
            <w:r w:rsidRPr="00DE2D6E">
              <w:rPr>
                <w:rFonts w:eastAsia="Calibri"/>
              </w:rPr>
              <w:t>Study</w:t>
            </w:r>
            <w:r>
              <w:rPr>
                <w:rFonts w:eastAsia="Calibri"/>
              </w:rPr>
              <w:t>—</w:t>
            </w:r>
            <w:r w:rsidRPr="00DE2D6E">
              <w:rPr>
                <w:rFonts w:eastAsia="Calibri"/>
              </w:rPr>
              <w:t>adjustment</w:t>
            </w:r>
          </w:p>
        </w:tc>
        <w:tc>
          <w:tcPr>
            <w:tcW w:w="1369" w:type="dxa"/>
            <w:vAlign w:val="bottom"/>
          </w:tcPr>
          <w:p w:rsidRPr="00DE2D6E" w:rsidR="00055E7E" w:rsidP="00707D8E" w:rsidRDefault="00055E7E" w14:paraId="045E0264" w14:textId="77777777">
            <w:pPr>
              <w:jc w:val="right"/>
              <w:rPr>
                <w:rFonts w:eastAsia="Calibri"/>
              </w:rPr>
            </w:pPr>
            <w:r w:rsidRPr="00DE2D6E">
              <w:rPr>
                <w:rFonts w:eastAsia="Calibri"/>
              </w:rPr>
              <w:t>+20 (PC &amp; TP)</w:t>
            </w:r>
          </w:p>
        </w:tc>
        <w:tc>
          <w:tcPr>
            <w:tcW w:w="1260" w:type="dxa"/>
            <w:vAlign w:val="bottom"/>
          </w:tcPr>
          <w:p w:rsidRPr="00DE2D6E" w:rsidR="00055E7E" w:rsidP="00707D8E" w:rsidRDefault="00055E7E" w14:paraId="258E58B9" w14:textId="77777777">
            <w:pPr>
              <w:jc w:val="right"/>
              <w:rPr>
                <w:rFonts w:eastAsia="Calibri"/>
              </w:rPr>
            </w:pPr>
            <w:r w:rsidRPr="00DE2D6E">
              <w:rPr>
                <w:rFonts w:eastAsia="Calibri"/>
              </w:rPr>
              <w:t>1</w:t>
            </w:r>
          </w:p>
        </w:tc>
        <w:tc>
          <w:tcPr>
            <w:tcW w:w="1440" w:type="dxa"/>
            <w:vAlign w:val="bottom"/>
          </w:tcPr>
          <w:p w:rsidRPr="00DE2D6E" w:rsidR="00055E7E" w:rsidP="00707D8E" w:rsidRDefault="00055E7E" w14:paraId="60EE72FE" w14:textId="77777777">
            <w:pPr>
              <w:jc w:val="right"/>
              <w:rPr>
                <w:rFonts w:eastAsia="Calibri"/>
              </w:rPr>
            </w:pPr>
            <w:r w:rsidRPr="00DE2D6E">
              <w:rPr>
                <w:rFonts w:eastAsia="Calibri"/>
              </w:rPr>
              <w:t>+20</w:t>
            </w:r>
          </w:p>
        </w:tc>
        <w:tc>
          <w:tcPr>
            <w:tcW w:w="1170" w:type="dxa"/>
            <w:vAlign w:val="bottom"/>
          </w:tcPr>
          <w:p w:rsidRPr="00DE2D6E" w:rsidR="00055E7E" w:rsidP="00707D8E" w:rsidRDefault="00055E7E" w14:paraId="36BE668C" w14:textId="77777777">
            <w:pPr>
              <w:jc w:val="right"/>
              <w:rPr>
                <w:rFonts w:eastAsia="Calibri"/>
              </w:rPr>
            </w:pPr>
            <w:r w:rsidRPr="00DE2D6E">
              <w:rPr>
                <w:rFonts w:eastAsia="Calibri"/>
              </w:rPr>
              <w:t>32 hrs.</w:t>
            </w:r>
          </w:p>
        </w:tc>
        <w:tc>
          <w:tcPr>
            <w:tcW w:w="2250" w:type="dxa"/>
            <w:vAlign w:val="bottom"/>
          </w:tcPr>
          <w:p w:rsidRPr="00DE2D6E" w:rsidR="00055E7E" w:rsidP="00707D8E" w:rsidRDefault="00055E7E" w14:paraId="4170CE65" w14:textId="77777777">
            <w:pPr>
              <w:jc w:val="right"/>
              <w:rPr>
                <w:rFonts w:eastAsia="Calibri"/>
              </w:rPr>
            </w:pPr>
            <w:r w:rsidRPr="00DE2D6E">
              <w:rPr>
                <w:rFonts w:eastAsia="Calibri"/>
              </w:rPr>
              <w:t>640 hrs.</w:t>
            </w:r>
          </w:p>
        </w:tc>
      </w:tr>
      <w:tr w:rsidRPr="00DE2D6E" w:rsidR="00055E7E" w:rsidTr="00BC6CF5" w14:paraId="6621B6BE" w14:textId="77777777">
        <w:trPr>
          <w:cantSplit/>
          <w:trHeight w:val="299"/>
          <w:jc w:val="center"/>
        </w:trPr>
        <w:tc>
          <w:tcPr>
            <w:tcW w:w="1786" w:type="dxa"/>
            <w:vAlign w:val="bottom"/>
          </w:tcPr>
          <w:p w:rsidRPr="00DE2D6E" w:rsidR="00055E7E" w:rsidP="00707D8E" w:rsidRDefault="00055E7E" w14:paraId="74D79A0B" w14:textId="77777777">
            <w:pPr>
              <w:rPr>
                <w:rFonts w:eastAsia="Calibri"/>
              </w:rPr>
            </w:pPr>
            <w:r w:rsidRPr="00DE2D6E">
              <w:rPr>
                <w:rFonts w:eastAsia="Calibri"/>
              </w:rPr>
              <w:lastRenderedPageBreak/>
              <w:t xml:space="preserve">FAC-002-3 (Facility Interconnection Studies) </w:t>
            </w:r>
          </w:p>
          <w:p w:rsidRPr="00DE2D6E" w:rsidR="00055E7E" w:rsidP="00707D8E" w:rsidRDefault="00055E7E" w14:paraId="0E3D9A26" w14:textId="77777777">
            <w:pPr>
              <w:rPr>
                <w:rFonts w:eastAsia="Calibri"/>
              </w:rPr>
            </w:pPr>
            <w:r w:rsidRPr="00DE2D6E">
              <w:rPr>
                <w:rFonts w:eastAsia="Calibri"/>
              </w:rPr>
              <w:t>R1</w:t>
            </w:r>
          </w:p>
          <w:p w:rsidRPr="00DE2D6E" w:rsidR="00055E7E" w:rsidP="00707D8E" w:rsidRDefault="00DA710B" w14:paraId="6C4F6AE9" w14:textId="2E60F567">
            <w:pPr>
              <w:rPr>
                <w:rFonts w:eastAsia="Calibri"/>
              </w:rPr>
            </w:pPr>
            <w:r>
              <w:rPr>
                <w:rFonts w:eastAsia="Calibri"/>
              </w:rPr>
              <w:t>Record</w:t>
            </w:r>
            <w:r w:rsidRPr="00DE2D6E" w:rsidR="00055E7E">
              <w:rPr>
                <w:rFonts w:eastAsia="Calibri"/>
              </w:rPr>
              <w:t xml:space="preserve"> Retention</w:t>
            </w:r>
            <w:r w:rsidR="00055E7E">
              <w:rPr>
                <w:rFonts w:eastAsia="Calibri"/>
              </w:rPr>
              <w:t>—</w:t>
            </w:r>
            <w:r w:rsidRPr="00DE2D6E" w:rsidR="00055E7E">
              <w:rPr>
                <w:rFonts w:eastAsia="Calibri"/>
              </w:rPr>
              <w:t>adjustment</w:t>
            </w:r>
          </w:p>
        </w:tc>
        <w:tc>
          <w:tcPr>
            <w:tcW w:w="1369" w:type="dxa"/>
            <w:vAlign w:val="bottom"/>
          </w:tcPr>
          <w:p w:rsidRPr="00DE2D6E" w:rsidR="00055E7E" w:rsidP="00707D8E" w:rsidRDefault="00055E7E" w14:paraId="3DC554F2" w14:textId="77777777">
            <w:pPr>
              <w:jc w:val="right"/>
              <w:rPr>
                <w:rFonts w:eastAsia="Calibri"/>
              </w:rPr>
            </w:pPr>
            <w:r w:rsidRPr="00DE2D6E">
              <w:rPr>
                <w:rFonts w:eastAsia="Calibri"/>
              </w:rPr>
              <w:t>+20 (PC &amp; TP)</w:t>
            </w:r>
          </w:p>
        </w:tc>
        <w:tc>
          <w:tcPr>
            <w:tcW w:w="1260" w:type="dxa"/>
            <w:vAlign w:val="bottom"/>
          </w:tcPr>
          <w:p w:rsidRPr="00DE2D6E" w:rsidR="00055E7E" w:rsidP="00707D8E" w:rsidRDefault="00055E7E" w14:paraId="56589BC2" w14:textId="77777777">
            <w:pPr>
              <w:jc w:val="right"/>
              <w:rPr>
                <w:rFonts w:eastAsia="Calibri"/>
              </w:rPr>
            </w:pPr>
            <w:r w:rsidRPr="00DE2D6E">
              <w:rPr>
                <w:rFonts w:eastAsia="Calibri"/>
              </w:rPr>
              <w:t>1</w:t>
            </w:r>
          </w:p>
        </w:tc>
        <w:tc>
          <w:tcPr>
            <w:tcW w:w="1440" w:type="dxa"/>
            <w:vAlign w:val="bottom"/>
          </w:tcPr>
          <w:p w:rsidRPr="00DE2D6E" w:rsidR="00055E7E" w:rsidP="00707D8E" w:rsidRDefault="00055E7E" w14:paraId="205C4522" w14:textId="77777777">
            <w:pPr>
              <w:jc w:val="right"/>
              <w:rPr>
                <w:rFonts w:eastAsia="Calibri"/>
              </w:rPr>
            </w:pPr>
            <w:r w:rsidRPr="00DE2D6E">
              <w:rPr>
                <w:rFonts w:eastAsia="Calibri"/>
              </w:rPr>
              <w:t>+20</w:t>
            </w:r>
          </w:p>
        </w:tc>
        <w:tc>
          <w:tcPr>
            <w:tcW w:w="1170" w:type="dxa"/>
            <w:vAlign w:val="bottom"/>
          </w:tcPr>
          <w:p w:rsidRPr="00DE2D6E" w:rsidR="00055E7E" w:rsidP="00707D8E" w:rsidRDefault="00055E7E" w14:paraId="0ED4F329" w14:textId="77777777">
            <w:pPr>
              <w:jc w:val="right"/>
              <w:rPr>
                <w:rFonts w:eastAsia="Calibri"/>
              </w:rPr>
            </w:pPr>
            <w:r w:rsidRPr="00DE2D6E">
              <w:rPr>
                <w:rFonts w:eastAsia="Calibri"/>
              </w:rPr>
              <w:t>1 hr.</w:t>
            </w:r>
          </w:p>
        </w:tc>
        <w:tc>
          <w:tcPr>
            <w:tcW w:w="2250" w:type="dxa"/>
            <w:vAlign w:val="bottom"/>
          </w:tcPr>
          <w:p w:rsidRPr="00DE2D6E" w:rsidR="00055E7E" w:rsidP="00707D8E" w:rsidRDefault="00055E7E" w14:paraId="1A811C27" w14:textId="77777777">
            <w:pPr>
              <w:jc w:val="right"/>
              <w:rPr>
                <w:rFonts w:eastAsia="Calibri"/>
              </w:rPr>
            </w:pPr>
            <w:r w:rsidRPr="00DE2D6E">
              <w:rPr>
                <w:rFonts w:eastAsia="Calibri"/>
              </w:rPr>
              <w:t xml:space="preserve">20 hrs. </w:t>
            </w:r>
          </w:p>
        </w:tc>
      </w:tr>
      <w:tr w:rsidRPr="00DE2D6E" w:rsidR="00055E7E" w:rsidTr="00BC6CF5" w14:paraId="7E995EF8" w14:textId="77777777">
        <w:trPr>
          <w:cantSplit/>
          <w:trHeight w:val="299"/>
          <w:jc w:val="center"/>
        </w:trPr>
        <w:tc>
          <w:tcPr>
            <w:tcW w:w="1786" w:type="dxa"/>
            <w:vAlign w:val="bottom"/>
          </w:tcPr>
          <w:p w:rsidRPr="00DE2D6E" w:rsidR="00055E7E" w:rsidP="00707D8E" w:rsidRDefault="00055E7E" w14:paraId="366C882B" w14:textId="77777777">
            <w:pPr>
              <w:rPr>
                <w:rFonts w:eastAsia="Calibri"/>
              </w:rPr>
            </w:pPr>
            <w:r w:rsidRPr="00DE2D6E">
              <w:rPr>
                <w:rFonts w:eastAsia="Calibri"/>
              </w:rPr>
              <w:t xml:space="preserve">FAC-002-3 (Facility Interconnection Studies) </w:t>
            </w:r>
          </w:p>
          <w:p w:rsidRPr="00DE2D6E" w:rsidR="00055E7E" w:rsidP="00707D8E" w:rsidRDefault="00055E7E" w14:paraId="7CB097BC" w14:textId="77777777">
            <w:pPr>
              <w:rPr>
                <w:rFonts w:eastAsia="Calibri"/>
              </w:rPr>
            </w:pPr>
            <w:r w:rsidRPr="00DE2D6E">
              <w:rPr>
                <w:rFonts w:eastAsia="Calibri"/>
              </w:rPr>
              <w:t>R2-R5</w:t>
            </w:r>
          </w:p>
          <w:p w:rsidRPr="00DE2D6E" w:rsidR="00055E7E" w:rsidP="00707D8E" w:rsidRDefault="00055E7E" w14:paraId="1DB9F764" w14:textId="77777777">
            <w:pPr>
              <w:rPr>
                <w:rFonts w:eastAsia="Calibri"/>
              </w:rPr>
            </w:pPr>
            <w:r w:rsidRPr="00DE2D6E">
              <w:rPr>
                <w:rFonts w:eastAsia="Calibri"/>
              </w:rPr>
              <w:t>Coordination</w:t>
            </w:r>
            <w:proofErr w:type="gramStart"/>
            <w:r w:rsidRPr="00DE2D6E">
              <w:rPr>
                <w:rFonts w:eastAsia="Calibri"/>
              </w:rPr>
              <w:t>—(</w:t>
            </w:r>
            <w:proofErr w:type="gramEnd"/>
            <w:r w:rsidRPr="00DE2D6E">
              <w:rPr>
                <w:rFonts w:eastAsia="Calibri"/>
              </w:rPr>
              <w:t>program decrease &amp; adjustment decrease)</w:t>
            </w:r>
            <w:r w:rsidRPr="00DE2D6E">
              <w:rPr>
                <w:rFonts w:eastAsia="Calibri"/>
                <w:b/>
                <w:szCs w:val="26"/>
                <w:vertAlign w:val="superscript"/>
              </w:rPr>
              <w:footnoteReference w:id="18"/>
            </w:r>
          </w:p>
        </w:tc>
        <w:tc>
          <w:tcPr>
            <w:tcW w:w="1369" w:type="dxa"/>
            <w:vAlign w:val="bottom"/>
          </w:tcPr>
          <w:p w:rsidRPr="00DE2D6E" w:rsidR="00055E7E" w:rsidP="00707D8E" w:rsidRDefault="00055E7E" w14:paraId="025486FB" w14:textId="77777777">
            <w:pPr>
              <w:jc w:val="right"/>
              <w:rPr>
                <w:rFonts w:eastAsia="Calibri"/>
              </w:rPr>
            </w:pPr>
            <w:r w:rsidRPr="00DE2D6E">
              <w:rPr>
                <w:rFonts w:eastAsia="Calibri"/>
              </w:rPr>
              <w:t xml:space="preserve"> -93 (TO, GO &amp; DP)</w:t>
            </w:r>
            <w:r w:rsidRPr="00DE2D6E">
              <w:rPr>
                <w:rFonts w:eastAsia="Calibri"/>
                <w:b/>
                <w:szCs w:val="26"/>
                <w:vertAlign w:val="superscript"/>
              </w:rPr>
              <w:footnoteReference w:id="19"/>
            </w:r>
          </w:p>
        </w:tc>
        <w:tc>
          <w:tcPr>
            <w:tcW w:w="1260" w:type="dxa"/>
            <w:vAlign w:val="bottom"/>
          </w:tcPr>
          <w:p w:rsidRPr="00DE2D6E" w:rsidR="00055E7E" w:rsidP="00707D8E" w:rsidRDefault="00055E7E" w14:paraId="7FCB01E1" w14:textId="77777777">
            <w:pPr>
              <w:jc w:val="right"/>
              <w:rPr>
                <w:rFonts w:eastAsia="Calibri"/>
              </w:rPr>
            </w:pPr>
            <w:r w:rsidRPr="00DE2D6E">
              <w:rPr>
                <w:rFonts w:eastAsia="Calibri"/>
              </w:rPr>
              <w:t>1</w:t>
            </w:r>
          </w:p>
        </w:tc>
        <w:tc>
          <w:tcPr>
            <w:tcW w:w="1440" w:type="dxa"/>
            <w:vAlign w:val="bottom"/>
          </w:tcPr>
          <w:p w:rsidRPr="00DE2D6E" w:rsidR="00055E7E" w:rsidP="00707D8E" w:rsidRDefault="00055E7E" w14:paraId="2A140582" w14:textId="77777777">
            <w:pPr>
              <w:jc w:val="right"/>
              <w:rPr>
                <w:rFonts w:eastAsia="Calibri"/>
              </w:rPr>
            </w:pPr>
            <w:r w:rsidRPr="00DE2D6E">
              <w:rPr>
                <w:rFonts w:eastAsia="Calibri"/>
              </w:rPr>
              <w:t>-93</w:t>
            </w:r>
          </w:p>
        </w:tc>
        <w:tc>
          <w:tcPr>
            <w:tcW w:w="1170" w:type="dxa"/>
            <w:vAlign w:val="bottom"/>
          </w:tcPr>
          <w:p w:rsidRPr="00DE2D6E" w:rsidR="00055E7E" w:rsidP="00707D8E" w:rsidRDefault="00055E7E" w14:paraId="5D2424DE" w14:textId="77777777">
            <w:pPr>
              <w:jc w:val="right"/>
              <w:rPr>
                <w:rFonts w:eastAsia="Calibri"/>
              </w:rPr>
            </w:pPr>
            <w:r w:rsidRPr="00DE2D6E">
              <w:rPr>
                <w:rFonts w:eastAsia="Calibri"/>
              </w:rPr>
              <w:t>16 hrs.</w:t>
            </w:r>
          </w:p>
        </w:tc>
        <w:tc>
          <w:tcPr>
            <w:tcW w:w="2250" w:type="dxa"/>
            <w:vAlign w:val="bottom"/>
          </w:tcPr>
          <w:p w:rsidRPr="00DE2D6E" w:rsidR="00055E7E" w:rsidP="00707D8E" w:rsidRDefault="00055E7E" w14:paraId="4EA72DEB" w14:textId="77777777">
            <w:pPr>
              <w:jc w:val="right"/>
              <w:rPr>
                <w:rFonts w:eastAsia="Calibri"/>
                <w:highlight w:val="yellow"/>
              </w:rPr>
            </w:pPr>
            <w:r w:rsidRPr="00DE2D6E">
              <w:rPr>
                <w:rFonts w:eastAsia="Calibri"/>
              </w:rPr>
              <w:t>-1,488 hrs.</w:t>
            </w:r>
          </w:p>
        </w:tc>
      </w:tr>
      <w:tr w:rsidRPr="00DE2D6E" w:rsidR="00055E7E" w:rsidTr="00BC6CF5" w14:paraId="521F71BB" w14:textId="77777777">
        <w:trPr>
          <w:cantSplit/>
          <w:trHeight w:val="299"/>
          <w:jc w:val="center"/>
        </w:trPr>
        <w:tc>
          <w:tcPr>
            <w:tcW w:w="1786" w:type="dxa"/>
            <w:vAlign w:val="bottom"/>
          </w:tcPr>
          <w:p w:rsidRPr="00DE2D6E" w:rsidR="00055E7E" w:rsidP="00707D8E" w:rsidRDefault="00055E7E" w14:paraId="5CDD3EB0" w14:textId="77777777">
            <w:pPr>
              <w:rPr>
                <w:rFonts w:eastAsia="Calibri"/>
              </w:rPr>
            </w:pPr>
            <w:r w:rsidRPr="00DE2D6E">
              <w:rPr>
                <w:rFonts w:eastAsia="Calibri"/>
              </w:rPr>
              <w:lastRenderedPageBreak/>
              <w:t xml:space="preserve">FAC-002-3 (Facility Interconnection Studies) </w:t>
            </w:r>
          </w:p>
          <w:p w:rsidRPr="00DE2D6E" w:rsidR="00055E7E" w:rsidP="00707D8E" w:rsidRDefault="00055E7E" w14:paraId="2EBAC3AD" w14:textId="77777777">
            <w:pPr>
              <w:rPr>
                <w:rFonts w:eastAsia="Calibri"/>
              </w:rPr>
            </w:pPr>
            <w:r w:rsidRPr="00DE2D6E">
              <w:rPr>
                <w:rFonts w:eastAsia="Calibri"/>
              </w:rPr>
              <w:t>R2-R5</w:t>
            </w:r>
          </w:p>
          <w:p w:rsidRPr="00DE2D6E" w:rsidR="00055E7E" w:rsidP="00707D8E" w:rsidRDefault="00DA710B" w14:paraId="4DF1803D" w14:textId="71839ECF">
            <w:pPr>
              <w:rPr>
                <w:rFonts w:eastAsia="Calibri"/>
              </w:rPr>
            </w:pPr>
            <w:r>
              <w:rPr>
                <w:rFonts w:eastAsia="Calibri"/>
              </w:rPr>
              <w:t>Record</w:t>
            </w:r>
            <w:r w:rsidRPr="00DE2D6E" w:rsidR="00055E7E">
              <w:rPr>
                <w:rFonts w:eastAsia="Calibri"/>
              </w:rPr>
              <w:t xml:space="preserve"> Retention</w:t>
            </w:r>
            <w:proofErr w:type="gramStart"/>
            <w:r w:rsidR="00055E7E">
              <w:rPr>
                <w:rFonts w:eastAsia="Calibri"/>
              </w:rPr>
              <w:t>—</w:t>
            </w:r>
            <w:r w:rsidRPr="00DE2D6E" w:rsidR="00055E7E">
              <w:rPr>
                <w:rFonts w:eastAsia="Calibri"/>
              </w:rPr>
              <w:t>(</w:t>
            </w:r>
            <w:proofErr w:type="gramEnd"/>
            <w:r w:rsidRPr="00DE2D6E" w:rsidR="00055E7E">
              <w:rPr>
                <w:rFonts w:eastAsia="Calibri"/>
              </w:rPr>
              <w:t xml:space="preserve">program decrease &amp; adjustment decrease) </w:t>
            </w:r>
            <w:r w:rsidRPr="00DE2D6E" w:rsidR="00055E7E">
              <w:rPr>
                <w:rFonts w:eastAsia="Calibri"/>
                <w:b/>
                <w:szCs w:val="26"/>
                <w:vertAlign w:val="superscript"/>
              </w:rPr>
              <w:footnoteReference w:id="20"/>
            </w:r>
            <w:r w:rsidRPr="00DE2D6E" w:rsidR="00055E7E">
              <w:rPr>
                <w:rFonts w:eastAsia="Calibri"/>
              </w:rPr>
              <w:t xml:space="preserve"> </w:t>
            </w:r>
          </w:p>
        </w:tc>
        <w:tc>
          <w:tcPr>
            <w:tcW w:w="1369" w:type="dxa"/>
            <w:vAlign w:val="bottom"/>
          </w:tcPr>
          <w:p w:rsidRPr="00DE2D6E" w:rsidR="00055E7E" w:rsidP="00707D8E" w:rsidRDefault="00055E7E" w14:paraId="44D18D6F" w14:textId="77777777">
            <w:pPr>
              <w:jc w:val="right"/>
              <w:rPr>
                <w:rFonts w:eastAsia="Calibri"/>
              </w:rPr>
            </w:pPr>
            <w:r w:rsidRPr="00DE2D6E">
              <w:rPr>
                <w:rFonts w:eastAsia="Calibri"/>
              </w:rPr>
              <w:t xml:space="preserve"> -93(TO, GO &amp; DP)</w:t>
            </w:r>
          </w:p>
        </w:tc>
        <w:tc>
          <w:tcPr>
            <w:tcW w:w="1260" w:type="dxa"/>
            <w:vAlign w:val="bottom"/>
          </w:tcPr>
          <w:p w:rsidRPr="00DE2D6E" w:rsidR="00055E7E" w:rsidP="00707D8E" w:rsidRDefault="00055E7E" w14:paraId="362BBD08" w14:textId="77777777">
            <w:pPr>
              <w:jc w:val="right"/>
              <w:rPr>
                <w:rFonts w:eastAsia="Calibri"/>
              </w:rPr>
            </w:pPr>
            <w:r w:rsidRPr="00DE2D6E">
              <w:rPr>
                <w:rFonts w:eastAsia="Calibri"/>
              </w:rPr>
              <w:t>1</w:t>
            </w:r>
          </w:p>
        </w:tc>
        <w:tc>
          <w:tcPr>
            <w:tcW w:w="1440" w:type="dxa"/>
            <w:vAlign w:val="bottom"/>
          </w:tcPr>
          <w:p w:rsidRPr="00DE2D6E" w:rsidR="00055E7E" w:rsidP="00707D8E" w:rsidRDefault="00055E7E" w14:paraId="46FFB05A" w14:textId="77777777">
            <w:pPr>
              <w:jc w:val="right"/>
              <w:rPr>
                <w:rFonts w:eastAsia="Calibri"/>
              </w:rPr>
            </w:pPr>
            <w:r w:rsidRPr="00DE2D6E">
              <w:rPr>
                <w:rFonts w:eastAsia="Calibri"/>
              </w:rPr>
              <w:t>-93</w:t>
            </w:r>
          </w:p>
        </w:tc>
        <w:tc>
          <w:tcPr>
            <w:tcW w:w="1170" w:type="dxa"/>
            <w:vAlign w:val="bottom"/>
          </w:tcPr>
          <w:p w:rsidRPr="00DE2D6E" w:rsidR="00055E7E" w:rsidP="00707D8E" w:rsidRDefault="00055E7E" w14:paraId="5A1D3B5E" w14:textId="77777777">
            <w:pPr>
              <w:jc w:val="right"/>
              <w:rPr>
                <w:rFonts w:eastAsia="Calibri"/>
              </w:rPr>
            </w:pPr>
            <w:r w:rsidRPr="00DE2D6E">
              <w:rPr>
                <w:rFonts w:eastAsia="Calibri"/>
              </w:rPr>
              <w:t>1 hr.</w:t>
            </w:r>
          </w:p>
        </w:tc>
        <w:tc>
          <w:tcPr>
            <w:tcW w:w="2250" w:type="dxa"/>
            <w:vAlign w:val="bottom"/>
          </w:tcPr>
          <w:p w:rsidRPr="00DE2D6E" w:rsidR="00055E7E" w:rsidP="00707D8E" w:rsidRDefault="00055E7E" w14:paraId="2E7B7AB6" w14:textId="77777777">
            <w:pPr>
              <w:jc w:val="right"/>
              <w:rPr>
                <w:rFonts w:eastAsia="Calibri"/>
                <w:highlight w:val="yellow"/>
              </w:rPr>
            </w:pPr>
            <w:r w:rsidRPr="00DE2D6E">
              <w:rPr>
                <w:rFonts w:eastAsia="Calibri"/>
              </w:rPr>
              <w:t>-93 hrs.</w:t>
            </w:r>
          </w:p>
        </w:tc>
      </w:tr>
      <w:tr w:rsidRPr="00DE2D6E" w:rsidR="00055E7E" w:rsidTr="00BC6CF5" w14:paraId="0A54E002" w14:textId="77777777">
        <w:trPr>
          <w:cantSplit/>
          <w:trHeight w:val="299"/>
          <w:jc w:val="center"/>
        </w:trPr>
        <w:tc>
          <w:tcPr>
            <w:tcW w:w="1786" w:type="dxa"/>
            <w:vAlign w:val="bottom"/>
          </w:tcPr>
          <w:p w:rsidRPr="00DE2D6E" w:rsidR="00055E7E" w:rsidP="00707D8E" w:rsidRDefault="00055E7E" w14:paraId="1B5AF611" w14:textId="7338439F">
            <w:pPr>
              <w:rPr>
                <w:rFonts w:eastAsia="Calibri"/>
                <w:b/>
                <w:bCs/>
              </w:rPr>
            </w:pPr>
            <w:r w:rsidRPr="00DE2D6E">
              <w:rPr>
                <w:rFonts w:eastAsia="Calibri"/>
                <w:b/>
                <w:bCs/>
              </w:rPr>
              <w:t>Net Total for FERC-725D</w:t>
            </w:r>
          </w:p>
        </w:tc>
        <w:tc>
          <w:tcPr>
            <w:tcW w:w="1369" w:type="dxa"/>
            <w:shd w:val="clear" w:color="auto" w:fill="D9D9D9"/>
            <w:vAlign w:val="bottom"/>
          </w:tcPr>
          <w:p w:rsidRPr="00DE2D6E" w:rsidR="00055E7E" w:rsidP="00707D8E" w:rsidRDefault="00055E7E" w14:paraId="0B9EA992" w14:textId="77777777">
            <w:pPr>
              <w:jc w:val="right"/>
              <w:rPr>
                <w:rFonts w:eastAsia="Calibri"/>
              </w:rPr>
            </w:pPr>
          </w:p>
        </w:tc>
        <w:tc>
          <w:tcPr>
            <w:tcW w:w="1260" w:type="dxa"/>
            <w:shd w:val="clear" w:color="auto" w:fill="D9D9D9"/>
            <w:vAlign w:val="bottom"/>
          </w:tcPr>
          <w:p w:rsidRPr="00DE2D6E" w:rsidR="00055E7E" w:rsidP="00707D8E" w:rsidRDefault="00055E7E" w14:paraId="60DBECC6" w14:textId="77777777">
            <w:pPr>
              <w:jc w:val="right"/>
              <w:rPr>
                <w:rFonts w:eastAsia="Calibri"/>
              </w:rPr>
            </w:pPr>
          </w:p>
        </w:tc>
        <w:tc>
          <w:tcPr>
            <w:tcW w:w="1440" w:type="dxa"/>
            <w:shd w:val="clear" w:color="auto" w:fill="auto"/>
            <w:vAlign w:val="bottom"/>
          </w:tcPr>
          <w:p w:rsidRPr="00DA710B" w:rsidR="00055E7E" w:rsidP="00707D8E" w:rsidRDefault="00055E7E" w14:paraId="7017649C" w14:textId="77777777">
            <w:pPr>
              <w:jc w:val="right"/>
              <w:rPr>
                <w:rFonts w:eastAsia="Calibri"/>
                <w:b/>
                <w:bCs/>
              </w:rPr>
            </w:pPr>
            <w:r w:rsidRPr="00DA710B">
              <w:rPr>
                <w:rFonts w:eastAsia="Calibri"/>
                <w:b/>
                <w:bCs/>
              </w:rPr>
              <w:t>-146 (net reduction)</w:t>
            </w:r>
          </w:p>
        </w:tc>
        <w:tc>
          <w:tcPr>
            <w:tcW w:w="1170" w:type="dxa"/>
            <w:shd w:val="clear" w:color="auto" w:fill="D9D9D9"/>
            <w:vAlign w:val="bottom"/>
          </w:tcPr>
          <w:p w:rsidRPr="00DA710B" w:rsidR="00055E7E" w:rsidP="00707D8E" w:rsidRDefault="00055E7E" w14:paraId="4C7B981A" w14:textId="77777777">
            <w:pPr>
              <w:jc w:val="right"/>
              <w:rPr>
                <w:rFonts w:eastAsia="Calibri"/>
              </w:rPr>
            </w:pPr>
          </w:p>
        </w:tc>
        <w:tc>
          <w:tcPr>
            <w:tcW w:w="2250" w:type="dxa"/>
            <w:vAlign w:val="bottom"/>
          </w:tcPr>
          <w:p w:rsidRPr="00DA710B" w:rsidR="00055E7E" w:rsidP="00707D8E" w:rsidRDefault="00055E7E" w14:paraId="3C86F8C9" w14:textId="77777777">
            <w:pPr>
              <w:jc w:val="right"/>
              <w:rPr>
                <w:rFonts w:eastAsia="Calibri"/>
                <w:b/>
                <w:bCs/>
              </w:rPr>
            </w:pPr>
            <w:r w:rsidRPr="00DA710B">
              <w:rPr>
                <w:rFonts w:eastAsia="Calibri"/>
                <w:b/>
                <w:bCs/>
              </w:rPr>
              <w:t>-921 hrs.</w:t>
            </w:r>
          </w:p>
          <w:p w:rsidRPr="00DA710B" w:rsidR="00055E7E" w:rsidP="00707D8E" w:rsidRDefault="00055E7E" w14:paraId="2102FA9B" w14:textId="77777777">
            <w:pPr>
              <w:jc w:val="right"/>
              <w:rPr>
                <w:rFonts w:eastAsia="Calibri"/>
              </w:rPr>
            </w:pPr>
            <w:r w:rsidRPr="00DA710B">
              <w:rPr>
                <w:rFonts w:eastAsia="Calibri"/>
                <w:b/>
                <w:bCs/>
              </w:rPr>
              <w:t>(net reduction)</w:t>
            </w:r>
          </w:p>
        </w:tc>
      </w:tr>
    </w:tbl>
    <w:p w:rsidR="00055E7E" w:rsidP="00055E7E" w:rsidRDefault="00055E7E" w14:paraId="293375F5" w14:textId="77777777"/>
    <w:p w:rsidRPr="00FC71E8" w:rsidR="00055E7E" w:rsidP="00282E43" w:rsidRDefault="00055E7E" w14:paraId="4B7AE70B" w14:textId="77777777">
      <w:pPr>
        <w:spacing w:line="480" w:lineRule="auto"/>
        <w:rPr>
          <w:szCs w:val="26"/>
        </w:rPr>
      </w:pPr>
    </w:p>
    <w:tbl>
      <w:tblPr>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5"/>
        <w:gridCol w:w="1081"/>
        <w:gridCol w:w="1760"/>
        <w:gridCol w:w="1299"/>
        <w:gridCol w:w="1530"/>
        <w:gridCol w:w="1891"/>
      </w:tblGrid>
      <w:tr w:rsidRPr="00BC6CF5" w:rsidR="00BC6CF5" w:rsidTr="00BC6CF5" w14:paraId="26D61253" w14:textId="77777777">
        <w:trPr>
          <w:trHeight w:val="350"/>
          <w:jc w:val="center"/>
        </w:trPr>
        <w:tc>
          <w:tcPr>
            <w:tcW w:w="9266" w:type="dxa"/>
            <w:gridSpan w:val="6"/>
            <w:tcBorders>
              <w:top w:val="single" w:color="auto" w:sz="4" w:space="0"/>
              <w:left w:val="single" w:color="auto" w:sz="4" w:space="0"/>
              <w:bottom w:val="single" w:color="auto" w:sz="4" w:space="0"/>
              <w:right w:val="single" w:color="auto" w:sz="4" w:space="0"/>
            </w:tcBorders>
            <w:shd w:val="clear" w:color="auto" w:fill="BFBFBF"/>
            <w:noWrap/>
            <w:vAlign w:val="bottom"/>
          </w:tcPr>
          <w:p w:rsidRPr="00BC6CF5" w:rsidR="00BC6CF5" w:rsidP="00BC6CF5" w:rsidRDefault="00BC6CF5" w14:paraId="31E4852E" w14:textId="50D1A311">
            <w:pPr>
              <w:widowControl w:val="0"/>
              <w:autoSpaceDE w:val="0"/>
              <w:autoSpaceDN w:val="0"/>
              <w:adjustRightInd w:val="0"/>
              <w:jc w:val="center"/>
              <w:rPr>
                <w:b/>
                <w:szCs w:val="26"/>
              </w:rPr>
            </w:pPr>
            <w:r w:rsidRPr="00BC6CF5">
              <w:rPr>
                <w:rFonts w:eastAsia="Calibri"/>
                <w:b/>
                <w:szCs w:val="26"/>
              </w:rPr>
              <w:t>(</w:t>
            </w:r>
            <w:r w:rsidRPr="00BC6CF5">
              <w:rPr>
                <w:rFonts w:eastAsia="Calibri"/>
                <w:b/>
                <w:szCs w:val="26"/>
                <w:u w:val="single"/>
              </w:rPr>
              <w:t>Renewal</w:t>
            </w:r>
            <w:r w:rsidR="00DA4687">
              <w:rPr>
                <w:rFonts w:eastAsia="Calibri"/>
                <w:b/>
                <w:szCs w:val="26"/>
                <w:u w:val="single"/>
              </w:rPr>
              <w:t xml:space="preserve"> for Docket No. IC21-3-000</w:t>
            </w:r>
            <w:r w:rsidRPr="00BC6CF5">
              <w:rPr>
                <w:rFonts w:eastAsia="Calibri"/>
                <w:b/>
                <w:szCs w:val="26"/>
              </w:rPr>
              <w:t xml:space="preserve">) FERC-725D: (Mandatory Reliability Standards: FAC (Facilities, Design, Connections, and </w:t>
            </w:r>
            <w:proofErr w:type="gramStart"/>
            <w:r w:rsidRPr="00BC6CF5">
              <w:rPr>
                <w:rFonts w:eastAsia="Calibri"/>
                <w:b/>
                <w:szCs w:val="26"/>
              </w:rPr>
              <w:t>Maintenance</w:t>
            </w:r>
            <w:r w:rsidRPr="00BC6CF5">
              <w:rPr>
                <w:b/>
                <w:bCs/>
                <w:color w:val="000000"/>
                <w:szCs w:val="26"/>
              </w:rPr>
              <w:t>)*</w:t>
            </w:r>
            <w:proofErr w:type="gramEnd"/>
            <w:r w:rsidRPr="00BC6CF5">
              <w:rPr>
                <w:b/>
                <w:bCs/>
                <w:color w:val="000000"/>
                <w:szCs w:val="26"/>
              </w:rPr>
              <w:t>* FAC</w:t>
            </w:r>
            <w:r w:rsidR="00DA4687">
              <w:rPr>
                <w:b/>
                <w:bCs/>
                <w:color w:val="000000"/>
                <w:szCs w:val="26"/>
              </w:rPr>
              <w:t>-</w:t>
            </w:r>
            <w:r w:rsidRPr="00BC6CF5">
              <w:rPr>
                <w:b/>
                <w:bCs/>
                <w:color w:val="000000"/>
                <w:szCs w:val="26"/>
              </w:rPr>
              <w:t>001-3, FAC</w:t>
            </w:r>
            <w:r w:rsidR="00DA4687">
              <w:rPr>
                <w:b/>
                <w:bCs/>
                <w:color w:val="000000"/>
                <w:szCs w:val="26"/>
              </w:rPr>
              <w:t>-</w:t>
            </w:r>
            <w:r w:rsidRPr="00BC6CF5">
              <w:rPr>
                <w:b/>
                <w:bCs/>
                <w:color w:val="000000"/>
                <w:szCs w:val="26"/>
              </w:rPr>
              <w:t>002-3, FAC</w:t>
            </w:r>
            <w:r w:rsidR="00DA4687">
              <w:rPr>
                <w:b/>
                <w:bCs/>
                <w:color w:val="000000"/>
                <w:szCs w:val="26"/>
              </w:rPr>
              <w:t>-</w:t>
            </w:r>
            <w:r w:rsidRPr="00BC6CF5">
              <w:rPr>
                <w:b/>
                <w:bCs/>
                <w:color w:val="000000"/>
                <w:szCs w:val="26"/>
              </w:rPr>
              <w:t>010-3,FAC</w:t>
            </w:r>
            <w:r w:rsidR="00DA4687">
              <w:rPr>
                <w:b/>
                <w:bCs/>
                <w:color w:val="000000"/>
                <w:szCs w:val="26"/>
              </w:rPr>
              <w:t>-</w:t>
            </w:r>
            <w:r w:rsidRPr="00BC6CF5">
              <w:rPr>
                <w:b/>
                <w:bCs/>
                <w:color w:val="000000"/>
                <w:szCs w:val="26"/>
              </w:rPr>
              <w:t>011-3, and FAC</w:t>
            </w:r>
            <w:r w:rsidR="00DA4687">
              <w:rPr>
                <w:b/>
                <w:bCs/>
                <w:color w:val="000000"/>
                <w:szCs w:val="26"/>
              </w:rPr>
              <w:t>-</w:t>
            </w:r>
            <w:r w:rsidRPr="00BC6CF5">
              <w:rPr>
                <w:b/>
                <w:bCs/>
                <w:color w:val="000000"/>
                <w:szCs w:val="26"/>
              </w:rPr>
              <w:t>014-2</w:t>
            </w:r>
          </w:p>
        </w:tc>
      </w:tr>
      <w:tr w:rsidRPr="00BC6CF5" w:rsidR="00BC6CF5" w:rsidTr="00BC6CF5" w14:paraId="4CCDD91F" w14:textId="77777777">
        <w:trPr>
          <w:trHeight w:val="350"/>
          <w:jc w:val="center"/>
        </w:trPr>
        <w:tc>
          <w:tcPr>
            <w:tcW w:w="1705" w:type="dxa"/>
            <w:tcBorders>
              <w:top w:val="single" w:color="auto" w:sz="4" w:space="0"/>
              <w:left w:val="single" w:color="auto" w:sz="4" w:space="0"/>
              <w:bottom w:val="single" w:color="auto" w:sz="4" w:space="0"/>
              <w:right w:val="single" w:color="auto" w:sz="4" w:space="0"/>
            </w:tcBorders>
            <w:shd w:val="clear" w:color="auto" w:fill="BFBFBF"/>
            <w:noWrap/>
            <w:vAlign w:val="bottom"/>
          </w:tcPr>
          <w:p w:rsidRPr="00BC6CF5" w:rsidR="00BC6CF5" w:rsidP="00BC6CF5" w:rsidRDefault="00BC6CF5" w14:paraId="7D89C11B" w14:textId="77777777">
            <w:pPr>
              <w:widowControl w:val="0"/>
              <w:autoSpaceDE w:val="0"/>
              <w:autoSpaceDN w:val="0"/>
              <w:adjustRightInd w:val="0"/>
              <w:jc w:val="center"/>
              <w:rPr>
                <w:szCs w:val="26"/>
              </w:rPr>
            </w:pPr>
          </w:p>
          <w:p w:rsidRPr="00BC6CF5" w:rsidR="00BC6CF5" w:rsidP="00BC6CF5" w:rsidRDefault="00BC6CF5" w14:paraId="28C2298A" w14:textId="77777777">
            <w:pPr>
              <w:widowControl w:val="0"/>
              <w:autoSpaceDE w:val="0"/>
              <w:autoSpaceDN w:val="0"/>
              <w:adjustRightInd w:val="0"/>
              <w:jc w:val="center"/>
              <w:rPr>
                <w:szCs w:val="26"/>
              </w:rPr>
            </w:pPr>
          </w:p>
          <w:p w:rsidRPr="00BC6CF5" w:rsidR="00BC6CF5" w:rsidP="00BC6CF5" w:rsidRDefault="00BC6CF5" w14:paraId="3BC04902" w14:textId="77777777">
            <w:pPr>
              <w:widowControl w:val="0"/>
              <w:autoSpaceDE w:val="0"/>
              <w:autoSpaceDN w:val="0"/>
              <w:adjustRightInd w:val="0"/>
              <w:jc w:val="center"/>
              <w:rPr>
                <w:szCs w:val="26"/>
              </w:rPr>
            </w:pPr>
          </w:p>
          <w:p w:rsidRPr="00BC6CF5" w:rsidR="00BC6CF5" w:rsidP="00BC6CF5" w:rsidRDefault="00BC6CF5" w14:paraId="5ABD9C34" w14:textId="77777777">
            <w:pPr>
              <w:widowControl w:val="0"/>
              <w:autoSpaceDE w:val="0"/>
              <w:autoSpaceDN w:val="0"/>
              <w:adjustRightInd w:val="0"/>
              <w:jc w:val="center"/>
              <w:rPr>
                <w:b/>
                <w:szCs w:val="26"/>
              </w:rPr>
            </w:pPr>
          </w:p>
        </w:tc>
        <w:tc>
          <w:tcPr>
            <w:tcW w:w="1081" w:type="dxa"/>
            <w:tcBorders>
              <w:top w:val="single" w:color="auto" w:sz="4" w:space="0"/>
              <w:left w:val="single" w:color="auto" w:sz="4" w:space="0"/>
              <w:bottom w:val="single" w:color="auto" w:sz="4" w:space="0"/>
              <w:right w:val="single" w:color="auto" w:sz="4" w:space="0"/>
            </w:tcBorders>
            <w:shd w:val="clear" w:color="auto" w:fill="BFBFBF"/>
            <w:vAlign w:val="bottom"/>
            <w:hideMark/>
          </w:tcPr>
          <w:p w:rsidRPr="00BC6CF5" w:rsidR="00BC6CF5" w:rsidP="00BC6CF5" w:rsidRDefault="00BC6CF5" w14:paraId="371E65DC" w14:textId="77777777">
            <w:pPr>
              <w:widowControl w:val="0"/>
              <w:autoSpaceDE w:val="0"/>
              <w:autoSpaceDN w:val="0"/>
              <w:adjustRightInd w:val="0"/>
              <w:jc w:val="center"/>
              <w:rPr>
                <w:b/>
                <w:szCs w:val="26"/>
              </w:rPr>
            </w:pPr>
            <w:r w:rsidRPr="00BC6CF5">
              <w:rPr>
                <w:b/>
                <w:szCs w:val="26"/>
              </w:rPr>
              <w:t>Number and Type of Respondent</w:t>
            </w:r>
            <w:r w:rsidRPr="00BC6CF5">
              <w:rPr>
                <w:b/>
                <w:szCs w:val="26"/>
                <w:vertAlign w:val="superscript"/>
              </w:rPr>
              <w:footnoteReference w:id="21"/>
            </w:r>
          </w:p>
          <w:p w:rsidRPr="00BC6CF5" w:rsidR="00BC6CF5" w:rsidP="00BC6CF5" w:rsidRDefault="00BC6CF5" w14:paraId="24368323" w14:textId="77777777">
            <w:pPr>
              <w:widowControl w:val="0"/>
              <w:autoSpaceDE w:val="0"/>
              <w:autoSpaceDN w:val="0"/>
              <w:adjustRightInd w:val="0"/>
              <w:jc w:val="center"/>
              <w:rPr>
                <w:b/>
                <w:szCs w:val="26"/>
              </w:rPr>
            </w:pPr>
            <w:r w:rsidRPr="00BC6CF5">
              <w:rPr>
                <w:b/>
                <w:szCs w:val="26"/>
              </w:rPr>
              <w:lastRenderedPageBreak/>
              <w:t>(1)</w:t>
            </w:r>
          </w:p>
        </w:tc>
        <w:tc>
          <w:tcPr>
            <w:tcW w:w="1760" w:type="dxa"/>
            <w:tcBorders>
              <w:top w:val="single" w:color="auto" w:sz="4" w:space="0"/>
              <w:left w:val="single" w:color="auto" w:sz="4" w:space="0"/>
              <w:bottom w:val="single" w:color="auto" w:sz="4" w:space="0"/>
              <w:right w:val="single" w:color="auto" w:sz="4" w:space="0"/>
            </w:tcBorders>
            <w:shd w:val="clear" w:color="auto" w:fill="BFBFBF"/>
            <w:vAlign w:val="bottom"/>
            <w:hideMark/>
          </w:tcPr>
          <w:p w:rsidRPr="00BC6CF5" w:rsidR="00BC6CF5" w:rsidP="00BC6CF5" w:rsidRDefault="00BC6CF5" w14:paraId="5A51A3DD" w14:textId="77777777">
            <w:pPr>
              <w:widowControl w:val="0"/>
              <w:autoSpaceDE w:val="0"/>
              <w:autoSpaceDN w:val="0"/>
              <w:adjustRightInd w:val="0"/>
              <w:jc w:val="center"/>
              <w:rPr>
                <w:b/>
                <w:szCs w:val="26"/>
              </w:rPr>
            </w:pPr>
            <w:r w:rsidRPr="00BC6CF5">
              <w:rPr>
                <w:b/>
                <w:szCs w:val="26"/>
              </w:rPr>
              <w:lastRenderedPageBreak/>
              <w:t>Annual Number of Responses per Respondent</w:t>
            </w:r>
          </w:p>
          <w:p w:rsidRPr="00BC6CF5" w:rsidR="00BC6CF5" w:rsidP="00BC6CF5" w:rsidRDefault="00BC6CF5" w14:paraId="09084070" w14:textId="77777777">
            <w:pPr>
              <w:widowControl w:val="0"/>
              <w:autoSpaceDE w:val="0"/>
              <w:autoSpaceDN w:val="0"/>
              <w:adjustRightInd w:val="0"/>
              <w:jc w:val="center"/>
              <w:rPr>
                <w:b/>
                <w:szCs w:val="26"/>
              </w:rPr>
            </w:pPr>
            <w:r w:rsidRPr="00BC6CF5">
              <w:rPr>
                <w:b/>
                <w:szCs w:val="26"/>
              </w:rPr>
              <w:lastRenderedPageBreak/>
              <w:t>(2)</w:t>
            </w:r>
          </w:p>
        </w:tc>
        <w:tc>
          <w:tcPr>
            <w:tcW w:w="1299" w:type="dxa"/>
            <w:tcBorders>
              <w:top w:val="single" w:color="auto" w:sz="4" w:space="0"/>
              <w:left w:val="single" w:color="auto" w:sz="4" w:space="0"/>
              <w:bottom w:val="single" w:color="auto" w:sz="4" w:space="0"/>
              <w:right w:val="single" w:color="auto" w:sz="4" w:space="0"/>
            </w:tcBorders>
            <w:shd w:val="clear" w:color="auto" w:fill="BFBFBF"/>
            <w:vAlign w:val="bottom"/>
            <w:hideMark/>
          </w:tcPr>
          <w:p w:rsidRPr="00BC6CF5" w:rsidR="00BC6CF5" w:rsidP="00BC6CF5" w:rsidRDefault="00BC6CF5" w14:paraId="1C9CB26D" w14:textId="77777777">
            <w:pPr>
              <w:widowControl w:val="0"/>
              <w:autoSpaceDE w:val="0"/>
              <w:autoSpaceDN w:val="0"/>
              <w:adjustRightInd w:val="0"/>
              <w:jc w:val="center"/>
              <w:rPr>
                <w:b/>
                <w:szCs w:val="26"/>
                <w:highlight w:val="yellow"/>
              </w:rPr>
            </w:pPr>
            <w:r w:rsidRPr="00BC6CF5">
              <w:rPr>
                <w:b/>
                <w:szCs w:val="26"/>
              </w:rPr>
              <w:lastRenderedPageBreak/>
              <w:t xml:space="preserve">Total Number of Responses </w:t>
            </w:r>
            <w:r w:rsidRPr="00BC6CF5">
              <w:rPr>
                <w:b/>
                <w:szCs w:val="26"/>
              </w:rPr>
              <w:lastRenderedPageBreak/>
              <w:t>(</w:t>
            </w:r>
            <w:proofErr w:type="gramStart"/>
            <w:r w:rsidRPr="00BC6CF5">
              <w:rPr>
                <w:b/>
                <w:szCs w:val="26"/>
              </w:rPr>
              <w:t>1)*</w:t>
            </w:r>
            <w:proofErr w:type="gramEnd"/>
            <w:r w:rsidRPr="00BC6CF5">
              <w:rPr>
                <w:b/>
                <w:szCs w:val="26"/>
              </w:rPr>
              <w:t>(2)=(3)</w:t>
            </w:r>
          </w:p>
        </w:tc>
        <w:tc>
          <w:tcPr>
            <w:tcW w:w="1530" w:type="dxa"/>
            <w:tcBorders>
              <w:top w:val="single" w:color="auto" w:sz="4" w:space="0"/>
              <w:left w:val="single" w:color="auto" w:sz="4" w:space="0"/>
              <w:bottom w:val="single" w:color="auto" w:sz="4" w:space="0"/>
              <w:right w:val="single" w:color="auto" w:sz="4" w:space="0"/>
            </w:tcBorders>
            <w:shd w:val="clear" w:color="auto" w:fill="BFBFBF"/>
            <w:vAlign w:val="bottom"/>
            <w:hideMark/>
          </w:tcPr>
          <w:p w:rsidRPr="00BC6CF5" w:rsidR="00BC6CF5" w:rsidP="00BC6CF5" w:rsidRDefault="00BC6CF5" w14:paraId="4275B9BE" w14:textId="77777777">
            <w:pPr>
              <w:widowControl w:val="0"/>
              <w:autoSpaceDE w:val="0"/>
              <w:autoSpaceDN w:val="0"/>
              <w:adjustRightInd w:val="0"/>
              <w:jc w:val="center"/>
              <w:rPr>
                <w:rFonts w:ascii="Calibri" w:hAnsi="Calibri" w:eastAsia="Calibri"/>
                <w:b/>
                <w:sz w:val="22"/>
                <w:szCs w:val="22"/>
                <w:vertAlign w:val="superscript"/>
              </w:rPr>
            </w:pPr>
            <w:r w:rsidRPr="00BC6CF5">
              <w:rPr>
                <w:b/>
                <w:szCs w:val="26"/>
              </w:rPr>
              <w:lastRenderedPageBreak/>
              <w:t>Average Burden per Response (Hours)</w:t>
            </w:r>
            <w:r w:rsidRPr="00BC6CF5">
              <w:rPr>
                <w:rFonts w:ascii="Calibri" w:hAnsi="Calibri" w:eastAsia="Calibri"/>
                <w:b/>
                <w:sz w:val="22"/>
                <w:szCs w:val="22"/>
                <w:vertAlign w:val="superscript"/>
              </w:rPr>
              <w:t xml:space="preserve"> </w:t>
            </w:r>
            <w:r w:rsidRPr="00BC6CF5">
              <w:rPr>
                <w:rFonts w:ascii="Calibri" w:hAnsi="Calibri" w:eastAsia="Calibri"/>
                <w:b/>
                <w:sz w:val="22"/>
                <w:szCs w:val="22"/>
                <w:vertAlign w:val="superscript"/>
              </w:rPr>
              <w:footnoteReference w:id="22"/>
            </w:r>
          </w:p>
          <w:p w:rsidRPr="00BC6CF5" w:rsidR="00BC6CF5" w:rsidP="00BC6CF5" w:rsidRDefault="00BC6CF5" w14:paraId="39638611" w14:textId="77777777">
            <w:pPr>
              <w:widowControl w:val="0"/>
              <w:autoSpaceDE w:val="0"/>
              <w:autoSpaceDN w:val="0"/>
              <w:adjustRightInd w:val="0"/>
              <w:jc w:val="center"/>
              <w:rPr>
                <w:rFonts w:eastAsia="Calibri"/>
                <w:b/>
                <w:szCs w:val="26"/>
              </w:rPr>
            </w:pPr>
            <w:r w:rsidRPr="00BC6CF5">
              <w:rPr>
                <w:rFonts w:eastAsia="Calibri"/>
                <w:b/>
                <w:szCs w:val="26"/>
              </w:rPr>
              <w:lastRenderedPageBreak/>
              <w:t>&amp;</w:t>
            </w:r>
          </w:p>
          <w:p w:rsidRPr="00BC6CF5" w:rsidR="00BC6CF5" w:rsidP="00BC6CF5" w:rsidRDefault="00BC6CF5" w14:paraId="3A1AFE10" w14:textId="77777777">
            <w:pPr>
              <w:widowControl w:val="0"/>
              <w:autoSpaceDE w:val="0"/>
              <w:autoSpaceDN w:val="0"/>
              <w:adjustRightInd w:val="0"/>
              <w:jc w:val="center"/>
              <w:rPr>
                <w:b/>
                <w:szCs w:val="26"/>
              </w:rPr>
            </w:pPr>
            <w:r w:rsidRPr="00BC6CF5">
              <w:rPr>
                <w:rFonts w:eastAsia="Calibri"/>
                <w:b/>
                <w:szCs w:val="26"/>
              </w:rPr>
              <w:t>Cost per Response</w:t>
            </w:r>
          </w:p>
          <w:p w:rsidRPr="00BC6CF5" w:rsidR="00BC6CF5" w:rsidP="00BC6CF5" w:rsidRDefault="00BC6CF5" w14:paraId="38917505" w14:textId="77777777">
            <w:pPr>
              <w:widowControl w:val="0"/>
              <w:autoSpaceDE w:val="0"/>
              <w:autoSpaceDN w:val="0"/>
              <w:adjustRightInd w:val="0"/>
              <w:jc w:val="center"/>
              <w:rPr>
                <w:b/>
                <w:szCs w:val="26"/>
                <w:highlight w:val="yellow"/>
              </w:rPr>
            </w:pPr>
            <w:r w:rsidRPr="00BC6CF5">
              <w:rPr>
                <w:b/>
                <w:szCs w:val="26"/>
              </w:rPr>
              <w:t>(4)</w:t>
            </w:r>
          </w:p>
        </w:tc>
        <w:tc>
          <w:tcPr>
            <w:tcW w:w="1891" w:type="dxa"/>
            <w:tcBorders>
              <w:top w:val="single" w:color="auto" w:sz="4" w:space="0"/>
              <w:left w:val="single" w:color="auto" w:sz="4" w:space="0"/>
              <w:bottom w:val="single" w:color="auto" w:sz="4" w:space="0"/>
              <w:right w:val="single" w:color="auto" w:sz="4" w:space="0"/>
            </w:tcBorders>
            <w:shd w:val="clear" w:color="auto" w:fill="BFBFBF"/>
            <w:vAlign w:val="bottom"/>
            <w:hideMark/>
          </w:tcPr>
          <w:p w:rsidRPr="00BC6CF5" w:rsidR="00BC6CF5" w:rsidP="00BC6CF5" w:rsidRDefault="00BC6CF5" w14:paraId="3F43060D" w14:textId="77777777">
            <w:pPr>
              <w:widowControl w:val="0"/>
              <w:autoSpaceDE w:val="0"/>
              <w:autoSpaceDN w:val="0"/>
              <w:adjustRightInd w:val="0"/>
              <w:jc w:val="center"/>
              <w:rPr>
                <w:b/>
                <w:szCs w:val="26"/>
              </w:rPr>
            </w:pPr>
            <w:r w:rsidRPr="00BC6CF5">
              <w:rPr>
                <w:b/>
                <w:szCs w:val="26"/>
              </w:rPr>
              <w:lastRenderedPageBreak/>
              <w:t>Total Annual Burden (Hours) &amp; Total Annual Cost</w:t>
            </w:r>
            <w:r w:rsidRPr="00BC6CF5">
              <w:rPr>
                <w:b/>
                <w:szCs w:val="26"/>
                <w:vertAlign w:val="superscript"/>
              </w:rPr>
              <w:footnoteReference w:id="23"/>
            </w:r>
          </w:p>
          <w:p w:rsidRPr="00BC6CF5" w:rsidR="00BC6CF5" w:rsidP="00BC6CF5" w:rsidRDefault="00BC6CF5" w14:paraId="094BF445" w14:textId="77777777">
            <w:pPr>
              <w:widowControl w:val="0"/>
              <w:autoSpaceDE w:val="0"/>
              <w:autoSpaceDN w:val="0"/>
              <w:adjustRightInd w:val="0"/>
              <w:jc w:val="center"/>
              <w:rPr>
                <w:b/>
                <w:szCs w:val="26"/>
              </w:rPr>
            </w:pPr>
            <w:r w:rsidRPr="00BC6CF5">
              <w:rPr>
                <w:b/>
                <w:szCs w:val="26"/>
              </w:rPr>
              <w:lastRenderedPageBreak/>
              <w:t>($)</w:t>
            </w:r>
          </w:p>
          <w:p w:rsidRPr="00BC6CF5" w:rsidR="00BC6CF5" w:rsidP="00BC6CF5" w:rsidRDefault="00BC6CF5" w14:paraId="41E6C2D9" w14:textId="77777777">
            <w:pPr>
              <w:widowControl w:val="0"/>
              <w:autoSpaceDE w:val="0"/>
              <w:autoSpaceDN w:val="0"/>
              <w:adjustRightInd w:val="0"/>
              <w:jc w:val="center"/>
              <w:rPr>
                <w:b/>
                <w:szCs w:val="26"/>
                <w:highlight w:val="yellow"/>
              </w:rPr>
            </w:pPr>
            <w:r w:rsidRPr="00BC6CF5">
              <w:rPr>
                <w:b/>
                <w:szCs w:val="26"/>
              </w:rPr>
              <w:t>(</w:t>
            </w:r>
            <w:proofErr w:type="gramStart"/>
            <w:r w:rsidRPr="00BC6CF5">
              <w:rPr>
                <w:b/>
                <w:szCs w:val="26"/>
              </w:rPr>
              <w:t>3)*</w:t>
            </w:r>
            <w:proofErr w:type="gramEnd"/>
            <w:r w:rsidRPr="00BC6CF5">
              <w:rPr>
                <w:b/>
                <w:szCs w:val="26"/>
              </w:rPr>
              <w:t>(4)=(5)</w:t>
            </w:r>
          </w:p>
        </w:tc>
      </w:tr>
      <w:tr w:rsidRPr="00BC6CF5" w:rsidR="00BC6CF5" w:rsidTr="00BC6CF5" w14:paraId="510E150E" w14:textId="77777777">
        <w:trPr>
          <w:trHeight w:val="350"/>
          <w:jc w:val="center"/>
        </w:trPr>
        <w:tc>
          <w:tcPr>
            <w:tcW w:w="1705" w:type="dxa"/>
            <w:tcBorders>
              <w:top w:val="single" w:color="auto" w:sz="4" w:space="0"/>
              <w:left w:val="single" w:color="auto" w:sz="4" w:space="0"/>
              <w:bottom w:val="single" w:color="auto" w:sz="4" w:space="0"/>
              <w:right w:val="single" w:color="auto" w:sz="4" w:space="0"/>
            </w:tcBorders>
            <w:shd w:val="clear" w:color="auto" w:fill="BFBFBF"/>
            <w:noWrap/>
            <w:vAlign w:val="bottom"/>
          </w:tcPr>
          <w:p w:rsidRPr="00BC6CF5" w:rsidR="00BC6CF5" w:rsidP="00BC6CF5" w:rsidRDefault="00BC6CF5" w14:paraId="100F4F62" w14:textId="77777777">
            <w:pPr>
              <w:widowControl w:val="0"/>
              <w:autoSpaceDE w:val="0"/>
              <w:autoSpaceDN w:val="0"/>
              <w:adjustRightInd w:val="0"/>
              <w:jc w:val="center"/>
              <w:rPr>
                <w:szCs w:val="26"/>
              </w:rPr>
            </w:pPr>
          </w:p>
        </w:tc>
        <w:tc>
          <w:tcPr>
            <w:tcW w:w="1081" w:type="dxa"/>
            <w:tcBorders>
              <w:top w:val="single" w:color="auto" w:sz="4" w:space="0"/>
              <w:left w:val="single" w:color="auto" w:sz="4" w:space="0"/>
              <w:bottom w:val="single" w:color="auto" w:sz="4" w:space="0"/>
              <w:right w:val="single" w:color="auto" w:sz="4" w:space="0"/>
            </w:tcBorders>
            <w:shd w:val="clear" w:color="auto" w:fill="BFBFBF"/>
            <w:vAlign w:val="bottom"/>
          </w:tcPr>
          <w:p w:rsidRPr="00BC6CF5" w:rsidR="00BC6CF5" w:rsidP="00BC6CF5" w:rsidRDefault="00BC6CF5" w14:paraId="36652344" w14:textId="77777777">
            <w:pPr>
              <w:widowControl w:val="0"/>
              <w:autoSpaceDE w:val="0"/>
              <w:autoSpaceDN w:val="0"/>
              <w:adjustRightInd w:val="0"/>
              <w:jc w:val="center"/>
              <w:rPr>
                <w:b/>
                <w:szCs w:val="26"/>
              </w:rPr>
            </w:pPr>
          </w:p>
        </w:tc>
        <w:tc>
          <w:tcPr>
            <w:tcW w:w="1760" w:type="dxa"/>
            <w:tcBorders>
              <w:top w:val="single" w:color="auto" w:sz="4" w:space="0"/>
              <w:left w:val="single" w:color="auto" w:sz="4" w:space="0"/>
              <w:bottom w:val="single" w:color="auto" w:sz="4" w:space="0"/>
              <w:right w:val="single" w:color="auto" w:sz="4" w:space="0"/>
            </w:tcBorders>
            <w:shd w:val="clear" w:color="auto" w:fill="BFBFBF"/>
            <w:vAlign w:val="bottom"/>
          </w:tcPr>
          <w:p w:rsidRPr="00BC6CF5" w:rsidR="00BC6CF5" w:rsidP="00BC6CF5" w:rsidRDefault="00BC6CF5" w14:paraId="6106B82D" w14:textId="77777777">
            <w:pPr>
              <w:widowControl w:val="0"/>
              <w:autoSpaceDE w:val="0"/>
              <w:autoSpaceDN w:val="0"/>
              <w:adjustRightInd w:val="0"/>
              <w:jc w:val="center"/>
              <w:rPr>
                <w:b/>
                <w:szCs w:val="26"/>
              </w:rPr>
            </w:pPr>
          </w:p>
        </w:tc>
        <w:tc>
          <w:tcPr>
            <w:tcW w:w="1299" w:type="dxa"/>
            <w:tcBorders>
              <w:top w:val="single" w:color="auto" w:sz="4" w:space="0"/>
              <w:left w:val="single" w:color="auto" w:sz="4" w:space="0"/>
              <w:bottom w:val="single" w:color="auto" w:sz="4" w:space="0"/>
              <w:right w:val="single" w:color="auto" w:sz="4" w:space="0"/>
            </w:tcBorders>
            <w:shd w:val="clear" w:color="auto" w:fill="BFBFBF"/>
            <w:vAlign w:val="bottom"/>
          </w:tcPr>
          <w:p w:rsidRPr="00BC6CF5" w:rsidR="00BC6CF5" w:rsidP="00BC6CF5" w:rsidRDefault="00BC6CF5" w14:paraId="59D47355" w14:textId="77777777">
            <w:pPr>
              <w:widowControl w:val="0"/>
              <w:autoSpaceDE w:val="0"/>
              <w:autoSpaceDN w:val="0"/>
              <w:adjustRightInd w:val="0"/>
              <w:jc w:val="center"/>
              <w:rPr>
                <w:b/>
                <w:szCs w:val="26"/>
              </w:rPr>
            </w:pPr>
          </w:p>
        </w:tc>
        <w:tc>
          <w:tcPr>
            <w:tcW w:w="1530" w:type="dxa"/>
            <w:tcBorders>
              <w:top w:val="single" w:color="auto" w:sz="4" w:space="0"/>
              <w:left w:val="single" w:color="auto" w:sz="4" w:space="0"/>
              <w:bottom w:val="single" w:color="auto" w:sz="4" w:space="0"/>
              <w:right w:val="single" w:color="auto" w:sz="4" w:space="0"/>
            </w:tcBorders>
            <w:shd w:val="clear" w:color="auto" w:fill="BFBFBF"/>
            <w:vAlign w:val="bottom"/>
          </w:tcPr>
          <w:p w:rsidRPr="00BC6CF5" w:rsidR="00BC6CF5" w:rsidP="00BC6CF5" w:rsidRDefault="00BC6CF5" w14:paraId="46596DAD" w14:textId="77777777">
            <w:pPr>
              <w:widowControl w:val="0"/>
              <w:autoSpaceDE w:val="0"/>
              <w:autoSpaceDN w:val="0"/>
              <w:adjustRightInd w:val="0"/>
              <w:jc w:val="center"/>
              <w:rPr>
                <w:b/>
                <w:szCs w:val="26"/>
              </w:rPr>
            </w:pPr>
          </w:p>
        </w:tc>
        <w:tc>
          <w:tcPr>
            <w:tcW w:w="1891" w:type="dxa"/>
            <w:tcBorders>
              <w:top w:val="single" w:color="auto" w:sz="4" w:space="0"/>
              <w:left w:val="single" w:color="auto" w:sz="4" w:space="0"/>
              <w:bottom w:val="single" w:color="auto" w:sz="4" w:space="0"/>
              <w:right w:val="single" w:color="auto" w:sz="4" w:space="0"/>
            </w:tcBorders>
            <w:shd w:val="clear" w:color="auto" w:fill="BFBFBF"/>
            <w:vAlign w:val="bottom"/>
          </w:tcPr>
          <w:p w:rsidRPr="00BC6CF5" w:rsidR="00BC6CF5" w:rsidP="00BC6CF5" w:rsidRDefault="00BC6CF5" w14:paraId="6FD171F7" w14:textId="77777777">
            <w:pPr>
              <w:widowControl w:val="0"/>
              <w:autoSpaceDE w:val="0"/>
              <w:autoSpaceDN w:val="0"/>
              <w:adjustRightInd w:val="0"/>
              <w:jc w:val="center"/>
              <w:rPr>
                <w:b/>
                <w:szCs w:val="26"/>
              </w:rPr>
            </w:pPr>
          </w:p>
        </w:tc>
      </w:tr>
      <w:tr w:rsidRPr="00BC6CF5" w:rsidR="00BC6CF5" w:rsidTr="00707D8E" w14:paraId="341ED1F6" w14:textId="77777777">
        <w:trPr>
          <w:trHeight w:val="710"/>
          <w:jc w:val="center"/>
        </w:trPr>
        <w:tc>
          <w:tcPr>
            <w:tcW w:w="1705" w:type="dxa"/>
            <w:tcBorders>
              <w:top w:val="single" w:color="auto" w:sz="4" w:space="0"/>
              <w:left w:val="single" w:color="auto" w:sz="4" w:space="0"/>
              <w:bottom w:val="single" w:color="auto" w:sz="4" w:space="0"/>
              <w:right w:val="single" w:color="auto" w:sz="4" w:space="0"/>
            </w:tcBorders>
            <w:noWrap/>
            <w:vAlign w:val="center"/>
            <w:hideMark/>
          </w:tcPr>
          <w:p w:rsidRPr="00BC6CF5" w:rsidR="00BC6CF5" w:rsidP="00BC6CF5" w:rsidRDefault="00BC6CF5" w14:paraId="244A8B89" w14:textId="77777777">
            <w:pPr>
              <w:widowControl w:val="0"/>
              <w:autoSpaceDE w:val="0"/>
              <w:autoSpaceDN w:val="0"/>
              <w:adjustRightInd w:val="0"/>
              <w:ind w:left="-17" w:right="-110"/>
              <w:jc w:val="right"/>
              <w:rPr>
                <w:b/>
                <w:bCs/>
                <w:szCs w:val="26"/>
              </w:rPr>
            </w:pPr>
            <w:r w:rsidRPr="00BC6CF5">
              <w:rPr>
                <w:b/>
                <w:bCs/>
                <w:szCs w:val="26"/>
              </w:rPr>
              <w:t>FAC-001-3</w:t>
            </w:r>
          </w:p>
          <w:p w:rsidRPr="00BC6CF5" w:rsidR="00BC6CF5" w:rsidP="00BC6CF5" w:rsidRDefault="00BC6CF5" w14:paraId="5AD7CB41" w14:textId="77777777">
            <w:pPr>
              <w:widowControl w:val="0"/>
              <w:autoSpaceDE w:val="0"/>
              <w:autoSpaceDN w:val="0"/>
              <w:adjustRightInd w:val="0"/>
              <w:ind w:left="-17" w:right="-110"/>
              <w:jc w:val="right"/>
              <w:rPr>
                <w:szCs w:val="26"/>
              </w:rPr>
            </w:pPr>
            <w:r w:rsidRPr="00BC6CF5">
              <w:rPr>
                <w:szCs w:val="26"/>
              </w:rPr>
              <w:t>(Documentation &amp; Updates)</w:t>
            </w:r>
          </w:p>
        </w:tc>
        <w:tc>
          <w:tcPr>
            <w:tcW w:w="1081"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239D5734" w14:textId="77777777">
            <w:pPr>
              <w:widowControl w:val="0"/>
              <w:autoSpaceDE w:val="0"/>
              <w:autoSpaceDN w:val="0"/>
              <w:adjustRightInd w:val="0"/>
              <w:jc w:val="right"/>
              <w:rPr>
                <w:szCs w:val="26"/>
              </w:rPr>
            </w:pPr>
            <w:r w:rsidRPr="00BC6CF5">
              <w:rPr>
                <w:szCs w:val="26"/>
              </w:rPr>
              <w:t>GO/TO</w:t>
            </w:r>
          </w:p>
          <w:p w:rsidRPr="00BC6CF5" w:rsidR="00BC6CF5" w:rsidP="00BC6CF5" w:rsidRDefault="00BC6CF5" w14:paraId="66273084" w14:textId="77777777">
            <w:pPr>
              <w:widowControl w:val="0"/>
              <w:autoSpaceDE w:val="0"/>
              <w:autoSpaceDN w:val="0"/>
              <w:adjustRightInd w:val="0"/>
              <w:jc w:val="right"/>
              <w:rPr>
                <w:szCs w:val="26"/>
              </w:rPr>
            </w:pPr>
            <w:r w:rsidRPr="00BC6CF5">
              <w:rPr>
                <w:szCs w:val="26"/>
              </w:rPr>
              <w:t>498</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087D34DD" w14:textId="77777777">
            <w:pPr>
              <w:widowControl w:val="0"/>
              <w:autoSpaceDE w:val="0"/>
              <w:autoSpaceDN w:val="0"/>
              <w:adjustRightInd w:val="0"/>
              <w:jc w:val="right"/>
              <w:rPr>
                <w:szCs w:val="26"/>
              </w:rPr>
            </w:pPr>
            <w:r w:rsidRPr="00BC6CF5">
              <w:rPr>
                <w:szCs w:val="26"/>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4661ADE5" w14:textId="77777777">
            <w:pPr>
              <w:widowControl w:val="0"/>
              <w:autoSpaceDE w:val="0"/>
              <w:autoSpaceDN w:val="0"/>
              <w:adjustRightInd w:val="0"/>
              <w:jc w:val="right"/>
              <w:rPr>
                <w:szCs w:val="26"/>
              </w:rPr>
            </w:pPr>
            <w:r w:rsidRPr="00BC6CF5">
              <w:rPr>
                <w:szCs w:val="26"/>
              </w:rPr>
              <w:t>498</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2C58F918" w14:textId="77777777">
            <w:pPr>
              <w:widowControl w:val="0"/>
              <w:autoSpaceDE w:val="0"/>
              <w:autoSpaceDN w:val="0"/>
              <w:adjustRightInd w:val="0"/>
              <w:jc w:val="right"/>
              <w:rPr>
                <w:szCs w:val="26"/>
              </w:rPr>
            </w:pPr>
            <w:r w:rsidRPr="00BC6CF5">
              <w:rPr>
                <w:szCs w:val="26"/>
              </w:rPr>
              <w:t>34 hrs.;</w:t>
            </w:r>
          </w:p>
          <w:p w:rsidRPr="00BC6CF5" w:rsidR="00BC6CF5" w:rsidP="00BC6CF5" w:rsidRDefault="00BC6CF5" w14:paraId="6C58CB75" w14:textId="77777777">
            <w:pPr>
              <w:widowControl w:val="0"/>
              <w:autoSpaceDE w:val="0"/>
              <w:autoSpaceDN w:val="0"/>
              <w:adjustRightInd w:val="0"/>
              <w:jc w:val="right"/>
              <w:rPr>
                <w:szCs w:val="26"/>
              </w:rPr>
            </w:pPr>
            <w:r w:rsidRPr="00BC6CF5">
              <w:rPr>
                <w:szCs w:val="26"/>
              </w:rPr>
              <w:t>$1,338.72</w:t>
            </w:r>
          </w:p>
          <w:p w:rsidRPr="00BC6CF5" w:rsidR="00BC6CF5" w:rsidP="00BC6CF5" w:rsidRDefault="00BC6CF5" w14:paraId="25823B1F" w14:textId="77777777">
            <w:pPr>
              <w:widowControl w:val="0"/>
              <w:autoSpaceDE w:val="0"/>
              <w:autoSpaceDN w:val="0"/>
              <w:adjustRightInd w:val="0"/>
              <w:jc w:val="right"/>
              <w:rPr>
                <w:szCs w:val="26"/>
              </w:rPr>
            </w:pPr>
          </w:p>
        </w:tc>
        <w:tc>
          <w:tcPr>
            <w:tcW w:w="1891"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1022D23B" w14:textId="77777777">
            <w:pPr>
              <w:widowControl w:val="0"/>
              <w:autoSpaceDE w:val="0"/>
              <w:autoSpaceDN w:val="0"/>
              <w:adjustRightInd w:val="0"/>
              <w:jc w:val="right"/>
              <w:rPr>
                <w:szCs w:val="26"/>
              </w:rPr>
            </w:pPr>
            <w:r w:rsidRPr="00BC6CF5">
              <w:rPr>
                <w:szCs w:val="26"/>
              </w:rPr>
              <w:t>16,932 hrs.;</w:t>
            </w:r>
          </w:p>
          <w:p w:rsidRPr="00BC6CF5" w:rsidR="00BC6CF5" w:rsidP="00BC6CF5" w:rsidRDefault="00BC6CF5" w14:paraId="22E7DD3A" w14:textId="77777777">
            <w:pPr>
              <w:widowControl w:val="0"/>
              <w:autoSpaceDE w:val="0"/>
              <w:autoSpaceDN w:val="0"/>
              <w:adjustRightInd w:val="0"/>
              <w:jc w:val="right"/>
              <w:rPr>
                <w:szCs w:val="26"/>
              </w:rPr>
            </w:pPr>
            <w:r w:rsidRPr="00BC6CF5">
              <w:rPr>
                <w:szCs w:val="26"/>
              </w:rPr>
              <w:t>$1,416,700.44</w:t>
            </w:r>
          </w:p>
        </w:tc>
      </w:tr>
      <w:tr w:rsidRPr="00BC6CF5" w:rsidR="00BC6CF5" w:rsidTr="00707D8E" w14:paraId="5CB8D68D" w14:textId="77777777">
        <w:trPr>
          <w:trHeight w:val="710"/>
          <w:jc w:val="center"/>
        </w:trPr>
        <w:tc>
          <w:tcPr>
            <w:tcW w:w="1705" w:type="dxa"/>
            <w:vMerge w:val="restart"/>
            <w:tcBorders>
              <w:top w:val="single" w:color="auto" w:sz="4" w:space="0"/>
              <w:left w:val="single" w:color="auto" w:sz="4" w:space="0"/>
              <w:bottom w:val="nil"/>
              <w:right w:val="single" w:color="auto" w:sz="4" w:space="0"/>
            </w:tcBorders>
            <w:noWrap/>
            <w:vAlign w:val="center"/>
            <w:hideMark/>
          </w:tcPr>
          <w:p w:rsidRPr="00BC6CF5" w:rsidR="00BC6CF5" w:rsidP="00BC6CF5" w:rsidRDefault="00BC6CF5" w14:paraId="1D69A6AE" w14:textId="77777777">
            <w:pPr>
              <w:widowControl w:val="0"/>
              <w:autoSpaceDE w:val="0"/>
              <w:autoSpaceDN w:val="0"/>
              <w:adjustRightInd w:val="0"/>
              <w:jc w:val="right"/>
              <w:rPr>
                <w:szCs w:val="26"/>
              </w:rPr>
            </w:pPr>
            <w:r w:rsidRPr="00BC6CF5">
              <w:rPr>
                <w:szCs w:val="26"/>
              </w:rPr>
              <w:t>Record Retention</w:t>
            </w:r>
          </w:p>
        </w:tc>
        <w:tc>
          <w:tcPr>
            <w:tcW w:w="1081"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792C32A8" w14:textId="77777777">
            <w:pPr>
              <w:widowControl w:val="0"/>
              <w:autoSpaceDE w:val="0"/>
              <w:autoSpaceDN w:val="0"/>
              <w:adjustRightInd w:val="0"/>
              <w:jc w:val="right"/>
              <w:rPr>
                <w:szCs w:val="26"/>
              </w:rPr>
            </w:pPr>
            <w:r w:rsidRPr="00BC6CF5">
              <w:rPr>
                <w:szCs w:val="26"/>
              </w:rPr>
              <w:t>GO</w:t>
            </w:r>
          </w:p>
          <w:p w:rsidRPr="00BC6CF5" w:rsidR="00BC6CF5" w:rsidP="00BC6CF5" w:rsidRDefault="00BC6CF5" w14:paraId="2FA041E1" w14:textId="77777777">
            <w:pPr>
              <w:widowControl w:val="0"/>
              <w:autoSpaceDE w:val="0"/>
              <w:autoSpaceDN w:val="0"/>
              <w:adjustRightInd w:val="0"/>
              <w:jc w:val="right"/>
              <w:rPr>
                <w:szCs w:val="26"/>
              </w:rPr>
            </w:pPr>
            <w:r w:rsidRPr="00BC6CF5">
              <w:rPr>
                <w:szCs w:val="26"/>
              </w:rPr>
              <w:t>5</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320C2F7A" w14:textId="77777777">
            <w:pPr>
              <w:widowControl w:val="0"/>
              <w:autoSpaceDE w:val="0"/>
              <w:autoSpaceDN w:val="0"/>
              <w:adjustRightInd w:val="0"/>
              <w:jc w:val="right"/>
              <w:rPr>
                <w:szCs w:val="26"/>
              </w:rPr>
            </w:pPr>
            <w:r w:rsidRPr="00BC6CF5">
              <w:rPr>
                <w:szCs w:val="26"/>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188633E3" w14:textId="77777777">
            <w:pPr>
              <w:widowControl w:val="0"/>
              <w:autoSpaceDE w:val="0"/>
              <w:autoSpaceDN w:val="0"/>
              <w:adjustRightInd w:val="0"/>
              <w:jc w:val="right"/>
              <w:rPr>
                <w:szCs w:val="26"/>
              </w:rPr>
            </w:pPr>
            <w:r w:rsidRPr="00BC6CF5">
              <w:rPr>
                <w:szCs w:val="26"/>
              </w:rPr>
              <w:t>5</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6F8159C3" w14:textId="77777777">
            <w:pPr>
              <w:widowControl w:val="0"/>
              <w:autoSpaceDE w:val="0"/>
              <w:autoSpaceDN w:val="0"/>
              <w:adjustRightInd w:val="0"/>
              <w:jc w:val="right"/>
              <w:rPr>
                <w:szCs w:val="26"/>
              </w:rPr>
            </w:pPr>
            <w:r w:rsidRPr="00BC6CF5">
              <w:rPr>
                <w:szCs w:val="26"/>
              </w:rPr>
              <w:t>1 hr.;</w:t>
            </w:r>
          </w:p>
          <w:p w:rsidRPr="00BC6CF5" w:rsidR="00BC6CF5" w:rsidP="00BC6CF5" w:rsidRDefault="00BC6CF5" w14:paraId="505D86EC" w14:textId="77777777">
            <w:pPr>
              <w:widowControl w:val="0"/>
              <w:autoSpaceDE w:val="0"/>
              <w:autoSpaceDN w:val="0"/>
              <w:adjustRightInd w:val="0"/>
              <w:jc w:val="right"/>
              <w:rPr>
                <w:szCs w:val="26"/>
              </w:rPr>
            </w:pPr>
            <w:r w:rsidRPr="00BC6CF5">
              <w:rPr>
                <w:szCs w:val="26"/>
              </w:rPr>
              <w:t>$41.03</w:t>
            </w:r>
          </w:p>
        </w:tc>
        <w:tc>
          <w:tcPr>
            <w:tcW w:w="1891"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2F0DF9F5" w14:textId="77777777">
            <w:pPr>
              <w:widowControl w:val="0"/>
              <w:autoSpaceDE w:val="0"/>
              <w:autoSpaceDN w:val="0"/>
              <w:adjustRightInd w:val="0"/>
              <w:jc w:val="right"/>
              <w:rPr>
                <w:szCs w:val="26"/>
              </w:rPr>
            </w:pPr>
            <w:r w:rsidRPr="00BC6CF5">
              <w:rPr>
                <w:szCs w:val="26"/>
              </w:rPr>
              <w:t>5 hrs.;</w:t>
            </w:r>
          </w:p>
          <w:p w:rsidRPr="00BC6CF5" w:rsidR="00BC6CF5" w:rsidP="00BC6CF5" w:rsidRDefault="00BC6CF5" w14:paraId="463AE6E6" w14:textId="77777777">
            <w:pPr>
              <w:widowControl w:val="0"/>
              <w:autoSpaceDE w:val="0"/>
              <w:autoSpaceDN w:val="0"/>
              <w:adjustRightInd w:val="0"/>
              <w:jc w:val="right"/>
              <w:rPr>
                <w:szCs w:val="26"/>
              </w:rPr>
            </w:pPr>
            <w:r w:rsidRPr="00BC6CF5">
              <w:rPr>
                <w:szCs w:val="26"/>
              </w:rPr>
              <w:t>$205.15</w:t>
            </w:r>
          </w:p>
        </w:tc>
      </w:tr>
      <w:tr w:rsidRPr="00BC6CF5" w:rsidR="00BC6CF5" w:rsidTr="00707D8E" w14:paraId="646086D3" w14:textId="77777777">
        <w:trPr>
          <w:trHeight w:val="620"/>
          <w:jc w:val="center"/>
        </w:trPr>
        <w:tc>
          <w:tcPr>
            <w:tcW w:w="1705" w:type="dxa"/>
            <w:vMerge/>
            <w:tcBorders>
              <w:top w:val="nil"/>
              <w:left w:val="single" w:color="auto" w:sz="4" w:space="0"/>
              <w:bottom w:val="nil"/>
              <w:right w:val="single" w:color="auto" w:sz="4" w:space="0"/>
            </w:tcBorders>
            <w:vAlign w:val="center"/>
            <w:hideMark/>
          </w:tcPr>
          <w:p w:rsidRPr="00BC6CF5" w:rsidR="00BC6CF5" w:rsidP="00BC6CF5" w:rsidRDefault="00BC6CF5" w14:paraId="3A0BC6A0" w14:textId="77777777">
            <w:pPr>
              <w:spacing w:line="276" w:lineRule="auto"/>
              <w:jc w:val="right"/>
              <w:rPr>
                <w:szCs w:val="26"/>
              </w:rPr>
            </w:pPr>
          </w:p>
        </w:tc>
        <w:tc>
          <w:tcPr>
            <w:tcW w:w="1081"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70CFB513" w14:textId="77777777">
            <w:pPr>
              <w:widowControl w:val="0"/>
              <w:autoSpaceDE w:val="0"/>
              <w:autoSpaceDN w:val="0"/>
              <w:adjustRightInd w:val="0"/>
              <w:jc w:val="right"/>
              <w:rPr>
                <w:szCs w:val="26"/>
              </w:rPr>
            </w:pPr>
            <w:r w:rsidRPr="00BC6CF5">
              <w:rPr>
                <w:szCs w:val="26"/>
              </w:rPr>
              <w:t>TO</w:t>
            </w:r>
          </w:p>
          <w:p w:rsidRPr="00BC6CF5" w:rsidR="00BC6CF5" w:rsidP="00BC6CF5" w:rsidRDefault="00BC6CF5" w14:paraId="6B6288A5" w14:textId="77777777">
            <w:pPr>
              <w:widowControl w:val="0"/>
              <w:autoSpaceDE w:val="0"/>
              <w:autoSpaceDN w:val="0"/>
              <w:adjustRightInd w:val="0"/>
              <w:jc w:val="right"/>
              <w:rPr>
                <w:szCs w:val="26"/>
              </w:rPr>
            </w:pPr>
            <w:r w:rsidRPr="00BC6CF5">
              <w:rPr>
                <w:szCs w:val="26"/>
              </w:rPr>
              <w:t>332</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3E210DC3" w14:textId="77777777">
            <w:pPr>
              <w:widowControl w:val="0"/>
              <w:autoSpaceDE w:val="0"/>
              <w:autoSpaceDN w:val="0"/>
              <w:adjustRightInd w:val="0"/>
              <w:jc w:val="right"/>
              <w:rPr>
                <w:szCs w:val="26"/>
              </w:rPr>
            </w:pPr>
            <w:r w:rsidRPr="00BC6CF5">
              <w:rPr>
                <w:szCs w:val="26"/>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1519DA5E" w14:textId="77777777">
            <w:pPr>
              <w:widowControl w:val="0"/>
              <w:autoSpaceDE w:val="0"/>
              <w:autoSpaceDN w:val="0"/>
              <w:adjustRightInd w:val="0"/>
              <w:jc w:val="right"/>
              <w:rPr>
                <w:szCs w:val="26"/>
              </w:rPr>
            </w:pPr>
            <w:r w:rsidRPr="00BC6CF5">
              <w:rPr>
                <w:szCs w:val="26"/>
              </w:rPr>
              <w:t>332</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1BDB0A8A" w14:textId="77777777">
            <w:pPr>
              <w:widowControl w:val="0"/>
              <w:autoSpaceDE w:val="0"/>
              <w:autoSpaceDN w:val="0"/>
              <w:adjustRightInd w:val="0"/>
              <w:jc w:val="right"/>
              <w:rPr>
                <w:szCs w:val="26"/>
              </w:rPr>
            </w:pPr>
            <w:r w:rsidRPr="00BC6CF5">
              <w:rPr>
                <w:szCs w:val="26"/>
              </w:rPr>
              <w:t>1 hr.;</w:t>
            </w:r>
          </w:p>
          <w:p w:rsidRPr="00BC6CF5" w:rsidR="00BC6CF5" w:rsidP="00BC6CF5" w:rsidRDefault="00BC6CF5" w14:paraId="3D300110" w14:textId="77777777">
            <w:pPr>
              <w:widowControl w:val="0"/>
              <w:autoSpaceDE w:val="0"/>
              <w:autoSpaceDN w:val="0"/>
              <w:adjustRightInd w:val="0"/>
              <w:jc w:val="right"/>
              <w:rPr>
                <w:szCs w:val="26"/>
              </w:rPr>
            </w:pPr>
            <w:r w:rsidRPr="00BC6CF5">
              <w:rPr>
                <w:szCs w:val="26"/>
              </w:rPr>
              <w:t>$41.03</w:t>
            </w:r>
          </w:p>
        </w:tc>
        <w:tc>
          <w:tcPr>
            <w:tcW w:w="1891"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75A58DBD" w14:textId="77777777">
            <w:pPr>
              <w:widowControl w:val="0"/>
              <w:autoSpaceDE w:val="0"/>
              <w:autoSpaceDN w:val="0"/>
              <w:adjustRightInd w:val="0"/>
              <w:jc w:val="right"/>
              <w:rPr>
                <w:szCs w:val="26"/>
              </w:rPr>
            </w:pPr>
            <w:r w:rsidRPr="00BC6CF5">
              <w:rPr>
                <w:szCs w:val="26"/>
              </w:rPr>
              <w:t>332 hrs.;</w:t>
            </w:r>
          </w:p>
          <w:p w:rsidRPr="00BC6CF5" w:rsidR="00BC6CF5" w:rsidP="00BC6CF5" w:rsidRDefault="00BC6CF5" w14:paraId="6B3B7E13" w14:textId="77777777">
            <w:pPr>
              <w:widowControl w:val="0"/>
              <w:autoSpaceDE w:val="0"/>
              <w:autoSpaceDN w:val="0"/>
              <w:adjustRightInd w:val="0"/>
              <w:jc w:val="right"/>
              <w:rPr>
                <w:szCs w:val="26"/>
              </w:rPr>
            </w:pPr>
            <w:r w:rsidRPr="00BC6CF5">
              <w:rPr>
                <w:szCs w:val="26"/>
              </w:rPr>
              <w:t>$13,621.96</w:t>
            </w:r>
          </w:p>
        </w:tc>
      </w:tr>
      <w:tr w:rsidRPr="00BC6CF5" w:rsidR="00BC6CF5" w:rsidTr="00707D8E" w14:paraId="735B289F" w14:textId="77777777">
        <w:trPr>
          <w:trHeight w:val="620"/>
          <w:jc w:val="center"/>
        </w:trPr>
        <w:tc>
          <w:tcPr>
            <w:tcW w:w="1705" w:type="dxa"/>
            <w:tcBorders>
              <w:top w:val="nil"/>
              <w:left w:val="single" w:color="auto" w:sz="4" w:space="0"/>
              <w:bottom w:val="single" w:color="auto" w:sz="4" w:space="0"/>
              <w:right w:val="single" w:color="auto" w:sz="4" w:space="0"/>
            </w:tcBorders>
            <w:vAlign w:val="center"/>
          </w:tcPr>
          <w:p w:rsidRPr="00BC6CF5" w:rsidR="00BC6CF5" w:rsidP="00BC6CF5" w:rsidRDefault="00BC6CF5" w14:paraId="66214A74" w14:textId="77777777">
            <w:pPr>
              <w:keepNext/>
              <w:keepLines/>
              <w:widowControl w:val="0"/>
              <w:autoSpaceDE w:val="0"/>
              <w:autoSpaceDN w:val="0"/>
              <w:adjustRightInd w:val="0"/>
              <w:jc w:val="right"/>
              <w:rPr>
                <w:sz w:val="24"/>
              </w:rPr>
            </w:pPr>
          </w:p>
        </w:tc>
        <w:tc>
          <w:tcPr>
            <w:tcW w:w="1081" w:type="dxa"/>
            <w:tcBorders>
              <w:top w:val="single" w:color="auto" w:sz="4" w:space="0"/>
              <w:left w:val="single" w:color="auto" w:sz="4" w:space="0"/>
              <w:bottom w:val="single" w:color="auto" w:sz="4" w:space="0"/>
              <w:right w:val="single" w:color="auto" w:sz="4" w:space="0"/>
            </w:tcBorders>
            <w:vAlign w:val="bottom"/>
          </w:tcPr>
          <w:p w:rsidRPr="00BC6CF5" w:rsidR="00BC6CF5" w:rsidP="00BC6CF5" w:rsidRDefault="00BC6CF5" w14:paraId="2632435F" w14:textId="77777777">
            <w:pPr>
              <w:widowControl w:val="0"/>
              <w:autoSpaceDE w:val="0"/>
              <w:autoSpaceDN w:val="0"/>
              <w:adjustRightInd w:val="0"/>
              <w:jc w:val="right"/>
              <w:rPr>
                <w:sz w:val="24"/>
              </w:rPr>
            </w:pPr>
            <w:r w:rsidRPr="00BC6CF5">
              <w:rPr>
                <w:sz w:val="24"/>
              </w:rPr>
              <w:t>GO/TO</w:t>
            </w:r>
          </w:p>
          <w:p w:rsidRPr="00BC6CF5" w:rsidR="00BC6CF5" w:rsidP="00BC6CF5" w:rsidRDefault="00BC6CF5" w14:paraId="714F5752" w14:textId="77777777">
            <w:pPr>
              <w:widowControl w:val="0"/>
              <w:autoSpaceDE w:val="0"/>
              <w:autoSpaceDN w:val="0"/>
              <w:adjustRightInd w:val="0"/>
              <w:jc w:val="right"/>
              <w:rPr>
                <w:szCs w:val="26"/>
              </w:rPr>
            </w:pPr>
            <w:r w:rsidRPr="00BC6CF5">
              <w:rPr>
                <w:sz w:val="24"/>
              </w:rPr>
              <w:t>161</w:t>
            </w:r>
          </w:p>
        </w:tc>
        <w:tc>
          <w:tcPr>
            <w:tcW w:w="1760" w:type="dxa"/>
            <w:tcBorders>
              <w:top w:val="single" w:color="auto" w:sz="4" w:space="0"/>
              <w:left w:val="single" w:color="auto" w:sz="4" w:space="0"/>
              <w:bottom w:val="single" w:color="auto" w:sz="4" w:space="0"/>
              <w:right w:val="single" w:color="auto" w:sz="4" w:space="0"/>
            </w:tcBorders>
            <w:vAlign w:val="bottom"/>
          </w:tcPr>
          <w:p w:rsidRPr="00BC6CF5" w:rsidR="00BC6CF5" w:rsidP="00BC6CF5" w:rsidRDefault="00BC6CF5" w14:paraId="0BD5CD64" w14:textId="77777777">
            <w:pPr>
              <w:widowControl w:val="0"/>
              <w:autoSpaceDE w:val="0"/>
              <w:autoSpaceDN w:val="0"/>
              <w:adjustRightInd w:val="0"/>
              <w:jc w:val="right"/>
              <w:rPr>
                <w:szCs w:val="26"/>
              </w:rPr>
            </w:pPr>
            <w:r w:rsidRPr="00BC6CF5">
              <w:rPr>
                <w:sz w:val="24"/>
              </w:rPr>
              <w:t xml:space="preserve">1 </w:t>
            </w:r>
          </w:p>
        </w:tc>
        <w:tc>
          <w:tcPr>
            <w:tcW w:w="1299" w:type="dxa"/>
            <w:tcBorders>
              <w:top w:val="single" w:color="auto" w:sz="4" w:space="0"/>
              <w:left w:val="single" w:color="auto" w:sz="4" w:space="0"/>
              <w:bottom w:val="single" w:color="auto" w:sz="4" w:space="0"/>
              <w:right w:val="single" w:color="auto" w:sz="4" w:space="0"/>
            </w:tcBorders>
            <w:vAlign w:val="bottom"/>
          </w:tcPr>
          <w:p w:rsidRPr="00BC6CF5" w:rsidR="00BC6CF5" w:rsidP="00BC6CF5" w:rsidRDefault="00BC6CF5" w14:paraId="24353EAF" w14:textId="77777777">
            <w:pPr>
              <w:widowControl w:val="0"/>
              <w:autoSpaceDE w:val="0"/>
              <w:autoSpaceDN w:val="0"/>
              <w:adjustRightInd w:val="0"/>
              <w:jc w:val="right"/>
              <w:rPr>
                <w:szCs w:val="26"/>
              </w:rPr>
            </w:pPr>
            <w:r w:rsidRPr="00BC6CF5">
              <w:rPr>
                <w:sz w:val="24"/>
              </w:rPr>
              <w:t>161</w:t>
            </w:r>
          </w:p>
        </w:tc>
        <w:tc>
          <w:tcPr>
            <w:tcW w:w="1530" w:type="dxa"/>
            <w:tcBorders>
              <w:top w:val="single" w:color="auto" w:sz="4" w:space="0"/>
              <w:left w:val="single" w:color="auto" w:sz="4" w:space="0"/>
              <w:bottom w:val="single" w:color="auto" w:sz="4" w:space="0"/>
              <w:right w:val="single" w:color="auto" w:sz="4" w:space="0"/>
            </w:tcBorders>
            <w:vAlign w:val="bottom"/>
          </w:tcPr>
          <w:p w:rsidRPr="00BC6CF5" w:rsidR="00BC6CF5" w:rsidP="00BC6CF5" w:rsidRDefault="00BC6CF5" w14:paraId="29B292BF" w14:textId="77777777">
            <w:pPr>
              <w:widowControl w:val="0"/>
              <w:autoSpaceDE w:val="0"/>
              <w:autoSpaceDN w:val="0"/>
              <w:adjustRightInd w:val="0"/>
              <w:jc w:val="right"/>
              <w:rPr>
                <w:szCs w:val="26"/>
              </w:rPr>
            </w:pPr>
            <w:r w:rsidRPr="00BC6CF5">
              <w:rPr>
                <w:sz w:val="24"/>
              </w:rPr>
              <w:t>1 hr.</w:t>
            </w:r>
            <w:bookmarkStart w:name="_Ref494867297" w:id="4"/>
            <w:r w:rsidRPr="00BC6CF5">
              <w:rPr>
                <w:sz w:val="24"/>
                <w:vertAlign w:val="superscript"/>
              </w:rPr>
              <w:footnoteReference w:id="24"/>
            </w:r>
            <w:bookmarkEnd w:id="4"/>
            <w:r w:rsidRPr="00BC6CF5">
              <w:rPr>
                <w:sz w:val="24"/>
              </w:rPr>
              <w:t>;</w:t>
            </w:r>
            <w:r w:rsidRPr="00BC6CF5">
              <w:rPr>
                <w:sz w:val="24"/>
              </w:rPr>
              <w:br/>
              <w:t>$41.03</w:t>
            </w:r>
          </w:p>
        </w:tc>
        <w:tc>
          <w:tcPr>
            <w:tcW w:w="1891" w:type="dxa"/>
            <w:tcBorders>
              <w:top w:val="single" w:color="auto" w:sz="4" w:space="0"/>
              <w:left w:val="single" w:color="auto" w:sz="4" w:space="0"/>
              <w:bottom w:val="single" w:color="auto" w:sz="4" w:space="0"/>
              <w:right w:val="single" w:color="auto" w:sz="4" w:space="0"/>
            </w:tcBorders>
            <w:vAlign w:val="bottom"/>
          </w:tcPr>
          <w:p w:rsidRPr="00BC6CF5" w:rsidR="00BC6CF5" w:rsidP="00BC6CF5" w:rsidRDefault="00BC6CF5" w14:paraId="42B474B1" w14:textId="77777777">
            <w:pPr>
              <w:widowControl w:val="0"/>
              <w:autoSpaceDE w:val="0"/>
              <w:autoSpaceDN w:val="0"/>
              <w:adjustRightInd w:val="0"/>
              <w:ind w:left="-108"/>
              <w:jc w:val="right"/>
              <w:rPr>
                <w:sz w:val="24"/>
              </w:rPr>
            </w:pPr>
            <w:r w:rsidRPr="00BC6CF5">
              <w:rPr>
                <w:sz w:val="24"/>
              </w:rPr>
              <w:t>161 hrs.</w:t>
            </w:r>
            <w:r w:rsidRPr="00BC6CF5">
              <w:rPr>
                <w:sz w:val="24"/>
                <w:vertAlign w:val="superscript"/>
              </w:rPr>
              <w:fldChar w:fldCharType="begin"/>
            </w:r>
            <w:r w:rsidRPr="00BC6CF5">
              <w:rPr>
                <w:sz w:val="24"/>
                <w:vertAlign w:val="superscript"/>
              </w:rPr>
              <w:instrText xml:space="preserve"> NOTEREF _Ref494867297 \h  \* MERGEFORMAT </w:instrText>
            </w:r>
            <w:r w:rsidRPr="00BC6CF5">
              <w:rPr>
                <w:sz w:val="24"/>
                <w:vertAlign w:val="superscript"/>
              </w:rPr>
            </w:r>
            <w:r w:rsidRPr="00BC6CF5">
              <w:rPr>
                <w:sz w:val="24"/>
                <w:vertAlign w:val="superscript"/>
              </w:rPr>
              <w:fldChar w:fldCharType="separate"/>
            </w:r>
            <w:r w:rsidRPr="00BC6CF5">
              <w:rPr>
                <w:sz w:val="24"/>
                <w:vertAlign w:val="superscript"/>
              </w:rPr>
              <w:t>14</w:t>
            </w:r>
            <w:r w:rsidRPr="00BC6CF5">
              <w:rPr>
                <w:sz w:val="24"/>
                <w:vertAlign w:val="superscript"/>
              </w:rPr>
              <w:fldChar w:fldCharType="end"/>
            </w:r>
            <w:r w:rsidRPr="00BC6CF5">
              <w:rPr>
                <w:sz w:val="24"/>
              </w:rPr>
              <w:t>;</w:t>
            </w:r>
          </w:p>
          <w:p w:rsidRPr="00BC6CF5" w:rsidR="00BC6CF5" w:rsidP="00BC6CF5" w:rsidRDefault="00BC6CF5" w14:paraId="1FED72D5" w14:textId="77777777">
            <w:pPr>
              <w:widowControl w:val="0"/>
              <w:autoSpaceDE w:val="0"/>
              <w:autoSpaceDN w:val="0"/>
              <w:adjustRightInd w:val="0"/>
              <w:jc w:val="right"/>
              <w:rPr>
                <w:szCs w:val="26"/>
              </w:rPr>
            </w:pPr>
            <w:r w:rsidRPr="00BC6CF5">
              <w:rPr>
                <w:sz w:val="24"/>
              </w:rPr>
              <w:t>$6,605.83</w:t>
            </w:r>
          </w:p>
        </w:tc>
      </w:tr>
      <w:tr w:rsidRPr="00BC6CF5" w:rsidR="00BC6CF5" w:rsidTr="00707D8E" w14:paraId="630C6CB6" w14:textId="77777777">
        <w:trPr>
          <w:trHeight w:val="701"/>
          <w:jc w:val="center"/>
        </w:trPr>
        <w:tc>
          <w:tcPr>
            <w:tcW w:w="1705" w:type="dxa"/>
            <w:tcBorders>
              <w:top w:val="single" w:color="auto" w:sz="4" w:space="0"/>
              <w:left w:val="single" w:color="auto" w:sz="4" w:space="0"/>
              <w:bottom w:val="single" w:color="auto" w:sz="4" w:space="0"/>
              <w:right w:val="single" w:color="auto" w:sz="4" w:space="0"/>
            </w:tcBorders>
            <w:noWrap/>
          </w:tcPr>
          <w:p w:rsidRPr="00BC6CF5" w:rsidR="00BC6CF5" w:rsidP="00BC6CF5" w:rsidRDefault="00BC6CF5" w14:paraId="0B325466" w14:textId="77777777">
            <w:pPr>
              <w:widowControl w:val="0"/>
              <w:autoSpaceDE w:val="0"/>
              <w:autoSpaceDN w:val="0"/>
              <w:adjustRightInd w:val="0"/>
              <w:jc w:val="right"/>
              <w:rPr>
                <w:b/>
                <w:bCs/>
                <w:szCs w:val="26"/>
              </w:rPr>
            </w:pPr>
            <w:r w:rsidRPr="00BC6CF5">
              <w:rPr>
                <w:b/>
                <w:bCs/>
                <w:szCs w:val="26"/>
              </w:rPr>
              <w:t>FAC-002-3</w:t>
            </w:r>
          </w:p>
          <w:p w:rsidRPr="00BC6CF5" w:rsidR="00BC6CF5" w:rsidP="00BC6CF5" w:rsidRDefault="00BC6CF5" w14:paraId="24DC919E" w14:textId="77777777">
            <w:pPr>
              <w:widowControl w:val="0"/>
              <w:autoSpaceDE w:val="0"/>
              <w:autoSpaceDN w:val="0"/>
              <w:adjustRightInd w:val="0"/>
              <w:jc w:val="right"/>
              <w:rPr>
                <w:szCs w:val="26"/>
              </w:rPr>
            </w:pPr>
            <w:r w:rsidRPr="00BC6CF5">
              <w:rPr>
                <w:szCs w:val="26"/>
              </w:rPr>
              <w:t>(Study &amp;</w:t>
            </w:r>
          </w:p>
          <w:p w:rsidRPr="00BC6CF5" w:rsidR="00BC6CF5" w:rsidP="00BC6CF5" w:rsidRDefault="00BC6CF5" w14:paraId="3CCB1598" w14:textId="77777777">
            <w:pPr>
              <w:widowControl w:val="0"/>
              <w:autoSpaceDE w:val="0"/>
              <w:autoSpaceDN w:val="0"/>
              <w:adjustRightInd w:val="0"/>
              <w:jc w:val="right"/>
              <w:rPr>
                <w:szCs w:val="26"/>
              </w:rPr>
            </w:pPr>
            <w:r w:rsidRPr="00BC6CF5">
              <w:rPr>
                <w:szCs w:val="26"/>
              </w:rPr>
              <w:t>Coordination)</w:t>
            </w:r>
          </w:p>
          <w:p w:rsidRPr="00BC6CF5" w:rsidR="00BC6CF5" w:rsidP="00BC6CF5" w:rsidRDefault="00BC6CF5" w14:paraId="56082EBA" w14:textId="77777777">
            <w:pPr>
              <w:widowControl w:val="0"/>
              <w:autoSpaceDE w:val="0"/>
              <w:autoSpaceDN w:val="0"/>
              <w:adjustRightInd w:val="0"/>
              <w:jc w:val="right"/>
              <w:rPr>
                <w:szCs w:val="26"/>
              </w:rPr>
            </w:pPr>
          </w:p>
        </w:tc>
        <w:tc>
          <w:tcPr>
            <w:tcW w:w="1081" w:type="dxa"/>
            <w:tcBorders>
              <w:top w:val="single" w:color="auto" w:sz="4" w:space="0"/>
              <w:left w:val="single" w:color="auto" w:sz="4" w:space="0"/>
              <w:bottom w:val="single" w:color="auto" w:sz="4" w:space="0"/>
              <w:right w:val="single" w:color="auto" w:sz="4" w:space="0"/>
            </w:tcBorders>
            <w:vAlign w:val="center"/>
            <w:hideMark/>
          </w:tcPr>
          <w:p w:rsidRPr="00BC6CF5" w:rsidR="00BC6CF5" w:rsidP="00BC6CF5" w:rsidRDefault="00BC6CF5" w14:paraId="12F56C7D" w14:textId="77777777">
            <w:pPr>
              <w:widowControl w:val="0"/>
              <w:autoSpaceDE w:val="0"/>
              <w:autoSpaceDN w:val="0"/>
              <w:adjustRightInd w:val="0"/>
              <w:jc w:val="right"/>
              <w:rPr>
                <w:szCs w:val="26"/>
              </w:rPr>
            </w:pPr>
            <w:r w:rsidRPr="00BC6CF5">
              <w:rPr>
                <w:szCs w:val="26"/>
              </w:rPr>
              <w:t xml:space="preserve">PC, TP   </w:t>
            </w:r>
          </w:p>
          <w:p w:rsidRPr="00BC6CF5" w:rsidR="00BC6CF5" w:rsidP="00BC6CF5" w:rsidRDefault="00BC6CF5" w14:paraId="6C4FC5DC" w14:textId="77777777">
            <w:pPr>
              <w:widowControl w:val="0"/>
              <w:autoSpaceDE w:val="0"/>
              <w:autoSpaceDN w:val="0"/>
              <w:adjustRightInd w:val="0"/>
              <w:jc w:val="right"/>
              <w:rPr>
                <w:szCs w:val="26"/>
              </w:rPr>
            </w:pPr>
            <w:r w:rsidRPr="00BC6CF5">
              <w:rPr>
                <w:szCs w:val="26"/>
              </w:rPr>
              <w:t>399</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4B666994" w14:textId="77777777">
            <w:pPr>
              <w:widowControl w:val="0"/>
              <w:autoSpaceDE w:val="0"/>
              <w:autoSpaceDN w:val="0"/>
              <w:adjustRightInd w:val="0"/>
              <w:jc w:val="right"/>
              <w:rPr>
                <w:szCs w:val="26"/>
              </w:rPr>
            </w:pPr>
            <w:r w:rsidRPr="00BC6CF5">
              <w:rPr>
                <w:szCs w:val="26"/>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32ED38E5" w14:textId="77777777">
            <w:pPr>
              <w:widowControl w:val="0"/>
              <w:autoSpaceDE w:val="0"/>
              <w:autoSpaceDN w:val="0"/>
              <w:adjustRightInd w:val="0"/>
              <w:jc w:val="right"/>
              <w:rPr>
                <w:szCs w:val="26"/>
              </w:rPr>
            </w:pPr>
            <w:r w:rsidRPr="00BC6CF5">
              <w:rPr>
                <w:szCs w:val="26"/>
              </w:rPr>
              <w:t>399</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51AC72C5" w14:textId="77777777">
            <w:pPr>
              <w:widowControl w:val="0"/>
              <w:autoSpaceDE w:val="0"/>
              <w:autoSpaceDN w:val="0"/>
              <w:adjustRightInd w:val="0"/>
              <w:jc w:val="right"/>
              <w:rPr>
                <w:szCs w:val="26"/>
              </w:rPr>
            </w:pPr>
            <w:r w:rsidRPr="00BC6CF5">
              <w:rPr>
                <w:szCs w:val="26"/>
              </w:rPr>
              <w:t>32 hrs.;</w:t>
            </w:r>
          </w:p>
          <w:p w:rsidRPr="00BC6CF5" w:rsidR="00BC6CF5" w:rsidP="00BC6CF5" w:rsidRDefault="00BC6CF5" w14:paraId="5FBBD7A4" w14:textId="77777777">
            <w:pPr>
              <w:widowControl w:val="0"/>
              <w:autoSpaceDE w:val="0"/>
              <w:autoSpaceDN w:val="0"/>
              <w:adjustRightInd w:val="0"/>
              <w:jc w:val="right"/>
              <w:rPr>
                <w:szCs w:val="26"/>
              </w:rPr>
            </w:pPr>
            <w:r w:rsidRPr="00BC6CF5">
              <w:rPr>
                <w:szCs w:val="26"/>
              </w:rPr>
              <w:t>$2008.08</w:t>
            </w:r>
          </w:p>
        </w:tc>
        <w:tc>
          <w:tcPr>
            <w:tcW w:w="1891"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444C93E2" w14:textId="77777777">
            <w:pPr>
              <w:widowControl w:val="0"/>
              <w:autoSpaceDE w:val="0"/>
              <w:autoSpaceDN w:val="0"/>
              <w:adjustRightInd w:val="0"/>
              <w:jc w:val="right"/>
              <w:rPr>
                <w:szCs w:val="26"/>
              </w:rPr>
            </w:pPr>
            <w:r w:rsidRPr="00BC6CF5">
              <w:rPr>
                <w:szCs w:val="26"/>
              </w:rPr>
              <w:t>12,768 hrs.</w:t>
            </w:r>
            <w:r w:rsidRPr="00BC6CF5">
              <w:rPr>
                <w:szCs w:val="26"/>
                <w:vertAlign w:val="superscript"/>
              </w:rPr>
              <w:footnoteReference w:id="25"/>
            </w:r>
            <w:r w:rsidRPr="00BC6CF5">
              <w:rPr>
                <w:szCs w:val="26"/>
              </w:rPr>
              <w:t>;</w:t>
            </w:r>
          </w:p>
          <w:p w:rsidRPr="00BC6CF5" w:rsidR="00BC6CF5" w:rsidP="00BC6CF5" w:rsidRDefault="00BC6CF5" w14:paraId="48D20EC2" w14:textId="77777777">
            <w:pPr>
              <w:widowControl w:val="0"/>
              <w:autoSpaceDE w:val="0"/>
              <w:autoSpaceDN w:val="0"/>
              <w:adjustRightInd w:val="0"/>
              <w:jc w:val="right"/>
              <w:rPr>
                <w:szCs w:val="26"/>
              </w:rPr>
            </w:pPr>
            <w:r w:rsidRPr="00BC6CF5">
              <w:rPr>
                <w:szCs w:val="26"/>
              </w:rPr>
              <w:t>$1,068,298.56</w:t>
            </w:r>
          </w:p>
          <w:p w:rsidRPr="00BC6CF5" w:rsidR="00BC6CF5" w:rsidP="00BC6CF5" w:rsidRDefault="00BC6CF5" w14:paraId="3D8CF128" w14:textId="77777777">
            <w:pPr>
              <w:widowControl w:val="0"/>
              <w:autoSpaceDE w:val="0"/>
              <w:autoSpaceDN w:val="0"/>
              <w:adjustRightInd w:val="0"/>
              <w:jc w:val="right"/>
              <w:rPr>
                <w:szCs w:val="26"/>
              </w:rPr>
            </w:pPr>
          </w:p>
        </w:tc>
      </w:tr>
      <w:tr w:rsidRPr="00BC6CF5" w:rsidR="00BC6CF5" w:rsidTr="00707D8E" w14:paraId="2A0834F0" w14:textId="77777777">
        <w:trPr>
          <w:trHeight w:val="638"/>
          <w:jc w:val="center"/>
        </w:trPr>
        <w:tc>
          <w:tcPr>
            <w:tcW w:w="1705" w:type="dxa"/>
            <w:tcBorders>
              <w:top w:val="single" w:color="auto" w:sz="4" w:space="0"/>
              <w:left w:val="single" w:color="auto" w:sz="4" w:space="0"/>
              <w:bottom w:val="nil"/>
              <w:right w:val="single" w:color="auto" w:sz="4" w:space="0"/>
            </w:tcBorders>
            <w:noWrap/>
          </w:tcPr>
          <w:p w:rsidRPr="00BC6CF5" w:rsidR="00BC6CF5" w:rsidP="00BC6CF5" w:rsidRDefault="00BC6CF5" w14:paraId="6EB37282" w14:textId="77777777">
            <w:pPr>
              <w:widowControl w:val="0"/>
              <w:autoSpaceDE w:val="0"/>
              <w:autoSpaceDN w:val="0"/>
              <w:adjustRightInd w:val="0"/>
              <w:jc w:val="right"/>
              <w:rPr>
                <w:szCs w:val="26"/>
              </w:rPr>
            </w:pPr>
          </w:p>
          <w:p w:rsidRPr="00BC6CF5" w:rsidR="00BC6CF5" w:rsidP="00BC6CF5" w:rsidRDefault="00BC6CF5" w14:paraId="753CD0BF" w14:textId="77777777">
            <w:pPr>
              <w:widowControl w:val="0"/>
              <w:autoSpaceDE w:val="0"/>
              <w:autoSpaceDN w:val="0"/>
              <w:adjustRightInd w:val="0"/>
              <w:jc w:val="right"/>
              <w:rPr>
                <w:szCs w:val="26"/>
              </w:rPr>
            </w:pPr>
            <w:r w:rsidRPr="00BC6CF5">
              <w:rPr>
                <w:szCs w:val="26"/>
              </w:rPr>
              <w:t>Record Retention</w:t>
            </w:r>
          </w:p>
        </w:tc>
        <w:tc>
          <w:tcPr>
            <w:tcW w:w="1081" w:type="dxa"/>
            <w:tcBorders>
              <w:top w:val="single" w:color="auto" w:sz="4" w:space="0"/>
              <w:left w:val="single" w:color="auto" w:sz="4" w:space="0"/>
              <w:bottom w:val="single" w:color="auto" w:sz="4" w:space="0"/>
              <w:right w:val="single" w:color="auto" w:sz="4" w:space="0"/>
            </w:tcBorders>
            <w:vAlign w:val="center"/>
            <w:hideMark/>
          </w:tcPr>
          <w:p w:rsidRPr="00BC6CF5" w:rsidR="00BC6CF5" w:rsidP="00BC6CF5" w:rsidRDefault="00BC6CF5" w14:paraId="39212267" w14:textId="77777777">
            <w:pPr>
              <w:widowControl w:val="0"/>
              <w:autoSpaceDE w:val="0"/>
              <w:autoSpaceDN w:val="0"/>
              <w:adjustRightInd w:val="0"/>
              <w:jc w:val="right"/>
              <w:rPr>
                <w:szCs w:val="26"/>
              </w:rPr>
            </w:pPr>
            <w:r w:rsidRPr="00BC6CF5">
              <w:rPr>
                <w:szCs w:val="26"/>
              </w:rPr>
              <w:t xml:space="preserve">PC, TP   </w:t>
            </w:r>
          </w:p>
          <w:p w:rsidRPr="00BC6CF5" w:rsidR="00BC6CF5" w:rsidP="00BC6CF5" w:rsidRDefault="00BC6CF5" w14:paraId="47319C5D" w14:textId="77777777">
            <w:pPr>
              <w:widowControl w:val="0"/>
              <w:autoSpaceDE w:val="0"/>
              <w:autoSpaceDN w:val="0"/>
              <w:adjustRightInd w:val="0"/>
              <w:jc w:val="right"/>
              <w:rPr>
                <w:szCs w:val="26"/>
              </w:rPr>
            </w:pPr>
            <w:r w:rsidRPr="00BC6CF5">
              <w:rPr>
                <w:szCs w:val="26"/>
              </w:rPr>
              <w:t>183</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5548788C" w14:textId="77777777">
            <w:pPr>
              <w:widowControl w:val="0"/>
              <w:autoSpaceDE w:val="0"/>
              <w:autoSpaceDN w:val="0"/>
              <w:adjustRightInd w:val="0"/>
              <w:jc w:val="right"/>
              <w:rPr>
                <w:szCs w:val="26"/>
              </w:rPr>
            </w:pPr>
            <w:r w:rsidRPr="00BC6CF5">
              <w:rPr>
                <w:szCs w:val="26"/>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584567C1" w14:textId="77777777">
            <w:pPr>
              <w:widowControl w:val="0"/>
              <w:autoSpaceDE w:val="0"/>
              <w:autoSpaceDN w:val="0"/>
              <w:adjustRightInd w:val="0"/>
              <w:jc w:val="right"/>
              <w:rPr>
                <w:szCs w:val="26"/>
              </w:rPr>
            </w:pPr>
            <w:r w:rsidRPr="00BC6CF5">
              <w:rPr>
                <w:szCs w:val="26"/>
              </w:rPr>
              <w:t>183</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79AA293B" w14:textId="77777777">
            <w:pPr>
              <w:widowControl w:val="0"/>
              <w:autoSpaceDE w:val="0"/>
              <w:autoSpaceDN w:val="0"/>
              <w:adjustRightInd w:val="0"/>
              <w:jc w:val="right"/>
              <w:rPr>
                <w:szCs w:val="26"/>
              </w:rPr>
            </w:pPr>
            <w:r w:rsidRPr="00BC6CF5">
              <w:rPr>
                <w:szCs w:val="26"/>
              </w:rPr>
              <w:t>1 hr.;</w:t>
            </w:r>
          </w:p>
          <w:p w:rsidRPr="00BC6CF5" w:rsidR="00BC6CF5" w:rsidP="00BC6CF5" w:rsidRDefault="00BC6CF5" w14:paraId="0FFCBFA3" w14:textId="77777777">
            <w:pPr>
              <w:widowControl w:val="0"/>
              <w:autoSpaceDE w:val="0"/>
              <w:autoSpaceDN w:val="0"/>
              <w:adjustRightInd w:val="0"/>
              <w:jc w:val="right"/>
              <w:rPr>
                <w:szCs w:val="26"/>
              </w:rPr>
            </w:pPr>
            <w:r w:rsidRPr="00BC6CF5">
              <w:rPr>
                <w:szCs w:val="26"/>
              </w:rPr>
              <w:t>$41.03</w:t>
            </w:r>
          </w:p>
        </w:tc>
        <w:tc>
          <w:tcPr>
            <w:tcW w:w="1891"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6E5085C9" w14:textId="77777777">
            <w:pPr>
              <w:widowControl w:val="0"/>
              <w:autoSpaceDE w:val="0"/>
              <w:autoSpaceDN w:val="0"/>
              <w:adjustRightInd w:val="0"/>
              <w:jc w:val="right"/>
              <w:rPr>
                <w:szCs w:val="26"/>
              </w:rPr>
            </w:pPr>
            <w:r w:rsidRPr="00BC6CF5">
              <w:rPr>
                <w:szCs w:val="26"/>
              </w:rPr>
              <w:t>183 hrs.;</w:t>
            </w:r>
          </w:p>
          <w:p w:rsidRPr="00BC6CF5" w:rsidR="00BC6CF5" w:rsidP="00BC6CF5" w:rsidRDefault="00BC6CF5" w14:paraId="22296B5B" w14:textId="77777777">
            <w:pPr>
              <w:widowControl w:val="0"/>
              <w:autoSpaceDE w:val="0"/>
              <w:autoSpaceDN w:val="0"/>
              <w:adjustRightInd w:val="0"/>
              <w:jc w:val="right"/>
              <w:rPr>
                <w:szCs w:val="26"/>
              </w:rPr>
            </w:pPr>
            <w:r w:rsidRPr="00BC6CF5">
              <w:rPr>
                <w:szCs w:val="26"/>
              </w:rPr>
              <w:t>$7,325.49</w:t>
            </w:r>
          </w:p>
        </w:tc>
      </w:tr>
      <w:tr w:rsidRPr="00BC6CF5" w:rsidR="00BC6CF5" w:rsidTr="00707D8E" w14:paraId="638F82FA" w14:textId="77777777">
        <w:trPr>
          <w:trHeight w:val="467"/>
          <w:jc w:val="center"/>
        </w:trPr>
        <w:tc>
          <w:tcPr>
            <w:tcW w:w="1705" w:type="dxa"/>
            <w:tcBorders>
              <w:top w:val="nil"/>
              <w:left w:val="single" w:color="auto" w:sz="4" w:space="0"/>
              <w:bottom w:val="single" w:color="auto" w:sz="4" w:space="0"/>
              <w:right w:val="single" w:color="auto" w:sz="4" w:space="0"/>
            </w:tcBorders>
            <w:noWrap/>
          </w:tcPr>
          <w:p w:rsidRPr="00BC6CF5" w:rsidR="00BC6CF5" w:rsidP="00BC6CF5" w:rsidRDefault="00BC6CF5" w14:paraId="17E39B7B" w14:textId="77777777">
            <w:pPr>
              <w:widowControl w:val="0"/>
              <w:autoSpaceDE w:val="0"/>
              <w:autoSpaceDN w:val="0"/>
              <w:adjustRightInd w:val="0"/>
              <w:jc w:val="right"/>
              <w:rPr>
                <w:szCs w:val="26"/>
              </w:rPr>
            </w:pPr>
          </w:p>
        </w:tc>
        <w:tc>
          <w:tcPr>
            <w:tcW w:w="1081" w:type="dxa"/>
            <w:tcBorders>
              <w:top w:val="single" w:color="auto" w:sz="4" w:space="0"/>
              <w:left w:val="single" w:color="auto" w:sz="4" w:space="0"/>
              <w:bottom w:val="single" w:color="auto" w:sz="4" w:space="0"/>
              <w:right w:val="single" w:color="auto" w:sz="4" w:space="0"/>
            </w:tcBorders>
            <w:vAlign w:val="center"/>
            <w:hideMark/>
          </w:tcPr>
          <w:p w:rsidRPr="00BC6CF5" w:rsidR="00BC6CF5" w:rsidP="00BC6CF5" w:rsidRDefault="00BC6CF5" w14:paraId="11D06B51" w14:textId="77777777">
            <w:pPr>
              <w:widowControl w:val="0"/>
              <w:autoSpaceDE w:val="0"/>
              <w:autoSpaceDN w:val="0"/>
              <w:adjustRightInd w:val="0"/>
              <w:jc w:val="right"/>
              <w:rPr>
                <w:szCs w:val="26"/>
              </w:rPr>
            </w:pPr>
            <w:r w:rsidRPr="00BC6CF5">
              <w:rPr>
                <w:szCs w:val="26"/>
              </w:rPr>
              <w:t xml:space="preserve">TO, DP, LSE, GO </w:t>
            </w:r>
          </w:p>
          <w:p w:rsidRPr="00BC6CF5" w:rsidR="00BC6CF5" w:rsidP="00BC6CF5" w:rsidRDefault="00BC6CF5" w14:paraId="03B1CDA8" w14:textId="77777777">
            <w:pPr>
              <w:widowControl w:val="0"/>
              <w:autoSpaceDE w:val="0"/>
              <w:autoSpaceDN w:val="0"/>
              <w:adjustRightInd w:val="0"/>
              <w:jc w:val="right"/>
              <w:rPr>
                <w:szCs w:val="26"/>
              </w:rPr>
            </w:pPr>
            <w:r w:rsidRPr="00BC6CF5">
              <w:rPr>
                <w:szCs w:val="26"/>
              </w:rPr>
              <w:t>216</w:t>
            </w:r>
          </w:p>
        </w:tc>
        <w:tc>
          <w:tcPr>
            <w:tcW w:w="176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572B6798" w14:textId="77777777">
            <w:pPr>
              <w:widowControl w:val="0"/>
              <w:autoSpaceDE w:val="0"/>
              <w:autoSpaceDN w:val="0"/>
              <w:adjustRightInd w:val="0"/>
              <w:jc w:val="right"/>
              <w:rPr>
                <w:szCs w:val="26"/>
              </w:rPr>
            </w:pPr>
            <w:r w:rsidRPr="00BC6CF5">
              <w:rPr>
                <w:szCs w:val="26"/>
              </w:rPr>
              <w:t>1</w:t>
            </w:r>
          </w:p>
        </w:tc>
        <w:tc>
          <w:tcPr>
            <w:tcW w:w="1299"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37320996" w14:textId="77777777">
            <w:pPr>
              <w:widowControl w:val="0"/>
              <w:autoSpaceDE w:val="0"/>
              <w:autoSpaceDN w:val="0"/>
              <w:adjustRightInd w:val="0"/>
              <w:jc w:val="right"/>
              <w:rPr>
                <w:szCs w:val="26"/>
              </w:rPr>
            </w:pPr>
            <w:r w:rsidRPr="00BC6CF5">
              <w:rPr>
                <w:szCs w:val="26"/>
              </w:rPr>
              <w:t>216</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15A69164" w14:textId="77777777">
            <w:pPr>
              <w:widowControl w:val="0"/>
              <w:autoSpaceDE w:val="0"/>
              <w:autoSpaceDN w:val="0"/>
              <w:adjustRightInd w:val="0"/>
              <w:jc w:val="right"/>
              <w:rPr>
                <w:szCs w:val="26"/>
              </w:rPr>
            </w:pPr>
            <w:r w:rsidRPr="00BC6CF5">
              <w:rPr>
                <w:szCs w:val="26"/>
              </w:rPr>
              <w:t>1 hr.;</w:t>
            </w:r>
          </w:p>
          <w:p w:rsidRPr="00BC6CF5" w:rsidR="00BC6CF5" w:rsidP="00BC6CF5" w:rsidRDefault="00BC6CF5" w14:paraId="32247143" w14:textId="77777777">
            <w:pPr>
              <w:widowControl w:val="0"/>
              <w:autoSpaceDE w:val="0"/>
              <w:autoSpaceDN w:val="0"/>
              <w:adjustRightInd w:val="0"/>
              <w:jc w:val="right"/>
              <w:rPr>
                <w:szCs w:val="26"/>
              </w:rPr>
            </w:pPr>
            <w:r w:rsidRPr="00BC6CF5">
              <w:rPr>
                <w:szCs w:val="26"/>
              </w:rPr>
              <w:t>$41.03</w:t>
            </w:r>
          </w:p>
        </w:tc>
        <w:tc>
          <w:tcPr>
            <w:tcW w:w="1891" w:type="dxa"/>
            <w:tcBorders>
              <w:top w:val="single" w:color="auto" w:sz="4" w:space="0"/>
              <w:left w:val="single" w:color="auto" w:sz="4" w:space="0"/>
              <w:bottom w:val="single" w:color="auto" w:sz="4" w:space="0"/>
              <w:right w:val="single" w:color="auto" w:sz="4" w:space="0"/>
            </w:tcBorders>
            <w:vAlign w:val="bottom"/>
            <w:hideMark/>
          </w:tcPr>
          <w:p w:rsidRPr="00BC6CF5" w:rsidR="00BC6CF5" w:rsidP="00BC6CF5" w:rsidRDefault="00BC6CF5" w14:paraId="3B19D934" w14:textId="77777777">
            <w:pPr>
              <w:widowControl w:val="0"/>
              <w:autoSpaceDE w:val="0"/>
              <w:autoSpaceDN w:val="0"/>
              <w:adjustRightInd w:val="0"/>
              <w:jc w:val="right"/>
              <w:rPr>
                <w:szCs w:val="26"/>
              </w:rPr>
            </w:pPr>
            <w:r w:rsidRPr="00BC6CF5">
              <w:rPr>
                <w:szCs w:val="26"/>
              </w:rPr>
              <w:t>216 hrs.;</w:t>
            </w:r>
          </w:p>
          <w:p w:rsidRPr="00BC6CF5" w:rsidR="00BC6CF5" w:rsidP="00BC6CF5" w:rsidRDefault="00BC6CF5" w14:paraId="69AE6CC4" w14:textId="77777777">
            <w:pPr>
              <w:widowControl w:val="0"/>
              <w:autoSpaceDE w:val="0"/>
              <w:autoSpaceDN w:val="0"/>
              <w:adjustRightInd w:val="0"/>
              <w:jc w:val="right"/>
              <w:rPr>
                <w:szCs w:val="26"/>
              </w:rPr>
            </w:pPr>
            <w:r w:rsidRPr="00BC6CF5">
              <w:rPr>
                <w:szCs w:val="26"/>
              </w:rPr>
              <w:t>$8,862.48</w:t>
            </w:r>
          </w:p>
        </w:tc>
      </w:tr>
      <w:tr w:rsidRPr="00BC6CF5" w:rsidR="00BC6CF5" w:rsidTr="00707D8E" w14:paraId="0808DED0" w14:textId="77777777">
        <w:trPr>
          <w:trHeight w:val="467"/>
          <w:jc w:val="center"/>
        </w:trPr>
        <w:tc>
          <w:tcPr>
            <w:tcW w:w="1705" w:type="dxa"/>
            <w:tcBorders>
              <w:top w:val="single" w:color="auto" w:sz="4" w:space="0"/>
              <w:left w:val="single" w:color="auto" w:sz="4" w:space="0"/>
              <w:bottom w:val="single" w:color="auto" w:sz="4" w:space="0"/>
              <w:right w:val="single" w:color="auto" w:sz="4" w:space="0"/>
            </w:tcBorders>
            <w:noWrap/>
            <w:hideMark/>
          </w:tcPr>
          <w:p w:rsidRPr="00BC6CF5" w:rsidR="00BC6CF5" w:rsidP="00BC6CF5" w:rsidRDefault="00BC6CF5" w14:paraId="13A0A09E" w14:textId="77777777">
            <w:pPr>
              <w:widowControl w:val="0"/>
              <w:autoSpaceDE w:val="0"/>
              <w:autoSpaceDN w:val="0"/>
              <w:adjustRightInd w:val="0"/>
              <w:jc w:val="right"/>
              <w:rPr>
                <w:b/>
                <w:szCs w:val="26"/>
              </w:rPr>
            </w:pPr>
            <w:r w:rsidRPr="00BC6CF5">
              <w:rPr>
                <w:b/>
                <w:szCs w:val="26"/>
              </w:rPr>
              <w:t>FAC-010-2, FAC-011-3, FAC-014-2</w:t>
            </w:r>
          </w:p>
          <w:p w:rsidRPr="00BC6CF5" w:rsidR="00BC6CF5" w:rsidP="00BC6CF5" w:rsidRDefault="00BC6CF5" w14:paraId="143E812D" w14:textId="77777777">
            <w:pPr>
              <w:widowControl w:val="0"/>
              <w:autoSpaceDE w:val="0"/>
              <w:autoSpaceDN w:val="0"/>
              <w:adjustRightInd w:val="0"/>
              <w:jc w:val="right"/>
              <w:rPr>
                <w:bCs/>
                <w:szCs w:val="26"/>
              </w:rPr>
            </w:pPr>
            <w:r w:rsidRPr="00BC6CF5">
              <w:rPr>
                <w:bCs/>
                <w:szCs w:val="26"/>
              </w:rPr>
              <w:lastRenderedPageBreak/>
              <w:t>(Transmission &amp; Planning)</w:t>
            </w:r>
          </w:p>
          <w:p w:rsidRPr="00BC6CF5" w:rsidR="00BC6CF5" w:rsidP="00BC6CF5" w:rsidRDefault="00BC6CF5" w14:paraId="3CEE6288" w14:textId="77777777">
            <w:pPr>
              <w:widowControl w:val="0"/>
              <w:autoSpaceDE w:val="0"/>
              <w:autoSpaceDN w:val="0"/>
              <w:adjustRightInd w:val="0"/>
              <w:jc w:val="right"/>
              <w:rPr>
                <w:b/>
                <w:szCs w:val="26"/>
              </w:rPr>
            </w:pPr>
          </w:p>
        </w:tc>
        <w:tc>
          <w:tcPr>
            <w:tcW w:w="1081" w:type="dxa"/>
            <w:tcBorders>
              <w:top w:val="single" w:color="auto" w:sz="4" w:space="0"/>
              <w:left w:val="single" w:color="auto" w:sz="4" w:space="0"/>
              <w:bottom w:val="single" w:color="auto" w:sz="4" w:space="0"/>
              <w:right w:val="single" w:color="auto" w:sz="4" w:space="0"/>
            </w:tcBorders>
            <w:hideMark/>
          </w:tcPr>
          <w:p w:rsidRPr="00BC6CF5" w:rsidR="00BC6CF5" w:rsidP="00BC6CF5" w:rsidRDefault="00BC6CF5" w14:paraId="2046C450" w14:textId="77777777">
            <w:pPr>
              <w:jc w:val="right"/>
              <w:rPr>
                <w:rFonts w:eastAsia="Calibri"/>
                <w:szCs w:val="26"/>
              </w:rPr>
            </w:pPr>
            <w:r w:rsidRPr="00BC6CF5">
              <w:rPr>
                <w:rFonts w:eastAsia="Calibri"/>
                <w:szCs w:val="26"/>
              </w:rPr>
              <w:lastRenderedPageBreak/>
              <w:t>PA/RC/TP/TO</w:t>
            </w:r>
          </w:p>
          <w:p w:rsidRPr="00BC6CF5" w:rsidR="00BC6CF5" w:rsidP="00BC6CF5" w:rsidRDefault="00BC6CF5" w14:paraId="55E600C9" w14:textId="77777777">
            <w:pPr>
              <w:jc w:val="right"/>
              <w:rPr>
                <w:rFonts w:eastAsia="Calibri"/>
                <w:szCs w:val="26"/>
              </w:rPr>
            </w:pPr>
            <w:r w:rsidRPr="00BC6CF5">
              <w:rPr>
                <w:rFonts w:eastAsia="Calibri"/>
                <w:szCs w:val="26"/>
              </w:rPr>
              <w:t>470</w:t>
            </w:r>
            <w:r w:rsidRPr="00BC6CF5">
              <w:rPr>
                <w:rFonts w:eastAsia="Calibri"/>
                <w:b/>
                <w:szCs w:val="26"/>
                <w:vertAlign w:val="superscript"/>
              </w:rPr>
              <w:footnoteReference w:id="26"/>
            </w:r>
          </w:p>
          <w:p w:rsidRPr="00BC6CF5" w:rsidR="00BC6CF5" w:rsidP="00BC6CF5" w:rsidRDefault="00BC6CF5" w14:paraId="73B9030C" w14:textId="77777777">
            <w:pPr>
              <w:jc w:val="right"/>
              <w:rPr>
                <w:szCs w:val="26"/>
              </w:rPr>
            </w:pPr>
          </w:p>
        </w:tc>
        <w:tc>
          <w:tcPr>
            <w:tcW w:w="1760" w:type="dxa"/>
            <w:tcBorders>
              <w:top w:val="single" w:color="auto" w:sz="4" w:space="0"/>
              <w:left w:val="single" w:color="auto" w:sz="4" w:space="0"/>
              <w:bottom w:val="single" w:color="auto" w:sz="4" w:space="0"/>
              <w:right w:val="single" w:color="auto" w:sz="4" w:space="0"/>
            </w:tcBorders>
          </w:tcPr>
          <w:p w:rsidRPr="00BC6CF5" w:rsidR="00BC6CF5" w:rsidP="00BC6CF5" w:rsidRDefault="00BC6CF5" w14:paraId="1BB6D002" w14:textId="77777777">
            <w:pPr>
              <w:jc w:val="right"/>
              <w:rPr>
                <w:szCs w:val="26"/>
              </w:rPr>
            </w:pPr>
            <w:r w:rsidRPr="00BC6CF5">
              <w:rPr>
                <w:rFonts w:eastAsia="Calibri"/>
                <w:szCs w:val="26"/>
              </w:rPr>
              <w:t>1</w:t>
            </w:r>
          </w:p>
        </w:tc>
        <w:tc>
          <w:tcPr>
            <w:tcW w:w="1299" w:type="dxa"/>
            <w:tcBorders>
              <w:top w:val="single" w:color="auto" w:sz="4" w:space="0"/>
              <w:left w:val="single" w:color="auto" w:sz="4" w:space="0"/>
              <w:bottom w:val="single" w:color="auto" w:sz="4" w:space="0"/>
              <w:right w:val="single" w:color="auto" w:sz="4" w:space="0"/>
            </w:tcBorders>
            <w:hideMark/>
          </w:tcPr>
          <w:p w:rsidRPr="00BC6CF5" w:rsidR="00BC6CF5" w:rsidP="00BC6CF5" w:rsidRDefault="00BC6CF5" w14:paraId="4F569EE3" w14:textId="77777777">
            <w:pPr>
              <w:jc w:val="right"/>
              <w:rPr>
                <w:szCs w:val="26"/>
              </w:rPr>
            </w:pPr>
            <w:r w:rsidRPr="00BC6CF5">
              <w:rPr>
                <w:rFonts w:eastAsia="Calibri"/>
                <w:szCs w:val="26"/>
              </w:rPr>
              <w:t>470</w:t>
            </w:r>
          </w:p>
        </w:tc>
        <w:tc>
          <w:tcPr>
            <w:tcW w:w="1530" w:type="dxa"/>
            <w:tcBorders>
              <w:top w:val="single" w:color="auto" w:sz="4" w:space="0"/>
              <w:left w:val="single" w:color="auto" w:sz="4" w:space="0"/>
              <w:bottom w:val="single" w:color="auto" w:sz="4" w:space="0"/>
              <w:right w:val="single" w:color="auto" w:sz="4" w:space="0"/>
            </w:tcBorders>
            <w:hideMark/>
          </w:tcPr>
          <w:p w:rsidRPr="00BC6CF5" w:rsidR="00BC6CF5" w:rsidP="00BC6CF5" w:rsidRDefault="00BC6CF5" w14:paraId="491A5337" w14:textId="77777777">
            <w:pPr>
              <w:jc w:val="right"/>
              <w:rPr>
                <w:rFonts w:eastAsia="Calibri"/>
                <w:szCs w:val="26"/>
              </w:rPr>
            </w:pPr>
            <w:r w:rsidRPr="00BC6CF5">
              <w:rPr>
                <w:rFonts w:eastAsia="Calibri"/>
                <w:szCs w:val="26"/>
              </w:rPr>
              <w:t>295.7hrs.;</w:t>
            </w:r>
          </w:p>
          <w:p w:rsidRPr="00BC6CF5" w:rsidR="00BC6CF5" w:rsidP="00BC6CF5" w:rsidRDefault="00BC6CF5" w14:paraId="11F73C46" w14:textId="77777777">
            <w:pPr>
              <w:jc w:val="right"/>
              <w:rPr>
                <w:szCs w:val="26"/>
              </w:rPr>
            </w:pPr>
            <w:r w:rsidRPr="00BC6CF5">
              <w:rPr>
                <w:rFonts w:eastAsia="Calibri"/>
                <w:szCs w:val="26"/>
              </w:rPr>
              <w:t>$24,741.219</w:t>
            </w:r>
          </w:p>
        </w:tc>
        <w:tc>
          <w:tcPr>
            <w:tcW w:w="1891" w:type="dxa"/>
            <w:tcBorders>
              <w:top w:val="single" w:color="auto" w:sz="4" w:space="0"/>
              <w:left w:val="single" w:color="auto" w:sz="4" w:space="0"/>
              <w:bottom w:val="single" w:color="auto" w:sz="4" w:space="0"/>
              <w:right w:val="single" w:color="auto" w:sz="4" w:space="0"/>
            </w:tcBorders>
            <w:hideMark/>
          </w:tcPr>
          <w:p w:rsidRPr="00BC6CF5" w:rsidR="00BC6CF5" w:rsidP="00BC6CF5" w:rsidRDefault="00BC6CF5" w14:paraId="54D0145B" w14:textId="77777777">
            <w:pPr>
              <w:jc w:val="right"/>
              <w:rPr>
                <w:rFonts w:eastAsia="Calibri"/>
                <w:szCs w:val="26"/>
              </w:rPr>
            </w:pPr>
            <w:r w:rsidRPr="00BC6CF5">
              <w:rPr>
                <w:rFonts w:eastAsia="Calibri"/>
                <w:szCs w:val="26"/>
              </w:rPr>
              <w:t xml:space="preserve"> 138,979 hrs.;</w:t>
            </w:r>
          </w:p>
          <w:p w:rsidRPr="00BC6CF5" w:rsidR="00BC6CF5" w:rsidP="00BC6CF5" w:rsidRDefault="00BC6CF5" w14:paraId="4DA9D979" w14:textId="77777777">
            <w:pPr>
              <w:jc w:val="right"/>
              <w:rPr>
                <w:szCs w:val="26"/>
              </w:rPr>
            </w:pPr>
            <w:r w:rsidRPr="00BC6CF5">
              <w:rPr>
                <w:rFonts w:eastAsia="Calibri"/>
                <w:szCs w:val="26"/>
              </w:rPr>
              <w:t xml:space="preserve">$11,628,372.93 </w:t>
            </w:r>
          </w:p>
        </w:tc>
      </w:tr>
      <w:tr w:rsidRPr="00BC6CF5" w:rsidR="00BC6CF5" w:rsidTr="00BC6CF5" w14:paraId="54C1BF55" w14:textId="77777777">
        <w:trPr>
          <w:trHeight w:val="467"/>
          <w:jc w:val="center"/>
        </w:trPr>
        <w:tc>
          <w:tcPr>
            <w:tcW w:w="1705" w:type="dxa"/>
            <w:tcBorders>
              <w:top w:val="single" w:color="auto" w:sz="4" w:space="0"/>
              <w:left w:val="single" w:color="auto" w:sz="4" w:space="0"/>
              <w:bottom w:val="single" w:color="auto" w:sz="4" w:space="0"/>
              <w:right w:val="single" w:color="auto" w:sz="4" w:space="0"/>
            </w:tcBorders>
            <w:shd w:val="clear" w:color="auto" w:fill="BFBFBF"/>
            <w:noWrap/>
          </w:tcPr>
          <w:p w:rsidRPr="00DA710B" w:rsidR="00BC6CF5" w:rsidP="00BC6CF5" w:rsidRDefault="00BC6CF5" w14:paraId="57587B99" w14:textId="77777777">
            <w:pPr>
              <w:widowControl w:val="0"/>
              <w:autoSpaceDE w:val="0"/>
              <w:autoSpaceDN w:val="0"/>
              <w:adjustRightInd w:val="0"/>
              <w:jc w:val="right"/>
              <w:rPr>
                <w:b/>
                <w:szCs w:val="26"/>
              </w:rPr>
            </w:pPr>
            <w:r w:rsidRPr="00DA710B">
              <w:rPr>
                <w:b/>
                <w:szCs w:val="26"/>
              </w:rPr>
              <w:t>Sub-Totals for FERC-725D</w:t>
            </w:r>
          </w:p>
        </w:tc>
        <w:tc>
          <w:tcPr>
            <w:tcW w:w="1081" w:type="dxa"/>
            <w:tcBorders>
              <w:top w:val="single" w:color="auto" w:sz="4" w:space="0"/>
              <w:left w:val="single" w:color="auto" w:sz="4" w:space="0"/>
              <w:bottom w:val="single" w:color="auto" w:sz="4" w:space="0"/>
              <w:right w:val="single" w:color="auto" w:sz="4" w:space="0"/>
            </w:tcBorders>
            <w:shd w:val="clear" w:color="auto" w:fill="BFBFBF"/>
          </w:tcPr>
          <w:p w:rsidRPr="00DA710B" w:rsidR="00BC6CF5" w:rsidP="00BC6CF5" w:rsidRDefault="00BC6CF5" w14:paraId="788A7299" w14:textId="77777777">
            <w:pPr>
              <w:jc w:val="right"/>
              <w:rPr>
                <w:rFonts w:eastAsia="Calibri"/>
                <w:szCs w:val="26"/>
              </w:rPr>
            </w:pPr>
            <w:r w:rsidRPr="00DA710B">
              <w:rPr>
                <w:rFonts w:eastAsia="Calibri"/>
                <w:szCs w:val="26"/>
              </w:rPr>
              <w:t>1,367</w:t>
            </w:r>
          </w:p>
        </w:tc>
        <w:tc>
          <w:tcPr>
            <w:tcW w:w="1760" w:type="dxa"/>
            <w:tcBorders>
              <w:top w:val="single" w:color="auto" w:sz="4" w:space="0"/>
              <w:left w:val="single" w:color="auto" w:sz="4" w:space="0"/>
              <w:bottom w:val="single" w:color="auto" w:sz="4" w:space="0"/>
              <w:right w:val="single" w:color="auto" w:sz="4" w:space="0"/>
            </w:tcBorders>
            <w:shd w:val="clear" w:color="auto" w:fill="BFBFBF"/>
          </w:tcPr>
          <w:p w:rsidRPr="00DA710B" w:rsidR="00BC6CF5" w:rsidP="00BC6CF5" w:rsidRDefault="00BC6CF5" w14:paraId="725B4580" w14:textId="77777777">
            <w:pPr>
              <w:jc w:val="right"/>
              <w:rPr>
                <w:rFonts w:eastAsia="Calibri"/>
                <w:szCs w:val="26"/>
              </w:rPr>
            </w:pPr>
            <w:r w:rsidRPr="00DA710B">
              <w:rPr>
                <w:rFonts w:eastAsia="Calibri"/>
                <w:szCs w:val="26"/>
              </w:rPr>
              <w:t>1</w:t>
            </w:r>
          </w:p>
        </w:tc>
        <w:tc>
          <w:tcPr>
            <w:tcW w:w="1299" w:type="dxa"/>
            <w:tcBorders>
              <w:top w:val="single" w:color="auto" w:sz="4" w:space="0"/>
              <w:left w:val="single" w:color="auto" w:sz="4" w:space="0"/>
              <w:bottom w:val="single" w:color="auto" w:sz="4" w:space="0"/>
              <w:right w:val="single" w:color="auto" w:sz="4" w:space="0"/>
            </w:tcBorders>
            <w:shd w:val="clear" w:color="auto" w:fill="BFBFBF"/>
          </w:tcPr>
          <w:p w:rsidRPr="00DA710B" w:rsidR="00BC6CF5" w:rsidP="00BC6CF5" w:rsidRDefault="00BC6CF5" w14:paraId="32862B53" w14:textId="77777777">
            <w:pPr>
              <w:jc w:val="right"/>
              <w:rPr>
                <w:rFonts w:eastAsia="Calibri"/>
                <w:szCs w:val="26"/>
              </w:rPr>
            </w:pPr>
            <w:r w:rsidRPr="00DA710B">
              <w:rPr>
                <w:rFonts w:eastAsia="Calibri"/>
                <w:szCs w:val="26"/>
              </w:rPr>
              <w:t>1,367</w:t>
            </w:r>
          </w:p>
        </w:tc>
        <w:tc>
          <w:tcPr>
            <w:tcW w:w="1530" w:type="dxa"/>
            <w:tcBorders>
              <w:top w:val="single" w:color="auto" w:sz="4" w:space="0"/>
              <w:left w:val="single" w:color="auto" w:sz="4" w:space="0"/>
              <w:bottom w:val="single" w:color="auto" w:sz="4" w:space="0"/>
              <w:right w:val="single" w:color="auto" w:sz="4" w:space="0"/>
            </w:tcBorders>
            <w:shd w:val="clear" w:color="auto" w:fill="BFBFBF"/>
          </w:tcPr>
          <w:p w:rsidRPr="00DA710B" w:rsidR="00BC6CF5" w:rsidP="00BC6CF5" w:rsidRDefault="00BC6CF5" w14:paraId="6038D150" w14:textId="77777777">
            <w:pPr>
              <w:jc w:val="right"/>
              <w:rPr>
                <w:rFonts w:eastAsia="Calibri"/>
                <w:szCs w:val="26"/>
              </w:rPr>
            </w:pPr>
            <w:r w:rsidRPr="00DA710B">
              <w:rPr>
                <w:rFonts w:eastAsia="Calibri"/>
                <w:szCs w:val="26"/>
              </w:rPr>
              <w:t>361.7 hrs.;</w:t>
            </w:r>
          </w:p>
          <w:p w:rsidRPr="00DA710B" w:rsidR="00BC6CF5" w:rsidP="00BC6CF5" w:rsidRDefault="00BC6CF5" w14:paraId="7EC2D2CF" w14:textId="77777777">
            <w:pPr>
              <w:jc w:val="right"/>
              <w:rPr>
                <w:rFonts w:eastAsia="Calibri"/>
                <w:szCs w:val="26"/>
              </w:rPr>
            </w:pPr>
          </w:p>
        </w:tc>
        <w:tc>
          <w:tcPr>
            <w:tcW w:w="1891" w:type="dxa"/>
            <w:tcBorders>
              <w:top w:val="single" w:color="auto" w:sz="4" w:space="0"/>
              <w:left w:val="single" w:color="auto" w:sz="4" w:space="0"/>
              <w:bottom w:val="single" w:color="auto" w:sz="4" w:space="0"/>
              <w:right w:val="single" w:color="auto" w:sz="4" w:space="0"/>
            </w:tcBorders>
            <w:shd w:val="clear" w:color="auto" w:fill="BFBFBF"/>
          </w:tcPr>
          <w:p w:rsidRPr="00DA710B" w:rsidR="00BC6CF5" w:rsidP="00BC6CF5" w:rsidRDefault="00BC6CF5" w14:paraId="131E4CDB" w14:textId="0900C91E">
            <w:pPr>
              <w:jc w:val="right"/>
              <w:rPr>
                <w:rFonts w:eastAsia="Calibri"/>
                <w:szCs w:val="26"/>
              </w:rPr>
            </w:pPr>
            <w:r w:rsidRPr="00DA710B">
              <w:rPr>
                <w:rFonts w:eastAsia="Calibri"/>
                <w:szCs w:val="26"/>
              </w:rPr>
              <w:t>16</w:t>
            </w:r>
            <w:r w:rsidR="003B1617">
              <w:rPr>
                <w:rFonts w:eastAsia="Calibri"/>
                <w:szCs w:val="26"/>
              </w:rPr>
              <w:t>9</w:t>
            </w:r>
            <w:r w:rsidRPr="00DA710B">
              <w:rPr>
                <w:rFonts w:eastAsia="Calibri"/>
                <w:szCs w:val="26"/>
              </w:rPr>
              <w:t>,</w:t>
            </w:r>
            <w:r w:rsidR="003B1617">
              <w:rPr>
                <w:rFonts w:eastAsia="Calibri"/>
                <w:szCs w:val="26"/>
              </w:rPr>
              <w:t>576</w:t>
            </w:r>
            <w:r w:rsidRPr="00DA710B">
              <w:rPr>
                <w:rFonts w:eastAsia="Calibri"/>
                <w:szCs w:val="26"/>
              </w:rPr>
              <w:t xml:space="preserve"> hrs.; </w:t>
            </w:r>
          </w:p>
          <w:p w:rsidRPr="00DA710B" w:rsidR="00BC6CF5" w:rsidP="00BC6CF5" w:rsidRDefault="00BC6CF5" w14:paraId="0C773891" w14:textId="77777777">
            <w:pPr>
              <w:jc w:val="right"/>
              <w:rPr>
                <w:rFonts w:eastAsia="Calibri"/>
                <w:szCs w:val="26"/>
              </w:rPr>
            </w:pPr>
            <w:r w:rsidRPr="00DA710B">
              <w:rPr>
                <w:rFonts w:eastAsia="Calibri"/>
                <w:szCs w:val="26"/>
              </w:rPr>
              <w:t>$14,113,371.93</w:t>
            </w:r>
          </w:p>
        </w:tc>
      </w:tr>
      <w:tr w:rsidRPr="00BC6CF5" w:rsidR="00BC6CF5" w:rsidTr="00BC6CF5" w14:paraId="717D31A9" w14:textId="77777777">
        <w:trPr>
          <w:trHeight w:val="467"/>
          <w:jc w:val="center"/>
        </w:trPr>
        <w:tc>
          <w:tcPr>
            <w:tcW w:w="1705" w:type="dxa"/>
            <w:tcBorders>
              <w:top w:val="single" w:color="auto" w:sz="4" w:space="0"/>
              <w:left w:val="single" w:color="auto" w:sz="4" w:space="0"/>
              <w:bottom w:val="single" w:color="auto" w:sz="4" w:space="0"/>
              <w:right w:val="single" w:color="auto" w:sz="4" w:space="0"/>
            </w:tcBorders>
            <w:shd w:val="clear" w:color="auto" w:fill="BFBFBF"/>
            <w:noWrap/>
          </w:tcPr>
          <w:p w:rsidRPr="00DA710B" w:rsidR="00BC6CF5" w:rsidP="00BC6CF5" w:rsidRDefault="00DA710B" w14:paraId="5AFF03E2" w14:textId="038717F0">
            <w:pPr>
              <w:widowControl w:val="0"/>
              <w:autoSpaceDE w:val="0"/>
              <w:autoSpaceDN w:val="0"/>
              <w:adjustRightInd w:val="0"/>
              <w:jc w:val="right"/>
              <w:rPr>
                <w:b/>
                <w:szCs w:val="26"/>
              </w:rPr>
            </w:pPr>
            <w:r w:rsidRPr="00DA710B">
              <w:rPr>
                <w:b/>
                <w:bCs/>
                <w:szCs w:val="26"/>
              </w:rPr>
              <w:t>FAC-001-3, FAC-002-3,</w:t>
            </w:r>
            <w:r>
              <w:rPr>
                <w:b/>
                <w:bCs/>
                <w:szCs w:val="26"/>
              </w:rPr>
              <w:t xml:space="preserve"> </w:t>
            </w:r>
            <w:r w:rsidRPr="00DA710B">
              <w:rPr>
                <w:b/>
                <w:bCs/>
                <w:szCs w:val="26"/>
              </w:rPr>
              <w:t>FAC-010-3,</w:t>
            </w:r>
            <w:r>
              <w:rPr>
                <w:b/>
                <w:bCs/>
                <w:szCs w:val="26"/>
              </w:rPr>
              <w:t xml:space="preserve"> </w:t>
            </w:r>
            <w:r w:rsidRPr="00DA710B">
              <w:rPr>
                <w:b/>
                <w:bCs/>
                <w:szCs w:val="26"/>
              </w:rPr>
              <w:t>FAC-011-3, and FAC-014-2</w:t>
            </w:r>
            <w:r>
              <w:rPr>
                <w:b/>
                <w:bCs/>
                <w:szCs w:val="26"/>
              </w:rPr>
              <w:t xml:space="preserve"> </w:t>
            </w:r>
            <w:r w:rsidRPr="00DA710B" w:rsidR="00BC6CF5">
              <w:rPr>
                <w:b/>
                <w:szCs w:val="26"/>
              </w:rPr>
              <w:t>Totals including</w:t>
            </w:r>
          </w:p>
          <w:p w:rsidRPr="00DA710B" w:rsidR="00BC6CF5" w:rsidP="00BC6CF5" w:rsidRDefault="00BC6CF5" w14:paraId="0444E1FA" w14:textId="58B34802">
            <w:pPr>
              <w:widowControl w:val="0"/>
              <w:autoSpaceDE w:val="0"/>
              <w:autoSpaceDN w:val="0"/>
              <w:adjustRightInd w:val="0"/>
              <w:jc w:val="right"/>
              <w:rPr>
                <w:b/>
                <w:szCs w:val="26"/>
              </w:rPr>
            </w:pPr>
            <w:r w:rsidRPr="00DA710B">
              <w:rPr>
                <w:b/>
                <w:szCs w:val="26"/>
              </w:rPr>
              <w:t xml:space="preserve">Record </w:t>
            </w:r>
          </w:p>
          <w:p w:rsidRPr="00DA710B" w:rsidR="00BC6CF5" w:rsidP="00BC6CF5" w:rsidRDefault="00BC6CF5" w14:paraId="619DE45F" w14:textId="77777777">
            <w:pPr>
              <w:widowControl w:val="0"/>
              <w:autoSpaceDE w:val="0"/>
              <w:autoSpaceDN w:val="0"/>
              <w:adjustRightInd w:val="0"/>
              <w:jc w:val="right"/>
              <w:rPr>
                <w:b/>
                <w:szCs w:val="26"/>
              </w:rPr>
            </w:pPr>
            <w:r w:rsidRPr="00DA710B">
              <w:rPr>
                <w:b/>
                <w:szCs w:val="26"/>
              </w:rPr>
              <w:t>Retention</w:t>
            </w:r>
          </w:p>
        </w:tc>
        <w:tc>
          <w:tcPr>
            <w:tcW w:w="1081" w:type="dxa"/>
            <w:tcBorders>
              <w:top w:val="single" w:color="auto" w:sz="4" w:space="0"/>
              <w:left w:val="single" w:color="auto" w:sz="4" w:space="0"/>
              <w:bottom w:val="single" w:color="auto" w:sz="4" w:space="0"/>
              <w:right w:val="single" w:color="auto" w:sz="4" w:space="0"/>
            </w:tcBorders>
            <w:shd w:val="clear" w:color="auto" w:fill="BFBFBF"/>
          </w:tcPr>
          <w:p w:rsidRPr="00DA710B" w:rsidR="00BC6CF5" w:rsidP="00BC6CF5" w:rsidRDefault="00BC6CF5" w14:paraId="014F0554" w14:textId="77777777">
            <w:pPr>
              <w:jc w:val="right"/>
              <w:rPr>
                <w:rFonts w:eastAsia="Calibri"/>
                <w:szCs w:val="26"/>
              </w:rPr>
            </w:pPr>
            <w:r w:rsidRPr="00DA710B">
              <w:rPr>
                <w:rFonts w:eastAsia="Calibri"/>
                <w:szCs w:val="26"/>
              </w:rPr>
              <w:t>1,957</w:t>
            </w:r>
          </w:p>
        </w:tc>
        <w:tc>
          <w:tcPr>
            <w:tcW w:w="1760" w:type="dxa"/>
            <w:tcBorders>
              <w:top w:val="single" w:color="auto" w:sz="4" w:space="0"/>
              <w:left w:val="single" w:color="auto" w:sz="4" w:space="0"/>
              <w:bottom w:val="single" w:color="auto" w:sz="4" w:space="0"/>
              <w:right w:val="single" w:color="auto" w:sz="4" w:space="0"/>
            </w:tcBorders>
            <w:shd w:val="clear" w:color="auto" w:fill="BFBFBF"/>
          </w:tcPr>
          <w:p w:rsidRPr="00DA710B" w:rsidR="00BC6CF5" w:rsidP="00BC6CF5" w:rsidRDefault="00BC6CF5" w14:paraId="4F8C21CF" w14:textId="77777777">
            <w:pPr>
              <w:jc w:val="right"/>
              <w:rPr>
                <w:rFonts w:eastAsia="Calibri"/>
                <w:szCs w:val="26"/>
              </w:rPr>
            </w:pPr>
            <w:r w:rsidRPr="00DA710B">
              <w:rPr>
                <w:rFonts w:eastAsia="Calibri"/>
                <w:szCs w:val="26"/>
              </w:rPr>
              <w:t>1</w:t>
            </w:r>
          </w:p>
        </w:tc>
        <w:tc>
          <w:tcPr>
            <w:tcW w:w="1299" w:type="dxa"/>
            <w:tcBorders>
              <w:top w:val="single" w:color="auto" w:sz="4" w:space="0"/>
              <w:left w:val="single" w:color="auto" w:sz="4" w:space="0"/>
              <w:bottom w:val="single" w:color="auto" w:sz="4" w:space="0"/>
              <w:right w:val="single" w:color="auto" w:sz="4" w:space="0"/>
            </w:tcBorders>
            <w:shd w:val="clear" w:color="auto" w:fill="BFBFBF"/>
          </w:tcPr>
          <w:p w:rsidRPr="00DA710B" w:rsidR="00BC6CF5" w:rsidP="00BC6CF5" w:rsidRDefault="00BC6CF5" w14:paraId="4DF9E82D" w14:textId="2EA122EA">
            <w:pPr>
              <w:jc w:val="right"/>
              <w:rPr>
                <w:rFonts w:eastAsia="Calibri"/>
                <w:szCs w:val="26"/>
              </w:rPr>
            </w:pPr>
            <w:r w:rsidRPr="00DA710B">
              <w:rPr>
                <w:rFonts w:eastAsia="Calibri"/>
                <w:szCs w:val="26"/>
              </w:rPr>
              <w:t>1,957</w:t>
            </w:r>
          </w:p>
        </w:tc>
        <w:tc>
          <w:tcPr>
            <w:tcW w:w="1530" w:type="dxa"/>
            <w:tcBorders>
              <w:top w:val="single" w:color="auto" w:sz="4" w:space="0"/>
              <w:left w:val="single" w:color="auto" w:sz="4" w:space="0"/>
              <w:bottom w:val="single" w:color="auto" w:sz="4" w:space="0"/>
              <w:right w:val="single" w:color="auto" w:sz="4" w:space="0"/>
            </w:tcBorders>
            <w:shd w:val="clear" w:color="auto" w:fill="BFBFBF"/>
          </w:tcPr>
          <w:p w:rsidRPr="00DA710B" w:rsidR="00BC6CF5" w:rsidP="00BC6CF5" w:rsidRDefault="00BC6CF5" w14:paraId="074CF3D2" w14:textId="77777777">
            <w:pPr>
              <w:jc w:val="right"/>
              <w:rPr>
                <w:rFonts w:eastAsia="Calibri"/>
                <w:szCs w:val="26"/>
              </w:rPr>
            </w:pPr>
            <w:r w:rsidRPr="00DA710B">
              <w:rPr>
                <w:rFonts w:eastAsia="Calibri"/>
                <w:szCs w:val="26"/>
              </w:rPr>
              <w:t>366.7 hrs.;</w:t>
            </w:r>
          </w:p>
        </w:tc>
        <w:tc>
          <w:tcPr>
            <w:tcW w:w="1891" w:type="dxa"/>
            <w:tcBorders>
              <w:top w:val="single" w:color="auto" w:sz="4" w:space="0"/>
              <w:left w:val="single" w:color="auto" w:sz="4" w:space="0"/>
              <w:bottom w:val="single" w:color="auto" w:sz="4" w:space="0"/>
              <w:right w:val="single" w:color="auto" w:sz="4" w:space="0"/>
            </w:tcBorders>
            <w:shd w:val="clear" w:color="auto" w:fill="BFBFBF"/>
          </w:tcPr>
          <w:p w:rsidRPr="00DA710B" w:rsidR="00BC6CF5" w:rsidP="00BC6CF5" w:rsidRDefault="00BC6CF5" w14:paraId="2E32813A" w14:textId="77777777">
            <w:pPr>
              <w:jc w:val="right"/>
              <w:rPr>
                <w:rFonts w:eastAsia="Calibri"/>
                <w:szCs w:val="26"/>
              </w:rPr>
            </w:pPr>
            <w:r w:rsidRPr="00DA710B">
              <w:rPr>
                <w:rFonts w:eastAsia="Calibri"/>
                <w:szCs w:val="26"/>
              </w:rPr>
              <w:t>168,655 hrs.</w:t>
            </w:r>
            <w:r w:rsidRPr="00DA710B">
              <w:rPr>
                <w:rFonts w:eastAsia="Calibri"/>
                <w:szCs w:val="26"/>
                <w:vertAlign w:val="superscript"/>
              </w:rPr>
              <w:footnoteReference w:id="27"/>
            </w:r>
            <w:r w:rsidRPr="00DA710B">
              <w:rPr>
                <w:rFonts w:eastAsia="Calibri"/>
                <w:szCs w:val="26"/>
              </w:rPr>
              <w:t>;</w:t>
            </w:r>
          </w:p>
          <w:p w:rsidRPr="00DA710B" w:rsidR="00BC6CF5" w:rsidP="00BC6CF5" w:rsidRDefault="00BC6CF5" w14:paraId="629461EA" w14:textId="77777777">
            <w:pPr>
              <w:jc w:val="right"/>
              <w:rPr>
                <w:rFonts w:eastAsia="Calibri"/>
                <w:szCs w:val="26"/>
              </w:rPr>
            </w:pPr>
            <w:r w:rsidRPr="00DA710B">
              <w:rPr>
                <w:rFonts w:eastAsia="Calibri"/>
                <w:szCs w:val="26"/>
              </w:rPr>
              <w:t>$14,079,040.68</w:t>
            </w:r>
          </w:p>
        </w:tc>
      </w:tr>
    </w:tbl>
    <w:p w:rsidRPr="00282E43" w:rsidR="00FC71E8" w:rsidP="00282E43" w:rsidRDefault="00FC71E8" w14:paraId="4144044D" w14:textId="77777777">
      <w:pPr>
        <w:rPr>
          <w:rFonts w:eastAsiaTheme="minorHAnsi"/>
          <w:b/>
        </w:rPr>
      </w:pPr>
    </w:p>
    <w:p w:rsidRPr="007219DE" w:rsidR="003B29FB" w:rsidP="00FC71E8" w:rsidRDefault="003B29FB" w14:paraId="50E8392C" w14:textId="7001EA2C">
      <w:pPr>
        <w:spacing w:line="480" w:lineRule="auto"/>
        <w:rPr>
          <w:szCs w:val="26"/>
        </w:rPr>
      </w:pPr>
      <w:r w:rsidRPr="007219DE">
        <w:rPr>
          <w:i/>
          <w:szCs w:val="26"/>
        </w:rPr>
        <w:t xml:space="preserve">Comments:  </w:t>
      </w:r>
      <w:r w:rsidRPr="007219DE">
        <w:rPr>
          <w:szCs w:val="26"/>
        </w:rPr>
        <w:t xml:space="preserve">Comments are invited on:  (1) whether the collection of information is </w:t>
      </w:r>
      <w:bookmarkStart w:name="_GoBack" w:id="5"/>
      <w:bookmarkEnd w:id="5"/>
      <w:r w:rsidRPr="007219DE">
        <w:rPr>
          <w:szCs w:val="26"/>
        </w:rPr>
        <w:t xml:space="preserve">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4E3713" w:rsidP="00964A22" w:rsidRDefault="004E3713" w14:paraId="46680D64" w14:textId="5BC4D186">
      <w:pPr>
        <w:rPr>
          <w:szCs w:val="26"/>
        </w:rPr>
      </w:pPr>
    </w:p>
    <w:p w:rsidR="00964A22" w:rsidP="00964A22" w:rsidRDefault="00964A22" w14:paraId="28A6E4D0" w14:textId="40854657">
      <w:pPr>
        <w:rPr>
          <w:szCs w:val="26"/>
        </w:rPr>
      </w:pPr>
    </w:p>
    <w:p w:rsidR="00964A22" w:rsidP="00964A22" w:rsidRDefault="00964A22" w14:paraId="53E85B09" w14:textId="1875FCC9">
      <w:pPr>
        <w:rPr>
          <w:szCs w:val="26"/>
        </w:rPr>
      </w:pPr>
    </w:p>
    <w:p w:rsidR="00964A22" w:rsidP="00964A22" w:rsidRDefault="00964A22" w14:paraId="016F5A01" w14:textId="1B6D14A0">
      <w:pPr>
        <w:rPr>
          <w:szCs w:val="26"/>
        </w:rPr>
      </w:pPr>
    </w:p>
    <w:p w:rsidRPr="00964A22" w:rsidR="00964A22" w:rsidP="00964A22" w:rsidRDefault="00964A22" w14:paraId="42BD0B4D" w14:textId="31E24360">
      <w:pPr>
        <w:ind w:firstLine="2606"/>
        <w:jc w:val="center"/>
      </w:pPr>
      <w:r w:rsidRPr="00964A22">
        <w:t>Nathaniel J. Davis, Sr.,</w:t>
      </w:r>
    </w:p>
    <w:p w:rsidRPr="00127976" w:rsidR="00964A22" w:rsidP="00127976" w:rsidRDefault="00964A22" w14:paraId="3119682A" w14:textId="3552956B">
      <w:pPr>
        <w:ind w:firstLine="2606"/>
        <w:jc w:val="center"/>
      </w:pPr>
      <w:r w:rsidRPr="00964A22">
        <w:t>Deputy Secretary.</w:t>
      </w:r>
    </w:p>
    <w:sectPr w:rsidRPr="00127976" w:rsidR="00964A22" w:rsidSect="00DF4B6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E6439" w14:textId="77777777" w:rsidR="00707D8E" w:rsidRDefault="00707D8E" w:rsidP="003B29FB">
      <w:r>
        <w:separator/>
      </w:r>
    </w:p>
  </w:endnote>
  <w:endnote w:type="continuationSeparator" w:id="0">
    <w:p w14:paraId="638A35A8" w14:textId="77777777" w:rsidR="00707D8E" w:rsidRDefault="00707D8E" w:rsidP="003B29FB">
      <w:r>
        <w:continuationSeparator/>
      </w:r>
    </w:p>
  </w:endnote>
  <w:endnote w:type="continuationNotice" w:id="1">
    <w:p w14:paraId="5C2D3DA7" w14:textId="77777777" w:rsidR="00707D8E" w:rsidRDefault="00707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94F87" w14:textId="77777777" w:rsidR="00707D8E" w:rsidRDefault="00707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8085" w14:textId="77777777" w:rsidR="00707D8E" w:rsidRDefault="00707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4C2E" w14:textId="77777777" w:rsidR="00707D8E" w:rsidRDefault="00707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C62F5" w14:textId="77777777" w:rsidR="00707D8E" w:rsidRDefault="00707D8E" w:rsidP="003B29FB">
      <w:r>
        <w:separator/>
      </w:r>
    </w:p>
  </w:footnote>
  <w:footnote w:type="continuationSeparator" w:id="0">
    <w:p w14:paraId="13581A17" w14:textId="77777777" w:rsidR="00707D8E" w:rsidRDefault="00707D8E" w:rsidP="003B29FB">
      <w:r>
        <w:continuationSeparator/>
      </w:r>
    </w:p>
  </w:footnote>
  <w:footnote w:type="continuationNotice" w:id="1">
    <w:p w14:paraId="76F225E6" w14:textId="77777777" w:rsidR="00707D8E" w:rsidRDefault="00707D8E"/>
  </w:footnote>
  <w:footnote w:id="2">
    <w:p w14:paraId="60A18DBD" w14:textId="119E9053" w:rsidR="00707D8E" w:rsidRPr="00BC6CF5" w:rsidRDefault="00707D8E" w:rsidP="002C700C">
      <w:pPr>
        <w:pStyle w:val="FootnoteText"/>
        <w:ind w:firstLine="720"/>
        <w:rPr>
          <w:sz w:val="26"/>
          <w:szCs w:val="26"/>
        </w:rPr>
      </w:pPr>
      <w:r>
        <w:rPr>
          <w:rStyle w:val="FootnoteReference"/>
        </w:rPr>
        <w:footnoteRef/>
      </w:r>
      <w:r>
        <w:t xml:space="preserve"> </w:t>
      </w:r>
      <w:r w:rsidRPr="00BC6CF5">
        <w:rPr>
          <w:sz w:val="26"/>
          <w:szCs w:val="26"/>
        </w:rPr>
        <w:t xml:space="preserve">This renewal is being submitted to extend the OMB expiration date and will not </w:t>
      </w:r>
      <w:proofErr w:type="gramStart"/>
      <w:r w:rsidRPr="00BC6CF5">
        <w:rPr>
          <w:sz w:val="26"/>
          <w:szCs w:val="26"/>
        </w:rPr>
        <w:t>have an effect on</w:t>
      </w:r>
      <w:proofErr w:type="gramEnd"/>
      <w:r w:rsidRPr="00BC6CF5">
        <w:rPr>
          <w:sz w:val="26"/>
          <w:szCs w:val="26"/>
        </w:rPr>
        <w:t xml:space="preserve"> the Docket No. RD20-4 that was also addressed separately.</w:t>
      </w:r>
    </w:p>
  </w:footnote>
  <w:footnote w:id="3">
    <w:p w14:paraId="618343F7" w14:textId="77777777" w:rsidR="00707D8E" w:rsidRPr="001B4BC1" w:rsidRDefault="00707D8E" w:rsidP="00707D8E">
      <w:pPr>
        <w:pStyle w:val="FootnoteText"/>
        <w:ind w:firstLine="720"/>
        <w:rPr>
          <w:sz w:val="26"/>
          <w:szCs w:val="26"/>
        </w:rPr>
      </w:pPr>
      <w:r w:rsidRPr="007E36E7">
        <w:rPr>
          <w:rStyle w:val="FootnoteReference"/>
        </w:rPr>
        <w:footnoteRef/>
      </w:r>
      <w:r w:rsidRPr="001B4BC1">
        <w:rPr>
          <w:sz w:val="26"/>
          <w:szCs w:val="26"/>
        </w:rPr>
        <w:t xml:space="preserve"> FAC-001-3 </w:t>
      </w:r>
      <w:r>
        <w:rPr>
          <w:sz w:val="26"/>
          <w:szCs w:val="26"/>
        </w:rPr>
        <w:t xml:space="preserve">is included in the OMB-approved inventory for FERC-725D. </w:t>
      </w:r>
    </w:p>
  </w:footnote>
  <w:footnote w:id="4">
    <w:p w14:paraId="03D3450F" w14:textId="77777777" w:rsidR="00707D8E" w:rsidRDefault="00707D8E" w:rsidP="00707D8E">
      <w:pPr>
        <w:pStyle w:val="FootnoteText"/>
        <w:ind w:firstLine="720"/>
        <w:rPr>
          <w:sz w:val="26"/>
          <w:szCs w:val="26"/>
        </w:rPr>
      </w:pPr>
      <w:r>
        <w:rPr>
          <w:rStyle w:val="FootnoteReference"/>
        </w:rPr>
        <w:footnoteRef/>
      </w:r>
      <w:r>
        <w:t xml:space="preserve"> </w:t>
      </w:r>
      <w:r w:rsidRPr="00497CBC">
        <w:rPr>
          <w:sz w:val="26"/>
          <w:szCs w:val="26"/>
        </w:rPr>
        <w:t xml:space="preserve">The </w:t>
      </w:r>
      <w:r>
        <w:rPr>
          <w:sz w:val="26"/>
          <w:szCs w:val="26"/>
        </w:rPr>
        <w:t xml:space="preserve">burden associated FAC-002-2 is </w:t>
      </w:r>
      <w:r w:rsidRPr="004F4CD7">
        <w:rPr>
          <w:sz w:val="26"/>
          <w:szCs w:val="26"/>
        </w:rPr>
        <w:t xml:space="preserve">included in </w:t>
      </w:r>
      <w:r>
        <w:rPr>
          <w:sz w:val="26"/>
          <w:szCs w:val="26"/>
        </w:rPr>
        <w:t xml:space="preserve">the </w:t>
      </w:r>
      <w:r w:rsidRPr="00EE78F1">
        <w:rPr>
          <w:sz w:val="26"/>
          <w:szCs w:val="26"/>
        </w:rPr>
        <w:t xml:space="preserve">OMB-approved inventory </w:t>
      </w:r>
      <w:r>
        <w:rPr>
          <w:sz w:val="26"/>
          <w:szCs w:val="26"/>
        </w:rPr>
        <w:t>for FERC-725D.  Reliability Standard FAC-002-3 was approved October 30, 2020 by order in Docket No. RD20-4-000.  The net reduction in burden associated with FAC-002-3 is pending OMB approval in Docket No. RD20-4-000 and is reflected in this request for a three-year renewal.</w:t>
      </w:r>
    </w:p>
    <w:p w14:paraId="5B0CFA42" w14:textId="77777777" w:rsidR="00707D8E" w:rsidRDefault="00707D8E" w:rsidP="00707D8E">
      <w:pPr>
        <w:pStyle w:val="FootnoteText"/>
        <w:ind w:firstLine="720"/>
      </w:pPr>
    </w:p>
  </w:footnote>
  <w:footnote w:id="5">
    <w:p w14:paraId="1BE99D74" w14:textId="77777777" w:rsidR="00707D8E" w:rsidRDefault="00707D8E" w:rsidP="00707D8E">
      <w:pPr>
        <w:pStyle w:val="FootnoteText"/>
        <w:ind w:firstLine="720"/>
        <w:rPr>
          <w:sz w:val="26"/>
          <w:szCs w:val="26"/>
        </w:rPr>
      </w:pPr>
      <w:r w:rsidRPr="004B72EB">
        <w:rPr>
          <w:rStyle w:val="FootnoteReference"/>
        </w:rPr>
        <w:footnoteRef/>
      </w:r>
      <w:r w:rsidRPr="00134A9C">
        <w:rPr>
          <w:sz w:val="26"/>
          <w:szCs w:val="26"/>
        </w:rPr>
        <w:t xml:space="preserve"> </w:t>
      </w:r>
      <w:r>
        <w:rPr>
          <w:sz w:val="26"/>
          <w:szCs w:val="26"/>
        </w:rPr>
        <w:t xml:space="preserve">The burden associated with </w:t>
      </w:r>
      <w:r w:rsidRPr="004B72EB">
        <w:rPr>
          <w:sz w:val="26"/>
          <w:szCs w:val="26"/>
        </w:rPr>
        <w:t>FAC-0</w:t>
      </w:r>
      <w:r>
        <w:rPr>
          <w:sz w:val="26"/>
          <w:szCs w:val="26"/>
        </w:rPr>
        <w:t>10</w:t>
      </w:r>
      <w:r w:rsidRPr="004B72EB">
        <w:rPr>
          <w:sz w:val="26"/>
          <w:szCs w:val="26"/>
        </w:rPr>
        <w:t>-</w:t>
      </w:r>
      <w:r>
        <w:rPr>
          <w:sz w:val="26"/>
          <w:szCs w:val="26"/>
        </w:rPr>
        <w:t>2</w:t>
      </w:r>
      <w:r w:rsidRPr="004B72EB">
        <w:rPr>
          <w:sz w:val="26"/>
          <w:szCs w:val="26"/>
        </w:rPr>
        <w:t xml:space="preserve"> is included in the OMB-approved inventory for FERC-725D.</w:t>
      </w:r>
      <w:r>
        <w:rPr>
          <w:sz w:val="26"/>
          <w:szCs w:val="26"/>
        </w:rPr>
        <w:t xml:space="preserve">  Reliability Standard FAC-010-2.1 was approved April 19, 2010 by order in Docket No. RD10-9-000.  FAC-010-2.1 did not change the burden associated with FAC-010-2 because it included errata renumbering of specific requirements.  Reliability Standard FAC-010-3 was approved November 19, 2015 in FERC Order No. 818, Docket No. RM15-13-000.  The only change to the standard was replacing the term “special protection system” with “remedial action scheme.”  This change did not result in a change in the information collection.</w:t>
      </w:r>
    </w:p>
    <w:p w14:paraId="6C4A3F0F" w14:textId="77777777" w:rsidR="00707D8E" w:rsidRPr="00134A9C" w:rsidRDefault="00707D8E" w:rsidP="00707D8E">
      <w:pPr>
        <w:pStyle w:val="FootnoteText"/>
        <w:ind w:firstLine="720"/>
        <w:rPr>
          <w:sz w:val="26"/>
          <w:szCs w:val="26"/>
        </w:rPr>
      </w:pPr>
    </w:p>
  </w:footnote>
  <w:footnote w:id="6">
    <w:p w14:paraId="77620D12" w14:textId="77777777" w:rsidR="00707D8E" w:rsidRDefault="00707D8E" w:rsidP="00707D8E">
      <w:pPr>
        <w:pStyle w:val="FootnoteText"/>
        <w:ind w:firstLine="720"/>
        <w:rPr>
          <w:sz w:val="26"/>
          <w:szCs w:val="26"/>
        </w:rPr>
      </w:pPr>
      <w:r w:rsidRPr="00B55649">
        <w:rPr>
          <w:rStyle w:val="FootnoteReference"/>
        </w:rPr>
        <w:footnoteRef/>
      </w:r>
      <w:r w:rsidRPr="001B4BC1">
        <w:rPr>
          <w:sz w:val="26"/>
          <w:szCs w:val="26"/>
        </w:rPr>
        <w:t xml:space="preserve"> The burden associated with</w:t>
      </w:r>
      <w:r>
        <w:t xml:space="preserve"> </w:t>
      </w:r>
      <w:r w:rsidRPr="004B72EB">
        <w:rPr>
          <w:sz w:val="26"/>
          <w:szCs w:val="26"/>
        </w:rPr>
        <w:t>FAC-0</w:t>
      </w:r>
      <w:r>
        <w:rPr>
          <w:sz w:val="26"/>
          <w:szCs w:val="26"/>
        </w:rPr>
        <w:t>11</w:t>
      </w:r>
      <w:r w:rsidRPr="004B72EB">
        <w:rPr>
          <w:sz w:val="26"/>
          <w:szCs w:val="26"/>
        </w:rPr>
        <w:t>-</w:t>
      </w:r>
      <w:r>
        <w:rPr>
          <w:sz w:val="26"/>
          <w:szCs w:val="26"/>
        </w:rPr>
        <w:t>2</w:t>
      </w:r>
      <w:r w:rsidRPr="004B72EB">
        <w:rPr>
          <w:sz w:val="26"/>
          <w:szCs w:val="26"/>
        </w:rPr>
        <w:t xml:space="preserve"> is included in the OMB-approved inventory for FERC-725D.</w:t>
      </w:r>
      <w:r>
        <w:rPr>
          <w:sz w:val="26"/>
          <w:szCs w:val="26"/>
        </w:rPr>
        <w:t xml:space="preserve">  Reliability Standard FAC-011-3 was approved November 19, 2015 in FERC Order No. 818, Docket No. RM15-13-000.  The only change to the standard was replacing the term “special protection system” with “remedial action scheme.”  This change did not result in a change in the information collection.</w:t>
      </w:r>
    </w:p>
    <w:p w14:paraId="079C57AA" w14:textId="77777777" w:rsidR="00707D8E" w:rsidRDefault="00707D8E" w:rsidP="00707D8E">
      <w:pPr>
        <w:pStyle w:val="FootnoteText"/>
        <w:ind w:firstLine="720"/>
      </w:pPr>
    </w:p>
  </w:footnote>
  <w:footnote w:id="7">
    <w:p w14:paraId="13DBCC6F" w14:textId="77777777" w:rsidR="00707D8E" w:rsidRDefault="00707D8E" w:rsidP="00707D8E">
      <w:pPr>
        <w:pStyle w:val="FootnoteText"/>
        <w:ind w:firstLine="720"/>
        <w:rPr>
          <w:sz w:val="26"/>
          <w:szCs w:val="26"/>
        </w:rPr>
      </w:pPr>
      <w:r>
        <w:rPr>
          <w:rStyle w:val="FootnoteReference"/>
        </w:rPr>
        <w:footnoteRef/>
      </w:r>
      <w:r>
        <w:t xml:space="preserve"> </w:t>
      </w:r>
      <w:r w:rsidRPr="00134A9C">
        <w:rPr>
          <w:sz w:val="26"/>
          <w:szCs w:val="26"/>
        </w:rPr>
        <w:t>The burden associated with</w:t>
      </w:r>
      <w:r>
        <w:t xml:space="preserve"> </w:t>
      </w:r>
      <w:r w:rsidRPr="00134A9C">
        <w:rPr>
          <w:sz w:val="26"/>
          <w:szCs w:val="26"/>
        </w:rPr>
        <w:t>FAC-0</w:t>
      </w:r>
      <w:r>
        <w:rPr>
          <w:sz w:val="26"/>
          <w:szCs w:val="26"/>
        </w:rPr>
        <w:t>14</w:t>
      </w:r>
      <w:r w:rsidRPr="00134A9C">
        <w:rPr>
          <w:sz w:val="26"/>
          <w:szCs w:val="26"/>
        </w:rPr>
        <w:t>-</w:t>
      </w:r>
      <w:r>
        <w:rPr>
          <w:sz w:val="26"/>
          <w:szCs w:val="26"/>
        </w:rPr>
        <w:t>2</w:t>
      </w:r>
      <w:r w:rsidRPr="00134A9C">
        <w:rPr>
          <w:sz w:val="26"/>
          <w:szCs w:val="26"/>
        </w:rPr>
        <w:t xml:space="preserve"> </w:t>
      </w:r>
      <w:r>
        <w:rPr>
          <w:sz w:val="26"/>
          <w:szCs w:val="26"/>
        </w:rPr>
        <w:t>is included in the OMB-approved inventory for FERC-725D.</w:t>
      </w:r>
    </w:p>
    <w:p w14:paraId="723E7039" w14:textId="77777777" w:rsidR="00707D8E" w:rsidRPr="00AF6A3A" w:rsidRDefault="00707D8E" w:rsidP="00707D8E">
      <w:pPr>
        <w:pStyle w:val="FootnoteText"/>
        <w:ind w:firstLine="720"/>
        <w:rPr>
          <w:sz w:val="26"/>
          <w:szCs w:val="26"/>
        </w:rPr>
      </w:pPr>
    </w:p>
  </w:footnote>
  <w:footnote w:id="8">
    <w:p w14:paraId="606439DC" w14:textId="77777777" w:rsidR="00707D8E" w:rsidRDefault="00707D8E" w:rsidP="00707D8E">
      <w:pPr>
        <w:pStyle w:val="FootnoteText"/>
        <w:ind w:firstLine="720"/>
        <w:rPr>
          <w:sz w:val="26"/>
          <w:szCs w:val="26"/>
        </w:rPr>
      </w:pPr>
      <w:r>
        <w:rPr>
          <w:rStyle w:val="FootnoteReference"/>
        </w:rPr>
        <w:footnoteRef/>
      </w:r>
      <w:r>
        <w:t xml:space="preserve"> </w:t>
      </w:r>
      <w:r w:rsidRPr="00497CBC">
        <w:rPr>
          <w:sz w:val="26"/>
          <w:szCs w:val="26"/>
        </w:rPr>
        <w:t xml:space="preserve">The </w:t>
      </w:r>
      <w:r>
        <w:rPr>
          <w:sz w:val="26"/>
          <w:szCs w:val="26"/>
        </w:rPr>
        <w:t xml:space="preserve">burden associated with FAC-002-2 is </w:t>
      </w:r>
      <w:r w:rsidRPr="004F4CD7">
        <w:rPr>
          <w:sz w:val="26"/>
          <w:szCs w:val="26"/>
        </w:rPr>
        <w:t xml:space="preserve">included in </w:t>
      </w:r>
      <w:r>
        <w:rPr>
          <w:sz w:val="26"/>
          <w:szCs w:val="26"/>
        </w:rPr>
        <w:t xml:space="preserve">the </w:t>
      </w:r>
      <w:r w:rsidRPr="00EE78F1">
        <w:rPr>
          <w:sz w:val="26"/>
          <w:szCs w:val="26"/>
        </w:rPr>
        <w:t xml:space="preserve">OMB-approved inventory </w:t>
      </w:r>
      <w:r>
        <w:rPr>
          <w:sz w:val="26"/>
          <w:szCs w:val="26"/>
        </w:rPr>
        <w:t>for FERC-725D.  Reliability Standard FAC-002-3 was approved October 30, 2020 by order in Docket No. RD20-4-000.  The change in burden associated with FAC-002-3 is pending OMB approval in Docket No. RD20-4-000 and is reflected in this request for a three-year renewal.</w:t>
      </w:r>
    </w:p>
    <w:p w14:paraId="000C9035" w14:textId="77777777" w:rsidR="00707D8E" w:rsidRDefault="00707D8E" w:rsidP="00707D8E">
      <w:pPr>
        <w:pStyle w:val="FootnoteText"/>
        <w:ind w:firstLine="720"/>
      </w:pPr>
    </w:p>
  </w:footnote>
  <w:footnote w:id="9">
    <w:p w14:paraId="7D04E837" w14:textId="77777777" w:rsidR="00707D8E" w:rsidRDefault="00707D8E" w:rsidP="00707D8E">
      <w:pPr>
        <w:pStyle w:val="FootnoteText"/>
        <w:ind w:firstLine="720"/>
        <w:rPr>
          <w:sz w:val="26"/>
          <w:szCs w:val="26"/>
        </w:rPr>
      </w:pPr>
      <w:r>
        <w:rPr>
          <w:rStyle w:val="FootnoteReference"/>
        </w:rPr>
        <w:footnoteRef/>
      </w:r>
      <w:r>
        <w:t xml:space="preserve"> </w:t>
      </w:r>
      <w:r w:rsidRPr="001B4BC1">
        <w:rPr>
          <w:sz w:val="26"/>
          <w:szCs w:val="26"/>
        </w:rPr>
        <w:t xml:space="preserve">The petition and exhibits are posted in the Commission’s eLibrary system in Docket No. RD20-4-000 </w:t>
      </w:r>
      <w:hyperlink r:id="rId1" w:history="1">
        <w:r w:rsidRPr="001B4BC1">
          <w:rPr>
            <w:rStyle w:val="Hyperlink"/>
            <w:sz w:val="26"/>
            <w:szCs w:val="26"/>
          </w:rPr>
          <w:t>(</w:t>
        </w:r>
        <w:r w:rsidRPr="009027D0">
          <w:rPr>
            <w:rStyle w:val="Hyperlink"/>
            <w:sz w:val="26"/>
            <w:szCs w:val="26"/>
          </w:rPr>
          <w:t>Standards Alignment with Registration Petition</w:t>
        </w:r>
        <w:r w:rsidRPr="001B4BC1">
          <w:rPr>
            <w:rStyle w:val="Hyperlink"/>
            <w:sz w:val="26"/>
            <w:szCs w:val="26"/>
          </w:rPr>
          <w:t>)</w:t>
        </w:r>
      </w:hyperlink>
    </w:p>
    <w:p w14:paraId="404D7134" w14:textId="77777777" w:rsidR="00707D8E" w:rsidRPr="001B4BC1" w:rsidRDefault="00707D8E" w:rsidP="00707D8E">
      <w:pPr>
        <w:pStyle w:val="FootnoteText"/>
        <w:ind w:firstLine="720"/>
        <w:rPr>
          <w:sz w:val="26"/>
          <w:szCs w:val="26"/>
        </w:rPr>
      </w:pPr>
    </w:p>
  </w:footnote>
  <w:footnote w:id="10">
    <w:p w14:paraId="75FCBCAB" w14:textId="77777777" w:rsidR="00707D8E" w:rsidRDefault="00707D8E" w:rsidP="00707D8E">
      <w:pPr>
        <w:pStyle w:val="FootnoteText"/>
        <w:ind w:firstLine="720"/>
        <w:rPr>
          <w:sz w:val="26"/>
          <w:szCs w:val="26"/>
        </w:rPr>
      </w:pPr>
      <w:r>
        <w:rPr>
          <w:rStyle w:val="FootnoteReference"/>
        </w:rPr>
        <w:footnoteRef/>
      </w:r>
      <w:r>
        <w:t xml:space="preserve"> </w:t>
      </w:r>
      <w:r>
        <w:rPr>
          <w:sz w:val="26"/>
          <w:szCs w:val="26"/>
        </w:rPr>
        <w:t>The adjustments to burden estimates associated with FAC-002-3 is pending OMB approval in Docket No. RD20-4-000</w:t>
      </w:r>
    </w:p>
    <w:p w14:paraId="7BDED1B8" w14:textId="77777777" w:rsidR="00707D8E" w:rsidRDefault="00707D8E" w:rsidP="00707D8E">
      <w:pPr>
        <w:pStyle w:val="FootnoteText"/>
        <w:ind w:firstLine="720"/>
      </w:pPr>
    </w:p>
  </w:footnote>
  <w:footnote w:id="11">
    <w:p w14:paraId="08B30C00" w14:textId="77777777" w:rsidR="00FD02FE" w:rsidRPr="00BC6CF5" w:rsidRDefault="00FD02FE" w:rsidP="002C700C">
      <w:pPr>
        <w:pStyle w:val="FootnoteText"/>
        <w:ind w:firstLine="720"/>
        <w:rPr>
          <w:sz w:val="26"/>
          <w:szCs w:val="26"/>
        </w:rPr>
      </w:pPr>
      <w:r w:rsidRPr="00BC6CF5">
        <w:rPr>
          <w:rStyle w:val="FootnoteReference"/>
        </w:rPr>
        <w:footnoteRef/>
      </w:r>
      <w:r w:rsidRPr="00BC6CF5">
        <w:rPr>
          <w:sz w:val="26"/>
          <w:szCs w:val="26"/>
        </w:rPr>
        <w:t xml:space="preserve"> PA=Planning Authority; PC=Planning Coordinator; TO=Transmission Owner; GO=Generator Owner; DP=Distribution Provider; TP=Transmission Provider.  </w:t>
      </w:r>
    </w:p>
  </w:footnote>
  <w:footnote w:id="12">
    <w:p w14:paraId="319D89EF" w14:textId="56048587" w:rsidR="00707D8E" w:rsidRPr="001B4BC1" w:rsidRDefault="00707D8E" w:rsidP="00FD02FE">
      <w:pPr>
        <w:pStyle w:val="FootnoteText"/>
        <w:ind w:firstLine="720"/>
        <w:rPr>
          <w:sz w:val="26"/>
          <w:szCs w:val="26"/>
        </w:rPr>
      </w:pPr>
      <w:r w:rsidRPr="00383F86">
        <w:rPr>
          <w:rStyle w:val="FootnoteReference"/>
        </w:rPr>
        <w:footnoteRef/>
      </w:r>
      <w:r w:rsidRPr="00383F86">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13">
    <w:p w14:paraId="351322C8" w14:textId="77777777" w:rsidR="00FD02FE" w:rsidRPr="00BC6CF5" w:rsidRDefault="00707D8E" w:rsidP="002C700C">
      <w:pPr>
        <w:pStyle w:val="FootnoteText"/>
        <w:ind w:firstLine="720"/>
        <w:rPr>
          <w:sz w:val="26"/>
          <w:szCs w:val="26"/>
        </w:rPr>
      </w:pPr>
      <w:r w:rsidRPr="00383F86">
        <w:rPr>
          <w:rStyle w:val="FootnoteReference"/>
        </w:rPr>
        <w:footnoteRef/>
      </w:r>
      <w:r w:rsidRPr="001B4BC1">
        <w:rPr>
          <w:sz w:val="26"/>
          <w:szCs w:val="26"/>
        </w:rPr>
        <w:t xml:space="preserve"> </w:t>
      </w:r>
      <w:r w:rsidR="00FD02FE" w:rsidRPr="00BC6CF5">
        <w:rPr>
          <w:sz w:val="26"/>
          <w:szCs w:val="26"/>
        </w:rPr>
        <w:t>The estimates for cost per hour are derived as follows:</w:t>
      </w:r>
    </w:p>
    <w:p w14:paraId="3A2A28C0" w14:textId="77777777" w:rsidR="00FD02FE" w:rsidRPr="00BC6CF5" w:rsidRDefault="00FD02FE" w:rsidP="00FD02FE">
      <w:pPr>
        <w:pStyle w:val="ListParagraph"/>
        <w:numPr>
          <w:ilvl w:val="0"/>
          <w:numId w:val="14"/>
        </w:numPr>
        <w:ind w:left="720"/>
        <w:rPr>
          <w:rStyle w:val="Hyperlink"/>
          <w:szCs w:val="26"/>
        </w:rPr>
      </w:pPr>
      <w:r w:rsidRPr="00BC6CF5">
        <w:rPr>
          <w:szCs w:val="26"/>
        </w:rPr>
        <w:t xml:space="preserve">$83.67/hour, the average of the salary plus benefits for a manager ($97.15/hour) and an electrical engineer ($70.19/hour), from Bureau of Labor and Statistics at </w:t>
      </w:r>
      <w:hyperlink r:id="rId2" w:tooltip="blocked::http://bls.gov/oes/current/naics3_221000.htm" w:history="1">
        <w:r w:rsidRPr="00BC6CF5">
          <w:rPr>
            <w:rStyle w:val="Hyperlink"/>
            <w:szCs w:val="26"/>
          </w:rPr>
          <w:t>http://bls.gov/oes/current/naics3_221000.htm</w:t>
        </w:r>
      </w:hyperlink>
      <w:r w:rsidRPr="00BC6CF5">
        <w:rPr>
          <w:rStyle w:val="Hyperlink"/>
          <w:szCs w:val="26"/>
        </w:rPr>
        <w:t>, as of June 2020</w:t>
      </w:r>
    </w:p>
    <w:p w14:paraId="2B84655C" w14:textId="17322194" w:rsidR="00707D8E" w:rsidRPr="00FD02FE" w:rsidRDefault="00FD02FE" w:rsidP="00FD02FE">
      <w:pPr>
        <w:pStyle w:val="ListParagraph"/>
        <w:numPr>
          <w:ilvl w:val="0"/>
          <w:numId w:val="14"/>
        </w:numPr>
        <w:ind w:left="720"/>
        <w:rPr>
          <w:szCs w:val="26"/>
        </w:rPr>
      </w:pPr>
      <w:r w:rsidRPr="00BC6CF5">
        <w:rPr>
          <w:szCs w:val="26"/>
        </w:rPr>
        <w:t xml:space="preserve">Record and Information </w:t>
      </w:r>
      <w:proofErr w:type="gramStart"/>
      <w:r w:rsidRPr="00BC6CF5">
        <w:rPr>
          <w:szCs w:val="26"/>
        </w:rPr>
        <w:t>Clerks(</w:t>
      </w:r>
      <w:proofErr w:type="gramEnd"/>
      <w:r w:rsidRPr="00BC6CF5">
        <w:rPr>
          <w:szCs w:val="26"/>
        </w:rPr>
        <w:t xml:space="preserve">43-4199): $41.03/hour, based on a Commission staff study of record retention burden cost. </w:t>
      </w:r>
    </w:p>
  </w:footnote>
  <w:footnote w:id="14">
    <w:p w14:paraId="11313A44" w14:textId="77777777" w:rsidR="00707D8E" w:rsidRDefault="00707D8E" w:rsidP="00707D8E">
      <w:pPr>
        <w:pStyle w:val="FootnoteText"/>
        <w:ind w:firstLine="720"/>
        <w:rPr>
          <w:sz w:val="26"/>
          <w:szCs w:val="26"/>
        </w:rPr>
      </w:pPr>
      <w:r>
        <w:rPr>
          <w:rStyle w:val="FootnoteReference"/>
        </w:rPr>
        <w:footnoteRef/>
      </w:r>
      <w:r>
        <w:t xml:space="preserve"> </w:t>
      </w:r>
      <w:r w:rsidRPr="001B4BC1">
        <w:rPr>
          <w:sz w:val="26"/>
          <w:szCs w:val="26"/>
        </w:rPr>
        <w:t>The OMB-approved burden for</w:t>
      </w:r>
      <w:r>
        <w:rPr>
          <w:sz w:val="26"/>
          <w:szCs w:val="26"/>
        </w:rPr>
        <w:t xml:space="preserve"> FAC-002-2 of 399 responses does not include the responses for record retention as shown in Docket No. RD14-12-000.  The net reduction in burden of 146 responses for FAC-002-3 is pending OMB approval under Docket No. RD20-4-000 and reflects </w:t>
      </w:r>
    </w:p>
    <w:p w14:paraId="2894ECE4" w14:textId="77777777" w:rsidR="00707D8E" w:rsidRDefault="00707D8E" w:rsidP="00707D8E">
      <w:pPr>
        <w:pStyle w:val="FootnoteText"/>
        <w:numPr>
          <w:ilvl w:val="0"/>
          <w:numId w:val="13"/>
        </w:numPr>
        <w:rPr>
          <w:sz w:val="26"/>
          <w:szCs w:val="26"/>
        </w:rPr>
      </w:pPr>
      <w:r>
        <w:rPr>
          <w:sz w:val="26"/>
          <w:szCs w:val="26"/>
        </w:rPr>
        <w:t>an adjusted addition of 20 PCs and TPs for studies and evidence retention, which results in an increase of 40 responses; and</w:t>
      </w:r>
    </w:p>
    <w:p w14:paraId="7450A46B" w14:textId="402F7D26" w:rsidR="00707D8E" w:rsidRDefault="00707D8E" w:rsidP="00707D8E">
      <w:pPr>
        <w:pStyle w:val="FootnoteText"/>
        <w:numPr>
          <w:ilvl w:val="0"/>
          <w:numId w:val="13"/>
        </w:numPr>
        <w:rPr>
          <w:sz w:val="26"/>
          <w:szCs w:val="26"/>
        </w:rPr>
      </w:pPr>
      <w:r>
        <w:rPr>
          <w:sz w:val="26"/>
          <w:szCs w:val="26"/>
        </w:rPr>
        <w:t>a program and adjusted reduction of 63 de-registered load-serving entities and 30 TOs, GOs, and DPs for coordination and evidence retention, which results in a decrease of 1</w:t>
      </w:r>
      <w:r w:rsidR="003B1617">
        <w:rPr>
          <w:sz w:val="26"/>
          <w:szCs w:val="26"/>
        </w:rPr>
        <w:t>4</w:t>
      </w:r>
      <w:r>
        <w:rPr>
          <w:sz w:val="26"/>
          <w:szCs w:val="26"/>
        </w:rPr>
        <w:t>6 responses.</w:t>
      </w:r>
    </w:p>
    <w:p w14:paraId="54C0828C" w14:textId="77777777" w:rsidR="00707D8E" w:rsidRPr="001B4BC1" w:rsidRDefault="00707D8E" w:rsidP="00707D8E">
      <w:pPr>
        <w:pStyle w:val="FootnoteText"/>
        <w:ind w:firstLine="720"/>
        <w:rPr>
          <w:sz w:val="26"/>
          <w:szCs w:val="26"/>
        </w:rPr>
      </w:pPr>
    </w:p>
  </w:footnote>
  <w:footnote w:id="15">
    <w:p w14:paraId="785D216D" w14:textId="77777777" w:rsidR="00707D8E" w:rsidRDefault="00707D8E" w:rsidP="00707D8E">
      <w:pPr>
        <w:pStyle w:val="FootnoteText"/>
        <w:ind w:firstLine="720"/>
        <w:rPr>
          <w:sz w:val="26"/>
          <w:szCs w:val="26"/>
        </w:rPr>
      </w:pPr>
      <w:r>
        <w:rPr>
          <w:rStyle w:val="FootnoteReference"/>
        </w:rPr>
        <w:footnoteRef/>
      </w:r>
      <w:r>
        <w:t xml:space="preserve"> </w:t>
      </w:r>
      <w:r w:rsidRPr="001B4BC1">
        <w:rPr>
          <w:sz w:val="26"/>
          <w:szCs w:val="26"/>
        </w:rPr>
        <w:t xml:space="preserve">This is the sum of the </w:t>
      </w:r>
      <w:r>
        <w:rPr>
          <w:sz w:val="26"/>
          <w:szCs w:val="26"/>
        </w:rPr>
        <w:t xml:space="preserve">OMB-approved burden for FAC-001-2 of 337 responses plus the additional OMB-approved burden for FAC-001-3 of 161 responses. These burden estimates do not include the responses for record retention as shown in Docket No. RD14-12-000. </w:t>
      </w:r>
    </w:p>
    <w:p w14:paraId="27D85A5F" w14:textId="77777777" w:rsidR="00707D8E" w:rsidRPr="001B4BC1" w:rsidRDefault="00707D8E" w:rsidP="00707D8E">
      <w:pPr>
        <w:pStyle w:val="FootnoteText"/>
        <w:ind w:firstLine="720"/>
        <w:rPr>
          <w:sz w:val="26"/>
          <w:szCs w:val="26"/>
        </w:rPr>
      </w:pPr>
      <w:r>
        <w:rPr>
          <w:sz w:val="26"/>
          <w:szCs w:val="26"/>
        </w:rPr>
        <w:t xml:space="preserve"> </w:t>
      </w:r>
    </w:p>
  </w:footnote>
  <w:footnote w:id="16">
    <w:p w14:paraId="320FA715" w14:textId="77777777" w:rsidR="00707D8E" w:rsidRDefault="00707D8E" w:rsidP="00707D8E">
      <w:pPr>
        <w:pStyle w:val="FootnoteText"/>
        <w:ind w:firstLine="720"/>
        <w:rPr>
          <w:sz w:val="26"/>
          <w:szCs w:val="26"/>
        </w:rPr>
      </w:pPr>
      <w:r>
        <w:rPr>
          <w:rStyle w:val="FootnoteReference"/>
        </w:rPr>
        <w:footnoteRef/>
      </w:r>
      <w:r>
        <w:t xml:space="preserve"> </w:t>
      </w:r>
      <w:r w:rsidRPr="001B4BC1">
        <w:rPr>
          <w:sz w:val="26"/>
          <w:szCs w:val="26"/>
        </w:rPr>
        <w:t xml:space="preserve">The OMB-approved burden for </w:t>
      </w:r>
      <w:r>
        <w:rPr>
          <w:sz w:val="26"/>
          <w:szCs w:val="26"/>
        </w:rPr>
        <w:t>FAC-010-3, FAC-011-3 and FAC-014-2 is a joint burden estimate of 470 responses as shown in the 2011 supporting statement for FERC-725D.</w:t>
      </w:r>
    </w:p>
    <w:p w14:paraId="1D89AFCA" w14:textId="77777777" w:rsidR="00707D8E" w:rsidRPr="001B4BC1" w:rsidRDefault="00707D8E" w:rsidP="00707D8E">
      <w:pPr>
        <w:pStyle w:val="FootnoteText"/>
        <w:rPr>
          <w:sz w:val="26"/>
          <w:szCs w:val="26"/>
        </w:rPr>
      </w:pPr>
    </w:p>
  </w:footnote>
  <w:footnote w:id="17">
    <w:p w14:paraId="3641049E" w14:textId="77777777" w:rsidR="00707D8E" w:rsidRPr="00BC6CF5" w:rsidRDefault="00707D8E" w:rsidP="002C700C">
      <w:pPr>
        <w:pStyle w:val="FootnoteText"/>
        <w:ind w:firstLine="720"/>
        <w:rPr>
          <w:sz w:val="26"/>
          <w:szCs w:val="26"/>
        </w:rPr>
      </w:pPr>
      <w:r w:rsidRPr="00BC6CF5">
        <w:rPr>
          <w:rStyle w:val="FootnoteReference"/>
        </w:rPr>
        <w:footnoteRef/>
      </w:r>
      <w:r w:rsidRPr="00BC6CF5">
        <w:rPr>
          <w:sz w:val="26"/>
          <w:szCs w:val="26"/>
          <w:vertAlign w:val="superscript"/>
        </w:rPr>
        <w:t xml:space="preserve"> </w:t>
      </w:r>
      <w:r w:rsidRPr="00BC6CF5">
        <w:rPr>
          <w:sz w:val="26"/>
          <w:szCs w:val="26"/>
        </w:rPr>
        <w:t xml:space="preserve">The adjustments, due to normal industry fluctuations, are based on figures in the NERC registry </w:t>
      </w:r>
      <w:r w:rsidRPr="00BC6CF5">
        <w:rPr>
          <w:iCs/>
          <w:sz w:val="26"/>
          <w:szCs w:val="26"/>
        </w:rPr>
        <w:t>as of April 10, 2020</w:t>
      </w:r>
      <w:r w:rsidRPr="00BC6CF5">
        <w:rPr>
          <w:sz w:val="26"/>
          <w:szCs w:val="26"/>
        </w:rPr>
        <w:t xml:space="preserve">. </w:t>
      </w:r>
    </w:p>
    <w:p w14:paraId="775B03F7" w14:textId="77777777" w:rsidR="00707D8E" w:rsidRPr="00856CF1" w:rsidRDefault="00707D8E" w:rsidP="00055E7E">
      <w:pPr>
        <w:pStyle w:val="FootnoteText"/>
        <w:ind w:firstLine="720"/>
        <w:rPr>
          <w:sz w:val="20"/>
        </w:rPr>
      </w:pPr>
    </w:p>
  </w:footnote>
  <w:footnote w:id="18">
    <w:p w14:paraId="79B405BA" w14:textId="77777777" w:rsidR="00707D8E" w:rsidRPr="00BC6CF5" w:rsidRDefault="00707D8E" w:rsidP="002C700C">
      <w:pPr>
        <w:pStyle w:val="FootnoteText"/>
        <w:ind w:firstLine="720"/>
        <w:rPr>
          <w:sz w:val="26"/>
          <w:szCs w:val="26"/>
        </w:rPr>
      </w:pPr>
      <w:r w:rsidRPr="00BC6CF5">
        <w:rPr>
          <w:rStyle w:val="FootnoteReference"/>
        </w:rPr>
        <w:footnoteRef/>
      </w:r>
      <w:r w:rsidRPr="00BC6CF5">
        <w:rPr>
          <w:sz w:val="26"/>
          <w:szCs w:val="26"/>
        </w:rPr>
        <w:t xml:space="preserve"> The reduction of 93 respondents and corresponding burden hours include 63 LSEs that were de-registered (program decrease of 1,008 hrs.) and an adjustment decrease of 30 respondents (480 hrs.) due to normal industry fluctuations.</w:t>
      </w:r>
    </w:p>
    <w:p w14:paraId="0A4C9919" w14:textId="77777777" w:rsidR="00707D8E" w:rsidRPr="00BC6CF5" w:rsidRDefault="00707D8E" w:rsidP="00055E7E">
      <w:pPr>
        <w:pStyle w:val="FootnoteText"/>
        <w:ind w:firstLine="720"/>
        <w:rPr>
          <w:sz w:val="26"/>
          <w:szCs w:val="26"/>
        </w:rPr>
      </w:pPr>
      <w:r w:rsidRPr="00BC6CF5">
        <w:rPr>
          <w:sz w:val="26"/>
          <w:szCs w:val="26"/>
        </w:rPr>
        <w:t xml:space="preserve">Out of the total decrease of 1,488 hours, the program </w:t>
      </w:r>
      <w:proofErr w:type="gramStart"/>
      <w:r w:rsidRPr="00BC6CF5">
        <w:rPr>
          <w:sz w:val="26"/>
          <w:szCs w:val="26"/>
        </w:rPr>
        <w:t>decrease</w:t>
      </w:r>
      <w:proofErr w:type="gramEnd"/>
      <w:r w:rsidRPr="00BC6CF5">
        <w:rPr>
          <w:sz w:val="26"/>
          <w:szCs w:val="26"/>
        </w:rPr>
        <w:t xml:space="preserve"> of 1,008 hours [corresponding decrease of 63 responses] is due to Docket No. RD20-4-000.  The reduction of 480 hours is due to normal adjustments.</w:t>
      </w:r>
    </w:p>
    <w:p w14:paraId="379A168B" w14:textId="77777777" w:rsidR="00707D8E" w:rsidRPr="00BC6CF5" w:rsidRDefault="00707D8E" w:rsidP="00055E7E">
      <w:pPr>
        <w:pStyle w:val="FootnoteText"/>
        <w:ind w:firstLine="720"/>
        <w:rPr>
          <w:sz w:val="26"/>
          <w:szCs w:val="26"/>
        </w:rPr>
      </w:pPr>
    </w:p>
  </w:footnote>
  <w:footnote w:id="19">
    <w:p w14:paraId="2D5FB0C2" w14:textId="77777777" w:rsidR="00707D8E" w:rsidRPr="00BC6CF5" w:rsidRDefault="00707D8E" w:rsidP="002C700C">
      <w:pPr>
        <w:pStyle w:val="FootnoteText"/>
        <w:ind w:firstLine="720"/>
        <w:rPr>
          <w:sz w:val="26"/>
          <w:szCs w:val="26"/>
        </w:rPr>
      </w:pPr>
      <w:r w:rsidRPr="00BC6CF5">
        <w:rPr>
          <w:rStyle w:val="FootnoteReference"/>
        </w:rPr>
        <w:footnoteRef/>
      </w:r>
      <w:r w:rsidRPr="00BC6CF5">
        <w:rPr>
          <w:sz w:val="26"/>
          <w:szCs w:val="26"/>
        </w:rPr>
        <w:t xml:space="preserve"> Although 1,232 entities are registered as TO, DP, or GO, we expect at the most 123 entities (ten percent) will seek to interconnect and go through the study phase that may require coordination in any given year.</w:t>
      </w:r>
    </w:p>
    <w:p w14:paraId="4B0CC949" w14:textId="77777777" w:rsidR="00707D8E" w:rsidRPr="00BC6CF5" w:rsidRDefault="00707D8E" w:rsidP="00055E7E">
      <w:pPr>
        <w:pStyle w:val="FootnoteText"/>
        <w:ind w:firstLine="720"/>
        <w:rPr>
          <w:sz w:val="26"/>
          <w:szCs w:val="26"/>
        </w:rPr>
      </w:pPr>
    </w:p>
  </w:footnote>
  <w:footnote w:id="20">
    <w:p w14:paraId="4492C1F2" w14:textId="65EBD7AC" w:rsidR="00707D8E" w:rsidRPr="00BC6CF5" w:rsidRDefault="00707D8E" w:rsidP="002C700C">
      <w:pPr>
        <w:pStyle w:val="FootnoteText"/>
        <w:ind w:firstLine="720"/>
        <w:rPr>
          <w:sz w:val="26"/>
          <w:szCs w:val="26"/>
        </w:rPr>
      </w:pPr>
      <w:r w:rsidRPr="00BC6CF5">
        <w:rPr>
          <w:rStyle w:val="FootnoteReference"/>
        </w:rPr>
        <w:footnoteRef/>
      </w:r>
      <w:r w:rsidRPr="00BC6CF5">
        <w:rPr>
          <w:sz w:val="26"/>
          <w:szCs w:val="26"/>
        </w:rPr>
        <w:t xml:space="preserve"> For </w:t>
      </w:r>
      <w:r w:rsidR="00311DF4">
        <w:rPr>
          <w:sz w:val="26"/>
          <w:szCs w:val="26"/>
        </w:rPr>
        <w:t xml:space="preserve">Record </w:t>
      </w:r>
      <w:r w:rsidRPr="00BC6CF5">
        <w:rPr>
          <w:sz w:val="26"/>
          <w:szCs w:val="26"/>
        </w:rPr>
        <w:t>retention-The reduction of 93 respondents and corresponding burden hours include 63 LSEs that were de-registered (program decrease of 63 hrs., due to Docket No. RD20-4-000) and an adjustment decrease of 30 respondents (30 hrs.) due to normal industry fluctuations- this results in doubling of  decrease in 93 respondents and increase of 20 additional respondents.</w:t>
      </w:r>
    </w:p>
    <w:p w14:paraId="4D27453E" w14:textId="77777777" w:rsidR="00707D8E" w:rsidRDefault="00707D8E" w:rsidP="00055E7E">
      <w:pPr>
        <w:pStyle w:val="FootnoteText"/>
        <w:ind w:firstLine="720"/>
      </w:pPr>
    </w:p>
  </w:footnote>
  <w:footnote w:id="21">
    <w:p w14:paraId="6AE7108F" w14:textId="77777777" w:rsidR="00707D8E" w:rsidRPr="00BC6CF5" w:rsidRDefault="00707D8E" w:rsidP="002C700C">
      <w:pPr>
        <w:pStyle w:val="FootnoteText"/>
        <w:ind w:firstLine="720"/>
        <w:rPr>
          <w:sz w:val="26"/>
          <w:szCs w:val="26"/>
        </w:rPr>
      </w:pPr>
      <w:r w:rsidRPr="00BC6CF5">
        <w:rPr>
          <w:rStyle w:val="FootnoteReference"/>
          <w:bCs/>
        </w:rPr>
        <w:footnoteRef/>
      </w:r>
      <w:r w:rsidRPr="00BC6CF5">
        <w:rPr>
          <w:sz w:val="26"/>
          <w:szCs w:val="26"/>
        </w:rPr>
        <w:t xml:space="preserve"> The number of respondents is based on the NERC Compliance Registry as of September 24, 2014.  Although 2,163 entities are registered as TO, DP, LSE, or GO, as relates to Docket RD14-12, we expect at the most 216 entities (ten percent) will seek to interconnect and go through the study phase that may require coordination in any given year.</w:t>
      </w:r>
    </w:p>
  </w:footnote>
  <w:footnote w:id="22">
    <w:p w14:paraId="3D733B01" w14:textId="77777777" w:rsidR="00707D8E" w:rsidRPr="00BC6CF5" w:rsidRDefault="00707D8E" w:rsidP="002C700C">
      <w:pPr>
        <w:pStyle w:val="FootnoteText"/>
        <w:ind w:firstLine="720"/>
        <w:rPr>
          <w:sz w:val="26"/>
          <w:szCs w:val="26"/>
          <w:vertAlign w:val="superscript"/>
        </w:rPr>
      </w:pPr>
      <w:r w:rsidRPr="00BC6CF5">
        <w:rPr>
          <w:rStyle w:val="FootnoteReference"/>
        </w:rPr>
        <w:footnoteRef/>
      </w:r>
      <w:r w:rsidRPr="00BC6CF5">
        <w:rPr>
          <w:sz w:val="26"/>
          <w:szCs w:val="26"/>
          <w:vertAlign w:val="superscript"/>
        </w:rPr>
        <w:t xml:space="preserve"> </w:t>
      </w:r>
      <w:r w:rsidRPr="00BC6CF5">
        <w:rPr>
          <w:sz w:val="26"/>
          <w:szCs w:val="26"/>
        </w:rPr>
        <w:t>Of the average estimated 295.702 hours per response, 210 hours are for recordkeeping, and 85.702 hours are for reporting.</w:t>
      </w:r>
      <w:r w:rsidRPr="00BC6CF5">
        <w:rPr>
          <w:sz w:val="26"/>
          <w:szCs w:val="26"/>
          <w:vertAlign w:val="superscript"/>
        </w:rPr>
        <w:t xml:space="preserve"> </w:t>
      </w:r>
    </w:p>
  </w:footnote>
  <w:footnote w:id="23">
    <w:p w14:paraId="08AB755A" w14:textId="77777777" w:rsidR="00707D8E" w:rsidRPr="00BC6CF5" w:rsidRDefault="00707D8E" w:rsidP="002C700C">
      <w:pPr>
        <w:pStyle w:val="FootnoteText"/>
        <w:ind w:firstLine="720"/>
        <w:rPr>
          <w:sz w:val="26"/>
          <w:szCs w:val="26"/>
        </w:rPr>
      </w:pPr>
      <w:r w:rsidRPr="00BC6CF5">
        <w:rPr>
          <w:rStyle w:val="FootnoteReference"/>
        </w:rPr>
        <w:footnoteRef/>
      </w:r>
      <w:r w:rsidRPr="00BC6CF5">
        <w:rPr>
          <w:sz w:val="26"/>
          <w:szCs w:val="26"/>
        </w:rPr>
        <w:t xml:space="preserve"> The estimates for cost per hour are derived as follows:</w:t>
      </w:r>
    </w:p>
    <w:p w14:paraId="34C1A4F5" w14:textId="77777777" w:rsidR="00707D8E" w:rsidRPr="00BC6CF5" w:rsidRDefault="00707D8E" w:rsidP="00BC6CF5">
      <w:pPr>
        <w:pStyle w:val="ListParagraph"/>
        <w:numPr>
          <w:ilvl w:val="0"/>
          <w:numId w:val="14"/>
        </w:numPr>
        <w:ind w:left="720"/>
        <w:rPr>
          <w:rStyle w:val="Hyperlink"/>
          <w:szCs w:val="26"/>
        </w:rPr>
      </w:pPr>
      <w:r w:rsidRPr="00BC6CF5">
        <w:rPr>
          <w:szCs w:val="26"/>
        </w:rPr>
        <w:t xml:space="preserve">$83.67/hour, the average of the salary plus benefits for a manager ($97.15/hour) and an electrical engineer ($70.19/hour), from Bureau of Labor and Statistics at </w:t>
      </w:r>
      <w:hyperlink r:id="rId3" w:tooltip="blocked::http://bls.gov/oes/current/naics3_221000.htm" w:history="1">
        <w:r w:rsidRPr="00BC6CF5">
          <w:rPr>
            <w:rStyle w:val="Hyperlink"/>
            <w:szCs w:val="26"/>
          </w:rPr>
          <w:t>http://bls.gov/oes/current/naics3_221000.htm</w:t>
        </w:r>
      </w:hyperlink>
      <w:r w:rsidRPr="00BC6CF5">
        <w:rPr>
          <w:rStyle w:val="Hyperlink"/>
          <w:szCs w:val="26"/>
        </w:rPr>
        <w:t>, as of June 2020</w:t>
      </w:r>
    </w:p>
    <w:p w14:paraId="03E22BBE" w14:textId="77777777" w:rsidR="00707D8E" w:rsidRPr="00BC6CF5" w:rsidRDefault="00707D8E" w:rsidP="00BC6CF5">
      <w:pPr>
        <w:pStyle w:val="ListParagraph"/>
        <w:numPr>
          <w:ilvl w:val="0"/>
          <w:numId w:val="14"/>
        </w:numPr>
        <w:ind w:left="720"/>
        <w:rPr>
          <w:szCs w:val="26"/>
        </w:rPr>
      </w:pPr>
      <w:r w:rsidRPr="00BC6CF5">
        <w:rPr>
          <w:szCs w:val="26"/>
        </w:rPr>
        <w:t xml:space="preserve">Record and Information </w:t>
      </w:r>
      <w:proofErr w:type="gramStart"/>
      <w:r w:rsidRPr="00BC6CF5">
        <w:rPr>
          <w:szCs w:val="26"/>
        </w:rPr>
        <w:t>Clerks(</w:t>
      </w:r>
      <w:proofErr w:type="gramEnd"/>
      <w:r w:rsidRPr="00BC6CF5">
        <w:rPr>
          <w:szCs w:val="26"/>
        </w:rPr>
        <w:t xml:space="preserve">43-4199): $41.03/hour, based on a Commission staff study of record retention burden cost. </w:t>
      </w:r>
    </w:p>
  </w:footnote>
  <w:footnote w:id="24">
    <w:p w14:paraId="16B4B83F" w14:textId="77777777" w:rsidR="00707D8E" w:rsidRPr="00BC6CF5" w:rsidRDefault="00707D8E" w:rsidP="002C700C">
      <w:pPr>
        <w:pStyle w:val="FootnoteText"/>
        <w:ind w:firstLine="720"/>
        <w:rPr>
          <w:sz w:val="26"/>
          <w:szCs w:val="26"/>
        </w:rPr>
      </w:pPr>
      <w:r w:rsidRPr="00BC6CF5">
        <w:rPr>
          <w:rStyle w:val="FootnoteReference"/>
        </w:rPr>
        <w:footnoteRef/>
      </w:r>
      <w:r w:rsidRPr="00BC6CF5">
        <w:rPr>
          <w:sz w:val="26"/>
          <w:szCs w:val="26"/>
        </w:rPr>
        <w:t xml:space="preserve"> The average burden hours per response related to FAC-001-3 was listed as 2 hours in the RM16-13 Final Rule, resulting in an annual burden related to FAC-001-3 is 322 hours (from 161 hours in the issued Final Rule).</w:t>
      </w:r>
    </w:p>
  </w:footnote>
  <w:footnote w:id="25">
    <w:p w14:paraId="2E0D0069" w14:textId="0FE51657" w:rsidR="00707D8E" w:rsidRPr="00BC6CF5" w:rsidRDefault="00707D8E" w:rsidP="002C700C">
      <w:pPr>
        <w:pStyle w:val="FootnoteText"/>
        <w:ind w:firstLine="720"/>
        <w:rPr>
          <w:sz w:val="26"/>
          <w:szCs w:val="26"/>
        </w:rPr>
      </w:pPr>
      <w:r w:rsidRPr="00BC6CF5">
        <w:rPr>
          <w:rStyle w:val="FootnoteReference"/>
        </w:rPr>
        <w:footnoteRef/>
      </w:r>
      <w:r w:rsidRPr="00BC6CF5">
        <w:rPr>
          <w:sz w:val="26"/>
          <w:szCs w:val="26"/>
          <w:vertAlign w:val="superscript"/>
        </w:rPr>
        <w:t xml:space="preserve"> </w:t>
      </w:r>
      <w:r w:rsidR="00127976">
        <w:rPr>
          <w:sz w:val="26"/>
          <w:szCs w:val="26"/>
        </w:rPr>
        <w:t>The Previous burden in 60-day notice published on 11/5/2020 was modified to reflect the net changes in burden mention in RD20-4 and incorporated previously omitted record retention burden.</w:t>
      </w:r>
    </w:p>
  </w:footnote>
  <w:footnote w:id="26">
    <w:p w14:paraId="43D58679" w14:textId="77777777" w:rsidR="00707D8E" w:rsidRPr="00BC6CF5" w:rsidRDefault="00707D8E" w:rsidP="002C700C">
      <w:pPr>
        <w:pStyle w:val="FootnoteText"/>
        <w:ind w:firstLine="720"/>
        <w:rPr>
          <w:sz w:val="26"/>
          <w:szCs w:val="26"/>
        </w:rPr>
      </w:pPr>
      <w:r w:rsidRPr="00BC6CF5">
        <w:rPr>
          <w:rStyle w:val="FootnoteReference"/>
        </w:rPr>
        <w:footnoteRef/>
      </w:r>
      <w:r w:rsidRPr="00BC6CF5">
        <w:rPr>
          <w:sz w:val="26"/>
          <w:szCs w:val="26"/>
          <w:vertAlign w:val="superscript"/>
        </w:rPr>
        <w:t xml:space="preserve"> </w:t>
      </w:r>
      <w:r w:rsidRPr="00BC6CF5">
        <w:rPr>
          <w:sz w:val="26"/>
          <w:szCs w:val="26"/>
        </w:rPr>
        <w:t xml:space="preserve">The total number of Planning Authorities, Reliability Coordinators, Transmission Planners and Transmission Operators equals 470 (taken from the October 2020, version of NERC’s compliance registry).  </w:t>
      </w:r>
    </w:p>
  </w:footnote>
  <w:footnote w:id="27">
    <w:p w14:paraId="7283BFDD" w14:textId="63B10254" w:rsidR="00707D8E" w:rsidRPr="00BC6CF5" w:rsidRDefault="00707D8E" w:rsidP="002C700C">
      <w:pPr>
        <w:pStyle w:val="FootnoteText"/>
        <w:ind w:firstLine="720"/>
        <w:rPr>
          <w:sz w:val="26"/>
          <w:szCs w:val="26"/>
          <w:vertAlign w:val="superscript"/>
        </w:rPr>
      </w:pPr>
      <w:r w:rsidRPr="00BC6CF5">
        <w:rPr>
          <w:rStyle w:val="FootnoteReference"/>
        </w:rPr>
        <w:footnoteRef/>
      </w:r>
      <w:r w:rsidRPr="00BC6CF5">
        <w:rPr>
          <w:sz w:val="26"/>
          <w:szCs w:val="26"/>
          <w:vertAlign w:val="superscript"/>
        </w:rPr>
        <w:t xml:space="preserve">  </w:t>
      </w:r>
      <w:r w:rsidRPr="00BC6CF5">
        <w:rPr>
          <w:sz w:val="26"/>
          <w:szCs w:val="26"/>
        </w:rPr>
        <w:t>Deducts net proposed changes (-921 hours) totals with retention</w:t>
      </w:r>
      <w:r w:rsidR="00127976">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FC847" w14:textId="77777777" w:rsidR="00707D8E" w:rsidRDefault="00707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1907" w14:textId="4DA2B625" w:rsidR="00707D8E" w:rsidRDefault="003B1617" w:rsidP="00DF4B69">
    <w:pPr>
      <w:pStyle w:val="Header"/>
    </w:pPr>
    <w:sdt>
      <w:sdtPr>
        <w:id w:val="-1913149317"/>
        <w:docPartObj>
          <w:docPartGallery w:val="Page Numbers (Top of Page)"/>
          <w:docPartUnique/>
        </w:docPartObj>
      </w:sdtPr>
      <w:sdtEndPr>
        <w:rPr>
          <w:noProof/>
        </w:rPr>
      </w:sdtEndPr>
      <w:sdtContent>
        <w:r w:rsidR="00707D8E" w:rsidRPr="004E2FB0">
          <w:t>Docket No</w:t>
        </w:r>
        <w:r w:rsidR="00707D8E" w:rsidRPr="007219DE">
          <w:t>. IC2</w:t>
        </w:r>
        <w:r w:rsidR="00707D8E" w:rsidRPr="0070024F">
          <w:t>1</w:t>
        </w:r>
        <w:r w:rsidR="00707D8E" w:rsidRPr="007219DE">
          <w:t>-</w:t>
        </w:r>
        <w:r w:rsidR="00707D8E" w:rsidRPr="0070024F">
          <w:t>3</w:t>
        </w:r>
        <w:r w:rsidR="00707D8E" w:rsidRPr="007219DE">
          <w:t>-000</w:t>
        </w:r>
        <w:r w:rsidR="00707D8E">
          <w:tab/>
        </w:r>
        <w:r w:rsidR="00707D8E">
          <w:fldChar w:fldCharType="begin"/>
        </w:r>
        <w:r w:rsidR="00707D8E">
          <w:instrText xml:space="preserve"> PAGE   \* MERGEFORMAT </w:instrText>
        </w:r>
        <w:r w:rsidR="00707D8E">
          <w:fldChar w:fldCharType="separate"/>
        </w:r>
        <w:r w:rsidR="00707D8E">
          <w:rPr>
            <w:noProof/>
          </w:rPr>
          <w:t>2</w:t>
        </w:r>
        <w:r w:rsidR="00707D8E">
          <w:rPr>
            <w:noProof/>
          </w:rPr>
          <w:fldChar w:fldCharType="end"/>
        </w:r>
      </w:sdtContent>
    </w:sdt>
  </w:p>
  <w:p w14:paraId="3ADA0C13" w14:textId="0333F351" w:rsidR="00707D8E" w:rsidRDefault="00707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EB8A" w14:textId="4097AE4A" w:rsidR="00707D8E" w:rsidRDefault="00707D8E">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707D8E" w:rsidRPr="007C30A0" w:rsidRDefault="00707D8E"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" o:allowincell="f" filled="f" stroked="f" strokeweight=".5pt">
              <v:textbox inset=",0,,0">
                <w:txbxContent>
                  <w:p w14:paraId="53BC5F2F" w14:textId="5C8A1F28" w:rsidR="00707D8E" w:rsidRPr="007C30A0" w:rsidRDefault="00707D8E"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2CB"/>
    <w:multiLevelType w:val="hybridMultilevel"/>
    <w:tmpl w:val="CB24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05CAE"/>
    <w:multiLevelType w:val="hybridMultilevel"/>
    <w:tmpl w:val="9DA66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C6417"/>
    <w:multiLevelType w:val="hybridMultilevel"/>
    <w:tmpl w:val="7BC83F82"/>
    <w:lvl w:ilvl="0" w:tplc="EEC0058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E04CE2"/>
    <w:multiLevelType w:val="hybridMultilevel"/>
    <w:tmpl w:val="375C2302"/>
    <w:lvl w:ilvl="0" w:tplc="8454242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AA1928"/>
    <w:multiLevelType w:val="hybridMultilevel"/>
    <w:tmpl w:val="7464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83C9B"/>
    <w:multiLevelType w:val="hybridMultilevel"/>
    <w:tmpl w:val="6E78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3"/>
  </w:num>
  <w:num w:numId="4">
    <w:abstractNumId w:val="5"/>
  </w:num>
  <w:num w:numId="5">
    <w:abstractNumId w:val="2"/>
  </w:num>
  <w:num w:numId="6">
    <w:abstractNumId w:val="3"/>
  </w:num>
  <w:num w:numId="7">
    <w:abstractNumId w:val="7"/>
  </w:num>
  <w:num w:numId="8">
    <w:abstractNumId w:val="8"/>
  </w:num>
  <w:num w:numId="9">
    <w:abstractNumId w:val="9"/>
  </w:num>
  <w:num w:numId="10">
    <w:abstractNumId w:val="1"/>
  </w:num>
  <w:num w:numId="11">
    <w:abstractNumId w:val="10"/>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0447"/>
    <w:rsid w:val="00022DBB"/>
    <w:rsid w:val="00025C53"/>
    <w:rsid w:val="00026426"/>
    <w:rsid w:val="00027B26"/>
    <w:rsid w:val="000315F5"/>
    <w:rsid w:val="000518A2"/>
    <w:rsid w:val="00053244"/>
    <w:rsid w:val="00055E7E"/>
    <w:rsid w:val="000568B9"/>
    <w:rsid w:val="000576A7"/>
    <w:rsid w:val="0007116A"/>
    <w:rsid w:val="00081CB8"/>
    <w:rsid w:val="0008609F"/>
    <w:rsid w:val="000A418D"/>
    <w:rsid w:val="000A551A"/>
    <w:rsid w:val="00103AB4"/>
    <w:rsid w:val="001077FA"/>
    <w:rsid w:val="00127448"/>
    <w:rsid w:val="00127976"/>
    <w:rsid w:val="001311B7"/>
    <w:rsid w:val="001446F2"/>
    <w:rsid w:val="00146881"/>
    <w:rsid w:val="001475D4"/>
    <w:rsid w:val="00173CA3"/>
    <w:rsid w:val="001777DC"/>
    <w:rsid w:val="00186C2C"/>
    <w:rsid w:val="001904BF"/>
    <w:rsid w:val="001A1468"/>
    <w:rsid w:val="001B1789"/>
    <w:rsid w:val="001B1C97"/>
    <w:rsid w:val="001B207F"/>
    <w:rsid w:val="001C4DBF"/>
    <w:rsid w:val="001E0A94"/>
    <w:rsid w:val="001E367D"/>
    <w:rsid w:val="001E396E"/>
    <w:rsid w:val="001F1C69"/>
    <w:rsid w:val="00210541"/>
    <w:rsid w:val="00212139"/>
    <w:rsid w:val="00231A26"/>
    <w:rsid w:val="00245EF1"/>
    <w:rsid w:val="00257D36"/>
    <w:rsid w:val="00264E27"/>
    <w:rsid w:val="002701BA"/>
    <w:rsid w:val="00282E43"/>
    <w:rsid w:val="002836AC"/>
    <w:rsid w:val="0029053F"/>
    <w:rsid w:val="002B1FA2"/>
    <w:rsid w:val="002B483A"/>
    <w:rsid w:val="002C393B"/>
    <w:rsid w:val="002C700C"/>
    <w:rsid w:val="002E1429"/>
    <w:rsid w:val="002F0A84"/>
    <w:rsid w:val="002F3236"/>
    <w:rsid w:val="003076C7"/>
    <w:rsid w:val="00311DF4"/>
    <w:rsid w:val="00312CEF"/>
    <w:rsid w:val="00312FB6"/>
    <w:rsid w:val="003169FA"/>
    <w:rsid w:val="003268EE"/>
    <w:rsid w:val="003367FD"/>
    <w:rsid w:val="00351412"/>
    <w:rsid w:val="003566B1"/>
    <w:rsid w:val="00363347"/>
    <w:rsid w:val="00364232"/>
    <w:rsid w:val="0036496C"/>
    <w:rsid w:val="00371995"/>
    <w:rsid w:val="00372CA1"/>
    <w:rsid w:val="00383F86"/>
    <w:rsid w:val="00395DD9"/>
    <w:rsid w:val="003A79FD"/>
    <w:rsid w:val="003B1617"/>
    <w:rsid w:val="003B29FB"/>
    <w:rsid w:val="003B7027"/>
    <w:rsid w:val="003C127D"/>
    <w:rsid w:val="003C49F3"/>
    <w:rsid w:val="003C4E85"/>
    <w:rsid w:val="004313D5"/>
    <w:rsid w:val="00434A0E"/>
    <w:rsid w:val="004653F8"/>
    <w:rsid w:val="00465EEC"/>
    <w:rsid w:val="004A13E6"/>
    <w:rsid w:val="004A4400"/>
    <w:rsid w:val="004B2BA4"/>
    <w:rsid w:val="004B72EB"/>
    <w:rsid w:val="004D17F8"/>
    <w:rsid w:val="004D71B6"/>
    <w:rsid w:val="004E2FB0"/>
    <w:rsid w:val="004E3713"/>
    <w:rsid w:val="004E555E"/>
    <w:rsid w:val="00500C2D"/>
    <w:rsid w:val="00503DBF"/>
    <w:rsid w:val="00506498"/>
    <w:rsid w:val="005068D1"/>
    <w:rsid w:val="00511D6E"/>
    <w:rsid w:val="005441EB"/>
    <w:rsid w:val="00550E9B"/>
    <w:rsid w:val="00561232"/>
    <w:rsid w:val="00565AAE"/>
    <w:rsid w:val="005745B3"/>
    <w:rsid w:val="005759BD"/>
    <w:rsid w:val="005906DF"/>
    <w:rsid w:val="005922F1"/>
    <w:rsid w:val="00593F21"/>
    <w:rsid w:val="00597DAA"/>
    <w:rsid w:val="005B22D0"/>
    <w:rsid w:val="005B2A79"/>
    <w:rsid w:val="005D19C7"/>
    <w:rsid w:val="006002E6"/>
    <w:rsid w:val="00621371"/>
    <w:rsid w:val="00626706"/>
    <w:rsid w:val="0063152F"/>
    <w:rsid w:val="00641E30"/>
    <w:rsid w:val="00657705"/>
    <w:rsid w:val="00661FC3"/>
    <w:rsid w:val="00665AB3"/>
    <w:rsid w:val="00680373"/>
    <w:rsid w:val="00687C68"/>
    <w:rsid w:val="006914FC"/>
    <w:rsid w:val="006A692D"/>
    <w:rsid w:val="006B0822"/>
    <w:rsid w:val="006B1354"/>
    <w:rsid w:val="006B4F0D"/>
    <w:rsid w:val="006C7623"/>
    <w:rsid w:val="006D6D65"/>
    <w:rsid w:val="006F1ADB"/>
    <w:rsid w:val="006F2190"/>
    <w:rsid w:val="0070024F"/>
    <w:rsid w:val="00705965"/>
    <w:rsid w:val="00707D8E"/>
    <w:rsid w:val="00717629"/>
    <w:rsid w:val="007219DE"/>
    <w:rsid w:val="007654ED"/>
    <w:rsid w:val="00780EED"/>
    <w:rsid w:val="00783E07"/>
    <w:rsid w:val="00791623"/>
    <w:rsid w:val="00794663"/>
    <w:rsid w:val="007A30F7"/>
    <w:rsid w:val="007A3197"/>
    <w:rsid w:val="007A6A95"/>
    <w:rsid w:val="007B2872"/>
    <w:rsid w:val="007C30A0"/>
    <w:rsid w:val="007D2C47"/>
    <w:rsid w:val="007E05B2"/>
    <w:rsid w:val="007E36E7"/>
    <w:rsid w:val="007F0A13"/>
    <w:rsid w:val="00804215"/>
    <w:rsid w:val="00806A01"/>
    <w:rsid w:val="008109BD"/>
    <w:rsid w:val="00812B29"/>
    <w:rsid w:val="008142EA"/>
    <w:rsid w:val="0082249B"/>
    <w:rsid w:val="00833713"/>
    <w:rsid w:val="00846709"/>
    <w:rsid w:val="00852B15"/>
    <w:rsid w:val="008614F2"/>
    <w:rsid w:val="008716FA"/>
    <w:rsid w:val="00871AC1"/>
    <w:rsid w:val="00883FF9"/>
    <w:rsid w:val="00893AF9"/>
    <w:rsid w:val="00896FD7"/>
    <w:rsid w:val="008C4FC4"/>
    <w:rsid w:val="008C7F23"/>
    <w:rsid w:val="008D20FF"/>
    <w:rsid w:val="008E27D9"/>
    <w:rsid w:val="009027D0"/>
    <w:rsid w:val="0090596A"/>
    <w:rsid w:val="00910883"/>
    <w:rsid w:val="00917388"/>
    <w:rsid w:val="00934564"/>
    <w:rsid w:val="009468F0"/>
    <w:rsid w:val="0095777B"/>
    <w:rsid w:val="00961C76"/>
    <w:rsid w:val="00964A22"/>
    <w:rsid w:val="00966C74"/>
    <w:rsid w:val="00984421"/>
    <w:rsid w:val="00987B8C"/>
    <w:rsid w:val="00995791"/>
    <w:rsid w:val="009A399C"/>
    <w:rsid w:val="009B670C"/>
    <w:rsid w:val="009D3E63"/>
    <w:rsid w:val="009E59D7"/>
    <w:rsid w:val="009F6964"/>
    <w:rsid w:val="00A1596F"/>
    <w:rsid w:val="00A246E7"/>
    <w:rsid w:val="00A3264B"/>
    <w:rsid w:val="00A34F73"/>
    <w:rsid w:val="00A41B88"/>
    <w:rsid w:val="00A47F42"/>
    <w:rsid w:val="00A5482A"/>
    <w:rsid w:val="00A54C23"/>
    <w:rsid w:val="00A60763"/>
    <w:rsid w:val="00A757CF"/>
    <w:rsid w:val="00A759FA"/>
    <w:rsid w:val="00AA34A3"/>
    <w:rsid w:val="00AB48DA"/>
    <w:rsid w:val="00AD1402"/>
    <w:rsid w:val="00AD3956"/>
    <w:rsid w:val="00AE2DEF"/>
    <w:rsid w:val="00AF5473"/>
    <w:rsid w:val="00AF6A3A"/>
    <w:rsid w:val="00B05BBA"/>
    <w:rsid w:val="00B21708"/>
    <w:rsid w:val="00B22C21"/>
    <w:rsid w:val="00B33F20"/>
    <w:rsid w:val="00B35B79"/>
    <w:rsid w:val="00B46664"/>
    <w:rsid w:val="00B50690"/>
    <w:rsid w:val="00B55649"/>
    <w:rsid w:val="00B57E5D"/>
    <w:rsid w:val="00B844CF"/>
    <w:rsid w:val="00B872F3"/>
    <w:rsid w:val="00B922FD"/>
    <w:rsid w:val="00B94DBD"/>
    <w:rsid w:val="00B96868"/>
    <w:rsid w:val="00BA3727"/>
    <w:rsid w:val="00BA699D"/>
    <w:rsid w:val="00BC6CF5"/>
    <w:rsid w:val="00BD7C61"/>
    <w:rsid w:val="00BE709B"/>
    <w:rsid w:val="00BF1407"/>
    <w:rsid w:val="00BF5F40"/>
    <w:rsid w:val="00C05AD5"/>
    <w:rsid w:val="00C0632C"/>
    <w:rsid w:val="00C3271D"/>
    <w:rsid w:val="00C46738"/>
    <w:rsid w:val="00C523AA"/>
    <w:rsid w:val="00C56940"/>
    <w:rsid w:val="00C57D75"/>
    <w:rsid w:val="00C66D59"/>
    <w:rsid w:val="00C72703"/>
    <w:rsid w:val="00C74F4E"/>
    <w:rsid w:val="00C85B0C"/>
    <w:rsid w:val="00C871CE"/>
    <w:rsid w:val="00CC18E2"/>
    <w:rsid w:val="00CC40C3"/>
    <w:rsid w:val="00CE1512"/>
    <w:rsid w:val="00CE488E"/>
    <w:rsid w:val="00CE66E6"/>
    <w:rsid w:val="00CF4C54"/>
    <w:rsid w:val="00D23082"/>
    <w:rsid w:val="00D27101"/>
    <w:rsid w:val="00D35412"/>
    <w:rsid w:val="00D35C2C"/>
    <w:rsid w:val="00D47043"/>
    <w:rsid w:val="00D651FD"/>
    <w:rsid w:val="00D70C5C"/>
    <w:rsid w:val="00DA22C7"/>
    <w:rsid w:val="00DA4687"/>
    <w:rsid w:val="00DA710B"/>
    <w:rsid w:val="00DE6571"/>
    <w:rsid w:val="00DE750C"/>
    <w:rsid w:val="00DF4B69"/>
    <w:rsid w:val="00E031BF"/>
    <w:rsid w:val="00E11D82"/>
    <w:rsid w:val="00E237C2"/>
    <w:rsid w:val="00E26855"/>
    <w:rsid w:val="00E26ABB"/>
    <w:rsid w:val="00E27746"/>
    <w:rsid w:val="00E3520A"/>
    <w:rsid w:val="00E447A8"/>
    <w:rsid w:val="00E4588B"/>
    <w:rsid w:val="00E535B8"/>
    <w:rsid w:val="00E5742E"/>
    <w:rsid w:val="00E57AB0"/>
    <w:rsid w:val="00E70324"/>
    <w:rsid w:val="00E7333B"/>
    <w:rsid w:val="00E77220"/>
    <w:rsid w:val="00EA7BAE"/>
    <w:rsid w:val="00EA7D8B"/>
    <w:rsid w:val="00EB499B"/>
    <w:rsid w:val="00EB5561"/>
    <w:rsid w:val="00EB7C07"/>
    <w:rsid w:val="00EC5A1E"/>
    <w:rsid w:val="00EE198F"/>
    <w:rsid w:val="00EE49FE"/>
    <w:rsid w:val="00EE78F1"/>
    <w:rsid w:val="00EF136A"/>
    <w:rsid w:val="00EF2008"/>
    <w:rsid w:val="00F025F7"/>
    <w:rsid w:val="00F069B6"/>
    <w:rsid w:val="00F07261"/>
    <w:rsid w:val="00F12008"/>
    <w:rsid w:val="00F1351F"/>
    <w:rsid w:val="00F146A7"/>
    <w:rsid w:val="00F270BD"/>
    <w:rsid w:val="00F30D1F"/>
    <w:rsid w:val="00F316C4"/>
    <w:rsid w:val="00F40FE9"/>
    <w:rsid w:val="00F56397"/>
    <w:rsid w:val="00F64AC9"/>
    <w:rsid w:val="00F66294"/>
    <w:rsid w:val="00F7561E"/>
    <w:rsid w:val="00F80267"/>
    <w:rsid w:val="00FA0BD0"/>
    <w:rsid w:val="00FA13EE"/>
    <w:rsid w:val="00FA194B"/>
    <w:rsid w:val="00FC40B0"/>
    <w:rsid w:val="00FC71E8"/>
    <w:rsid w:val="00FD02FE"/>
    <w:rsid w:val="00FD5C98"/>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ootnote Text MRP"/>
    <w:basedOn w:val="Normal"/>
    <w:link w:val="FootnoteTextChar2"/>
    <w:qFormat/>
    <w:rsid w:val="003B29FB"/>
    <w:rPr>
      <w:sz w:val="22"/>
      <w:szCs w:val="20"/>
    </w:rPr>
  </w:style>
  <w:style w:type="character" w:customStyle="1" w:styleId="FootnoteTextChar">
    <w:name w:val="Footnote Text Char"/>
    <w:aliases w:val="Footnote Text Char1 Char Char1,Footnote Text MRP Char,Footnote Text Char1 Char Char Char,Footnote Text Char1 Char1 Char,Footnote Text Char3 Char,fn1 Char"/>
    <w:basedOn w:val="DefaultParagraphFont"/>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0596A"/>
    <w:pPr>
      <w:spacing w:after="0" w:line="240" w:lineRule="auto"/>
    </w:pPr>
    <w:rPr>
      <w:rFonts w:ascii="Times New Roman" w:eastAsia="Times New Roman" w:hAnsi="Times New Roman" w:cs="Times New Roman"/>
      <w:sz w:val="26"/>
      <w:szCs w:val="24"/>
    </w:rPr>
  </w:style>
  <w:style w:type="paragraph" w:styleId="Revision">
    <w:name w:val="Revision"/>
    <w:hidden/>
    <w:uiPriority w:val="99"/>
    <w:semiHidden/>
    <w:rsid w:val="001C4DBF"/>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2" Type="http://schemas.openxmlformats.org/officeDocument/2006/relationships/hyperlink" Target="http://bls.gov/oes/current/naics3_221000.htm" TargetMode="External"/><Relationship Id="rId1" Type="http://schemas.openxmlformats.org/officeDocument/2006/relationships/hyperlink" Target="https://elibrary.ferc.gov/eLibrary/docketsheet?docket_number=RD20-4&amp;Subdocket=All&amp;dtFrom=1960-01-01&amp;dtTo=2020-12-17&amp;chklegadata=false&amp;PageNm=dsearch&amp;dateRange=custom&amp;searchType=docket&amp;dateType=filed_date&amp;sub_docket_Q=Alls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2.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3.xml><?xml version="1.0" encoding="utf-8"?>
<ds:datastoreItem xmlns:ds="http://schemas.openxmlformats.org/officeDocument/2006/customXml" ds:itemID="{D1211447-C4F6-42EE-ACC9-2AF08EEA09AC}">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19EE731-97CA-4ED4-97D1-38BCEC635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1CF2AF-2DBB-491F-B7A4-AED162FC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3</cp:revision>
  <dcterms:created xsi:type="dcterms:W3CDTF">2021-01-13T15:53:00Z</dcterms:created>
  <dcterms:modified xsi:type="dcterms:W3CDTF">2021-01-13T15:54:00Z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Kayla.Williams@ferc.gov</vt:lpwstr>
  </property>
  <property fmtid="{D5CDD505-2E9C-101B-9397-08002B2CF9AE}" pid="5" name="MSIP_Label_6155a89b-0f08-4a93-8ea2-8a916d6643b5_SetDate">
    <vt:lpwstr>2021-01-13T15:53:36.0859809Z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d4a9ec4e-5427-48c1-b189-43351ba09f8b</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