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75D5" w:rsidR="00EE07DD" w:rsidP="001A153B" w:rsidRDefault="00EE07DD" w14:paraId="7F455934" w14:textId="77777777">
      <w:pPr>
        <w:spacing w:after="0" w:line="240" w:lineRule="auto"/>
        <w:jc w:val="center"/>
        <w:rPr>
          <w:rFonts w:ascii="Times New Roman" w:hAnsi="Times New Roman" w:cs="Times New Roman"/>
          <w:sz w:val="24"/>
          <w:szCs w:val="24"/>
        </w:rPr>
      </w:pPr>
      <w:r w:rsidRPr="004875D5">
        <w:rPr>
          <w:rFonts w:ascii="Times New Roman" w:hAnsi="Times New Roman" w:cs="Times New Roman"/>
          <w:sz w:val="24"/>
          <w:szCs w:val="24"/>
        </w:rPr>
        <w:t>Supporting Statement for</w:t>
      </w:r>
    </w:p>
    <w:p w:rsidRPr="004875D5" w:rsidR="00EE07DD" w:rsidP="00191621" w:rsidRDefault="00AE57E6" w14:paraId="0CC0234D" w14:textId="79C2A384">
      <w:pPr>
        <w:spacing w:after="0" w:line="240" w:lineRule="auto"/>
        <w:jc w:val="center"/>
        <w:rPr>
          <w:rFonts w:ascii="Times New Roman" w:hAnsi="Times New Roman" w:cs="Times New Roman"/>
          <w:b/>
          <w:sz w:val="24"/>
          <w:szCs w:val="24"/>
        </w:rPr>
      </w:pPr>
      <w:r w:rsidRPr="004875D5">
        <w:rPr>
          <w:rFonts w:ascii="Times New Roman" w:hAnsi="Times New Roman" w:cs="Times New Roman"/>
          <w:b/>
          <w:sz w:val="24"/>
          <w:szCs w:val="24"/>
        </w:rPr>
        <w:t>FERC-</w:t>
      </w:r>
      <w:r w:rsidRPr="004875D5" w:rsidR="00191621">
        <w:rPr>
          <w:rFonts w:ascii="Times New Roman" w:hAnsi="Times New Roman" w:cs="Times New Roman"/>
          <w:b/>
          <w:sz w:val="24"/>
          <w:szCs w:val="24"/>
        </w:rPr>
        <w:t xml:space="preserve">725D </w:t>
      </w:r>
      <w:r w:rsidRPr="004875D5" w:rsidR="00E37EDF">
        <w:rPr>
          <w:rFonts w:ascii="Times New Roman" w:hAnsi="Times New Roman" w:cs="Times New Roman"/>
          <w:b/>
          <w:sz w:val="24"/>
          <w:szCs w:val="24"/>
        </w:rPr>
        <w:t>(</w:t>
      </w:r>
      <w:r w:rsidRPr="004875D5" w:rsidR="00191621">
        <w:rPr>
          <w:rFonts w:ascii="Times New Roman" w:hAnsi="Times New Roman" w:cs="Times New Roman"/>
          <w:sz w:val="24"/>
          <w:szCs w:val="24"/>
        </w:rPr>
        <w:t>Facilities Design, Connections and Maintenance Reliability Standards)</w:t>
      </w:r>
    </w:p>
    <w:p w:rsidRPr="00E25351" w:rsidR="00EE07DD" w:rsidP="009B3AA9" w:rsidRDefault="00EE07DD" w14:paraId="4216EC95" w14:textId="77777777">
      <w:pPr>
        <w:spacing w:after="0" w:line="240" w:lineRule="auto"/>
        <w:rPr>
          <w:rFonts w:ascii="Times New Roman" w:hAnsi="Times New Roman" w:cs="Times New Roman"/>
          <w:sz w:val="24"/>
          <w:szCs w:val="24"/>
        </w:rPr>
      </w:pPr>
    </w:p>
    <w:p w:rsidRPr="00E25351" w:rsidR="003C187C" w:rsidP="008F1774" w:rsidRDefault="00EE07DD" w14:paraId="6EEA8741" w14:textId="70058D07">
      <w:pPr>
        <w:spacing w:after="0" w:line="240" w:lineRule="auto"/>
        <w:rPr>
          <w:rFonts w:ascii="Times New Roman" w:hAnsi="Times New Roman" w:cs="Times New Roman"/>
          <w:sz w:val="24"/>
          <w:szCs w:val="24"/>
        </w:rPr>
      </w:pPr>
      <w:r w:rsidRPr="00E25351">
        <w:rPr>
          <w:rFonts w:ascii="Times New Roman" w:hAnsi="Times New Roman" w:cs="Times New Roman"/>
          <w:sz w:val="24"/>
          <w:szCs w:val="24"/>
        </w:rPr>
        <w:t>The Federal Energy Regulatory Commission (Commission or FERC) requests OMB review and approval of the changes to reporting and recordkeeping requirements</w:t>
      </w:r>
      <w:r w:rsidR="001F7446">
        <w:rPr>
          <w:rFonts w:ascii="Times New Roman" w:hAnsi="Times New Roman" w:cs="Times New Roman"/>
          <w:sz w:val="24"/>
          <w:szCs w:val="24"/>
        </w:rPr>
        <w:t xml:space="preserve"> (evidence retention)</w:t>
      </w:r>
      <w:r w:rsidRPr="00E25351">
        <w:rPr>
          <w:rFonts w:ascii="Times New Roman" w:hAnsi="Times New Roman" w:cs="Times New Roman"/>
          <w:sz w:val="24"/>
          <w:szCs w:val="24"/>
        </w:rPr>
        <w:t xml:space="preserve">, as </w:t>
      </w:r>
      <w:r w:rsidRPr="00E25351" w:rsidR="00644588">
        <w:rPr>
          <w:rFonts w:ascii="Times New Roman" w:hAnsi="Times New Roman" w:cs="Times New Roman"/>
          <w:sz w:val="24"/>
          <w:szCs w:val="24"/>
        </w:rPr>
        <w:t xml:space="preserve">noted in </w:t>
      </w:r>
      <w:r w:rsidRPr="00E25351">
        <w:rPr>
          <w:rFonts w:ascii="Times New Roman" w:hAnsi="Times New Roman" w:cs="Times New Roman"/>
          <w:sz w:val="24"/>
          <w:szCs w:val="24"/>
        </w:rPr>
        <w:t>Docket No</w:t>
      </w:r>
      <w:r w:rsidRPr="00E25351" w:rsidR="00373635">
        <w:rPr>
          <w:rFonts w:ascii="Times New Roman" w:hAnsi="Times New Roman" w:cs="Times New Roman"/>
          <w:sz w:val="24"/>
          <w:szCs w:val="24"/>
        </w:rPr>
        <w:t>s</w:t>
      </w:r>
      <w:r w:rsidRPr="00E25351">
        <w:rPr>
          <w:rFonts w:ascii="Times New Roman" w:hAnsi="Times New Roman" w:cs="Times New Roman"/>
          <w:sz w:val="24"/>
          <w:szCs w:val="24"/>
        </w:rPr>
        <w:t xml:space="preserve">. </w:t>
      </w:r>
      <w:r w:rsidRPr="00E25351" w:rsidR="00191621">
        <w:rPr>
          <w:rFonts w:ascii="Times New Roman" w:hAnsi="Times New Roman" w:cs="Times New Roman"/>
          <w:sz w:val="24"/>
          <w:szCs w:val="24"/>
        </w:rPr>
        <w:t>IC21-3-000</w:t>
      </w:r>
      <w:r w:rsidRPr="00E25351" w:rsidR="00373635">
        <w:rPr>
          <w:rFonts w:ascii="Times New Roman" w:hAnsi="Times New Roman" w:cs="Times New Roman"/>
          <w:sz w:val="24"/>
          <w:szCs w:val="24"/>
        </w:rPr>
        <w:t xml:space="preserve"> and RD20-4,</w:t>
      </w:r>
      <w:r w:rsidRPr="00E25351" w:rsidR="00191621">
        <w:rPr>
          <w:rFonts w:ascii="Times New Roman" w:hAnsi="Times New Roman" w:cs="Times New Roman"/>
          <w:sz w:val="24"/>
          <w:szCs w:val="24"/>
        </w:rPr>
        <w:t xml:space="preserve"> </w:t>
      </w:r>
      <w:r w:rsidRPr="00E25351" w:rsidR="00373635">
        <w:rPr>
          <w:rFonts w:ascii="Times New Roman" w:hAnsi="Times New Roman" w:cs="Times New Roman"/>
          <w:sz w:val="24"/>
          <w:szCs w:val="24"/>
        </w:rPr>
        <w:t xml:space="preserve">covering </w:t>
      </w:r>
      <w:r w:rsidRPr="00E25351" w:rsidR="00DF0433">
        <w:rPr>
          <w:rFonts w:ascii="Times New Roman" w:hAnsi="Times New Roman" w:cs="Times New Roman"/>
          <w:sz w:val="24"/>
          <w:szCs w:val="24"/>
        </w:rPr>
        <w:t>FERC-725D (</w:t>
      </w:r>
      <w:bookmarkStart w:name="_Hlk58835509" w:id="0"/>
      <w:r w:rsidRPr="00E25351" w:rsidR="00DF0433">
        <w:rPr>
          <w:rFonts w:ascii="Times New Roman" w:hAnsi="Times New Roman" w:cs="Times New Roman"/>
          <w:sz w:val="24"/>
          <w:szCs w:val="24"/>
        </w:rPr>
        <w:t xml:space="preserve">Facilities Design, Connections and Maintenance Reliability Standards) </w:t>
      </w:r>
      <w:r w:rsidRPr="00E25351" w:rsidR="00373635">
        <w:rPr>
          <w:rFonts w:ascii="Times New Roman" w:hAnsi="Times New Roman" w:cs="Times New Roman"/>
          <w:sz w:val="24"/>
          <w:szCs w:val="24"/>
        </w:rPr>
        <w:t>(</w:t>
      </w:r>
      <w:r w:rsidRPr="00E25351" w:rsidR="00DF0433">
        <w:rPr>
          <w:rFonts w:ascii="Times New Roman" w:hAnsi="Times New Roman" w:cs="Times New Roman"/>
          <w:sz w:val="24"/>
          <w:szCs w:val="24"/>
        </w:rPr>
        <w:t>OMB Control No. 1902-</w:t>
      </w:r>
      <w:bookmarkStart w:name="_Hlk53751643" w:id="1"/>
      <w:r w:rsidRPr="00E25351" w:rsidR="00CD30AE">
        <w:rPr>
          <w:rFonts w:ascii="Times New Roman" w:hAnsi="Times New Roman" w:cs="Times New Roman"/>
          <w:sz w:val="24"/>
          <w:szCs w:val="24"/>
        </w:rPr>
        <w:t xml:space="preserve">0247, expiration date of </w:t>
      </w:r>
      <w:bookmarkEnd w:id="1"/>
      <w:r w:rsidRPr="00E25351" w:rsidR="00FF09E1">
        <w:rPr>
          <w:rFonts w:ascii="Times New Roman" w:hAnsi="Times New Roman" w:cs="Times New Roman"/>
          <w:sz w:val="24"/>
          <w:szCs w:val="24"/>
        </w:rPr>
        <w:t>3</w:t>
      </w:r>
      <w:r w:rsidRPr="00E25351" w:rsidR="00A234C4">
        <w:rPr>
          <w:rFonts w:ascii="Times New Roman" w:hAnsi="Times New Roman" w:cs="Times New Roman"/>
          <w:sz w:val="24"/>
          <w:szCs w:val="24"/>
        </w:rPr>
        <w:t>/31/202</w:t>
      </w:r>
      <w:r w:rsidRPr="00E25351" w:rsidR="00FF09E1">
        <w:rPr>
          <w:rFonts w:ascii="Times New Roman" w:hAnsi="Times New Roman" w:cs="Times New Roman"/>
          <w:sz w:val="24"/>
          <w:szCs w:val="24"/>
        </w:rPr>
        <w:t>1</w:t>
      </w:r>
      <w:bookmarkEnd w:id="0"/>
      <w:r w:rsidRPr="00E25351" w:rsidR="00373635">
        <w:rPr>
          <w:rFonts w:ascii="Times New Roman" w:hAnsi="Times New Roman" w:cs="Times New Roman"/>
          <w:sz w:val="24"/>
          <w:szCs w:val="24"/>
        </w:rPr>
        <w:t>)</w:t>
      </w:r>
      <w:r w:rsidRPr="00E25351" w:rsidR="00191621">
        <w:rPr>
          <w:rFonts w:ascii="Times New Roman" w:hAnsi="Times New Roman" w:cs="Times New Roman"/>
          <w:sz w:val="24"/>
          <w:szCs w:val="24"/>
        </w:rPr>
        <w:t xml:space="preserve">. </w:t>
      </w:r>
      <w:r w:rsidRPr="00E25351">
        <w:rPr>
          <w:rFonts w:ascii="Times New Roman" w:hAnsi="Times New Roman" w:cs="Times New Roman"/>
          <w:sz w:val="24"/>
          <w:szCs w:val="24"/>
        </w:rPr>
        <w:t>Th</w:t>
      </w:r>
      <w:r w:rsidRPr="00E25351" w:rsidR="00191621">
        <w:rPr>
          <w:rFonts w:ascii="Times New Roman" w:hAnsi="Times New Roman" w:cs="Times New Roman"/>
          <w:sz w:val="24"/>
          <w:szCs w:val="24"/>
        </w:rPr>
        <w:t>e</w:t>
      </w:r>
      <w:r w:rsidRPr="00E25351">
        <w:rPr>
          <w:rFonts w:ascii="Times New Roman" w:hAnsi="Times New Roman" w:cs="Times New Roman"/>
          <w:sz w:val="24"/>
          <w:szCs w:val="24"/>
        </w:rPr>
        <w:t xml:space="preserve"> </w:t>
      </w:r>
      <w:r w:rsidRPr="00E25351" w:rsidR="00191621">
        <w:rPr>
          <w:rFonts w:ascii="Times New Roman" w:hAnsi="Times New Roman" w:cs="Times New Roman"/>
          <w:sz w:val="24"/>
          <w:szCs w:val="24"/>
        </w:rPr>
        <w:t>following</w:t>
      </w:r>
      <w:r w:rsidRPr="00E25351">
        <w:rPr>
          <w:rFonts w:ascii="Times New Roman" w:hAnsi="Times New Roman" w:cs="Times New Roman"/>
          <w:sz w:val="24"/>
          <w:szCs w:val="24"/>
        </w:rPr>
        <w:t xml:space="preserve"> supporting statement </w:t>
      </w:r>
      <w:bookmarkStart w:name="_Ref492372409" w:id="2"/>
      <w:r w:rsidRPr="00E25351" w:rsidR="003706A1">
        <w:rPr>
          <w:rFonts w:ascii="Times New Roman" w:hAnsi="Times New Roman" w:cs="Times New Roman"/>
          <w:sz w:val="24"/>
          <w:szCs w:val="24"/>
        </w:rPr>
        <w:t xml:space="preserve">is </w:t>
      </w:r>
      <w:r w:rsidRPr="00E25351">
        <w:rPr>
          <w:rFonts w:ascii="Times New Roman" w:hAnsi="Times New Roman" w:cs="Times New Roman"/>
          <w:sz w:val="24"/>
          <w:szCs w:val="24"/>
        </w:rPr>
        <w:t xml:space="preserve">being submitted to </w:t>
      </w:r>
      <w:r w:rsidRPr="00E25351" w:rsidR="00191621">
        <w:rPr>
          <w:rFonts w:ascii="Times New Roman" w:hAnsi="Times New Roman" w:cs="Times New Roman"/>
          <w:sz w:val="24"/>
          <w:szCs w:val="24"/>
        </w:rPr>
        <w:t xml:space="preserve">renew FERC-725D and </w:t>
      </w:r>
      <w:r w:rsidRPr="00E25351">
        <w:rPr>
          <w:rFonts w:ascii="Times New Roman" w:hAnsi="Times New Roman" w:cs="Times New Roman"/>
          <w:sz w:val="24"/>
          <w:szCs w:val="24"/>
        </w:rPr>
        <w:t xml:space="preserve">reflect the changes </w:t>
      </w:r>
      <w:r w:rsidRPr="00E25351" w:rsidR="008F1774">
        <w:rPr>
          <w:rFonts w:ascii="Times New Roman" w:hAnsi="Times New Roman" w:cs="Times New Roman"/>
          <w:sz w:val="24"/>
          <w:szCs w:val="24"/>
        </w:rPr>
        <w:t xml:space="preserve">made and discussed </w:t>
      </w:r>
      <w:r w:rsidRPr="00E25351">
        <w:rPr>
          <w:rFonts w:ascii="Times New Roman" w:hAnsi="Times New Roman" w:cs="Times New Roman"/>
          <w:sz w:val="24"/>
          <w:szCs w:val="24"/>
        </w:rPr>
        <w:t xml:space="preserve">in </w:t>
      </w:r>
      <w:r w:rsidRPr="00E25351" w:rsidR="008F1774">
        <w:rPr>
          <w:rFonts w:ascii="Times New Roman" w:hAnsi="Times New Roman" w:cs="Times New Roman"/>
          <w:sz w:val="24"/>
          <w:szCs w:val="24"/>
        </w:rPr>
        <w:t xml:space="preserve">Docket No. </w:t>
      </w:r>
      <w:r w:rsidRPr="00E25351" w:rsidR="00EB3323">
        <w:rPr>
          <w:rFonts w:ascii="Times New Roman" w:hAnsi="Times New Roman" w:cs="Times New Roman"/>
          <w:sz w:val="24"/>
          <w:szCs w:val="24"/>
        </w:rPr>
        <w:t>RD20-4</w:t>
      </w:r>
      <w:bookmarkEnd w:id="2"/>
      <w:r w:rsidRPr="00E25351" w:rsidR="008F1774">
        <w:rPr>
          <w:rFonts w:ascii="Times New Roman" w:hAnsi="Times New Roman" w:cs="Times New Roman"/>
          <w:sz w:val="24"/>
          <w:szCs w:val="24"/>
        </w:rPr>
        <w:t>.</w:t>
      </w:r>
      <w:r w:rsidRPr="00E25351">
        <w:rPr>
          <w:rFonts w:ascii="Times New Roman" w:hAnsi="Times New Roman" w:cs="Times New Roman"/>
          <w:sz w:val="24"/>
          <w:szCs w:val="24"/>
        </w:rPr>
        <w:t xml:space="preserve">  </w:t>
      </w:r>
    </w:p>
    <w:p w:rsidRPr="00E25351" w:rsidR="007B29B4" w:rsidP="00F81B09" w:rsidRDefault="003706A1" w14:paraId="77A79878" w14:textId="0DAE9976">
      <w:pPr>
        <w:spacing w:after="0" w:line="240" w:lineRule="auto"/>
        <w:ind w:left="720"/>
        <w:rPr>
          <w:rFonts w:ascii="Times New Roman" w:hAnsi="Times New Roman" w:cs="Times New Roman"/>
          <w:sz w:val="24"/>
          <w:szCs w:val="24"/>
        </w:rPr>
      </w:pPr>
      <w:r w:rsidRPr="00E25351">
        <w:rPr>
          <w:rFonts w:ascii="Times New Roman" w:hAnsi="Times New Roman" w:cs="Times New Roman"/>
          <w:sz w:val="24"/>
          <w:szCs w:val="24"/>
        </w:rPr>
        <w:t xml:space="preserve"> </w:t>
      </w:r>
    </w:p>
    <w:p w:rsidRPr="004875D5" w:rsidR="00EE07DD" w:rsidP="009B3AA9" w:rsidRDefault="00EE07DD" w14:paraId="3653CAEA" w14:textId="77777777">
      <w:pPr>
        <w:numPr>
          <w:ilvl w:val="0"/>
          <w:numId w:val="2"/>
        </w:numPr>
        <w:spacing w:after="0" w:line="240" w:lineRule="auto"/>
        <w:rPr>
          <w:rFonts w:ascii="Times New Roman" w:hAnsi="Times New Roman" w:cs="Times New Roman"/>
          <w:sz w:val="24"/>
          <w:szCs w:val="24"/>
        </w:rPr>
      </w:pPr>
      <w:r w:rsidRPr="004875D5">
        <w:rPr>
          <w:rFonts w:ascii="Times New Roman" w:hAnsi="Times New Roman" w:cs="Times New Roman"/>
          <w:b/>
          <w:sz w:val="24"/>
          <w:szCs w:val="24"/>
        </w:rPr>
        <w:t>CIRCUMSTANCES THAT MAKE THE COLLECTION OF INFORMATION NECESSARY</w:t>
      </w:r>
    </w:p>
    <w:p w:rsidRPr="004875D5" w:rsidR="003D34F1" w:rsidP="009B3AA9" w:rsidRDefault="003D34F1" w14:paraId="479C480D" w14:textId="77777777">
      <w:pPr>
        <w:spacing w:after="0" w:line="240" w:lineRule="auto"/>
        <w:rPr>
          <w:rFonts w:ascii="Times New Roman" w:hAnsi="Times New Roman" w:cs="Times New Roman"/>
          <w:b/>
          <w:sz w:val="24"/>
          <w:szCs w:val="24"/>
        </w:rPr>
      </w:pPr>
    </w:p>
    <w:p w:rsidRPr="004875D5" w:rsidR="00EE07DD" w:rsidP="009B3AA9" w:rsidRDefault="00EE07DD" w14:paraId="75959F3F" w14:textId="452FC4DE">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On August 8, 2005, The Electricity Modernization Act of 2005, which is Title XII of the Energy Policy Act of 2005 (EPAct 2005), was enacted into law</w:t>
      </w:r>
      <w:r w:rsidRPr="004875D5">
        <w:rPr>
          <w:rFonts w:ascii="Times New Roman" w:hAnsi="Times New Roman" w:cs="Times New Roman"/>
          <w:sz w:val="24"/>
          <w:szCs w:val="24"/>
          <w:vertAlign w:val="superscript"/>
        </w:rPr>
        <w:footnoteReference w:id="1"/>
      </w:r>
      <w:r w:rsidRPr="004875D5" w:rsidR="003463E6">
        <w:rPr>
          <w:rFonts w:ascii="Times New Roman" w:hAnsi="Times New Roman" w:cs="Times New Roman"/>
          <w:sz w:val="24"/>
          <w:szCs w:val="24"/>
        </w:rPr>
        <w:t>.</w:t>
      </w:r>
      <w:r w:rsidRPr="004875D5">
        <w:rPr>
          <w:rFonts w:ascii="Times New Roman" w:hAnsi="Times New Roman" w:cs="Times New Roman"/>
          <w:sz w:val="24"/>
          <w:szCs w:val="24"/>
        </w:rPr>
        <w:t xml:space="preserve">  EPAct 2005 added a new section 215 to the Federal Power Act (FPA), which requires a Commission-certified Electric Reliability Organization (ERO) to develop mandatory and enforceable Reliability Standards, subject to Commission review and approval</w:t>
      </w:r>
      <w:r w:rsidRPr="004875D5" w:rsidR="00043630">
        <w:rPr>
          <w:rFonts w:ascii="Times New Roman" w:hAnsi="Times New Roman" w:cs="Times New Roman"/>
          <w:sz w:val="24"/>
          <w:szCs w:val="24"/>
        </w:rPr>
        <w:t>.</w:t>
      </w:r>
    </w:p>
    <w:p w:rsidRPr="004875D5" w:rsidR="00940DA6" w:rsidP="009B3AA9" w:rsidRDefault="00940DA6" w14:paraId="54A052A3" w14:textId="77777777">
      <w:pPr>
        <w:spacing w:after="0" w:line="240" w:lineRule="auto"/>
        <w:rPr>
          <w:rFonts w:ascii="Times New Roman" w:hAnsi="Times New Roman" w:cs="Times New Roman"/>
          <w:sz w:val="24"/>
          <w:szCs w:val="24"/>
        </w:rPr>
      </w:pPr>
    </w:p>
    <w:p w:rsidRPr="004875D5" w:rsidR="00EE07DD" w:rsidP="009B3AA9" w:rsidRDefault="00EE07DD" w14:paraId="080B36DD" w14:textId="77777777">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Section 215 of the FPA requires a Commission-certified ERO to develop mandatory and enforceable Reliability Standards, subject to Commission review and approval.</w:t>
      </w:r>
      <w:r w:rsidRPr="004875D5">
        <w:rPr>
          <w:rFonts w:ascii="Times New Roman" w:hAnsi="Times New Roman" w:cs="Times New Roman"/>
          <w:b/>
          <w:sz w:val="24"/>
          <w:szCs w:val="24"/>
          <w:vertAlign w:val="superscript"/>
        </w:rPr>
        <w:footnoteReference w:id="2"/>
      </w:r>
      <w:r w:rsidRPr="004875D5">
        <w:rPr>
          <w:rFonts w:ascii="Times New Roman" w:hAnsi="Times New Roman" w:cs="Times New Roman"/>
          <w:sz w:val="24"/>
          <w:szCs w:val="24"/>
        </w:rPr>
        <w:t xml:space="preserve">  Once approved, the Reliability Standards may be enforced by the ERO subject to Commission oversight or by the Commission independently.</w:t>
      </w:r>
      <w:r w:rsidRPr="004875D5">
        <w:rPr>
          <w:rFonts w:ascii="Times New Roman" w:hAnsi="Times New Roman" w:cs="Times New Roman"/>
          <w:b/>
          <w:sz w:val="24"/>
          <w:szCs w:val="24"/>
          <w:vertAlign w:val="superscript"/>
        </w:rPr>
        <w:footnoteReference w:id="3"/>
      </w:r>
      <w:r w:rsidRPr="004875D5">
        <w:rPr>
          <w:rFonts w:ascii="Times New Roman" w:hAnsi="Times New Roman" w:cs="Times New Roman"/>
          <w:sz w:val="24"/>
          <w:szCs w:val="24"/>
        </w:rPr>
        <w:t xml:space="preserve">  In 2006, the Commission certified NERC (North American Electric Reliability Corporation) as the ERO</w:t>
      </w:r>
      <w:r w:rsidRPr="004875D5" w:rsidR="00B77B3D">
        <w:rPr>
          <w:rStyle w:val="FootnoteReference"/>
          <w:rFonts w:ascii="Times New Roman" w:hAnsi="Times New Roman" w:cs="Times New Roman"/>
          <w:sz w:val="24"/>
          <w:szCs w:val="24"/>
        </w:rPr>
        <w:footnoteReference w:id="4"/>
      </w:r>
      <w:r w:rsidRPr="004875D5">
        <w:rPr>
          <w:rFonts w:ascii="Times New Roman" w:hAnsi="Times New Roman" w:cs="Times New Roman"/>
          <w:sz w:val="24"/>
          <w:szCs w:val="24"/>
        </w:rPr>
        <w:t xml:space="preserve"> pursuant to section 215 of the FPA.</w:t>
      </w:r>
      <w:r w:rsidRPr="004875D5">
        <w:rPr>
          <w:rFonts w:ascii="Times New Roman" w:hAnsi="Times New Roman" w:cs="Times New Roman"/>
          <w:b/>
          <w:sz w:val="24"/>
          <w:szCs w:val="24"/>
          <w:vertAlign w:val="superscript"/>
        </w:rPr>
        <w:footnoteReference w:id="5"/>
      </w:r>
    </w:p>
    <w:p w:rsidRPr="004875D5" w:rsidR="00EE07DD" w:rsidP="009B3AA9" w:rsidRDefault="00EE07DD" w14:paraId="3144833E" w14:textId="77777777">
      <w:pPr>
        <w:spacing w:after="0" w:line="240" w:lineRule="auto"/>
        <w:rPr>
          <w:rFonts w:ascii="Times New Roman" w:hAnsi="Times New Roman" w:cs="Times New Roman"/>
          <w:sz w:val="24"/>
          <w:szCs w:val="24"/>
        </w:rPr>
      </w:pPr>
    </w:p>
    <w:p w:rsidRPr="00632F48" w:rsidR="00197773" w:rsidP="009B3AA9" w:rsidRDefault="00EE07DD" w14:paraId="304279D7" w14:textId="67D33826">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On March 16, 2007 (pursuant to section 215(d) of the FPA), the Commission issued Order No. 693, approving 83 of the 107 initial Reliability Standards filed by NERC.  Order 693 addressed several Reliability Stand</w:t>
      </w:r>
      <w:r w:rsidRPr="00632F48">
        <w:rPr>
          <w:rFonts w:ascii="Times New Roman" w:hAnsi="Times New Roman" w:cs="Times New Roman"/>
          <w:sz w:val="24"/>
          <w:szCs w:val="24"/>
        </w:rPr>
        <w:t>ards</w:t>
      </w:r>
      <w:r w:rsidRPr="00632F48" w:rsidR="00191621">
        <w:rPr>
          <w:rFonts w:ascii="Times New Roman" w:hAnsi="Times New Roman" w:cs="Times New Roman"/>
          <w:sz w:val="24"/>
          <w:szCs w:val="24"/>
        </w:rPr>
        <w:t xml:space="preserve">. </w:t>
      </w:r>
      <w:r w:rsidRPr="00632F48">
        <w:rPr>
          <w:rFonts w:ascii="Times New Roman" w:hAnsi="Times New Roman" w:cs="Times New Roman"/>
          <w:sz w:val="24"/>
          <w:szCs w:val="24"/>
        </w:rPr>
        <w:t>In the intervening years, numerous changes have been made to update, eliminate, or establish various Reliability Standards</w:t>
      </w:r>
      <w:r w:rsidRPr="00632F48" w:rsidR="00940DA6">
        <w:rPr>
          <w:rFonts w:ascii="Times New Roman" w:hAnsi="Times New Roman" w:cs="Times New Roman"/>
          <w:sz w:val="24"/>
          <w:szCs w:val="24"/>
        </w:rPr>
        <w:t>.</w:t>
      </w:r>
      <w:r w:rsidRPr="00632F48" w:rsidR="000321DC">
        <w:rPr>
          <w:rFonts w:ascii="Times New Roman" w:hAnsi="Times New Roman" w:cs="Times New Roman"/>
          <w:sz w:val="24"/>
          <w:szCs w:val="24"/>
        </w:rPr>
        <w:t xml:space="preserve"> </w:t>
      </w:r>
      <w:r w:rsidRPr="00632F48">
        <w:rPr>
          <w:rFonts w:ascii="Times New Roman" w:hAnsi="Times New Roman" w:cs="Times New Roman"/>
          <w:sz w:val="24"/>
          <w:szCs w:val="24"/>
        </w:rPr>
        <w:t xml:space="preserve"> </w:t>
      </w:r>
    </w:p>
    <w:p w:rsidRPr="00632F48" w:rsidR="00197773" w:rsidP="009B3AA9" w:rsidRDefault="00197773" w14:paraId="164A83A4" w14:textId="43A8E985">
      <w:pPr>
        <w:spacing w:after="0" w:line="240" w:lineRule="auto"/>
        <w:rPr>
          <w:rFonts w:ascii="Times New Roman" w:hAnsi="Times New Roman" w:cs="Times New Roman"/>
          <w:sz w:val="24"/>
          <w:szCs w:val="24"/>
        </w:rPr>
      </w:pPr>
    </w:p>
    <w:p w:rsidRPr="00632F48" w:rsidR="00197773" w:rsidP="009B3AA9" w:rsidRDefault="00197773" w14:paraId="42135CF9" w14:textId="4E68B0FC">
      <w:pPr>
        <w:spacing w:after="0" w:line="240" w:lineRule="auto"/>
        <w:rPr>
          <w:rFonts w:ascii="Times New Roman" w:hAnsi="Times New Roman" w:cs="Times New Roman"/>
          <w:sz w:val="24"/>
          <w:szCs w:val="24"/>
        </w:rPr>
      </w:pPr>
      <w:r w:rsidRPr="00632F48">
        <w:rPr>
          <w:rFonts w:ascii="Times New Roman" w:hAnsi="Times New Roman" w:cs="Times New Roman"/>
          <w:sz w:val="24"/>
          <w:szCs w:val="24"/>
        </w:rPr>
        <w:t>FERC-725D includes</w:t>
      </w:r>
      <w:r w:rsidRPr="00632F48" w:rsidR="00FF09E1">
        <w:rPr>
          <w:rStyle w:val="FootnoteReference"/>
          <w:rFonts w:ascii="Times New Roman" w:hAnsi="Times New Roman" w:cs="Times New Roman"/>
          <w:sz w:val="24"/>
          <w:szCs w:val="24"/>
        </w:rPr>
        <w:footnoteReference w:id="6"/>
      </w:r>
      <w:r w:rsidRPr="00632F48">
        <w:rPr>
          <w:rFonts w:ascii="Times New Roman" w:hAnsi="Times New Roman" w:cs="Times New Roman"/>
          <w:sz w:val="24"/>
          <w:szCs w:val="24"/>
        </w:rPr>
        <w:t>:</w:t>
      </w:r>
    </w:p>
    <w:p w:rsidRPr="004875D5" w:rsidR="00321A4B" w:rsidP="009B3AA9" w:rsidRDefault="00321A4B" w14:paraId="01ED158A" w14:textId="77777777">
      <w:pPr>
        <w:spacing w:after="0" w:line="240" w:lineRule="auto"/>
        <w:rPr>
          <w:rFonts w:ascii="Times New Roman" w:hAnsi="Times New Roman" w:cs="Times New Roman"/>
          <w:sz w:val="24"/>
          <w:szCs w:val="24"/>
        </w:rPr>
      </w:pPr>
    </w:p>
    <w:tbl>
      <w:tblPr>
        <w:tblW w:w="4500" w:type="pct"/>
        <w:jc w:val="center"/>
        <w:tblCellSpacing w:w="15" w:type="dxa"/>
        <w:tblBorders>
          <w:top w:val="single" w:color="auto" w:sz="6" w:space="0"/>
          <w:left w:val="single" w:color="auto" w:sz="6" w:space="0"/>
          <w:bottom w:val="single" w:color="auto" w:sz="6" w:space="0"/>
          <w:right w:val="single" w:color="auto" w:sz="6" w:space="0"/>
        </w:tblBorders>
        <w:tblCellMar>
          <w:top w:w="60" w:type="dxa"/>
          <w:left w:w="60" w:type="dxa"/>
          <w:bottom w:w="60" w:type="dxa"/>
          <w:right w:w="60" w:type="dxa"/>
        </w:tblCellMar>
        <w:tblLook w:val="04A0" w:firstRow="1" w:lastRow="0" w:firstColumn="1" w:lastColumn="0" w:noHBand="0" w:noVBand="1"/>
      </w:tblPr>
      <w:tblGrid>
        <w:gridCol w:w="960"/>
        <w:gridCol w:w="3603"/>
        <w:gridCol w:w="1340"/>
        <w:gridCol w:w="542"/>
        <w:gridCol w:w="1965"/>
      </w:tblGrid>
      <w:tr w:rsidRPr="00FF09E1" w:rsidR="00197773" w:rsidTr="00197773" w14:paraId="32CE7A93" w14:textId="77777777">
        <w:trPr>
          <w:trHeight w:val="300"/>
          <w:tblCellSpacing w:w="15" w:type="dxa"/>
          <w:jc w:val="center"/>
        </w:trPr>
        <w:tc>
          <w:tcPr>
            <w:tcW w:w="0" w:type="auto"/>
            <w:gridSpan w:val="5"/>
            <w:tcBorders>
              <w:top w:val="single" w:color="auto" w:sz="6" w:space="0"/>
              <w:left w:val="single" w:color="auto" w:sz="6" w:space="0"/>
              <w:bottom w:val="single" w:color="auto" w:sz="6" w:space="0"/>
              <w:right w:val="single" w:color="auto" w:sz="6" w:space="0"/>
            </w:tcBorders>
            <w:shd w:val="clear" w:color="auto" w:fill="D3DCE9"/>
            <w:vAlign w:val="bottom"/>
            <w:hideMark/>
          </w:tcPr>
          <w:p w:rsidRPr="004B18C5" w:rsidR="00197773" w:rsidP="00197773" w:rsidRDefault="00197773" w14:paraId="2B673E51" w14:textId="1CF1665D">
            <w:pPr>
              <w:spacing w:after="0" w:line="240" w:lineRule="auto"/>
              <w:rPr>
                <w:rFonts w:ascii="Times New Roman" w:hAnsi="Times New Roman" w:eastAsia="Times New Roman" w:cs="Times New Roman"/>
                <w:b/>
                <w:bCs/>
                <w:sz w:val="24"/>
                <w:szCs w:val="24"/>
              </w:rPr>
            </w:pPr>
            <w:r w:rsidRPr="004B18C5">
              <w:rPr>
                <w:rFonts w:ascii="Times New Roman" w:hAnsi="Times New Roman" w:eastAsia="Times New Roman" w:cs="Times New Roman"/>
                <w:b/>
                <w:bCs/>
                <w:sz w:val="24"/>
                <w:szCs w:val="24"/>
              </w:rPr>
              <w:t xml:space="preserve">Facilities Design, Connections, and Maintenance (FAC ) </w:t>
            </w:r>
            <w:r w:rsidRPr="004B18C5" w:rsidR="00C076B9">
              <w:rPr>
                <w:rFonts w:ascii="Times New Roman" w:hAnsi="Times New Roman" w:eastAsia="Times New Roman" w:cs="Times New Roman"/>
                <w:b/>
                <w:bCs/>
                <w:sz w:val="24"/>
                <w:szCs w:val="24"/>
              </w:rPr>
              <w:t>Reliability Standards</w:t>
            </w:r>
          </w:p>
        </w:tc>
      </w:tr>
      <w:tr w:rsidRPr="00FF09E1" w:rsidR="00197773" w:rsidTr="004B18C5" w14:paraId="099207F9" w14:textId="77777777">
        <w:trPr>
          <w:tblCellSpacing w:w="15" w:type="dxa"/>
          <w:jc w:val="center"/>
        </w:trPr>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FF09E1" w:rsidR="00197773" w:rsidP="00197773" w:rsidRDefault="00197773" w14:paraId="36412861" w14:textId="77777777">
            <w:pPr>
              <w:spacing w:after="0" w:line="240" w:lineRule="auto"/>
              <w:rPr>
                <w:rFonts w:ascii="Times New Roman" w:hAnsi="Times New Roman" w:eastAsia="Times New Roman" w:cs="Times New Roman"/>
                <w:sz w:val="24"/>
                <w:szCs w:val="24"/>
              </w:rPr>
            </w:pPr>
            <w:r w:rsidRPr="004B18C5">
              <w:rPr>
                <w:rFonts w:ascii="Times New Roman" w:hAnsi="Times New Roman" w:eastAsia="Times New Roman" w:cs="Times New Roman"/>
                <w:sz w:val="24"/>
                <w:szCs w:val="24"/>
              </w:rPr>
              <w:t>FAC-001-3</w:t>
            </w:r>
            <w:r w:rsidRPr="00FF09E1">
              <w:rPr>
                <w:rFonts w:ascii="Times New Roman" w:hAnsi="Times New Roman" w:eastAsia="Times New Roman" w:cs="Times New Roman"/>
                <w:sz w:val="24"/>
                <w:szCs w:val="24"/>
              </w:rPr>
              <w:t xml:space="preserve"> </w:t>
            </w:r>
          </w:p>
        </w:tc>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FF09E1" w14:paraId="7CB6D5F2" w14:textId="77777777">
            <w:pPr>
              <w:spacing w:after="0" w:line="240" w:lineRule="auto"/>
              <w:rPr>
                <w:rFonts w:ascii="Times New Roman" w:hAnsi="Times New Roman" w:eastAsia="Times New Roman" w:cs="Times New Roman"/>
                <w:sz w:val="24"/>
                <w:szCs w:val="24"/>
              </w:rPr>
            </w:pPr>
            <w:hyperlink w:history="1" r:id="rId13">
              <w:r w:rsidRPr="004B18C5" w:rsidR="00197773">
                <w:rPr>
                  <w:rFonts w:ascii="Times New Roman" w:hAnsi="Times New Roman" w:eastAsia="Times New Roman" w:cs="Times New Roman"/>
                  <w:color w:val="0000FF"/>
                  <w:sz w:val="24"/>
                  <w:szCs w:val="24"/>
                  <w:u w:val="single"/>
                </w:rPr>
                <w:t>Facility Interconnection Requirements</w:t>
              </w:r>
            </w:hyperlink>
            <w:r w:rsidRPr="004B18C5" w:rsidR="00197773">
              <w:rPr>
                <w:rFonts w:ascii="Times New Roman" w:hAnsi="Times New Roman" w:eastAsia="Times New Roman" w:cs="Times New Roman"/>
                <w:sz w:val="24"/>
                <w:szCs w:val="24"/>
              </w:rPr>
              <w:t xml:space="preserve"> </w:t>
            </w:r>
          </w:p>
        </w:tc>
        <w:tc>
          <w:tcPr>
            <w:tcW w:w="796" w:type="pct"/>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FF09E1" w14:paraId="0D3A9469" w14:textId="61B42CDA">
            <w:pPr>
              <w:spacing w:after="0" w:line="240" w:lineRule="auto"/>
              <w:rPr>
                <w:rFonts w:ascii="Times New Roman" w:hAnsi="Times New Roman" w:eastAsia="Times New Roman" w:cs="Times New Roman"/>
                <w:sz w:val="24"/>
                <w:szCs w:val="24"/>
              </w:rPr>
            </w:pPr>
            <w:hyperlink w:history="1" r:id="rId14">
              <w:r w:rsidRPr="004B18C5" w:rsidR="00197773">
                <w:rPr>
                  <w:rFonts w:ascii="Times New Roman" w:hAnsi="Times New Roman" w:eastAsia="Times New Roman" w:cs="Times New Roman"/>
                  <w:color w:val="0000FF"/>
                  <w:sz w:val="24"/>
                  <w:szCs w:val="24"/>
                  <w:u w:val="single"/>
                </w:rPr>
                <w:t>1/1/2019</w:t>
              </w:r>
            </w:hyperlink>
            <w:r w:rsidRPr="004B18C5" w:rsidR="00197773">
              <w:rPr>
                <w:rFonts w:ascii="Times New Roman" w:hAnsi="Times New Roman" w:eastAsia="Times New Roman" w:cs="Times New Roman"/>
                <w:sz w:val="24"/>
                <w:szCs w:val="24"/>
              </w:rPr>
              <w:t xml:space="preserve"> </w:t>
            </w:r>
            <w:r w:rsidR="00496D03">
              <w:rPr>
                <w:rStyle w:val="FootnoteReference"/>
                <w:rFonts w:ascii="Times New Roman" w:hAnsi="Times New Roman" w:eastAsia="Times New Roman" w:cs="Times New Roman"/>
                <w:sz w:val="24"/>
                <w:szCs w:val="24"/>
              </w:rPr>
              <w:footnoteReference w:id="7"/>
            </w:r>
          </w:p>
        </w:tc>
        <w:tc>
          <w:tcPr>
            <w:tcW w:w="311" w:type="pct"/>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197773" w14:paraId="1B5C3E6A" w14:textId="77777777">
            <w:pPr>
              <w:spacing w:after="0" w:line="240" w:lineRule="auto"/>
              <w:rPr>
                <w:rFonts w:ascii="Times New Roman" w:hAnsi="Times New Roman" w:eastAsia="Times New Roman" w:cs="Times New Roman"/>
                <w:sz w:val="24"/>
                <w:szCs w:val="24"/>
              </w:rPr>
            </w:pPr>
          </w:p>
        </w:tc>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6E5891" w14:paraId="3CD319D0" w14:textId="2888AAB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4B18C5" w:rsidR="00197773">
              <w:rPr>
                <w:rFonts w:ascii="Times New Roman" w:hAnsi="Times New Roman" w:eastAsia="Times New Roman" w:cs="Times New Roman"/>
                <w:sz w:val="24"/>
                <w:szCs w:val="24"/>
              </w:rPr>
              <w:t>eplace</w:t>
            </w:r>
            <w:r>
              <w:rPr>
                <w:rFonts w:ascii="Times New Roman" w:hAnsi="Times New Roman" w:eastAsia="Times New Roman" w:cs="Times New Roman"/>
                <w:sz w:val="24"/>
                <w:szCs w:val="24"/>
              </w:rPr>
              <w:t>d</w:t>
            </w:r>
            <w:r w:rsidRPr="004B18C5" w:rsidR="00197773">
              <w:rPr>
                <w:rFonts w:ascii="Times New Roman" w:hAnsi="Times New Roman" w:eastAsia="Times New Roman" w:cs="Times New Roman"/>
                <w:sz w:val="24"/>
                <w:szCs w:val="24"/>
              </w:rPr>
              <w:t xml:space="preserve"> FAC-001-2 </w:t>
            </w:r>
          </w:p>
        </w:tc>
      </w:tr>
      <w:tr w:rsidRPr="00FF09E1" w:rsidR="00197773" w:rsidTr="004B18C5" w14:paraId="32AA7A18" w14:textId="77777777">
        <w:trPr>
          <w:tblCellSpacing w:w="15" w:type="dxa"/>
          <w:jc w:val="center"/>
        </w:trPr>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FF09E1" w:rsidR="00197773" w:rsidP="00197773" w:rsidRDefault="00197773" w14:paraId="424892E7" w14:textId="1C829A11">
            <w:pPr>
              <w:spacing w:after="0" w:line="240" w:lineRule="auto"/>
              <w:rPr>
                <w:rFonts w:ascii="Times New Roman" w:hAnsi="Times New Roman" w:eastAsia="Times New Roman" w:cs="Times New Roman"/>
                <w:sz w:val="24"/>
                <w:szCs w:val="24"/>
              </w:rPr>
            </w:pPr>
            <w:r w:rsidRPr="004B18C5">
              <w:rPr>
                <w:rFonts w:ascii="Times New Roman" w:hAnsi="Times New Roman" w:eastAsia="Times New Roman" w:cs="Times New Roman"/>
                <w:sz w:val="24"/>
                <w:szCs w:val="24"/>
              </w:rPr>
              <w:t>FAC-002-3</w:t>
            </w:r>
            <w:r w:rsidRPr="00FF09E1">
              <w:rPr>
                <w:rFonts w:ascii="Times New Roman" w:hAnsi="Times New Roman" w:eastAsia="Times New Roman" w:cs="Times New Roman"/>
                <w:sz w:val="24"/>
                <w:szCs w:val="24"/>
              </w:rPr>
              <w:t xml:space="preserve"> </w:t>
            </w:r>
          </w:p>
        </w:tc>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FF09E1" w14:paraId="753891A4" w14:textId="77777777">
            <w:pPr>
              <w:spacing w:after="0" w:line="240" w:lineRule="auto"/>
              <w:rPr>
                <w:rFonts w:ascii="Times New Roman" w:hAnsi="Times New Roman" w:eastAsia="Times New Roman" w:cs="Times New Roman"/>
                <w:sz w:val="24"/>
                <w:szCs w:val="24"/>
              </w:rPr>
            </w:pPr>
            <w:hyperlink w:history="1" r:id="rId15">
              <w:r w:rsidRPr="004B18C5" w:rsidR="00197773">
                <w:rPr>
                  <w:rFonts w:ascii="Times New Roman" w:hAnsi="Times New Roman" w:eastAsia="Times New Roman" w:cs="Times New Roman"/>
                  <w:color w:val="0000FF"/>
                  <w:sz w:val="24"/>
                  <w:szCs w:val="24"/>
                  <w:u w:val="single"/>
                </w:rPr>
                <w:t>Facility Interconnection Studies</w:t>
              </w:r>
            </w:hyperlink>
            <w:r w:rsidRPr="004B18C5" w:rsidR="00197773">
              <w:rPr>
                <w:rFonts w:ascii="Times New Roman" w:hAnsi="Times New Roman" w:eastAsia="Times New Roman" w:cs="Times New Roman"/>
                <w:sz w:val="24"/>
                <w:szCs w:val="24"/>
              </w:rPr>
              <w:t xml:space="preserve"> </w:t>
            </w:r>
          </w:p>
        </w:tc>
        <w:tc>
          <w:tcPr>
            <w:tcW w:w="796" w:type="pct"/>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197773" w14:paraId="163825BC" w14:textId="68B8C5CC">
            <w:pPr>
              <w:spacing w:after="0" w:line="240" w:lineRule="auto"/>
              <w:rPr>
                <w:rFonts w:ascii="Times New Roman" w:hAnsi="Times New Roman" w:eastAsia="Times New Roman" w:cs="Times New Roman"/>
                <w:sz w:val="24"/>
                <w:szCs w:val="24"/>
              </w:rPr>
            </w:pPr>
          </w:p>
        </w:tc>
        <w:tc>
          <w:tcPr>
            <w:tcW w:w="311" w:type="pct"/>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197773" w14:paraId="030C592B" w14:textId="77777777">
            <w:pPr>
              <w:spacing w:after="0" w:line="240" w:lineRule="auto"/>
              <w:rPr>
                <w:rFonts w:ascii="Times New Roman" w:hAnsi="Times New Roman" w:eastAsia="Times New Roman" w:cs="Times New Roman"/>
                <w:sz w:val="24"/>
                <w:szCs w:val="24"/>
              </w:rPr>
            </w:pPr>
          </w:p>
        </w:tc>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197773" w14:paraId="0BC57F1F" w14:textId="138902B9">
            <w:pPr>
              <w:spacing w:after="0" w:line="240" w:lineRule="auto"/>
              <w:rPr>
                <w:rFonts w:ascii="Times New Roman" w:hAnsi="Times New Roman" w:eastAsia="Times New Roman" w:cs="Times New Roman"/>
                <w:sz w:val="24"/>
                <w:szCs w:val="24"/>
              </w:rPr>
            </w:pPr>
            <w:r w:rsidRPr="004B18C5">
              <w:rPr>
                <w:rFonts w:ascii="Times New Roman" w:hAnsi="Times New Roman" w:eastAsia="Times New Roman" w:cs="Times New Roman"/>
                <w:sz w:val="24"/>
                <w:szCs w:val="24"/>
              </w:rPr>
              <w:t>Replace</w:t>
            </w:r>
            <w:r w:rsidR="006E5891">
              <w:rPr>
                <w:rFonts w:ascii="Times New Roman" w:hAnsi="Times New Roman" w:eastAsia="Times New Roman" w:cs="Times New Roman"/>
                <w:sz w:val="24"/>
                <w:szCs w:val="24"/>
              </w:rPr>
              <w:t>d</w:t>
            </w:r>
            <w:r w:rsidRPr="004B18C5">
              <w:rPr>
                <w:rFonts w:ascii="Times New Roman" w:hAnsi="Times New Roman" w:eastAsia="Times New Roman" w:cs="Times New Roman"/>
                <w:sz w:val="24"/>
                <w:szCs w:val="24"/>
              </w:rPr>
              <w:t xml:space="preserve"> FAC-002-2</w:t>
            </w:r>
            <w:r w:rsidR="006E5891">
              <w:rPr>
                <w:rFonts w:ascii="Times New Roman" w:hAnsi="Times New Roman" w:eastAsia="Times New Roman" w:cs="Times New Roman"/>
                <w:sz w:val="24"/>
                <w:szCs w:val="24"/>
              </w:rPr>
              <w:t xml:space="preserve"> in RD20-4</w:t>
            </w:r>
          </w:p>
        </w:tc>
      </w:tr>
      <w:tr w:rsidRPr="00FF09E1" w:rsidR="00197773" w:rsidTr="004B18C5" w14:paraId="054733B0" w14:textId="77777777">
        <w:trPr>
          <w:tblCellSpacing w:w="15" w:type="dxa"/>
          <w:jc w:val="center"/>
        </w:trPr>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FF09E1" w:rsidR="00197773" w:rsidP="00197773" w:rsidRDefault="00197773" w14:paraId="57C6BD40" w14:textId="77777777">
            <w:pPr>
              <w:spacing w:after="0" w:line="240" w:lineRule="auto"/>
              <w:rPr>
                <w:rFonts w:ascii="Times New Roman" w:hAnsi="Times New Roman" w:eastAsia="Times New Roman" w:cs="Times New Roman"/>
                <w:sz w:val="24"/>
                <w:szCs w:val="24"/>
              </w:rPr>
            </w:pPr>
            <w:r w:rsidRPr="004B18C5">
              <w:rPr>
                <w:rFonts w:ascii="Times New Roman" w:hAnsi="Times New Roman" w:eastAsia="Times New Roman" w:cs="Times New Roman"/>
                <w:sz w:val="24"/>
                <w:szCs w:val="24"/>
              </w:rPr>
              <w:t>FAC-010-3</w:t>
            </w:r>
            <w:r w:rsidRPr="00FF09E1">
              <w:rPr>
                <w:rFonts w:ascii="Times New Roman" w:hAnsi="Times New Roman" w:eastAsia="Times New Roman" w:cs="Times New Roman"/>
                <w:sz w:val="24"/>
                <w:szCs w:val="24"/>
              </w:rPr>
              <w:t xml:space="preserve"> </w:t>
            </w:r>
          </w:p>
        </w:tc>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FF09E1" w14:paraId="7E573223" w14:textId="77777777">
            <w:pPr>
              <w:spacing w:after="0" w:line="240" w:lineRule="auto"/>
              <w:rPr>
                <w:rFonts w:ascii="Times New Roman" w:hAnsi="Times New Roman" w:eastAsia="Times New Roman" w:cs="Times New Roman"/>
                <w:sz w:val="24"/>
                <w:szCs w:val="24"/>
              </w:rPr>
            </w:pPr>
            <w:hyperlink w:history="1" r:id="rId16">
              <w:r w:rsidRPr="004B18C5" w:rsidR="00197773">
                <w:rPr>
                  <w:rFonts w:ascii="Times New Roman" w:hAnsi="Times New Roman" w:eastAsia="Times New Roman" w:cs="Times New Roman"/>
                  <w:color w:val="0000FF"/>
                  <w:sz w:val="24"/>
                  <w:szCs w:val="24"/>
                  <w:u w:val="single"/>
                </w:rPr>
                <w:t>System Operating Limits Methodology for the Planning Horizon</w:t>
              </w:r>
            </w:hyperlink>
            <w:r w:rsidRPr="004B18C5" w:rsidR="00197773">
              <w:rPr>
                <w:rFonts w:ascii="Times New Roman" w:hAnsi="Times New Roman" w:eastAsia="Times New Roman" w:cs="Times New Roman"/>
                <w:sz w:val="24"/>
                <w:szCs w:val="24"/>
              </w:rPr>
              <w:t xml:space="preserve"> </w:t>
            </w:r>
          </w:p>
        </w:tc>
        <w:tc>
          <w:tcPr>
            <w:tcW w:w="796" w:type="pct"/>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FF09E1" w14:paraId="722B6C83" w14:textId="77777777">
            <w:pPr>
              <w:spacing w:after="0" w:line="240" w:lineRule="auto"/>
              <w:rPr>
                <w:rFonts w:ascii="Times New Roman" w:hAnsi="Times New Roman" w:eastAsia="Times New Roman" w:cs="Times New Roman"/>
                <w:sz w:val="24"/>
                <w:szCs w:val="24"/>
              </w:rPr>
            </w:pPr>
            <w:hyperlink w:history="1" r:id="rId17">
              <w:r w:rsidRPr="004B18C5" w:rsidR="00197773">
                <w:rPr>
                  <w:rFonts w:ascii="Times New Roman" w:hAnsi="Times New Roman" w:eastAsia="Times New Roman" w:cs="Times New Roman"/>
                  <w:color w:val="0000FF"/>
                  <w:sz w:val="24"/>
                  <w:szCs w:val="24"/>
                  <w:u w:val="single"/>
                </w:rPr>
                <w:t>4/1/2017</w:t>
              </w:r>
            </w:hyperlink>
            <w:r w:rsidRPr="004B18C5" w:rsidR="00197773">
              <w:rPr>
                <w:rFonts w:ascii="Times New Roman" w:hAnsi="Times New Roman" w:eastAsia="Times New Roman" w:cs="Times New Roman"/>
                <w:sz w:val="24"/>
                <w:szCs w:val="24"/>
              </w:rPr>
              <w:t xml:space="preserve"> </w:t>
            </w:r>
          </w:p>
        </w:tc>
        <w:tc>
          <w:tcPr>
            <w:tcW w:w="311" w:type="pct"/>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197773" w14:paraId="06EECAEA" w14:textId="729D683F">
            <w:pPr>
              <w:spacing w:after="0" w:line="240" w:lineRule="auto"/>
              <w:rPr>
                <w:rFonts w:ascii="Times New Roman" w:hAnsi="Times New Roman" w:eastAsia="Times New Roman" w:cs="Times New Roman"/>
                <w:sz w:val="24"/>
                <w:szCs w:val="24"/>
              </w:rPr>
            </w:pPr>
          </w:p>
        </w:tc>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6E5891" w14:paraId="11EB2716" w14:textId="0F315D9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4B18C5" w:rsidR="00197773">
              <w:rPr>
                <w:rFonts w:ascii="Times New Roman" w:hAnsi="Times New Roman" w:eastAsia="Times New Roman" w:cs="Times New Roman"/>
                <w:sz w:val="24"/>
                <w:szCs w:val="24"/>
              </w:rPr>
              <w:t>eplace</w:t>
            </w:r>
            <w:r>
              <w:rPr>
                <w:rFonts w:ascii="Times New Roman" w:hAnsi="Times New Roman" w:eastAsia="Times New Roman" w:cs="Times New Roman"/>
                <w:sz w:val="24"/>
                <w:szCs w:val="24"/>
              </w:rPr>
              <w:t>d</w:t>
            </w:r>
            <w:r w:rsidRPr="004B18C5" w:rsidR="00197773">
              <w:rPr>
                <w:rFonts w:ascii="Times New Roman" w:hAnsi="Times New Roman" w:eastAsia="Times New Roman" w:cs="Times New Roman"/>
                <w:sz w:val="24"/>
                <w:szCs w:val="24"/>
              </w:rPr>
              <w:t xml:space="preserve"> FAC-010-2.1 </w:t>
            </w:r>
          </w:p>
        </w:tc>
      </w:tr>
      <w:tr w:rsidRPr="00FF09E1" w:rsidR="00197773" w:rsidTr="004B18C5" w14:paraId="559800F6" w14:textId="77777777">
        <w:trPr>
          <w:tblCellSpacing w:w="15" w:type="dxa"/>
          <w:jc w:val="center"/>
        </w:trPr>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FF09E1" w:rsidR="00197773" w:rsidP="00197773" w:rsidRDefault="00197773" w14:paraId="17969F5C" w14:textId="77777777">
            <w:pPr>
              <w:spacing w:after="0" w:line="240" w:lineRule="auto"/>
              <w:rPr>
                <w:rFonts w:ascii="Times New Roman" w:hAnsi="Times New Roman" w:eastAsia="Times New Roman" w:cs="Times New Roman"/>
                <w:sz w:val="24"/>
                <w:szCs w:val="24"/>
              </w:rPr>
            </w:pPr>
            <w:r w:rsidRPr="004B18C5">
              <w:rPr>
                <w:rFonts w:ascii="Times New Roman" w:hAnsi="Times New Roman" w:eastAsia="Times New Roman" w:cs="Times New Roman"/>
                <w:sz w:val="24"/>
                <w:szCs w:val="24"/>
              </w:rPr>
              <w:t>FAC-011-3</w:t>
            </w:r>
            <w:r w:rsidRPr="00FF09E1">
              <w:rPr>
                <w:rFonts w:ascii="Times New Roman" w:hAnsi="Times New Roman" w:eastAsia="Times New Roman" w:cs="Times New Roman"/>
                <w:sz w:val="24"/>
                <w:szCs w:val="24"/>
              </w:rPr>
              <w:t xml:space="preserve"> </w:t>
            </w:r>
          </w:p>
        </w:tc>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FF09E1" w14:paraId="086C5DA6" w14:textId="77777777">
            <w:pPr>
              <w:spacing w:after="0" w:line="240" w:lineRule="auto"/>
              <w:rPr>
                <w:rFonts w:ascii="Times New Roman" w:hAnsi="Times New Roman" w:eastAsia="Times New Roman" w:cs="Times New Roman"/>
                <w:sz w:val="24"/>
                <w:szCs w:val="24"/>
              </w:rPr>
            </w:pPr>
            <w:hyperlink w:history="1" r:id="rId18">
              <w:r w:rsidRPr="004B18C5" w:rsidR="00197773">
                <w:rPr>
                  <w:rFonts w:ascii="Times New Roman" w:hAnsi="Times New Roman" w:eastAsia="Times New Roman" w:cs="Times New Roman"/>
                  <w:color w:val="0000FF"/>
                  <w:sz w:val="24"/>
                  <w:szCs w:val="24"/>
                  <w:u w:val="single"/>
                </w:rPr>
                <w:t>System Operating Limits Methodology for the Operations Horizon</w:t>
              </w:r>
            </w:hyperlink>
            <w:r w:rsidRPr="004B18C5" w:rsidR="00197773">
              <w:rPr>
                <w:rFonts w:ascii="Times New Roman" w:hAnsi="Times New Roman" w:eastAsia="Times New Roman" w:cs="Times New Roman"/>
                <w:sz w:val="24"/>
                <w:szCs w:val="24"/>
              </w:rPr>
              <w:t xml:space="preserve"> </w:t>
            </w:r>
          </w:p>
        </w:tc>
        <w:tc>
          <w:tcPr>
            <w:tcW w:w="796" w:type="pct"/>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FF09E1" w14:paraId="405158E2" w14:textId="77777777">
            <w:pPr>
              <w:spacing w:after="0" w:line="240" w:lineRule="auto"/>
              <w:rPr>
                <w:rFonts w:ascii="Times New Roman" w:hAnsi="Times New Roman" w:eastAsia="Times New Roman" w:cs="Times New Roman"/>
                <w:sz w:val="24"/>
                <w:szCs w:val="24"/>
              </w:rPr>
            </w:pPr>
            <w:hyperlink w:history="1" r:id="rId19">
              <w:r w:rsidRPr="004B18C5" w:rsidR="00197773">
                <w:rPr>
                  <w:rFonts w:ascii="Times New Roman" w:hAnsi="Times New Roman" w:eastAsia="Times New Roman" w:cs="Times New Roman"/>
                  <w:color w:val="0000FF"/>
                  <w:sz w:val="24"/>
                  <w:szCs w:val="24"/>
                  <w:u w:val="single"/>
                </w:rPr>
                <w:t>4/1/2017</w:t>
              </w:r>
            </w:hyperlink>
            <w:r w:rsidRPr="004B18C5" w:rsidR="00197773">
              <w:rPr>
                <w:rFonts w:ascii="Times New Roman" w:hAnsi="Times New Roman" w:eastAsia="Times New Roman" w:cs="Times New Roman"/>
                <w:sz w:val="24"/>
                <w:szCs w:val="24"/>
              </w:rPr>
              <w:t xml:space="preserve"> </w:t>
            </w:r>
          </w:p>
        </w:tc>
        <w:tc>
          <w:tcPr>
            <w:tcW w:w="311" w:type="pct"/>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197773" w14:paraId="0BCBBD0E" w14:textId="77777777">
            <w:pPr>
              <w:spacing w:after="0" w:line="240" w:lineRule="auto"/>
              <w:rPr>
                <w:rFonts w:ascii="Times New Roman" w:hAnsi="Times New Roman" w:eastAsia="Times New Roman" w:cs="Times New Roman"/>
                <w:sz w:val="24"/>
                <w:szCs w:val="24"/>
              </w:rPr>
            </w:pPr>
          </w:p>
        </w:tc>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197773" w14:paraId="22208B98" w14:textId="73DF95A2">
            <w:pPr>
              <w:spacing w:after="0" w:line="240" w:lineRule="auto"/>
              <w:rPr>
                <w:rFonts w:ascii="Times New Roman" w:hAnsi="Times New Roman" w:eastAsia="Times New Roman" w:cs="Times New Roman"/>
                <w:sz w:val="24"/>
                <w:szCs w:val="24"/>
              </w:rPr>
            </w:pPr>
            <w:r w:rsidRPr="004B18C5">
              <w:rPr>
                <w:rFonts w:ascii="Times New Roman" w:hAnsi="Times New Roman" w:eastAsia="Times New Roman" w:cs="Times New Roman"/>
                <w:sz w:val="24"/>
                <w:szCs w:val="24"/>
              </w:rPr>
              <w:t xml:space="preserve"> </w:t>
            </w:r>
            <w:r w:rsidRPr="004B18C5" w:rsidR="00FF09E1">
              <w:rPr>
                <w:rFonts w:ascii="Times New Roman" w:hAnsi="Times New Roman" w:eastAsia="Times New Roman" w:cs="Times New Roman"/>
                <w:sz w:val="24"/>
                <w:szCs w:val="24"/>
              </w:rPr>
              <w:t>Replace</w:t>
            </w:r>
            <w:r w:rsidR="006E5891">
              <w:rPr>
                <w:rFonts w:ascii="Times New Roman" w:hAnsi="Times New Roman" w:eastAsia="Times New Roman" w:cs="Times New Roman"/>
                <w:sz w:val="24"/>
                <w:szCs w:val="24"/>
              </w:rPr>
              <w:t>d</w:t>
            </w:r>
            <w:r w:rsidRPr="004B18C5" w:rsidR="00FF09E1">
              <w:rPr>
                <w:rFonts w:ascii="Times New Roman" w:hAnsi="Times New Roman" w:eastAsia="Times New Roman" w:cs="Times New Roman"/>
                <w:sz w:val="24"/>
                <w:szCs w:val="24"/>
              </w:rPr>
              <w:t xml:space="preserve"> FAC-011-2</w:t>
            </w:r>
          </w:p>
        </w:tc>
      </w:tr>
      <w:tr w:rsidRPr="00FF09E1" w:rsidR="00197773" w:rsidTr="004B18C5" w14:paraId="36E1D99D" w14:textId="77777777">
        <w:trPr>
          <w:tblCellSpacing w:w="15" w:type="dxa"/>
          <w:jc w:val="center"/>
        </w:trPr>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FF09E1" w:rsidR="00197773" w:rsidP="00197773" w:rsidRDefault="00197773" w14:paraId="4369C6CB" w14:textId="77777777">
            <w:pPr>
              <w:spacing w:after="0" w:line="240" w:lineRule="auto"/>
              <w:rPr>
                <w:rFonts w:ascii="Times New Roman" w:hAnsi="Times New Roman" w:eastAsia="Times New Roman" w:cs="Times New Roman"/>
                <w:sz w:val="24"/>
                <w:szCs w:val="24"/>
              </w:rPr>
            </w:pPr>
            <w:r w:rsidRPr="004B18C5">
              <w:rPr>
                <w:rFonts w:ascii="Times New Roman" w:hAnsi="Times New Roman" w:eastAsia="Times New Roman" w:cs="Times New Roman"/>
                <w:sz w:val="24"/>
                <w:szCs w:val="24"/>
              </w:rPr>
              <w:t>FAC-014-2</w:t>
            </w:r>
            <w:r w:rsidRPr="00FF09E1">
              <w:rPr>
                <w:rFonts w:ascii="Times New Roman" w:hAnsi="Times New Roman" w:eastAsia="Times New Roman" w:cs="Times New Roman"/>
                <w:sz w:val="24"/>
                <w:szCs w:val="24"/>
              </w:rPr>
              <w:t xml:space="preserve"> </w:t>
            </w:r>
          </w:p>
        </w:tc>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FF09E1" w14:paraId="4BFC2307" w14:textId="77777777">
            <w:pPr>
              <w:spacing w:after="0" w:line="240" w:lineRule="auto"/>
              <w:rPr>
                <w:rFonts w:ascii="Times New Roman" w:hAnsi="Times New Roman" w:eastAsia="Times New Roman" w:cs="Times New Roman"/>
                <w:sz w:val="24"/>
                <w:szCs w:val="24"/>
              </w:rPr>
            </w:pPr>
            <w:hyperlink w:history="1" r:id="rId20">
              <w:r w:rsidRPr="004B18C5" w:rsidR="00197773">
                <w:rPr>
                  <w:rFonts w:ascii="Times New Roman" w:hAnsi="Times New Roman" w:eastAsia="Times New Roman" w:cs="Times New Roman"/>
                  <w:color w:val="0000FF"/>
                  <w:sz w:val="24"/>
                  <w:szCs w:val="24"/>
                  <w:u w:val="single"/>
                </w:rPr>
                <w:t>Establish and Communicate System Operating Limits</w:t>
              </w:r>
            </w:hyperlink>
            <w:r w:rsidRPr="004B18C5" w:rsidR="00197773">
              <w:rPr>
                <w:rFonts w:ascii="Times New Roman" w:hAnsi="Times New Roman" w:eastAsia="Times New Roman" w:cs="Times New Roman"/>
                <w:sz w:val="24"/>
                <w:szCs w:val="24"/>
              </w:rPr>
              <w:t xml:space="preserve"> </w:t>
            </w:r>
          </w:p>
        </w:tc>
        <w:tc>
          <w:tcPr>
            <w:tcW w:w="796" w:type="pct"/>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FF09E1" w14:paraId="22D88FBF" w14:textId="77777777">
            <w:pPr>
              <w:spacing w:after="0" w:line="240" w:lineRule="auto"/>
              <w:rPr>
                <w:rFonts w:ascii="Times New Roman" w:hAnsi="Times New Roman" w:eastAsia="Times New Roman" w:cs="Times New Roman"/>
                <w:sz w:val="24"/>
                <w:szCs w:val="24"/>
              </w:rPr>
            </w:pPr>
            <w:hyperlink w:history="1" r:id="rId21">
              <w:r w:rsidRPr="004B18C5" w:rsidR="00197773">
                <w:rPr>
                  <w:rFonts w:ascii="Times New Roman" w:hAnsi="Times New Roman" w:eastAsia="Times New Roman" w:cs="Times New Roman"/>
                  <w:color w:val="0000FF"/>
                  <w:sz w:val="24"/>
                  <w:szCs w:val="24"/>
                  <w:u w:val="single"/>
                </w:rPr>
                <w:t>4/29/2009</w:t>
              </w:r>
            </w:hyperlink>
            <w:r w:rsidRPr="004B18C5" w:rsidR="00197773">
              <w:rPr>
                <w:rFonts w:ascii="Times New Roman" w:hAnsi="Times New Roman" w:eastAsia="Times New Roman" w:cs="Times New Roman"/>
                <w:sz w:val="24"/>
                <w:szCs w:val="24"/>
              </w:rPr>
              <w:t xml:space="preserve"> </w:t>
            </w:r>
          </w:p>
        </w:tc>
        <w:tc>
          <w:tcPr>
            <w:tcW w:w="311" w:type="pct"/>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197773" w14:paraId="690F61CF" w14:textId="77777777">
            <w:pPr>
              <w:spacing w:after="0" w:line="240" w:lineRule="auto"/>
              <w:rPr>
                <w:rFonts w:ascii="Times New Roman" w:hAnsi="Times New Roman" w:eastAsia="Times New Roman" w:cs="Times New Roman"/>
                <w:sz w:val="24"/>
                <w:szCs w:val="24"/>
              </w:rPr>
            </w:pPr>
          </w:p>
        </w:tc>
        <w:tc>
          <w:tcPr>
            <w:tcW w:w="0" w:type="auto"/>
            <w:tcBorders>
              <w:top w:val="single" w:color="auto" w:sz="6" w:space="0"/>
              <w:left w:val="single" w:color="auto" w:sz="6" w:space="0"/>
              <w:bottom w:val="single" w:color="auto" w:sz="6" w:space="0"/>
              <w:right w:val="single" w:color="auto" w:sz="6" w:space="0"/>
            </w:tcBorders>
            <w:shd w:val="clear" w:color="auto" w:fill="FFFFFF"/>
            <w:hideMark/>
          </w:tcPr>
          <w:p w:rsidRPr="004B18C5" w:rsidR="00197773" w:rsidP="00197773" w:rsidRDefault="00197773" w14:paraId="0E2830B9" w14:textId="637C61C2">
            <w:pPr>
              <w:spacing w:after="0" w:line="240" w:lineRule="auto"/>
              <w:rPr>
                <w:rFonts w:ascii="Times New Roman" w:hAnsi="Times New Roman" w:eastAsia="Times New Roman" w:cs="Times New Roman"/>
                <w:sz w:val="24"/>
                <w:szCs w:val="24"/>
              </w:rPr>
            </w:pPr>
            <w:r w:rsidRPr="004B18C5">
              <w:rPr>
                <w:rFonts w:ascii="Times New Roman" w:hAnsi="Times New Roman" w:eastAsia="Times New Roman" w:cs="Times New Roman"/>
                <w:sz w:val="24"/>
                <w:szCs w:val="24"/>
              </w:rPr>
              <w:t>Replace</w:t>
            </w:r>
            <w:r w:rsidR="006E5891">
              <w:rPr>
                <w:rFonts w:ascii="Times New Roman" w:hAnsi="Times New Roman" w:eastAsia="Times New Roman" w:cs="Times New Roman"/>
                <w:sz w:val="24"/>
                <w:szCs w:val="24"/>
              </w:rPr>
              <w:t>d</w:t>
            </w:r>
            <w:r w:rsidRPr="004B18C5">
              <w:rPr>
                <w:rFonts w:ascii="Times New Roman" w:hAnsi="Times New Roman" w:eastAsia="Times New Roman" w:cs="Times New Roman"/>
                <w:sz w:val="24"/>
                <w:szCs w:val="24"/>
              </w:rPr>
              <w:t xml:space="preserve"> FAC-014-1 </w:t>
            </w:r>
          </w:p>
        </w:tc>
      </w:tr>
    </w:tbl>
    <w:p w:rsidRPr="00402EB9" w:rsidR="00197773" w:rsidP="009B3AA9" w:rsidRDefault="00197773" w14:paraId="79D060CF" w14:textId="77777777">
      <w:pPr>
        <w:spacing w:after="0" w:line="240" w:lineRule="auto"/>
        <w:rPr>
          <w:rFonts w:ascii="Times New Roman" w:hAnsi="Times New Roman" w:cs="Times New Roman"/>
          <w:sz w:val="24"/>
          <w:szCs w:val="24"/>
        </w:rPr>
      </w:pPr>
    </w:p>
    <w:p w:rsidRPr="00402EB9" w:rsidR="00B77B3D" w:rsidP="009B3AA9" w:rsidRDefault="00B77B3D" w14:paraId="3C13CF8D" w14:textId="77777777">
      <w:pPr>
        <w:spacing w:after="0" w:line="240" w:lineRule="auto"/>
        <w:rPr>
          <w:rFonts w:ascii="Times New Roman" w:hAnsi="Times New Roman" w:cs="Times New Roman"/>
          <w:sz w:val="24"/>
          <w:szCs w:val="24"/>
        </w:rPr>
      </w:pPr>
    </w:p>
    <w:p w:rsidRPr="00402EB9" w:rsidR="007C596E" w:rsidP="00532783" w:rsidRDefault="00231271" w14:paraId="29FD03D1" w14:textId="3DAC4CBB">
      <w:pPr>
        <w:autoSpaceDE w:val="0"/>
        <w:autoSpaceDN w:val="0"/>
        <w:adjustRightInd w:val="0"/>
        <w:spacing w:after="0" w:line="240" w:lineRule="auto"/>
        <w:rPr>
          <w:rFonts w:ascii="Times New Roman" w:hAnsi="Times New Roman" w:cs="Times New Roman"/>
          <w:sz w:val="24"/>
          <w:szCs w:val="24"/>
        </w:rPr>
      </w:pPr>
      <w:r w:rsidRPr="00402EB9">
        <w:rPr>
          <w:rFonts w:ascii="Times New Roman" w:hAnsi="Times New Roman" w:cs="Times New Roman"/>
          <w:b/>
          <w:sz w:val="24"/>
          <w:szCs w:val="24"/>
        </w:rPr>
        <w:t>Background on</w:t>
      </w:r>
      <w:r w:rsidRPr="00402EB9" w:rsidR="006452B4">
        <w:rPr>
          <w:rFonts w:ascii="Times New Roman" w:hAnsi="Times New Roman" w:cs="Times New Roman"/>
          <w:b/>
          <w:sz w:val="24"/>
          <w:szCs w:val="24"/>
        </w:rPr>
        <w:t xml:space="preserve"> Docket No. </w:t>
      </w:r>
      <w:r w:rsidRPr="00402EB9">
        <w:rPr>
          <w:rFonts w:ascii="Times New Roman" w:hAnsi="Times New Roman" w:cs="Times New Roman"/>
          <w:b/>
          <w:sz w:val="24"/>
          <w:szCs w:val="24"/>
        </w:rPr>
        <w:t xml:space="preserve"> </w:t>
      </w:r>
      <w:r w:rsidRPr="00402EB9" w:rsidR="008D1BFE">
        <w:rPr>
          <w:rFonts w:ascii="Times New Roman" w:hAnsi="Times New Roman" w:cs="Times New Roman"/>
          <w:b/>
          <w:sz w:val="24"/>
          <w:szCs w:val="24"/>
        </w:rPr>
        <w:t>RD20-4</w:t>
      </w:r>
      <w:r w:rsidRPr="00402EB9" w:rsidR="006452B4">
        <w:rPr>
          <w:rFonts w:ascii="Times New Roman" w:hAnsi="Times New Roman" w:cs="Times New Roman"/>
          <w:b/>
          <w:sz w:val="24"/>
          <w:szCs w:val="24"/>
        </w:rPr>
        <w:t>-000</w:t>
      </w:r>
      <w:r w:rsidRPr="00402EB9">
        <w:rPr>
          <w:rFonts w:ascii="Times New Roman" w:hAnsi="Times New Roman" w:cs="Times New Roman"/>
          <w:b/>
          <w:sz w:val="24"/>
          <w:szCs w:val="24"/>
        </w:rPr>
        <w:t>.</w:t>
      </w:r>
      <w:r w:rsidRPr="00402EB9" w:rsidR="00807391">
        <w:rPr>
          <w:rFonts w:ascii="Times New Roman" w:hAnsi="Times New Roman" w:cs="Times New Roman"/>
          <w:b/>
          <w:sz w:val="24"/>
          <w:szCs w:val="24"/>
        </w:rPr>
        <w:t xml:space="preserve"> </w:t>
      </w:r>
      <w:r w:rsidRPr="00402EB9" w:rsidR="009A0BF6">
        <w:rPr>
          <w:rFonts w:ascii="Times New Roman" w:hAnsi="Times New Roman" w:cs="Times New Roman"/>
          <w:sz w:val="24"/>
          <w:szCs w:val="24"/>
        </w:rPr>
        <w:t xml:space="preserve"> </w:t>
      </w:r>
      <w:r w:rsidRPr="00402EB9" w:rsidR="008D1BFE">
        <w:rPr>
          <w:rFonts w:ascii="Times New Roman" w:hAnsi="Times New Roman" w:cs="Times New Roman"/>
          <w:sz w:val="24"/>
          <w:szCs w:val="24"/>
        </w:rPr>
        <w:t xml:space="preserve">On 2/21/2020, NERC submitted a Petition </w:t>
      </w:r>
      <w:r w:rsidRPr="00402EB9" w:rsidR="00191621">
        <w:rPr>
          <w:rFonts w:ascii="Times New Roman" w:hAnsi="Times New Roman" w:cs="Times New Roman"/>
          <w:sz w:val="24"/>
          <w:szCs w:val="24"/>
        </w:rPr>
        <w:t>f</w:t>
      </w:r>
      <w:r w:rsidRPr="00402EB9" w:rsidR="008D1BFE">
        <w:rPr>
          <w:rFonts w:ascii="Times New Roman" w:hAnsi="Times New Roman" w:cs="Times New Roman"/>
          <w:sz w:val="24"/>
          <w:szCs w:val="24"/>
        </w:rPr>
        <w:t xml:space="preserve">or </w:t>
      </w:r>
      <w:r w:rsidRPr="00402EB9" w:rsidR="00556DD4">
        <w:rPr>
          <w:rFonts w:ascii="Times New Roman" w:hAnsi="Times New Roman" w:cs="Times New Roman"/>
          <w:sz w:val="24"/>
          <w:szCs w:val="24"/>
        </w:rPr>
        <w:t>a</w:t>
      </w:r>
      <w:r w:rsidRPr="00402EB9" w:rsidR="008D1BFE">
        <w:rPr>
          <w:rFonts w:ascii="Times New Roman" w:hAnsi="Times New Roman" w:cs="Times New Roman"/>
          <w:sz w:val="24"/>
          <w:szCs w:val="24"/>
        </w:rPr>
        <w:t xml:space="preserve">pproval </w:t>
      </w:r>
      <w:r w:rsidRPr="00402EB9" w:rsidR="00F225FE">
        <w:rPr>
          <w:rFonts w:ascii="Times New Roman" w:hAnsi="Times New Roman" w:cs="Times New Roman"/>
          <w:sz w:val="24"/>
          <w:szCs w:val="24"/>
        </w:rPr>
        <w:t>o</w:t>
      </w:r>
      <w:r w:rsidRPr="00402EB9" w:rsidR="008D1BFE">
        <w:rPr>
          <w:rFonts w:ascii="Times New Roman" w:hAnsi="Times New Roman" w:cs="Times New Roman"/>
          <w:sz w:val="24"/>
          <w:szCs w:val="24"/>
        </w:rPr>
        <w:t>f Reliabili</w:t>
      </w:r>
      <w:r w:rsidRPr="004B18C5" w:rsidR="008D1BFE">
        <w:rPr>
          <w:rFonts w:ascii="Times New Roman" w:hAnsi="Times New Roman" w:cs="Times New Roman"/>
          <w:sz w:val="24"/>
          <w:szCs w:val="24"/>
        </w:rPr>
        <w:t xml:space="preserve">ty Standards </w:t>
      </w:r>
      <w:r w:rsidRPr="004B18C5" w:rsidR="00556DD4">
        <w:rPr>
          <w:rFonts w:ascii="Times New Roman" w:hAnsi="Times New Roman" w:cs="Times New Roman"/>
          <w:sz w:val="24"/>
          <w:szCs w:val="24"/>
        </w:rPr>
        <w:t>d</w:t>
      </w:r>
      <w:r w:rsidRPr="004B18C5" w:rsidR="008D1BFE">
        <w:rPr>
          <w:rFonts w:ascii="Times New Roman" w:hAnsi="Times New Roman" w:cs="Times New Roman"/>
          <w:sz w:val="24"/>
          <w:szCs w:val="24"/>
        </w:rPr>
        <w:t xml:space="preserve">eveloped </w:t>
      </w:r>
      <w:r w:rsidRPr="004B18C5" w:rsidR="00556DD4">
        <w:rPr>
          <w:rFonts w:ascii="Times New Roman" w:hAnsi="Times New Roman" w:cs="Times New Roman"/>
          <w:sz w:val="24"/>
          <w:szCs w:val="24"/>
        </w:rPr>
        <w:t>u</w:t>
      </w:r>
      <w:r w:rsidRPr="004B18C5" w:rsidR="008D1BFE">
        <w:rPr>
          <w:rFonts w:ascii="Times New Roman" w:hAnsi="Times New Roman" w:cs="Times New Roman"/>
          <w:sz w:val="24"/>
          <w:szCs w:val="24"/>
        </w:rPr>
        <w:t xml:space="preserve">nder The Standards Alignment </w:t>
      </w:r>
      <w:r w:rsidRPr="004B18C5" w:rsidR="00EC08E0">
        <w:rPr>
          <w:rFonts w:ascii="Times New Roman" w:hAnsi="Times New Roman" w:cs="Times New Roman"/>
          <w:sz w:val="24"/>
          <w:szCs w:val="24"/>
        </w:rPr>
        <w:t>w</w:t>
      </w:r>
      <w:r w:rsidRPr="004B18C5" w:rsidR="008D1BFE">
        <w:rPr>
          <w:rFonts w:ascii="Times New Roman" w:hAnsi="Times New Roman" w:cs="Times New Roman"/>
          <w:sz w:val="24"/>
          <w:szCs w:val="24"/>
        </w:rPr>
        <w:t xml:space="preserve">ith Registration </w:t>
      </w:r>
      <w:r w:rsidRPr="004B18C5" w:rsidR="008D1BFE">
        <w:rPr>
          <w:rFonts w:ascii="Times New Roman" w:hAnsi="Times New Roman" w:cs="Times New Roman"/>
          <w:sz w:val="24"/>
          <w:szCs w:val="24"/>
        </w:rPr>
        <w:lastRenderedPageBreak/>
        <w:t>Project.</w:t>
      </w:r>
      <w:r w:rsidRPr="004B18C5" w:rsidR="008D1BFE">
        <w:rPr>
          <w:rStyle w:val="FootnoteReference"/>
          <w:rFonts w:ascii="Times New Roman" w:hAnsi="Times New Roman" w:cs="Times New Roman"/>
          <w:sz w:val="24"/>
          <w:szCs w:val="24"/>
        </w:rPr>
        <w:footnoteReference w:id="8"/>
      </w:r>
      <w:r w:rsidRPr="004B18C5" w:rsidR="008D1BFE">
        <w:rPr>
          <w:rFonts w:ascii="Times New Roman" w:hAnsi="Times New Roman" w:cs="Times New Roman"/>
          <w:sz w:val="24"/>
          <w:szCs w:val="24"/>
        </w:rPr>
        <w:t xml:space="preserve">  In its Petition, NERC requested “for Commission approval seven proposed Reliability Standard</w:t>
      </w:r>
      <w:r w:rsidRPr="004B18C5" w:rsidR="00F225FE">
        <w:rPr>
          <w:rFonts w:ascii="Times New Roman" w:hAnsi="Times New Roman" w:cs="Times New Roman"/>
          <w:sz w:val="24"/>
          <w:szCs w:val="24"/>
        </w:rPr>
        <w:t>s,</w:t>
      </w:r>
      <w:r w:rsidRPr="004B18C5" w:rsidR="00191621">
        <w:rPr>
          <w:rFonts w:ascii="Times New Roman" w:hAnsi="Times New Roman" w:cs="Times New Roman"/>
          <w:sz w:val="24"/>
          <w:szCs w:val="24"/>
        </w:rPr>
        <w:t xml:space="preserve"> one which included </w:t>
      </w:r>
      <w:r w:rsidRPr="004B18C5" w:rsidR="008D1BFE">
        <w:rPr>
          <w:rFonts w:ascii="Times New Roman" w:hAnsi="Times New Roman" w:cs="Times New Roman"/>
          <w:sz w:val="24"/>
          <w:szCs w:val="24"/>
        </w:rPr>
        <w:t>Reliability Standard FAC-002-3 – Facility Interconnection Studies</w:t>
      </w:r>
      <w:r w:rsidRPr="004B18C5" w:rsidR="00191621">
        <w:rPr>
          <w:rFonts w:ascii="Times New Roman" w:hAnsi="Times New Roman" w:cs="Times New Roman"/>
          <w:sz w:val="24"/>
          <w:szCs w:val="24"/>
        </w:rPr>
        <w:t>.</w:t>
      </w:r>
      <w:r w:rsidRPr="004B18C5" w:rsidR="00F225FE">
        <w:rPr>
          <w:rFonts w:ascii="Times New Roman" w:hAnsi="Times New Roman" w:cs="Times New Roman"/>
          <w:sz w:val="24"/>
          <w:szCs w:val="24"/>
        </w:rPr>
        <w:t xml:space="preserve"> </w:t>
      </w:r>
      <w:r w:rsidRPr="004B18C5" w:rsidR="008D1BFE">
        <w:rPr>
          <w:rFonts w:ascii="Times New Roman" w:hAnsi="Times New Roman" w:cs="Times New Roman"/>
          <w:sz w:val="24"/>
          <w:szCs w:val="24"/>
        </w:rPr>
        <w:t>The proposed Reliability Standard revise</w:t>
      </w:r>
      <w:r w:rsidRPr="004B18C5" w:rsidR="00191621">
        <w:rPr>
          <w:rFonts w:ascii="Times New Roman" w:hAnsi="Times New Roman" w:cs="Times New Roman"/>
          <w:sz w:val="24"/>
          <w:szCs w:val="24"/>
        </w:rPr>
        <w:t>d</w:t>
      </w:r>
      <w:r w:rsidRPr="004B18C5" w:rsidR="008D1BFE">
        <w:rPr>
          <w:rFonts w:ascii="Times New Roman" w:hAnsi="Times New Roman" w:cs="Times New Roman"/>
          <w:sz w:val="24"/>
          <w:szCs w:val="24"/>
        </w:rPr>
        <w:t xml:space="preserve"> the currently effective version to align the</w:t>
      </w:r>
      <w:r w:rsidRPr="004B18C5" w:rsidR="00F225FE">
        <w:rPr>
          <w:rFonts w:ascii="Times New Roman" w:hAnsi="Times New Roman" w:cs="Times New Roman"/>
          <w:sz w:val="24"/>
          <w:szCs w:val="24"/>
        </w:rPr>
        <w:t xml:space="preserve"> </w:t>
      </w:r>
      <w:r w:rsidRPr="004B18C5" w:rsidR="008D1BFE">
        <w:rPr>
          <w:rFonts w:ascii="Times New Roman" w:hAnsi="Times New Roman" w:cs="Times New Roman"/>
          <w:sz w:val="24"/>
          <w:szCs w:val="24"/>
        </w:rPr>
        <w:t>standard with registration changes approved by the Commission in 2015. In the proposed Reliability Standards, references to entities that are no longer registered by NERC are remove</w:t>
      </w:r>
      <w:r w:rsidRPr="00402EB9" w:rsidR="008D1BFE">
        <w:rPr>
          <w:rFonts w:ascii="Times New Roman" w:hAnsi="Times New Roman" w:cs="Times New Roman"/>
          <w:sz w:val="24"/>
          <w:szCs w:val="24"/>
        </w:rPr>
        <w:t>d.</w:t>
      </w:r>
      <w:r w:rsidRPr="00402EB9" w:rsidDel="006E5891" w:rsidR="006E5891">
        <w:rPr>
          <w:rStyle w:val="FootnoteReference"/>
          <w:rFonts w:ascii="Times New Roman" w:hAnsi="Times New Roman" w:cs="Times New Roman"/>
          <w:sz w:val="24"/>
          <w:szCs w:val="24"/>
        </w:rPr>
        <w:t xml:space="preserve"> </w:t>
      </w:r>
    </w:p>
    <w:p w:rsidRPr="00402EB9" w:rsidR="00520D93" w:rsidP="00402EB9" w:rsidRDefault="00520D93" w14:paraId="7DC0C4EF" w14:textId="1E083010">
      <w:pPr>
        <w:autoSpaceDE w:val="0"/>
        <w:autoSpaceDN w:val="0"/>
        <w:adjustRightInd w:val="0"/>
        <w:spacing w:after="0" w:line="240" w:lineRule="auto"/>
        <w:rPr>
          <w:rFonts w:ascii="Times New Roman" w:hAnsi="Times New Roman" w:cs="Times New Roman"/>
          <w:b/>
          <w:sz w:val="24"/>
          <w:szCs w:val="24"/>
        </w:rPr>
      </w:pPr>
    </w:p>
    <w:p w:rsidRPr="009F7B8A" w:rsidR="00EE07DD" w:rsidP="009B3AA9" w:rsidRDefault="00EE07DD" w14:paraId="4684354D" w14:textId="7DA1D031">
      <w:pPr>
        <w:numPr>
          <w:ilvl w:val="0"/>
          <w:numId w:val="2"/>
        </w:numPr>
        <w:spacing w:after="0" w:line="240" w:lineRule="auto"/>
        <w:rPr>
          <w:rFonts w:ascii="Times New Roman" w:hAnsi="Times New Roman" w:cs="Times New Roman"/>
          <w:b/>
          <w:sz w:val="24"/>
          <w:szCs w:val="24"/>
        </w:rPr>
      </w:pPr>
      <w:r w:rsidRPr="00402EB9">
        <w:rPr>
          <w:rFonts w:ascii="Times New Roman" w:hAnsi="Times New Roman" w:cs="Times New Roman"/>
          <w:b/>
          <w:sz w:val="24"/>
          <w:szCs w:val="24"/>
        </w:rPr>
        <w:t>HOW, BY WHOM, AND FOR WHAT PURPOSE THE INFORMATION IS TO BE USE</w:t>
      </w:r>
      <w:r w:rsidRPr="009F7B8A">
        <w:rPr>
          <w:rFonts w:ascii="Times New Roman" w:hAnsi="Times New Roman" w:cs="Times New Roman"/>
          <w:b/>
          <w:sz w:val="24"/>
          <w:szCs w:val="24"/>
        </w:rPr>
        <w:t>D AND THE CONSEQUENCES OF NOT COLLECTING THE INFORMATION</w:t>
      </w:r>
    </w:p>
    <w:p w:rsidRPr="009F7B8A" w:rsidR="00EC08E0" w:rsidP="00EC08E0" w:rsidRDefault="00EC08E0" w14:paraId="43BCD6EB" w14:textId="77777777">
      <w:pPr>
        <w:spacing w:after="0" w:line="240" w:lineRule="auto"/>
        <w:ind w:left="360"/>
        <w:rPr>
          <w:rFonts w:ascii="Times New Roman" w:hAnsi="Times New Roman" w:cs="Times New Roman"/>
          <w:b/>
          <w:sz w:val="24"/>
          <w:szCs w:val="24"/>
        </w:rPr>
      </w:pPr>
    </w:p>
    <w:p w:rsidRPr="009F7B8A" w:rsidR="001F7446" w:rsidP="00EC08E0" w:rsidRDefault="004A333D" w14:paraId="0C90573C" w14:textId="1EA32FC9">
      <w:pPr>
        <w:spacing w:after="0" w:line="240" w:lineRule="auto"/>
        <w:rPr>
          <w:rFonts w:ascii="Times New Roman" w:hAnsi="Times New Roman" w:cs="Times New Roman"/>
          <w:bCs/>
          <w:sz w:val="24"/>
          <w:szCs w:val="24"/>
        </w:rPr>
      </w:pPr>
      <w:r w:rsidRPr="009F7B8A">
        <w:rPr>
          <w:rFonts w:ascii="Times New Roman" w:hAnsi="Times New Roman" w:cs="Times New Roman"/>
          <w:sz w:val="24"/>
          <w:szCs w:val="24"/>
        </w:rPr>
        <w:t xml:space="preserve"> </w:t>
      </w:r>
      <w:r w:rsidRPr="009F7B8A" w:rsidR="00EC08E0">
        <w:rPr>
          <w:rFonts w:ascii="Times New Roman" w:hAnsi="Times New Roman" w:cs="Times New Roman"/>
          <w:b/>
          <w:sz w:val="24"/>
          <w:szCs w:val="24"/>
        </w:rPr>
        <w:t xml:space="preserve">FERC-725D.  </w:t>
      </w:r>
      <w:r w:rsidRPr="009F7B8A" w:rsidR="009D0F1E">
        <w:rPr>
          <w:rFonts w:ascii="Times New Roman" w:hAnsi="Times New Roman" w:cs="Times New Roman"/>
          <w:bCs/>
          <w:sz w:val="24"/>
          <w:szCs w:val="24"/>
        </w:rPr>
        <w:t>Reli</w:t>
      </w:r>
      <w:r w:rsidRPr="009F7B8A" w:rsidR="00B26C82">
        <w:rPr>
          <w:rFonts w:ascii="Times New Roman" w:hAnsi="Times New Roman" w:cs="Times New Roman"/>
          <w:bCs/>
          <w:sz w:val="24"/>
          <w:szCs w:val="24"/>
        </w:rPr>
        <w:t>ability standards mentioned within the examples below include Requirements (e.g. R1, R2, R3</w:t>
      </w:r>
      <w:r w:rsidRPr="009F7B8A" w:rsidR="001F7446">
        <w:rPr>
          <w:rFonts w:ascii="Times New Roman" w:hAnsi="Times New Roman" w:cs="Times New Roman"/>
          <w:bCs/>
          <w:sz w:val="24"/>
          <w:szCs w:val="24"/>
        </w:rPr>
        <w:t>, etc.</w:t>
      </w:r>
      <w:r w:rsidRPr="009F7B8A" w:rsidR="00B26C82">
        <w:rPr>
          <w:rFonts w:ascii="Times New Roman" w:hAnsi="Times New Roman" w:cs="Times New Roman"/>
          <w:bCs/>
          <w:sz w:val="24"/>
          <w:szCs w:val="24"/>
        </w:rPr>
        <w:t>), Measurements (e.g. M1, M2, M3</w:t>
      </w:r>
      <w:r w:rsidRPr="009F7B8A" w:rsidR="001F7446">
        <w:rPr>
          <w:rFonts w:ascii="Times New Roman" w:hAnsi="Times New Roman" w:cs="Times New Roman"/>
          <w:bCs/>
          <w:sz w:val="24"/>
          <w:szCs w:val="24"/>
        </w:rPr>
        <w:t>, etc.</w:t>
      </w:r>
      <w:r w:rsidRPr="009F7B8A" w:rsidR="00B26C82">
        <w:rPr>
          <w:rFonts w:ascii="Times New Roman" w:hAnsi="Times New Roman" w:cs="Times New Roman"/>
          <w:bCs/>
          <w:sz w:val="24"/>
          <w:szCs w:val="24"/>
        </w:rPr>
        <w:t xml:space="preserve">), and Compliance Monitoring Process - Evidence Retention </w:t>
      </w:r>
      <w:r w:rsidRPr="009F7B8A" w:rsidR="00B17269">
        <w:rPr>
          <w:rFonts w:ascii="Times New Roman" w:hAnsi="Times New Roman" w:cs="Times New Roman"/>
          <w:bCs/>
          <w:sz w:val="24"/>
          <w:szCs w:val="24"/>
        </w:rPr>
        <w:t>for each standard.</w:t>
      </w:r>
    </w:p>
    <w:p w:rsidRPr="009F7B8A" w:rsidR="00D44D37" w:rsidP="00EC08E0" w:rsidRDefault="00D44D37" w14:paraId="7BE95C7E" w14:textId="77777777">
      <w:pPr>
        <w:spacing w:after="0" w:line="240" w:lineRule="auto"/>
        <w:rPr>
          <w:rFonts w:ascii="Times New Roman" w:hAnsi="Times New Roman" w:cs="Times New Roman"/>
          <w:bCs/>
          <w:sz w:val="24"/>
          <w:szCs w:val="24"/>
        </w:rPr>
      </w:pPr>
    </w:p>
    <w:p w:rsidR="001F7446" w:rsidP="00EC08E0" w:rsidRDefault="001F7446" w14:paraId="7FF0950E" w14:textId="292E13F7">
      <w:pPr>
        <w:spacing w:after="0" w:line="240" w:lineRule="auto"/>
        <w:rPr>
          <w:rFonts w:ascii="Times New Roman" w:hAnsi="Times New Roman" w:cs="Times New Roman"/>
          <w:bCs/>
          <w:sz w:val="24"/>
          <w:szCs w:val="24"/>
        </w:rPr>
      </w:pPr>
      <w:r w:rsidRPr="009F7B8A">
        <w:rPr>
          <w:rFonts w:ascii="Times New Roman" w:hAnsi="Times New Roman" w:cs="Times New Roman"/>
          <w:bCs/>
          <w:sz w:val="24"/>
          <w:szCs w:val="24"/>
        </w:rPr>
        <w:t>Evidence Retention</w:t>
      </w:r>
      <w:r w:rsidRPr="009F7B8A">
        <w:rPr>
          <w:rFonts w:ascii="Times New Roman" w:hAnsi="Times New Roman" w:cs="Times New Roman"/>
          <w:bCs/>
          <w:color w:val="000000"/>
          <w:sz w:val="23"/>
          <w:szCs w:val="23"/>
        </w:rPr>
        <w:t xml:space="preserve"> </w:t>
      </w:r>
      <w:r w:rsidRPr="009F7B8A">
        <w:rPr>
          <w:rFonts w:ascii="Times New Roman" w:hAnsi="Times New Roman" w:cs="Times New Roman"/>
          <w:bCs/>
          <w:sz w:val="24"/>
          <w:szCs w:val="24"/>
        </w:rPr>
        <w:t>identif</w:t>
      </w:r>
      <w:r w:rsidRPr="009F7B8A" w:rsidR="008A3153">
        <w:rPr>
          <w:rFonts w:ascii="Times New Roman" w:hAnsi="Times New Roman" w:cs="Times New Roman"/>
          <w:bCs/>
          <w:sz w:val="24"/>
          <w:szCs w:val="24"/>
        </w:rPr>
        <w:t>ies</w:t>
      </w:r>
      <w:r w:rsidRPr="009F7B8A">
        <w:rPr>
          <w:rFonts w:ascii="Times New Roman" w:hAnsi="Times New Roman" w:cs="Times New Roman"/>
          <w:bCs/>
          <w:sz w:val="24"/>
          <w:szCs w:val="24"/>
        </w:rPr>
        <w:t xml:space="preserve"> the period of time an entity is required to retain specific evidence to demonstrate compliance. Examples</w:t>
      </w:r>
      <w:r w:rsidRPr="009F7B8A" w:rsidR="007E091C">
        <w:rPr>
          <w:rFonts w:ascii="Times New Roman" w:hAnsi="Times New Roman" w:cs="Times New Roman"/>
          <w:bCs/>
          <w:sz w:val="24"/>
          <w:szCs w:val="24"/>
        </w:rPr>
        <w:t xml:space="preserve"> </w:t>
      </w:r>
      <w:r w:rsidRPr="009F7B8A" w:rsidR="009F7B8A">
        <w:rPr>
          <w:rFonts w:ascii="Times New Roman" w:hAnsi="Times New Roman" w:cs="Times New Roman"/>
          <w:bCs/>
          <w:sz w:val="24"/>
          <w:szCs w:val="24"/>
        </w:rPr>
        <w:t>of records being retained relate to</w:t>
      </w:r>
      <w:r w:rsidRPr="009F7B8A" w:rsidR="007E091C">
        <w:rPr>
          <w:rFonts w:ascii="Times New Roman" w:hAnsi="Times New Roman" w:cs="Times New Roman"/>
          <w:bCs/>
          <w:sz w:val="24"/>
          <w:szCs w:val="24"/>
        </w:rPr>
        <w:t xml:space="preserve"> </w:t>
      </w:r>
      <w:r w:rsidRPr="009F7B8A">
        <w:rPr>
          <w:rFonts w:ascii="Times New Roman" w:hAnsi="Times New Roman" w:cs="Times New Roman"/>
          <w:bCs/>
          <w:sz w:val="24"/>
          <w:szCs w:val="24"/>
        </w:rPr>
        <w:t>Compliance Audit, Self-Certification, Spot Check, Compliance Investigation, and Self-Reporting.</w:t>
      </w:r>
    </w:p>
    <w:p w:rsidRPr="009F7B8A" w:rsidR="001F7446" w:rsidP="00EC08E0" w:rsidRDefault="001F7446" w14:paraId="2A8BC0DF" w14:textId="77777777">
      <w:pPr>
        <w:spacing w:after="0" w:line="240" w:lineRule="auto"/>
        <w:rPr>
          <w:rFonts w:ascii="Times New Roman" w:hAnsi="Times New Roman" w:cs="Times New Roman"/>
          <w:bCs/>
          <w:sz w:val="24"/>
          <w:szCs w:val="24"/>
        </w:rPr>
      </w:pPr>
    </w:p>
    <w:p w:rsidRPr="009F7B8A" w:rsidR="00EC08E0" w:rsidP="00EC08E0" w:rsidRDefault="00EC08E0" w14:paraId="3AF2039E" w14:textId="186F4682">
      <w:pPr>
        <w:spacing w:after="0" w:line="240" w:lineRule="auto"/>
        <w:rPr>
          <w:rFonts w:ascii="Times New Roman" w:hAnsi="Times New Roman" w:cs="Times New Roman"/>
          <w:bCs/>
          <w:sz w:val="24"/>
          <w:szCs w:val="24"/>
        </w:rPr>
      </w:pPr>
      <w:r w:rsidRPr="009F7B8A">
        <w:rPr>
          <w:rFonts w:ascii="Times New Roman" w:hAnsi="Times New Roman" w:cs="Times New Roman"/>
          <w:bCs/>
          <w:sz w:val="24"/>
          <w:szCs w:val="24"/>
        </w:rPr>
        <w:t>The covered Reliability Standards are:</w:t>
      </w:r>
    </w:p>
    <w:p w:rsidRPr="009F7B8A" w:rsidR="00EC08E0" w:rsidP="00EC08E0" w:rsidRDefault="00EC08E0" w14:paraId="71818655" w14:textId="77777777">
      <w:pPr>
        <w:spacing w:after="0" w:line="240" w:lineRule="auto"/>
        <w:rPr>
          <w:rFonts w:ascii="Times New Roman" w:hAnsi="Times New Roman" w:cs="Times New Roman"/>
          <w:bCs/>
          <w:sz w:val="24"/>
          <w:szCs w:val="24"/>
        </w:rPr>
      </w:pPr>
    </w:p>
    <w:p w:rsidRPr="009F7B8A" w:rsidR="00EC08E0" w:rsidP="00EC08E0" w:rsidRDefault="00EC08E0" w14:paraId="110B6517" w14:textId="77777777">
      <w:pPr>
        <w:numPr>
          <w:ilvl w:val="0"/>
          <w:numId w:val="14"/>
        </w:numPr>
        <w:spacing w:after="0" w:line="240" w:lineRule="auto"/>
        <w:rPr>
          <w:rFonts w:ascii="Times New Roman" w:hAnsi="Times New Roman" w:cs="Times New Roman"/>
          <w:b/>
          <w:sz w:val="24"/>
          <w:szCs w:val="24"/>
        </w:rPr>
      </w:pPr>
      <w:r w:rsidRPr="009F7B8A">
        <w:rPr>
          <w:rFonts w:ascii="Times New Roman" w:hAnsi="Times New Roman" w:cs="Times New Roman"/>
          <w:b/>
          <w:sz w:val="24"/>
          <w:szCs w:val="24"/>
        </w:rPr>
        <w:t xml:space="preserve">FAC-001-3 (Facility Interconnection Requirements):  </w:t>
      </w:r>
    </w:p>
    <w:p w:rsidRPr="009F7B8A" w:rsidR="00EC08E0" w:rsidP="009F7B8A" w:rsidRDefault="00EC08E0" w14:paraId="7D31E0B8" w14:textId="3744B53B">
      <w:pPr>
        <w:spacing w:after="0" w:line="240" w:lineRule="auto"/>
        <w:ind w:left="360"/>
        <w:rPr>
          <w:rFonts w:ascii="Times New Roman" w:hAnsi="Times New Roman" w:cs="Times New Roman"/>
          <w:bCs/>
          <w:sz w:val="24"/>
          <w:szCs w:val="24"/>
        </w:rPr>
      </w:pPr>
      <w:r w:rsidRPr="009F7B8A">
        <w:rPr>
          <w:rFonts w:ascii="Times New Roman" w:hAnsi="Times New Roman" w:cs="Times New Roman"/>
          <w:bCs/>
          <w:sz w:val="24"/>
          <w:szCs w:val="24"/>
        </w:rPr>
        <w:t>The purpose of Reliability Standard FAC-001-3 is to “avoid adverse impacts on the reliability of the Bulk Electric System, Transmission Owners and applicable Generator Owners must document and make Facility interconnection requirements available so that entities seeking to interconnect will have the necessary information.”</w:t>
      </w:r>
      <w:r w:rsidR="009D0F1E">
        <w:rPr>
          <w:rFonts w:ascii="Times New Roman" w:hAnsi="Times New Roman" w:cs="Times New Roman"/>
          <w:bCs/>
          <w:sz w:val="24"/>
          <w:szCs w:val="24"/>
        </w:rPr>
        <w:t>.</w:t>
      </w:r>
      <w:r w:rsidRPr="009F7B8A">
        <w:rPr>
          <w:rFonts w:ascii="Times New Roman" w:hAnsi="Times New Roman" w:cs="Times New Roman"/>
          <w:bCs/>
          <w:sz w:val="24"/>
          <w:szCs w:val="24"/>
        </w:rPr>
        <w:t xml:space="preserve"> Data for these interconnection requirements could include system protection and relay coordination, breaker duty and surge protection, grounding and safety issues, and operations matters such as abnormal frequency and voltages. These interconnection requirements are routinely reviewed to ensure that all the data needed to perform studies is available. </w:t>
      </w:r>
    </w:p>
    <w:p w:rsidRPr="009F7B8A" w:rsidR="00E50E08" w:rsidP="009F7B8A" w:rsidRDefault="00E50E08" w14:paraId="57D62CE3" w14:textId="77777777">
      <w:pPr>
        <w:spacing w:after="0" w:line="240" w:lineRule="auto"/>
        <w:ind w:left="360"/>
        <w:rPr>
          <w:rFonts w:ascii="Times New Roman" w:hAnsi="Times New Roman" w:cs="Times New Roman"/>
          <w:bCs/>
          <w:sz w:val="24"/>
          <w:szCs w:val="24"/>
        </w:rPr>
      </w:pPr>
      <w:bookmarkStart w:name="_Hlk58853490" w:id="3"/>
    </w:p>
    <w:p w:rsidR="00EC08E0" w:rsidP="009F7B8A" w:rsidRDefault="00EC08E0" w14:paraId="7D86E9FA" w14:textId="1DA76FA7">
      <w:pPr>
        <w:spacing w:after="0" w:line="240" w:lineRule="auto"/>
        <w:ind w:left="360"/>
        <w:rPr>
          <w:rFonts w:ascii="Times New Roman" w:hAnsi="Times New Roman" w:cs="Times New Roman"/>
          <w:bCs/>
          <w:sz w:val="24"/>
          <w:szCs w:val="24"/>
        </w:rPr>
      </w:pPr>
      <w:r w:rsidRPr="009F7B8A">
        <w:rPr>
          <w:rFonts w:ascii="Times New Roman" w:hAnsi="Times New Roman" w:cs="Times New Roman"/>
          <w:bCs/>
          <w:sz w:val="24"/>
          <w:szCs w:val="24"/>
        </w:rPr>
        <w:t xml:space="preserve">Need for Data, and Risk without Data: FAC-001-3 imposes the obligation to document, maintain, and publish interconnection requirements. Failure to properly maintain the interconnection requirement documents and make them available to entities upon request could adversely impact reliable planning and operation of the Bulk Electric System because data needed to perform studies to determine the impact of interconnecting facilities on existing interconnections as well as on affected systems </w:t>
      </w:r>
      <w:r w:rsidRPr="00402EB9">
        <w:rPr>
          <w:rFonts w:ascii="Times New Roman" w:hAnsi="Times New Roman" w:cs="Times New Roman"/>
          <w:bCs/>
          <w:sz w:val="24"/>
          <w:szCs w:val="24"/>
        </w:rPr>
        <w:t xml:space="preserve">may not be provided. Further, lack of these documents could result in inaccurate and uncoordinated interconnection studies, leading to possible instances of instability, uncontrolled separation and cascading failures. The requirements include retention periods that identify the period of time an entity is required to retain specific evidence to demonstrate compliance. </w:t>
      </w:r>
    </w:p>
    <w:p w:rsidR="00F17E8A" w:rsidP="009F7B8A" w:rsidRDefault="00F17E8A" w14:paraId="3B732AD1" w14:textId="572E29FD">
      <w:pPr>
        <w:spacing w:after="0" w:line="240" w:lineRule="auto"/>
        <w:ind w:left="360"/>
        <w:rPr>
          <w:rFonts w:ascii="Times New Roman" w:hAnsi="Times New Roman" w:cs="Times New Roman"/>
          <w:bCs/>
          <w:sz w:val="24"/>
          <w:szCs w:val="24"/>
        </w:rPr>
      </w:pPr>
    </w:p>
    <w:p w:rsidRPr="00F17E8A" w:rsidR="00F17E8A" w:rsidP="00F17E8A" w:rsidRDefault="00F17E8A" w14:paraId="385E7CC3" w14:textId="4F7985D9">
      <w:p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Evidence Retention: </w:t>
      </w:r>
      <w:r w:rsidRPr="00F17E8A">
        <w:rPr>
          <w:rFonts w:ascii="Times New Roman" w:hAnsi="Times New Roman" w:cs="Times New Roman"/>
          <w:bCs/>
          <w:sz w:val="24"/>
          <w:szCs w:val="24"/>
        </w:rPr>
        <w:t>The applicable Functional Entity shall keep data or evidence to show compliance as identified below unless directed by its CEA to retain specific evidence for a longer period of time as part of an investigation:</w:t>
      </w:r>
    </w:p>
    <w:p w:rsidRPr="00F17E8A" w:rsidR="00F17E8A" w:rsidP="00F17E8A" w:rsidRDefault="00F17E8A" w14:paraId="1BE50608" w14:textId="77777777">
      <w:pPr>
        <w:spacing w:after="0" w:line="240" w:lineRule="auto"/>
        <w:ind w:left="360"/>
        <w:rPr>
          <w:rFonts w:ascii="Times New Roman" w:hAnsi="Times New Roman" w:cs="Times New Roman"/>
          <w:bCs/>
          <w:sz w:val="24"/>
          <w:szCs w:val="24"/>
        </w:rPr>
      </w:pPr>
      <w:r w:rsidRPr="00F17E8A">
        <w:rPr>
          <w:rFonts w:ascii="Times New Roman" w:hAnsi="Times New Roman" w:cs="Times New Roman"/>
          <w:bCs/>
          <w:sz w:val="24"/>
          <w:szCs w:val="24"/>
        </w:rPr>
        <w:t>The responsible entities shall retain documentation as evidence for three years.</w:t>
      </w:r>
    </w:p>
    <w:p w:rsidRPr="00F17E8A" w:rsidR="00F17E8A" w:rsidP="00F17E8A" w:rsidRDefault="00F17E8A" w14:paraId="3C25156E" w14:textId="77777777">
      <w:pPr>
        <w:spacing w:after="0" w:line="240" w:lineRule="auto"/>
        <w:ind w:left="360"/>
        <w:rPr>
          <w:rFonts w:ascii="Times New Roman" w:hAnsi="Times New Roman" w:cs="Times New Roman"/>
          <w:bCs/>
          <w:sz w:val="24"/>
          <w:szCs w:val="24"/>
        </w:rPr>
      </w:pPr>
      <w:r w:rsidRPr="00F17E8A">
        <w:rPr>
          <w:rFonts w:ascii="Times New Roman" w:hAnsi="Times New Roman" w:cs="Times New Roman"/>
          <w:bCs/>
          <w:sz w:val="24"/>
          <w:szCs w:val="24"/>
        </w:rPr>
        <w:t>If a responsible entity is found non-compliant, it shall keep information related to the non-compliance until mitigation is complete and approved or for the time specified above, whichever is longer.</w:t>
      </w:r>
    </w:p>
    <w:p w:rsidRPr="00402EB9" w:rsidR="00F17E8A" w:rsidP="00F17E8A" w:rsidRDefault="00F17E8A" w14:paraId="210DB8A3" w14:textId="75B40376">
      <w:pPr>
        <w:spacing w:after="0" w:line="240" w:lineRule="auto"/>
        <w:ind w:left="360"/>
        <w:rPr>
          <w:rFonts w:ascii="Times New Roman" w:hAnsi="Times New Roman" w:cs="Times New Roman"/>
          <w:bCs/>
          <w:sz w:val="24"/>
          <w:szCs w:val="24"/>
        </w:rPr>
      </w:pPr>
      <w:r w:rsidRPr="00F17E8A">
        <w:rPr>
          <w:rFonts w:ascii="Times New Roman" w:hAnsi="Times New Roman" w:cs="Times New Roman"/>
          <w:bCs/>
          <w:sz w:val="24"/>
          <w:szCs w:val="24"/>
        </w:rPr>
        <w:t>The CEA shall keep the last audit records and all requested and submitted subsequent audit records.</w:t>
      </w:r>
    </w:p>
    <w:bookmarkEnd w:id="3"/>
    <w:p w:rsidRPr="00402EB9" w:rsidR="00EC08E0" w:rsidP="00EC08E0" w:rsidRDefault="00EC08E0" w14:paraId="3BCB14D5" w14:textId="77777777">
      <w:pPr>
        <w:spacing w:after="0" w:line="240" w:lineRule="auto"/>
        <w:rPr>
          <w:rFonts w:ascii="Times New Roman" w:hAnsi="Times New Roman" w:cs="Times New Roman"/>
          <w:bCs/>
          <w:sz w:val="24"/>
          <w:szCs w:val="24"/>
        </w:rPr>
      </w:pPr>
    </w:p>
    <w:p w:rsidRPr="00402EB9" w:rsidR="00EC08E0" w:rsidP="00EC08E0" w:rsidRDefault="00EC08E0" w14:paraId="78EAF057" w14:textId="77777777">
      <w:pPr>
        <w:numPr>
          <w:ilvl w:val="0"/>
          <w:numId w:val="14"/>
        </w:numPr>
        <w:spacing w:after="0" w:line="240" w:lineRule="auto"/>
        <w:rPr>
          <w:rFonts w:ascii="Times New Roman" w:hAnsi="Times New Roman" w:cs="Times New Roman"/>
          <w:b/>
          <w:sz w:val="24"/>
          <w:szCs w:val="24"/>
        </w:rPr>
      </w:pPr>
      <w:r w:rsidRPr="00402EB9">
        <w:rPr>
          <w:rFonts w:ascii="Times New Roman" w:hAnsi="Times New Roman" w:cs="Times New Roman"/>
          <w:b/>
          <w:sz w:val="24"/>
          <w:szCs w:val="24"/>
        </w:rPr>
        <w:t xml:space="preserve">FAC-002-3 (Facility Interconnection Studies): </w:t>
      </w:r>
    </w:p>
    <w:p w:rsidRPr="004875D5" w:rsidR="00EC08E0" w:rsidP="00402EB9" w:rsidRDefault="00EC08E0" w14:paraId="681325F3" w14:textId="77777777">
      <w:pPr>
        <w:spacing w:after="0" w:line="240" w:lineRule="auto"/>
        <w:ind w:left="360"/>
        <w:rPr>
          <w:rFonts w:ascii="Times New Roman" w:hAnsi="Times New Roman" w:cs="Times New Roman"/>
          <w:bCs/>
          <w:sz w:val="24"/>
          <w:szCs w:val="24"/>
        </w:rPr>
      </w:pPr>
      <w:r w:rsidRPr="00402EB9">
        <w:rPr>
          <w:rFonts w:ascii="Times New Roman" w:hAnsi="Times New Roman" w:cs="Times New Roman"/>
          <w:bCs/>
          <w:sz w:val="24"/>
          <w:szCs w:val="24"/>
        </w:rPr>
        <w:t>The purpose of Reliability Standard FAC-002-3 is to “study the impact of interconnecting new or materially modified Facilities on the Bulk Electric System.” Under Reliability Standard FAC-002-3 each transmission planner and each planning coordinator shall study the reliability impact of interconnecting new--or materially modifying existing--generation, transmission, or electricity end-user facilities on affected systems. Reliability Standard FAC-002-3 requires transmission planners and planning coordinators to perform steady-state, short-circuit, and dynamic studies to evaluate system performance under both normal and contingency conditions. In addition, Reliability Standard FAC-002-3 requires each generator owner seeking to interconnect, each transmission owner, each distribution provider, and each load-serving entity that is seeking to interconnect new--or materially modifying existing--transmission facilities or end-user facilities to coordinate and cooperate on studies with its transmissio</w:t>
      </w:r>
      <w:r w:rsidRPr="004875D5">
        <w:rPr>
          <w:rFonts w:ascii="Times New Roman" w:hAnsi="Times New Roman" w:cs="Times New Roman"/>
          <w:bCs/>
          <w:sz w:val="24"/>
          <w:szCs w:val="24"/>
        </w:rPr>
        <w:t xml:space="preserve">n planner and planning coordinator. </w:t>
      </w:r>
    </w:p>
    <w:p w:rsidR="00EC08E0" w:rsidP="00210B45" w:rsidRDefault="00EC08E0" w14:paraId="41A3CE4B" w14:textId="54D13682">
      <w:pPr>
        <w:spacing w:after="0" w:line="240" w:lineRule="auto"/>
        <w:ind w:left="360"/>
        <w:rPr>
          <w:rFonts w:ascii="Times New Roman" w:hAnsi="Times New Roman" w:cs="Times New Roman"/>
          <w:bCs/>
          <w:sz w:val="24"/>
          <w:szCs w:val="24"/>
        </w:rPr>
      </w:pPr>
      <w:bookmarkStart w:name="_Hlk58853522" w:id="4"/>
      <w:r w:rsidRPr="004875D5">
        <w:rPr>
          <w:rFonts w:ascii="Times New Roman" w:hAnsi="Times New Roman" w:cs="Times New Roman"/>
          <w:bCs/>
          <w:sz w:val="24"/>
          <w:szCs w:val="24"/>
        </w:rPr>
        <w:t>Need for Data, and Risk without Data: For Reliability Standard FAC-002-3, all applicable entities need to cooperate in sharing data so valid and complete studies can be performed to accurately assess the reliability impact of interconnecting new or materially modified facilities. Failing to conduct studies of these interconnecting facilities could lead to instances of violation with other national</w:t>
      </w:r>
      <w:r w:rsidRPr="00402EB9">
        <w:rPr>
          <w:rFonts w:ascii="Times New Roman" w:hAnsi="Times New Roman" w:cs="Times New Roman"/>
          <w:bCs/>
          <w:sz w:val="24"/>
          <w:szCs w:val="24"/>
        </w:rPr>
        <w:t xml:space="preserve"> and regional standards. Also, actual system performance under normal and emergency conditions may not match the results of steady-state, short circuit</w:t>
      </w:r>
      <w:r w:rsidRPr="00210B45">
        <w:rPr>
          <w:rFonts w:ascii="Times New Roman" w:hAnsi="Times New Roman" w:cs="Times New Roman"/>
          <w:bCs/>
          <w:sz w:val="24"/>
          <w:szCs w:val="24"/>
        </w:rPr>
        <w:t xml:space="preserve"> and dynamic studies, which could impact Bulk Electric System reliability and lead to instances of instability, uncontrolled separation and cascading failures. These requirements include retention periods that identify the period of time an entity is required to retain specific evidence to demonstrate compliance. If a responsible entity is found non-compliant, it shall keep information related to the non-compliance until mitigation is complete and approved. </w:t>
      </w:r>
    </w:p>
    <w:p w:rsidR="005C46A1" w:rsidP="00210B45" w:rsidRDefault="005C46A1" w14:paraId="7924F17D" w14:textId="47B188E7">
      <w:pPr>
        <w:spacing w:after="0" w:line="240" w:lineRule="auto"/>
        <w:ind w:left="360"/>
        <w:rPr>
          <w:rFonts w:ascii="Times New Roman" w:hAnsi="Times New Roman" w:cs="Times New Roman"/>
          <w:bCs/>
          <w:sz w:val="24"/>
          <w:szCs w:val="24"/>
        </w:rPr>
      </w:pPr>
    </w:p>
    <w:p w:rsidRPr="005C46A1" w:rsidR="005C46A1" w:rsidP="005C46A1" w:rsidRDefault="005C46A1" w14:paraId="053DEC9E" w14:textId="0B8BED04">
      <w:p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Evidence Retention:  </w:t>
      </w:r>
      <w:r w:rsidRPr="005C46A1">
        <w:rPr>
          <w:rFonts w:ascii="Times New Roman" w:hAnsi="Times New Roman" w:cs="Times New Roman"/>
          <w:bCs/>
          <w:sz w:val="24"/>
          <w:szCs w:val="24"/>
        </w:rPr>
        <w:t>The following evidence retention periods identify the period of time an entity is required to retain specific evidence to demonstrate compliance. For instances where the evidence retention period specified below is shorter than the time since the last audit, the CEA may ask an entity to provide other evidence to show that it was compliant for the full time period since the last audit.</w:t>
      </w:r>
    </w:p>
    <w:p w:rsidRPr="005C46A1" w:rsidR="005C46A1" w:rsidP="005C46A1" w:rsidRDefault="005C46A1" w14:paraId="33AB21D2" w14:textId="77777777">
      <w:pPr>
        <w:spacing w:after="0" w:line="240" w:lineRule="auto"/>
        <w:ind w:left="360"/>
        <w:rPr>
          <w:rFonts w:ascii="Times New Roman" w:hAnsi="Times New Roman" w:cs="Times New Roman"/>
          <w:bCs/>
          <w:sz w:val="24"/>
          <w:szCs w:val="24"/>
        </w:rPr>
      </w:pPr>
      <w:r w:rsidRPr="005C46A1">
        <w:rPr>
          <w:rFonts w:ascii="Times New Roman" w:hAnsi="Times New Roman" w:cs="Times New Roman"/>
          <w:bCs/>
          <w:sz w:val="24"/>
          <w:szCs w:val="24"/>
        </w:rPr>
        <w:t>The Planning Coordinator, Transmission Planner, Transmission Owner, Distribution Provider, Generator Owner, applicable Generator Owner, and Load-Serving Entity shall keep data or evidence to show compliance as identified below unless directed by its CEA to retain specific evidence for a longer period of time as part of an investigation:</w:t>
      </w:r>
    </w:p>
    <w:p w:rsidRPr="005C46A1" w:rsidR="005C46A1" w:rsidP="005C46A1" w:rsidRDefault="005C46A1" w14:paraId="473D4683" w14:textId="77777777">
      <w:pPr>
        <w:spacing w:after="0" w:line="240" w:lineRule="auto"/>
        <w:ind w:left="360"/>
        <w:rPr>
          <w:rFonts w:ascii="Times New Roman" w:hAnsi="Times New Roman" w:cs="Times New Roman"/>
          <w:bCs/>
          <w:sz w:val="24"/>
          <w:szCs w:val="24"/>
        </w:rPr>
      </w:pPr>
      <w:r w:rsidRPr="005C46A1">
        <w:rPr>
          <w:rFonts w:ascii="Times New Roman" w:hAnsi="Times New Roman" w:cs="Times New Roman"/>
          <w:bCs/>
          <w:sz w:val="24"/>
          <w:szCs w:val="24"/>
        </w:rPr>
        <w:t>The responsible entities shall retain documentation as evidence for three years.</w:t>
      </w:r>
    </w:p>
    <w:p w:rsidRPr="005C46A1" w:rsidR="005C46A1" w:rsidP="005C46A1" w:rsidRDefault="005C46A1" w14:paraId="14C6E589" w14:textId="77777777">
      <w:pPr>
        <w:spacing w:after="0" w:line="240" w:lineRule="auto"/>
        <w:ind w:left="360"/>
        <w:rPr>
          <w:rFonts w:ascii="Times New Roman" w:hAnsi="Times New Roman" w:cs="Times New Roman"/>
          <w:bCs/>
          <w:sz w:val="24"/>
          <w:szCs w:val="24"/>
        </w:rPr>
      </w:pPr>
      <w:r w:rsidRPr="005C46A1">
        <w:rPr>
          <w:rFonts w:ascii="Times New Roman" w:hAnsi="Times New Roman" w:cs="Times New Roman"/>
          <w:bCs/>
          <w:sz w:val="24"/>
          <w:szCs w:val="24"/>
        </w:rPr>
        <w:t>If a responsible entity is found non-compliant, it shall keep information related to the non-compliance until mitigation is complete and approved or for the time specified above, whichever is longer.</w:t>
      </w:r>
    </w:p>
    <w:p w:rsidRPr="00210B45" w:rsidR="005C46A1" w:rsidP="005C46A1" w:rsidRDefault="005C46A1" w14:paraId="00DDDA37" w14:textId="2D60795C">
      <w:pPr>
        <w:spacing w:after="0" w:line="240" w:lineRule="auto"/>
        <w:ind w:left="360"/>
        <w:rPr>
          <w:rFonts w:ascii="Times New Roman" w:hAnsi="Times New Roman" w:cs="Times New Roman"/>
          <w:bCs/>
          <w:sz w:val="24"/>
          <w:szCs w:val="24"/>
        </w:rPr>
      </w:pPr>
      <w:r w:rsidRPr="005C46A1">
        <w:rPr>
          <w:rFonts w:ascii="Times New Roman" w:hAnsi="Times New Roman" w:cs="Times New Roman"/>
          <w:bCs/>
          <w:sz w:val="24"/>
          <w:szCs w:val="24"/>
        </w:rPr>
        <w:t>The CEA shall keep the last audit records and all requested and submitted subsequent audit records.</w:t>
      </w:r>
    </w:p>
    <w:bookmarkEnd w:id="4"/>
    <w:p w:rsidRPr="00210B45" w:rsidR="00EC08E0" w:rsidP="00EC08E0" w:rsidRDefault="00EC08E0" w14:paraId="22D54108" w14:textId="64D73514">
      <w:pPr>
        <w:spacing w:after="0" w:line="240" w:lineRule="auto"/>
        <w:rPr>
          <w:rFonts w:ascii="Times New Roman" w:hAnsi="Times New Roman" w:cs="Times New Roman"/>
          <w:sz w:val="24"/>
          <w:szCs w:val="24"/>
        </w:rPr>
      </w:pPr>
    </w:p>
    <w:p w:rsidRPr="00210B45" w:rsidR="00EC08E0" w:rsidP="00EC08E0" w:rsidRDefault="00EC08E0" w14:paraId="6A2C985C" w14:textId="77777777">
      <w:pPr>
        <w:spacing w:after="0" w:line="240" w:lineRule="auto"/>
        <w:rPr>
          <w:rFonts w:ascii="Times New Roman" w:hAnsi="Times New Roman" w:cs="Times New Roman"/>
          <w:sz w:val="24"/>
          <w:szCs w:val="24"/>
        </w:rPr>
      </w:pPr>
      <w:r w:rsidRPr="00210B45">
        <w:rPr>
          <w:rFonts w:ascii="Times New Roman" w:hAnsi="Times New Roman" w:cs="Times New Roman"/>
          <w:sz w:val="24"/>
          <w:szCs w:val="24"/>
        </w:rPr>
        <w:t>The FERC Delegated Letter Order (DLO) approving NERC’s request in Docket No. RD20-4 was issued by the Office of Electric Reliability on 10/30/2020.</w:t>
      </w:r>
      <w:r w:rsidRPr="00210B45">
        <w:rPr>
          <w:rFonts w:ascii="Times New Roman" w:hAnsi="Times New Roman" w:cs="Times New Roman"/>
          <w:sz w:val="24"/>
          <w:szCs w:val="24"/>
          <w:vertAlign w:val="superscript"/>
        </w:rPr>
        <w:footnoteReference w:id="9"/>
      </w:r>
    </w:p>
    <w:p w:rsidRPr="004875D5" w:rsidR="00EC08E0" w:rsidP="00210B45" w:rsidRDefault="00EC08E0" w14:paraId="237BED3E" w14:textId="1936F8BF">
      <w:pPr>
        <w:pStyle w:val="ListParagraph"/>
        <w:numPr>
          <w:ilvl w:val="0"/>
          <w:numId w:val="14"/>
        </w:numPr>
        <w:spacing w:after="0" w:line="276" w:lineRule="auto"/>
        <w:rPr>
          <w:rFonts w:ascii="Times New Roman" w:hAnsi="Times New Roman" w:eastAsia="Calibri" w:cs="Times New Roman"/>
          <w:sz w:val="24"/>
          <w:szCs w:val="24"/>
        </w:rPr>
      </w:pPr>
      <w:r w:rsidRPr="00210B45">
        <w:rPr>
          <w:rFonts w:ascii="Times New Roman" w:hAnsi="Times New Roman" w:eastAsia="Calibri" w:cs="Times New Roman"/>
          <w:b/>
          <w:bCs/>
          <w:sz w:val="24"/>
          <w:szCs w:val="24"/>
        </w:rPr>
        <w:t>Reliability Standard FAC-010-</w:t>
      </w:r>
      <w:r w:rsidRPr="00210B45" w:rsidR="008677C6">
        <w:rPr>
          <w:rFonts w:ascii="Times New Roman" w:hAnsi="Times New Roman" w:eastAsia="Calibri" w:cs="Times New Roman"/>
          <w:b/>
          <w:bCs/>
          <w:sz w:val="24"/>
          <w:szCs w:val="24"/>
        </w:rPr>
        <w:t>3</w:t>
      </w:r>
      <w:r w:rsidRPr="00210B45">
        <w:rPr>
          <w:rFonts w:ascii="Times New Roman" w:hAnsi="Times New Roman" w:eastAsia="Calibri" w:cs="Times New Roman"/>
          <w:sz w:val="24"/>
          <w:szCs w:val="24"/>
        </w:rPr>
        <w:t xml:space="preserve"> requires the planning authority to have a documented methodology for use in developing SOLs and must retain evidence that it issued its SOL methodology to relevant rel</w:t>
      </w:r>
      <w:r w:rsidRPr="00402EB9">
        <w:rPr>
          <w:rFonts w:ascii="Times New Roman" w:hAnsi="Times New Roman" w:eastAsia="Calibri" w:cs="Times New Roman"/>
          <w:sz w:val="24"/>
          <w:szCs w:val="24"/>
        </w:rPr>
        <w:t>iability coordinators, transmission operators and adjacent planning authorities.  Likewise, the planning authority must respond to technical comments on the methodology within 45 days of receipt.  Further, each planning authority must self-certify its compliance to the compliance monitor once every three years.  Reliability Standard FAC-011-</w:t>
      </w:r>
      <w:r w:rsidRPr="00402EB9" w:rsidR="008677C6">
        <w:rPr>
          <w:rFonts w:ascii="Times New Roman" w:hAnsi="Times New Roman" w:eastAsia="Calibri" w:cs="Times New Roman"/>
          <w:sz w:val="24"/>
          <w:szCs w:val="24"/>
        </w:rPr>
        <w:t>3</w:t>
      </w:r>
      <w:r w:rsidRPr="00402EB9">
        <w:rPr>
          <w:rFonts w:ascii="Times New Roman" w:hAnsi="Times New Roman" w:eastAsia="Calibri" w:cs="Times New Roman"/>
          <w:sz w:val="24"/>
          <w:szCs w:val="24"/>
        </w:rPr>
        <w:t xml:space="preserve"> requires similar documentation by the reliability coordinator.   Reliability Standard FAC-014-</w:t>
      </w:r>
      <w:r w:rsidRPr="00402EB9" w:rsidR="002271E8">
        <w:rPr>
          <w:rFonts w:ascii="Times New Roman" w:hAnsi="Times New Roman" w:eastAsia="Calibri" w:cs="Times New Roman"/>
          <w:sz w:val="24"/>
          <w:szCs w:val="24"/>
        </w:rPr>
        <w:t>2</w:t>
      </w:r>
      <w:r w:rsidRPr="00402EB9">
        <w:rPr>
          <w:rFonts w:ascii="Times New Roman" w:hAnsi="Times New Roman" w:eastAsia="Calibri" w:cs="Times New Roman"/>
          <w:sz w:val="24"/>
          <w:szCs w:val="24"/>
        </w:rPr>
        <w:t xml:space="preserve"> requires the reliability coordinator, planning a</w:t>
      </w:r>
      <w:r w:rsidRPr="004875D5">
        <w:rPr>
          <w:rFonts w:ascii="Times New Roman" w:hAnsi="Times New Roman" w:eastAsia="Calibri" w:cs="Times New Roman"/>
          <w:sz w:val="24"/>
          <w:szCs w:val="24"/>
        </w:rPr>
        <w:t>uthority, transmission operator, and transmission planner to verify compliance through self-certification submitted to the compliance monitor annually.  These entities must also document that they have developed SOLs consistent with the applicable SOL methodology and that they have provided SOLs to entities identified in Requirement 5 of the Reliability Standard.  Further, the planning authority must maintain a list of multiple contingencies and their associated stability limits.</w:t>
      </w:r>
    </w:p>
    <w:p w:rsidRPr="008677C6" w:rsidR="00AF4C58" w:rsidP="00EC08E0" w:rsidRDefault="00AF4C58" w14:paraId="48CA47E4" w14:textId="77777777">
      <w:pPr>
        <w:spacing w:after="0" w:line="276" w:lineRule="auto"/>
        <w:rPr>
          <w:rFonts w:ascii="Times New Roman" w:hAnsi="Times New Roman" w:eastAsia="Calibri" w:cs="Times New Roman"/>
          <w:sz w:val="24"/>
          <w:szCs w:val="24"/>
        </w:rPr>
      </w:pPr>
    </w:p>
    <w:p w:rsidRPr="00AA1A60" w:rsidR="00EC08E0" w:rsidP="00EC08E0" w:rsidRDefault="00EC08E0" w14:paraId="64491FB0" w14:textId="1F4EF273">
      <w:pPr>
        <w:spacing w:after="0" w:line="276" w:lineRule="auto"/>
        <w:rPr>
          <w:rFonts w:ascii="Times New Roman" w:hAnsi="Times New Roman" w:eastAsia="Calibri" w:cs="Times New Roman"/>
          <w:sz w:val="24"/>
          <w:szCs w:val="24"/>
        </w:rPr>
      </w:pPr>
      <w:r w:rsidRPr="008677C6">
        <w:rPr>
          <w:rFonts w:ascii="Times New Roman" w:hAnsi="Times New Roman" w:eastAsia="Calibri" w:cs="Times New Roman"/>
          <w:sz w:val="24"/>
          <w:szCs w:val="24"/>
        </w:rPr>
        <w:t>The</w:t>
      </w:r>
      <w:r w:rsidR="00374EE1">
        <w:rPr>
          <w:rFonts w:ascii="Times New Roman" w:hAnsi="Times New Roman" w:eastAsia="Calibri" w:cs="Times New Roman"/>
          <w:sz w:val="24"/>
          <w:szCs w:val="24"/>
        </w:rPr>
        <w:t xml:space="preserve"> next</w:t>
      </w:r>
      <w:r w:rsidRPr="00496D03">
        <w:rPr>
          <w:rFonts w:ascii="Times New Roman" w:hAnsi="Times New Roman" w:eastAsia="Calibri" w:cs="Times New Roman"/>
          <w:sz w:val="24"/>
          <w:szCs w:val="24"/>
        </w:rPr>
        <w:t xml:space="preserve"> three standards</w:t>
      </w:r>
      <w:r w:rsidR="00374EE1">
        <w:rPr>
          <w:rFonts w:ascii="Times New Roman" w:hAnsi="Times New Roman" w:eastAsia="Calibri" w:cs="Times New Roman"/>
          <w:sz w:val="24"/>
          <w:szCs w:val="24"/>
        </w:rPr>
        <w:t xml:space="preserve"> </w:t>
      </w:r>
      <w:bookmarkStart w:name="_Hlk63266713" w:id="5"/>
      <w:r w:rsidR="00374EE1">
        <w:rPr>
          <w:rFonts w:ascii="Times New Roman" w:hAnsi="Times New Roman" w:eastAsia="Calibri" w:cs="Times New Roman"/>
          <w:sz w:val="24"/>
          <w:szCs w:val="24"/>
        </w:rPr>
        <w:t>(FAC</w:t>
      </w:r>
      <w:r w:rsidR="00402EB9">
        <w:rPr>
          <w:rFonts w:ascii="Times New Roman" w:hAnsi="Times New Roman" w:eastAsia="Calibri" w:cs="Times New Roman"/>
          <w:sz w:val="24"/>
          <w:szCs w:val="24"/>
        </w:rPr>
        <w:t>-</w:t>
      </w:r>
      <w:r w:rsidR="00374EE1">
        <w:rPr>
          <w:rFonts w:ascii="Times New Roman" w:hAnsi="Times New Roman" w:eastAsia="Calibri" w:cs="Times New Roman"/>
          <w:sz w:val="24"/>
          <w:szCs w:val="24"/>
        </w:rPr>
        <w:t>010-3, FAC</w:t>
      </w:r>
      <w:r w:rsidR="00402EB9">
        <w:rPr>
          <w:rFonts w:ascii="Times New Roman" w:hAnsi="Times New Roman" w:eastAsia="Calibri" w:cs="Times New Roman"/>
          <w:sz w:val="24"/>
          <w:szCs w:val="24"/>
        </w:rPr>
        <w:t>-</w:t>
      </w:r>
      <w:r w:rsidR="00374EE1">
        <w:rPr>
          <w:rFonts w:ascii="Times New Roman" w:hAnsi="Times New Roman" w:eastAsia="Calibri" w:cs="Times New Roman"/>
          <w:sz w:val="24"/>
          <w:szCs w:val="24"/>
        </w:rPr>
        <w:t>011-3, FAC</w:t>
      </w:r>
      <w:r w:rsidR="00402EB9">
        <w:rPr>
          <w:rFonts w:ascii="Times New Roman" w:hAnsi="Times New Roman" w:eastAsia="Calibri" w:cs="Times New Roman"/>
          <w:sz w:val="24"/>
          <w:szCs w:val="24"/>
        </w:rPr>
        <w:t>-</w:t>
      </w:r>
      <w:r w:rsidR="00374EE1">
        <w:rPr>
          <w:rFonts w:ascii="Times New Roman" w:hAnsi="Times New Roman" w:eastAsia="Calibri" w:cs="Times New Roman"/>
          <w:sz w:val="24"/>
          <w:szCs w:val="24"/>
        </w:rPr>
        <w:t>14-</w:t>
      </w:r>
      <w:r w:rsidR="002271E8">
        <w:rPr>
          <w:rFonts w:ascii="Times New Roman" w:hAnsi="Times New Roman" w:eastAsia="Calibri" w:cs="Times New Roman"/>
          <w:sz w:val="24"/>
          <w:szCs w:val="24"/>
        </w:rPr>
        <w:t>2</w:t>
      </w:r>
      <w:r w:rsidR="00374EE1">
        <w:rPr>
          <w:rFonts w:ascii="Times New Roman" w:hAnsi="Times New Roman" w:eastAsia="Calibri" w:cs="Times New Roman"/>
          <w:sz w:val="24"/>
          <w:szCs w:val="24"/>
        </w:rPr>
        <w:t>)</w:t>
      </w:r>
      <w:r w:rsidRPr="00FF09E1">
        <w:rPr>
          <w:rFonts w:ascii="Times New Roman" w:hAnsi="Times New Roman" w:eastAsia="Calibri" w:cs="Times New Roman"/>
          <w:sz w:val="24"/>
          <w:szCs w:val="24"/>
        </w:rPr>
        <w:t xml:space="preserve"> </w:t>
      </w:r>
      <w:bookmarkEnd w:id="5"/>
      <w:r w:rsidRPr="00FF09E1">
        <w:rPr>
          <w:rFonts w:ascii="Times New Roman" w:hAnsi="Times New Roman" w:eastAsia="Calibri" w:cs="Times New Roman"/>
          <w:sz w:val="24"/>
          <w:szCs w:val="24"/>
        </w:rPr>
        <w:t>set requirements for the development of SOLs of the BPS for use in the planning and operation horizons.  In addition, these standards ensure that the SOLs are determined based on established methodology.  SOLs are based on certain operating criteria.  These include, but are not limited to:</w:t>
      </w:r>
    </w:p>
    <w:p w:rsidRPr="005D515C" w:rsidR="00EC08E0" w:rsidP="00EC08E0" w:rsidRDefault="00EC08E0" w14:paraId="64519DAB" w14:textId="77777777">
      <w:pPr>
        <w:numPr>
          <w:ilvl w:val="0"/>
          <w:numId w:val="15"/>
        </w:numPr>
        <w:spacing w:after="0" w:line="276" w:lineRule="auto"/>
        <w:contextualSpacing/>
        <w:rPr>
          <w:rFonts w:ascii="Times New Roman" w:hAnsi="Times New Roman" w:eastAsia="Calibri" w:cs="Times New Roman"/>
          <w:sz w:val="24"/>
          <w:szCs w:val="24"/>
        </w:rPr>
      </w:pPr>
      <w:r w:rsidRPr="00980E4B">
        <w:rPr>
          <w:rFonts w:ascii="Times New Roman" w:hAnsi="Times New Roman" w:eastAsia="Calibri" w:cs="Times New Roman"/>
          <w:sz w:val="24"/>
          <w:szCs w:val="24"/>
        </w:rPr>
        <w:t>Facility Ratings (Applicable pre-and post-Co</w:t>
      </w:r>
      <w:r w:rsidRPr="005D515C">
        <w:rPr>
          <w:rFonts w:ascii="Times New Roman" w:hAnsi="Times New Roman" w:eastAsia="Calibri" w:cs="Times New Roman"/>
          <w:sz w:val="24"/>
          <w:szCs w:val="24"/>
        </w:rPr>
        <w:t xml:space="preserve">ntingency equipment or facility ratings) </w:t>
      </w:r>
    </w:p>
    <w:p w:rsidRPr="00F54358" w:rsidR="00EC08E0" w:rsidP="00EC08E0" w:rsidRDefault="00EC08E0" w14:paraId="2A1A9731" w14:textId="77777777">
      <w:pPr>
        <w:numPr>
          <w:ilvl w:val="0"/>
          <w:numId w:val="15"/>
        </w:numPr>
        <w:spacing w:after="0" w:line="276" w:lineRule="auto"/>
        <w:contextualSpacing/>
        <w:rPr>
          <w:rFonts w:ascii="Times New Roman" w:hAnsi="Times New Roman" w:eastAsia="Calibri" w:cs="Times New Roman"/>
          <w:sz w:val="24"/>
          <w:szCs w:val="24"/>
        </w:rPr>
      </w:pPr>
      <w:r w:rsidRPr="00F54358">
        <w:rPr>
          <w:rFonts w:ascii="Times New Roman" w:hAnsi="Times New Roman" w:eastAsia="Calibri" w:cs="Times New Roman"/>
          <w:sz w:val="24"/>
          <w:szCs w:val="24"/>
        </w:rPr>
        <w:t xml:space="preserve">Transient Stability Ratings (Applicable pre-and post-Contingency Stability Limits) </w:t>
      </w:r>
    </w:p>
    <w:p w:rsidRPr="00496D03" w:rsidR="00EC08E0" w:rsidP="00EC08E0" w:rsidRDefault="00EC08E0" w14:paraId="5927061F" w14:textId="77777777">
      <w:pPr>
        <w:numPr>
          <w:ilvl w:val="0"/>
          <w:numId w:val="15"/>
        </w:numPr>
        <w:spacing w:after="0" w:line="276" w:lineRule="auto"/>
        <w:contextualSpacing/>
        <w:rPr>
          <w:rFonts w:ascii="Times New Roman" w:hAnsi="Times New Roman" w:eastAsia="Calibri" w:cs="Times New Roman"/>
          <w:sz w:val="24"/>
          <w:szCs w:val="24"/>
        </w:rPr>
      </w:pPr>
      <w:r w:rsidRPr="008677C6">
        <w:rPr>
          <w:rFonts w:ascii="Times New Roman" w:hAnsi="Times New Roman" w:eastAsia="Calibri" w:cs="Times New Roman"/>
          <w:sz w:val="24"/>
          <w:szCs w:val="24"/>
        </w:rPr>
        <w:t xml:space="preserve">Voltage Stability Ratings (Applicable pre- and post-Contingency Voltage Stability) </w:t>
      </w:r>
    </w:p>
    <w:p w:rsidRPr="00496D03" w:rsidR="00EC08E0" w:rsidP="00EC08E0" w:rsidRDefault="00EC08E0" w14:paraId="4922AC80" w14:textId="77777777">
      <w:pPr>
        <w:numPr>
          <w:ilvl w:val="0"/>
          <w:numId w:val="15"/>
        </w:numPr>
        <w:spacing w:after="0" w:line="276" w:lineRule="auto"/>
        <w:contextualSpacing/>
        <w:rPr>
          <w:rFonts w:ascii="Times New Roman" w:hAnsi="Times New Roman" w:eastAsia="Calibri" w:cs="Times New Roman"/>
          <w:sz w:val="24"/>
          <w:szCs w:val="24"/>
        </w:rPr>
      </w:pPr>
      <w:r w:rsidRPr="00496D03">
        <w:rPr>
          <w:rFonts w:ascii="Times New Roman" w:hAnsi="Times New Roman" w:eastAsia="Calibri" w:cs="Times New Roman"/>
          <w:sz w:val="24"/>
          <w:szCs w:val="24"/>
        </w:rPr>
        <w:t xml:space="preserve">System Voltage Limits (Applicable pre- and post-Contingency Voltage Limits) </w:t>
      </w:r>
    </w:p>
    <w:p w:rsidRPr="00496D03" w:rsidR="00EC08E0" w:rsidP="00EC08E0" w:rsidRDefault="00EC08E0" w14:paraId="52409127" w14:textId="77777777">
      <w:pPr>
        <w:spacing w:after="0" w:line="276" w:lineRule="auto"/>
        <w:rPr>
          <w:rFonts w:ascii="Times New Roman" w:hAnsi="Times New Roman" w:eastAsia="Calibri" w:cs="Times New Roman"/>
          <w:sz w:val="24"/>
          <w:szCs w:val="24"/>
        </w:rPr>
      </w:pPr>
    </w:p>
    <w:p w:rsidRPr="004875D5" w:rsidR="00EC08E0" w:rsidP="004875D5" w:rsidRDefault="00EC08E0" w14:paraId="120D592A" w14:textId="0A06CA52">
      <w:pPr>
        <w:pStyle w:val="ListParagraph"/>
        <w:numPr>
          <w:ilvl w:val="0"/>
          <w:numId w:val="14"/>
        </w:numPr>
        <w:spacing w:after="0" w:line="276" w:lineRule="auto"/>
        <w:rPr>
          <w:rFonts w:ascii="Times New Roman" w:hAnsi="Times New Roman" w:eastAsia="Calibri" w:cs="Times New Roman"/>
          <w:b/>
          <w:sz w:val="24"/>
          <w:szCs w:val="24"/>
        </w:rPr>
      </w:pPr>
      <w:r w:rsidRPr="004875D5">
        <w:rPr>
          <w:rFonts w:ascii="Times New Roman" w:hAnsi="Times New Roman" w:eastAsia="Calibri" w:cs="Times New Roman"/>
          <w:b/>
          <w:sz w:val="24"/>
          <w:szCs w:val="24"/>
        </w:rPr>
        <w:t>FAC-010-</w:t>
      </w:r>
      <w:r w:rsidRPr="004875D5" w:rsidR="008677C6">
        <w:rPr>
          <w:rFonts w:ascii="Times New Roman" w:hAnsi="Times New Roman" w:eastAsia="Calibri" w:cs="Times New Roman"/>
          <w:b/>
          <w:sz w:val="24"/>
          <w:szCs w:val="24"/>
        </w:rPr>
        <w:t>3</w:t>
      </w:r>
      <w:r w:rsidRPr="004875D5">
        <w:rPr>
          <w:rFonts w:ascii="Times New Roman" w:hAnsi="Times New Roman" w:eastAsia="Calibri" w:cs="Times New Roman"/>
          <w:b/>
          <w:sz w:val="24"/>
          <w:szCs w:val="24"/>
        </w:rPr>
        <w:t xml:space="preserve"> (System Operating Limits Methodology for the Planning Horizon)</w:t>
      </w:r>
    </w:p>
    <w:p w:rsidRPr="00F54358" w:rsidR="00EC08E0" w:rsidP="004875D5" w:rsidRDefault="00EC08E0" w14:paraId="25226B7D" w14:textId="418C670F">
      <w:pPr>
        <w:spacing w:after="0" w:line="276" w:lineRule="auto"/>
        <w:ind w:left="360"/>
        <w:rPr>
          <w:rFonts w:ascii="Times New Roman" w:hAnsi="Times New Roman" w:eastAsia="Calibri" w:cs="Times New Roman"/>
          <w:sz w:val="24"/>
          <w:szCs w:val="24"/>
        </w:rPr>
      </w:pPr>
      <w:r w:rsidRPr="00AA1A60">
        <w:rPr>
          <w:rFonts w:ascii="Times New Roman" w:hAnsi="Times New Roman" w:eastAsia="Calibri" w:cs="Times New Roman"/>
          <w:sz w:val="24"/>
          <w:szCs w:val="24"/>
        </w:rPr>
        <w:t xml:space="preserve">The stated Purpose of the Reliability Standard is to “ensure that System Operating Limits (SOLs) used in the reliable planning of the Bulk Electric </w:t>
      </w:r>
      <w:r w:rsidRPr="00980E4B">
        <w:rPr>
          <w:rFonts w:ascii="Times New Roman" w:hAnsi="Times New Roman" w:eastAsia="Calibri" w:cs="Times New Roman"/>
          <w:sz w:val="24"/>
          <w:szCs w:val="24"/>
        </w:rPr>
        <w:t>System (BES) are determined based on an established methodology or methodologies.”   FAC-010-</w:t>
      </w:r>
      <w:r w:rsidR="008677C6">
        <w:rPr>
          <w:rFonts w:ascii="Times New Roman" w:hAnsi="Times New Roman" w:eastAsia="Calibri" w:cs="Times New Roman"/>
          <w:sz w:val="24"/>
          <w:szCs w:val="24"/>
        </w:rPr>
        <w:t>3</w:t>
      </w:r>
      <w:r w:rsidRPr="00980E4B">
        <w:rPr>
          <w:rFonts w:ascii="Times New Roman" w:hAnsi="Times New Roman" w:eastAsia="Calibri" w:cs="Times New Roman"/>
          <w:sz w:val="24"/>
          <w:szCs w:val="24"/>
        </w:rPr>
        <w:t xml:space="preserve"> applies to “planning authorities” and requires each planning authority to document its meth</w:t>
      </w:r>
      <w:r w:rsidRPr="005D515C">
        <w:rPr>
          <w:rFonts w:ascii="Times New Roman" w:hAnsi="Times New Roman" w:eastAsia="Calibri" w:cs="Times New Roman"/>
          <w:sz w:val="24"/>
          <w:szCs w:val="24"/>
        </w:rPr>
        <w:t>ods for determining system operating limits and to share the calculate</w:t>
      </w:r>
      <w:r w:rsidRPr="00F54358">
        <w:rPr>
          <w:rFonts w:ascii="Times New Roman" w:hAnsi="Times New Roman" w:eastAsia="Calibri" w:cs="Times New Roman"/>
          <w:sz w:val="24"/>
          <w:szCs w:val="24"/>
        </w:rPr>
        <w:t xml:space="preserve">d limits with reliability entities.   </w:t>
      </w:r>
    </w:p>
    <w:p w:rsidRPr="008677C6" w:rsidR="00EC08E0" w:rsidP="004875D5" w:rsidRDefault="00EC08E0" w14:paraId="34825BF9" w14:textId="77777777">
      <w:pPr>
        <w:spacing w:after="0" w:line="276" w:lineRule="auto"/>
        <w:ind w:left="360"/>
        <w:rPr>
          <w:rFonts w:ascii="Times New Roman" w:hAnsi="Times New Roman" w:eastAsia="Calibri" w:cs="Times New Roman"/>
          <w:sz w:val="24"/>
          <w:szCs w:val="24"/>
        </w:rPr>
      </w:pPr>
    </w:p>
    <w:p w:rsidRPr="00496D03" w:rsidR="00EC08E0" w:rsidP="004875D5" w:rsidRDefault="00EC08E0" w14:paraId="080F36D4" w14:textId="77777777">
      <w:pPr>
        <w:spacing w:after="0" w:line="276" w:lineRule="auto"/>
        <w:ind w:left="360"/>
        <w:rPr>
          <w:rFonts w:ascii="Times New Roman" w:hAnsi="Times New Roman" w:eastAsia="Calibri" w:cs="Times New Roman"/>
          <w:sz w:val="24"/>
          <w:szCs w:val="24"/>
        </w:rPr>
      </w:pPr>
      <w:r w:rsidRPr="00496D03">
        <w:rPr>
          <w:rFonts w:ascii="Times New Roman" w:hAnsi="Times New Roman" w:eastAsia="Calibri" w:cs="Times New Roman"/>
          <w:sz w:val="24"/>
          <w:szCs w:val="24"/>
        </w:rPr>
        <w:t xml:space="preserve">Requirement R1 of the Reliability Standard provides that the Planning Authority shall have a documented SOL methodology within its planning area that is applicable to the planning time horizon, does not exceed facility ratings, and includes a description of how to identify the subset of SOLs that qualify as interconnection reliability operating limits (IROLs).    </w:t>
      </w:r>
    </w:p>
    <w:p w:rsidRPr="00496D03" w:rsidR="00EC08E0" w:rsidP="004875D5" w:rsidRDefault="00EC08E0" w14:paraId="4AB70E8C" w14:textId="77777777">
      <w:pPr>
        <w:spacing w:after="0" w:line="276" w:lineRule="auto"/>
        <w:ind w:left="360"/>
        <w:rPr>
          <w:rFonts w:ascii="Times New Roman" w:hAnsi="Times New Roman" w:eastAsia="Calibri" w:cs="Times New Roman"/>
          <w:sz w:val="24"/>
          <w:szCs w:val="24"/>
        </w:rPr>
      </w:pPr>
    </w:p>
    <w:p w:rsidRPr="007F64DB" w:rsidR="00EC08E0" w:rsidP="00372C59" w:rsidRDefault="00EC08E0" w14:paraId="6BB5FF27" w14:textId="77777777">
      <w:pPr>
        <w:spacing w:after="0" w:line="276" w:lineRule="auto"/>
        <w:ind w:left="360"/>
        <w:rPr>
          <w:rFonts w:ascii="Times New Roman" w:hAnsi="Times New Roman" w:eastAsia="Calibri" w:cs="Times New Roman"/>
          <w:sz w:val="24"/>
          <w:szCs w:val="24"/>
        </w:rPr>
      </w:pPr>
      <w:r w:rsidRPr="00496D03">
        <w:rPr>
          <w:rFonts w:ascii="Times New Roman" w:hAnsi="Times New Roman" w:eastAsia="Calibri" w:cs="Times New Roman"/>
          <w:sz w:val="24"/>
          <w:szCs w:val="24"/>
        </w:rPr>
        <w:t>Requirement R2 of the Reliability Standard identifies specific considerations that must be included in the methodology.  For example, Requirement R2.1 provides that the methodology must include a requirement that SOLs provide bulk electric system performance so that, in the pre-contingency state and with all facilities in service, the bulk electric system shall demonstrate transient, dynamic and v</w:t>
      </w:r>
      <w:r w:rsidRPr="007F64DB">
        <w:rPr>
          <w:rFonts w:ascii="Times New Roman" w:hAnsi="Times New Roman" w:eastAsia="Calibri" w:cs="Times New Roman"/>
          <w:sz w:val="24"/>
          <w:szCs w:val="24"/>
        </w:rPr>
        <w:t xml:space="preserve">oltage stability and all facilities shall be within their facility ratings.  </w:t>
      </w:r>
    </w:p>
    <w:p w:rsidRPr="007F64DB" w:rsidR="00EC08E0" w:rsidP="00372C59" w:rsidRDefault="00EC08E0" w14:paraId="400A6365" w14:textId="77777777">
      <w:pPr>
        <w:spacing w:after="0" w:line="276" w:lineRule="auto"/>
        <w:ind w:left="360"/>
        <w:rPr>
          <w:rFonts w:ascii="Times New Roman" w:hAnsi="Times New Roman" w:eastAsia="Calibri" w:cs="Times New Roman"/>
          <w:sz w:val="24"/>
          <w:szCs w:val="24"/>
        </w:rPr>
      </w:pPr>
    </w:p>
    <w:p w:rsidR="00EC08E0" w:rsidRDefault="00EC08E0" w14:paraId="6993E6A4" w14:textId="134DA0CB">
      <w:pPr>
        <w:spacing w:after="0" w:line="276" w:lineRule="auto"/>
        <w:ind w:left="360"/>
        <w:rPr>
          <w:rFonts w:ascii="Times New Roman" w:hAnsi="Times New Roman" w:eastAsia="Calibri" w:cs="Times New Roman"/>
          <w:sz w:val="24"/>
          <w:szCs w:val="24"/>
        </w:rPr>
      </w:pPr>
      <w:r w:rsidRPr="008677C6">
        <w:rPr>
          <w:rFonts w:ascii="Times New Roman" w:hAnsi="Times New Roman" w:eastAsia="Calibri" w:cs="Times New Roman"/>
          <w:sz w:val="24"/>
          <w:szCs w:val="24"/>
        </w:rPr>
        <w:t>Reliability Standard FAC-010-</w:t>
      </w:r>
      <w:r w:rsidR="008677C6">
        <w:rPr>
          <w:rFonts w:ascii="Times New Roman" w:hAnsi="Times New Roman" w:eastAsia="Calibri" w:cs="Times New Roman"/>
          <w:sz w:val="24"/>
          <w:szCs w:val="24"/>
        </w:rPr>
        <w:t>3</w:t>
      </w:r>
      <w:r w:rsidRPr="008677C6">
        <w:rPr>
          <w:rFonts w:ascii="Times New Roman" w:hAnsi="Times New Roman" w:eastAsia="Calibri" w:cs="Times New Roman"/>
          <w:sz w:val="24"/>
          <w:szCs w:val="24"/>
        </w:rPr>
        <w:t xml:space="preserve"> identifies data retention requirements and two sets of Levels of Non-Compliance, one of general applicability and one for the Western Interconnection.  FAC-010-</w:t>
      </w:r>
      <w:r w:rsidR="008677C6">
        <w:rPr>
          <w:rFonts w:ascii="Times New Roman" w:hAnsi="Times New Roman" w:eastAsia="Calibri" w:cs="Times New Roman"/>
          <w:sz w:val="24"/>
          <w:szCs w:val="24"/>
        </w:rPr>
        <w:t>3</w:t>
      </w:r>
      <w:r w:rsidRPr="008677C6">
        <w:rPr>
          <w:rFonts w:ascii="Times New Roman" w:hAnsi="Times New Roman" w:eastAsia="Calibri" w:cs="Times New Roman"/>
          <w:sz w:val="24"/>
          <w:szCs w:val="24"/>
        </w:rPr>
        <w:t xml:space="preserve"> also includes Measures corresponding to each Requirement.  It identifies the regional reliability organization as the entity responsible for compliance monitoring.  </w:t>
      </w:r>
    </w:p>
    <w:p w:rsidR="009D1B16" w:rsidRDefault="009D1B16" w14:paraId="6FE90BC9" w14:textId="77777777">
      <w:pPr>
        <w:spacing w:after="0" w:line="276" w:lineRule="auto"/>
        <w:ind w:left="360"/>
        <w:rPr>
          <w:rFonts w:ascii="Times New Roman" w:hAnsi="Times New Roman" w:eastAsia="Calibri" w:cs="Times New Roman"/>
          <w:sz w:val="24"/>
          <w:szCs w:val="24"/>
        </w:rPr>
      </w:pPr>
    </w:p>
    <w:p w:rsidR="009D1B16" w:rsidRDefault="009D1B16" w14:paraId="3DD593BE" w14:textId="1F593022">
      <w:pPr>
        <w:spacing w:after="0" w:line="276" w:lineRule="auto"/>
        <w:ind w:left="360"/>
        <w:rPr>
          <w:rFonts w:ascii="Times New Roman" w:hAnsi="Times New Roman" w:eastAsia="Calibri" w:cs="Times New Roman"/>
          <w:sz w:val="24"/>
          <w:szCs w:val="24"/>
        </w:rPr>
      </w:pPr>
      <w:r>
        <w:rPr>
          <w:rFonts w:ascii="Times New Roman" w:hAnsi="Times New Roman" w:eastAsia="Calibri" w:cs="Times New Roman"/>
          <w:sz w:val="24"/>
          <w:szCs w:val="24"/>
        </w:rPr>
        <w:t>Evidence Retention:</w:t>
      </w:r>
    </w:p>
    <w:p w:rsidR="004B41C5" w:rsidRDefault="004B41C5" w14:paraId="3B983FA6" w14:textId="77777777">
      <w:pPr>
        <w:spacing w:after="0" w:line="276" w:lineRule="auto"/>
        <w:ind w:left="360"/>
        <w:rPr>
          <w:rFonts w:ascii="Times New Roman" w:hAnsi="Times New Roman" w:eastAsia="Calibri" w:cs="Times New Roman"/>
          <w:sz w:val="24"/>
          <w:szCs w:val="24"/>
        </w:rPr>
      </w:pPr>
    </w:p>
    <w:p w:rsidRPr="004B41C5" w:rsidR="004B41C5" w:rsidP="004B41C5" w:rsidRDefault="004B41C5" w14:paraId="4A69CC16" w14:textId="735C1B69">
      <w:pPr>
        <w:spacing w:after="0" w:line="276" w:lineRule="auto"/>
        <w:ind w:left="360"/>
        <w:rPr>
          <w:rFonts w:ascii="Times New Roman" w:hAnsi="Times New Roman" w:eastAsia="Calibri" w:cs="Times New Roman"/>
          <w:sz w:val="24"/>
          <w:szCs w:val="24"/>
        </w:rPr>
      </w:pPr>
      <w:r w:rsidRPr="004B41C5">
        <w:rPr>
          <w:rFonts w:ascii="Times New Roman" w:hAnsi="Times New Roman" w:eastAsia="Calibri" w:cs="Times New Roman"/>
          <w:sz w:val="24"/>
          <w:szCs w:val="24"/>
        </w:rPr>
        <w:t>The Reliability Coordinator shall keep all superseded portions to its SOL Methodology for 12 months beyond the date of the change in that methodology. In addition, entities found non-compliant shall keep information related to the non-compliance until found compliant</w:t>
      </w:r>
      <w:r>
        <w:rPr>
          <w:rFonts w:ascii="Times New Roman" w:hAnsi="Times New Roman" w:eastAsia="Calibri" w:cs="Times New Roman"/>
          <w:sz w:val="24"/>
          <w:szCs w:val="24"/>
        </w:rPr>
        <w:t>.</w:t>
      </w:r>
    </w:p>
    <w:p w:rsidR="004B41C5" w:rsidP="004B41C5" w:rsidRDefault="004B41C5" w14:paraId="54000D77" w14:textId="57C75024">
      <w:pPr>
        <w:spacing w:after="0" w:line="276" w:lineRule="auto"/>
        <w:ind w:left="360"/>
        <w:rPr>
          <w:rFonts w:ascii="Times New Roman" w:hAnsi="Times New Roman" w:eastAsia="Calibri" w:cs="Times New Roman"/>
          <w:sz w:val="24"/>
          <w:szCs w:val="24"/>
        </w:rPr>
      </w:pPr>
      <w:r w:rsidRPr="004B41C5">
        <w:rPr>
          <w:rFonts w:ascii="Times New Roman" w:hAnsi="Times New Roman" w:eastAsia="Calibri" w:cs="Times New Roman"/>
          <w:sz w:val="24"/>
          <w:szCs w:val="24"/>
        </w:rPr>
        <w:t>The Compliance Monitor shall keep the last audit and all subsequent compliance records.</w:t>
      </w:r>
    </w:p>
    <w:p w:rsidRPr="009D1B16" w:rsidR="009D1B16" w:rsidRDefault="009D1B16" w14:paraId="624CE832" w14:textId="76BAE82B">
      <w:pPr>
        <w:spacing w:after="0" w:line="276" w:lineRule="auto"/>
        <w:ind w:left="360"/>
        <w:rPr>
          <w:rFonts w:ascii="Times New Roman" w:hAnsi="Times New Roman" w:eastAsia="Calibri" w:cs="Times New Roman"/>
          <w:sz w:val="24"/>
          <w:szCs w:val="24"/>
        </w:rPr>
      </w:pPr>
      <w:r w:rsidRPr="009D1B16">
        <w:rPr>
          <w:rFonts w:ascii="Times New Roman" w:hAnsi="Times New Roman" w:eastAsia="Calibri" w:cs="Times New Roman"/>
          <w:sz w:val="24"/>
          <w:szCs w:val="24"/>
        </w:rPr>
        <w:t xml:space="preserve">The Planning Authority shall make the following available for inspection during an on-site audit by the Compliance Monitor or within 15 business days of a request as part of an investigation upon complaint: </w:t>
      </w:r>
      <w:r w:rsidR="004B41C5">
        <w:rPr>
          <w:rFonts w:ascii="Times New Roman" w:hAnsi="Times New Roman" w:eastAsia="Calibri" w:cs="Times New Roman"/>
          <w:sz w:val="24"/>
          <w:szCs w:val="24"/>
        </w:rPr>
        <w:t>S</w:t>
      </w:r>
      <w:r w:rsidRPr="009D1B16">
        <w:rPr>
          <w:rFonts w:ascii="Times New Roman" w:hAnsi="Times New Roman" w:eastAsia="Calibri" w:cs="Times New Roman"/>
          <w:sz w:val="24"/>
          <w:szCs w:val="24"/>
        </w:rPr>
        <w:t>uperseded portions of its SOL Methodology that had been made within the past 12 months</w:t>
      </w:r>
      <w:r>
        <w:rPr>
          <w:rFonts w:ascii="Times New Roman" w:hAnsi="Times New Roman" w:eastAsia="Calibri" w:cs="Times New Roman"/>
          <w:sz w:val="24"/>
          <w:szCs w:val="24"/>
        </w:rPr>
        <w:t>,</w:t>
      </w:r>
      <w:r w:rsidRPr="009D1B16">
        <w:rPr>
          <w:rFonts w:ascii="Times New Roman" w:hAnsi="Times New Roman" w:eastAsia="Calibri" w:cs="Times New Roman"/>
          <w:sz w:val="24"/>
          <w:szCs w:val="24"/>
        </w:rPr>
        <w:t xml:space="preserve"> </w:t>
      </w:r>
      <w:r w:rsidR="004B41C5">
        <w:rPr>
          <w:rFonts w:ascii="Times New Roman" w:hAnsi="Times New Roman" w:eastAsia="Calibri" w:cs="Times New Roman"/>
          <w:sz w:val="24"/>
          <w:szCs w:val="24"/>
        </w:rPr>
        <w:t>E</w:t>
      </w:r>
      <w:r w:rsidRPr="009D1B16">
        <w:rPr>
          <w:rFonts w:ascii="Times New Roman" w:hAnsi="Times New Roman" w:eastAsia="Calibri" w:cs="Times New Roman"/>
          <w:sz w:val="24"/>
          <w:szCs w:val="24"/>
        </w:rPr>
        <w:t>vidence that the SOL Methodology</w:t>
      </w:r>
      <w:r>
        <w:rPr>
          <w:rFonts w:ascii="Times New Roman" w:hAnsi="Times New Roman" w:eastAsia="Calibri" w:cs="Times New Roman"/>
          <w:sz w:val="24"/>
          <w:szCs w:val="24"/>
        </w:rPr>
        <w:t>,</w:t>
      </w:r>
      <w:r w:rsidRPr="009D1B16">
        <w:rPr>
          <w:rFonts w:ascii="Times New Roman" w:hAnsi="Times New Roman" w:eastAsia="Calibri" w:cs="Times New Roman"/>
          <w:sz w:val="24"/>
          <w:szCs w:val="24"/>
        </w:rPr>
        <w:t xml:space="preserve"> and any changes to the methodology that occurred within the past 12 months were issued to all required entities. </w:t>
      </w:r>
    </w:p>
    <w:p w:rsidRPr="008677C6" w:rsidR="009D1B16" w:rsidP="00372C59" w:rsidRDefault="009D1B16" w14:paraId="7D6D975D" w14:textId="77777777">
      <w:pPr>
        <w:spacing w:after="0" w:line="276" w:lineRule="auto"/>
        <w:ind w:left="360"/>
        <w:rPr>
          <w:rFonts w:ascii="Times New Roman" w:hAnsi="Times New Roman" w:eastAsia="Calibri" w:cs="Times New Roman"/>
          <w:sz w:val="24"/>
          <w:szCs w:val="24"/>
        </w:rPr>
      </w:pPr>
    </w:p>
    <w:p w:rsidRPr="00372C59" w:rsidR="00EC08E0" w:rsidP="00372C59" w:rsidRDefault="00EC08E0" w14:paraId="38F30576" w14:textId="267F409B">
      <w:pPr>
        <w:pStyle w:val="ListParagraph"/>
        <w:numPr>
          <w:ilvl w:val="0"/>
          <w:numId w:val="14"/>
        </w:numPr>
        <w:spacing w:after="0" w:line="276" w:lineRule="auto"/>
        <w:rPr>
          <w:rFonts w:ascii="Times New Roman" w:hAnsi="Times New Roman" w:eastAsia="Calibri" w:cs="Times New Roman"/>
          <w:b/>
          <w:sz w:val="24"/>
          <w:szCs w:val="24"/>
        </w:rPr>
      </w:pPr>
      <w:r w:rsidRPr="00372C59">
        <w:rPr>
          <w:rFonts w:ascii="Times New Roman" w:hAnsi="Times New Roman" w:eastAsia="Calibri" w:cs="Times New Roman"/>
          <w:b/>
          <w:sz w:val="24"/>
          <w:szCs w:val="24"/>
        </w:rPr>
        <w:t>FAC-011-</w:t>
      </w:r>
      <w:r w:rsidRPr="00372C59" w:rsidR="008677C6">
        <w:rPr>
          <w:rFonts w:ascii="Times New Roman" w:hAnsi="Times New Roman" w:eastAsia="Calibri" w:cs="Times New Roman"/>
          <w:b/>
          <w:sz w:val="24"/>
          <w:szCs w:val="24"/>
        </w:rPr>
        <w:t>3</w:t>
      </w:r>
      <w:r w:rsidRPr="00372C59">
        <w:rPr>
          <w:rFonts w:ascii="Times New Roman" w:hAnsi="Times New Roman" w:eastAsia="Calibri" w:cs="Times New Roman"/>
          <w:b/>
          <w:sz w:val="24"/>
          <w:szCs w:val="24"/>
        </w:rPr>
        <w:t>(System Operating Limits Methodology for the Operations Horizon)</w:t>
      </w:r>
    </w:p>
    <w:p w:rsidRPr="005D515C" w:rsidR="00EC08E0" w:rsidP="00372C59" w:rsidRDefault="00EC08E0" w14:paraId="5E255A61" w14:textId="5691A495">
      <w:pPr>
        <w:spacing w:after="0" w:line="276" w:lineRule="auto"/>
        <w:ind w:left="360"/>
        <w:rPr>
          <w:rFonts w:ascii="Times New Roman" w:hAnsi="Times New Roman" w:eastAsia="Calibri" w:cs="Times New Roman"/>
          <w:sz w:val="24"/>
          <w:szCs w:val="24"/>
        </w:rPr>
      </w:pPr>
      <w:r w:rsidRPr="00AA1A60">
        <w:rPr>
          <w:rFonts w:ascii="Times New Roman" w:hAnsi="Times New Roman" w:eastAsia="Calibri" w:cs="Times New Roman"/>
          <w:sz w:val="24"/>
          <w:szCs w:val="24"/>
        </w:rPr>
        <w:t>Reliability Standard FAC-011-</w:t>
      </w:r>
      <w:r w:rsidR="008677C6">
        <w:rPr>
          <w:rFonts w:ascii="Times New Roman" w:hAnsi="Times New Roman" w:eastAsia="Calibri" w:cs="Times New Roman"/>
          <w:sz w:val="24"/>
          <w:szCs w:val="24"/>
        </w:rPr>
        <w:t>3</w:t>
      </w:r>
      <w:r w:rsidRPr="00AA1A60">
        <w:rPr>
          <w:rFonts w:ascii="Times New Roman" w:hAnsi="Times New Roman" w:eastAsia="Calibri" w:cs="Times New Roman"/>
          <w:sz w:val="24"/>
          <w:szCs w:val="24"/>
        </w:rPr>
        <w:t xml:space="preserve"> requires each reliability coordinator to develop a SOL methodology for determining which of the stability limits associated with the list of multiple contingencies are applicable for use in the operating horizon based on</w:t>
      </w:r>
      <w:r w:rsidRPr="00980E4B">
        <w:rPr>
          <w:rFonts w:ascii="Times New Roman" w:hAnsi="Times New Roman" w:eastAsia="Calibri" w:cs="Times New Roman"/>
          <w:sz w:val="24"/>
          <w:szCs w:val="24"/>
        </w:rPr>
        <w:t xml:space="preserve"> actual or expected system conditions.  </w:t>
      </w:r>
    </w:p>
    <w:p w:rsidRPr="00F54358" w:rsidR="00EC08E0" w:rsidP="00372C59" w:rsidRDefault="00EC08E0" w14:paraId="5A092543" w14:textId="77777777">
      <w:pPr>
        <w:spacing w:after="0" w:line="276" w:lineRule="auto"/>
        <w:ind w:left="360"/>
        <w:rPr>
          <w:rFonts w:ascii="Times New Roman" w:hAnsi="Times New Roman" w:eastAsia="Calibri" w:cs="Times New Roman"/>
          <w:sz w:val="24"/>
          <w:szCs w:val="24"/>
        </w:rPr>
      </w:pPr>
    </w:p>
    <w:p w:rsidRPr="008677C6" w:rsidR="00EC08E0" w:rsidP="00372C59" w:rsidRDefault="00EC08E0" w14:paraId="2BE75601" w14:textId="7841C63E">
      <w:pPr>
        <w:spacing w:after="0" w:line="276" w:lineRule="auto"/>
        <w:ind w:left="360"/>
        <w:rPr>
          <w:rFonts w:ascii="Times New Roman" w:hAnsi="Times New Roman" w:eastAsia="Calibri" w:cs="Times New Roman"/>
          <w:sz w:val="24"/>
          <w:szCs w:val="24"/>
        </w:rPr>
      </w:pPr>
      <w:r w:rsidRPr="00F54358">
        <w:rPr>
          <w:rFonts w:ascii="Times New Roman" w:hAnsi="Times New Roman" w:eastAsia="Calibri" w:cs="Times New Roman"/>
          <w:sz w:val="24"/>
          <w:szCs w:val="24"/>
        </w:rPr>
        <w:t>Requirement R1 of FAC-011-</w:t>
      </w:r>
      <w:r w:rsidR="008677C6">
        <w:rPr>
          <w:rFonts w:ascii="Times New Roman" w:hAnsi="Times New Roman" w:eastAsia="Calibri" w:cs="Times New Roman"/>
          <w:sz w:val="24"/>
          <w:szCs w:val="24"/>
        </w:rPr>
        <w:t>3</w:t>
      </w:r>
      <w:r w:rsidRPr="00F54358">
        <w:rPr>
          <w:rFonts w:ascii="Times New Roman" w:hAnsi="Times New Roman" w:eastAsia="Calibri" w:cs="Times New Roman"/>
          <w:sz w:val="24"/>
          <w:szCs w:val="24"/>
        </w:rPr>
        <w:t xml:space="preserve"> states that the Planning Authority shall have a documented SOL Methodology for</w:t>
      </w:r>
      <w:r w:rsidRPr="008677C6">
        <w:rPr>
          <w:rFonts w:ascii="Times New Roman" w:hAnsi="Times New Roman" w:eastAsia="Calibri" w:cs="Times New Roman"/>
          <w:sz w:val="24"/>
          <w:szCs w:val="24"/>
        </w:rPr>
        <w:t xml:space="preserve"> use in developing SOLs within its planning authority area.  R1 indicates that the SOL Methodology must be applicable to developing SOLs used in the planning horizon, state that SOLs shall not exceed associated facility ratings, and include a description of how to identify the subset of SOLs that qualify as IROLs. </w:t>
      </w:r>
    </w:p>
    <w:p w:rsidRPr="008677C6" w:rsidR="00EC08E0" w:rsidP="00372C59" w:rsidRDefault="00EC08E0" w14:paraId="64DB35F5" w14:textId="77777777">
      <w:pPr>
        <w:spacing w:after="0" w:line="276" w:lineRule="auto"/>
        <w:ind w:left="360"/>
        <w:rPr>
          <w:rFonts w:ascii="Times New Roman" w:hAnsi="Times New Roman" w:eastAsia="Calibri" w:cs="Times New Roman"/>
          <w:sz w:val="24"/>
          <w:szCs w:val="24"/>
        </w:rPr>
      </w:pPr>
    </w:p>
    <w:p w:rsidRPr="008677C6" w:rsidR="00EC08E0" w:rsidP="00372C59" w:rsidRDefault="00EC08E0" w14:paraId="48B1F0CA" w14:textId="0E5F37D4">
      <w:pPr>
        <w:spacing w:after="0" w:line="276" w:lineRule="auto"/>
        <w:ind w:left="360"/>
        <w:rPr>
          <w:rFonts w:ascii="Times New Roman" w:hAnsi="Times New Roman" w:eastAsia="Calibri" w:cs="Times New Roman"/>
          <w:sz w:val="24"/>
          <w:szCs w:val="24"/>
        </w:rPr>
      </w:pPr>
      <w:r w:rsidRPr="008677C6">
        <w:rPr>
          <w:rFonts w:ascii="Times New Roman" w:hAnsi="Times New Roman" w:eastAsia="Calibri" w:cs="Times New Roman"/>
          <w:sz w:val="24"/>
          <w:szCs w:val="24"/>
        </w:rPr>
        <w:t>Requirement R2 of FAC-011-</w:t>
      </w:r>
      <w:r w:rsidR="008677C6">
        <w:rPr>
          <w:rFonts w:ascii="Times New Roman" w:hAnsi="Times New Roman" w:eastAsia="Calibri" w:cs="Times New Roman"/>
          <w:sz w:val="24"/>
          <w:szCs w:val="24"/>
        </w:rPr>
        <w:t>3</w:t>
      </w:r>
      <w:r w:rsidRPr="008677C6">
        <w:rPr>
          <w:rFonts w:ascii="Times New Roman" w:hAnsi="Times New Roman" w:eastAsia="Calibri" w:cs="Times New Roman"/>
          <w:sz w:val="24"/>
          <w:szCs w:val="24"/>
        </w:rPr>
        <w:t xml:space="preserve"> identifies specific considerations that must be included in the methodology in a pre-contingency state and following one or multiple contingencies.  </w:t>
      </w:r>
    </w:p>
    <w:p w:rsidRPr="008677C6" w:rsidR="00EC08E0" w:rsidP="00372C59" w:rsidRDefault="00EC08E0" w14:paraId="6D6F47BA" w14:textId="77777777">
      <w:pPr>
        <w:spacing w:after="0" w:line="276" w:lineRule="auto"/>
        <w:ind w:left="360"/>
        <w:rPr>
          <w:rFonts w:ascii="Times New Roman" w:hAnsi="Times New Roman" w:eastAsia="Calibri" w:cs="Times New Roman"/>
          <w:sz w:val="24"/>
          <w:szCs w:val="24"/>
        </w:rPr>
      </w:pPr>
    </w:p>
    <w:p w:rsidR="00EC08E0" w:rsidRDefault="00EC08E0" w14:paraId="611F9C4F" w14:textId="75ED8ADE">
      <w:pPr>
        <w:spacing w:after="0" w:line="276" w:lineRule="auto"/>
        <w:ind w:left="360"/>
        <w:rPr>
          <w:rFonts w:ascii="Times New Roman" w:hAnsi="Times New Roman" w:eastAsia="Calibri" w:cs="Times New Roman"/>
          <w:sz w:val="24"/>
          <w:szCs w:val="24"/>
        </w:rPr>
      </w:pPr>
      <w:r w:rsidRPr="008677C6">
        <w:rPr>
          <w:rFonts w:ascii="Times New Roman" w:hAnsi="Times New Roman" w:eastAsia="Calibri" w:cs="Times New Roman"/>
          <w:sz w:val="24"/>
          <w:szCs w:val="24"/>
        </w:rPr>
        <w:t>Requirement R3 of FAC-011-</w:t>
      </w:r>
      <w:r w:rsidR="008677C6">
        <w:rPr>
          <w:rFonts w:ascii="Times New Roman" w:hAnsi="Times New Roman" w:eastAsia="Calibri" w:cs="Times New Roman"/>
          <w:sz w:val="24"/>
          <w:szCs w:val="24"/>
        </w:rPr>
        <w:t>3</w:t>
      </w:r>
      <w:r w:rsidRPr="008677C6">
        <w:rPr>
          <w:rFonts w:ascii="Times New Roman" w:hAnsi="Times New Roman" w:eastAsia="Calibri" w:cs="Times New Roman"/>
          <w:sz w:val="24"/>
          <w:szCs w:val="24"/>
        </w:rPr>
        <w:t xml:space="preserve"> requires that the methodology for determining SOLs shall include as a minimum a description of the study model, selection of the applicable contingencies, level of detail of system models used to determine SOLs, allowed uses of Special Protection Systems</w:t>
      </w:r>
      <w:r w:rsidRPr="00496D03" w:rsidR="00011A46">
        <w:rPr>
          <w:rFonts w:ascii="Times New Roman" w:hAnsi="Times New Roman" w:eastAsia="Calibri" w:cs="Times New Roman"/>
          <w:sz w:val="24"/>
          <w:szCs w:val="24"/>
        </w:rPr>
        <w:t>.</w:t>
      </w:r>
    </w:p>
    <w:p w:rsidR="004B41C5" w:rsidRDefault="004B41C5" w14:paraId="2DE254FF" w14:textId="4B4CC550">
      <w:pPr>
        <w:spacing w:after="0" w:line="276" w:lineRule="auto"/>
        <w:ind w:left="360"/>
        <w:rPr>
          <w:rFonts w:ascii="Times New Roman" w:hAnsi="Times New Roman" w:eastAsia="Calibri" w:cs="Times New Roman"/>
          <w:sz w:val="24"/>
          <w:szCs w:val="24"/>
        </w:rPr>
      </w:pPr>
    </w:p>
    <w:p w:rsidR="004B41C5" w:rsidP="004B41C5" w:rsidRDefault="004B41C5" w14:paraId="47351376" w14:textId="02844614">
      <w:pPr>
        <w:spacing w:after="0" w:line="276" w:lineRule="auto"/>
        <w:ind w:left="360"/>
        <w:rPr>
          <w:rFonts w:ascii="Times New Roman" w:hAnsi="Times New Roman" w:eastAsia="Calibri" w:cs="Times New Roman"/>
          <w:sz w:val="24"/>
          <w:szCs w:val="24"/>
        </w:rPr>
      </w:pPr>
      <w:bookmarkStart w:name="_Hlk63262986" w:id="6"/>
      <w:r w:rsidRPr="004B41C5">
        <w:rPr>
          <w:rFonts w:ascii="Times New Roman" w:hAnsi="Times New Roman" w:eastAsia="Calibri" w:cs="Times New Roman"/>
          <w:sz w:val="24"/>
          <w:szCs w:val="24"/>
        </w:rPr>
        <w:t>Evidence Retention:</w:t>
      </w:r>
    </w:p>
    <w:p w:rsidRPr="004B41C5" w:rsidR="004B41C5" w:rsidP="004B41C5" w:rsidRDefault="004B41C5" w14:paraId="27811D99" w14:textId="77777777">
      <w:pPr>
        <w:spacing w:after="0" w:line="276" w:lineRule="auto"/>
        <w:ind w:left="360"/>
        <w:rPr>
          <w:rFonts w:ascii="Times New Roman" w:hAnsi="Times New Roman" w:eastAsia="Calibri" w:cs="Times New Roman"/>
          <w:sz w:val="24"/>
          <w:szCs w:val="24"/>
        </w:rPr>
      </w:pPr>
    </w:p>
    <w:p w:rsidRPr="004B41C5" w:rsidR="004B41C5" w:rsidP="004B41C5" w:rsidRDefault="004B41C5" w14:paraId="5A387DB7" w14:textId="2235C389">
      <w:pPr>
        <w:spacing w:after="0" w:line="276" w:lineRule="auto"/>
        <w:ind w:left="360"/>
        <w:rPr>
          <w:rFonts w:ascii="Times New Roman" w:hAnsi="Times New Roman" w:eastAsia="Calibri" w:cs="Times New Roman"/>
          <w:sz w:val="24"/>
          <w:szCs w:val="24"/>
        </w:rPr>
      </w:pPr>
      <w:r w:rsidRPr="004B41C5">
        <w:rPr>
          <w:rFonts w:ascii="Times New Roman" w:hAnsi="Times New Roman" w:eastAsia="Calibri" w:cs="Times New Roman"/>
          <w:sz w:val="24"/>
          <w:szCs w:val="24"/>
        </w:rPr>
        <w:t>The Reliability Coordinator shall keep all superseded portions to its SOL Methodology for 12 months beyond the date of the change in that methodology. In addition, entities found non-compliant shall keep information related to the non-compliance until found compliant</w:t>
      </w:r>
      <w:r>
        <w:rPr>
          <w:rFonts w:ascii="Times New Roman" w:hAnsi="Times New Roman" w:eastAsia="Calibri" w:cs="Times New Roman"/>
          <w:sz w:val="24"/>
          <w:szCs w:val="24"/>
        </w:rPr>
        <w:t>.</w:t>
      </w:r>
    </w:p>
    <w:p w:rsidRPr="004B41C5" w:rsidR="004B41C5" w:rsidP="004B41C5" w:rsidRDefault="004B41C5" w14:paraId="443BCC3E" w14:textId="77777777">
      <w:pPr>
        <w:spacing w:after="0" w:line="276" w:lineRule="auto"/>
        <w:ind w:left="360"/>
        <w:rPr>
          <w:rFonts w:ascii="Times New Roman" w:hAnsi="Times New Roman" w:eastAsia="Calibri" w:cs="Times New Roman"/>
          <w:sz w:val="24"/>
          <w:szCs w:val="24"/>
        </w:rPr>
      </w:pPr>
      <w:r w:rsidRPr="004B41C5">
        <w:rPr>
          <w:rFonts w:ascii="Times New Roman" w:hAnsi="Times New Roman" w:eastAsia="Calibri" w:cs="Times New Roman"/>
          <w:sz w:val="24"/>
          <w:szCs w:val="24"/>
        </w:rPr>
        <w:t>The Compliance Monitor shall keep the last audit and all subsequent compliance records.</w:t>
      </w:r>
    </w:p>
    <w:p w:rsidRPr="004B41C5" w:rsidR="004B41C5" w:rsidP="004B41C5" w:rsidRDefault="004B41C5" w14:paraId="45173C8B" w14:textId="74794034">
      <w:pPr>
        <w:spacing w:after="0" w:line="276" w:lineRule="auto"/>
        <w:ind w:left="360"/>
        <w:rPr>
          <w:rFonts w:ascii="Times New Roman" w:hAnsi="Times New Roman" w:eastAsia="Calibri" w:cs="Times New Roman"/>
          <w:sz w:val="24"/>
          <w:szCs w:val="24"/>
        </w:rPr>
      </w:pPr>
      <w:r w:rsidRPr="004B41C5">
        <w:rPr>
          <w:rFonts w:ascii="Times New Roman" w:hAnsi="Times New Roman" w:eastAsia="Calibri" w:cs="Times New Roman"/>
          <w:sz w:val="24"/>
          <w:szCs w:val="24"/>
        </w:rPr>
        <w:t>The Planning Authority shall make the following available for inspection during an on-site audit by the Compliance Monitor or within 15 business days of a request as part of an investigation upon complaint:</w:t>
      </w:r>
      <w:bookmarkEnd w:id="6"/>
      <w:r w:rsidRPr="004B41C5">
        <w:rPr>
          <w:rFonts w:ascii="Times New Roman" w:hAnsi="Times New Roman" w:eastAsia="Calibri" w:cs="Times New Roman"/>
          <w:sz w:val="24"/>
          <w:szCs w:val="24"/>
        </w:rPr>
        <w:t xml:space="preserve"> </w:t>
      </w:r>
      <w:r>
        <w:rPr>
          <w:rFonts w:ascii="Times New Roman" w:hAnsi="Times New Roman" w:eastAsia="Calibri" w:cs="Times New Roman"/>
          <w:sz w:val="24"/>
          <w:szCs w:val="24"/>
        </w:rPr>
        <w:t>S</w:t>
      </w:r>
      <w:r w:rsidRPr="004B41C5">
        <w:rPr>
          <w:rFonts w:ascii="Times New Roman" w:hAnsi="Times New Roman" w:eastAsia="Calibri" w:cs="Times New Roman"/>
          <w:sz w:val="24"/>
          <w:szCs w:val="24"/>
        </w:rPr>
        <w:t xml:space="preserve">uperseded portions of its SOL Methodology that had been made within the past 12 months, </w:t>
      </w:r>
      <w:r>
        <w:rPr>
          <w:rFonts w:ascii="Times New Roman" w:hAnsi="Times New Roman" w:eastAsia="Calibri" w:cs="Times New Roman"/>
          <w:sz w:val="24"/>
          <w:szCs w:val="24"/>
        </w:rPr>
        <w:t>E</w:t>
      </w:r>
      <w:r w:rsidRPr="004B41C5">
        <w:rPr>
          <w:rFonts w:ascii="Times New Roman" w:hAnsi="Times New Roman" w:eastAsia="Calibri" w:cs="Times New Roman"/>
          <w:sz w:val="24"/>
          <w:szCs w:val="24"/>
        </w:rPr>
        <w:t xml:space="preserve">vidence that the SOL Methodology, and any changes to the methodology that occurred within the past 12 months were issued to all required entities. </w:t>
      </w:r>
    </w:p>
    <w:p w:rsidRPr="008677C6" w:rsidR="00EC08E0" w:rsidP="00372C59" w:rsidRDefault="00EC08E0" w14:paraId="14BC78B7" w14:textId="77777777">
      <w:pPr>
        <w:spacing w:after="0" w:line="276" w:lineRule="auto"/>
        <w:ind w:left="360"/>
        <w:rPr>
          <w:rFonts w:ascii="Times New Roman" w:hAnsi="Times New Roman" w:eastAsia="Calibri" w:cs="Times New Roman"/>
          <w:sz w:val="24"/>
          <w:szCs w:val="24"/>
        </w:rPr>
      </w:pPr>
    </w:p>
    <w:p w:rsidRPr="00372C59" w:rsidR="00EC08E0" w:rsidP="00372C59" w:rsidRDefault="00EC08E0" w14:paraId="1D6FBB2E" w14:textId="4FF30FB3">
      <w:pPr>
        <w:pStyle w:val="ListParagraph"/>
        <w:numPr>
          <w:ilvl w:val="0"/>
          <w:numId w:val="14"/>
        </w:numPr>
        <w:spacing w:after="0" w:line="276" w:lineRule="auto"/>
        <w:rPr>
          <w:rFonts w:ascii="Times New Roman" w:hAnsi="Times New Roman" w:eastAsia="Calibri" w:cs="Times New Roman"/>
          <w:b/>
          <w:sz w:val="24"/>
          <w:szCs w:val="24"/>
        </w:rPr>
      </w:pPr>
      <w:r w:rsidRPr="00372C59">
        <w:rPr>
          <w:rFonts w:ascii="Times New Roman" w:hAnsi="Times New Roman" w:eastAsia="Calibri" w:cs="Times New Roman"/>
          <w:b/>
          <w:sz w:val="24"/>
          <w:szCs w:val="24"/>
        </w:rPr>
        <w:t>FAC-014-2 (Establish and Communicate System Operating Limits)</w:t>
      </w:r>
    </w:p>
    <w:p w:rsidR="00EC08E0" w:rsidP="00372C59" w:rsidRDefault="00EC08E0" w14:paraId="59D3B41A" w14:textId="01DCEA2B">
      <w:pPr>
        <w:spacing w:after="0" w:line="276" w:lineRule="auto"/>
        <w:ind w:left="360"/>
        <w:rPr>
          <w:rFonts w:ascii="Times New Roman" w:hAnsi="Times New Roman" w:eastAsia="Calibri" w:cs="Times New Roman"/>
          <w:sz w:val="24"/>
          <w:szCs w:val="24"/>
        </w:rPr>
      </w:pPr>
      <w:r w:rsidRPr="008677C6">
        <w:rPr>
          <w:rFonts w:ascii="Times New Roman" w:hAnsi="Times New Roman" w:eastAsia="Calibri" w:cs="Times New Roman"/>
          <w:sz w:val="24"/>
          <w:szCs w:val="24"/>
        </w:rPr>
        <w:t>Reliability Standard FAC-014-2 requires each reliability coordinator, planning authority, transmission planner and transmission operator to develop and communicate SOL limits in accordance with the methodologies developed pursuant to FAC-010-</w:t>
      </w:r>
      <w:r w:rsidR="008677C6">
        <w:rPr>
          <w:rFonts w:ascii="Times New Roman" w:hAnsi="Times New Roman" w:eastAsia="Calibri" w:cs="Times New Roman"/>
          <w:sz w:val="24"/>
          <w:szCs w:val="24"/>
        </w:rPr>
        <w:t>3</w:t>
      </w:r>
      <w:r w:rsidRPr="008677C6">
        <w:rPr>
          <w:rFonts w:ascii="Times New Roman" w:hAnsi="Times New Roman" w:eastAsia="Calibri" w:cs="Times New Roman"/>
          <w:sz w:val="24"/>
          <w:szCs w:val="24"/>
        </w:rPr>
        <w:t xml:space="preserve"> and FAC-011-</w:t>
      </w:r>
      <w:r w:rsidR="008677C6">
        <w:rPr>
          <w:rFonts w:ascii="Times New Roman" w:hAnsi="Times New Roman" w:eastAsia="Calibri" w:cs="Times New Roman"/>
          <w:sz w:val="24"/>
          <w:szCs w:val="24"/>
        </w:rPr>
        <w:t>3</w:t>
      </w:r>
      <w:r w:rsidRPr="008677C6">
        <w:rPr>
          <w:rFonts w:ascii="Times New Roman" w:hAnsi="Times New Roman" w:eastAsia="Calibri" w:cs="Times New Roman"/>
          <w:sz w:val="24"/>
          <w:szCs w:val="24"/>
        </w:rPr>
        <w:t>.  FAC-014-2 requires the reliability coordinator to ensure that SOLs are established for its “reliability coordinator area” and that the SOLs are consistent with its SOL methodology.  It provides that each transmission operator, planning authority and transmission planner must establis</w:t>
      </w:r>
      <w:r w:rsidRPr="00496D03">
        <w:rPr>
          <w:rFonts w:ascii="Times New Roman" w:hAnsi="Times New Roman" w:eastAsia="Calibri" w:cs="Times New Roman"/>
          <w:sz w:val="24"/>
          <w:szCs w:val="24"/>
        </w:rPr>
        <w:t>h SOLs as directed by its reliability coordinator that are consistent with the reliability coordinator’s methodology.  Further, FAC-014-</w:t>
      </w:r>
      <w:r w:rsidRPr="008677C6">
        <w:rPr>
          <w:rFonts w:ascii="Times New Roman" w:hAnsi="Times New Roman" w:eastAsia="Calibri" w:cs="Times New Roman"/>
          <w:sz w:val="24"/>
          <w:szCs w:val="24"/>
        </w:rPr>
        <w:t xml:space="preserve">2 requires the reliability coordinator, planning authority and transmission planner to provide its SOLs to those entities that have a reliability-related need.   </w:t>
      </w:r>
    </w:p>
    <w:p w:rsidRPr="004B41C5" w:rsidR="00064BB0" w:rsidP="00064BB0" w:rsidRDefault="00064BB0" w14:paraId="166E6421" w14:textId="4A3194B1">
      <w:pPr>
        <w:spacing w:after="0" w:line="240" w:lineRule="auto"/>
        <w:rPr>
          <w:rFonts w:ascii="Times New Roman" w:hAnsi="Times New Roman" w:cs="Times New Roman"/>
          <w:sz w:val="24"/>
          <w:szCs w:val="24"/>
        </w:rPr>
      </w:pPr>
    </w:p>
    <w:p w:rsidR="00064BB0" w:rsidP="007F39BA" w:rsidRDefault="00064BB0" w14:paraId="2403F9D7" w14:textId="77777777">
      <w:pPr>
        <w:spacing w:after="0" w:line="240" w:lineRule="auto"/>
        <w:ind w:left="360"/>
        <w:rPr>
          <w:rFonts w:ascii="Times New Roman" w:hAnsi="Times New Roman" w:cs="Times New Roman"/>
          <w:sz w:val="24"/>
          <w:szCs w:val="24"/>
        </w:rPr>
      </w:pPr>
      <w:r w:rsidRPr="004B41C5">
        <w:rPr>
          <w:rFonts w:ascii="Times New Roman" w:hAnsi="Times New Roman" w:cs="Times New Roman"/>
          <w:sz w:val="24"/>
          <w:szCs w:val="24"/>
        </w:rPr>
        <w:t>Evidence Retention:</w:t>
      </w:r>
    </w:p>
    <w:p w:rsidRPr="004B41C5" w:rsidR="00064BB0" w:rsidP="007F39BA" w:rsidRDefault="00064BB0" w14:paraId="47947B41" w14:textId="77777777">
      <w:pPr>
        <w:spacing w:after="0" w:line="240" w:lineRule="auto"/>
        <w:ind w:left="360"/>
        <w:rPr>
          <w:rFonts w:ascii="Times New Roman" w:hAnsi="Times New Roman" w:cs="Times New Roman"/>
          <w:sz w:val="24"/>
          <w:szCs w:val="24"/>
        </w:rPr>
      </w:pPr>
    </w:p>
    <w:p w:rsidRPr="004B41C5" w:rsidR="00064BB0" w:rsidP="007F39BA" w:rsidRDefault="00064BB0" w14:paraId="264957C3" w14:textId="77777777">
      <w:pPr>
        <w:spacing w:after="0" w:line="240" w:lineRule="auto"/>
        <w:ind w:left="360"/>
        <w:rPr>
          <w:rFonts w:ascii="Times New Roman" w:hAnsi="Times New Roman" w:cs="Times New Roman"/>
          <w:sz w:val="24"/>
          <w:szCs w:val="24"/>
        </w:rPr>
      </w:pPr>
      <w:r w:rsidRPr="004B41C5">
        <w:rPr>
          <w:rFonts w:ascii="Times New Roman" w:hAnsi="Times New Roman" w:cs="Times New Roman"/>
          <w:sz w:val="24"/>
          <w:szCs w:val="24"/>
        </w:rPr>
        <w:t>The Reliability Coordinator shall keep all superseded portions to its SOL Methodology for 12 months beyond the date of the change in that methodology. In addition, entities found non-compliant shall keep information related to the non-compliance until found compliant</w:t>
      </w:r>
      <w:r>
        <w:rPr>
          <w:rFonts w:ascii="Times New Roman" w:hAnsi="Times New Roman" w:cs="Times New Roman"/>
          <w:sz w:val="24"/>
          <w:szCs w:val="24"/>
        </w:rPr>
        <w:t>.</w:t>
      </w:r>
    </w:p>
    <w:p w:rsidRPr="004B41C5" w:rsidR="00064BB0" w:rsidP="007F39BA" w:rsidRDefault="00064BB0" w14:paraId="66B8A3F0" w14:textId="77777777">
      <w:pPr>
        <w:spacing w:after="0" w:line="240" w:lineRule="auto"/>
        <w:ind w:left="360"/>
        <w:rPr>
          <w:rFonts w:ascii="Times New Roman" w:hAnsi="Times New Roman" w:cs="Times New Roman"/>
          <w:sz w:val="24"/>
          <w:szCs w:val="24"/>
        </w:rPr>
      </w:pPr>
      <w:r w:rsidRPr="004B41C5">
        <w:rPr>
          <w:rFonts w:ascii="Times New Roman" w:hAnsi="Times New Roman" w:cs="Times New Roman"/>
          <w:sz w:val="24"/>
          <w:szCs w:val="24"/>
        </w:rPr>
        <w:t>The Compliance Monitor shall keep the last audit and all subsequent compliance records.</w:t>
      </w:r>
    </w:p>
    <w:p w:rsidRPr="004B41C5" w:rsidR="00064BB0" w:rsidP="004875D5" w:rsidRDefault="00064BB0" w14:paraId="54760EB2" w14:textId="6426CBA2">
      <w:pPr>
        <w:spacing w:after="0" w:line="240" w:lineRule="auto"/>
        <w:ind w:left="360"/>
        <w:rPr>
          <w:rFonts w:ascii="Times New Roman" w:hAnsi="Times New Roman" w:cs="Times New Roman"/>
          <w:sz w:val="24"/>
          <w:szCs w:val="24"/>
        </w:rPr>
      </w:pPr>
      <w:r w:rsidRPr="004B41C5">
        <w:rPr>
          <w:rFonts w:ascii="Times New Roman" w:hAnsi="Times New Roman" w:cs="Times New Roman"/>
          <w:sz w:val="24"/>
          <w:szCs w:val="24"/>
        </w:rPr>
        <w:t>The Planning Authority shall make the following available for inspection during an on-site audit by the Compliance Monitor or within 15 business days of a request as part of an investigation upon complaint:</w:t>
      </w:r>
      <w:r>
        <w:rPr>
          <w:rFonts w:ascii="Times New Roman" w:hAnsi="Times New Roman" w:cs="Times New Roman"/>
          <w:sz w:val="24"/>
          <w:szCs w:val="24"/>
        </w:rPr>
        <w:t xml:space="preserve"> </w:t>
      </w:r>
      <w:r w:rsidRPr="004B41C5">
        <w:rPr>
          <w:rFonts w:ascii="Times New Roman" w:hAnsi="Times New Roman" w:cs="Times New Roman"/>
          <w:sz w:val="24"/>
          <w:szCs w:val="24"/>
        </w:rPr>
        <w:t>SOL Methodology(ies)</w:t>
      </w:r>
      <w:r>
        <w:rPr>
          <w:rFonts w:ascii="Times New Roman" w:hAnsi="Times New Roman" w:cs="Times New Roman"/>
          <w:sz w:val="24"/>
          <w:szCs w:val="24"/>
        </w:rPr>
        <w:t xml:space="preserve">, </w:t>
      </w:r>
      <w:r w:rsidRPr="004B41C5">
        <w:rPr>
          <w:rFonts w:ascii="Times New Roman" w:hAnsi="Times New Roman" w:cs="Times New Roman"/>
          <w:sz w:val="24"/>
          <w:szCs w:val="24"/>
        </w:rPr>
        <w:t>SOLs, including the subset of SOLs that are IROLs and the IROLs supporting information</w:t>
      </w:r>
      <w:r>
        <w:rPr>
          <w:rFonts w:ascii="Times New Roman" w:hAnsi="Times New Roman" w:cs="Times New Roman"/>
          <w:sz w:val="24"/>
          <w:szCs w:val="24"/>
        </w:rPr>
        <w:t xml:space="preserve">, </w:t>
      </w:r>
      <w:r w:rsidRPr="004B41C5">
        <w:rPr>
          <w:rFonts w:ascii="Times New Roman" w:hAnsi="Times New Roman" w:cs="Times New Roman"/>
          <w:sz w:val="24"/>
          <w:szCs w:val="24"/>
        </w:rPr>
        <w:t>Evidence that SOLs were distributed</w:t>
      </w:r>
      <w:r>
        <w:rPr>
          <w:rFonts w:ascii="Times New Roman" w:hAnsi="Times New Roman" w:cs="Times New Roman"/>
          <w:sz w:val="24"/>
          <w:szCs w:val="24"/>
        </w:rPr>
        <w:t xml:space="preserve">, </w:t>
      </w:r>
      <w:r w:rsidRPr="004B41C5">
        <w:rPr>
          <w:rFonts w:ascii="Times New Roman" w:hAnsi="Times New Roman" w:cs="Times New Roman"/>
          <w:sz w:val="24"/>
          <w:szCs w:val="24"/>
        </w:rPr>
        <w:t>Evidence that a list of stability-related multiple contingencies and their associated limits were distributed</w:t>
      </w:r>
      <w:r>
        <w:rPr>
          <w:rFonts w:ascii="Times New Roman" w:hAnsi="Times New Roman" w:cs="Times New Roman"/>
          <w:sz w:val="24"/>
          <w:szCs w:val="24"/>
        </w:rPr>
        <w:t xml:space="preserve">, </w:t>
      </w:r>
      <w:r w:rsidRPr="004B41C5">
        <w:rPr>
          <w:rFonts w:ascii="Times New Roman" w:hAnsi="Times New Roman" w:cs="Times New Roman"/>
          <w:sz w:val="24"/>
          <w:szCs w:val="24"/>
        </w:rPr>
        <w:t>Distribution schedules provided by entities that requested SOLs</w:t>
      </w:r>
      <w:r>
        <w:rPr>
          <w:rFonts w:ascii="Times New Roman" w:hAnsi="Times New Roman" w:cs="Times New Roman"/>
          <w:sz w:val="24"/>
          <w:szCs w:val="24"/>
        </w:rPr>
        <w:t>.</w:t>
      </w:r>
    </w:p>
    <w:p w:rsidRPr="008677C6" w:rsidR="00064BB0" w:rsidP="004875D5" w:rsidRDefault="00064BB0" w14:paraId="13102407" w14:textId="77777777">
      <w:pPr>
        <w:spacing w:after="0" w:line="276" w:lineRule="auto"/>
        <w:ind w:left="720"/>
        <w:rPr>
          <w:rFonts w:ascii="Times New Roman" w:hAnsi="Times New Roman" w:eastAsia="Calibri" w:cs="Times New Roman"/>
          <w:sz w:val="24"/>
          <w:szCs w:val="24"/>
        </w:rPr>
      </w:pPr>
    </w:p>
    <w:p w:rsidRPr="008677C6" w:rsidR="00AF4C58" w:rsidP="00EC08E0" w:rsidRDefault="00AF4C58" w14:paraId="5EC5A547" w14:textId="77777777">
      <w:pPr>
        <w:spacing w:after="0" w:line="276" w:lineRule="auto"/>
        <w:rPr>
          <w:rFonts w:ascii="Times New Roman" w:hAnsi="Times New Roman" w:eastAsia="Calibri" w:cs="Times New Roman"/>
          <w:sz w:val="24"/>
          <w:szCs w:val="24"/>
        </w:rPr>
      </w:pPr>
    </w:p>
    <w:p w:rsidRPr="00496D03" w:rsidR="00F07D8E" w:rsidP="00AF4C58" w:rsidRDefault="00EC08E0" w14:paraId="6B3B0C02" w14:textId="425A77ED">
      <w:pPr>
        <w:spacing w:after="0" w:line="276" w:lineRule="auto"/>
        <w:rPr>
          <w:rFonts w:ascii="Times New Roman" w:hAnsi="Times New Roman" w:eastAsia="Calibri" w:cs="Times New Roman"/>
          <w:sz w:val="24"/>
          <w:szCs w:val="24"/>
        </w:rPr>
      </w:pPr>
      <w:r w:rsidRPr="00496D03">
        <w:rPr>
          <w:rFonts w:ascii="Times New Roman" w:hAnsi="Times New Roman" w:eastAsia="Calibri" w:cs="Times New Roman"/>
          <w:sz w:val="24"/>
          <w:szCs w:val="24"/>
        </w:rPr>
        <w:t>The</w:t>
      </w:r>
      <w:r w:rsidR="00B72727">
        <w:rPr>
          <w:rFonts w:ascii="Times New Roman" w:hAnsi="Times New Roman" w:eastAsia="Calibri" w:cs="Times New Roman"/>
          <w:sz w:val="24"/>
          <w:szCs w:val="24"/>
        </w:rPr>
        <w:t>se</w:t>
      </w:r>
      <w:r w:rsidRPr="00496D03" w:rsidR="00AF4C58">
        <w:rPr>
          <w:rFonts w:ascii="Times New Roman" w:hAnsi="Times New Roman" w:eastAsia="Calibri" w:cs="Times New Roman"/>
          <w:sz w:val="24"/>
          <w:szCs w:val="24"/>
        </w:rPr>
        <w:t xml:space="preserve"> last</w:t>
      </w:r>
      <w:r w:rsidRPr="00496D03">
        <w:rPr>
          <w:rFonts w:ascii="Times New Roman" w:hAnsi="Times New Roman" w:eastAsia="Calibri" w:cs="Times New Roman"/>
          <w:sz w:val="24"/>
          <w:szCs w:val="24"/>
        </w:rPr>
        <w:t xml:space="preserve"> three Reliability Standards </w:t>
      </w:r>
      <w:r w:rsidRPr="00B72727" w:rsidR="00B72727">
        <w:rPr>
          <w:rFonts w:ascii="Times New Roman" w:hAnsi="Times New Roman" w:eastAsia="Calibri" w:cs="Times New Roman"/>
          <w:sz w:val="24"/>
          <w:szCs w:val="24"/>
        </w:rPr>
        <w:t>(FAC 010-3, FAC 011-3, FAC 14-</w:t>
      </w:r>
      <w:r w:rsidR="002271E8">
        <w:rPr>
          <w:rFonts w:ascii="Times New Roman" w:hAnsi="Times New Roman" w:eastAsia="Calibri" w:cs="Times New Roman"/>
          <w:sz w:val="24"/>
          <w:szCs w:val="24"/>
        </w:rPr>
        <w:t>2</w:t>
      </w:r>
      <w:r w:rsidRPr="00B72727" w:rsidR="00B72727">
        <w:rPr>
          <w:rFonts w:ascii="Times New Roman" w:hAnsi="Times New Roman" w:eastAsia="Calibri" w:cs="Times New Roman"/>
          <w:sz w:val="24"/>
          <w:szCs w:val="24"/>
        </w:rPr>
        <w:t xml:space="preserve">) </w:t>
      </w:r>
      <w:r w:rsidRPr="00496D03">
        <w:rPr>
          <w:rFonts w:ascii="Times New Roman" w:hAnsi="Times New Roman" w:eastAsia="Calibri" w:cs="Times New Roman"/>
          <w:sz w:val="24"/>
          <w:szCs w:val="24"/>
        </w:rPr>
        <w:t>serve an important reliability purpose in ensuring that SOLs used in the reliable planning and operation of the BPS are determined based on an established methodology.  Moreover, they clearly identify the entities to which they apply and contain clear and enforceable requirements.</w:t>
      </w:r>
    </w:p>
    <w:p w:rsidRPr="00372C59" w:rsidR="002650E2" w:rsidP="009B3AA9" w:rsidRDefault="002650E2" w14:paraId="6DFB2E26" w14:textId="77777777">
      <w:pPr>
        <w:spacing w:after="0" w:line="240" w:lineRule="auto"/>
        <w:rPr>
          <w:rFonts w:ascii="Times New Roman" w:hAnsi="Times New Roman" w:cs="Times New Roman"/>
          <w:sz w:val="24"/>
          <w:szCs w:val="24"/>
        </w:rPr>
      </w:pPr>
    </w:p>
    <w:p w:rsidR="00520D93" w:rsidP="009B3AA9" w:rsidRDefault="00520D93" w14:paraId="45456A1E" w14:textId="3BC68908">
      <w:pPr>
        <w:spacing w:after="0" w:line="240" w:lineRule="auto"/>
        <w:rPr>
          <w:rFonts w:ascii="Times New Roman" w:hAnsi="Times New Roman" w:cs="Times New Roman"/>
          <w:sz w:val="24"/>
          <w:szCs w:val="24"/>
        </w:rPr>
      </w:pPr>
      <w:r w:rsidRPr="00372C59">
        <w:rPr>
          <w:rFonts w:ascii="Times New Roman" w:hAnsi="Times New Roman" w:cs="Times New Roman"/>
          <w:sz w:val="24"/>
          <w:szCs w:val="24"/>
        </w:rPr>
        <w:t xml:space="preserve">In general, information collection and </w:t>
      </w:r>
      <w:r w:rsidR="001F7446">
        <w:rPr>
          <w:rFonts w:ascii="Times New Roman" w:hAnsi="Times New Roman" w:cs="Times New Roman"/>
          <w:sz w:val="24"/>
          <w:szCs w:val="24"/>
        </w:rPr>
        <w:t>evidence</w:t>
      </w:r>
      <w:r w:rsidRPr="00372C59">
        <w:rPr>
          <w:rFonts w:ascii="Times New Roman" w:hAnsi="Times New Roman" w:cs="Times New Roman"/>
          <w:sz w:val="24"/>
          <w:szCs w:val="24"/>
        </w:rPr>
        <w:t xml:space="preserve"> retention requirements related to Reliability Standards are not submitted to, or retained for audit by, FERC.  Rather they are submitted to, or retained for audit by, NERC or the Compliance Enforcement Author</w:t>
      </w:r>
      <w:r w:rsidRPr="004875D5">
        <w:rPr>
          <w:rFonts w:ascii="Times New Roman" w:hAnsi="Times New Roman" w:cs="Times New Roman"/>
          <w:sz w:val="24"/>
          <w:szCs w:val="24"/>
        </w:rPr>
        <w:t>ity, as specified in each individual Reliability Standard. Without collecting this information, reliability of the bulk-power system could become compromised, potentially resulting in outages.</w:t>
      </w:r>
    </w:p>
    <w:p w:rsidR="008677C6" w:rsidP="009B3AA9" w:rsidRDefault="008677C6" w14:paraId="032ACAF3" w14:textId="78185CD7">
      <w:pPr>
        <w:spacing w:after="0" w:line="240" w:lineRule="auto"/>
        <w:rPr>
          <w:rFonts w:ascii="Times New Roman" w:hAnsi="Times New Roman" w:cs="Times New Roman"/>
          <w:sz w:val="24"/>
          <w:szCs w:val="24"/>
        </w:rPr>
      </w:pPr>
    </w:p>
    <w:p w:rsidRPr="006B21C3" w:rsidR="008677C6" w:rsidP="008677C6" w:rsidRDefault="008677C6" w14:paraId="4B5A4B37" w14:textId="77777777">
      <w:pPr>
        <w:spacing w:after="0" w:line="240" w:lineRule="auto"/>
        <w:rPr>
          <w:rFonts w:ascii="Times New Roman" w:hAnsi="Times New Roman" w:cs="Times New Roman"/>
          <w:sz w:val="24"/>
          <w:szCs w:val="24"/>
        </w:rPr>
      </w:pPr>
      <w:r w:rsidRPr="006B21C3">
        <w:rPr>
          <w:rFonts w:ascii="Times New Roman" w:hAnsi="Times New Roman" w:cs="Times New Roman"/>
          <w:sz w:val="24"/>
          <w:szCs w:val="24"/>
        </w:rPr>
        <w:t>The purpose of these Reliability Standards is to ensure:</w:t>
      </w:r>
    </w:p>
    <w:p w:rsidRPr="006B21C3" w:rsidR="008677C6" w:rsidP="008677C6" w:rsidRDefault="008677C6" w14:paraId="62046308" w14:textId="77777777">
      <w:pPr>
        <w:numPr>
          <w:ilvl w:val="0"/>
          <w:numId w:val="11"/>
        </w:numPr>
        <w:spacing w:after="0" w:line="240" w:lineRule="auto"/>
        <w:rPr>
          <w:rFonts w:ascii="Times New Roman" w:hAnsi="Times New Roman" w:cs="Times New Roman"/>
          <w:sz w:val="24"/>
          <w:szCs w:val="24"/>
        </w:rPr>
      </w:pPr>
      <w:r w:rsidRPr="006B21C3">
        <w:rPr>
          <w:rFonts w:ascii="Times New Roman" w:hAnsi="Times New Roman" w:cs="Times New Roman"/>
          <w:sz w:val="24"/>
          <w:szCs w:val="24"/>
        </w:rPr>
        <w:t xml:space="preserve">generators remain in operation during specified voltage and frequency excursions; properly coordinate protective relays and generator voltage regulator controls; and </w:t>
      </w:r>
    </w:p>
    <w:p w:rsidRPr="006B21C3" w:rsidR="008677C6" w:rsidP="008677C6" w:rsidRDefault="008677C6" w14:paraId="5D5812E1" w14:textId="77777777">
      <w:pPr>
        <w:numPr>
          <w:ilvl w:val="0"/>
          <w:numId w:val="11"/>
        </w:numPr>
        <w:spacing w:after="0" w:line="240" w:lineRule="auto"/>
        <w:rPr>
          <w:rFonts w:ascii="Times New Roman" w:hAnsi="Times New Roman" w:cs="Times New Roman"/>
          <w:sz w:val="24"/>
          <w:szCs w:val="24"/>
        </w:rPr>
      </w:pPr>
      <w:r w:rsidRPr="006B21C3">
        <w:rPr>
          <w:rFonts w:ascii="Times New Roman" w:hAnsi="Times New Roman" w:cs="Times New Roman"/>
          <w:sz w:val="24"/>
          <w:szCs w:val="24"/>
        </w:rPr>
        <w:t>generator models accurately reflect the generator’s capabilities and equipment performance</w:t>
      </w:r>
    </w:p>
    <w:p w:rsidRPr="006B21C3" w:rsidR="008677C6" w:rsidP="008677C6" w:rsidRDefault="008677C6" w14:paraId="16D92DF0" w14:textId="77777777">
      <w:pPr>
        <w:numPr>
          <w:ilvl w:val="0"/>
          <w:numId w:val="11"/>
        </w:numPr>
        <w:spacing w:after="0" w:line="240" w:lineRule="auto"/>
        <w:rPr>
          <w:rFonts w:ascii="Times New Roman" w:hAnsi="Times New Roman" w:cs="Times New Roman"/>
          <w:sz w:val="24"/>
          <w:szCs w:val="24"/>
        </w:rPr>
      </w:pPr>
      <w:r w:rsidRPr="006B21C3">
        <w:rPr>
          <w:rFonts w:ascii="Times New Roman" w:hAnsi="Times New Roman" w:cs="Times New Roman"/>
          <w:sz w:val="24"/>
          <w:szCs w:val="24"/>
        </w:rPr>
        <w:t>planners and operators have access to actual and forecast demand and energy data as needed to perform resource adequacy studies</w:t>
      </w:r>
    </w:p>
    <w:p w:rsidRPr="006B21C3" w:rsidR="008677C6" w:rsidP="008677C6" w:rsidRDefault="008677C6" w14:paraId="24C40EC1" w14:textId="77777777">
      <w:pPr>
        <w:numPr>
          <w:ilvl w:val="0"/>
          <w:numId w:val="11"/>
        </w:numPr>
        <w:spacing w:after="0" w:line="240" w:lineRule="auto"/>
        <w:rPr>
          <w:rFonts w:ascii="Times New Roman" w:hAnsi="Times New Roman" w:cs="Times New Roman"/>
          <w:sz w:val="24"/>
          <w:szCs w:val="24"/>
        </w:rPr>
      </w:pPr>
      <w:r w:rsidRPr="006B21C3">
        <w:rPr>
          <w:rFonts w:ascii="Times New Roman" w:hAnsi="Times New Roman" w:cs="Times New Roman"/>
          <w:sz w:val="24"/>
          <w:szCs w:val="24"/>
        </w:rPr>
        <w:t>system-level modeling data and validation requirements necessary for developing planning models and the Interconnection-wide cases that are integral to analyzing the reliability of the Bulk-Power System</w:t>
      </w:r>
    </w:p>
    <w:p w:rsidRPr="004875D5" w:rsidR="008677C6" w:rsidP="009B3AA9" w:rsidRDefault="008677C6" w14:paraId="59AE92EC" w14:textId="77777777">
      <w:pPr>
        <w:spacing w:after="0" w:line="240" w:lineRule="auto"/>
        <w:rPr>
          <w:rFonts w:ascii="Times New Roman" w:hAnsi="Times New Roman" w:cs="Times New Roman"/>
          <w:sz w:val="24"/>
          <w:szCs w:val="24"/>
        </w:rPr>
      </w:pPr>
    </w:p>
    <w:p w:rsidRPr="004875D5" w:rsidR="0095413F" w:rsidP="009B3AA9" w:rsidRDefault="0095413F" w14:paraId="6BC65290" w14:textId="77777777">
      <w:pPr>
        <w:spacing w:after="0" w:line="240" w:lineRule="auto"/>
        <w:rPr>
          <w:rFonts w:ascii="Times New Roman" w:hAnsi="Times New Roman" w:cs="Times New Roman"/>
          <w:sz w:val="24"/>
          <w:szCs w:val="24"/>
        </w:rPr>
      </w:pPr>
    </w:p>
    <w:p w:rsidRPr="004875D5" w:rsidR="00EE07DD" w:rsidP="009B3AA9" w:rsidRDefault="00EE07DD" w14:paraId="501D14E0" w14:textId="2F398FE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DESCRIBE ANY CONSIDERATION OF THE USE OF IMPROVED INFORMATION TECHNOLOGY TO REDUCE THE BURDEN AND TECHNICAL OR LEGAL OBSTACLES TO REDUCING BURDEN</w:t>
      </w:r>
    </w:p>
    <w:p w:rsidRPr="004875D5" w:rsidR="004232B1" w:rsidP="009B3AA9" w:rsidRDefault="004232B1" w14:paraId="06B6BB48" w14:textId="77777777">
      <w:pPr>
        <w:spacing w:after="0" w:line="240" w:lineRule="auto"/>
        <w:rPr>
          <w:rFonts w:ascii="Times New Roman" w:hAnsi="Times New Roman" w:cs="Times New Roman"/>
          <w:sz w:val="24"/>
          <w:szCs w:val="24"/>
        </w:rPr>
      </w:pPr>
    </w:p>
    <w:p w:rsidRPr="004875D5" w:rsidR="00EE07DD" w:rsidP="009B3AA9" w:rsidRDefault="00EE07DD" w14:paraId="2B3B6DD5" w14:textId="15886D12">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 xml:space="preserve">The use of current or improved technology is not covered in Reliability </w:t>
      </w:r>
      <w:r w:rsidRPr="004875D5" w:rsidR="00A72B76">
        <w:rPr>
          <w:rFonts w:ascii="Times New Roman" w:hAnsi="Times New Roman" w:cs="Times New Roman"/>
          <w:sz w:val="24"/>
          <w:szCs w:val="24"/>
        </w:rPr>
        <w:t>Standards and</w:t>
      </w:r>
      <w:r w:rsidRPr="004875D5">
        <w:rPr>
          <w:rFonts w:ascii="Times New Roman" w:hAnsi="Times New Roman" w:cs="Times New Roman"/>
          <w:sz w:val="24"/>
          <w:szCs w:val="24"/>
        </w:rPr>
        <w:t xml:space="preserve"> is therefore left to the discretion of each reporting entity. </w:t>
      </w:r>
      <w:r w:rsidRPr="004875D5" w:rsidR="0095413F">
        <w:rPr>
          <w:rFonts w:ascii="Times New Roman" w:hAnsi="Times New Roman" w:cs="Times New Roman"/>
          <w:sz w:val="24"/>
          <w:szCs w:val="24"/>
        </w:rPr>
        <w:t xml:space="preserve"> </w:t>
      </w:r>
      <w:r w:rsidRPr="004875D5" w:rsidR="00831BE0">
        <w:rPr>
          <w:rFonts w:ascii="Times New Roman" w:hAnsi="Times New Roman" w:cs="Times New Roman"/>
          <w:sz w:val="24"/>
          <w:szCs w:val="24"/>
        </w:rPr>
        <w:t>Commission staff</w:t>
      </w:r>
      <w:r w:rsidRPr="004875D5" w:rsidR="00065504">
        <w:rPr>
          <w:rFonts w:ascii="Times New Roman" w:hAnsi="Times New Roman" w:cs="Times New Roman"/>
          <w:sz w:val="24"/>
          <w:szCs w:val="24"/>
        </w:rPr>
        <w:t xml:space="preserve"> estimates</w:t>
      </w:r>
      <w:r w:rsidRPr="004875D5">
        <w:rPr>
          <w:rFonts w:ascii="Times New Roman" w:hAnsi="Times New Roman" w:cs="Times New Roman"/>
          <w:sz w:val="24"/>
          <w:szCs w:val="24"/>
        </w:rPr>
        <w:t xml:space="preserve">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Pr="004875D5" w:rsidR="004232B1" w:rsidP="009B3AA9" w:rsidRDefault="004232B1" w14:paraId="21F15275" w14:textId="77777777">
      <w:pPr>
        <w:spacing w:after="0" w:line="240" w:lineRule="auto"/>
        <w:rPr>
          <w:rFonts w:ascii="Times New Roman" w:hAnsi="Times New Roman" w:cs="Times New Roman"/>
          <w:b/>
          <w:sz w:val="24"/>
          <w:szCs w:val="24"/>
        </w:rPr>
      </w:pPr>
    </w:p>
    <w:p w:rsidRPr="004875D5" w:rsidR="00EE07DD" w:rsidP="009B3AA9" w:rsidRDefault="00EE07DD" w14:paraId="41F51052"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DESCRIBE EFFORTS TO IDENTIFY DUPLICATION AND SHOW SPECIFICALLY WHY ANY SIMILAR INFORMATION ALREADY AVAILABLE CANNOT BE USED OR MODIFIED FOR USE FOR THE PURPOSE(S) DESCRIBED IN INSTRUCTION NO. 2</w:t>
      </w:r>
    </w:p>
    <w:p w:rsidRPr="004875D5" w:rsidR="00EE07DD" w:rsidP="009B3AA9" w:rsidRDefault="00EE07DD" w14:paraId="717FEE01" w14:textId="77777777">
      <w:pPr>
        <w:spacing w:after="0" w:line="240" w:lineRule="auto"/>
        <w:rPr>
          <w:rFonts w:ascii="Times New Roman" w:hAnsi="Times New Roman" w:cs="Times New Roman"/>
          <w:sz w:val="24"/>
          <w:szCs w:val="24"/>
        </w:rPr>
      </w:pPr>
    </w:p>
    <w:p w:rsidRPr="004875D5" w:rsidR="00EE07DD" w:rsidP="009B3AA9" w:rsidRDefault="003009CB" w14:paraId="53DAA2DC" w14:textId="67F03B33">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This </w:t>
      </w:r>
      <w:r w:rsidRPr="004875D5" w:rsidR="00EE07DD">
        <w:rPr>
          <w:rFonts w:ascii="Times New Roman" w:hAnsi="Times New Roman" w:cs="Times New Roman"/>
          <w:sz w:val="24"/>
          <w:szCs w:val="24"/>
        </w:rPr>
        <w:t>information is not available elsewhere.  The standard-developing group (the ERO and various stakeholders) think these areas need to be addressed and documented as indicated in the NERC Petition.</w:t>
      </w:r>
    </w:p>
    <w:p w:rsidRPr="004875D5" w:rsidR="00EE07DD" w:rsidP="009B3AA9" w:rsidRDefault="00EE07DD" w14:paraId="05A6AD90" w14:textId="77777777">
      <w:pPr>
        <w:spacing w:after="0" w:line="240" w:lineRule="auto"/>
        <w:rPr>
          <w:rFonts w:ascii="Times New Roman" w:hAnsi="Times New Roman" w:cs="Times New Roman"/>
          <w:sz w:val="24"/>
          <w:szCs w:val="24"/>
        </w:rPr>
      </w:pPr>
    </w:p>
    <w:p w:rsidRPr="004875D5" w:rsidR="00EE07DD" w:rsidP="009B3AA9" w:rsidRDefault="00EE07DD" w14:paraId="665D2668"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METHODS USED TO MINIMIZE THE BURDEN IN COLLECTION OF INFORMATION INVOLVING SMALL ENTITIES</w:t>
      </w:r>
    </w:p>
    <w:p w:rsidRPr="004875D5" w:rsidR="00EE07DD" w:rsidP="009B3AA9" w:rsidRDefault="00EE07DD" w14:paraId="1E974D5C" w14:textId="77777777">
      <w:pPr>
        <w:spacing w:after="0" w:line="240" w:lineRule="auto"/>
        <w:rPr>
          <w:rFonts w:ascii="Times New Roman" w:hAnsi="Times New Roman" w:cs="Times New Roman"/>
          <w:sz w:val="24"/>
          <w:szCs w:val="24"/>
        </w:rPr>
      </w:pPr>
    </w:p>
    <w:p w:rsidRPr="004875D5" w:rsidR="00EE07DD" w:rsidP="009B3AA9" w:rsidRDefault="00EE07DD" w14:paraId="2D7F7347" w14:textId="77777777">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rsidRPr="004875D5" w:rsidR="00EE07DD" w:rsidP="009B3AA9" w:rsidRDefault="00EE07DD" w14:paraId="0D762EC2" w14:textId="77777777">
      <w:pPr>
        <w:spacing w:after="0" w:line="240" w:lineRule="auto"/>
        <w:rPr>
          <w:rFonts w:ascii="Times New Roman" w:hAnsi="Times New Roman" w:cs="Times New Roman"/>
          <w:sz w:val="24"/>
          <w:szCs w:val="24"/>
        </w:rPr>
      </w:pPr>
    </w:p>
    <w:p w:rsidRPr="004875D5" w:rsidR="00EE07DD" w:rsidP="009B3AA9" w:rsidRDefault="00EE07DD" w14:paraId="09EC724A" w14:textId="061C002D">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Detailed information regarding these options is available in NERC’s Rules of Procedure at sections 507 and 508.</w:t>
      </w:r>
      <w:r w:rsidRPr="004875D5">
        <w:rPr>
          <w:rFonts w:ascii="Times New Roman" w:hAnsi="Times New Roman" w:cs="Times New Roman"/>
          <w:sz w:val="24"/>
          <w:szCs w:val="24"/>
          <w:vertAlign w:val="superscript"/>
        </w:rPr>
        <w:footnoteReference w:id="10"/>
      </w:r>
      <w:r w:rsidRPr="004875D5">
        <w:rPr>
          <w:rFonts w:ascii="Times New Roman" w:hAnsi="Times New Roman" w:cs="Times New Roman"/>
          <w:sz w:val="24"/>
          <w:szCs w:val="24"/>
          <w:vertAlign w:val="superscript"/>
        </w:rPr>
        <w:t xml:space="preserve"> </w:t>
      </w:r>
    </w:p>
    <w:p w:rsidRPr="004875D5" w:rsidR="00EE07DD" w:rsidP="009B3AA9" w:rsidRDefault="00EE07DD" w14:paraId="4EE941FF" w14:textId="77777777">
      <w:pPr>
        <w:spacing w:after="0" w:line="240" w:lineRule="auto"/>
        <w:rPr>
          <w:rFonts w:ascii="Times New Roman" w:hAnsi="Times New Roman" w:cs="Times New Roman"/>
          <w:sz w:val="24"/>
          <w:szCs w:val="24"/>
        </w:rPr>
      </w:pPr>
    </w:p>
    <w:p w:rsidRPr="004875D5" w:rsidR="00EE07DD" w:rsidP="009B3AA9" w:rsidRDefault="00EE07DD" w14:paraId="6595A78E" w14:textId="0887031D">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CONSEQUENCE TO FEDERAL PROGRAM IF COLLECTION WERE CONDUCTED LESS FREQUENTLY</w:t>
      </w:r>
    </w:p>
    <w:p w:rsidRPr="004875D5" w:rsidR="003D19E8" w:rsidP="003D19E8" w:rsidRDefault="003D19E8" w14:paraId="0B915824" w14:textId="77777777">
      <w:pPr>
        <w:spacing w:after="0" w:line="240" w:lineRule="auto"/>
        <w:rPr>
          <w:rFonts w:ascii="Times New Roman" w:hAnsi="Times New Roman" w:cs="Times New Roman"/>
          <w:bCs/>
          <w:sz w:val="24"/>
          <w:szCs w:val="24"/>
        </w:rPr>
      </w:pPr>
    </w:p>
    <w:p w:rsidRPr="004875D5" w:rsidR="002650E2" w:rsidP="009B3AA9" w:rsidRDefault="003D19E8" w14:paraId="3C80FFB3" w14:textId="77777777">
      <w:pPr>
        <w:spacing w:after="0" w:line="240" w:lineRule="auto"/>
        <w:rPr>
          <w:rFonts w:ascii="Times New Roman" w:hAnsi="Times New Roman" w:cs="Times New Roman"/>
          <w:bCs/>
          <w:sz w:val="24"/>
          <w:szCs w:val="24"/>
        </w:rPr>
      </w:pPr>
      <w:r w:rsidRPr="004875D5">
        <w:rPr>
          <w:rFonts w:ascii="Times New Roman" w:hAnsi="Times New Roman" w:cs="Times New Roman"/>
          <w:bCs/>
          <w:sz w:val="24"/>
          <w:szCs w:val="24"/>
        </w:rPr>
        <w:t xml:space="preserve">FAC-001-3 imposes the obligation to document, maintain, and publish interconnection requirements. Failure to properly maintain the interconnection requirement documents and make them available to entities upon request could adversely impact reliable planning and operation of the Bulk Electric System because data needed to perform studies to determine the impact of interconnecting facilities on existing interconnections as well as on affected systems may not be provided. Further, lack of these documents could result in inaccurate and uncoordinated interconnection studies, leading to possible instances of instability, uncontrolled separation and cascading failures. The requirements include retention periods that identify the period of time an entity is required to retain specific evidence to demonstrate compliance. </w:t>
      </w:r>
    </w:p>
    <w:p w:rsidRPr="004875D5" w:rsidR="002650E2" w:rsidP="009B3AA9" w:rsidRDefault="002650E2" w14:paraId="6A2ECBE0" w14:textId="77777777">
      <w:pPr>
        <w:spacing w:after="0" w:line="240" w:lineRule="auto"/>
        <w:rPr>
          <w:rFonts w:ascii="Times New Roman" w:hAnsi="Times New Roman" w:cs="Times New Roman"/>
          <w:bCs/>
          <w:sz w:val="24"/>
          <w:szCs w:val="24"/>
        </w:rPr>
      </w:pPr>
    </w:p>
    <w:p w:rsidRPr="004875D5" w:rsidR="00EE07DD" w:rsidP="009B3AA9" w:rsidRDefault="003D19E8" w14:paraId="7CE9B17C" w14:textId="6D6F842E">
      <w:pPr>
        <w:spacing w:after="0" w:line="240" w:lineRule="auto"/>
        <w:rPr>
          <w:rFonts w:ascii="Times New Roman" w:hAnsi="Times New Roman" w:cs="Times New Roman"/>
          <w:bCs/>
          <w:sz w:val="24"/>
          <w:szCs w:val="24"/>
        </w:rPr>
      </w:pPr>
      <w:r w:rsidRPr="004875D5">
        <w:rPr>
          <w:rFonts w:ascii="Times New Roman" w:hAnsi="Times New Roman" w:cs="Times New Roman"/>
          <w:bCs/>
          <w:sz w:val="24"/>
          <w:szCs w:val="24"/>
        </w:rPr>
        <w:t xml:space="preserve">For Reliability Standard FAC-002-3, all applicable entities need to cooperate in sharing data so valid and complete studies can be performed to accurately assess the reliability impact of interconnecting new or materially modified facilities. Failing to conduct studies of these interconnecting facilities could lead to instances of violation with other national and regional standards. Also, actual system performance under normal and emergency conditions may not match the results of steady-state, short circuit and dynamic studies, which could impact Bulk Electric System reliability and lead to instances of instability, uncontrolled separation and cascading failures. These requirements include retention periods that identify the period of time an entity is required to retain specific evidence to demonstrate compliance. If a responsible entity is found non-compliant, it shall keep information related to the non-compliance until mitigation is complete and approved. </w:t>
      </w:r>
    </w:p>
    <w:p w:rsidRPr="00FF09E1" w:rsidR="002650E2" w:rsidP="00EC08E0" w:rsidRDefault="002650E2" w14:paraId="3F7E857F" w14:textId="77777777">
      <w:pPr>
        <w:spacing w:after="0" w:line="276" w:lineRule="auto"/>
        <w:rPr>
          <w:rFonts w:ascii="Times New Roman" w:hAnsi="Times New Roman" w:eastAsia="Calibri" w:cs="Times New Roman"/>
          <w:sz w:val="24"/>
          <w:szCs w:val="24"/>
        </w:rPr>
      </w:pPr>
    </w:p>
    <w:p w:rsidRPr="005D515C" w:rsidR="00EC08E0" w:rsidP="00EC08E0" w:rsidRDefault="00EC08E0" w14:paraId="19C61703" w14:textId="20503142">
      <w:pPr>
        <w:spacing w:after="0" w:line="276" w:lineRule="auto"/>
        <w:rPr>
          <w:rFonts w:ascii="Times New Roman" w:hAnsi="Times New Roman" w:eastAsia="Calibri" w:cs="Times New Roman"/>
          <w:sz w:val="24"/>
          <w:szCs w:val="24"/>
        </w:rPr>
      </w:pPr>
      <w:r w:rsidRPr="00AA1A60">
        <w:rPr>
          <w:rFonts w:ascii="Times New Roman" w:hAnsi="Times New Roman" w:eastAsia="Calibri" w:cs="Times New Roman"/>
          <w:sz w:val="24"/>
          <w:szCs w:val="24"/>
        </w:rPr>
        <w:t>As for FAC10-3, FAC11-3, and FAC14-2, the establishment of how to identify SOLs and use it within the planning and operating</w:t>
      </w:r>
      <w:r w:rsidRPr="003A4EBE">
        <w:rPr>
          <w:rFonts w:ascii="Times New Roman" w:hAnsi="Times New Roman" w:eastAsia="Calibri" w:cs="Times New Roman"/>
          <w:sz w:val="24"/>
          <w:szCs w:val="24"/>
        </w:rPr>
        <w:t xml:space="preserve"> horizons is critical to the reliability of the BPS.  Failure to keep accurate data could cause contingency cases to be out of date and problem areas not being properly identified</w:t>
      </w:r>
      <w:r w:rsidRPr="00980E4B">
        <w:rPr>
          <w:rFonts w:ascii="Times New Roman" w:hAnsi="Times New Roman" w:eastAsia="Calibri" w:cs="Times New Roman"/>
          <w:sz w:val="24"/>
          <w:szCs w:val="24"/>
        </w:rPr>
        <w:t>.</w:t>
      </w:r>
    </w:p>
    <w:p w:rsidRPr="004875D5" w:rsidR="001524CB" w:rsidP="009B3AA9" w:rsidRDefault="001524CB" w14:paraId="6B8E0C04" w14:textId="77777777">
      <w:pPr>
        <w:spacing w:after="0" w:line="240" w:lineRule="auto"/>
        <w:rPr>
          <w:rFonts w:ascii="Times New Roman" w:hAnsi="Times New Roman" w:cs="Times New Roman"/>
          <w:sz w:val="24"/>
          <w:szCs w:val="24"/>
        </w:rPr>
      </w:pPr>
    </w:p>
    <w:p w:rsidRPr="004875D5" w:rsidR="00EE07DD" w:rsidP="009B3AA9" w:rsidRDefault="00EE07DD" w14:paraId="2C4AE420"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EXPLAIN ANY SPECIAL CIRCUMSTANCES RELATING TO THE INFORMATION COLLECTION</w:t>
      </w:r>
    </w:p>
    <w:p w:rsidRPr="004875D5" w:rsidR="00EE07DD" w:rsidP="009B3AA9" w:rsidRDefault="00EE07DD" w14:paraId="501E5FB0" w14:textId="77777777">
      <w:pPr>
        <w:spacing w:after="0" w:line="240" w:lineRule="auto"/>
        <w:rPr>
          <w:rFonts w:ascii="Times New Roman" w:hAnsi="Times New Roman" w:cs="Times New Roman"/>
          <w:sz w:val="24"/>
          <w:szCs w:val="24"/>
        </w:rPr>
      </w:pPr>
    </w:p>
    <w:p w:rsidRPr="004875D5" w:rsidR="00EE07DD" w:rsidP="009B3AA9" w:rsidRDefault="00EE07DD" w14:paraId="3849C864" w14:textId="06ACF1FB">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There are no special circumstances as described in 5 CFR 1320.5(d)(2).</w:t>
      </w:r>
    </w:p>
    <w:p w:rsidRPr="004875D5" w:rsidR="00EE07DD" w:rsidP="009B3AA9" w:rsidRDefault="00EE07DD" w14:paraId="01997BEC" w14:textId="77777777">
      <w:pPr>
        <w:spacing w:after="0" w:line="240" w:lineRule="auto"/>
        <w:rPr>
          <w:rFonts w:ascii="Times New Roman" w:hAnsi="Times New Roman" w:cs="Times New Roman"/>
          <w:sz w:val="24"/>
          <w:szCs w:val="24"/>
        </w:rPr>
      </w:pPr>
    </w:p>
    <w:p w:rsidRPr="004875D5" w:rsidR="00F46F6D" w:rsidP="009B3AA9" w:rsidRDefault="00EE07DD" w14:paraId="673DEFF8" w14:textId="0BF141E2">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DESCRIBE EFFORTS TO CONSULT OUTSIDE THE AGENCY: SUMMARIZE PUBLIC COMMENTS AND THE AGENCY’S RESPONSE</w:t>
      </w:r>
      <w:r w:rsidRPr="004875D5" w:rsidR="003009CB">
        <w:rPr>
          <w:rFonts w:ascii="Times New Roman" w:hAnsi="Times New Roman" w:cs="Times New Roman"/>
          <w:b/>
          <w:sz w:val="24"/>
          <w:szCs w:val="24"/>
        </w:rPr>
        <w:t xml:space="preserve"> TO THESE COMMENTS</w:t>
      </w:r>
    </w:p>
    <w:p w:rsidRPr="004875D5" w:rsidR="00FE33E2" w:rsidP="00FE33E2" w:rsidRDefault="00FE33E2" w14:paraId="4179303A" w14:textId="77777777">
      <w:pPr>
        <w:spacing w:after="0" w:line="240" w:lineRule="auto"/>
        <w:ind w:left="360"/>
        <w:rPr>
          <w:rFonts w:ascii="Times New Roman" w:hAnsi="Times New Roman" w:cs="Times New Roman"/>
          <w:b/>
          <w:sz w:val="24"/>
          <w:szCs w:val="24"/>
        </w:rPr>
      </w:pPr>
    </w:p>
    <w:p w:rsidRPr="002E30AE" w:rsidR="00F46F6D" w:rsidP="009B3AA9" w:rsidRDefault="00F46F6D" w14:paraId="5BB6BF21" w14:textId="613BF297">
      <w:pPr>
        <w:spacing w:after="0" w:line="240" w:lineRule="auto"/>
        <w:rPr>
          <w:rFonts w:ascii="Times New Roman" w:hAnsi="Times New Roman" w:cs="Times New Roman"/>
          <w:bCs/>
          <w:sz w:val="24"/>
          <w:szCs w:val="24"/>
        </w:rPr>
      </w:pPr>
      <w:r w:rsidRPr="004875D5">
        <w:rPr>
          <w:rFonts w:ascii="Times New Roman" w:hAnsi="Times New Roman" w:cs="Times New Roman"/>
          <w:bCs/>
          <w:sz w:val="24"/>
          <w:szCs w:val="24"/>
        </w:rPr>
        <w:t>The ERO process to develop Reliability Standards is a collaborative process involving the ERO, Regional Entities and other stakeholders developing and reviewing drafts, and providing comments, vetting and voting (possibly multiple rounds) on the standards, with the final proposed standard</w:t>
      </w:r>
      <w:r w:rsidRPr="004875D5" w:rsidR="00BD643A">
        <w:rPr>
          <w:rFonts w:ascii="Times New Roman" w:hAnsi="Times New Roman" w:cs="Times New Roman"/>
          <w:bCs/>
          <w:sz w:val="24"/>
          <w:szCs w:val="24"/>
        </w:rPr>
        <w:t>(s)</w:t>
      </w:r>
      <w:r w:rsidRPr="004875D5">
        <w:rPr>
          <w:rFonts w:ascii="Times New Roman" w:hAnsi="Times New Roman" w:cs="Times New Roman"/>
          <w:bCs/>
          <w:sz w:val="24"/>
          <w:szCs w:val="24"/>
        </w:rPr>
        <w:t xml:space="preserve"> submitted to the FERC for review and approval.</w:t>
      </w:r>
      <w:r w:rsidRPr="004875D5">
        <w:rPr>
          <w:rFonts w:ascii="Times New Roman" w:hAnsi="Times New Roman" w:cs="Times New Roman"/>
          <w:b/>
          <w:bCs/>
          <w:sz w:val="24"/>
          <w:szCs w:val="24"/>
          <w:vertAlign w:val="superscript"/>
        </w:rPr>
        <w:footnoteReference w:id="11"/>
      </w:r>
      <w:r w:rsidRPr="004875D5">
        <w:rPr>
          <w:rFonts w:ascii="Times New Roman" w:hAnsi="Times New Roman" w:cs="Times New Roman"/>
          <w:bCs/>
          <w:sz w:val="24"/>
          <w:szCs w:val="24"/>
        </w:rPr>
        <w:t xml:space="preserve">  </w:t>
      </w:r>
      <w:r w:rsidRPr="004875D5" w:rsidR="00BD643A">
        <w:rPr>
          <w:rFonts w:ascii="Times New Roman" w:hAnsi="Times New Roman" w:cs="Times New Roman"/>
          <w:bCs/>
          <w:sz w:val="24"/>
          <w:szCs w:val="24"/>
        </w:rPr>
        <w:t>In addition, each FERC Paperwork Reduction Act (PRA) notice is published in the Federal Register thereby providing public utilities and licensees, state commissions, Federal agencies, and other interested parties an opportunity to submit data, views, comments</w:t>
      </w:r>
      <w:r w:rsidRPr="002E30AE" w:rsidR="00BD643A">
        <w:rPr>
          <w:rFonts w:ascii="Times New Roman" w:hAnsi="Times New Roman" w:cs="Times New Roman"/>
          <w:bCs/>
          <w:sz w:val="24"/>
          <w:szCs w:val="24"/>
        </w:rPr>
        <w:t xml:space="preserve"> or suggestions concerning the collections of data.</w:t>
      </w:r>
    </w:p>
    <w:p w:rsidRPr="002E30AE" w:rsidR="00BD643A" w:rsidP="009B3AA9" w:rsidRDefault="00BD643A" w14:paraId="1B96BC2D" w14:textId="77777777">
      <w:pPr>
        <w:spacing w:after="0" w:line="240" w:lineRule="auto"/>
        <w:rPr>
          <w:rFonts w:ascii="Times New Roman" w:hAnsi="Times New Roman" w:cs="Times New Roman"/>
          <w:bCs/>
          <w:sz w:val="24"/>
          <w:szCs w:val="24"/>
        </w:rPr>
      </w:pPr>
    </w:p>
    <w:p w:rsidRPr="002E30AE" w:rsidR="0016425D" w:rsidP="009B3AA9" w:rsidRDefault="00532783" w14:paraId="7D2A25B3" w14:textId="06B734B8">
      <w:pPr>
        <w:spacing w:after="0" w:line="240" w:lineRule="auto"/>
        <w:rPr>
          <w:rFonts w:ascii="Times New Roman" w:hAnsi="Times New Roman" w:cs="Times New Roman"/>
          <w:bCs/>
          <w:sz w:val="24"/>
          <w:szCs w:val="24"/>
        </w:rPr>
      </w:pPr>
      <w:r w:rsidRPr="002E30AE">
        <w:rPr>
          <w:rFonts w:ascii="Times New Roman" w:hAnsi="Times New Roman" w:cs="Times New Roman"/>
          <w:bCs/>
          <w:sz w:val="24"/>
          <w:szCs w:val="24"/>
        </w:rPr>
        <w:t xml:space="preserve">This supporting </w:t>
      </w:r>
      <w:r w:rsidR="00850607">
        <w:rPr>
          <w:rFonts w:ascii="Times New Roman" w:hAnsi="Times New Roman" w:cs="Times New Roman"/>
          <w:bCs/>
          <w:sz w:val="24"/>
          <w:szCs w:val="24"/>
        </w:rPr>
        <w:t>s</w:t>
      </w:r>
      <w:r w:rsidRPr="002E30AE" w:rsidR="00850607">
        <w:rPr>
          <w:rFonts w:ascii="Times New Roman" w:hAnsi="Times New Roman" w:cs="Times New Roman"/>
          <w:bCs/>
          <w:sz w:val="24"/>
          <w:szCs w:val="24"/>
        </w:rPr>
        <w:t xml:space="preserve">tatement </w:t>
      </w:r>
      <w:r w:rsidRPr="002E30AE">
        <w:rPr>
          <w:rFonts w:ascii="Times New Roman" w:hAnsi="Times New Roman" w:cs="Times New Roman"/>
          <w:bCs/>
          <w:sz w:val="24"/>
          <w:szCs w:val="24"/>
        </w:rPr>
        <w:t xml:space="preserve">is set out to reflect the changes presented in </w:t>
      </w:r>
      <w:r w:rsidRPr="002E30AE" w:rsidR="0016425D">
        <w:rPr>
          <w:rFonts w:ascii="Times New Roman" w:hAnsi="Times New Roman" w:cs="Times New Roman"/>
          <w:bCs/>
          <w:sz w:val="24"/>
          <w:szCs w:val="24"/>
        </w:rPr>
        <w:t xml:space="preserve">Docket Nos. </w:t>
      </w:r>
      <w:r w:rsidRPr="002E30AE">
        <w:rPr>
          <w:rFonts w:ascii="Times New Roman" w:hAnsi="Times New Roman" w:cs="Times New Roman"/>
          <w:bCs/>
          <w:sz w:val="24"/>
          <w:szCs w:val="24"/>
        </w:rPr>
        <w:t xml:space="preserve">RD20-4 and </w:t>
      </w:r>
      <w:r w:rsidRPr="002E30AE" w:rsidR="000B20B6">
        <w:rPr>
          <w:rFonts w:ascii="Times New Roman" w:hAnsi="Times New Roman" w:cs="Times New Roman"/>
          <w:bCs/>
          <w:sz w:val="24"/>
          <w:szCs w:val="24"/>
        </w:rPr>
        <w:t xml:space="preserve">IC21-3 </w:t>
      </w:r>
      <w:r w:rsidR="00850607">
        <w:rPr>
          <w:rFonts w:ascii="Times New Roman" w:hAnsi="Times New Roman" w:cs="Times New Roman"/>
          <w:bCs/>
          <w:sz w:val="24"/>
          <w:szCs w:val="24"/>
        </w:rPr>
        <w:t xml:space="preserve">for the </w:t>
      </w:r>
      <w:r w:rsidRPr="002E30AE">
        <w:rPr>
          <w:rFonts w:ascii="Times New Roman" w:hAnsi="Times New Roman" w:cs="Times New Roman"/>
          <w:bCs/>
          <w:sz w:val="24"/>
          <w:szCs w:val="24"/>
        </w:rPr>
        <w:t xml:space="preserve">renewal of 725D. </w:t>
      </w:r>
    </w:p>
    <w:p w:rsidRPr="002E30AE" w:rsidR="0016425D" w:rsidP="0016425D" w:rsidRDefault="0016425D" w14:paraId="7A2B1770" w14:textId="2B8C0AE9">
      <w:pPr>
        <w:pStyle w:val="ListParagraph"/>
        <w:numPr>
          <w:ilvl w:val="0"/>
          <w:numId w:val="19"/>
        </w:numPr>
        <w:spacing w:after="0" w:line="240" w:lineRule="auto"/>
        <w:rPr>
          <w:rFonts w:ascii="Times New Roman" w:hAnsi="Times New Roman" w:cs="Times New Roman"/>
          <w:bCs/>
          <w:sz w:val="24"/>
          <w:szCs w:val="24"/>
        </w:rPr>
      </w:pPr>
      <w:r w:rsidRPr="002E30AE">
        <w:rPr>
          <w:rFonts w:ascii="Times New Roman" w:hAnsi="Times New Roman" w:cs="Times New Roman"/>
          <w:bCs/>
          <w:sz w:val="24"/>
          <w:szCs w:val="24"/>
        </w:rPr>
        <w:t xml:space="preserve">Docket No. RD20-4.  </w:t>
      </w:r>
      <w:r w:rsidRPr="002E30AE" w:rsidR="00D21DD1">
        <w:rPr>
          <w:rFonts w:ascii="Times New Roman" w:hAnsi="Times New Roman" w:cs="Times New Roman"/>
          <w:bCs/>
          <w:sz w:val="24"/>
          <w:szCs w:val="24"/>
        </w:rPr>
        <w:t xml:space="preserve">The </w:t>
      </w:r>
      <w:r w:rsidRPr="002E30AE" w:rsidR="00FE6290">
        <w:rPr>
          <w:rFonts w:ascii="Times New Roman" w:hAnsi="Times New Roman" w:cs="Times New Roman"/>
          <w:bCs/>
          <w:sz w:val="24"/>
          <w:szCs w:val="24"/>
        </w:rPr>
        <w:t>60-day</w:t>
      </w:r>
      <w:r w:rsidRPr="002E30AE" w:rsidR="00441154">
        <w:rPr>
          <w:rStyle w:val="FootnoteReference"/>
          <w:rFonts w:ascii="Times New Roman" w:hAnsi="Times New Roman" w:cs="Times New Roman"/>
          <w:bCs/>
          <w:sz w:val="24"/>
          <w:szCs w:val="24"/>
        </w:rPr>
        <w:footnoteReference w:id="12"/>
      </w:r>
      <w:r w:rsidRPr="002E30AE" w:rsidR="00FE6290">
        <w:rPr>
          <w:rFonts w:ascii="Times New Roman" w:hAnsi="Times New Roman" w:cs="Times New Roman"/>
          <w:bCs/>
          <w:sz w:val="24"/>
          <w:szCs w:val="24"/>
        </w:rPr>
        <w:t xml:space="preserve"> and 30-day</w:t>
      </w:r>
      <w:r w:rsidRPr="002E30AE" w:rsidR="00441154">
        <w:rPr>
          <w:rStyle w:val="FootnoteReference"/>
          <w:rFonts w:ascii="Times New Roman" w:hAnsi="Times New Roman" w:cs="Times New Roman"/>
          <w:bCs/>
          <w:sz w:val="24"/>
          <w:szCs w:val="24"/>
        </w:rPr>
        <w:footnoteReference w:id="13"/>
      </w:r>
      <w:r w:rsidRPr="002E30AE" w:rsidR="00FE6290">
        <w:rPr>
          <w:rFonts w:ascii="Times New Roman" w:hAnsi="Times New Roman" w:cs="Times New Roman"/>
          <w:bCs/>
          <w:sz w:val="24"/>
          <w:szCs w:val="24"/>
        </w:rPr>
        <w:t xml:space="preserve"> notices</w:t>
      </w:r>
      <w:r w:rsidRPr="002E30AE" w:rsidR="000B20B6">
        <w:rPr>
          <w:rFonts w:ascii="Times New Roman" w:hAnsi="Times New Roman" w:cs="Times New Roman"/>
          <w:bCs/>
          <w:sz w:val="24"/>
          <w:szCs w:val="24"/>
        </w:rPr>
        <w:t xml:space="preserve"> </w:t>
      </w:r>
      <w:r w:rsidRPr="002E30AE" w:rsidR="00FE6290">
        <w:rPr>
          <w:rFonts w:ascii="Times New Roman" w:hAnsi="Times New Roman" w:cs="Times New Roman"/>
          <w:bCs/>
          <w:sz w:val="24"/>
          <w:szCs w:val="24"/>
        </w:rPr>
        <w:t xml:space="preserve">were published in the Federal Register </w:t>
      </w:r>
      <w:r w:rsidRPr="002E30AE" w:rsidR="00F46F6D">
        <w:rPr>
          <w:rFonts w:ascii="Times New Roman" w:hAnsi="Times New Roman" w:cs="Times New Roman"/>
          <w:bCs/>
          <w:sz w:val="24"/>
          <w:szCs w:val="24"/>
        </w:rPr>
        <w:t>to give the public and other entities an opportunity to comment.</w:t>
      </w:r>
      <w:r w:rsidRPr="002E30AE" w:rsidR="00FE6290">
        <w:rPr>
          <w:rFonts w:ascii="Times New Roman" w:hAnsi="Times New Roman" w:cs="Times New Roman"/>
          <w:bCs/>
          <w:sz w:val="24"/>
          <w:szCs w:val="24"/>
        </w:rPr>
        <w:t xml:space="preserve">  N</w:t>
      </w:r>
      <w:r w:rsidRPr="002E30AE" w:rsidR="00441154">
        <w:rPr>
          <w:rFonts w:ascii="Times New Roman" w:hAnsi="Times New Roman" w:cs="Times New Roman"/>
          <w:bCs/>
          <w:sz w:val="24"/>
          <w:szCs w:val="24"/>
        </w:rPr>
        <w:t>o</w:t>
      </w:r>
      <w:r w:rsidRPr="002E30AE" w:rsidR="00FE6290">
        <w:rPr>
          <w:rFonts w:ascii="Times New Roman" w:hAnsi="Times New Roman" w:cs="Times New Roman"/>
          <w:bCs/>
          <w:sz w:val="24"/>
          <w:szCs w:val="24"/>
        </w:rPr>
        <w:t xml:space="preserve"> comments were received from the 60-day notice </w:t>
      </w:r>
      <w:r w:rsidRPr="002E30AE" w:rsidR="000B20B6">
        <w:rPr>
          <w:rFonts w:ascii="Times New Roman" w:hAnsi="Times New Roman" w:cs="Times New Roman"/>
          <w:bCs/>
          <w:sz w:val="24"/>
          <w:szCs w:val="24"/>
        </w:rPr>
        <w:t>or 30-day notice.</w:t>
      </w:r>
      <w:r w:rsidRPr="002E30AE" w:rsidR="00A15BC5">
        <w:rPr>
          <w:rFonts w:ascii="Times New Roman" w:hAnsi="Times New Roman" w:cs="Times New Roman"/>
          <w:bCs/>
          <w:sz w:val="24"/>
          <w:szCs w:val="24"/>
        </w:rPr>
        <w:t xml:space="preserve">  </w:t>
      </w:r>
    </w:p>
    <w:p w:rsidRPr="002E30AE" w:rsidR="003009CB" w:rsidP="002E30AE" w:rsidRDefault="00A15BC5" w14:paraId="0CCF3EA4" w14:textId="37294BA7">
      <w:pPr>
        <w:pStyle w:val="ListParagraph"/>
        <w:numPr>
          <w:ilvl w:val="0"/>
          <w:numId w:val="19"/>
        </w:numPr>
        <w:spacing w:after="0" w:line="240" w:lineRule="auto"/>
        <w:rPr>
          <w:rFonts w:ascii="Times New Roman" w:hAnsi="Times New Roman" w:cs="Times New Roman"/>
          <w:bCs/>
          <w:sz w:val="24"/>
          <w:szCs w:val="24"/>
        </w:rPr>
      </w:pPr>
      <w:r w:rsidRPr="002E30AE">
        <w:rPr>
          <w:rFonts w:ascii="Times New Roman" w:hAnsi="Times New Roman" w:cs="Times New Roman"/>
          <w:bCs/>
          <w:sz w:val="24"/>
          <w:szCs w:val="24"/>
        </w:rPr>
        <w:t>Docket No. IC21-3</w:t>
      </w:r>
      <w:r w:rsidRPr="002E30AE" w:rsidR="0016425D">
        <w:rPr>
          <w:rFonts w:ascii="Times New Roman" w:hAnsi="Times New Roman" w:cs="Times New Roman"/>
          <w:bCs/>
          <w:sz w:val="24"/>
          <w:szCs w:val="24"/>
        </w:rPr>
        <w:t>.</w:t>
      </w:r>
      <w:r w:rsidRPr="002E30AE">
        <w:rPr>
          <w:rFonts w:ascii="Times New Roman" w:hAnsi="Times New Roman" w:cs="Times New Roman"/>
          <w:bCs/>
          <w:sz w:val="24"/>
          <w:szCs w:val="24"/>
        </w:rPr>
        <w:t xml:space="preserve"> </w:t>
      </w:r>
      <w:r w:rsidR="00D624CA">
        <w:rPr>
          <w:rFonts w:ascii="Times New Roman" w:hAnsi="Times New Roman" w:cs="Times New Roman"/>
          <w:bCs/>
          <w:sz w:val="24"/>
          <w:szCs w:val="24"/>
        </w:rPr>
        <w:t xml:space="preserve"> The </w:t>
      </w:r>
      <w:r w:rsidRPr="002E30AE">
        <w:rPr>
          <w:rFonts w:ascii="Times New Roman" w:hAnsi="Times New Roman" w:cs="Times New Roman"/>
          <w:bCs/>
          <w:sz w:val="24"/>
          <w:szCs w:val="24"/>
        </w:rPr>
        <w:t>60-day notice published on</w:t>
      </w:r>
      <w:r w:rsidRPr="002E30AE" w:rsidR="00117EC8">
        <w:rPr>
          <w:rFonts w:ascii="Times New Roman" w:hAnsi="Times New Roman" w:cs="Times New Roman"/>
          <w:bCs/>
          <w:sz w:val="24"/>
          <w:szCs w:val="24"/>
        </w:rPr>
        <w:t xml:space="preserve"> November 5, 2020</w:t>
      </w:r>
      <w:r w:rsidRPr="002E30AE">
        <w:rPr>
          <w:rFonts w:ascii="Times New Roman" w:hAnsi="Times New Roman" w:cs="Times New Roman"/>
          <w:bCs/>
          <w:sz w:val="24"/>
          <w:szCs w:val="24"/>
        </w:rPr>
        <w:t xml:space="preserve"> (</w:t>
      </w:r>
      <w:bookmarkStart w:name="_Hlk58837684" w:id="7"/>
      <w:r w:rsidRPr="002E30AE">
        <w:rPr>
          <w:rFonts w:ascii="Times New Roman" w:hAnsi="Times New Roman" w:cs="Times New Roman"/>
          <w:bCs/>
          <w:sz w:val="24"/>
          <w:szCs w:val="24"/>
        </w:rPr>
        <w:t xml:space="preserve">85 FR </w:t>
      </w:r>
      <w:bookmarkEnd w:id="7"/>
      <w:r w:rsidRPr="002E30AE" w:rsidR="00117EC8">
        <w:rPr>
          <w:rFonts w:ascii="Times New Roman" w:hAnsi="Times New Roman" w:cs="Times New Roman"/>
          <w:bCs/>
          <w:sz w:val="24"/>
          <w:szCs w:val="24"/>
        </w:rPr>
        <w:t>70606</w:t>
      </w:r>
      <w:r w:rsidRPr="002E30AE">
        <w:rPr>
          <w:rFonts w:ascii="Times New Roman" w:hAnsi="Times New Roman" w:cs="Times New Roman"/>
          <w:bCs/>
          <w:sz w:val="24"/>
          <w:szCs w:val="24"/>
        </w:rPr>
        <w:t xml:space="preserve">) with no comments received and the 30-day notice published on </w:t>
      </w:r>
      <w:r w:rsidRPr="002E30AE" w:rsidR="00117EC8">
        <w:rPr>
          <w:rFonts w:ascii="Times New Roman" w:hAnsi="Times New Roman" w:cs="Times New Roman"/>
          <w:bCs/>
          <w:sz w:val="24"/>
          <w:szCs w:val="24"/>
        </w:rPr>
        <w:t xml:space="preserve">January </w:t>
      </w:r>
      <w:r w:rsidR="00D624CA">
        <w:rPr>
          <w:rFonts w:ascii="Times New Roman" w:hAnsi="Times New Roman" w:cs="Times New Roman"/>
          <w:bCs/>
          <w:sz w:val="24"/>
          <w:szCs w:val="24"/>
        </w:rPr>
        <w:t>13</w:t>
      </w:r>
      <w:r w:rsidRPr="002E30AE" w:rsidR="00117EC8">
        <w:rPr>
          <w:rFonts w:ascii="Times New Roman" w:hAnsi="Times New Roman" w:cs="Times New Roman"/>
          <w:bCs/>
          <w:sz w:val="24"/>
          <w:szCs w:val="24"/>
        </w:rPr>
        <w:t>, 2021 (8</w:t>
      </w:r>
      <w:r w:rsidR="00D624CA">
        <w:rPr>
          <w:rFonts w:ascii="Times New Roman" w:hAnsi="Times New Roman" w:cs="Times New Roman"/>
          <w:bCs/>
          <w:sz w:val="24"/>
          <w:szCs w:val="24"/>
        </w:rPr>
        <w:t>6</w:t>
      </w:r>
      <w:r w:rsidRPr="002E30AE" w:rsidR="00117EC8">
        <w:rPr>
          <w:rFonts w:ascii="Times New Roman" w:hAnsi="Times New Roman" w:cs="Times New Roman"/>
          <w:bCs/>
          <w:sz w:val="24"/>
          <w:szCs w:val="24"/>
        </w:rPr>
        <w:t xml:space="preserve"> FR </w:t>
      </w:r>
      <w:r w:rsidR="00D624CA">
        <w:rPr>
          <w:rFonts w:ascii="Times New Roman" w:hAnsi="Times New Roman" w:cs="Times New Roman"/>
          <w:bCs/>
          <w:sz w:val="24"/>
          <w:szCs w:val="24"/>
        </w:rPr>
        <w:t>2665</w:t>
      </w:r>
      <w:r w:rsidRPr="002E30AE" w:rsidR="00117EC8">
        <w:rPr>
          <w:rFonts w:ascii="Times New Roman" w:hAnsi="Times New Roman" w:cs="Times New Roman"/>
          <w:bCs/>
          <w:sz w:val="24"/>
          <w:szCs w:val="24"/>
        </w:rPr>
        <w:t>).</w:t>
      </w:r>
    </w:p>
    <w:p w:rsidRPr="004875D5" w:rsidR="003009CB" w:rsidP="009B3AA9" w:rsidRDefault="003009CB" w14:paraId="05A2D167" w14:textId="77777777">
      <w:pPr>
        <w:spacing w:after="0" w:line="240" w:lineRule="auto"/>
        <w:rPr>
          <w:rFonts w:ascii="Times New Roman" w:hAnsi="Times New Roman" w:cs="Times New Roman"/>
          <w:bCs/>
          <w:sz w:val="24"/>
          <w:szCs w:val="24"/>
        </w:rPr>
      </w:pPr>
    </w:p>
    <w:p w:rsidRPr="004875D5" w:rsidR="00EE07DD" w:rsidP="009B3AA9" w:rsidRDefault="00EE07DD" w14:paraId="52481C42"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EXPLAIN ANY PAYMENT OR GIFTS TO RESPONDENTS</w:t>
      </w:r>
    </w:p>
    <w:p w:rsidRPr="004875D5" w:rsidR="00EE07DD" w:rsidP="009B3AA9" w:rsidRDefault="00EE07DD" w14:paraId="3370E087" w14:textId="77777777">
      <w:pPr>
        <w:spacing w:after="0" w:line="240" w:lineRule="auto"/>
        <w:rPr>
          <w:rFonts w:ascii="Times New Roman" w:hAnsi="Times New Roman" w:cs="Times New Roman"/>
          <w:sz w:val="24"/>
          <w:szCs w:val="24"/>
        </w:rPr>
      </w:pPr>
    </w:p>
    <w:p w:rsidRPr="004875D5" w:rsidR="00EE07DD" w:rsidP="009B3AA9" w:rsidRDefault="00EE07DD" w14:paraId="0C6258A3" w14:textId="77777777">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 xml:space="preserve">The Commission does not make payments or provide gifts for respondents related to </w:t>
      </w:r>
      <w:r w:rsidRPr="004875D5" w:rsidR="003009CB">
        <w:rPr>
          <w:rFonts w:ascii="Times New Roman" w:hAnsi="Times New Roman" w:cs="Times New Roman"/>
          <w:sz w:val="24"/>
          <w:szCs w:val="24"/>
        </w:rPr>
        <w:t xml:space="preserve">these </w:t>
      </w:r>
      <w:r w:rsidRPr="004875D5">
        <w:rPr>
          <w:rFonts w:ascii="Times New Roman" w:hAnsi="Times New Roman" w:cs="Times New Roman"/>
          <w:sz w:val="24"/>
          <w:szCs w:val="24"/>
        </w:rPr>
        <w:t>collection</w:t>
      </w:r>
      <w:r w:rsidRPr="004875D5" w:rsidR="003009CB">
        <w:rPr>
          <w:rFonts w:ascii="Times New Roman" w:hAnsi="Times New Roman" w:cs="Times New Roman"/>
          <w:sz w:val="24"/>
          <w:szCs w:val="24"/>
        </w:rPr>
        <w:t>s</w:t>
      </w:r>
      <w:r w:rsidRPr="004875D5">
        <w:rPr>
          <w:rFonts w:ascii="Times New Roman" w:hAnsi="Times New Roman" w:cs="Times New Roman"/>
          <w:sz w:val="24"/>
          <w:szCs w:val="24"/>
        </w:rPr>
        <w:t>.</w:t>
      </w:r>
    </w:p>
    <w:p w:rsidRPr="004875D5" w:rsidR="00EE07DD" w:rsidP="009B3AA9" w:rsidRDefault="00EE07DD" w14:paraId="33EF2488" w14:textId="77777777">
      <w:pPr>
        <w:spacing w:after="0" w:line="240" w:lineRule="auto"/>
        <w:rPr>
          <w:rFonts w:ascii="Times New Roman" w:hAnsi="Times New Roman" w:cs="Times New Roman"/>
          <w:sz w:val="24"/>
          <w:szCs w:val="24"/>
        </w:rPr>
      </w:pPr>
    </w:p>
    <w:p w:rsidRPr="004875D5" w:rsidR="00EE07DD" w:rsidP="009B3AA9" w:rsidRDefault="00EE07DD" w14:paraId="78593B89"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DESCRIBE ANY ASSURANCE OF CONFIDENTIALITY PROVIDED TO RESPONDENTS</w:t>
      </w:r>
    </w:p>
    <w:p w:rsidRPr="004875D5" w:rsidR="009B3AA9" w:rsidP="009B3AA9" w:rsidRDefault="009B3AA9" w14:paraId="124DF793" w14:textId="77777777">
      <w:pPr>
        <w:spacing w:after="0" w:line="240" w:lineRule="auto"/>
        <w:rPr>
          <w:rFonts w:ascii="Times New Roman" w:hAnsi="Times New Roman" w:cs="Times New Roman"/>
          <w:sz w:val="24"/>
          <w:szCs w:val="24"/>
        </w:rPr>
      </w:pPr>
    </w:p>
    <w:p w:rsidRPr="004875D5" w:rsidR="003009CB" w:rsidP="009B3AA9" w:rsidRDefault="003009CB" w14:paraId="541F7F2B" w14:textId="2C4A5D0B">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According to the NERC Rules of Procedure,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4875D5" w:rsidR="00F46F6D" w:rsidP="009B3AA9" w:rsidRDefault="00F46F6D" w14:paraId="575E7A5F" w14:textId="77777777">
      <w:pPr>
        <w:spacing w:after="0" w:line="240" w:lineRule="auto"/>
        <w:rPr>
          <w:rFonts w:ascii="Times New Roman" w:hAnsi="Times New Roman" w:cs="Times New Roman"/>
          <w:sz w:val="24"/>
          <w:szCs w:val="24"/>
        </w:rPr>
      </w:pPr>
    </w:p>
    <w:p w:rsidRPr="004875D5" w:rsidR="00EE07DD" w:rsidP="009B3AA9" w:rsidRDefault="003009CB" w14:paraId="5E8981FA" w14:textId="77777777">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 xml:space="preserve">Responding entities do not submit the information collected </w:t>
      </w:r>
      <w:r w:rsidRPr="004875D5" w:rsidR="00F46F6D">
        <w:rPr>
          <w:rFonts w:ascii="Times New Roman" w:hAnsi="Times New Roman" w:cs="Times New Roman"/>
          <w:sz w:val="24"/>
          <w:szCs w:val="24"/>
        </w:rPr>
        <w:t xml:space="preserve">for </w:t>
      </w:r>
      <w:r w:rsidRPr="004875D5">
        <w:rPr>
          <w:rFonts w:ascii="Times New Roman" w:hAnsi="Times New Roman" w:cs="Times New Roman"/>
          <w:sz w:val="24"/>
          <w:szCs w:val="24"/>
        </w:rPr>
        <w:t>Reliability Standards to FERC.  Rather, they submit the information to NERC, the regional entities, or maintain it internally.  Since there are no submissions made to FERC, FERC provides no specific provisions in order to protect confidentiality.</w:t>
      </w:r>
    </w:p>
    <w:p w:rsidRPr="004875D5" w:rsidR="00F46F6D" w:rsidP="009B3AA9" w:rsidRDefault="00F46F6D" w14:paraId="5C4C2A23" w14:textId="77777777">
      <w:pPr>
        <w:spacing w:after="0" w:line="240" w:lineRule="auto"/>
        <w:rPr>
          <w:rFonts w:ascii="Times New Roman" w:hAnsi="Times New Roman" w:cs="Times New Roman"/>
          <w:sz w:val="24"/>
          <w:szCs w:val="24"/>
        </w:rPr>
      </w:pPr>
    </w:p>
    <w:p w:rsidRPr="004875D5" w:rsidR="00EE07DD" w:rsidP="009B3AA9" w:rsidRDefault="00EE07DD" w14:paraId="70F96424" w14:textId="77777777">
      <w:pPr>
        <w:numPr>
          <w:ilvl w:val="0"/>
          <w:numId w:val="2"/>
        </w:numPr>
        <w:spacing w:after="0" w:line="240" w:lineRule="auto"/>
        <w:rPr>
          <w:rFonts w:ascii="Times New Roman" w:hAnsi="Times New Roman" w:cs="Times New Roman"/>
          <w:b/>
          <w:bCs/>
          <w:sz w:val="24"/>
          <w:szCs w:val="24"/>
        </w:rPr>
      </w:pPr>
      <w:r w:rsidRPr="004875D5">
        <w:rPr>
          <w:rFonts w:ascii="Times New Roman" w:hAnsi="Times New Roman" w:cs="Times New Roman"/>
          <w:b/>
          <w:bCs/>
          <w:sz w:val="24"/>
          <w:szCs w:val="24"/>
        </w:rPr>
        <w:t>PROVIDE ADDITIONAL JUSTIFICATION FOR ANY QUESTIONS OF A SENSITIVE NATURE, SUCH AS SEXUAL BEHAVIOR AND ATTITUDES, RELIGIOUS BELIEFS, AND OTHER MATTERS THAT ARE COMMONLY CONSIDERED PRIVATE.</w:t>
      </w:r>
    </w:p>
    <w:p w:rsidRPr="004875D5" w:rsidR="00EE07DD" w:rsidP="009B3AA9" w:rsidRDefault="00EE07DD" w14:paraId="2A83BAB5" w14:textId="77777777">
      <w:pPr>
        <w:spacing w:after="0" w:line="240" w:lineRule="auto"/>
        <w:rPr>
          <w:rFonts w:ascii="Times New Roman" w:hAnsi="Times New Roman" w:cs="Times New Roman"/>
          <w:b/>
          <w:bCs/>
          <w:sz w:val="24"/>
          <w:szCs w:val="24"/>
        </w:rPr>
      </w:pPr>
    </w:p>
    <w:p w:rsidRPr="004875D5" w:rsidR="00EE07DD" w:rsidP="009B3AA9" w:rsidRDefault="003009CB" w14:paraId="1A9E6E86" w14:textId="77038F51">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These</w:t>
      </w:r>
      <w:r w:rsidRPr="004875D5" w:rsidR="00EE07DD">
        <w:rPr>
          <w:rFonts w:ascii="Times New Roman" w:hAnsi="Times New Roman" w:cs="Times New Roman"/>
          <w:sz w:val="24"/>
          <w:szCs w:val="24"/>
        </w:rPr>
        <w:t xml:space="preserve"> collection</w:t>
      </w:r>
      <w:r w:rsidRPr="004875D5">
        <w:rPr>
          <w:rFonts w:ascii="Times New Roman" w:hAnsi="Times New Roman" w:cs="Times New Roman"/>
          <w:sz w:val="24"/>
          <w:szCs w:val="24"/>
        </w:rPr>
        <w:t>s</w:t>
      </w:r>
      <w:r w:rsidRPr="004875D5" w:rsidR="00EE07DD">
        <w:rPr>
          <w:rFonts w:ascii="Times New Roman" w:hAnsi="Times New Roman" w:cs="Times New Roman"/>
          <w:sz w:val="24"/>
          <w:szCs w:val="24"/>
        </w:rPr>
        <w:t xml:space="preserve"> do not contain any questions of a sensitive nature.  </w:t>
      </w:r>
    </w:p>
    <w:p w:rsidRPr="004875D5" w:rsidR="00EE07DD" w:rsidP="009B3AA9" w:rsidRDefault="00EE07DD" w14:paraId="4B02CA12" w14:textId="77777777">
      <w:pPr>
        <w:spacing w:after="0" w:line="240" w:lineRule="auto"/>
        <w:rPr>
          <w:rFonts w:ascii="Times New Roman" w:hAnsi="Times New Roman" w:cs="Times New Roman"/>
          <w:sz w:val="24"/>
          <w:szCs w:val="24"/>
        </w:rPr>
      </w:pPr>
    </w:p>
    <w:p w:rsidRPr="004875D5" w:rsidR="00EE07DD" w:rsidP="009B3AA9" w:rsidRDefault="00EE07DD" w14:paraId="450EE1A4"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ESTIMATED BURDEN OF COLLECTION OF INFORMATION</w:t>
      </w:r>
    </w:p>
    <w:p w:rsidRPr="004875D5" w:rsidR="00EE07DD" w:rsidP="009B3AA9" w:rsidRDefault="00EE07DD" w14:paraId="2EF96907" w14:textId="3FC59888">
      <w:pPr>
        <w:spacing w:after="0" w:line="240" w:lineRule="auto"/>
        <w:rPr>
          <w:rFonts w:ascii="Times New Roman" w:hAnsi="Times New Roman" w:cs="Times New Roman"/>
          <w:sz w:val="24"/>
          <w:szCs w:val="24"/>
        </w:rPr>
      </w:pPr>
    </w:p>
    <w:p w:rsidRPr="004875D5" w:rsidR="007D4061" w:rsidP="008A7D44" w:rsidRDefault="008A7D44" w14:paraId="5FE61059" w14:textId="77777777">
      <w:pPr>
        <w:spacing w:after="0" w:line="240" w:lineRule="auto"/>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 xml:space="preserve">The Commission estimates an increase (adjustment) in the annual public reporting burden for the FERC-725D that follow the standards FAC-001-3, FAC-002-3, FAC-010-3, FAC-011-3, and FAC-014-2. </w:t>
      </w:r>
    </w:p>
    <w:p w:rsidRPr="004875D5" w:rsidR="007D4061" w:rsidP="008A7D44" w:rsidRDefault="007D4061" w14:paraId="6CECE0DC" w14:textId="77777777">
      <w:pPr>
        <w:spacing w:after="0" w:line="240" w:lineRule="auto"/>
        <w:rPr>
          <w:rFonts w:ascii="Times New Roman" w:hAnsi="Times New Roman" w:eastAsia="Times New Roman" w:cs="Times New Roman"/>
          <w:sz w:val="24"/>
          <w:szCs w:val="24"/>
        </w:rPr>
      </w:pPr>
    </w:p>
    <w:p w:rsidRPr="00453CB6" w:rsidR="007D4061" w:rsidP="008A7D44" w:rsidRDefault="008A7D44" w14:paraId="531EEA52" w14:textId="77777777">
      <w:pPr>
        <w:spacing w:after="0" w:line="240" w:lineRule="auto"/>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 xml:space="preserve">The Commission estimates a net decrease (adjustment) in the annual </w:t>
      </w:r>
      <w:r w:rsidRPr="00453CB6">
        <w:rPr>
          <w:rFonts w:ascii="Times New Roman" w:hAnsi="Times New Roman" w:eastAsia="Times New Roman" w:cs="Times New Roman"/>
          <w:sz w:val="24"/>
          <w:szCs w:val="24"/>
        </w:rPr>
        <w:t>public reporting burden for the FERC-725D for the Reliability Standard FAC-002-3.  The estimate for Reliability Standard FAC-002-3 decreased from 399 to 326 responses.</w:t>
      </w:r>
      <w:r w:rsidRPr="00453CB6">
        <w:rPr>
          <w:rFonts w:ascii="Times New Roman" w:hAnsi="Times New Roman" w:eastAsia="Times New Roman" w:cs="Times New Roman"/>
          <w:b/>
          <w:sz w:val="24"/>
          <w:szCs w:val="24"/>
          <w:vertAlign w:val="superscript"/>
        </w:rPr>
        <w:footnoteReference w:id="14"/>
      </w:r>
      <w:r w:rsidRPr="00453CB6">
        <w:rPr>
          <w:rFonts w:ascii="Times New Roman" w:hAnsi="Times New Roman" w:eastAsia="Times New Roman" w:cs="Times New Roman"/>
          <w:sz w:val="24"/>
          <w:szCs w:val="24"/>
        </w:rPr>
        <w:t xml:space="preserve"> </w:t>
      </w:r>
    </w:p>
    <w:p w:rsidRPr="00453CB6" w:rsidR="007D4061" w:rsidP="008A7D44" w:rsidRDefault="007D4061" w14:paraId="5DCA9D44" w14:textId="77777777">
      <w:pPr>
        <w:spacing w:after="0" w:line="240" w:lineRule="auto"/>
        <w:rPr>
          <w:rFonts w:ascii="Times New Roman" w:hAnsi="Times New Roman" w:eastAsia="Times New Roman" w:cs="Times New Roman"/>
          <w:sz w:val="24"/>
          <w:szCs w:val="24"/>
        </w:rPr>
      </w:pPr>
    </w:p>
    <w:p w:rsidRPr="00453CB6" w:rsidR="008A7D44" w:rsidP="008A7D44" w:rsidRDefault="008A7D44" w14:paraId="70276608" w14:textId="64103B95">
      <w:pPr>
        <w:spacing w:after="0" w:line="240" w:lineRule="auto"/>
        <w:rPr>
          <w:rFonts w:ascii="Times New Roman" w:hAnsi="Times New Roman" w:eastAsia="Times New Roman" w:cs="Times New Roman"/>
          <w:i/>
          <w:sz w:val="24"/>
          <w:szCs w:val="24"/>
        </w:rPr>
      </w:pPr>
      <w:bookmarkStart w:name="_Hlk62821876" w:id="8"/>
      <w:r w:rsidRPr="00453CB6">
        <w:rPr>
          <w:rFonts w:ascii="Times New Roman" w:hAnsi="Times New Roman" w:eastAsia="Times New Roman" w:cs="Times New Roman"/>
          <w:sz w:val="24"/>
          <w:szCs w:val="24"/>
        </w:rPr>
        <w:t>Burden estimates for the remaining Reliability Standards in FERC-725D are unchanged as follows:</w:t>
      </w:r>
    </w:p>
    <w:p w:rsidRPr="002E30AE" w:rsidR="008A7D44" w:rsidP="008A7D44" w:rsidRDefault="008A7D44" w14:paraId="32824262" w14:textId="41002740">
      <w:pPr>
        <w:numPr>
          <w:ilvl w:val="0"/>
          <w:numId w:val="17"/>
        </w:numPr>
        <w:spacing w:after="0" w:line="240" w:lineRule="auto"/>
        <w:contextualSpacing/>
        <w:rPr>
          <w:rFonts w:ascii="Times New Roman" w:hAnsi="Times New Roman" w:eastAsia="Times New Roman" w:cs="Times New Roman"/>
          <w:sz w:val="24"/>
          <w:szCs w:val="24"/>
        </w:rPr>
      </w:pPr>
      <w:r w:rsidRPr="00453CB6">
        <w:rPr>
          <w:rFonts w:ascii="Times New Roman" w:hAnsi="Times New Roman" w:eastAsia="Times New Roman" w:cs="Times New Roman"/>
          <w:sz w:val="24"/>
          <w:szCs w:val="24"/>
        </w:rPr>
        <w:t>FA</w:t>
      </w:r>
      <w:r w:rsidRPr="002E30AE">
        <w:rPr>
          <w:rFonts w:ascii="Times New Roman" w:hAnsi="Times New Roman" w:eastAsia="Times New Roman" w:cs="Times New Roman"/>
          <w:sz w:val="24"/>
          <w:szCs w:val="24"/>
        </w:rPr>
        <w:t>C-001-3 remain</w:t>
      </w:r>
      <w:r w:rsidRPr="002E30AE" w:rsidR="007D4061">
        <w:rPr>
          <w:rFonts w:ascii="Times New Roman" w:hAnsi="Times New Roman" w:eastAsia="Times New Roman" w:cs="Times New Roman"/>
          <w:sz w:val="24"/>
          <w:szCs w:val="24"/>
        </w:rPr>
        <w:t>s</w:t>
      </w:r>
      <w:r w:rsidRPr="002E30AE">
        <w:rPr>
          <w:rFonts w:ascii="Times New Roman" w:hAnsi="Times New Roman" w:eastAsia="Times New Roman" w:cs="Times New Roman"/>
          <w:sz w:val="24"/>
          <w:szCs w:val="24"/>
        </w:rPr>
        <w:t xml:space="preserve"> unchanged at 498 responses.</w:t>
      </w:r>
      <w:r w:rsidRPr="002E30AE">
        <w:rPr>
          <w:rFonts w:ascii="Times New Roman" w:hAnsi="Times New Roman" w:eastAsia="Times New Roman" w:cs="Times New Roman"/>
          <w:b/>
          <w:sz w:val="24"/>
          <w:szCs w:val="24"/>
          <w:vertAlign w:val="superscript"/>
        </w:rPr>
        <w:footnoteReference w:id="15"/>
      </w:r>
      <w:r w:rsidRPr="002E30AE">
        <w:rPr>
          <w:rFonts w:ascii="Times New Roman" w:hAnsi="Times New Roman" w:eastAsia="Times New Roman" w:cs="Times New Roman"/>
          <w:sz w:val="24"/>
          <w:szCs w:val="24"/>
        </w:rPr>
        <w:t xml:space="preserve"> </w:t>
      </w:r>
    </w:p>
    <w:p w:rsidRPr="00453CB6" w:rsidR="008A7D44" w:rsidP="00453CB6" w:rsidRDefault="008A7D44" w14:paraId="4A397EA5" w14:textId="62A04F19">
      <w:pPr>
        <w:numPr>
          <w:ilvl w:val="0"/>
          <w:numId w:val="17"/>
        </w:numPr>
        <w:spacing w:after="0" w:line="240" w:lineRule="auto"/>
        <w:contextualSpacing/>
        <w:rPr>
          <w:rFonts w:ascii="Times New Roman" w:hAnsi="Times New Roman" w:eastAsia="Times New Roman" w:cs="Times New Roman"/>
          <w:sz w:val="24"/>
          <w:szCs w:val="24"/>
        </w:rPr>
      </w:pPr>
      <w:r w:rsidRPr="002E30AE">
        <w:rPr>
          <w:rFonts w:ascii="Times New Roman" w:hAnsi="Times New Roman" w:eastAsia="Times New Roman" w:cs="Times New Roman"/>
          <w:sz w:val="24"/>
          <w:szCs w:val="24"/>
        </w:rPr>
        <w:t>FAC-010-3, FAC-011-3 and FAC-014-2 remain unchanged at 470 responses.</w:t>
      </w:r>
      <w:r w:rsidRPr="002E30AE">
        <w:rPr>
          <w:rFonts w:ascii="Times New Roman" w:hAnsi="Times New Roman" w:eastAsia="Times New Roman" w:cs="Times New Roman"/>
          <w:b/>
          <w:sz w:val="24"/>
          <w:szCs w:val="24"/>
          <w:vertAlign w:val="superscript"/>
        </w:rPr>
        <w:footnoteReference w:id="16"/>
      </w:r>
    </w:p>
    <w:p w:rsidR="00453CB6" w:rsidP="008A7D44" w:rsidRDefault="00453CB6" w14:paraId="695CE4B3" w14:textId="77777777">
      <w:pPr>
        <w:spacing w:after="0" w:line="240" w:lineRule="auto"/>
        <w:rPr>
          <w:rFonts w:ascii="Times New Roman" w:hAnsi="Times New Roman" w:eastAsia="Times New Roman" w:cs="Times New Roman"/>
          <w:sz w:val="24"/>
          <w:szCs w:val="24"/>
        </w:rPr>
      </w:pPr>
    </w:p>
    <w:p w:rsidRPr="002E30AE" w:rsidR="007D4061" w:rsidP="008A7D44" w:rsidRDefault="008A7D44" w14:paraId="58E13821" w14:textId="6842E520">
      <w:pPr>
        <w:spacing w:after="0" w:line="240" w:lineRule="auto"/>
        <w:rPr>
          <w:rFonts w:ascii="Times New Roman" w:hAnsi="Times New Roman" w:eastAsia="Times New Roman" w:cs="Times New Roman"/>
          <w:sz w:val="24"/>
          <w:szCs w:val="24"/>
        </w:rPr>
      </w:pPr>
      <w:r w:rsidRPr="002E30AE">
        <w:rPr>
          <w:rFonts w:ascii="Times New Roman" w:hAnsi="Times New Roman" w:eastAsia="Times New Roman" w:cs="Times New Roman"/>
          <w:sz w:val="24"/>
          <w:szCs w:val="24"/>
        </w:rPr>
        <w:t xml:space="preserve">The following table shows the previous figures from the  program changes and adjustments from Docket No. RD20-4, and the resulting totals. </w:t>
      </w:r>
    </w:p>
    <w:p w:rsidRPr="002E30AE" w:rsidR="007D4061" w:rsidP="008A7D44" w:rsidRDefault="007D4061" w14:paraId="163E2DD7" w14:textId="77777777">
      <w:pPr>
        <w:spacing w:after="0" w:line="240" w:lineRule="auto"/>
        <w:rPr>
          <w:rFonts w:ascii="Times New Roman" w:hAnsi="Times New Roman" w:eastAsia="Times New Roman" w:cs="Times New Roman"/>
          <w:sz w:val="24"/>
          <w:szCs w:val="24"/>
        </w:rPr>
      </w:pPr>
    </w:p>
    <w:p w:rsidRPr="002E30AE" w:rsidR="007D4061" w:rsidP="008A7D44" w:rsidRDefault="007D4061" w14:paraId="1D998B78" w14:textId="4954B3C1">
      <w:pPr>
        <w:spacing w:after="0" w:line="240" w:lineRule="auto"/>
        <w:rPr>
          <w:rFonts w:ascii="Times New Roman" w:hAnsi="Times New Roman" w:eastAsia="Times New Roman" w:cs="Times New Roman"/>
          <w:sz w:val="24"/>
          <w:szCs w:val="24"/>
        </w:rPr>
      </w:pPr>
      <w:r w:rsidRPr="002E30AE">
        <w:rPr>
          <w:rFonts w:ascii="Times New Roman" w:hAnsi="Times New Roman" w:eastAsia="Times New Roman" w:cs="Times New Roman"/>
          <w:sz w:val="24"/>
          <w:szCs w:val="24"/>
        </w:rPr>
        <w:t>Docket</w:t>
      </w:r>
      <w:r w:rsidR="003A4EBE">
        <w:rPr>
          <w:rFonts w:ascii="Times New Roman" w:hAnsi="Times New Roman" w:eastAsia="Times New Roman" w:cs="Times New Roman"/>
          <w:sz w:val="24"/>
          <w:szCs w:val="24"/>
        </w:rPr>
        <w:t xml:space="preserve"> No.</w:t>
      </w:r>
      <w:r w:rsidRPr="002E30AE">
        <w:rPr>
          <w:rFonts w:ascii="Times New Roman" w:hAnsi="Times New Roman" w:eastAsia="Times New Roman" w:cs="Times New Roman"/>
          <w:sz w:val="24"/>
          <w:szCs w:val="24"/>
        </w:rPr>
        <w:t xml:space="preserve"> </w:t>
      </w:r>
      <w:r w:rsidRPr="002E30AE" w:rsidR="008A7D44">
        <w:rPr>
          <w:rFonts w:ascii="Times New Roman" w:hAnsi="Times New Roman" w:eastAsia="Times New Roman" w:cs="Times New Roman"/>
          <w:sz w:val="24"/>
          <w:szCs w:val="24"/>
        </w:rPr>
        <w:t>RD20-4 has a net</w:t>
      </w:r>
      <w:r w:rsidRPr="002E30AE" w:rsidR="008A7D44">
        <w:rPr>
          <w:rFonts w:ascii="Times New Roman" w:hAnsi="Times New Roman" w:eastAsia="Times New Roman" w:cs="Times New Roman"/>
          <w:b/>
          <w:bCs/>
          <w:sz w:val="24"/>
          <w:szCs w:val="24"/>
        </w:rPr>
        <w:t xml:space="preserve"> </w:t>
      </w:r>
      <w:r w:rsidRPr="002E30AE" w:rsidR="008A7D44">
        <w:rPr>
          <w:rFonts w:ascii="Times New Roman" w:hAnsi="Times New Roman" w:eastAsia="Times New Roman" w:cs="Times New Roman"/>
          <w:sz w:val="24"/>
          <w:szCs w:val="24"/>
        </w:rPr>
        <w:t>decrease (-146) in responses for FAC</w:t>
      </w:r>
      <w:r w:rsidRPr="002E30AE">
        <w:rPr>
          <w:rFonts w:ascii="Times New Roman" w:hAnsi="Times New Roman" w:eastAsia="Times New Roman" w:cs="Times New Roman"/>
          <w:sz w:val="24"/>
          <w:szCs w:val="24"/>
        </w:rPr>
        <w:t>-</w:t>
      </w:r>
      <w:r w:rsidRPr="002E30AE" w:rsidR="008A7D44">
        <w:rPr>
          <w:rFonts w:ascii="Times New Roman" w:hAnsi="Times New Roman" w:eastAsia="Times New Roman" w:cs="Times New Roman"/>
          <w:sz w:val="24"/>
          <w:szCs w:val="24"/>
        </w:rPr>
        <w:t>002-3 (previously FAC</w:t>
      </w:r>
      <w:r w:rsidRPr="002E30AE">
        <w:rPr>
          <w:rFonts w:ascii="Times New Roman" w:hAnsi="Times New Roman" w:eastAsia="Times New Roman" w:cs="Times New Roman"/>
          <w:sz w:val="24"/>
          <w:szCs w:val="24"/>
        </w:rPr>
        <w:t>-</w:t>
      </w:r>
      <w:r w:rsidRPr="002E30AE" w:rsidR="008A7D44">
        <w:rPr>
          <w:rFonts w:ascii="Times New Roman" w:hAnsi="Times New Roman" w:eastAsia="Times New Roman" w:cs="Times New Roman"/>
          <w:sz w:val="24"/>
          <w:szCs w:val="24"/>
        </w:rPr>
        <w:t>002-2) which created a total of 1,957 responses (net change was already calculated in the renewal but omitted the retention totals in prior renewals</w:t>
      </w:r>
      <w:r w:rsidR="006160F2">
        <w:rPr>
          <w:rFonts w:ascii="Times New Roman" w:hAnsi="Times New Roman" w:eastAsia="Times New Roman" w:cs="Times New Roman"/>
          <w:sz w:val="24"/>
          <w:szCs w:val="24"/>
        </w:rPr>
        <w:t>)</w:t>
      </w:r>
      <w:r w:rsidRPr="002E30AE" w:rsidR="008A7D44">
        <w:rPr>
          <w:rFonts w:ascii="Times New Roman" w:hAnsi="Times New Roman" w:eastAsia="Times New Roman" w:cs="Times New Roman"/>
          <w:sz w:val="24"/>
          <w:szCs w:val="24"/>
        </w:rPr>
        <w:t xml:space="preserve">.  </w:t>
      </w:r>
    </w:p>
    <w:p w:rsidRPr="002E30AE" w:rsidR="007D4061" w:rsidP="008A7D44" w:rsidRDefault="007D4061" w14:paraId="5524EEA1" w14:textId="77777777">
      <w:pPr>
        <w:spacing w:after="0" w:line="240" w:lineRule="auto"/>
        <w:rPr>
          <w:rFonts w:ascii="Times New Roman" w:hAnsi="Times New Roman" w:eastAsia="Times New Roman" w:cs="Times New Roman"/>
          <w:sz w:val="24"/>
          <w:szCs w:val="24"/>
        </w:rPr>
      </w:pPr>
    </w:p>
    <w:p w:rsidRPr="002E30AE" w:rsidR="008A7D44" w:rsidP="008A7D44" w:rsidRDefault="008A7D44" w14:paraId="1ABC6001" w14:textId="4D958D65">
      <w:pPr>
        <w:spacing w:after="0" w:line="240" w:lineRule="auto"/>
        <w:rPr>
          <w:rFonts w:ascii="Times New Roman" w:hAnsi="Times New Roman" w:eastAsia="Times New Roman" w:cs="Times New Roman"/>
          <w:sz w:val="24"/>
          <w:szCs w:val="24"/>
        </w:rPr>
      </w:pPr>
      <w:r w:rsidRPr="002E30AE">
        <w:rPr>
          <w:rFonts w:ascii="Times New Roman" w:hAnsi="Times New Roman" w:eastAsia="Times New Roman" w:cs="Times New Roman"/>
          <w:sz w:val="24"/>
          <w:szCs w:val="24"/>
        </w:rPr>
        <w:t xml:space="preserve">For this notice and moving forward, </w:t>
      </w:r>
      <w:r w:rsidR="001F7446">
        <w:rPr>
          <w:rFonts w:ascii="Times New Roman" w:hAnsi="Times New Roman" w:eastAsia="Times New Roman" w:cs="Times New Roman"/>
          <w:sz w:val="24"/>
          <w:szCs w:val="24"/>
        </w:rPr>
        <w:t>Evidence</w:t>
      </w:r>
      <w:r w:rsidRPr="002E30AE">
        <w:rPr>
          <w:rFonts w:ascii="Times New Roman" w:hAnsi="Times New Roman" w:eastAsia="Times New Roman" w:cs="Times New Roman"/>
          <w:sz w:val="24"/>
          <w:szCs w:val="24"/>
        </w:rPr>
        <w:t xml:space="preserve"> Retention</w:t>
      </w:r>
      <w:r w:rsidR="003A4EBE">
        <w:rPr>
          <w:rFonts w:ascii="Times New Roman" w:hAnsi="Times New Roman" w:eastAsia="Times New Roman" w:cs="Times New Roman"/>
          <w:sz w:val="24"/>
          <w:szCs w:val="24"/>
        </w:rPr>
        <w:t xml:space="preserve"> is </w:t>
      </w:r>
      <w:r w:rsidRPr="002E30AE">
        <w:rPr>
          <w:rFonts w:ascii="Times New Roman" w:hAnsi="Times New Roman" w:eastAsia="Times New Roman" w:cs="Times New Roman"/>
          <w:sz w:val="24"/>
          <w:szCs w:val="24"/>
        </w:rPr>
        <w:t>included in the burden estimates for all standards, as shown below in the table:</w:t>
      </w:r>
      <w:bookmarkStart w:name="_Hlk59228429" w:id="9"/>
    </w:p>
    <w:bookmarkEnd w:id="9"/>
    <w:bookmarkEnd w:id="8"/>
    <w:p w:rsidRPr="00453CB6" w:rsidR="00FD0C92" w:rsidP="00FD0C92" w:rsidRDefault="00FD0C92" w14:paraId="578C921B" w14:textId="1A05EB7A">
      <w:pPr>
        <w:spacing w:after="0" w:line="480" w:lineRule="auto"/>
        <w:rPr>
          <w:rFonts w:ascii="Times New Roman" w:hAnsi="Times New Roman" w:eastAsia="Times New Roman" w:cs="Times New Roman"/>
          <w:sz w:val="24"/>
          <w:szCs w:val="24"/>
        </w:rPr>
      </w:pPr>
    </w:p>
    <w:tbl>
      <w:tblPr>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86"/>
        <w:gridCol w:w="9"/>
        <w:gridCol w:w="1350"/>
        <w:gridCol w:w="10"/>
        <w:gridCol w:w="1250"/>
        <w:gridCol w:w="10"/>
        <w:gridCol w:w="1430"/>
        <w:gridCol w:w="1170"/>
        <w:gridCol w:w="2250"/>
      </w:tblGrid>
      <w:tr w:rsidRPr="00FF09E1" w:rsidR="008A7D44" w:rsidTr="004875D5" w14:paraId="6F1AE447" w14:textId="77777777">
        <w:trPr>
          <w:cantSplit/>
          <w:trHeight w:val="299"/>
          <w:jc w:val="center"/>
        </w:trPr>
        <w:tc>
          <w:tcPr>
            <w:tcW w:w="9265" w:type="dxa"/>
            <w:gridSpan w:val="9"/>
            <w:shd w:val="pct10" w:color="auto" w:fill="auto"/>
            <w:vAlign w:val="bottom"/>
          </w:tcPr>
          <w:tbl>
            <w:tblPr>
              <w:tblW w:w="9085" w:type="dxa"/>
              <w:jc w:val="center"/>
              <w:tblLayout w:type="fixed"/>
              <w:tblLook w:val="01E0" w:firstRow="1" w:lastRow="1" w:firstColumn="1" w:lastColumn="1" w:noHBand="0" w:noVBand="0"/>
            </w:tblPr>
            <w:tblGrid>
              <w:gridCol w:w="9085"/>
            </w:tblGrid>
            <w:tr w:rsidRPr="00FF09E1" w:rsidR="008A7D44" w:rsidTr="002650E2" w14:paraId="45FFCBC1" w14:textId="77777777">
              <w:trPr>
                <w:cantSplit/>
                <w:trHeight w:val="800"/>
                <w:jc w:val="center"/>
              </w:trPr>
              <w:tc>
                <w:tcPr>
                  <w:tcW w:w="9085" w:type="dxa"/>
                  <w:shd w:val="clear" w:color="auto" w:fill="D9D9D9"/>
                </w:tcPr>
                <w:p w:rsidRPr="004875D5" w:rsidR="008A7D44" w:rsidP="008A7D44" w:rsidRDefault="008A7D44" w14:paraId="3A4C91FB" w14:textId="77777777">
                  <w:pPr>
                    <w:spacing w:after="0" w:line="240" w:lineRule="auto"/>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 xml:space="preserve">Proposed Changes to Burden Due to Docket No. RD20-4-000 </w:t>
                  </w:r>
                </w:p>
                <w:p w:rsidRPr="004875D5" w:rsidR="008A7D44" w:rsidP="008A7D44" w:rsidRDefault="008A7D44" w14:paraId="26891D0E" w14:textId="01D7AFA5">
                  <w:pPr>
                    <w:spacing w:after="0" w:line="240" w:lineRule="auto"/>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and Adjustments and Clarifications</w:t>
                  </w:r>
                  <w:bookmarkStart w:name="_Ref40275808" w:id="10"/>
                  <w:r w:rsidRPr="004875D5">
                    <w:rPr>
                      <w:rFonts w:ascii="Times New Roman" w:hAnsi="Times New Roman" w:eastAsia="Calibri" w:cs="Times New Roman"/>
                      <w:b/>
                      <w:sz w:val="24"/>
                      <w:szCs w:val="24"/>
                      <w:vertAlign w:val="superscript"/>
                    </w:rPr>
                    <w:footnoteReference w:id="17"/>
                  </w:r>
                  <w:bookmarkEnd w:id="10"/>
                  <w:r w:rsidRPr="004875D5">
                    <w:rPr>
                      <w:rFonts w:ascii="Times New Roman" w:hAnsi="Times New Roman" w:eastAsia="Calibri" w:cs="Times New Roman"/>
                      <w:b/>
                      <w:sz w:val="24"/>
                      <w:szCs w:val="24"/>
                    </w:rPr>
                    <w:t xml:space="preserve"> </w:t>
                  </w:r>
                  <w:r w:rsidRPr="004875D5" w:rsidR="000239B2">
                    <w:rPr>
                      <w:rFonts w:ascii="Times New Roman" w:hAnsi="Times New Roman" w:eastAsia="Calibri" w:cs="Times New Roman"/>
                      <w:b/>
                      <w:sz w:val="24"/>
                      <w:szCs w:val="24"/>
                    </w:rPr>
                    <w:t xml:space="preserve">and </w:t>
                  </w:r>
                </w:p>
                <w:p w:rsidRPr="004875D5" w:rsidR="008A7D44" w:rsidP="008A7D44" w:rsidRDefault="008A7D44" w14:paraId="752C77E0" w14:textId="77777777">
                  <w:pPr>
                    <w:spacing w:after="0" w:line="240" w:lineRule="auto"/>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Version update for FAC-002-3 (formerly FAC-002-2)</w:t>
                  </w:r>
                </w:p>
              </w:tc>
            </w:tr>
          </w:tbl>
          <w:p w:rsidRPr="004875D5" w:rsidR="008A7D44" w:rsidP="008A7D44" w:rsidRDefault="008A7D44" w14:paraId="01387CDD" w14:textId="77777777">
            <w:pPr>
              <w:spacing w:after="0" w:line="240" w:lineRule="auto"/>
              <w:jc w:val="center"/>
              <w:rPr>
                <w:rFonts w:ascii="Times New Roman" w:hAnsi="Times New Roman" w:eastAsia="Calibri" w:cs="Times New Roman"/>
                <w:b/>
                <w:bCs/>
                <w:iCs/>
                <w:sz w:val="24"/>
                <w:szCs w:val="24"/>
              </w:rPr>
            </w:pPr>
            <w:r w:rsidRPr="004875D5">
              <w:rPr>
                <w:rFonts w:ascii="Times New Roman" w:hAnsi="Times New Roman" w:eastAsia="Calibri" w:cs="Times New Roman"/>
                <w:b/>
                <w:bCs/>
                <w:iCs/>
                <w:sz w:val="24"/>
                <w:szCs w:val="24"/>
              </w:rPr>
              <w:t>FERC-725D, OMB Control No. 1902-0247</w:t>
            </w:r>
          </w:p>
        </w:tc>
      </w:tr>
      <w:tr w:rsidRPr="0003758D" w:rsidR="00454EC0" w:rsidTr="004875D5" w14:paraId="5734805D" w14:textId="77777777">
        <w:trPr>
          <w:cantSplit/>
          <w:trHeight w:val="744"/>
          <w:jc w:val="center"/>
        </w:trPr>
        <w:tc>
          <w:tcPr>
            <w:tcW w:w="1795" w:type="dxa"/>
            <w:gridSpan w:val="2"/>
            <w:shd w:val="clear" w:color="auto" w:fill="D9D9D9"/>
            <w:vAlign w:val="bottom"/>
          </w:tcPr>
          <w:p w:rsidRPr="004875D5" w:rsidR="00454EC0" w:rsidP="00E25351" w:rsidRDefault="00454EC0" w14:paraId="14DC71C1" w14:textId="345FACCE">
            <w:pPr>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 xml:space="preserve">Reliability Standard &amp; Requirements </w:t>
            </w:r>
          </w:p>
        </w:tc>
        <w:tc>
          <w:tcPr>
            <w:tcW w:w="1350" w:type="dxa"/>
            <w:shd w:val="clear" w:color="auto" w:fill="D9D9D9"/>
            <w:vAlign w:val="bottom"/>
          </w:tcPr>
          <w:p w:rsidRPr="004875D5" w:rsidR="00454EC0" w:rsidP="00E25351" w:rsidRDefault="00454EC0" w14:paraId="6804B6ED" w14:textId="77777777">
            <w:pPr>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No. of Respondents &amp; Type of Entity</w:t>
            </w:r>
          </w:p>
          <w:p w:rsidRPr="004875D5" w:rsidR="00454EC0" w:rsidP="00E25351" w:rsidRDefault="00454EC0" w14:paraId="17EA9CAF" w14:textId="77777777">
            <w:pPr>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(1)</w:t>
            </w:r>
          </w:p>
        </w:tc>
        <w:tc>
          <w:tcPr>
            <w:tcW w:w="1260" w:type="dxa"/>
            <w:gridSpan w:val="2"/>
            <w:shd w:val="clear" w:color="auto" w:fill="D9D9D9"/>
            <w:vAlign w:val="bottom"/>
          </w:tcPr>
          <w:p w:rsidRPr="004875D5" w:rsidR="00454EC0" w:rsidP="00E25351" w:rsidRDefault="00454EC0" w14:paraId="1E899F59" w14:textId="77777777">
            <w:pPr>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Annual No. of Responses per Respondent</w:t>
            </w:r>
          </w:p>
          <w:p w:rsidRPr="004875D5" w:rsidR="00454EC0" w:rsidP="00E25351" w:rsidRDefault="00454EC0" w14:paraId="20B2CE89" w14:textId="77777777">
            <w:pPr>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(2)</w:t>
            </w:r>
          </w:p>
        </w:tc>
        <w:tc>
          <w:tcPr>
            <w:tcW w:w="1440" w:type="dxa"/>
            <w:gridSpan w:val="2"/>
            <w:shd w:val="clear" w:color="auto" w:fill="D9D9D9"/>
            <w:vAlign w:val="bottom"/>
          </w:tcPr>
          <w:p w:rsidRPr="004875D5" w:rsidR="00454EC0" w:rsidP="00E25351" w:rsidRDefault="00454EC0" w14:paraId="06AA0FE6" w14:textId="77777777">
            <w:pPr>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Annual No. of Responses</w:t>
            </w:r>
          </w:p>
          <w:p w:rsidRPr="004875D5" w:rsidR="00454EC0" w:rsidP="00E25351" w:rsidRDefault="00454EC0" w14:paraId="4530B1E3" w14:textId="77777777">
            <w:pPr>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(1)*(2)=(3)</w:t>
            </w:r>
          </w:p>
        </w:tc>
        <w:tc>
          <w:tcPr>
            <w:tcW w:w="1170" w:type="dxa"/>
            <w:shd w:val="clear" w:color="auto" w:fill="D9D9D9"/>
            <w:vAlign w:val="bottom"/>
          </w:tcPr>
          <w:p w:rsidRPr="004875D5" w:rsidR="00454EC0" w:rsidP="00E25351" w:rsidRDefault="00454EC0" w14:paraId="7825284E" w14:textId="77777777">
            <w:pPr>
              <w:jc w:val="center"/>
              <w:rPr>
                <w:rFonts w:ascii="Times New Roman" w:hAnsi="Times New Roman" w:eastAsia="Calibri" w:cs="Times New Roman"/>
                <w:b/>
                <w:bCs/>
                <w:sz w:val="24"/>
                <w:szCs w:val="24"/>
              </w:rPr>
            </w:pPr>
            <w:r w:rsidRPr="004875D5">
              <w:rPr>
                <w:rFonts w:ascii="Times New Roman" w:hAnsi="Times New Roman" w:eastAsia="Calibri" w:cs="Times New Roman"/>
                <w:b/>
                <w:sz w:val="24"/>
                <w:szCs w:val="24"/>
              </w:rPr>
              <w:t>Average Burden Hrs.</w:t>
            </w:r>
            <w:r w:rsidRPr="004875D5" w:rsidDel="00674408">
              <w:rPr>
                <w:rFonts w:ascii="Times New Roman" w:hAnsi="Times New Roman" w:eastAsia="Calibri" w:cs="Times New Roman"/>
                <w:b/>
                <w:sz w:val="24"/>
                <w:szCs w:val="24"/>
                <w:vertAlign w:val="superscript"/>
              </w:rPr>
              <w:t xml:space="preserve"> </w:t>
            </w:r>
            <w:r w:rsidRPr="004875D5">
              <w:rPr>
                <w:rFonts w:ascii="Times New Roman" w:hAnsi="Times New Roman" w:eastAsia="Calibri" w:cs="Times New Roman"/>
                <w:b/>
                <w:bCs/>
                <w:sz w:val="24"/>
                <w:szCs w:val="24"/>
              </w:rPr>
              <w:t xml:space="preserve">Per Response </w:t>
            </w:r>
          </w:p>
          <w:p w:rsidRPr="004875D5" w:rsidR="00454EC0" w:rsidP="00E25351" w:rsidRDefault="00454EC0" w14:paraId="4488262E" w14:textId="77777777">
            <w:pPr>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(4)</w:t>
            </w:r>
          </w:p>
        </w:tc>
        <w:tc>
          <w:tcPr>
            <w:tcW w:w="2250" w:type="dxa"/>
            <w:shd w:val="clear" w:color="auto" w:fill="D9D9D9"/>
            <w:vAlign w:val="bottom"/>
          </w:tcPr>
          <w:p w:rsidRPr="004875D5" w:rsidR="00454EC0" w:rsidP="00E25351" w:rsidRDefault="00454EC0" w14:paraId="362D97A4" w14:textId="77777777">
            <w:pPr>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 xml:space="preserve">Total Annual Burden Hours </w:t>
            </w:r>
          </w:p>
          <w:p w:rsidRPr="004875D5" w:rsidR="00454EC0" w:rsidP="00E25351" w:rsidRDefault="00454EC0" w14:paraId="0E1F3BC2" w14:textId="77777777">
            <w:pPr>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(3)*(4)=(5)</w:t>
            </w:r>
          </w:p>
          <w:p w:rsidRPr="004875D5" w:rsidR="00454EC0" w:rsidP="00E25351" w:rsidRDefault="00454EC0" w14:paraId="5F443866" w14:textId="56E4A9C0">
            <w:pPr>
              <w:jc w:val="center"/>
              <w:rPr>
                <w:rFonts w:ascii="Times New Roman" w:hAnsi="Times New Roman" w:eastAsia="Calibri" w:cs="Times New Roman"/>
                <w:b/>
                <w:sz w:val="24"/>
                <w:szCs w:val="24"/>
              </w:rPr>
            </w:pPr>
            <w:r w:rsidRPr="004875D5" w:rsidDel="00176624">
              <w:rPr>
                <w:rFonts w:ascii="Times New Roman" w:hAnsi="Times New Roman" w:eastAsia="Calibri" w:cs="Times New Roman"/>
                <w:b/>
                <w:sz w:val="24"/>
                <w:szCs w:val="24"/>
              </w:rPr>
              <w:t xml:space="preserve"> </w:t>
            </w:r>
          </w:p>
        </w:tc>
      </w:tr>
      <w:tr w:rsidRPr="00FF09E1" w:rsidR="008A7D44" w:rsidTr="004875D5" w14:paraId="43CE557D" w14:textId="77777777">
        <w:trPr>
          <w:cantSplit/>
          <w:trHeight w:val="299"/>
          <w:jc w:val="center"/>
        </w:trPr>
        <w:tc>
          <w:tcPr>
            <w:tcW w:w="1786" w:type="dxa"/>
            <w:vAlign w:val="bottom"/>
          </w:tcPr>
          <w:p w:rsidRPr="004875D5" w:rsidR="008A7D44" w:rsidP="008A7D44" w:rsidRDefault="008A7D44" w14:paraId="75B46842" w14:textId="77777777">
            <w:pPr>
              <w:spacing w:after="0" w:line="240" w:lineRule="auto"/>
              <w:rPr>
                <w:rFonts w:ascii="Times New Roman" w:hAnsi="Times New Roman" w:eastAsia="Calibri" w:cs="Times New Roman"/>
                <w:sz w:val="24"/>
                <w:szCs w:val="24"/>
              </w:rPr>
            </w:pPr>
            <w:r w:rsidRPr="004875D5">
              <w:rPr>
                <w:rFonts w:ascii="Times New Roman" w:hAnsi="Times New Roman" w:eastAsia="Calibri" w:cs="Times New Roman"/>
                <w:sz w:val="24"/>
                <w:szCs w:val="24"/>
              </w:rPr>
              <w:t xml:space="preserve">FAC-002-3 (Facility Interconnection Studies) </w:t>
            </w:r>
          </w:p>
          <w:p w:rsidRPr="004875D5" w:rsidR="008A7D44" w:rsidP="008A7D44" w:rsidRDefault="008A7D44" w14:paraId="2510AA15" w14:textId="77777777">
            <w:pPr>
              <w:spacing w:after="0" w:line="240" w:lineRule="auto"/>
              <w:rPr>
                <w:rFonts w:ascii="Times New Roman" w:hAnsi="Times New Roman" w:eastAsia="Calibri" w:cs="Times New Roman"/>
                <w:sz w:val="24"/>
                <w:szCs w:val="24"/>
              </w:rPr>
            </w:pPr>
            <w:r w:rsidRPr="004875D5">
              <w:rPr>
                <w:rFonts w:ascii="Times New Roman" w:hAnsi="Times New Roman" w:eastAsia="Calibri" w:cs="Times New Roman"/>
                <w:sz w:val="24"/>
                <w:szCs w:val="24"/>
              </w:rPr>
              <w:t>R1</w:t>
            </w:r>
          </w:p>
          <w:p w:rsidRPr="004875D5" w:rsidR="008A7D44" w:rsidP="008A7D44" w:rsidRDefault="008A7D44" w14:paraId="0B59B615" w14:textId="77777777">
            <w:pPr>
              <w:spacing w:after="0" w:line="240" w:lineRule="auto"/>
              <w:rPr>
                <w:rFonts w:ascii="Times New Roman" w:hAnsi="Times New Roman" w:eastAsia="Calibri" w:cs="Times New Roman"/>
                <w:sz w:val="24"/>
                <w:szCs w:val="24"/>
              </w:rPr>
            </w:pPr>
            <w:r w:rsidRPr="004875D5">
              <w:rPr>
                <w:rFonts w:ascii="Times New Roman" w:hAnsi="Times New Roman" w:eastAsia="Calibri" w:cs="Times New Roman"/>
                <w:sz w:val="24"/>
                <w:szCs w:val="24"/>
              </w:rPr>
              <w:t>Study—adjustment</w:t>
            </w:r>
          </w:p>
        </w:tc>
        <w:tc>
          <w:tcPr>
            <w:tcW w:w="1369" w:type="dxa"/>
            <w:gridSpan w:val="3"/>
            <w:vAlign w:val="bottom"/>
          </w:tcPr>
          <w:p w:rsidRPr="004875D5" w:rsidR="008A7D44" w:rsidP="008A7D44" w:rsidRDefault="008A7D44" w14:paraId="0BAAFDED"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+20 (PC &amp; TP)</w:t>
            </w:r>
          </w:p>
        </w:tc>
        <w:tc>
          <w:tcPr>
            <w:tcW w:w="1260" w:type="dxa"/>
            <w:gridSpan w:val="2"/>
            <w:vAlign w:val="bottom"/>
          </w:tcPr>
          <w:p w:rsidRPr="004875D5" w:rsidR="008A7D44" w:rsidP="008A7D44" w:rsidRDefault="008A7D44" w14:paraId="39DC2CB6"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1</w:t>
            </w:r>
          </w:p>
        </w:tc>
        <w:tc>
          <w:tcPr>
            <w:tcW w:w="1430" w:type="dxa"/>
            <w:vAlign w:val="bottom"/>
          </w:tcPr>
          <w:p w:rsidRPr="004875D5" w:rsidR="008A7D44" w:rsidP="008A7D44" w:rsidRDefault="008A7D44" w14:paraId="4EAC241F"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+20</w:t>
            </w:r>
          </w:p>
        </w:tc>
        <w:tc>
          <w:tcPr>
            <w:tcW w:w="1170" w:type="dxa"/>
            <w:vAlign w:val="bottom"/>
          </w:tcPr>
          <w:p w:rsidRPr="004875D5" w:rsidR="008A7D44" w:rsidP="008A7D44" w:rsidRDefault="008A7D44" w14:paraId="3CF2A994"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32 hrs.</w:t>
            </w:r>
          </w:p>
        </w:tc>
        <w:tc>
          <w:tcPr>
            <w:tcW w:w="2250" w:type="dxa"/>
            <w:vAlign w:val="bottom"/>
          </w:tcPr>
          <w:p w:rsidRPr="004875D5" w:rsidR="008A7D44" w:rsidP="008A7D44" w:rsidRDefault="008A7D44" w14:paraId="44607752"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640 hrs.</w:t>
            </w:r>
          </w:p>
        </w:tc>
      </w:tr>
      <w:tr w:rsidRPr="00FF09E1" w:rsidR="008A7D44" w:rsidTr="004875D5" w14:paraId="1DFDAF5E" w14:textId="77777777">
        <w:trPr>
          <w:cantSplit/>
          <w:trHeight w:val="299"/>
          <w:jc w:val="center"/>
        </w:trPr>
        <w:tc>
          <w:tcPr>
            <w:tcW w:w="1786" w:type="dxa"/>
            <w:vAlign w:val="bottom"/>
          </w:tcPr>
          <w:p w:rsidRPr="004875D5" w:rsidR="008A7D44" w:rsidP="008A7D44" w:rsidRDefault="008A7D44" w14:paraId="5DB267F0" w14:textId="77777777">
            <w:pPr>
              <w:spacing w:after="0" w:line="240" w:lineRule="auto"/>
              <w:rPr>
                <w:rFonts w:ascii="Times New Roman" w:hAnsi="Times New Roman" w:eastAsia="Calibri" w:cs="Times New Roman"/>
                <w:sz w:val="24"/>
                <w:szCs w:val="24"/>
              </w:rPr>
            </w:pPr>
            <w:r w:rsidRPr="004875D5">
              <w:rPr>
                <w:rFonts w:ascii="Times New Roman" w:hAnsi="Times New Roman" w:eastAsia="Calibri" w:cs="Times New Roman"/>
                <w:sz w:val="24"/>
                <w:szCs w:val="24"/>
              </w:rPr>
              <w:t xml:space="preserve">FAC-002-3 (Facility Interconnection Studies) </w:t>
            </w:r>
          </w:p>
          <w:p w:rsidRPr="004875D5" w:rsidR="008A7D44" w:rsidP="008A7D44" w:rsidRDefault="008A7D44" w14:paraId="204A3FA0" w14:textId="77777777">
            <w:pPr>
              <w:spacing w:after="0" w:line="240" w:lineRule="auto"/>
              <w:rPr>
                <w:rFonts w:ascii="Times New Roman" w:hAnsi="Times New Roman" w:eastAsia="Calibri" w:cs="Times New Roman"/>
                <w:sz w:val="24"/>
                <w:szCs w:val="24"/>
              </w:rPr>
            </w:pPr>
            <w:r w:rsidRPr="004875D5">
              <w:rPr>
                <w:rFonts w:ascii="Times New Roman" w:hAnsi="Times New Roman" w:eastAsia="Calibri" w:cs="Times New Roman"/>
                <w:sz w:val="24"/>
                <w:szCs w:val="24"/>
              </w:rPr>
              <w:t>R1</w:t>
            </w:r>
          </w:p>
          <w:p w:rsidRPr="004875D5" w:rsidR="008A7D44" w:rsidP="008A7D44" w:rsidRDefault="00B26C82" w14:paraId="5B77A401" w14:textId="4C907D0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Evidence</w:t>
            </w:r>
            <w:r w:rsidRPr="004875D5" w:rsidR="008A7D44">
              <w:rPr>
                <w:rFonts w:ascii="Times New Roman" w:hAnsi="Times New Roman" w:eastAsia="Calibri" w:cs="Times New Roman"/>
                <w:sz w:val="24"/>
                <w:szCs w:val="24"/>
              </w:rPr>
              <w:t xml:space="preserve"> Retention—adjustment</w:t>
            </w:r>
          </w:p>
        </w:tc>
        <w:tc>
          <w:tcPr>
            <w:tcW w:w="1369" w:type="dxa"/>
            <w:gridSpan w:val="3"/>
            <w:vAlign w:val="bottom"/>
          </w:tcPr>
          <w:p w:rsidRPr="004875D5" w:rsidR="008A7D44" w:rsidP="008A7D44" w:rsidRDefault="008A7D44" w14:paraId="17DBB420"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+20 (PC &amp; TP)</w:t>
            </w:r>
          </w:p>
        </w:tc>
        <w:tc>
          <w:tcPr>
            <w:tcW w:w="1260" w:type="dxa"/>
            <w:gridSpan w:val="2"/>
            <w:vAlign w:val="bottom"/>
          </w:tcPr>
          <w:p w:rsidRPr="004875D5" w:rsidR="008A7D44" w:rsidP="008A7D44" w:rsidRDefault="008A7D44" w14:paraId="6299E978"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1</w:t>
            </w:r>
          </w:p>
        </w:tc>
        <w:tc>
          <w:tcPr>
            <w:tcW w:w="1430" w:type="dxa"/>
            <w:vAlign w:val="bottom"/>
          </w:tcPr>
          <w:p w:rsidRPr="004875D5" w:rsidR="008A7D44" w:rsidP="008A7D44" w:rsidRDefault="008A7D44" w14:paraId="459E8320"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+20</w:t>
            </w:r>
          </w:p>
        </w:tc>
        <w:tc>
          <w:tcPr>
            <w:tcW w:w="1170" w:type="dxa"/>
            <w:vAlign w:val="bottom"/>
          </w:tcPr>
          <w:p w:rsidRPr="004875D5" w:rsidR="008A7D44" w:rsidP="008A7D44" w:rsidRDefault="008A7D44" w14:paraId="6D1936FE"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1 hr.</w:t>
            </w:r>
          </w:p>
        </w:tc>
        <w:tc>
          <w:tcPr>
            <w:tcW w:w="2250" w:type="dxa"/>
            <w:vAlign w:val="bottom"/>
          </w:tcPr>
          <w:p w:rsidRPr="004875D5" w:rsidR="008A7D44" w:rsidP="008A7D44" w:rsidRDefault="008A7D44" w14:paraId="7B5F9C57"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 xml:space="preserve">20 hrs. </w:t>
            </w:r>
          </w:p>
        </w:tc>
      </w:tr>
      <w:tr w:rsidRPr="00FF09E1" w:rsidR="008A7D44" w:rsidTr="004875D5" w14:paraId="3D406D1F" w14:textId="77777777">
        <w:trPr>
          <w:cantSplit/>
          <w:trHeight w:val="299"/>
          <w:jc w:val="center"/>
        </w:trPr>
        <w:tc>
          <w:tcPr>
            <w:tcW w:w="1786" w:type="dxa"/>
            <w:vAlign w:val="bottom"/>
          </w:tcPr>
          <w:p w:rsidRPr="004875D5" w:rsidR="008A7D44" w:rsidP="008A7D44" w:rsidRDefault="008A7D44" w14:paraId="283D6312" w14:textId="77777777">
            <w:pPr>
              <w:spacing w:after="0" w:line="240" w:lineRule="auto"/>
              <w:rPr>
                <w:rFonts w:ascii="Times New Roman" w:hAnsi="Times New Roman" w:eastAsia="Calibri" w:cs="Times New Roman"/>
                <w:sz w:val="24"/>
                <w:szCs w:val="24"/>
              </w:rPr>
            </w:pPr>
            <w:r w:rsidRPr="004875D5">
              <w:rPr>
                <w:rFonts w:ascii="Times New Roman" w:hAnsi="Times New Roman" w:eastAsia="Calibri" w:cs="Times New Roman"/>
                <w:sz w:val="24"/>
                <w:szCs w:val="24"/>
              </w:rPr>
              <w:t xml:space="preserve">FAC-002-3 (Facility Interconnection Studies) </w:t>
            </w:r>
          </w:p>
          <w:p w:rsidRPr="004875D5" w:rsidR="008A7D44" w:rsidP="008A7D44" w:rsidRDefault="008A7D44" w14:paraId="560E6CAC" w14:textId="77777777">
            <w:pPr>
              <w:spacing w:after="0" w:line="240" w:lineRule="auto"/>
              <w:rPr>
                <w:rFonts w:ascii="Times New Roman" w:hAnsi="Times New Roman" w:eastAsia="Calibri" w:cs="Times New Roman"/>
                <w:sz w:val="24"/>
                <w:szCs w:val="24"/>
              </w:rPr>
            </w:pPr>
            <w:r w:rsidRPr="004875D5">
              <w:rPr>
                <w:rFonts w:ascii="Times New Roman" w:hAnsi="Times New Roman" w:eastAsia="Calibri" w:cs="Times New Roman"/>
                <w:sz w:val="24"/>
                <w:szCs w:val="24"/>
              </w:rPr>
              <w:t>R2-R5</w:t>
            </w:r>
          </w:p>
          <w:p w:rsidRPr="004875D5" w:rsidR="008A7D44" w:rsidP="008A7D44" w:rsidRDefault="008A7D44" w14:paraId="026BF91A" w14:textId="77777777">
            <w:pPr>
              <w:spacing w:after="0" w:line="240" w:lineRule="auto"/>
              <w:rPr>
                <w:rFonts w:ascii="Times New Roman" w:hAnsi="Times New Roman" w:eastAsia="Calibri" w:cs="Times New Roman"/>
                <w:sz w:val="24"/>
                <w:szCs w:val="24"/>
              </w:rPr>
            </w:pPr>
            <w:r w:rsidRPr="004875D5">
              <w:rPr>
                <w:rFonts w:ascii="Times New Roman" w:hAnsi="Times New Roman" w:eastAsia="Calibri" w:cs="Times New Roman"/>
                <w:sz w:val="24"/>
                <w:szCs w:val="24"/>
              </w:rPr>
              <w:t>Coordination—(program decrease &amp; adjustment decrease)</w:t>
            </w:r>
            <w:r w:rsidRPr="004875D5">
              <w:rPr>
                <w:rFonts w:ascii="Times New Roman" w:hAnsi="Times New Roman" w:eastAsia="Calibri" w:cs="Times New Roman"/>
                <w:b/>
                <w:sz w:val="24"/>
                <w:szCs w:val="24"/>
                <w:vertAlign w:val="superscript"/>
              </w:rPr>
              <w:footnoteReference w:id="18"/>
            </w:r>
          </w:p>
        </w:tc>
        <w:tc>
          <w:tcPr>
            <w:tcW w:w="1369" w:type="dxa"/>
            <w:gridSpan w:val="3"/>
            <w:vAlign w:val="bottom"/>
          </w:tcPr>
          <w:p w:rsidRPr="004875D5" w:rsidR="008A7D44" w:rsidP="008A7D44" w:rsidRDefault="008A7D44" w14:paraId="033FFC2B"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 xml:space="preserve"> -93 (TO, GO &amp; DP)</w:t>
            </w:r>
            <w:r w:rsidRPr="004875D5">
              <w:rPr>
                <w:rFonts w:ascii="Times New Roman" w:hAnsi="Times New Roman" w:eastAsia="Calibri" w:cs="Times New Roman"/>
                <w:b/>
                <w:sz w:val="24"/>
                <w:szCs w:val="24"/>
                <w:vertAlign w:val="superscript"/>
              </w:rPr>
              <w:footnoteReference w:id="19"/>
            </w:r>
          </w:p>
        </w:tc>
        <w:tc>
          <w:tcPr>
            <w:tcW w:w="1260" w:type="dxa"/>
            <w:gridSpan w:val="2"/>
            <w:vAlign w:val="bottom"/>
          </w:tcPr>
          <w:p w:rsidRPr="004875D5" w:rsidR="008A7D44" w:rsidP="008A7D44" w:rsidRDefault="008A7D44" w14:paraId="48B9A70F"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1</w:t>
            </w:r>
          </w:p>
        </w:tc>
        <w:tc>
          <w:tcPr>
            <w:tcW w:w="1430" w:type="dxa"/>
            <w:vAlign w:val="bottom"/>
          </w:tcPr>
          <w:p w:rsidRPr="004875D5" w:rsidR="008A7D44" w:rsidP="008A7D44" w:rsidRDefault="008A7D44" w14:paraId="154AC616"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-93</w:t>
            </w:r>
          </w:p>
        </w:tc>
        <w:tc>
          <w:tcPr>
            <w:tcW w:w="1170" w:type="dxa"/>
            <w:vAlign w:val="bottom"/>
          </w:tcPr>
          <w:p w:rsidRPr="004875D5" w:rsidR="008A7D44" w:rsidP="008A7D44" w:rsidRDefault="008A7D44" w14:paraId="709DEB71"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16 hrs.</w:t>
            </w:r>
          </w:p>
        </w:tc>
        <w:tc>
          <w:tcPr>
            <w:tcW w:w="2250" w:type="dxa"/>
            <w:vAlign w:val="bottom"/>
          </w:tcPr>
          <w:p w:rsidRPr="004875D5" w:rsidR="008A7D44" w:rsidP="008A7D44" w:rsidRDefault="008A7D44" w14:paraId="755E49C1" w14:textId="77777777">
            <w:pPr>
              <w:spacing w:after="0" w:line="240" w:lineRule="auto"/>
              <w:jc w:val="right"/>
              <w:rPr>
                <w:rFonts w:ascii="Times New Roman" w:hAnsi="Times New Roman" w:eastAsia="Calibri" w:cs="Times New Roman"/>
                <w:sz w:val="24"/>
                <w:szCs w:val="24"/>
                <w:highlight w:val="yellow"/>
              </w:rPr>
            </w:pPr>
            <w:r w:rsidRPr="004875D5">
              <w:rPr>
                <w:rFonts w:ascii="Times New Roman" w:hAnsi="Times New Roman" w:eastAsia="Calibri" w:cs="Times New Roman"/>
                <w:sz w:val="24"/>
                <w:szCs w:val="24"/>
              </w:rPr>
              <w:t>-1,488 hrs.</w:t>
            </w:r>
          </w:p>
        </w:tc>
      </w:tr>
      <w:tr w:rsidRPr="00FF09E1" w:rsidR="008A7D44" w:rsidTr="004875D5" w14:paraId="676CB2FD" w14:textId="77777777">
        <w:trPr>
          <w:cantSplit/>
          <w:trHeight w:val="299"/>
          <w:jc w:val="center"/>
        </w:trPr>
        <w:tc>
          <w:tcPr>
            <w:tcW w:w="1786" w:type="dxa"/>
            <w:vAlign w:val="bottom"/>
          </w:tcPr>
          <w:p w:rsidRPr="004875D5" w:rsidR="008A7D44" w:rsidP="008A7D44" w:rsidRDefault="008A7D44" w14:paraId="6BA7096A" w14:textId="77777777">
            <w:pPr>
              <w:spacing w:after="0" w:line="240" w:lineRule="auto"/>
              <w:rPr>
                <w:rFonts w:ascii="Times New Roman" w:hAnsi="Times New Roman" w:eastAsia="Calibri" w:cs="Times New Roman"/>
                <w:sz w:val="24"/>
                <w:szCs w:val="24"/>
              </w:rPr>
            </w:pPr>
            <w:r w:rsidRPr="004875D5">
              <w:rPr>
                <w:rFonts w:ascii="Times New Roman" w:hAnsi="Times New Roman" w:eastAsia="Calibri" w:cs="Times New Roman"/>
                <w:sz w:val="24"/>
                <w:szCs w:val="24"/>
              </w:rPr>
              <w:t xml:space="preserve">FAC-002-3 (Facility Interconnection Studies) </w:t>
            </w:r>
          </w:p>
          <w:p w:rsidRPr="004875D5" w:rsidR="008A7D44" w:rsidP="008A7D44" w:rsidRDefault="008A7D44" w14:paraId="484E98DE" w14:textId="0D7E7F13">
            <w:pPr>
              <w:spacing w:after="0" w:line="240" w:lineRule="auto"/>
              <w:rPr>
                <w:rFonts w:ascii="Times New Roman" w:hAnsi="Times New Roman" w:eastAsia="Calibri" w:cs="Times New Roman"/>
                <w:sz w:val="24"/>
                <w:szCs w:val="24"/>
              </w:rPr>
            </w:pPr>
            <w:r w:rsidRPr="004875D5">
              <w:rPr>
                <w:rFonts w:ascii="Times New Roman" w:hAnsi="Times New Roman" w:eastAsia="Calibri" w:cs="Times New Roman"/>
                <w:sz w:val="24"/>
                <w:szCs w:val="24"/>
              </w:rPr>
              <w:t>R2-R5</w:t>
            </w:r>
            <w:r w:rsidR="00B26C82">
              <w:rPr>
                <w:rFonts w:ascii="Times New Roman" w:hAnsi="Times New Roman" w:eastAsia="Calibri" w:cs="Times New Roman"/>
                <w:sz w:val="24"/>
                <w:szCs w:val="24"/>
              </w:rPr>
              <w:t xml:space="preserve"> Evidence</w:t>
            </w:r>
            <w:r w:rsidR="00703C7E">
              <w:rPr>
                <w:rFonts w:ascii="Times New Roman" w:hAnsi="Times New Roman" w:eastAsia="Calibri" w:cs="Times New Roman"/>
                <w:sz w:val="24"/>
                <w:szCs w:val="24"/>
              </w:rPr>
              <w:t xml:space="preserve"> </w:t>
            </w:r>
            <w:bookmarkStart w:name="_GoBack" w:id="11"/>
            <w:bookmarkEnd w:id="11"/>
            <w:r w:rsidRPr="004875D5">
              <w:rPr>
                <w:rFonts w:ascii="Times New Roman" w:hAnsi="Times New Roman" w:eastAsia="Calibri" w:cs="Times New Roman"/>
                <w:sz w:val="24"/>
                <w:szCs w:val="24"/>
              </w:rPr>
              <w:t xml:space="preserve">Retention—(program decrease &amp; adjustment decrease) </w:t>
            </w:r>
            <w:r w:rsidRPr="004875D5">
              <w:rPr>
                <w:rFonts w:ascii="Times New Roman" w:hAnsi="Times New Roman" w:eastAsia="Calibri" w:cs="Times New Roman"/>
                <w:b/>
                <w:sz w:val="24"/>
                <w:szCs w:val="24"/>
                <w:vertAlign w:val="superscript"/>
              </w:rPr>
              <w:footnoteReference w:id="20"/>
            </w:r>
            <w:r w:rsidRPr="004875D5">
              <w:rPr>
                <w:rFonts w:ascii="Times New Roman" w:hAnsi="Times New Roman" w:eastAsia="Calibri" w:cs="Times New Roman"/>
                <w:sz w:val="24"/>
                <w:szCs w:val="24"/>
              </w:rPr>
              <w:t xml:space="preserve"> </w:t>
            </w:r>
          </w:p>
        </w:tc>
        <w:tc>
          <w:tcPr>
            <w:tcW w:w="1369" w:type="dxa"/>
            <w:gridSpan w:val="3"/>
            <w:vAlign w:val="bottom"/>
          </w:tcPr>
          <w:p w:rsidRPr="004875D5" w:rsidR="008A7D44" w:rsidP="008A7D44" w:rsidRDefault="008A7D44" w14:paraId="0A4B5C1D"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 xml:space="preserve"> -93(TO, GO &amp; DP)</w:t>
            </w:r>
          </w:p>
        </w:tc>
        <w:tc>
          <w:tcPr>
            <w:tcW w:w="1260" w:type="dxa"/>
            <w:gridSpan w:val="2"/>
            <w:vAlign w:val="bottom"/>
          </w:tcPr>
          <w:p w:rsidRPr="004875D5" w:rsidR="008A7D44" w:rsidP="008A7D44" w:rsidRDefault="008A7D44" w14:paraId="08197864"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1</w:t>
            </w:r>
          </w:p>
        </w:tc>
        <w:tc>
          <w:tcPr>
            <w:tcW w:w="1430" w:type="dxa"/>
            <w:vAlign w:val="bottom"/>
          </w:tcPr>
          <w:p w:rsidRPr="004875D5" w:rsidR="008A7D44" w:rsidP="008A7D44" w:rsidRDefault="008A7D44" w14:paraId="542C3C1D"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-93</w:t>
            </w:r>
          </w:p>
        </w:tc>
        <w:tc>
          <w:tcPr>
            <w:tcW w:w="1170" w:type="dxa"/>
            <w:vAlign w:val="bottom"/>
          </w:tcPr>
          <w:p w:rsidRPr="004875D5" w:rsidR="008A7D44" w:rsidP="008A7D44" w:rsidRDefault="008A7D44" w14:paraId="400B0FAF"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1 hr.</w:t>
            </w:r>
          </w:p>
        </w:tc>
        <w:tc>
          <w:tcPr>
            <w:tcW w:w="2250" w:type="dxa"/>
            <w:vAlign w:val="bottom"/>
          </w:tcPr>
          <w:p w:rsidRPr="004875D5" w:rsidR="008A7D44" w:rsidP="008A7D44" w:rsidRDefault="008A7D44" w14:paraId="03657CAD" w14:textId="77777777">
            <w:pPr>
              <w:spacing w:after="0" w:line="240" w:lineRule="auto"/>
              <w:jc w:val="right"/>
              <w:rPr>
                <w:rFonts w:ascii="Times New Roman" w:hAnsi="Times New Roman" w:eastAsia="Calibri" w:cs="Times New Roman"/>
                <w:sz w:val="24"/>
                <w:szCs w:val="24"/>
                <w:highlight w:val="yellow"/>
              </w:rPr>
            </w:pPr>
            <w:r w:rsidRPr="004875D5">
              <w:rPr>
                <w:rFonts w:ascii="Times New Roman" w:hAnsi="Times New Roman" w:eastAsia="Calibri" w:cs="Times New Roman"/>
                <w:sz w:val="24"/>
                <w:szCs w:val="24"/>
              </w:rPr>
              <w:t>-93 hrs.</w:t>
            </w:r>
          </w:p>
        </w:tc>
      </w:tr>
      <w:tr w:rsidRPr="00FF09E1" w:rsidR="008A7D44" w:rsidTr="004875D5" w14:paraId="18F010A2" w14:textId="77777777">
        <w:trPr>
          <w:cantSplit/>
          <w:trHeight w:val="299"/>
          <w:jc w:val="center"/>
        </w:trPr>
        <w:tc>
          <w:tcPr>
            <w:tcW w:w="1786" w:type="dxa"/>
            <w:vAlign w:val="bottom"/>
          </w:tcPr>
          <w:p w:rsidRPr="004875D5" w:rsidR="008A7D44" w:rsidP="008A7D44" w:rsidRDefault="008A7D44" w14:paraId="501B9250" w14:textId="1C0B701D">
            <w:pPr>
              <w:spacing w:after="0" w:line="240" w:lineRule="auto"/>
              <w:rPr>
                <w:rFonts w:ascii="Times New Roman" w:hAnsi="Times New Roman" w:eastAsia="Calibri" w:cs="Times New Roman"/>
                <w:b/>
                <w:bCs/>
                <w:sz w:val="24"/>
                <w:szCs w:val="24"/>
              </w:rPr>
            </w:pPr>
            <w:r w:rsidRPr="004875D5">
              <w:rPr>
                <w:rFonts w:ascii="Times New Roman" w:hAnsi="Times New Roman" w:eastAsia="Calibri" w:cs="Times New Roman"/>
                <w:b/>
                <w:bCs/>
                <w:sz w:val="24"/>
                <w:szCs w:val="24"/>
              </w:rPr>
              <w:t xml:space="preserve">Net Total for </w:t>
            </w:r>
            <w:r w:rsidRPr="004875D5" w:rsidR="000239B2">
              <w:rPr>
                <w:rFonts w:ascii="Times New Roman" w:hAnsi="Times New Roman" w:eastAsia="Calibri" w:cs="Times New Roman"/>
                <w:b/>
                <w:bCs/>
                <w:sz w:val="24"/>
                <w:szCs w:val="24"/>
              </w:rPr>
              <w:t xml:space="preserve">Changes in </w:t>
            </w:r>
            <w:r w:rsidRPr="004875D5">
              <w:rPr>
                <w:rFonts w:ascii="Times New Roman" w:hAnsi="Times New Roman" w:eastAsia="Calibri" w:cs="Times New Roman"/>
                <w:b/>
                <w:bCs/>
                <w:sz w:val="24"/>
                <w:szCs w:val="24"/>
              </w:rPr>
              <w:t>FERC-725D</w:t>
            </w:r>
            <w:r w:rsidRPr="004875D5" w:rsidR="000239B2">
              <w:rPr>
                <w:rFonts w:ascii="Times New Roman" w:hAnsi="Times New Roman" w:eastAsia="Calibri" w:cs="Times New Roman"/>
                <w:b/>
                <w:bCs/>
                <w:sz w:val="24"/>
                <w:szCs w:val="24"/>
              </w:rPr>
              <w:t>, due to RD20-4</w:t>
            </w:r>
          </w:p>
        </w:tc>
        <w:tc>
          <w:tcPr>
            <w:tcW w:w="1369" w:type="dxa"/>
            <w:gridSpan w:val="3"/>
            <w:shd w:val="clear" w:color="auto" w:fill="D9D9D9"/>
            <w:vAlign w:val="bottom"/>
          </w:tcPr>
          <w:p w:rsidRPr="004875D5" w:rsidR="008A7D44" w:rsidP="008A7D44" w:rsidRDefault="008A7D44" w14:paraId="4CC8F14F" w14:textId="77777777">
            <w:pPr>
              <w:spacing w:after="0" w:line="240" w:lineRule="auto"/>
              <w:jc w:val="right"/>
              <w:rPr>
                <w:rFonts w:ascii="Times New Roman" w:hAnsi="Times New Roman" w:eastAsia="Calibri" w:cs="Times New Roman"/>
                <w:sz w:val="24"/>
                <w:szCs w:val="24"/>
              </w:rPr>
            </w:pPr>
          </w:p>
        </w:tc>
        <w:tc>
          <w:tcPr>
            <w:tcW w:w="1260" w:type="dxa"/>
            <w:gridSpan w:val="2"/>
            <w:shd w:val="clear" w:color="auto" w:fill="D9D9D9"/>
            <w:vAlign w:val="bottom"/>
          </w:tcPr>
          <w:p w:rsidRPr="004875D5" w:rsidR="008A7D44" w:rsidP="008A7D44" w:rsidRDefault="008A7D44" w14:paraId="53DE5344" w14:textId="77777777">
            <w:pPr>
              <w:spacing w:after="0" w:line="240" w:lineRule="auto"/>
              <w:jc w:val="right"/>
              <w:rPr>
                <w:rFonts w:ascii="Times New Roman" w:hAnsi="Times New Roman" w:eastAsia="Calibri" w:cs="Times New Roman"/>
                <w:sz w:val="24"/>
                <w:szCs w:val="24"/>
              </w:rPr>
            </w:pPr>
          </w:p>
        </w:tc>
        <w:tc>
          <w:tcPr>
            <w:tcW w:w="1430" w:type="dxa"/>
            <w:shd w:val="clear" w:color="auto" w:fill="auto"/>
            <w:vAlign w:val="bottom"/>
          </w:tcPr>
          <w:p w:rsidRPr="004875D5" w:rsidR="008A7D44" w:rsidP="008A7D44" w:rsidRDefault="008A7D44" w14:paraId="132D434E" w14:textId="77777777">
            <w:pPr>
              <w:spacing w:after="0" w:line="240" w:lineRule="auto"/>
              <w:jc w:val="right"/>
              <w:rPr>
                <w:rFonts w:ascii="Times New Roman" w:hAnsi="Times New Roman" w:eastAsia="Calibri" w:cs="Times New Roman"/>
                <w:b/>
                <w:bCs/>
                <w:sz w:val="24"/>
                <w:szCs w:val="24"/>
              </w:rPr>
            </w:pPr>
            <w:r w:rsidRPr="004875D5">
              <w:rPr>
                <w:rFonts w:ascii="Times New Roman" w:hAnsi="Times New Roman" w:eastAsia="Calibri" w:cs="Times New Roman"/>
                <w:b/>
                <w:bCs/>
                <w:sz w:val="24"/>
                <w:szCs w:val="24"/>
              </w:rPr>
              <w:t>-146 (net reduction)</w:t>
            </w:r>
          </w:p>
        </w:tc>
        <w:tc>
          <w:tcPr>
            <w:tcW w:w="1170" w:type="dxa"/>
            <w:shd w:val="clear" w:color="auto" w:fill="D9D9D9"/>
            <w:vAlign w:val="bottom"/>
          </w:tcPr>
          <w:p w:rsidRPr="004875D5" w:rsidR="008A7D44" w:rsidP="008A7D44" w:rsidRDefault="008A7D44" w14:paraId="4A7BB484" w14:textId="77777777">
            <w:pPr>
              <w:spacing w:after="0" w:line="240" w:lineRule="auto"/>
              <w:jc w:val="right"/>
              <w:rPr>
                <w:rFonts w:ascii="Times New Roman" w:hAnsi="Times New Roman" w:eastAsia="Calibri" w:cs="Times New Roman"/>
                <w:sz w:val="24"/>
                <w:szCs w:val="24"/>
              </w:rPr>
            </w:pPr>
          </w:p>
        </w:tc>
        <w:tc>
          <w:tcPr>
            <w:tcW w:w="2250" w:type="dxa"/>
            <w:vAlign w:val="bottom"/>
          </w:tcPr>
          <w:p w:rsidRPr="004875D5" w:rsidR="008A7D44" w:rsidP="008A7D44" w:rsidRDefault="008A7D44" w14:paraId="06C91A1A" w14:textId="77777777">
            <w:pPr>
              <w:spacing w:after="0" w:line="240" w:lineRule="auto"/>
              <w:jc w:val="right"/>
              <w:rPr>
                <w:rFonts w:ascii="Times New Roman" w:hAnsi="Times New Roman" w:eastAsia="Calibri" w:cs="Times New Roman"/>
                <w:b/>
                <w:bCs/>
                <w:sz w:val="24"/>
                <w:szCs w:val="24"/>
              </w:rPr>
            </w:pPr>
            <w:r w:rsidRPr="004875D5">
              <w:rPr>
                <w:rFonts w:ascii="Times New Roman" w:hAnsi="Times New Roman" w:eastAsia="Calibri" w:cs="Times New Roman"/>
                <w:b/>
                <w:bCs/>
                <w:sz w:val="24"/>
                <w:szCs w:val="24"/>
              </w:rPr>
              <w:t>-921 hrs.</w:t>
            </w:r>
          </w:p>
          <w:p w:rsidRPr="004875D5" w:rsidR="008A7D44" w:rsidP="008A7D44" w:rsidRDefault="008A7D44" w14:paraId="6BFB0B5E"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b/>
                <w:bCs/>
                <w:sz w:val="24"/>
                <w:szCs w:val="24"/>
              </w:rPr>
              <w:t>(net reduction)</w:t>
            </w:r>
          </w:p>
        </w:tc>
      </w:tr>
    </w:tbl>
    <w:p w:rsidR="002D5670" w:rsidP="00FE33E2" w:rsidRDefault="002D5670" w14:paraId="05F01DA2" w14:textId="3AAC7DE8">
      <w:pPr>
        <w:spacing w:after="0" w:line="240" w:lineRule="auto"/>
        <w:rPr>
          <w:rFonts w:ascii="Times New Roman" w:hAnsi="Times New Roman" w:cs="Times New Roman"/>
          <w:b/>
          <w:sz w:val="24"/>
          <w:szCs w:val="24"/>
        </w:rPr>
      </w:pPr>
    </w:p>
    <w:p w:rsidRPr="004875D5" w:rsidR="00350C06" w:rsidP="00FE33E2" w:rsidRDefault="00350C06" w14:paraId="066708FF" w14:textId="765747AA">
      <w:pPr>
        <w:spacing w:after="0" w:line="240" w:lineRule="auto"/>
        <w:rPr>
          <w:rFonts w:ascii="Times New Roman" w:hAnsi="Times New Roman" w:cs="Times New Roman"/>
          <w:bCs/>
          <w:sz w:val="24"/>
          <w:szCs w:val="24"/>
        </w:rPr>
      </w:pPr>
      <w:r>
        <w:rPr>
          <w:rFonts w:ascii="Times New Roman" w:hAnsi="Times New Roman" w:eastAsia="Calibri" w:cs="Times New Roman"/>
          <w:bCs/>
          <w:sz w:val="24"/>
          <w:szCs w:val="24"/>
        </w:rPr>
        <w:t>In the table below</w:t>
      </w:r>
      <w:r w:rsidR="002E30AE">
        <w:rPr>
          <w:rFonts w:ascii="Times New Roman" w:hAnsi="Times New Roman" w:eastAsia="Calibri" w:cs="Times New Roman"/>
          <w:bCs/>
          <w:sz w:val="24"/>
          <w:szCs w:val="24"/>
        </w:rPr>
        <w:t>,</w:t>
      </w:r>
      <w:r w:rsidR="00703C7E">
        <w:rPr>
          <w:rFonts w:ascii="Times New Roman" w:hAnsi="Times New Roman" w:eastAsia="Calibri" w:cs="Times New Roman"/>
          <w:bCs/>
          <w:sz w:val="24"/>
          <w:szCs w:val="24"/>
        </w:rPr>
        <w:t xml:space="preserve"> </w:t>
      </w:r>
      <w:r w:rsidR="002E30AE">
        <w:rPr>
          <w:rFonts w:ascii="Times New Roman" w:hAnsi="Times New Roman" w:eastAsia="Calibri" w:cs="Times New Roman"/>
          <w:bCs/>
          <w:sz w:val="24"/>
          <w:szCs w:val="24"/>
        </w:rPr>
        <w:t>t</w:t>
      </w:r>
      <w:r>
        <w:rPr>
          <w:rFonts w:ascii="Times New Roman" w:hAnsi="Times New Roman" w:eastAsia="Calibri" w:cs="Times New Roman"/>
          <w:bCs/>
          <w:sz w:val="24"/>
          <w:szCs w:val="24"/>
        </w:rPr>
        <w:t>he r</w:t>
      </w:r>
      <w:r w:rsidRPr="004875D5">
        <w:rPr>
          <w:rFonts w:ascii="Times New Roman" w:hAnsi="Times New Roman" w:eastAsia="Calibri" w:cs="Times New Roman"/>
          <w:bCs/>
          <w:sz w:val="24"/>
          <w:szCs w:val="24"/>
        </w:rPr>
        <w:t>enewal Docket No. IC21-3-000</w:t>
      </w:r>
      <w:r>
        <w:rPr>
          <w:rFonts w:ascii="Times New Roman" w:hAnsi="Times New Roman" w:eastAsia="Calibri" w:cs="Times New Roman"/>
          <w:bCs/>
          <w:sz w:val="24"/>
          <w:szCs w:val="24"/>
        </w:rPr>
        <w:t xml:space="preserve"> </w:t>
      </w:r>
      <w:r w:rsidRPr="004875D5">
        <w:rPr>
          <w:rFonts w:ascii="Times New Roman" w:hAnsi="Times New Roman" w:eastAsia="Calibri" w:cs="Times New Roman"/>
          <w:bCs/>
          <w:sz w:val="24"/>
          <w:szCs w:val="24"/>
        </w:rPr>
        <w:t xml:space="preserve">includes the net changes of Docket No. RD20-4 from </w:t>
      </w:r>
      <w:r>
        <w:rPr>
          <w:rFonts w:ascii="Times New Roman" w:hAnsi="Times New Roman" w:eastAsia="Calibri" w:cs="Times New Roman"/>
          <w:bCs/>
          <w:sz w:val="24"/>
          <w:szCs w:val="24"/>
        </w:rPr>
        <w:t xml:space="preserve">the </w:t>
      </w:r>
      <w:r w:rsidRPr="004875D5">
        <w:rPr>
          <w:rFonts w:ascii="Times New Roman" w:hAnsi="Times New Roman" w:eastAsia="Calibri" w:cs="Times New Roman"/>
          <w:bCs/>
          <w:sz w:val="24"/>
          <w:szCs w:val="24"/>
        </w:rPr>
        <w:t>table above</w:t>
      </w:r>
      <w:r>
        <w:rPr>
          <w:rFonts w:ascii="Times New Roman" w:hAnsi="Times New Roman" w:eastAsia="Calibri" w:cs="Times New Roman"/>
          <w:bCs/>
          <w:sz w:val="24"/>
          <w:szCs w:val="24"/>
        </w:rPr>
        <w:t>.</w:t>
      </w:r>
      <w:r w:rsidRPr="004875D5">
        <w:rPr>
          <w:rFonts w:ascii="Times New Roman" w:hAnsi="Times New Roman" w:eastAsia="Calibri" w:cs="Times New Roman"/>
          <w:bCs/>
          <w:sz w:val="24"/>
          <w:szCs w:val="24"/>
        </w:rPr>
        <w:t xml:space="preserve"> </w:t>
      </w:r>
    </w:p>
    <w:p w:rsidRPr="004875D5" w:rsidR="00350C06" w:rsidP="00FE33E2" w:rsidRDefault="00350C06" w14:paraId="4F63A03B" w14:textId="77777777">
      <w:pPr>
        <w:spacing w:after="0" w:line="240" w:lineRule="auto"/>
        <w:rPr>
          <w:rFonts w:ascii="Times New Roman" w:hAnsi="Times New Roman" w:cs="Times New Roman"/>
          <w:bCs/>
          <w:sz w:val="24"/>
          <w:szCs w:val="24"/>
        </w:rPr>
      </w:pPr>
    </w:p>
    <w:tbl>
      <w:tblPr>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5"/>
        <w:gridCol w:w="1081"/>
        <w:gridCol w:w="1760"/>
        <w:gridCol w:w="1299"/>
        <w:gridCol w:w="1530"/>
        <w:gridCol w:w="1891"/>
      </w:tblGrid>
      <w:tr w:rsidRPr="00FF09E1" w:rsidR="008A7D44" w:rsidTr="002650E2" w14:paraId="39FF10E9" w14:textId="77777777">
        <w:trPr>
          <w:trHeight w:val="350"/>
          <w:jc w:val="center"/>
        </w:trPr>
        <w:tc>
          <w:tcPr>
            <w:tcW w:w="9266" w:type="dxa"/>
            <w:gridSpan w:val="6"/>
            <w:tcBorders>
              <w:top w:val="single" w:color="auto" w:sz="4" w:space="0"/>
              <w:left w:val="single" w:color="auto" w:sz="4" w:space="0"/>
              <w:bottom w:val="single" w:color="auto" w:sz="4" w:space="0"/>
              <w:right w:val="single" w:color="auto" w:sz="4" w:space="0"/>
            </w:tcBorders>
            <w:shd w:val="clear" w:color="auto" w:fill="BFBFBF"/>
            <w:noWrap/>
            <w:vAlign w:val="bottom"/>
          </w:tcPr>
          <w:p w:rsidRPr="004875D5" w:rsidR="008A7D44" w:rsidP="008A7D44" w:rsidRDefault="008A7D44" w14:paraId="390CC56F" w14:textId="46FFD025">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4875D5">
              <w:rPr>
                <w:rFonts w:ascii="Times New Roman" w:hAnsi="Times New Roman" w:eastAsia="Calibri" w:cs="Times New Roman"/>
                <w:b/>
                <w:sz w:val="24"/>
                <w:szCs w:val="24"/>
              </w:rPr>
              <w:t>FERC-725D: (Mandatory Reliability Standards: FAC (Facilities, Design, Connections, and Maintenance</w:t>
            </w:r>
            <w:r w:rsidRPr="004875D5">
              <w:rPr>
                <w:rFonts w:ascii="Times New Roman" w:hAnsi="Times New Roman" w:eastAsia="Times New Roman" w:cs="Times New Roman"/>
                <w:b/>
                <w:bCs/>
                <w:color w:val="000000"/>
                <w:sz w:val="24"/>
                <w:szCs w:val="24"/>
              </w:rPr>
              <w:t>)</w:t>
            </w:r>
            <w:r w:rsidR="00350C06">
              <w:rPr>
                <w:rFonts w:ascii="Times New Roman" w:hAnsi="Times New Roman" w:eastAsia="Times New Roman" w:cs="Times New Roman"/>
                <w:b/>
                <w:bCs/>
                <w:color w:val="000000"/>
                <w:sz w:val="24"/>
                <w:szCs w:val="24"/>
              </w:rPr>
              <w:t xml:space="preserve"> </w:t>
            </w:r>
            <w:r w:rsidR="00F54358">
              <w:rPr>
                <w:rFonts w:ascii="Times New Roman" w:hAnsi="Times New Roman" w:eastAsia="Times New Roman" w:cs="Times New Roman"/>
                <w:b/>
                <w:bCs/>
                <w:color w:val="000000"/>
                <w:sz w:val="24"/>
                <w:szCs w:val="24"/>
              </w:rPr>
              <w:t>--</w:t>
            </w:r>
            <w:r w:rsidRPr="004875D5">
              <w:rPr>
                <w:rFonts w:ascii="Times New Roman" w:hAnsi="Times New Roman" w:eastAsia="Times New Roman" w:cs="Times New Roman"/>
                <w:b/>
                <w:bCs/>
                <w:color w:val="000000"/>
                <w:sz w:val="24"/>
                <w:szCs w:val="24"/>
              </w:rPr>
              <w:t xml:space="preserve"> FAC-001-3, FAC-002-3, FAC-010-3,</w:t>
            </w:r>
            <w:r w:rsidR="00350C06">
              <w:rPr>
                <w:rFonts w:ascii="Times New Roman" w:hAnsi="Times New Roman" w:eastAsia="Times New Roman" w:cs="Times New Roman"/>
                <w:b/>
                <w:bCs/>
                <w:color w:val="000000"/>
                <w:sz w:val="24"/>
                <w:szCs w:val="24"/>
              </w:rPr>
              <w:t xml:space="preserve"> </w:t>
            </w:r>
            <w:r w:rsidRPr="004875D5">
              <w:rPr>
                <w:rFonts w:ascii="Times New Roman" w:hAnsi="Times New Roman" w:eastAsia="Times New Roman" w:cs="Times New Roman"/>
                <w:b/>
                <w:bCs/>
                <w:color w:val="000000"/>
                <w:sz w:val="24"/>
                <w:szCs w:val="24"/>
              </w:rPr>
              <w:t>FAC-011-3, and FAC-014-2</w:t>
            </w:r>
          </w:p>
        </w:tc>
      </w:tr>
      <w:tr w:rsidRPr="00FF09E1" w:rsidR="008A7D44" w:rsidTr="002650E2" w14:paraId="3426B33D" w14:textId="77777777">
        <w:trPr>
          <w:trHeight w:val="350"/>
          <w:jc w:val="center"/>
        </w:trPr>
        <w:tc>
          <w:tcPr>
            <w:tcW w:w="1705" w:type="dxa"/>
            <w:tcBorders>
              <w:top w:val="single" w:color="auto" w:sz="4" w:space="0"/>
              <w:left w:val="single" w:color="auto" w:sz="4" w:space="0"/>
              <w:bottom w:val="single" w:color="auto" w:sz="4" w:space="0"/>
              <w:right w:val="single" w:color="auto" w:sz="4" w:space="0"/>
            </w:tcBorders>
            <w:shd w:val="clear" w:color="auto" w:fill="BFBFBF"/>
            <w:noWrap/>
            <w:vAlign w:val="bottom"/>
          </w:tcPr>
          <w:p w:rsidRPr="004875D5" w:rsidR="008A7D44" w:rsidP="008A7D44" w:rsidRDefault="008A7D44" w14:paraId="09388F78" w14:textId="77777777">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p w:rsidRPr="004875D5" w:rsidR="008A7D44" w:rsidP="008A7D44" w:rsidRDefault="008A7D44" w14:paraId="59E49362" w14:textId="77777777">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p w:rsidRPr="004875D5" w:rsidR="008A7D44" w:rsidP="008A7D44" w:rsidRDefault="008A7D44" w14:paraId="30F6F78F" w14:textId="77777777">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p w:rsidRPr="004875D5" w:rsidR="008A7D44" w:rsidP="008A7D44" w:rsidRDefault="008A7D44" w14:paraId="0D840471"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p>
        </w:tc>
        <w:tc>
          <w:tcPr>
            <w:tcW w:w="1081" w:type="dxa"/>
            <w:tcBorders>
              <w:top w:val="single" w:color="auto" w:sz="4" w:space="0"/>
              <w:left w:val="single" w:color="auto" w:sz="4" w:space="0"/>
              <w:bottom w:val="single" w:color="auto" w:sz="4" w:space="0"/>
              <w:right w:val="single" w:color="auto" w:sz="4" w:space="0"/>
            </w:tcBorders>
            <w:shd w:val="clear" w:color="auto" w:fill="BFBFBF"/>
            <w:vAlign w:val="bottom"/>
            <w:hideMark/>
          </w:tcPr>
          <w:p w:rsidRPr="004875D5" w:rsidR="008A7D44" w:rsidP="008A7D44" w:rsidRDefault="008A7D44" w14:paraId="1CAB0E36" w14:textId="17E403D3">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4875D5">
              <w:rPr>
                <w:rFonts w:ascii="Times New Roman" w:hAnsi="Times New Roman" w:eastAsia="Times New Roman" w:cs="Times New Roman"/>
                <w:b/>
                <w:sz w:val="24"/>
                <w:szCs w:val="24"/>
              </w:rPr>
              <w:t>Number and Type of Respondent</w:t>
            </w:r>
          </w:p>
          <w:p w:rsidRPr="004875D5" w:rsidR="008A7D44" w:rsidP="008A7D44" w:rsidRDefault="008A7D44" w14:paraId="694CF911"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4875D5">
              <w:rPr>
                <w:rFonts w:ascii="Times New Roman" w:hAnsi="Times New Roman" w:eastAsia="Times New Roman" w:cs="Times New Roman"/>
                <w:b/>
                <w:sz w:val="24"/>
                <w:szCs w:val="24"/>
              </w:rPr>
              <w:t>(1)</w:t>
            </w:r>
          </w:p>
        </w:tc>
        <w:tc>
          <w:tcPr>
            <w:tcW w:w="1760" w:type="dxa"/>
            <w:tcBorders>
              <w:top w:val="single" w:color="auto" w:sz="4" w:space="0"/>
              <w:left w:val="single" w:color="auto" w:sz="4" w:space="0"/>
              <w:bottom w:val="single" w:color="auto" w:sz="4" w:space="0"/>
              <w:right w:val="single" w:color="auto" w:sz="4" w:space="0"/>
            </w:tcBorders>
            <w:shd w:val="clear" w:color="auto" w:fill="BFBFBF"/>
            <w:vAlign w:val="bottom"/>
            <w:hideMark/>
          </w:tcPr>
          <w:p w:rsidRPr="004875D5" w:rsidR="008A7D44" w:rsidP="008A7D44" w:rsidRDefault="008A7D44" w14:paraId="48FBFE02"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4875D5">
              <w:rPr>
                <w:rFonts w:ascii="Times New Roman" w:hAnsi="Times New Roman" w:eastAsia="Times New Roman" w:cs="Times New Roman"/>
                <w:b/>
                <w:sz w:val="24"/>
                <w:szCs w:val="24"/>
              </w:rPr>
              <w:t>Annual Number of Responses per Respondent</w:t>
            </w:r>
          </w:p>
          <w:p w:rsidRPr="004875D5" w:rsidR="008A7D44" w:rsidP="008A7D44" w:rsidRDefault="008A7D44" w14:paraId="064C5DBC"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4875D5">
              <w:rPr>
                <w:rFonts w:ascii="Times New Roman" w:hAnsi="Times New Roman" w:eastAsia="Times New Roman" w:cs="Times New Roman"/>
                <w:b/>
                <w:sz w:val="24"/>
                <w:szCs w:val="24"/>
              </w:rPr>
              <w:t>(2)</w:t>
            </w:r>
          </w:p>
        </w:tc>
        <w:tc>
          <w:tcPr>
            <w:tcW w:w="1299" w:type="dxa"/>
            <w:tcBorders>
              <w:top w:val="single" w:color="auto" w:sz="4" w:space="0"/>
              <w:left w:val="single" w:color="auto" w:sz="4" w:space="0"/>
              <w:bottom w:val="single" w:color="auto" w:sz="4" w:space="0"/>
              <w:right w:val="single" w:color="auto" w:sz="4" w:space="0"/>
            </w:tcBorders>
            <w:shd w:val="clear" w:color="auto" w:fill="BFBFBF"/>
            <w:vAlign w:val="bottom"/>
            <w:hideMark/>
          </w:tcPr>
          <w:p w:rsidRPr="004875D5" w:rsidR="008A7D44" w:rsidP="008A7D44" w:rsidRDefault="008A7D44" w14:paraId="3AB4A1F4"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highlight w:val="yellow"/>
              </w:rPr>
            </w:pPr>
            <w:r w:rsidRPr="004875D5">
              <w:rPr>
                <w:rFonts w:ascii="Times New Roman" w:hAnsi="Times New Roman" w:eastAsia="Times New Roman" w:cs="Times New Roman"/>
                <w:b/>
                <w:sz w:val="24"/>
                <w:szCs w:val="24"/>
              </w:rPr>
              <w:t>Total Number of Responses (1)*(2)=(3)</w:t>
            </w:r>
          </w:p>
        </w:tc>
        <w:tc>
          <w:tcPr>
            <w:tcW w:w="1530" w:type="dxa"/>
            <w:tcBorders>
              <w:top w:val="single" w:color="auto" w:sz="4" w:space="0"/>
              <w:left w:val="single" w:color="auto" w:sz="4" w:space="0"/>
              <w:bottom w:val="single" w:color="auto" w:sz="4" w:space="0"/>
              <w:right w:val="single" w:color="auto" w:sz="4" w:space="0"/>
            </w:tcBorders>
            <w:shd w:val="clear" w:color="auto" w:fill="BFBFBF"/>
            <w:vAlign w:val="bottom"/>
            <w:hideMark/>
          </w:tcPr>
          <w:p w:rsidRPr="004875D5" w:rsidR="008A7D44" w:rsidP="008A7D44" w:rsidRDefault="008A7D44" w14:paraId="3EB5F15F" w14:textId="10D363F3">
            <w:pPr>
              <w:widowControl w:val="0"/>
              <w:autoSpaceDE w:val="0"/>
              <w:autoSpaceDN w:val="0"/>
              <w:adjustRightInd w:val="0"/>
              <w:spacing w:after="0" w:line="240" w:lineRule="auto"/>
              <w:jc w:val="center"/>
              <w:rPr>
                <w:rFonts w:ascii="Times New Roman" w:hAnsi="Times New Roman" w:eastAsia="Calibri" w:cs="Times New Roman"/>
                <w:b/>
                <w:sz w:val="24"/>
                <w:szCs w:val="24"/>
                <w:vertAlign w:val="superscript"/>
              </w:rPr>
            </w:pPr>
            <w:r w:rsidRPr="004875D5">
              <w:rPr>
                <w:rFonts w:ascii="Times New Roman" w:hAnsi="Times New Roman" w:eastAsia="Times New Roman" w:cs="Times New Roman"/>
                <w:b/>
                <w:sz w:val="24"/>
                <w:szCs w:val="24"/>
              </w:rPr>
              <w:t>Average Burden per Response (Hours)</w:t>
            </w:r>
            <w:r w:rsidRPr="004875D5">
              <w:rPr>
                <w:rFonts w:ascii="Times New Roman" w:hAnsi="Times New Roman" w:eastAsia="Calibri" w:cs="Times New Roman"/>
                <w:b/>
                <w:sz w:val="24"/>
                <w:szCs w:val="24"/>
                <w:vertAlign w:val="superscript"/>
              </w:rPr>
              <w:t xml:space="preserve"> </w:t>
            </w:r>
          </w:p>
          <w:p w:rsidRPr="004875D5" w:rsidR="008A7D44" w:rsidP="008A7D44" w:rsidRDefault="008A7D44" w14:paraId="64F99A48" w14:textId="77777777">
            <w:pPr>
              <w:widowControl w:val="0"/>
              <w:autoSpaceDE w:val="0"/>
              <w:autoSpaceDN w:val="0"/>
              <w:adjustRightInd w:val="0"/>
              <w:spacing w:after="0" w:line="240" w:lineRule="auto"/>
              <w:jc w:val="center"/>
              <w:rPr>
                <w:rFonts w:ascii="Times New Roman" w:hAnsi="Times New Roman" w:eastAsia="Calibri" w:cs="Times New Roman"/>
                <w:b/>
                <w:sz w:val="24"/>
                <w:szCs w:val="24"/>
              </w:rPr>
            </w:pPr>
            <w:r w:rsidRPr="004875D5">
              <w:rPr>
                <w:rFonts w:ascii="Times New Roman" w:hAnsi="Times New Roman" w:eastAsia="Calibri" w:cs="Times New Roman"/>
                <w:b/>
                <w:sz w:val="24"/>
                <w:szCs w:val="24"/>
              </w:rPr>
              <w:t>&amp;</w:t>
            </w:r>
          </w:p>
          <w:p w:rsidRPr="004875D5" w:rsidR="008A7D44" w:rsidP="008A7D44" w:rsidRDefault="008A7D44" w14:paraId="56A0B504"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4875D5">
              <w:rPr>
                <w:rFonts w:ascii="Times New Roman" w:hAnsi="Times New Roman" w:eastAsia="Calibri" w:cs="Times New Roman"/>
                <w:b/>
                <w:sz w:val="24"/>
                <w:szCs w:val="24"/>
              </w:rPr>
              <w:t>Cost per Response</w:t>
            </w:r>
          </w:p>
          <w:p w:rsidRPr="004875D5" w:rsidR="008A7D44" w:rsidP="008A7D44" w:rsidRDefault="008A7D44" w14:paraId="6E4D33C4"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highlight w:val="yellow"/>
              </w:rPr>
            </w:pPr>
            <w:r w:rsidRPr="004875D5">
              <w:rPr>
                <w:rFonts w:ascii="Times New Roman" w:hAnsi="Times New Roman" w:eastAsia="Times New Roman" w:cs="Times New Roman"/>
                <w:b/>
                <w:sz w:val="24"/>
                <w:szCs w:val="24"/>
              </w:rPr>
              <w:t>(4)</w:t>
            </w:r>
          </w:p>
        </w:tc>
        <w:tc>
          <w:tcPr>
            <w:tcW w:w="1891" w:type="dxa"/>
            <w:tcBorders>
              <w:top w:val="single" w:color="auto" w:sz="4" w:space="0"/>
              <w:left w:val="single" w:color="auto" w:sz="4" w:space="0"/>
              <w:bottom w:val="single" w:color="auto" w:sz="4" w:space="0"/>
              <w:right w:val="single" w:color="auto" w:sz="4" w:space="0"/>
            </w:tcBorders>
            <w:shd w:val="clear" w:color="auto" w:fill="BFBFBF"/>
            <w:vAlign w:val="bottom"/>
            <w:hideMark/>
          </w:tcPr>
          <w:p w:rsidRPr="004875D5" w:rsidR="008A7D44" w:rsidP="008A7D44" w:rsidRDefault="008A7D44" w14:paraId="22C7D3D3"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4875D5">
              <w:rPr>
                <w:rFonts w:ascii="Times New Roman" w:hAnsi="Times New Roman" w:eastAsia="Times New Roman" w:cs="Times New Roman"/>
                <w:b/>
                <w:sz w:val="24"/>
                <w:szCs w:val="24"/>
              </w:rPr>
              <w:t>Total Annual Burden (Hours) &amp; Total Annual Cost</w:t>
            </w:r>
            <w:r w:rsidRPr="004875D5">
              <w:rPr>
                <w:rFonts w:ascii="Times New Roman" w:hAnsi="Times New Roman" w:eastAsia="Times New Roman" w:cs="Times New Roman"/>
                <w:b/>
                <w:sz w:val="24"/>
                <w:szCs w:val="24"/>
                <w:vertAlign w:val="superscript"/>
              </w:rPr>
              <w:footnoteReference w:id="21"/>
            </w:r>
          </w:p>
          <w:p w:rsidRPr="004875D5" w:rsidR="008A7D44" w:rsidP="008A7D44" w:rsidRDefault="008A7D44" w14:paraId="67161599"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4875D5">
              <w:rPr>
                <w:rFonts w:ascii="Times New Roman" w:hAnsi="Times New Roman" w:eastAsia="Times New Roman" w:cs="Times New Roman"/>
                <w:b/>
                <w:sz w:val="24"/>
                <w:szCs w:val="24"/>
              </w:rPr>
              <w:t>($)</w:t>
            </w:r>
          </w:p>
          <w:p w:rsidRPr="004875D5" w:rsidR="008A7D44" w:rsidP="008A7D44" w:rsidRDefault="008A7D44" w14:paraId="55478784"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highlight w:val="yellow"/>
              </w:rPr>
            </w:pPr>
            <w:r w:rsidRPr="004875D5">
              <w:rPr>
                <w:rFonts w:ascii="Times New Roman" w:hAnsi="Times New Roman" w:eastAsia="Times New Roman" w:cs="Times New Roman"/>
                <w:b/>
                <w:sz w:val="24"/>
                <w:szCs w:val="24"/>
              </w:rPr>
              <w:t>(3)*(4)=(5)</w:t>
            </w:r>
          </w:p>
        </w:tc>
      </w:tr>
      <w:tr w:rsidRPr="00FF09E1" w:rsidR="000239B2" w:rsidTr="00FF09E1" w14:paraId="30331672" w14:textId="77777777">
        <w:trPr>
          <w:trHeight w:val="350"/>
          <w:jc w:val="center"/>
        </w:trPr>
        <w:tc>
          <w:tcPr>
            <w:tcW w:w="9266" w:type="dxa"/>
            <w:gridSpan w:val="6"/>
            <w:tcBorders>
              <w:top w:val="single" w:color="auto" w:sz="4" w:space="0"/>
              <w:left w:val="single" w:color="auto" w:sz="4" w:space="0"/>
              <w:bottom w:val="single" w:color="auto" w:sz="4" w:space="0"/>
              <w:right w:val="single" w:color="auto" w:sz="4" w:space="0"/>
            </w:tcBorders>
            <w:shd w:val="clear" w:color="auto" w:fill="BFBFBF"/>
            <w:noWrap/>
            <w:vAlign w:val="bottom"/>
          </w:tcPr>
          <w:p w:rsidRPr="004875D5" w:rsidR="000239B2" w:rsidP="008A7D44" w:rsidRDefault="000239B2" w14:paraId="126E655B" w14:textId="611D3D15">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4875D5">
              <w:rPr>
                <w:rFonts w:ascii="Times New Roman" w:hAnsi="Times New Roman" w:eastAsia="Times New Roman" w:cs="Times New Roman"/>
                <w:b/>
                <w:sz w:val="24"/>
                <w:szCs w:val="24"/>
              </w:rPr>
              <w:t>FAC-001-3</w:t>
            </w:r>
          </w:p>
        </w:tc>
      </w:tr>
      <w:tr w:rsidRPr="00FF09E1" w:rsidR="008A7D44" w:rsidTr="002650E2" w14:paraId="251FFDDA" w14:textId="77777777">
        <w:trPr>
          <w:trHeight w:val="710"/>
          <w:jc w:val="center"/>
        </w:trPr>
        <w:tc>
          <w:tcPr>
            <w:tcW w:w="1705" w:type="dxa"/>
            <w:tcBorders>
              <w:top w:val="single" w:color="auto" w:sz="4" w:space="0"/>
              <w:left w:val="single" w:color="auto" w:sz="4" w:space="0"/>
              <w:bottom w:val="single" w:color="auto" w:sz="4" w:space="0"/>
              <w:right w:val="single" w:color="auto" w:sz="4" w:space="0"/>
            </w:tcBorders>
            <w:noWrap/>
            <w:vAlign w:val="center"/>
            <w:hideMark/>
          </w:tcPr>
          <w:p w:rsidRPr="004875D5" w:rsidR="008A7D44" w:rsidP="008A7D44" w:rsidRDefault="000239B2" w14:paraId="5F68ECAE" w14:textId="626771DB">
            <w:pPr>
              <w:widowControl w:val="0"/>
              <w:autoSpaceDE w:val="0"/>
              <w:autoSpaceDN w:val="0"/>
              <w:adjustRightInd w:val="0"/>
              <w:spacing w:after="0" w:line="240" w:lineRule="auto"/>
              <w:ind w:left="-17" w:right="-110"/>
              <w:jc w:val="right"/>
              <w:rPr>
                <w:rFonts w:ascii="Times New Roman" w:hAnsi="Times New Roman" w:eastAsia="Times New Roman" w:cs="Times New Roman"/>
                <w:sz w:val="24"/>
                <w:szCs w:val="24"/>
              </w:rPr>
            </w:pPr>
            <w:r w:rsidRPr="004875D5" w:rsidDel="000239B2">
              <w:rPr>
                <w:rFonts w:ascii="Times New Roman" w:hAnsi="Times New Roman" w:eastAsia="Times New Roman" w:cs="Times New Roman"/>
                <w:b/>
                <w:bCs/>
                <w:sz w:val="24"/>
                <w:szCs w:val="24"/>
              </w:rPr>
              <w:t xml:space="preserve"> </w:t>
            </w:r>
            <w:r w:rsidRPr="004875D5" w:rsidR="008A7D44">
              <w:rPr>
                <w:rFonts w:ascii="Times New Roman" w:hAnsi="Times New Roman" w:eastAsia="Times New Roman" w:cs="Times New Roman"/>
                <w:sz w:val="24"/>
                <w:szCs w:val="24"/>
              </w:rPr>
              <w:t>(Documentation &amp; Updates)</w:t>
            </w:r>
          </w:p>
        </w:tc>
        <w:tc>
          <w:tcPr>
            <w:tcW w:w="1081" w:type="dxa"/>
            <w:tcBorders>
              <w:top w:val="single" w:color="auto" w:sz="4" w:space="0"/>
              <w:left w:val="single" w:color="auto" w:sz="4" w:space="0"/>
              <w:bottom w:val="single" w:color="auto" w:sz="4" w:space="0"/>
              <w:right w:val="single" w:color="auto" w:sz="4" w:space="0"/>
            </w:tcBorders>
            <w:vAlign w:val="bottom"/>
            <w:hideMark/>
          </w:tcPr>
          <w:p w:rsidRPr="004875D5" w:rsidR="008A7D44" w:rsidP="008A7D44" w:rsidRDefault="008A7D44" w14:paraId="574CC1A0"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GO/TO</w:t>
            </w:r>
          </w:p>
          <w:p w:rsidRPr="004875D5" w:rsidR="008A7D44" w:rsidP="008A7D44" w:rsidRDefault="008A7D44" w14:paraId="36ACFEFA"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498</w:t>
            </w:r>
          </w:p>
        </w:tc>
        <w:tc>
          <w:tcPr>
            <w:tcW w:w="1760" w:type="dxa"/>
            <w:tcBorders>
              <w:top w:val="single" w:color="auto" w:sz="4" w:space="0"/>
              <w:left w:val="single" w:color="auto" w:sz="4" w:space="0"/>
              <w:bottom w:val="single" w:color="auto" w:sz="4" w:space="0"/>
              <w:right w:val="single" w:color="auto" w:sz="4" w:space="0"/>
            </w:tcBorders>
            <w:vAlign w:val="bottom"/>
            <w:hideMark/>
          </w:tcPr>
          <w:p w:rsidRPr="004875D5" w:rsidR="008A7D44" w:rsidP="008A7D44" w:rsidRDefault="008A7D44" w14:paraId="25BE8D38"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w:t>
            </w:r>
          </w:p>
        </w:tc>
        <w:tc>
          <w:tcPr>
            <w:tcW w:w="1299" w:type="dxa"/>
            <w:tcBorders>
              <w:top w:val="single" w:color="auto" w:sz="4" w:space="0"/>
              <w:left w:val="single" w:color="auto" w:sz="4" w:space="0"/>
              <w:bottom w:val="single" w:color="auto" w:sz="4" w:space="0"/>
              <w:right w:val="single" w:color="auto" w:sz="4" w:space="0"/>
            </w:tcBorders>
            <w:vAlign w:val="bottom"/>
            <w:hideMark/>
          </w:tcPr>
          <w:p w:rsidRPr="004875D5" w:rsidR="008A7D44" w:rsidP="008A7D44" w:rsidRDefault="008A7D44" w14:paraId="1A3C735D"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498</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4875D5" w:rsidR="008A7D44" w:rsidP="008A7D44" w:rsidRDefault="008A7D44" w14:paraId="1C227E58"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34 hrs.;</w:t>
            </w:r>
          </w:p>
          <w:p w:rsidRPr="004875D5" w:rsidR="008A7D44" w:rsidP="008A7D44" w:rsidRDefault="008A7D44" w14:paraId="7255BB59" w14:textId="36B944B0">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w:t>
            </w:r>
            <w:r w:rsidR="0016366D">
              <w:rPr>
                <w:rFonts w:ascii="Times New Roman" w:hAnsi="Times New Roman" w:eastAsia="Times New Roman" w:cs="Times New Roman"/>
                <w:sz w:val="24"/>
                <w:szCs w:val="24"/>
              </w:rPr>
              <w:t>2</w:t>
            </w:r>
            <w:r w:rsidRPr="004875D5">
              <w:rPr>
                <w:rFonts w:ascii="Times New Roman" w:hAnsi="Times New Roman" w:eastAsia="Times New Roman" w:cs="Times New Roman"/>
                <w:sz w:val="24"/>
                <w:szCs w:val="24"/>
              </w:rPr>
              <w:t>,</w:t>
            </w:r>
            <w:r w:rsidR="0016366D">
              <w:rPr>
                <w:rFonts w:ascii="Times New Roman" w:hAnsi="Times New Roman" w:eastAsia="Times New Roman" w:cs="Times New Roman"/>
                <w:sz w:val="24"/>
                <w:szCs w:val="24"/>
              </w:rPr>
              <w:t>844.78</w:t>
            </w:r>
            <w:r w:rsidRPr="00FF09E1" w:rsidDel="0016366D" w:rsidR="0016366D">
              <w:rPr>
                <w:rFonts w:ascii="Times New Roman" w:hAnsi="Times New Roman" w:eastAsia="Times New Roman" w:cs="Times New Roman"/>
                <w:sz w:val="24"/>
                <w:szCs w:val="24"/>
              </w:rPr>
              <w:t xml:space="preserve"> </w:t>
            </w:r>
          </w:p>
          <w:p w:rsidRPr="004875D5" w:rsidR="008A7D44" w:rsidP="008A7D44" w:rsidRDefault="008A7D44" w14:paraId="5E014D2D"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p>
        </w:tc>
        <w:tc>
          <w:tcPr>
            <w:tcW w:w="1891" w:type="dxa"/>
            <w:tcBorders>
              <w:top w:val="single" w:color="auto" w:sz="4" w:space="0"/>
              <w:left w:val="single" w:color="auto" w:sz="4" w:space="0"/>
              <w:bottom w:val="single" w:color="auto" w:sz="4" w:space="0"/>
              <w:right w:val="single" w:color="auto" w:sz="4" w:space="0"/>
            </w:tcBorders>
            <w:vAlign w:val="bottom"/>
            <w:hideMark/>
          </w:tcPr>
          <w:p w:rsidRPr="004875D5" w:rsidR="008A7D44" w:rsidP="008A7D44" w:rsidRDefault="008A7D44" w14:paraId="72FA9D53"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16,932 hrs.;</w:t>
            </w:r>
          </w:p>
          <w:p w:rsidRPr="004875D5" w:rsidR="008A7D44" w:rsidP="008A7D44" w:rsidRDefault="008A7D44" w14:paraId="13725B29"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$1,416,700.44</w:t>
            </w:r>
          </w:p>
        </w:tc>
      </w:tr>
      <w:tr w:rsidRPr="00FF09E1" w:rsidR="0016366D" w:rsidTr="004B41C5" w14:paraId="5403F6E3" w14:textId="77777777">
        <w:trPr>
          <w:trHeight w:val="710"/>
          <w:jc w:val="center"/>
        </w:trPr>
        <w:tc>
          <w:tcPr>
            <w:tcW w:w="1705" w:type="dxa"/>
            <w:vMerge w:val="restart"/>
            <w:tcBorders>
              <w:top w:val="single" w:color="auto" w:sz="4" w:space="0"/>
              <w:left w:val="single" w:color="auto" w:sz="4" w:space="0"/>
              <w:right w:val="single" w:color="auto" w:sz="4" w:space="0"/>
            </w:tcBorders>
            <w:noWrap/>
            <w:vAlign w:val="center"/>
            <w:hideMark/>
          </w:tcPr>
          <w:p w:rsidRPr="004875D5" w:rsidR="0016366D" w:rsidP="008A7D44" w:rsidRDefault="0016366D" w14:paraId="575A5262" w14:textId="7C8CE408">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Evidence</w:t>
            </w:r>
            <w:r w:rsidRPr="004875D5">
              <w:rPr>
                <w:rFonts w:ascii="Times New Roman" w:hAnsi="Times New Roman" w:eastAsia="Times New Roman" w:cs="Times New Roman"/>
                <w:sz w:val="24"/>
                <w:szCs w:val="24"/>
              </w:rPr>
              <w:t xml:space="preserve"> Retention</w:t>
            </w:r>
          </w:p>
        </w:tc>
        <w:tc>
          <w:tcPr>
            <w:tcW w:w="1081"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3F1770AA"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GO</w:t>
            </w:r>
          </w:p>
          <w:p w:rsidRPr="004875D5" w:rsidR="0016366D" w:rsidP="008A7D44" w:rsidRDefault="0016366D" w14:paraId="0149F54A"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5</w:t>
            </w:r>
          </w:p>
        </w:tc>
        <w:tc>
          <w:tcPr>
            <w:tcW w:w="1760"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0D53CEF5"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w:t>
            </w:r>
          </w:p>
        </w:tc>
        <w:tc>
          <w:tcPr>
            <w:tcW w:w="1299"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633753E3"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5</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5C9A0A5C"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 hr.;</w:t>
            </w:r>
          </w:p>
          <w:p w:rsidRPr="004875D5" w:rsidR="0016366D" w:rsidP="008A7D44" w:rsidRDefault="0016366D" w14:paraId="1C8C5A51"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$41.03</w:t>
            </w:r>
          </w:p>
        </w:tc>
        <w:tc>
          <w:tcPr>
            <w:tcW w:w="1891"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4F71A8AC"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5 hrs.;</w:t>
            </w:r>
          </w:p>
          <w:p w:rsidRPr="004875D5" w:rsidR="0016366D" w:rsidP="008A7D44" w:rsidRDefault="0016366D" w14:paraId="5660A0C1"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$205.15</w:t>
            </w:r>
          </w:p>
        </w:tc>
      </w:tr>
      <w:tr w:rsidRPr="00FF09E1" w:rsidR="0016366D" w:rsidTr="004B41C5" w14:paraId="15B7CB4E" w14:textId="77777777">
        <w:trPr>
          <w:trHeight w:val="620"/>
          <w:jc w:val="center"/>
        </w:trPr>
        <w:tc>
          <w:tcPr>
            <w:tcW w:w="1705" w:type="dxa"/>
            <w:vMerge/>
            <w:tcBorders>
              <w:left w:val="single" w:color="auto" w:sz="4" w:space="0"/>
              <w:right w:val="single" w:color="auto" w:sz="4" w:space="0"/>
            </w:tcBorders>
            <w:vAlign w:val="center"/>
            <w:hideMark/>
          </w:tcPr>
          <w:p w:rsidRPr="004875D5" w:rsidR="0016366D" w:rsidP="008A7D44" w:rsidRDefault="0016366D" w14:paraId="37233616" w14:textId="77777777">
            <w:pPr>
              <w:spacing w:after="0" w:line="276" w:lineRule="auto"/>
              <w:jc w:val="right"/>
              <w:rPr>
                <w:rFonts w:ascii="Times New Roman" w:hAnsi="Times New Roman" w:eastAsia="Times New Roman" w:cs="Times New Roman"/>
                <w:sz w:val="24"/>
                <w:szCs w:val="24"/>
              </w:rPr>
            </w:pPr>
          </w:p>
        </w:tc>
        <w:tc>
          <w:tcPr>
            <w:tcW w:w="1081"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5CDEB8BE"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TO</w:t>
            </w:r>
          </w:p>
          <w:p w:rsidRPr="004875D5" w:rsidR="0016366D" w:rsidP="008A7D44" w:rsidRDefault="0016366D" w14:paraId="67622730"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332</w:t>
            </w:r>
          </w:p>
        </w:tc>
        <w:tc>
          <w:tcPr>
            <w:tcW w:w="1760"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3B86584B"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w:t>
            </w:r>
          </w:p>
        </w:tc>
        <w:tc>
          <w:tcPr>
            <w:tcW w:w="1299"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2BF618C1"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332</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1B205FFC"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 hr.;</w:t>
            </w:r>
          </w:p>
          <w:p w:rsidRPr="004875D5" w:rsidR="0016366D" w:rsidP="008A7D44" w:rsidRDefault="0016366D" w14:paraId="440EFF0B"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$41.03</w:t>
            </w:r>
          </w:p>
        </w:tc>
        <w:tc>
          <w:tcPr>
            <w:tcW w:w="1891"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0E5B2131"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332 hrs.;</w:t>
            </w:r>
          </w:p>
          <w:p w:rsidRPr="004875D5" w:rsidR="0016366D" w:rsidP="008A7D44" w:rsidRDefault="0016366D" w14:paraId="59150042"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$13,621.96</w:t>
            </w:r>
          </w:p>
        </w:tc>
      </w:tr>
      <w:tr w:rsidRPr="00FF09E1" w:rsidR="0016366D" w:rsidTr="004B41C5" w14:paraId="25D0E161" w14:textId="77777777">
        <w:trPr>
          <w:trHeight w:val="620"/>
          <w:jc w:val="center"/>
        </w:trPr>
        <w:tc>
          <w:tcPr>
            <w:tcW w:w="1705" w:type="dxa"/>
            <w:vMerge/>
            <w:tcBorders>
              <w:left w:val="single" w:color="auto" w:sz="4" w:space="0"/>
              <w:bottom w:val="single" w:color="auto" w:sz="4" w:space="0"/>
              <w:right w:val="single" w:color="auto" w:sz="4" w:space="0"/>
            </w:tcBorders>
            <w:vAlign w:val="center"/>
          </w:tcPr>
          <w:p w:rsidRPr="00FF09E1" w:rsidR="0016366D" w:rsidP="008A7D44" w:rsidRDefault="0016366D" w14:paraId="46FF3552" w14:textId="77777777">
            <w:pPr>
              <w:keepNext/>
              <w:keepLines/>
              <w:widowControl w:val="0"/>
              <w:autoSpaceDE w:val="0"/>
              <w:autoSpaceDN w:val="0"/>
              <w:adjustRightInd w:val="0"/>
              <w:spacing w:after="0" w:line="240" w:lineRule="auto"/>
              <w:jc w:val="right"/>
              <w:rPr>
                <w:rFonts w:ascii="Times New Roman" w:hAnsi="Times New Roman" w:eastAsia="Times New Roman" w:cs="Times New Roman"/>
                <w:sz w:val="24"/>
                <w:szCs w:val="24"/>
              </w:rPr>
            </w:pPr>
          </w:p>
        </w:tc>
        <w:tc>
          <w:tcPr>
            <w:tcW w:w="1081" w:type="dxa"/>
            <w:tcBorders>
              <w:top w:val="single" w:color="auto" w:sz="4" w:space="0"/>
              <w:left w:val="single" w:color="auto" w:sz="4" w:space="0"/>
              <w:bottom w:val="single" w:color="auto" w:sz="4" w:space="0"/>
              <w:right w:val="single" w:color="auto" w:sz="4" w:space="0"/>
            </w:tcBorders>
            <w:vAlign w:val="bottom"/>
          </w:tcPr>
          <w:p w:rsidRPr="00AA1A60" w:rsidR="0016366D" w:rsidP="008A7D44" w:rsidRDefault="0016366D" w14:paraId="47AD574A"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FF09E1">
              <w:rPr>
                <w:rFonts w:ascii="Times New Roman" w:hAnsi="Times New Roman" w:eastAsia="Times New Roman" w:cs="Times New Roman"/>
                <w:sz w:val="24"/>
                <w:szCs w:val="24"/>
              </w:rPr>
              <w:t>GO/TO</w:t>
            </w:r>
          </w:p>
          <w:p w:rsidRPr="004875D5" w:rsidR="0016366D" w:rsidP="008A7D44" w:rsidRDefault="0016366D" w14:paraId="5FFA9D2E"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AA1A60">
              <w:rPr>
                <w:rFonts w:ascii="Times New Roman" w:hAnsi="Times New Roman" w:eastAsia="Times New Roman" w:cs="Times New Roman"/>
                <w:sz w:val="24"/>
                <w:szCs w:val="24"/>
              </w:rPr>
              <w:t>161</w:t>
            </w:r>
          </w:p>
        </w:tc>
        <w:tc>
          <w:tcPr>
            <w:tcW w:w="1760" w:type="dxa"/>
            <w:tcBorders>
              <w:top w:val="single" w:color="auto" w:sz="4" w:space="0"/>
              <w:left w:val="single" w:color="auto" w:sz="4" w:space="0"/>
              <w:bottom w:val="single" w:color="auto" w:sz="4" w:space="0"/>
              <w:right w:val="single" w:color="auto" w:sz="4" w:space="0"/>
            </w:tcBorders>
            <w:vAlign w:val="bottom"/>
          </w:tcPr>
          <w:p w:rsidRPr="004875D5" w:rsidR="0016366D" w:rsidP="008A7D44" w:rsidRDefault="0016366D" w14:paraId="2C6CCBBF"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FF09E1">
              <w:rPr>
                <w:rFonts w:ascii="Times New Roman" w:hAnsi="Times New Roman" w:eastAsia="Times New Roman" w:cs="Times New Roman"/>
                <w:sz w:val="24"/>
                <w:szCs w:val="24"/>
              </w:rPr>
              <w:t xml:space="preserve">1 </w:t>
            </w:r>
          </w:p>
        </w:tc>
        <w:tc>
          <w:tcPr>
            <w:tcW w:w="1299" w:type="dxa"/>
            <w:tcBorders>
              <w:top w:val="single" w:color="auto" w:sz="4" w:space="0"/>
              <w:left w:val="single" w:color="auto" w:sz="4" w:space="0"/>
              <w:bottom w:val="single" w:color="auto" w:sz="4" w:space="0"/>
              <w:right w:val="single" w:color="auto" w:sz="4" w:space="0"/>
            </w:tcBorders>
            <w:vAlign w:val="bottom"/>
          </w:tcPr>
          <w:p w:rsidRPr="004875D5" w:rsidR="0016366D" w:rsidP="008A7D44" w:rsidRDefault="0016366D" w14:paraId="64D136A6"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FF09E1">
              <w:rPr>
                <w:rFonts w:ascii="Times New Roman" w:hAnsi="Times New Roman" w:eastAsia="Times New Roman" w:cs="Times New Roman"/>
                <w:sz w:val="24"/>
                <w:szCs w:val="24"/>
              </w:rPr>
              <w:t>161</w:t>
            </w:r>
          </w:p>
        </w:tc>
        <w:tc>
          <w:tcPr>
            <w:tcW w:w="1530" w:type="dxa"/>
            <w:tcBorders>
              <w:top w:val="single" w:color="auto" w:sz="4" w:space="0"/>
              <w:left w:val="single" w:color="auto" w:sz="4" w:space="0"/>
              <w:bottom w:val="single" w:color="auto" w:sz="4" w:space="0"/>
              <w:right w:val="single" w:color="auto" w:sz="4" w:space="0"/>
            </w:tcBorders>
            <w:vAlign w:val="bottom"/>
          </w:tcPr>
          <w:p w:rsidRPr="004875D5" w:rsidR="0016366D" w:rsidP="008A7D44" w:rsidRDefault="0016366D" w14:paraId="492A7D75"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FF09E1">
              <w:rPr>
                <w:rFonts w:ascii="Times New Roman" w:hAnsi="Times New Roman" w:eastAsia="Times New Roman" w:cs="Times New Roman"/>
                <w:sz w:val="24"/>
                <w:szCs w:val="24"/>
              </w:rPr>
              <w:t>1 hr.</w:t>
            </w:r>
            <w:bookmarkStart w:name="_Ref494867297" w:id="12"/>
            <w:r w:rsidRPr="00FF09E1">
              <w:rPr>
                <w:rFonts w:ascii="Times New Roman" w:hAnsi="Times New Roman" w:eastAsia="Times New Roman" w:cs="Times New Roman"/>
                <w:sz w:val="24"/>
                <w:szCs w:val="24"/>
                <w:vertAlign w:val="superscript"/>
              </w:rPr>
              <w:footnoteReference w:id="22"/>
            </w:r>
            <w:bookmarkEnd w:id="12"/>
            <w:r w:rsidRPr="00FF09E1">
              <w:rPr>
                <w:rFonts w:ascii="Times New Roman" w:hAnsi="Times New Roman" w:eastAsia="Times New Roman" w:cs="Times New Roman"/>
                <w:sz w:val="24"/>
                <w:szCs w:val="24"/>
              </w:rPr>
              <w:t>;</w:t>
            </w:r>
            <w:r w:rsidRPr="00FF09E1">
              <w:rPr>
                <w:rFonts w:ascii="Times New Roman" w:hAnsi="Times New Roman" w:eastAsia="Times New Roman" w:cs="Times New Roman"/>
                <w:sz w:val="24"/>
                <w:szCs w:val="24"/>
              </w:rPr>
              <w:br/>
              <w:t>$41.03</w:t>
            </w:r>
          </w:p>
        </w:tc>
        <w:tc>
          <w:tcPr>
            <w:tcW w:w="1891" w:type="dxa"/>
            <w:tcBorders>
              <w:top w:val="single" w:color="auto" w:sz="4" w:space="0"/>
              <w:left w:val="single" w:color="auto" w:sz="4" w:space="0"/>
              <w:bottom w:val="single" w:color="auto" w:sz="4" w:space="0"/>
              <w:right w:val="single" w:color="auto" w:sz="4" w:space="0"/>
            </w:tcBorders>
            <w:vAlign w:val="bottom"/>
          </w:tcPr>
          <w:p w:rsidRPr="00FF09E1" w:rsidR="0016366D" w:rsidP="008A7D44" w:rsidRDefault="0016366D" w14:paraId="7E1BD4B5" w14:textId="44150DC7">
            <w:pPr>
              <w:widowControl w:val="0"/>
              <w:autoSpaceDE w:val="0"/>
              <w:autoSpaceDN w:val="0"/>
              <w:adjustRightInd w:val="0"/>
              <w:spacing w:after="0" w:line="240" w:lineRule="auto"/>
              <w:ind w:left="-108"/>
              <w:jc w:val="right"/>
              <w:rPr>
                <w:rFonts w:ascii="Times New Roman" w:hAnsi="Times New Roman" w:eastAsia="Times New Roman" w:cs="Times New Roman"/>
                <w:sz w:val="24"/>
                <w:szCs w:val="24"/>
              </w:rPr>
            </w:pPr>
            <w:r w:rsidRPr="00FF09E1">
              <w:rPr>
                <w:rFonts w:ascii="Times New Roman" w:hAnsi="Times New Roman" w:eastAsia="Times New Roman" w:cs="Times New Roman"/>
                <w:sz w:val="24"/>
                <w:szCs w:val="24"/>
              </w:rPr>
              <w:t>161 hrs.;</w:t>
            </w:r>
          </w:p>
          <w:p w:rsidRPr="004875D5" w:rsidR="0016366D" w:rsidP="008A7D44" w:rsidRDefault="0016366D" w14:paraId="0CBC107A"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FF09E1">
              <w:rPr>
                <w:rFonts w:ascii="Times New Roman" w:hAnsi="Times New Roman" w:eastAsia="Times New Roman" w:cs="Times New Roman"/>
                <w:sz w:val="24"/>
                <w:szCs w:val="24"/>
              </w:rPr>
              <w:t>$6,605.83</w:t>
            </w:r>
          </w:p>
        </w:tc>
      </w:tr>
      <w:tr w:rsidRPr="00FF09E1" w:rsidR="000239B2" w:rsidTr="004875D5" w14:paraId="76F16C98" w14:textId="77777777">
        <w:trPr>
          <w:trHeight w:val="305"/>
          <w:jc w:val="center"/>
        </w:trPr>
        <w:tc>
          <w:tcPr>
            <w:tcW w:w="9266" w:type="dxa"/>
            <w:gridSpan w:val="6"/>
            <w:tcBorders>
              <w:top w:val="nil"/>
              <w:left w:val="single" w:color="auto" w:sz="4" w:space="0"/>
              <w:bottom w:val="single" w:color="auto" w:sz="4" w:space="0"/>
              <w:right w:val="single" w:color="auto" w:sz="4" w:space="0"/>
            </w:tcBorders>
            <w:shd w:val="clear" w:color="auto" w:fill="A6A6A6" w:themeFill="background1" w:themeFillShade="A6"/>
            <w:vAlign w:val="center"/>
          </w:tcPr>
          <w:p w:rsidRPr="004875D5" w:rsidR="000239B2" w:rsidP="004875D5" w:rsidRDefault="000239B2" w14:paraId="560D5F13" w14:textId="229EC940">
            <w:pPr>
              <w:keepNext/>
              <w:keepLines/>
              <w:widowControl w:val="0"/>
              <w:autoSpaceDE w:val="0"/>
              <w:autoSpaceDN w:val="0"/>
              <w:adjustRightInd w:val="0"/>
              <w:spacing w:after="0" w:line="240" w:lineRule="auto"/>
              <w:jc w:val="center"/>
              <w:rPr>
                <w:rFonts w:ascii="Times New Roman" w:hAnsi="Times New Roman" w:eastAsia="Times New Roman" w:cs="Times New Roman"/>
                <w:b/>
                <w:bCs/>
                <w:sz w:val="24"/>
                <w:szCs w:val="24"/>
              </w:rPr>
            </w:pPr>
            <w:r w:rsidRPr="004875D5">
              <w:rPr>
                <w:rFonts w:ascii="Times New Roman" w:hAnsi="Times New Roman" w:eastAsia="Times New Roman" w:cs="Times New Roman"/>
                <w:b/>
                <w:bCs/>
                <w:sz w:val="24"/>
                <w:szCs w:val="24"/>
              </w:rPr>
              <w:t>FAC-002-3</w:t>
            </w:r>
          </w:p>
          <w:p w:rsidRPr="00FF09E1" w:rsidR="000239B2" w:rsidP="008A7D44" w:rsidRDefault="000239B2" w14:paraId="52B4A381" w14:textId="59275C50">
            <w:pPr>
              <w:widowControl w:val="0"/>
              <w:autoSpaceDE w:val="0"/>
              <w:autoSpaceDN w:val="0"/>
              <w:adjustRightInd w:val="0"/>
              <w:spacing w:after="0" w:line="240" w:lineRule="auto"/>
              <w:ind w:left="-108"/>
              <w:jc w:val="right"/>
              <w:rPr>
                <w:rFonts w:ascii="Times New Roman" w:hAnsi="Times New Roman" w:eastAsia="Times New Roman" w:cs="Times New Roman"/>
                <w:sz w:val="24"/>
                <w:szCs w:val="24"/>
              </w:rPr>
            </w:pPr>
          </w:p>
        </w:tc>
      </w:tr>
      <w:tr w:rsidRPr="00FF09E1" w:rsidR="008A7D44" w:rsidTr="002650E2" w14:paraId="21351278" w14:textId="77777777">
        <w:trPr>
          <w:trHeight w:val="701"/>
          <w:jc w:val="center"/>
        </w:trPr>
        <w:tc>
          <w:tcPr>
            <w:tcW w:w="1705" w:type="dxa"/>
            <w:tcBorders>
              <w:top w:val="single" w:color="auto" w:sz="4" w:space="0"/>
              <w:left w:val="single" w:color="auto" w:sz="4" w:space="0"/>
              <w:bottom w:val="single" w:color="auto" w:sz="4" w:space="0"/>
              <w:right w:val="single" w:color="auto" w:sz="4" w:space="0"/>
            </w:tcBorders>
            <w:noWrap/>
          </w:tcPr>
          <w:p w:rsidRPr="004875D5" w:rsidR="008A7D44" w:rsidP="008A7D44" w:rsidRDefault="000239B2" w14:paraId="45A54C8F" w14:textId="4F2E3BD8">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sidDel="000239B2">
              <w:rPr>
                <w:rFonts w:ascii="Times New Roman" w:hAnsi="Times New Roman" w:eastAsia="Times New Roman" w:cs="Times New Roman"/>
                <w:b/>
                <w:bCs/>
                <w:sz w:val="24"/>
                <w:szCs w:val="24"/>
              </w:rPr>
              <w:t xml:space="preserve"> </w:t>
            </w:r>
            <w:r w:rsidRPr="004875D5" w:rsidR="008A7D44">
              <w:rPr>
                <w:rFonts w:ascii="Times New Roman" w:hAnsi="Times New Roman" w:eastAsia="Times New Roman" w:cs="Times New Roman"/>
                <w:sz w:val="24"/>
                <w:szCs w:val="24"/>
              </w:rPr>
              <w:t>Study &amp;</w:t>
            </w:r>
          </w:p>
          <w:p w:rsidRPr="004875D5" w:rsidR="008A7D44" w:rsidP="008A7D44" w:rsidRDefault="008A7D44" w14:paraId="7176D0FB" w14:textId="3BBAB459">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Coordination</w:t>
            </w:r>
          </w:p>
          <w:p w:rsidRPr="004875D5" w:rsidR="008A7D44" w:rsidP="008A7D44" w:rsidRDefault="008A7D44" w14:paraId="763C0E83"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p>
        </w:tc>
        <w:tc>
          <w:tcPr>
            <w:tcW w:w="1081" w:type="dxa"/>
            <w:tcBorders>
              <w:top w:val="single" w:color="auto" w:sz="4" w:space="0"/>
              <w:left w:val="single" w:color="auto" w:sz="4" w:space="0"/>
              <w:bottom w:val="single" w:color="auto" w:sz="4" w:space="0"/>
              <w:right w:val="single" w:color="auto" w:sz="4" w:space="0"/>
            </w:tcBorders>
            <w:vAlign w:val="center"/>
            <w:hideMark/>
          </w:tcPr>
          <w:p w:rsidRPr="004875D5" w:rsidR="008A7D44" w:rsidP="008A7D44" w:rsidRDefault="008A7D44" w14:paraId="7905B5FE"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 xml:space="preserve">PC, TP   </w:t>
            </w:r>
          </w:p>
          <w:p w:rsidRPr="004875D5" w:rsidR="008A7D44" w:rsidP="008A7D44" w:rsidRDefault="008A7D44" w14:paraId="6B23BB98"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399</w:t>
            </w:r>
          </w:p>
        </w:tc>
        <w:tc>
          <w:tcPr>
            <w:tcW w:w="1760" w:type="dxa"/>
            <w:tcBorders>
              <w:top w:val="single" w:color="auto" w:sz="4" w:space="0"/>
              <w:left w:val="single" w:color="auto" w:sz="4" w:space="0"/>
              <w:bottom w:val="single" w:color="auto" w:sz="4" w:space="0"/>
              <w:right w:val="single" w:color="auto" w:sz="4" w:space="0"/>
            </w:tcBorders>
            <w:vAlign w:val="bottom"/>
            <w:hideMark/>
          </w:tcPr>
          <w:p w:rsidRPr="004875D5" w:rsidR="008A7D44" w:rsidP="008A7D44" w:rsidRDefault="008A7D44" w14:paraId="54E0ACD4"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w:t>
            </w:r>
          </w:p>
        </w:tc>
        <w:tc>
          <w:tcPr>
            <w:tcW w:w="1299" w:type="dxa"/>
            <w:tcBorders>
              <w:top w:val="single" w:color="auto" w:sz="4" w:space="0"/>
              <w:left w:val="single" w:color="auto" w:sz="4" w:space="0"/>
              <w:bottom w:val="single" w:color="auto" w:sz="4" w:space="0"/>
              <w:right w:val="single" w:color="auto" w:sz="4" w:space="0"/>
            </w:tcBorders>
            <w:vAlign w:val="bottom"/>
            <w:hideMark/>
          </w:tcPr>
          <w:p w:rsidRPr="004875D5" w:rsidR="008A7D44" w:rsidP="008A7D44" w:rsidRDefault="008A7D44" w14:paraId="4A532F89"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399</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4875D5" w:rsidR="008A7D44" w:rsidP="008A7D44" w:rsidRDefault="008A7D44" w14:paraId="74537189"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32 hrs.;</w:t>
            </w:r>
          </w:p>
          <w:p w:rsidRPr="004875D5" w:rsidR="008A7D44" w:rsidP="008A7D44" w:rsidRDefault="008A7D44" w14:paraId="40377BA5" w14:textId="04A57CDF">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w:t>
            </w:r>
            <w:r w:rsidR="00C138BF">
              <w:rPr>
                <w:rFonts w:ascii="Times New Roman" w:hAnsi="Times New Roman" w:eastAsia="Times New Roman" w:cs="Times New Roman"/>
                <w:sz w:val="24"/>
                <w:szCs w:val="24"/>
              </w:rPr>
              <w:t>2,677.44</w:t>
            </w:r>
          </w:p>
        </w:tc>
        <w:tc>
          <w:tcPr>
            <w:tcW w:w="1891" w:type="dxa"/>
            <w:tcBorders>
              <w:top w:val="single" w:color="auto" w:sz="4" w:space="0"/>
              <w:left w:val="single" w:color="auto" w:sz="4" w:space="0"/>
              <w:bottom w:val="single" w:color="auto" w:sz="4" w:space="0"/>
              <w:right w:val="single" w:color="auto" w:sz="4" w:space="0"/>
            </w:tcBorders>
            <w:vAlign w:val="bottom"/>
            <w:hideMark/>
          </w:tcPr>
          <w:p w:rsidRPr="004875D5" w:rsidR="008A7D44" w:rsidP="008A7D44" w:rsidRDefault="008A7D44" w14:paraId="2B8F51EB"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12,768 hrs.</w:t>
            </w:r>
            <w:r w:rsidRPr="004875D5">
              <w:rPr>
                <w:rFonts w:ascii="Times New Roman" w:hAnsi="Times New Roman" w:eastAsia="Times New Roman" w:cs="Times New Roman"/>
                <w:sz w:val="24"/>
                <w:szCs w:val="24"/>
                <w:vertAlign w:val="superscript"/>
              </w:rPr>
              <w:footnoteReference w:id="23"/>
            </w:r>
            <w:r w:rsidRPr="004875D5">
              <w:rPr>
                <w:rFonts w:ascii="Times New Roman" w:hAnsi="Times New Roman" w:eastAsia="Times New Roman" w:cs="Times New Roman"/>
                <w:sz w:val="24"/>
                <w:szCs w:val="24"/>
              </w:rPr>
              <w:t>;</w:t>
            </w:r>
          </w:p>
          <w:p w:rsidRPr="004875D5" w:rsidR="008A7D44" w:rsidP="008A7D44" w:rsidRDefault="008A7D44" w14:paraId="34466A35"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$1,068,298.56</w:t>
            </w:r>
          </w:p>
          <w:p w:rsidRPr="004875D5" w:rsidR="008A7D44" w:rsidP="008A7D44" w:rsidRDefault="008A7D44" w14:paraId="0C6531D3"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p>
        </w:tc>
      </w:tr>
      <w:tr w:rsidRPr="00FF09E1" w:rsidR="0016366D" w:rsidTr="004B41C5" w14:paraId="6832C780" w14:textId="77777777">
        <w:trPr>
          <w:trHeight w:val="638"/>
          <w:jc w:val="center"/>
        </w:trPr>
        <w:tc>
          <w:tcPr>
            <w:tcW w:w="1705" w:type="dxa"/>
            <w:vMerge w:val="restart"/>
            <w:tcBorders>
              <w:top w:val="single" w:color="auto" w:sz="4" w:space="0"/>
              <w:left w:val="single" w:color="auto" w:sz="4" w:space="0"/>
              <w:right w:val="single" w:color="auto" w:sz="4" w:space="0"/>
            </w:tcBorders>
            <w:noWrap/>
          </w:tcPr>
          <w:p w:rsidRPr="004875D5" w:rsidR="0016366D" w:rsidP="008A7D44" w:rsidRDefault="0016366D" w14:paraId="0C123C85"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p>
          <w:p w:rsidRPr="00FF09E1" w:rsidR="0016366D" w:rsidRDefault="0016366D" w14:paraId="226115EA" w14:textId="5BB435E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Evidence</w:t>
            </w:r>
            <w:r w:rsidRPr="004875D5">
              <w:rPr>
                <w:rFonts w:ascii="Times New Roman" w:hAnsi="Times New Roman" w:eastAsia="Times New Roman" w:cs="Times New Roman"/>
                <w:sz w:val="24"/>
                <w:szCs w:val="24"/>
              </w:rPr>
              <w:t xml:space="preserve"> Retention</w:t>
            </w:r>
          </w:p>
          <w:p w:rsidRPr="004875D5" w:rsidR="0016366D" w:rsidRDefault="0016366D" w14:paraId="32A87343" w14:textId="6147B237">
            <w:pPr>
              <w:widowControl w:val="0"/>
              <w:autoSpaceDE w:val="0"/>
              <w:autoSpaceDN w:val="0"/>
              <w:adjustRightInd w:val="0"/>
              <w:spacing w:after="0" w:line="240" w:lineRule="auto"/>
              <w:jc w:val="right"/>
              <w:rPr>
                <w:rFonts w:ascii="Times New Roman" w:hAnsi="Times New Roman" w:eastAsia="Times New Roman" w:cs="Times New Roman"/>
                <w:sz w:val="24"/>
                <w:szCs w:val="24"/>
              </w:rPr>
            </w:pPr>
          </w:p>
        </w:tc>
        <w:tc>
          <w:tcPr>
            <w:tcW w:w="1081" w:type="dxa"/>
            <w:tcBorders>
              <w:top w:val="single" w:color="auto" w:sz="4" w:space="0"/>
              <w:left w:val="single" w:color="auto" w:sz="4" w:space="0"/>
              <w:bottom w:val="single" w:color="auto" w:sz="4" w:space="0"/>
              <w:right w:val="single" w:color="auto" w:sz="4" w:space="0"/>
            </w:tcBorders>
            <w:vAlign w:val="center"/>
            <w:hideMark/>
          </w:tcPr>
          <w:p w:rsidRPr="004875D5" w:rsidR="0016366D" w:rsidP="008A7D44" w:rsidRDefault="0016366D" w14:paraId="035AACFB"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 xml:space="preserve">PC, TP   </w:t>
            </w:r>
          </w:p>
          <w:p w:rsidRPr="004875D5" w:rsidR="0016366D" w:rsidP="008A7D44" w:rsidRDefault="0016366D" w14:paraId="48AAD247"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183</w:t>
            </w:r>
          </w:p>
        </w:tc>
        <w:tc>
          <w:tcPr>
            <w:tcW w:w="1760"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5C51D75E"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w:t>
            </w:r>
          </w:p>
        </w:tc>
        <w:tc>
          <w:tcPr>
            <w:tcW w:w="1299"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4AC0085D"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183</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440DC21C"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 hr.;</w:t>
            </w:r>
          </w:p>
          <w:p w:rsidRPr="004875D5" w:rsidR="0016366D" w:rsidP="008A7D44" w:rsidRDefault="0016366D" w14:paraId="5EDC7C58"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$41.03</w:t>
            </w:r>
          </w:p>
        </w:tc>
        <w:tc>
          <w:tcPr>
            <w:tcW w:w="1891"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4B9B2372"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183 hrs.;</w:t>
            </w:r>
          </w:p>
          <w:p w:rsidRPr="004875D5" w:rsidR="0016366D" w:rsidP="008A7D44" w:rsidRDefault="0016366D" w14:paraId="19ABA056"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$7,325.49</w:t>
            </w:r>
          </w:p>
        </w:tc>
      </w:tr>
      <w:tr w:rsidRPr="00FF09E1" w:rsidR="0016366D" w:rsidTr="004B41C5" w14:paraId="553332C2" w14:textId="77777777">
        <w:trPr>
          <w:trHeight w:val="467"/>
          <w:jc w:val="center"/>
        </w:trPr>
        <w:tc>
          <w:tcPr>
            <w:tcW w:w="1705" w:type="dxa"/>
            <w:vMerge/>
            <w:tcBorders>
              <w:left w:val="single" w:color="auto" w:sz="4" w:space="0"/>
              <w:bottom w:val="single" w:color="auto" w:sz="4" w:space="0"/>
              <w:right w:val="single" w:color="auto" w:sz="4" w:space="0"/>
            </w:tcBorders>
            <w:noWrap/>
          </w:tcPr>
          <w:p w:rsidRPr="004875D5" w:rsidR="0016366D" w:rsidP="008A7D44" w:rsidRDefault="0016366D" w14:paraId="7F1C658B" w14:textId="14843E9C">
            <w:pPr>
              <w:widowControl w:val="0"/>
              <w:autoSpaceDE w:val="0"/>
              <w:autoSpaceDN w:val="0"/>
              <w:adjustRightInd w:val="0"/>
              <w:spacing w:after="0" w:line="240" w:lineRule="auto"/>
              <w:jc w:val="right"/>
              <w:rPr>
                <w:rFonts w:ascii="Times New Roman" w:hAnsi="Times New Roman" w:eastAsia="Times New Roman" w:cs="Times New Roman"/>
                <w:sz w:val="24"/>
                <w:szCs w:val="24"/>
              </w:rPr>
            </w:pPr>
          </w:p>
        </w:tc>
        <w:tc>
          <w:tcPr>
            <w:tcW w:w="1081" w:type="dxa"/>
            <w:tcBorders>
              <w:top w:val="single" w:color="auto" w:sz="4" w:space="0"/>
              <w:left w:val="single" w:color="auto" w:sz="4" w:space="0"/>
              <w:bottom w:val="single" w:color="auto" w:sz="4" w:space="0"/>
              <w:right w:val="single" w:color="auto" w:sz="4" w:space="0"/>
            </w:tcBorders>
            <w:vAlign w:val="center"/>
            <w:hideMark/>
          </w:tcPr>
          <w:p w:rsidRPr="004875D5" w:rsidR="0016366D" w:rsidP="008A7D44" w:rsidRDefault="0016366D" w14:paraId="7F7082D9"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 xml:space="preserve">TO, DP, LSE, GO </w:t>
            </w:r>
          </w:p>
          <w:p w:rsidRPr="004875D5" w:rsidR="0016366D" w:rsidP="008A7D44" w:rsidRDefault="0016366D" w14:paraId="1A58BAB1"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216</w:t>
            </w:r>
          </w:p>
        </w:tc>
        <w:tc>
          <w:tcPr>
            <w:tcW w:w="1760"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58FED584"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w:t>
            </w:r>
          </w:p>
        </w:tc>
        <w:tc>
          <w:tcPr>
            <w:tcW w:w="1299"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43521227"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216</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3E8F3CE8"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1 hr.;</w:t>
            </w:r>
          </w:p>
          <w:p w:rsidRPr="004875D5" w:rsidR="0016366D" w:rsidP="008A7D44" w:rsidRDefault="0016366D" w14:paraId="182068D9"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$41.03</w:t>
            </w:r>
          </w:p>
        </w:tc>
        <w:tc>
          <w:tcPr>
            <w:tcW w:w="1891" w:type="dxa"/>
            <w:tcBorders>
              <w:top w:val="single" w:color="auto" w:sz="4" w:space="0"/>
              <w:left w:val="single" w:color="auto" w:sz="4" w:space="0"/>
              <w:bottom w:val="single" w:color="auto" w:sz="4" w:space="0"/>
              <w:right w:val="single" w:color="auto" w:sz="4" w:space="0"/>
            </w:tcBorders>
            <w:vAlign w:val="bottom"/>
            <w:hideMark/>
          </w:tcPr>
          <w:p w:rsidRPr="004875D5" w:rsidR="0016366D" w:rsidP="008A7D44" w:rsidRDefault="0016366D" w14:paraId="2E631B22"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216 hrs.;</w:t>
            </w:r>
          </w:p>
          <w:p w:rsidRPr="004875D5" w:rsidR="0016366D" w:rsidP="008A7D44" w:rsidRDefault="0016366D" w14:paraId="2B14BA13"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4875D5">
              <w:rPr>
                <w:rFonts w:ascii="Times New Roman" w:hAnsi="Times New Roman" w:eastAsia="Times New Roman" w:cs="Times New Roman"/>
                <w:sz w:val="24"/>
                <w:szCs w:val="24"/>
              </w:rPr>
              <w:t>$8,862.48</w:t>
            </w:r>
          </w:p>
        </w:tc>
      </w:tr>
      <w:tr w:rsidRPr="00FF09E1" w:rsidR="000239B2" w:rsidTr="004875D5" w14:paraId="2C435D47" w14:textId="77777777">
        <w:trPr>
          <w:trHeight w:val="467"/>
          <w:jc w:val="center"/>
        </w:trPr>
        <w:tc>
          <w:tcPr>
            <w:tcW w:w="9266" w:type="dxa"/>
            <w:gridSpan w:val="6"/>
            <w:tcBorders>
              <w:top w:val="nil"/>
              <w:left w:val="single" w:color="auto" w:sz="4" w:space="0"/>
              <w:bottom w:val="single" w:color="auto" w:sz="4" w:space="0"/>
              <w:right w:val="single" w:color="auto" w:sz="4" w:space="0"/>
            </w:tcBorders>
            <w:shd w:val="clear" w:color="auto" w:fill="A6A6A6" w:themeFill="background1" w:themeFillShade="A6"/>
            <w:noWrap/>
          </w:tcPr>
          <w:p w:rsidRPr="004875D5" w:rsidR="000239B2" w:rsidP="004875D5" w:rsidRDefault="000239B2" w14:paraId="5E256CE1" w14:textId="35D679C3">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4875D5">
              <w:rPr>
                <w:rFonts w:ascii="Times New Roman" w:hAnsi="Times New Roman" w:eastAsia="Times New Roman" w:cs="Times New Roman"/>
                <w:b/>
                <w:sz w:val="24"/>
                <w:szCs w:val="24"/>
              </w:rPr>
              <w:t>FAC-010-</w:t>
            </w:r>
            <w:r w:rsidR="0065260C">
              <w:rPr>
                <w:rFonts w:ascii="Times New Roman" w:hAnsi="Times New Roman" w:eastAsia="Times New Roman" w:cs="Times New Roman"/>
                <w:b/>
                <w:sz w:val="24"/>
                <w:szCs w:val="24"/>
              </w:rPr>
              <w:t>3</w:t>
            </w:r>
            <w:r w:rsidRPr="004875D5">
              <w:rPr>
                <w:rFonts w:ascii="Times New Roman" w:hAnsi="Times New Roman" w:eastAsia="Times New Roman" w:cs="Times New Roman"/>
                <w:b/>
                <w:sz w:val="24"/>
                <w:szCs w:val="24"/>
              </w:rPr>
              <w:t>, FAC-011-3, FAC-014-2</w:t>
            </w:r>
          </w:p>
          <w:p w:rsidRPr="004875D5" w:rsidR="000239B2" w:rsidP="008A7D44" w:rsidRDefault="000239B2" w14:paraId="7BA2B695" w14:textId="25357A4C">
            <w:pPr>
              <w:widowControl w:val="0"/>
              <w:autoSpaceDE w:val="0"/>
              <w:autoSpaceDN w:val="0"/>
              <w:adjustRightInd w:val="0"/>
              <w:spacing w:after="0" w:line="240" w:lineRule="auto"/>
              <w:jc w:val="right"/>
              <w:rPr>
                <w:rFonts w:ascii="Times New Roman" w:hAnsi="Times New Roman" w:eastAsia="Times New Roman" w:cs="Times New Roman"/>
                <w:sz w:val="24"/>
                <w:szCs w:val="24"/>
              </w:rPr>
            </w:pPr>
          </w:p>
        </w:tc>
      </w:tr>
      <w:tr w:rsidRPr="00FF09E1" w:rsidR="008A7D44" w:rsidTr="002650E2" w14:paraId="31EAB121" w14:textId="77777777">
        <w:trPr>
          <w:trHeight w:val="467"/>
          <w:jc w:val="center"/>
        </w:trPr>
        <w:tc>
          <w:tcPr>
            <w:tcW w:w="1705" w:type="dxa"/>
            <w:tcBorders>
              <w:top w:val="single" w:color="auto" w:sz="4" w:space="0"/>
              <w:left w:val="single" w:color="auto" w:sz="4" w:space="0"/>
              <w:bottom w:val="single" w:color="auto" w:sz="4" w:space="0"/>
              <w:right w:val="single" w:color="auto" w:sz="4" w:space="0"/>
            </w:tcBorders>
            <w:noWrap/>
            <w:hideMark/>
          </w:tcPr>
          <w:p w:rsidRPr="004875D5" w:rsidR="008A7D44" w:rsidP="008A7D44" w:rsidRDefault="000239B2" w14:paraId="3294864C" w14:textId="4633D5EE">
            <w:pPr>
              <w:widowControl w:val="0"/>
              <w:autoSpaceDE w:val="0"/>
              <w:autoSpaceDN w:val="0"/>
              <w:adjustRightInd w:val="0"/>
              <w:spacing w:after="0" w:line="240" w:lineRule="auto"/>
              <w:jc w:val="right"/>
              <w:rPr>
                <w:rFonts w:ascii="Times New Roman" w:hAnsi="Times New Roman" w:eastAsia="Times New Roman" w:cs="Times New Roman"/>
                <w:bCs/>
                <w:sz w:val="24"/>
                <w:szCs w:val="24"/>
              </w:rPr>
            </w:pPr>
            <w:r w:rsidRPr="004875D5" w:rsidDel="000239B2">
              <w:rPr>
                <w:rFonts w:ascii="Times New Roman" w:hAnsi="Times New Roman" w:eastAsia="Times New Roman" w:cs="Times New Roman"/>
                <w:b/>
                <w:sz w:val="24"/>
                <w:szCs w:val="24"/>
              </w:rPr>
              <w:t xml:space="preserve"> </w:t>
            </w:r>
            <w:r w:rsidRPr="004875D5" w:rsidR="008A7D44">
              <w:rPr>
                <w:rFonts w:ascii="Times New Roman" w:hAnsi="Times New Roman" w:eastAsia="Times New Roman" w:cs="Times New Roman"/>
                <w:bCs/>
                <w:sz w:val="24"/>
                <w:szCs w:val="24"/>
              </w:rPr>
              <w:t>Transmission &amp; Planning</w:t>
            </w:r>
          </w:p>
          <w:p w:rsidRPr="004875D5" w:rsidR="008A7D44" w:rsidP="008A7D44" w:rsidRDefault="008A7D44" w14:paraId="06F0D2A7" w14:textId="77777777">
            <w:pPr>
              <w:widowControl w:val="0"/>
              <w:autoSpaceDE w:val="0"/>
              <w:autoSpaceDN w:val="0"/>
              <w:adjustRightInd w:val="0"/>
              <w:spacing w:after="0" w:line="240" w:lineRule="auto"/>
              <w:jc w:val="right"/>
              <w:rPr>
                <w:rFonts w:ascii="Times New Roman" w:hAnsi="Times New Roman" w:eastAsia="Times New Roman" w:cs="Times New Roman"/>
                <w:b/>
                <w:sz w:val="24"/>
                <w:szCs w:val="24"/>
              </w:rPr>
            </w:pPr>
          </w:p>
        </w:tc>
        <w:tc>
          <w:tcPr>
            <w:tcW w:w="1081" w:type="dxa"/>
            <w:tcBorders>
              <w:top w:val="single" w:color="auto" w:sz="4" w:space="0"/>
              <w:left w:val="single" w:color="auto" w:sz="4" w:space="0"/>
              <w:bottom w:val="single" w:color="auto" w:sz="4" w:space="0"/>
              <w:right w:val="single" w:color="auto" w:sz="4" w:space="0"/>
            </w:tcBorders>
            <w:hideMark/>
          </w:tcPr>
          <w:p w:rsidRPr="004875D5" w:rsidR="008A7D44" w:rsidP="008A7D44" w:rsidRDefault="008A7D44" w14:paraId="5FCDF741"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PA/RC/TP/TO</w:t>
            </w:r>
          </w:p>
          <w:p w:rsidRPr="004875D5" w:rsidR="008A7D44" w:rsidP="008A7D44" w:rsidRDefault="008A7D44" w14:paraId="7B93675B"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470</w:t>
            </w:r>
            <w:r w:rsidRPr="004875D5">
              <w:rPr>
                <w:rFonts w:ascii="Times New Roman" w:hAnsi="Times New Roman" w:eastAsia="Calibri" w:cs="Times New Roman"/>
                <w:b/>
                <w:sz w:val="24"/>
                <w:szCs w:val="24"/>
                <w:vertAlign w:val="superscript"/>
              </w:rPr>
              <w:footnoteReference w:id="24"/>
            </w:r>
          </w:p>
          <w:p w:rsidRPr="004875D5" w:rsidR="008A7D44" w:rsidP="008A7D44" w:rsidRDefault="008A7D44" w14:paraId="60F0F9BB" w14:textId="77777777">
            <w:pPr>
              <w:spacing w:after="0" w:line="240" w:lineRule="auto"/>
              <w:jc w:val="right"/>
              <w:rPr>
                <w:rFonts w:ascii="Times New Roman" w:hAnsi="Times New Roman" w:eastAsia="Times New Roman" w:cs="Times New Roman"/>
                <w:sz w:val="24"/>
                <w:szCs w:val="24"/>
              </w:rPr>
            </w:pPr>
          </w:p>
        </w:tc>
        <w:tc>
          <w:tcPr>
            <w:tcW w:w="1760" w:type="dxa"/>
            <w:tcBorders>
              <w:top w:val="single" w:color="auto" w:sz="4" w:space="0"/>
              <w:left w:val="single" w:color="auto" w:sz="4" w:space="0"/>
              <w:bottom w:val="single" w:color="auto" w:sz="4" w:space="0"/>
              <w:right w:val="single" w:color="auto" w:sz="4" w:space="0"/>
            </w:tcBorders>
          </w:tcPr>
          <w:p w:rsidRPr="004875D5" w:rsidR="008A7D44" w:rsidP="008A7D44" w:rsidRDefault="008A7D44" w14:paraId="17A95586" w14:textId="77777777">
            <w:pPr>
              <w:spacing w:after="0" w:line="240" w:lineRule="auto"/>
              <w:jc w:val="right"/>
              <w:rPr>
                <w:rFonts w:ascii="Times New Roman" w:hAnsi="Times New Roman" w:eastAsia="Times New Roman" w:cs="Times New Roman"/>
                <w:sz w:val="24"/>
                <w:szCs w:val="24"/>
              </w:rPr>
            </w:pPr>
            <w:r w:rsidRPr="004875D5">
              <w:rPr>
                <w:rFonts w:ascii="Times New Roman" w:hAnsi="Times New Roman" w:eastAsia="Calibri" w:cs="Times New Roman"/>
                <w:sz w:val="24"/>
                <w:szCs w:val="24"/>
              </w:rPr>
              <w:t>1</w:t>
            </w:r>
          </w:p>
        </w:tc>
        <w:tc>
          <w:tcPr>
            <w:tcW w:w="1299" w:type="dxa"/>
            <w:tcBorders>
              <w:top w:val="single" w:color="auto" w:sz="4" w:space="0"/>
              <w:left w:val="single" w:color="auto" w:sz="4" w:space="0"/>
              <w:bottom w:val="single" w:color="auto" w:sz="4" w:space="0"/>
              <w:right w:val="single" w:color="auto" w:sz="4" w:space="0"/>
            </w:tcBorders>
            <w:hideMark/>
          </w:tcPr>
          <w:p w:rsidRPr="004875D5" w:rsidR="008A7D44" w:rsidP="008A7D44" w:rsidRDefault="008A7D44" w14:paraId="5642C04F" w14:textId="77777777">
            <w:pPr>
              <w:spacing w:after="0" w:line="240" w:lineRule="auto"/>
              <w:jc w:val="right"/>
              <w:rPr>
                <w:rFonts w:ascii="Times New Roman" w:hAnsi="Times New Roman" w:eastAsia="Times New Roman" w:cs="Times New Roman"/>
                <w:sz w:val="24"/>
                <w:szCs w:val="24"/>
              </w:rPr>
            </w:pPr>
            <w:r w:rsidRPr="004875D5">
              <w:rPr>
                <w:rFonts w:ascii="Times New Roman" w:hAnsi="Times New Roman" w:eastAsia="Calibri" w:cs="Times New Roman"/>
                <w:sz w:val="24"/>
                <w:szCs w:val="24"/>
              </w:rPr>
              <w:t>470</w:t>
            </w:r>
          </w:p>
        </w:tc>
        <w:tc>
          <w:tcPr>
            <w:tcW w:w="1530" w:type="dxa"/>
            <w:tcBorders>
              <w:top w:val="single" w:color="auto" w:sz="4" w:space="0"/>
              <w:left w:val="single" w:color="auto" w:sz="4" w:space="0"/>
              <w:bottom w:val="single" w:color="auto" w:sz="4" w:space="0"/>
              <w:right w:val="single" w:color="auto" w:sz="4" w:space="0"/>
            </w:tcBorders>
            <w:hideMark/>
          </w:tcPr>
          <w:p w:rsidRPr="004875D5" w:rsidR="008A7D44" w:rsidP="008A7D44" w:rsidRDefault="008A7D44" w14:paraId="59D86D3D"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295.7hrs.;</w:t>
            </w:r>
          </w:p>
          <w:p w:rsidRPr="004875D5" w:rsidR="008A7D44" w:rsidP="008A7D44" w:rsidRDefault="008A7D44" w14:paraId="5EE3B57E" w14:textId="77777777">
            <w:pPr>
              <w:spacing w:after="0" w:line="240" w:lineRule="auto"/>
              <w:jc w:val="right"/>
              <w:rPr>
                <w:rFonts w:ascii="Times New Roman" w:hAnsi="Times New Roman" w:eastAsia="Times New Roman" w:cs="Times New Roman"/>
                <w:sz w:val="24"/>
                <w:szCs w:val="24"/>
              </w:rPr>
            </w:pPr>
            <w:r w:rsidRPr="004875D5">
              <w:rPr>
                <w:rFonts w:ascii="Times New Roman" w:hAnsi="Times New Roman" w:eastAsia="Calibri" w:cs="Times New Roman"/>
                <w:sz w:val="24"/>
                <w:szCs w:val="24"/>
              </w:rPr>
              <w:t>$24,741.219</w:t>
            </w:r>
          </w:p>
        </w:tc>
        <w:tc>
          <w:tcPr>
            <w:tcW w:w="1891" w:type="dxa"/>
            <w:tcBorders>
              <w:top w:val="single" w:color="auto" w:sz="4" w:space="0"/>
              <w:left w:val="single" w:color="auto" w:sz="4" w:space="0"/>
              <w:bottom w:val="single" w:color="auto" w:sz="4" w:space="0"/>
              <w:right w:val="single" w:color="auto" w:sz="4" w:space="0"/>
            </w:tcBorders>
            <w:hideMark/>
          </w:tcPr>
          <w:p w:rsidRPr="004875D5" w:rsidR="008A7D44" w:rsidP="008A7D44" w:rsidRDefault="008A7D44" w14:paraId="60B69809" w14:textId="77777777">
            <w:pPr>
              <w:spacing w:after="0" w:line="240" w:lineRule="auto"/>
              <w:jc w:val="right"/>
              <w:rPr>
                <w:rFonts w:ascii="Times New Roman" w:hAnsi="Times New Roman" w:eastAsia="Calibri" w:cs="Times New Roman"/>
                <w:sz w:val="24"/>
                <w:szCs w:val="24"/>
              </w:rPr>
            </w:pPr>
            <w:r w:rsidRPr="004875D5">
              <w:rPr>
                <w:rFonts w:ascii="Times New Roman" w:hAnsi="Times New Roman" w:eastAsia="Calibri" w:cs="Times New Roman"/>
                <w:sz w:val="24"/>
                <w:szCs w:val="24"/>
              </w:rPr>
              <w:t xml:space="preserve"> 138,979 hrs.;</w:t>
            </w:r>
          </w:p>
          <w:p w:rsidRPr="004875D5" w:rsidR="008A7D44" w:rsidP="008A7D44" w:rsidRDefault="008A7D44" w14:paraId="57F3755F" w14:textId="77777777">
            <w:pPr>
              <w:spacing w:after="0" w:line="240" w:lineRule="auto"/>
              <w:jc w:val="right"/>
              <w:rPr>
                <w:rFonts w:ascii="Times New Roman" w:hAnsi="Times New Roman" w:eastAsia="Times New Roman" w:cs="Times New Roman"/>
                <w:sz w:val="24"/>
                <w:szCs w:val="24"/>
              </w:rPr>
            </w:pPr>
            <w:r w:rsidRPr="004875D5">
              <w:rPr>
                <w:rFonts w:ascii="Times New Roman" w:hAnsi="Times New Roman" w:eastAsia="Calibri" w:cs="Times New Roman"/>
                <w:sz w:val="24"/>
                <w:szCs w:val="24"/>
              </w:rPr>
              <w:t xml:space="preserve">$11,628,372.93 </w:t>
            </w:r>
          </w:p>
        </w:tc>
      </w:tr>
      <w:tr w:rsidRPr="00FF09E1" w:rsidR="008A7D44" w:rsidTr="002650E2" w14:paraId="7A57D7A2" w14:textId="77777777">
        <w:trPr>
          <w:trHeight w:val="467"/>
          <w:jc w:val="center"/>
        </w:trPr>
        <w:tc>
          <w:tcPr>
            <w:tcW w:w="1705" w:type="dxa"/>
            <w:tcBorders>
              <w:top w:val="single" w:color="auto" w:sz="4" w:space="0"/>
              <w:left w:val="single" w:color="auto" w:sz="4" w:space="0"/>
              <w:bottom w:val="single" w:color="auto" w:sz="4" w:space="0"/>
              <w:right w:val="single" w:color="auto" w:sz="4" w:space="0"/>
            </w:tcBorders>
            <w:shd w:val="clear" w:color="auto" w:fill="BFBFBF"/>
            <w:noWrap/>
          </w:tcPr>
          <w:p w:rsidRPr="00210B45" w:rsidR="008A7D44" w:rsidP="008A7D44" w:rsidRDefault="00EA7EE9" w14:paraId="5AADD792" w14:textId="2AEAE4CE">
            <w:pPr>
              <w:widowControl w:val="0"/>
              <w:autoSpaceDE w:val="0"/>
              <w:autoSpaceDN w:val="0"/>
              <w:adjustRightInd w:val="0"/>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 xml:space="preserve">FERC-725D Totals (Reporting Reqs. and Evidence Retention for </w:t>
            </w:r>
            <w:r w:rsidRPr="00210B45" w:rsidR="008A7D44">
              <w:rPr>
                <w:rFonts w:ascii="Times New Roman" w:hAnsi="Times New Roman" w:eastAsia="Times New Roman" w:cs="Times New Roman"/>
                <w:b/>
                <w:bCs/>
                <w:sz w:val="24"/>
                <w:szCs w:val="24"/>
              </w:rPr>
              <w:t>FAC-001-3, FAC-002-3, FAC-010-3, FAC-011-3, and FAC-014-2</w:t>
            </w:r>
            <w:r w:rsidR="009B3BDC">
              <w:rPr>
                <w:rFonts w:ascii="Times New Roman" w:hAnsi="Times New Roman" w:eastAsia="Times New Roman" w:cs="Times New Roman"/>
                <w:b/>
                <w:bCs/>
                <w:sz w:val="24"/>
                <w:szCs w:val="24"/>
              </w:rPr>
              <w:t>), reflecting RD20-4 and renewal</w:t>
            </w:r>
          </w:p>
        </w:tc>
        <w:tc>
          <w:tcPr>
            <w:tcW w:w="1081" w:type="dxa"/>
            <w:tcBorders>
              <w:top w:val="single" w:color="auto" w:sz="4" w:space="0"/>
              <w:left w:val="single" w:color="auto" w:sz="4" w:space="0"/>
              <w:bottom w:val="single" w:color="auto" w:sz="4" w:space="0"/>
              <w:right w:val="single" w:color="auto" w:sz="4" w:space="0"/>
            </w:tcBorders>
            <w:shd w:val="clear" w:color="auto" w:fill="BFBFBF"/>
          </w:tcPr>
          <w:p w:rsidRPr="00210B45" w:rsidR="008A7D44" w:rsidP="008A7D44" w:rsidRDefault="008A7D44" w14:paraId="5A33F340" w14:textId="77777777">
            <w:pPr>
              <w:spacing w:after="0" w:line="240" w:lineRule="auto"/>
              <w:jc w:val="right"/>
              <w:rPr>
                <w:rFonts w:ascii="Times New Roman" w:hAnsi="Times New Roman" w:eastAsia="Calibri" w:cs="Times New Roman"/>
                <w:sz w:val="24"/>
                <w:szCs w:val="24"/>
              </w:rPr>
            </w:pPr>
            <w:r w:rsidRPr="00210B45">
              <w:rPr>
                <w:rFonts w:ascii="Times New Roman" w:hAnsi="Times New Roman" w:eastAsia="Calibri" w:cs="Times New Roman"/>
                <w:sz w:val="24"/>
                <w:szCs w:val="24"/>
              </w:rPr>
              <w:t>1,957</w:t>
            </w:r>
          </w:p>
        </w:tc>
        <w:tc>
          <w:tcPr>
            <w:tcW w:w="1760" w:type="dxa"/>
            <w:tcBorders>
              <w:top w:val="single" w:color="auto" w:sz="4" w:space="0"/>
              <w:left w:val="single" w:color="auto" w:sz="4" w:space="0"/>
              <w:bottom w:val="single" w:color="auto" w:sz="4" w:space="0"/>
              <w:right w:val="single" w:color="auto" w:sz="4" w:space="0"/>
            </w:tcBorders>
            <w:shd w:val="clear" w:color="auto" w:fill="BFBFBF"/>
          </w:tcPr>
          <w:p w:rsidRPr="00210B45" w:rsidR="008A7D44" w:rsidP="008A7D44" w:rsidRDefault="008A7D44" w14:paraId="1607B7B8" w14:textId="77777777">
            <w:pPr>
              <w:spacing w:after="0" w:line="240" w:lineRule="auto"/>
              <w:jc w:val="right"/>
              <w:rPr>
                <w:rFonts w:ascii="Times New Roman" w:hAnsi="Times New Roman" w:eastAsia="Calibri" w:cs="Times New Roman"/>
                <w:sz w:val="24"/>
                <w:szCs w:val="24"/>
              </w:rPr>
            </w:pPr>
            <w:r w:rsidRPr="00210B45">
              <w:rPr>
                <w:rFonts w:ascii="Times New Roman" w:hAnsi="Times New Roman" w:eastAsia="Calibri" w:cs="Times New Roman"/>
                <w:sz w:val="24"/>
                <w:szCs w:val="24"/>
              </w:rPr>
              <w:t>1</w:t>
            </w:r>
          </w:p>
        </w:tc>
        <w:tc>
          <w:tcPr>
            <w:tcW w:w="1299" w:type="dxa"/>
            <w:tcBorders>
              <w:top w:val="single" w:color="auto" w:sz="4" w:space="0"/>
              <w:left w:val="single" w:color="auto" w:sz="4" w:space="0"/>
              <w:bottom w:val="single" w:color="auto" w:sz="4" w:space="0"/>
              <w:right w:val="single" w:color="auto" w:sz="4" w:space="0"/>
            </w:tcBorders>
            <w:shd w:val="clear" w:color="auto" w:fill="BFBFBF"/>
          </w:tcPr>
          <w:p w:rsidRPr="00210B45" w:rsidR="008A7D44" w:rsidP="008A7D44" w:rsidRDefault="008A7D44" w14:paraId="411FBCAD" w14:textId="77777777">
            <w:pPr>
              <w:spacing w:after="0" w:line="240" w:lineRule="auto"/>
              <w:jc w:val="right"/>
              <w:rPr>
                <w:rFonts w:ascii="Times New Roman" w:hAnsi="Times New Roman" w:eastAsia="Calibri" w:cs="Times New Roman"/>
                <w:sz w:val="24"/>
                <w:szCs w:val="24"/>
              </w:rPr>
            </w:pPr>
            <w:r w:rsidRPr="00210B45">
              <w:rPr>
                <w:rFonts w:ascii="Times New Roman" w:hAnsi="Times New Roman" w:eastAsia="Calibri" w:cs="Times New Roman"/>
                <w:sz w:val="24"/>
                <w:szCs w:val="24"/>
              </w:rPr>
              <w:t>1,957</w:t>
            </w:r>
          </w:p>
        </w:tc>
        <w:tc>
          <w:tcPr>
            <w:tcW w:w="1530" w:type="dxa"/>
            <w:tcBorders>
              <w:top w:val="single" w:color="auto" w:sz="4" w:space="0"/>
              <w:left w:val="single" w:color="auto" w:sz="4" w:space="0"/>
              <w:bottom w:val="single" w:color="auto" w:sz="4" w:space="0"/>
              <w:right w:val="single" w:color="auto" w:sz="4" w:space="0"/>
            </w:tcBorders>
            <w:shd w:val="clear" w:color="auto" w:fill="BFBFBF"/>
          </w:tcPr>
          <w:p w:rsidRPr="00210B45" w:rsidR="008A7D44" w:rsidP="008A7D44" w:rsidRDefault="008A7D44" w14:paraId="7996007A" w14:textId="77777777">
            <w:pPr>
              <w:spacing w:after="0" w:line="240" w:lineRule="auto"/>
              <w:jc w:val="right"/>
              <w:rPr>
                <w:rFonts w:ascii="Times New Roman" w:hAnsi="Times New Roman" w:eastAsia="Calibri" w:cs="Times New Roman"/>
                <w:sz w:val="24"/>
                <w:szCs w:val="24"/>
              </w:rPr>
            </w:pPr>
            <w:r w:rsidRPr="00210B45">
              <w:rPr>
                <w:rFonts w:ascii="Times New Roman" w:hAnsi="Times New Roman" w:eastAsia="Calibri" w:cs="Times New Roman"/>
                <w:sz w:val="24"/>
                <w:szCs w:val="24"/>
              </w:rPr>
              <w:t>366.7 hrs.;</w:t>
            </w:r>
          </w:p>
        </w:tc>
        <w:tc>
          <w:tcPr>
            <w:tcW w:w="1891" w:type="dxa"/>
            <w:tcBorders>
              <w:top w:val="single" w:color="auto" w:sz="4" w:space="0"/>
              <w:left w:val="single" w:color="auto" w:sz="4" w:space="0"/>
              <w:bottom w:val="single" w:color="auto" w:sz="4" w:space="0"/>
              <w:right w:val="single" w:color="auto" w:sz="4" w:space="0"/>
            </w:tcBorders>
            <w:shd w:val="clear" w:color="auto" w:fill="BFBFBF"/>
          </w:tcPr>
          <w:p w:rsidRPr="00210B45" w:rsidR="008A7D44" w:rsidP="008A7D44" w:rsidRDefault="008A7D44" w14:paraId="0A9D3B0A" w14:textId="77777777">
            <w:pPr>
              <w:spacing w:after="0" w:line="240" w:lineRule="auto"/>
              <w:jc w:val="right"/>
              <w:rPr>
                <w:rFonts w:ascii="Times New Roman" w:hAnsi="Times New Roman" w:eastAsia="Calibri" w:cs="Times New Roman"/>
                <w:sz w:val="24"/>
                <w:szCs w:val="24"/>
              </w:rPr>
            </w:pPr>
            <w:r w:rsidRPr="00210B45">
              <w:rPr>
                <w:rFonts w:ascii="Times New Roman" w:hAnsi="Times New Roman" w:eastAsia="Calibri" w:cs="Times New Roman"/>
                <w:sz w:val="24"/>
                <w:szCs w:val="24"/>
              </w:rPr>
              <w:t>168,655 hrs.</w:t>
            </w:r>
            <w:r w:rsidRPr="00210B45">
              <w:rPr>
                <w:rFonts w:ascii="Times New Roman" w:hAnsi="Times New Roman" w:eastAsia="Calibri" w:cs="Times New Roman"/>
                <w:sz w:val="24"/>
                <w:szCs w:val="24"/>
                <w:vertAlign w:val="superscript"/>
              </w:rPr>
              <w:footnoteReference w:id="25"/>
            </w:r>
            <w:r w:rsidRPr="00210B45">
              <w:rPr>
                <w:rFonts w:ascii="Times New Roman" w:hAnsi="Times New Roman" w:eastAsia="Calibri" w:cs="Times New Roman"/>
                <w:sz w:val="24"/>
                <w:szCs w:val="24"/>
              </w:rPr>
              <w:t>;</w:t>
            </w:r>
          </w:p>
          <w:p w:rsidRPr="00210B45" w:rsidR="008A7D44" w:rsidP="008A7D44" w:rsidRDefault="008A7D44" w14:paraId="4CEEA5B4" w14:textId="77777777">
            <w:pPr>
              <w:spacing w:after="0" w:line="240" w:lineRule="auto"/>
              <w:jc w:val="right"/>
              <w:rPr>
                <w:rFonts w:ascii="Times New Roman" w:hAnsi="Times New Roman" w:eastAsia="Calibri" w:cs="Times New Roman"/>
                <w:sz w:val="24"/>
                <w:szCs w:val="24"/>
              </w:rPr>
            </w:pPr>
            <w:r w:rsidRPr="00210B45">
              <w:rPr>
                <w:rFonts w:ascii="Times New Roman" w:hAnsi="Times New Roman" w:eastAsia="Calibri" w:cs="Times New Roman"/>
                <w:sz w:val="24"/>
                <w:szCs w:val="24"/>
              </w:rPr>
              <w:t>$14,079,040.68</w:t>
            </w:r>
          </w:p>
        </w:tc>
      </w:tr>
    </w:tbl>
    <w:p w:rsidRPr="00210B45" w:rsidR="008A7D44" w:rsidP="00FE33E2" w:rsidRDefault="008A7D44" w14:paraId="447B4B5D" w14:textId="77777777">
      <w:pPr>
        <w:spacing w:after="0" w:line="240" w:lineRule="auto"/>
        <w:rPr>
          <w:rFonts w:ascii="Times New Roman" w:hAnsi="Times New Roman" w:cs="Times New Roman"/>
          <w:b/>
          <w:sz w:val="24"/>
          <w:szCs w:val="24"/>
        </w:rPr>
      </w:pPr>
    </w:p>
    <w:p w:rsidRPr="00F84EB3" w:rsidR="00EE07DD" w:rsidP="00FB148F" w:rsidRDefault="00EE07DD" w14:paraId="069D181E" w14:textId="719024EE">
      <w:pPr>
        <w:numPr>
          <w:ilvl w:val="0"/>
          <w:numId w:val="2"/>
        </w:numPr>
        <w:spacing w:after="0" w:line="240" w:lineRule="auto"/>
        <w:rPr>
          <w:rFonts w:ascii="Times New Roman" w:hAnsi="Times New Roman" w:cs="Times New Roman"/>
          <w:b/>
          <w:sz w:val="24"/>
          <w:szCs w:val="24"/>
        </w:rPr>
      </w:pPr>
      <w:r w:rsidRPr="00F84EB3">
        <w:rPr>
          <w:rFonts w:ascii="Times New Roman" w:hAnsi="Times New Roman" w:cs="Times New Roman"/>
          <w:b/>
          <w:sz w:val="24"/>
          <w:szCs w:val="24"/>
        </w:rPr>
        <w:t>ESTIMATE OF THE TOTAL ANNUAL COST BURDEN TO RESPONDENTS</w:t>
      </w:r>
    </w:p>
    <w:p w:rsidRPr="00F84EB3" w:rsidR="00EE07DD" w:rsidP="00F81B09" w:rsidRDefault="00EE07DD" w14:paraId="53B2F6D0" w14:textId="77777777">
      <w:pPr>
        <w:spacing w:after="0" w:line="240" w:lineRule="auto"/>
        <w:ind w:left="360"/>
        <w:rPr>
          <w:rFonts w:ascii="Times New Roman" w:hAnsi="Times New Roman" w:cs="Times New Roman"/>
          <w:sz w:val="24"/>
          <w:szCs w:val="24"/>
        </w:rPr>
      </w:pPr>
    </w:p>
    <w:p w:rsidRPr="00F84EB3" w:rsidR="00EE07DD" w:rsidP="001A153B" w:rsidRDefault="00EE07DD" w14:paraId="13B36115" w14:textId="417752C5">
      <w:pPr>
        <w:spacing w:after="0" w:line="240" w:lineRule="auto"/>
        <w:rPr>
          <w:rFonts w:ascii="Times New Roman" w:hAnsi="Times New Roman" w:cs="Times New Roman"/>
          <w:sz w:val="24"/>
          <w:szCs w:val="24"/>
        </w:rPr>
      </w:pPr>
      <w:r w:rsidRPr="00F84EB3">
        <w:rPr>
          <w:rFonts w:ascii="Times New Roman" w:hAnsi="Times New Roman" w:cs="Times New Roman"/>
          <w:sz w:val="24"/>
          <w:szCs w:val="24"/>
        </w:rPr>
        <w:t xml:space="preserve">There is no start-up, capital, or other non-labor hour cost associated with the PRA aspects </w:t>
      </w:r>
      <w:r w:rsidR="00EA7EE9">
        <w:rPr>
          <w:rFonts w:ascii="Times New Roman" w:hAnsi="Times New Roman" w:cs="Times New Roman"/>
          <w:sz w:val="24"/>
          <w:szCs w:val="24"/>
        </w:rPr>
        <w:t xml:space="preserve">of </w:t>
      </w:r>
      <w:r w:rsidRPr="00F84EB3" w:rsidR="00770473">
        <w:rPr>
          <w:rFonts w:ascii="Times New Roman" w:hAnsi="Times New Roman" w:cs="Times New Roman"/>
          <w:sz w:val="24"/>
          <w:szCs w:val="24"/>
        </w:rPr>
        <w:t>FERC-725D</w:t>
      </w:r>
      <w:r w:rsidRPr="00F84EB3" w:rsidR="00022939">
        <w:rPr>
          <w:rFonts w:ascii="Times New Roman" w:hAnsi="Times New Roman" w:cs="Times New Roman"/>
          <w:sz w:val="24"/>
          <w:szCs w:val="24"/>
        </w:rPr>
        <w:t>. A</w:t>
      </w:r>
      <w:r w:rsidRPr="00F84EB3">
        <w:rPr>
          <w:rFonts w:ascii="Times New Roman" w:hAnsi="Times New Roman" w:cs="Times New Roman"/>
          <w:sz w:val="24"/>
          <w:szCs w:val="24"/>
        </w:rPr>
        <w:t xml:space="preserve">ll costs are associated with burden hours and are addressed in Questions 12 and 15.  </w:t>
      </w:r>
    </w:p>
    <w:p w:rsidRPr="004875D5" w:rsidR="00EE07DD" w:rsidP="001A153B" w:rsidRDefault="00EE07DD" w14:paraId="63A01C19" w14:textId="77777777">
      <w:pPr>
        <w:spacing w:after="0" w:line="240" w:lineRule="auto"/>
        <w:rPr>
          <w:rFonts w:ascii="Times New Roman" w:hAnsi="Times New Roman" w:cs="Times New Roman"/>
          <w:sz w:val="24"/>
          <w:szCs w:val="24"/>
        </w:rPr>
      </w:pPr>
    </w:p>
    <w:p w:rsidRPr="00F84EB3" w:rsidR="00EE07DD" w:rsidP="001A153B" w:rsidRDefault="00EE07DD" w14:paraId="1062D123"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ESTIMATED ANNUALIZED COST TO FEDERA</w:t>
      </w:r>
      <w:r w:rsidRPr="00F84EB3">
        <w:rPr>
          <w:rFonts w:ascii="Times New Roman" w:hAnsi="Times New Roman" w:cs="Times New Roman"/>
          <w:b/>
          <w:sz w:val="24"/>
          <w:szCs w:val="24"/>
        </w:rPr>
        <w:t>L GOVERNMENT</w:t>
      </w:r>
    </w:p>
    <w:p w:rsidRPr="00F84EB3" w:rsidR="00EE07DD" w:rsidP="001A153B" w:rsidRDefault="00EE07DD" w14:paraId="39FDEE54" w14:textId="77777777">
      <w:pPr>
        <w:spacing w:after="0" w:line="240" w:lineRule="auto"/>
        <w:rPr>
          <w:rFonts w:ascii="Times New Roman" w:hAnsi="Times New Roman" w:cs="Times New Roman"/>
          <w:sz w:val="24"/>
          <w:szCs w:val="24"/>
        </w:rPr>
      </w:pPr>
    </w:p>
    <w:p w:rsidRPr="00F84EB3" w:rsidR="00770473" w:rsidP="001A153B" w:rsidRDefault="00EE07DD" w14:paraId="5F2D940C" w14:textId="77777777">
      <w:pPr>
        <w:spacing w:after="0" w:line="240" w:lineRule="auto"/>
        <w:rPr>
          <w:rFonts w:ascii="Times New Roman" w:hAnsi="Times New Roman" w:cs="Times New Roman"/>
          <w:sz w:val="24"/>
          <w:szCs w:val="24"/>
        </w:rPr>
      </w:pPr>
      <w:r w:rsidRPr="00F84EB3">
        <w:rPr>
          <w:rFonts w:ascii="Times New Roman" w:hAnsi="Times New Roman" w:cs="Times New Roman"/>
          <w:sz w:val="24"/>
          <w:szCs w:val="24"/>
        </w:rPr>
        <w:t>The Regional Entities and NERC do most of the data processing, monitoring and compliance work for Reliability Standards</w:t>
      </w:r>
      <w:r w:rsidRPr="00F84EB3" w:rsidR="00A16F8B">
        <w:rPr>
          <w:rFonts w:ascii="Times New Roman" w:hAnsi="Times New Roman" w:cs="Times New Roman"/>
          <w:sz w:val="24"/>
          <w:szCs w:val="24"/>
        </w:rPr>
        <w:t>. Therefore, there are no costs for analysis and processing of filings</w:t>
      </w:r>
      <w:r w:rsidRPr="00F84EB3">
        <w:rPr>
          <w:rFonts w:ascii="Times New Roman" w:hAnsi="Times New Roman" w:cs="Times New Roman"/>
          <w:sz w:val="24"/>
          <w:szCs w:val="24"/>
        </w:rPr>
        <w:t xml:space="preserve">. </w:t>
      </w:r>
    </w:p>
    <w:p w:rsidRPr="00F84EB3" w:rsidR="00770473" w:rsidP="001A153B" w:rsidRDefault="00770473" w14:paraId="1C41FC0E" w14:textId="77777777">
      <w:pPr>
        <w:spacing w:after="0" w:line="240" w:lineRule="auto"/>
        <w:rPr>
          <w:rFonts w:ascii="Times New Roman" w:hAnsi="Times New Roman" w:cs="Times New Roman"/>
          <w:sz w:val="24"/>
          <w:szCs w:val="24"/>
        </w:rPr>
      </w:pPr>
    </w:p>
    <w:p w:rsidRPr="00F84EB3" w:rsidR="00EE07DD" w:rsidP="001A153B" w:rsidRDefault="00EE07DD" w14:paraId="6EEE2D3C" w14:textId="537746C5">
      <w:pPr>
        <w:spacing w:after="0" w:line="240" w:lineRule="auto"/>
        <w:rPr>
          <w:rFonts w:ascii="Times New Roman" w:hAnsi="Times New Roman" w:cs="Times New Roman"/>
          <w:sz w:val="24"/>
          <w:szCs w:val="24"/>
        </w:rPr>
      </w:pPr>
      <w:r w:rsidRPr="00F84EB3">
        <w:rPr>
          <w:rFonts w:ascii="Times New Roman" w:hAnsi="Times New Roman" w:cs="Times New Roman"/>
          <w:sz w:val="24"/>
          <w:szCs w:val="24"/>
        </w:rPr>
        <w:t>The PRA Administrative  Cost (estimate of $</w:t>
      </w:r>
      <w:r w:rsidRPr="00F84EB3" w:rsidR="00A16F8B">
        <w:rPr>
          <w:rFonts w:ascii="Times New Roman" w:hAnsi="Times New Roman" w:cs="Times New Roman"/>
          <w:sz w:val="24"/>
          <w:szCs w:val="24"/>
        </w:rPr>
        <w:t>6,475</w:t>
      </w:r>
      <w:r w:rsidRPr="00F84EB3">
        <w:rPr>
          <w:rFonts w:ascii="Times New Roman" w:hAnsi="Times New Roman" w:cs="Times New Roman"/>
          <w:sz w:val="24"/>
          <w:szCs w:val="24"/>
        </w:rPr>
        <w:t xml:space="preserve">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w:t>
      </w:r>
      <w:r w:rsidRPr="00F84EB3" w:rsidR="003706A1">
        <w:rPr>
          <w:rFonts w:ascii="Times New Roman" w:hAnsi="Times New Roman" w:cs="Times New Roman"/>
          <w:sz w:val="24"/>
          <w:szCs w:val="24"/>
        </w:rPr>
        <w:t>, as well as necessary publications in the Federal Register</w:t>
      </w:r>
      <w:r w:rsidRPr="00F84EB3">
        <w:rPr>
          <w:rFonts w:ascii="Times New Roman" w:hAnsi="Times New Roman" w:cs="Times New Roman"/>
          <w:sz w:val="24"/>
          <w:szCs w:val="24"/>
        </w:rPr>
        <w:t xml:space="preserve">. </w:t>
      </w: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FF09E1" w:rsidR="00EE07DD" w:rsidTr="00022939" w14:paraId="5B5BCD67"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4875D5" w:rsidR="00EE07DD" w:rsidP="001A153B" w:rsidRDefault="00EE07DD" w14:paraId="424A5C78" w14:textId="77777777">
            <w:pPr>
              <w:spacing w:line="240" w:lineRule="auto"/>
              <w:rPr>
                <w:rFonts w:ascii="Times New Roman" w:hAnsi="Times New Roman" w:cs="Times New Roman"/>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4875D5" w:rsidR="00EE07DD" w:rsidP="001A153B" w:rsidRDefault="00EE07DD" w14:paraId="39CA433B" w14:textId="77777777">
            <w:pPr>
              <w:spacing w:line="240" w:lineRule="auto"/>
              <w:rPr>
                <w:rFonts w:ascii="Times New Roman" w:hAnsi="Times New Roman" w:cs="Times New Roman"/>
                <w:b/>
                <w:sz w:val="24"/>
                <w:szCs w:val="24"/>
              </w:rPr>
            </w:pPr>
            <w:r w:rsidRPr="004875D5">
              <w:rPr>
                <w:rFonts w:ascii="Times New Roman" w:hAnsi="Times New Roman" w:cs="Times New Roman"/>
                <w:b/>
                <w:sz w:val="24"/>
                <w:szCs w:val="24"/>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4875D5" w:rsidR="00EE07DD" w:rsidP="001A153B" w:rsidRDefault="00EE07DD" w14:paraId="1F820DE5" w14:textId="77777777">
            <w:pPr>
              <w:spacing w:line="240" w:lineRule="auto"/>
              <w:rPr>
                <w:rFonts w:ascii="Times New Roman" w:hAnsi="Times New Roman" w:cs="Times New Roman"/>
                <w:b/>
                <w:sz w:val="24"/>
                <w:szCs w:val="24"/>
              </w:rPr>
            </w:pPr>
            <w:r w:rsidRPr="004875D5">
              <w:rPr>
                <w:rFonts w:ascii="Times New Roman" w:hAnsi="Times New Roman" w:cs="Times New Roman"/>
                <w:b/>
                <w:sz w:val="24"/>
                <w:szCs w:val="24"/>
              </w:rPr>
              <w:t>Estimated Annual Federal Cost</w:t>
            </w:r>
          </w:p>
        </w:tc>
      </w:tr>
      <w:tr w:rsidRPr="00FF09E1" w:rsidR="00EE07DD" w:rsidTr="00022939" w14:paraId="225D7FAA" w14:textId="77777777">
        <w:tc>
          <w:tcPr>
            <w:tcW w:w="3182" w:type="dxa"/>
            <w:tcBorders>
              <w:top w:val="single" w:color="auto" w:sz="4" w:space="0"/>
              <w:left w:val="single" w:color="auto" w:sz="4" w:space="0"/>
              <w:bottom w:val="single" w:color="auto" w:sz="4" w:space="0"/>
              <w:right w:val="single" w:color="auto" w:sz="4" w:space="0"/>
            </w:tcBorders>
            <w:hideMark/>
          </w:tcPr>
          <w:p w:rsidRPr="004875D5" w:rsidR="00EE07DD" w:rsidP="001A153B" w:rsidRDefault="00EE07DD" w14:paraId="6BE3BFA2" w14:textId="77777777">
            <w:pPr>
              <w:spacing w:line="240" w:lineRule="auto"/>
              <w:rPr>
                <w:rFonts w:ascii="Times New Roman" w:hAnsi="Times New Roman" w:cs="Times New Roman"/>
                <w:sz w:val="24"/>
                <w:szCs w:val="24"/>
              </w:rPr>
            </w:pPr>
            <w:r w:rsidRPr="004875D5">
              <w:rPr>
                <w:rFonts w:ascii="Times New Roman" w:hAnsi="Times New Roman" w:cs="Times New Roman"/>
                <w:sz w:val="24"/>
                <w:szCs w:val="24"/>
              </w:rPr>
              <w:t>Analysis and Processing of filings</w:t>
            </w:r>
            <w:r w:rsidRPr="004875D5">
              <w:rPr>
                <w:rFonts w:ascii="Times New Roman" w:hAnsi="Times New Roman" w:cs="Times New Roman"/>
                <w:sz w:val="24"/>
                <w:szCs w:val="24"/>
                <w:vertAlign w:val="superscript"/>
              </w:rPr>
              <w:footnoteReference w:id="26"/>
            </w:r>
          </w:p>
        </w:tc>
        <w:tc>
          <w:tcPr>
            <w:tcW w:w="3201" w:type="dxa"/>
            <w:tcBorders>
              <w:top w:val="single" w:color="auto" w:sz="4" w:space="0"/>
              <w:left w:val="single" w:color="auto" w:sz="4" w:space="0"/>
              <w:bottom w:val="single" w:color="auto" w:sz="4" w:space="0"/>
              <w:right w:val="single" w:color="auto" w:sz="4" w:space="0"/>
            </w:tcBorders>
            <w:vAlign w:val="bottom"/>
            <w:hideMark/>
          </w:tcPr>
          <w:p w:rsidRPr="004875D5" w:rsidR="00EE07DD" w:rsidP="0076658D" w:rsidRDefault="00EE07DD" w14:paraId="1B3B942D" w14:textId="77777777">
            <w:pPr>
              <w:spacing w:line="240" w:lineRule="auto"/>
              <w:jc w:val="right"/>
              <w:rPr>
                <w:rFonts w:ascii="Times New Roman" w:hAnsi="Times New Roman" w:cs="Times New Roman"/>
                <w:sz w:val="24"/>
                <w:szCs w:val="24"/>
              </w:rPr>
            </w:pPr>
            <w:r w:rsidRPr="004875D5">
              <w:rPr>
                <w:rFonts w:ascii="Times New Roman" w:hAnsi="Times New Roman" w:cs="Times New Roman"/>
                <w:sz w:val="24"/>
                <w:szCs w:val="24"/>
              </w:rPr>
              <w:t>0</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4875D5" w:rsidR="00EE07DD" w:rsidP="0076658D" w:rsidRDefault="00EE07DD" w14:paraId="57B05298" w14:textId="77777777">
            <w:pPr>
              <w:spacing w:line="240" w:lineRule="auto"/>
              <w:jc w:val="right"/>
              <w:rPr>
                <w:rFonts w:ascii="Times New Roman" w:hAnsi="Times New Roman" w:cs="Times New Roman"/>
                <w:sz w:val="24"/>
                <w:szCs w:val="24"/>
              </w:rPr>
            </w:pPr>
            <w:r w:rsidRPr="004875D5">
              <w:rPr>
                <w:rFonts w:ascii="Times New Roman" w:hAnsi="Times New Roman" w:cs="Times New Roman"/>
                <w:sz w:val="24"/>
                <w:szCs w:val="24"/>
              </w:rPr>
              <w:t xml:space="preserve">0  </w:t>
            </w:r>
          </w:p>
        </w:tc>
      </w:tr>
      <w:tr w:rsidRPr="00FF09E1" w:rsidR="00EE07DD" w:rsidTr="00022939" w14:paraId="34D3196B" w14:textId="77777777">
        <w:tc>
          <w:tcPr>
            <w:tcW w:w="3182" w:type="dxa"/>
            <w:tcBorders>
              <w:top w:val="single" w:color="auto" w:sz="4" w:space="0"/>
              <w:left w:val="single" w:color="auto" w:sz="4" w:space="0"/>
              <w:bottom w:val="single" w:color="auto" w:sz="4" w:space="0"/>
              <w:right w:val="single" w:color="auto" w:sz="4" w:space="0"/>
            </w:tcBorders>
            <w:hideMark/>
          </w:tcPr>
          <w:p w:rsidRPr="004875D5" w:rsidR="00EE07DD" w:rsidP="00232F79" w:rsidRDefault="00EE07DD" w14:paraId="77F76C8E" w14:textId="17604429">
            <w:pPr>
              <w:spacing w:line="240" w:lineRule="auto"/>
              <w:rPr>
                <w:rFonts w:ascii="Times New Roman" w:hAnsi="Times New Roman" w:cs="Times New Roman"/>
                <w:sz w:val="24"/>
                <w:szCs w:val="24"/>
              </w:rPr>
            </w:pPr>
            <w:r w:rsidRPr="004875D5">
              <w:rPr>
                <w:rFonts w:ascii="Times New Roman" w:hAnsi="Times New Roman" w:cs="Times New Roman"/>
                <w:sz w:val="24"/>
                <w:szCs w:val="24"/>
              </w:rPr>
              <w:t xml:space="preserve">PRA Administrative Cost </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bottom"/>
          </w:tcPr>
          <w:p w:rsidRPr="004875D5" w:rsidR="00EE07DD" w:rsidP="0076658D" w:rsidRDefault="00EE07DD" w14:paraId="6A0C6E95" w14:textId="77777777">
            <w:pPr>
              <w:spacing w:line="240" w:lineRule="auto"/>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bottom"/>
            <w:hideMark/>
          </w:tcPr>
          <w:p w:rsidRPr="004875D5" w:rsidR="00EE07DD" w:rsidP="00FB148F" w:rsidRDefault="00EE07DD" w14:paraId="79FB32A7" w14:textId="0B4DE890">
            <w:pPr>
              <w:spacing w:line="240" w:lineRule="auto"/>
              <w:jc w:val="right"/>
              <w:rPr>
                <w:rFonts w:ascii="Times New Roman" w:hAnsi="Times New Roman" w:cs="Times New Roman"/>
                <w:sz w:val="24"/>
                <w:szCs w:val="24"/>
              </w:rPr>
            </w:pPr>
            <w:r w:rsidRPr="004875D5">
              <w:rPr>
                <w:rFonts w:ascii="Times New Roman" w:hAnsi="Times New Roman" w:cs="Times New Roman"/>
                <w:sz w:val="24"/>
                <w:szCs w:val="24"/>
              </w:rPr>
              <w:t>$</w:t>
            </w:r>
            <w:r w:rsidRPr="004875D5" w:rsidR="00AB7609">
              <w:rPr>
                <w:rFonts w:ascii="Times New Roman" w:hAnsi="Times New Roman" w:cs="Times New Roman"/>
                <w:sz w:val="24"/>
                <w:szCs w:val="24"/>
              </w:rPr>
              <w:t>6,475</w:t>
            </w:r>
          </w:p>
        </w:tc>
      </w:tr>
      <w:tr w:rsidRPr="00FF09E1" w:rsidR="00EE07DD" w:rsidTr="00022939" w14:paraId="18BA3BAB" w14:textId="77777777">
        <w:tc>
          <w:tcPr>
            <w:tcW w:w="3182" w:type="dxa"/>
            <w:tcBorders>
              <w:top w:val="single" w:color="auto" w:sz="4" w:space="0"/>
              <w:left w:val="single" w:color="auto" w:sz="4" w:space="0"/>
              <w:bottom w:val="single" w:color="auto" w:sz="4" w:space="0"/>
              <w:right w:val="single" w:color="auto" w:sz="4" w:space="0"/>
            </w:tcBorders>
            <w:hideMark/>
          </w:tcPr>
          <w:p w:rsidRPr="004875D5" w:rsidR="00EE07DD" w:rsidP="001A153B" w:rsidRDefault="00EE07DD" w14:paraId="2182F551" w14:textId="77777777">
            <w:pPr>
              <w:spacing w:line="240" w:lineRule="auto"/>
              <w:rPr>
                <w:rFonts w:ascii="Times New Roman" w:hAnsi="Times New Roman" w:cs="Times New Roman"/>
                <w:b/>
                <w:sz w:val="24"/>
                <w:szCs w:val="24"/>
              </w:rPr>
            </w:pPr>
            <w:r w:rsidRPr="004875D5">
              <w:rPr>
                <w:rFonts w:ascii="Times New Roman" w:hAnsi="Times New Roman" w:cs="Times New Roman"/>
                <w:b/>
                <w:sz w:val="24"/>
                <w:szCs w:val="24"/>
              </w:rPr>
              <w:t>FERC Total</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4875D5" w:rsidR="00EE07DD" w:rsidP="0076658D" w:rsidRDefault="00EE07DD" w14:paraId="3809D6EE" w14:textId="77777777">
            <w:pPr>
              <w:spacing w:line="240" w:lineRule="auto"/>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bottom"/>
            <w:hideMark/>
          </w:tcPr>
          <w:p w:rsidRPr="004875D5" w:rsidR="00EE07DD" w:rsidP="0076658D" w:rsidRDefault="00EE07DD" w14:paraId="6C872C45" w14:textId="1BFCD6DD">
            <w:pPr>
              <w:spacing w:line="240" w:lineRule="auto"/>
              <w:jc w:val="right"/>
              <w:rPr>
                <w:rFonts w:ascii="Times New Roman" w:hAnsi="Times New Roman" w:cs="Times New Roman"/>
                <w:sz w:val="24"/>
                <w:szCs w:val="24"/>
              </w:rPr>
            </w:pPr>
            <w:r w:rsidRPr="004875D5">
              <w:rPr>
                <w:rFonts w:ascii="Times New Roman" w:hAnsi="Times New Roman" w:cs="Times New Roman"/>
                <w:sz w:val="24"/>
                <w:szCs w:val="24"/>
              </w:rPr>
              <w:t>$</w:t>
            </w:r>
            <w:r w:rsidRPr="004875D5" w:rsidR="00AB7609">
              <w:rPr>
                <w:rFonts w:ascii="Times New Roman" w:hAnsi="Times New Roman" w:cs="Times New Roman"/>
                <w:sz w:val="24"/>
                <w:szCs w:val="24"/>
              </w:rPr>
              <w:t>6,</w:t>
            </w:r>
            <w:r w:rsidRPr="004875D5" w:rsidR="00491603">
              <w:rPr>
                <w:rFonts w:ascii="Times New Roman" w:hAnsi="Times New Roman" w:cs="Times New Roman"/>
                <w:sz w:val="24"/>
                <w:szCs w:val="24"/>
              </w:rPr>
              <w:t>47</w:t>
            </w:r>
            <w:r w:rsidRPr="004875D5" w:rsidR="00AB7609">
              <w:rPr>
                <w:rFonts w:ascii="Times New Roman" w:hAnsi="Times New Roman" w:cs="Times New Roman"/>
                <w:sz w:val="24"/>
                <w:szCs w:val="24"/>
              </w:rPr>
              <w:t>5</w:t>
            </w:r>
          </w:p>
        </w:tc>
      </w:tr>
    </w:tbl>
    <w:p w:rsidRPr="004875D5" w:rsidR="00EE07DD" w:rsidP="001A153B" w:rsidRDefault="00EE07DD" w14:paraId="3B8FD87A" w14:textId="77777777">
      <w:pPr>
        <w:spacing w:after="0" w:line="240" w:lineRule="auto"/>
        <w:rPr>
          <w:rFonts w:ascii="Times New Roman" w:hAnsi="Times New Roman" w:cs="Times New Roman"/>
          <w:sz w:val="24"/>
          <w:szCs w:val="24"/>
        </w:rPr>
      </w:pPr>
    </w:p>
    <w:p w:rsidR="00EE07DD" w:rsidP="001A153B" w:rsidRDefault="00EE07DD" w14:paraId="1870937E" w14:textId="7D1A6763">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 xml:space="preserve">REASONS FOR CHANGES IN BURDEN INCLUDING THE NEED FOR ANY </w:t>
      </w:r>
      <w:r w:rsidRPr="00210B45">
        <w:rPr>
          <w:rFonts w:ascii="Times New Roman" w:hAnsi="Times New Roman" w:cs="Times New Roman"/>
          <w:b/>
          <w:sz w:val="24"/>
          <w:szCs w:val="24"/>
        </w:rPr>
        <w:t>INCREASE</w:t>
      </w:r>
    </w:p>
    <w:p w:rsidRPr="006B21C3" w:rsidR="003A4EBE" w:rsidP="003A4EBE" w:rsidRDefault="003A4EBE" w14:paraId="647DEAF8" w14:textId="1167581A">
      <w:pPr>
        <w:spacing w:after="0" w:line="240" w:lineRule="auto"/>
        <w:rPr>
          <w:rFonts w:ascii="Times New Roman" w:hAnsi="Times New Roman" w:eastAsia="Times New Roman" w:cs="Times New Roman"/>
          <w:i/>
          <w:sz w:val="24"/>
          <w:szCs w:val="24"/>
        </w:rPr>
      </w:pPr>
      <w:r w:rsidRPr="006B21C3">
        <w:rPr>
          <w:rFonts w:ascii="Times New Roman" w:hAnsi="Times New Roman" w:eastAsia="Times New Roman" w:cs="Times New Roman"/>
          <w:sz w:val="24"/>
          <w:szCs w:val="24"/>
        </w:rPr>
        <w:t xml:space="preserve">Burden estimates for the </w:t>
      </w:r>
      <w:r w:rsidR="00EA7EE9">
        <w:rPr>
          <w:rFonts w:ascii="Times New Roman" w:hAnsi="Times New Roman" w:eastAsia="Times New Roman" w:cs="Times New Roman"/>
          <w:sz w:val="24"/>
          <w:szCs w:val="24"/>
        </w:rPr>
        <w:t>following</w:t>
      </w:r>
      <w:r w:rsidRPr="006B21C3">
        <w:rPr>
          <w:rFonts w:ascii="Times New Roman" w:hAnsi="Times New Roman" w:eastAsia="Times New Roman" w:cs="Times New Roman"/>
          <w:sz w:val="24"/>
          <w:szCs w:val="24"/>
        </w:rPr>
        <w:t xml:space="preserve"> Reliability Standards in FERC-725D are unchanged as follows:</w:t>
      </w:r>
    </w:p>
    <w:p w:rsidRPr="006B21C3" w:rsidR="003A4EBE" w:rsidP="003A4EBE" w:rsidRDefault="003A4EBE" w14:paraId="4DAC1CA3" w14:textId="77777777">
      <w:pPr>
        <w:numPr>
          <w:ilvl w:val="0"/>
          <w:numId w:val="17"/>
        </w:numPr>
        <w:spacing w:after="0" w:line="240" w:lineRule="auto"/>
        <w:contextualSpacing/>
        <w:rPr>
          <w:rFonts w:ascii="Times New Roman" w:hAnsi="Times New Roman" w:eastAsia="Times New Roman" w:cs="Times New Roman"/>
          <w:sz w:val="24"/>
          <w:szCs w:val="24"/>
        </w:rPr>
      </w:pPr>
      <w:r w:rsidRPr="006B21C3">
        <w:rPr>
          <w:rFonts w:ascii="Times New Roman" w:hAnsi="Times New Roman" w:eastAsia="Times New Roman" w:cs="Times New Roman"/>
          <w:sz w:val="24"/>
          <w:szCs w:val="24"/>
        </w:rPr>
        <w:t>FAC-001-3 remains unchanged at 498 responses.</w:t>
      </w:r>
      <w:r w:rsidRPr="006B21C3">
        <w:rPr>
          <w:rFonts w:ascii="Times New Roman" w:hAnsi="Times New Roman" w:eastAsia="Times New Roman" w:cs="Times New Roman"/>
          <w:b/>
          <w:sz w:val="24"/>
          <w:szCs w:val="24"/>
          <w:vertAlign w:val="superscript"/>
        </w:rPr>
        <w:footnoteReference w:id="27"/>
      </w:r>
      <w:r w:rsidRPr="006B21C3">
        <w:rPr>
          <w:rFonts w:ascii="Times New Roman" w:hAnsi="Times New Roman" w:eastAsia="Times New Roman" w:cs="Times New Roman"/>
          <w:sz w:val="24"/>
          <w:szCs w:val="24"/>
        </w:rPr>
        <w:t xml:space="preserve"> </w:t>
      </w:r>
    </w:p>
    <w:p w:rsidR="003A4EBE" w:rsidP="003A4EBE" w:rsidRDefault="003A4EBE" w14:paraId="5ED36C4F" w14:textId="3867193E">
      <w:pPr>
        <w:numPr>
          <w:ilvl w:val="0"/>
          <w:numId w:val="17"/>
        </w:numPr>
        <w:spacing w:after="0" w:line="240" w:lineRule="auto"/>
        <w:contextualSpacing/>
        <w:rPr>
          <w:rFonts w:ascii="Times New Roman" w:hAnsi="Times New Roman" w:eastAsia="Times New Roman" w:cs="Times New Roman"/>
          <w:sz w:val="24"/>
          <w:szCs w:val="24"/>
        </w:rPr>
      </w:pPr>
      <w:r w:rsidRPr="006B21C3">
        <w:rPr>
          <w:rFonts w:ascii="Times New Roman" w:hAnsi="Times New Roman" w:eastAsia="Times New Roman" w:cs="Times New Roman"/>
          <w:sz w:val="24"/>
          <w:szCs w:val="24"/>
        </w:rPr>
        <w:t>FAC-010-3, FAC-011-3 and FAC-014-2 remain unchanged at 470 responses.</w:t>
      </w:r>
      <w:r w:rsidRPr="006B21C3">
        <w:rPr>
          <w:rFonts w:ascii="Times New Roman" w:hAnsi="Times New Roman" w:eastAsia="Times New Roman" w:cs="Times New Roman"/>
          <w:b/>
          <w:sz w:val="24"/>
          <w:szCs w:val="24"/>
          <w:vertAlign w:val="superscript"/>
        </w:rPr>
        <w:footnoteReference w:id="28"/>
      </w:r>
    </w:p>
    <w:p w:rsidRPr="006B21C3" w:rsidR="003A4EBE" w:rsidP="00210B45" w:rsidRDefault="003A4EBE" w14:paraId="6640328B" w14:textId="77777777">
      <w:pPr>
        <w:spacing w:after="0" w:line="240" w:lineRule="auto"/>
        <w:ind w:left="720"/>
        <w:contextualSpacing/>
        <w:rPr>
          <w:rFonts w:ascii="Times New Roman" w:hAnsi="Times New Roman" w:eastAsia="Times New Roman" w:cs="Times New Roman"/>
          <w:sz w:val="24"/>
          <w:szCs w:val="24"/>
        </w:rPr>
      </w:pPr>
    </w:p>
    <w:p w:rsidR="00B57B2C" w:rsidP="003A4EBE" w:rsidRDefault="003A4EBE" w14:paraId="37798DC6" w14:textId="37CB6C39">
      <w:pPr>
        <w:spacing w:after="0" w:line="240" w:lineRule="auto"/>
        <w:rPr>
          <w:rFonts w:ascii="Times New Roman" w:hAnsi="Times New Roman" w:eastAsia="Times New Roman" w:cs="Times New Roman"/>
          <w:sz w:val="24"/>
          <w:szCs w:val="24"/>
        </w:rPr>
      </w:pPr>
      <w:r w:rsidRPr="006B21C3">
        <w:rPr>
          <w:rFonts w:ascii="Times New Roman" w:hAnsi="Times New Roman" w:eastAsia="Times New Roman" w:cs="Times New Roman"/>
          <w:sz w:val="24"/>
          <w:szCs w:val="24"/>
        </w:rPr>
        <w:t>Docket</w:t>
      </w:r>
      <w:r>
        <w:rPr>
          <w:rFonts w:ascii="Times New Roman" w:hAnsi="Times New Roman" w:eastAsia="Times New Roman" w:cs="Times New Roman"/>
          <w:sz w:val="24"/>
          <w:szCs w:val="24"/>
        </w:rPr>
        <w:t xml:space="preserve"> No.</w:t>
      </w:r>
      <w:r w:rsidRPr="006B21C3">
        <w:rPr>
          <w:rFonts w:ascii="Times New Roman" w:hAnsi="Times New Roman" w:eastAsia="Times New Roman" w:cs="Times New Roman"/>
          <w:sz w:val="24"/>
          <w:szCs w:val="24"/>
        </w:rPr>
        <w:t xml:space="preserve"> RD20-4 has a net</w:t>
      </w:r>
      <w:r w:rsidRPr="006B21C3">
        <w:rPr>
          <w:rFonts w:ascii="Times New Roman" w:hAnsi="Times New Roman" w:eastAsia="Times New Roman" w:cs="Times New Roman"/>
          <w:b/>
          <w:bCs/>
          <w:sz w:val="24"/>
          <w:szCs w:val="24"/>
        </w:rPr>
        <w:t xml:space="preserve"> </w:t>
      </w:r>
      <w:r w:rsidRPr="006B21C3">
        <w:rPr>
          <w:rFonts w:ascii="Times New Roman" w:hAnsi="Times New Roman" w:eastAsia="Times New Roman" w:cs="Times New Roman"/>
          <w:sz w:val="24"/>
          <w:szCs w:val="24"/>
        </w:rPr>
        <w:t>decrease (-146) in responses for FAC-002-3 (previously FAC-002-2) which created a total of 1,957 responses (net change was already calculated in the renewal but omitted the retention totals in prior renewals</w:t>
      </w:r>
      <w:r w:rsidR="00176273">
        <w:rPr>
          <w:rFonts w:ascii="Times New Roman" w:hAnsi="Times New Roman" w:eastAsia="Times New Roman" w:cs="Times New Roman"/>
          <w:sz w:val="24"/>
          <w:szCs w:val="24"/>
        </w:rPr>
        <w:t>)</w:t>
      </w:r>
      <w:r w:rsidRPr="006B21C3">
        <w:rPr>
          <w:rFonts w:ascii="Times New Roman" w:hAnsi="Times New Roman" w:eastAsia="Times New Roman" w:cs="Times New Roman"/>
          <w:sz w:val="24"/>
          <w:szCs w:val="24"/>
        </w:rPr>
        <w:t xml:space="preserve">.  </w:t>
      </w:r>
      <w:r w:rsidR="00B57B2C">
        <w:rPr>
          <w:rFonts w:ascii="Times New Roman" w:hAnsi="Times New Roman" w:eastAsia="Times New Roman" w:cs="Times New Roman"/>
          <w:sz w:val="24"/>
          <w:szCs w:val="24"/>
        </w:rPr>
        <w:t>The net decrease includes the following.</w:t>
      </w:r>
    </w:p>
    <w:p w:rsidRPr="00210B45" w:rsidR="00B57B2C" w:rsidP="00210B45" w:rsidRDefault="00B57B2C" w14:paraId="20B3615A" w14:textId="77777777">
      <w:pPr>
        <w:pStyle w:val="ListParagraph"/>
        <w:numPr>
          <w:ilvl w:val="0"/>
          <w:numId w:val="21"/>
        </w:numPr>
        <w:spacing w:after="0" w:line="240" w:lineRule="auto"/>
        <w:rPr>
          <w:rFonts w:ascii="Times New Roman" w:hAnsi="Times New Roman" w:eastAsia="Times New Roman" w:cs="Times New Roman"/>
          <w:sz w:val="24"/>
          <w:szCs w:val="24"/>
        </w:rPr>
      </w:pPr>
      <w:r w:rsidRPr="00210B45">
        <w:rPr>
          <w:rFonts w:ascii="Times New Roman" w:hAnsi="Times New Roman" w:eastAsia="Times New Roman" w:cs="Times New Roman"/>
          <w:sz w:val="24"/>
          <w:szCs w:val="24"/>
        </w:rPr>
        <w:t>The reduction of 93 respondents and corresponding burden hours include 63 LSEs that were de-registered (program decrease of 1,008 hrs.) and an adjustment decrease of 30 respondents (480 hrs.) due to normal industry fluctuations.</w:t>
      </w:r>
    </w:p>
    <w:p w:rsidRPr="00210B45" w:rsidR="003A4EBE" w:rsidP="00210B45" w:rsidRDefault="00B57B2C" w14:paraId="35E738B3" w14:textId="1CAA87FF">
      <w:pPr>
        <w:pStyle w:val="ListParagraph"/>
        <w:numPr>
          <w:ilvl w:val="0"/>
          <w:numId w:val="20"/>
        </w:numPr>
        <w:spacing w:after="0" w:line="240" w:lineRule="auto"/>
        <w:rPr>
          <w:rFonts w:ascii="Times New Roman" w:hAnsi="Times New Roman" w:eastAsia="Times New Roman" w:cs="Times New Roman"/>
          <w:sz w:val="24"/>
          <w:szCs w:val="24"/>
        </w:rPr>
      </w:pPr>
      <w:r w:rsidRPr="00B57B2C">
        <w:rPr>
          <w:rFonts w:ascii="Times New Roman" w:hAnsi="Times New Roman" w:eastAsia="Times New Roman" w:cs="Times New Roman"/>
          <w:sz w:val="24"/>
          <w:szCs w:val="24"/>
        </w:rPr>
        <w:t>Out of the total decrease of 1,488 hours, the program decrease of 1,008 hours [corresponding decrease of 63 responses] is due to Docket No. RD20-4-000.  The reduction of 480 hours is due to normal adjustments.</w:t>
      </w:r>
    </w:p>
    <w:p w:rsidRPr="006B21C3" w:rsidR="003A4EBE" w:rsidP="003A4EBE" w:rsidRDefault="003A4EBE" w14:paraId="027707CB" w14:textId="77777777">
      <w:pPr>
        <w:spacing w:after="0" w:line="240" w:lineRule="auto"/>
        <w:rPr>
          <w:rFonts w:ascii="Times New Roman" w:hAnsi="Times New Roman" w:eastAsia="Times New Roman" w:cs="Times New Roman"/>
          <w:sz w:val="24"/>
          <w:szCs w:val="24"/>
        </w:rPr>
      </w:pPr>
    </w:p>
    <w:p w:rsidRPr="006B21C3" w:rsidR="003A4EBE" w:rsidP="003A4EBE" w:rsidRDefault="003A4EBE" w14:paraId="2B72A547" w14:textId="3AA638CC">
      <w:pPr>
        <w:spacing w:after="0" w:line="240" w:lineRule="auto"/>
        <w:rPr>
          <w:rFonts w:ascii="Times New Roman" w:hAnsi="Times New Roman" w:eastAsia="Times New Roman" w:cs="Times New Roman"/>
          <w:sz w:val="24"/>
          <w:szCs w:val="24"/>
        </w:rPr>
      </w:pPr>
      <w:r w:rsidRPr="006B21C3">
        <w:rPr>
          <w:rFonts w:ascii="Times New Roman" w:hAnsi="Times New Roman" w:eastAsia="Times New Roman" w:cs="Times New Roman"/>
          <w:sz w:val="24"/>
          <w:szCs w:val="24"/>
        </w:rPr>
        <w:t>For this notice and moving forward,</w:t>
      </w:r>
      <w:r w:rsidR="00BE4086">
        <w:rPr>
          <w:rFonts w:ascii="Times New Roman" w:hAnsi="Times New Roman" w:eastAsia="Times New Roman" w:cs="Times New Roman"/>
          <w:sz w:val="24"/>
          <w:szCs w:val="24"/>
        </w:rPr>
        <w:t xml:space="preserve"> Evidence </w:t>
      </w:r>
      <w:r w:rsidRPr="006B21C3">
        <w:rPr>
          <w:rFonts w:ascii="Times New Roman" w:hAnsi="Times New Roman" w:eastAsia="Times New Roman" w:cs="Times New Roman"/>
          <w:sz w:val="24"/>
          <w:szCs w:val="24"/>
        </w:rPr>
        <w:t>Retention</w:t>
      </w:r>
      <w:r>
        <w:rPr>
          <w:rFonts w:ascii="Times New Roman" w:hAnsi="Times New Roman" w:eastAsia="Times New Roman" w:cs="Times New Roman"/>
          <w:sz w:val="24"/>
          <w:szCs w:val="24"/>
        </w:rPr>
        <w:t xml:space="preserve"> is </w:t>
      </w:r>
      <w:r w:rsidRPr="006B21C3">
        <w:rPr>
          <w:rFonts w:ascii="Times New Roman" w:hAnsi="Times New Roman" w:eastAsia="Times New Roman" w:cs="Times New Roman"/>
          <w:sz w:val="24"/>
          <w:szCs w:val="24"/>
        </w:rPr>
        <w:t>included in the burden estimates for all standards</w:t>
      </w:r>
      <w:r w:rsidR="00210B45">
        <w:rPr>
          <w:rFonts w:ascii="Times New Roman" w:hAnsi="Times New Roman" w:eastAsia="Times New Roman" w:cs="Times New Roman"/>
          <w:sz w:val="24"/>
          <w:szCs w:val="24"/>
        </w:rPr>
        <w:t>.</w:t>
      </w:r>
      <w:r w:rsidRPr="006B21C3">
        <w:rPr>
          <w:rFonts w:ascii="Times New Roman" w:hAnsi="Times New Roman" w:eastAsia="Times New Roman" w:cs="Times New Roman"/>
          <w:sz w:val="24"/>
          <w:szCs w:val="24"/>
        </w:rPr>
        <w:t xml:space="preserve"> </w:t>
      </w:r>
    </w:p>
    <w:p w:rsidRPr="00210B45" w:rsidR="003A4EBE" w:rsidP="00210B45" w:rsidRDefault="003A4EBE" w14:paraId="78FD339A" w14:textId="77777777">
      <w:pPr>
        <w:spacing w:after="0" w:line="240" w:lineRule="auto"/>
        <w:ind w:left="360"/>
        <w:rPr>
          <w:rFonts w:ascii="Times New Roman" w:hAnsi="Times New Roman" w:cs="Times New Roman"/>
          <w:b/>
          <w:sz w:val="24"/>
          <w:szCs w:val="24"/>
        </w:rPr>
      </w:pPr>
    </w:p>
    <w:p w:rsidRPr="00210B45" w:rsidR="00EE07DD" w:rsidP="00D02F70" w:rsidRDefault="00D02F70" w14:paraId="31D71414" w14:textId="16BD6C2E">
      <w:pPr>
        <w:pStyle w:val="ListParagraph"/>
        <w:numPr>
          <w:ilvl w:val="0"/>
          <w:numId w:val="13"/>
        </w:numPr>
        <w:spacing w:after="0" w:line="240" w:lineRule="auto"/>
        <w:rPr>
          <w:rFonts w:ascii="Times New Roman" w:hAnsi="Times New Roman" w:cs="Times New Roman"/>
          <w:bCs/>
          <w:sz w:val="24"/>
          <w:szCs w:val="24"/>
        </w:rPr>
      </w:pPr>
      <w:r w:rsidRPr="00210B45">
        <w:rPr>
          <w:rFonts w:ascii="Times New Roman" w:hAnsi="Times New Roman" w:cs="Times New Roman"/>
          <w:bCs/>
          <w:sz w:val="24"/>
          <w:szCs w:val="24"/>
        </w:rPr>
        <w:t xml:space="preserve">There is an increase in burden hours </w:t>
      </w:r>
      <w:r w:rsidR="00210B45">
        <w:rPr>
          <w:rFonts w:ascii="Times New Roman" w:hAnsi="Times New Roman" w:cs="Times New Roman"/>
          <w:bCs/>
          <w:sz w:val="24"/>
          <w:szCs w:val="24"/>
        </w:rPr>
        <w:t xml:space="preserve">(both program change and adjustments) </w:t>
      </w:r>
      <w:r w:rsidRPr="00210B45">
        <w:rPr>
          <w:rFonts w:ascii="Times New Roman" w:hAnsi="Times New Roman" w:cs="Times New Roman"/>
          <w:bCs/>
          <w:sz w:val="24"/>
          <w:szCs w:val="24"/>
        </w:rPr>
        <w:t xml:space="preserve">from 154,742 to </w:t>
      </w:r>
      <w:r w:rsidRPr="00210B45" w:rsidR="008A7D44">
        <w:rPr>
          <w:rFonts w:ascii="Times New Roman" w:hAnsi="Times New Roman" w:cs="Times New Roman"/>
          <w:bCs/>
          <w:sz w:val="24"/>
          <w:szCs w:val="24"/>
        </w:rPr>
        <w:t xml:space="preserve">168,655 </w:t>
      </w:r>
      <w:r w:rsidRPr="00210B45" w:rsidR="00B62B09">
        <w:rPr>
          <w:rFonts w:ascii="Times New Roman" w:hAnsi="Times New Roman" w:cs="Times New Roman"/>
          <w:bCs/>
          <w:sz w:val="24"/>
          <w:szCs w:val="24"/>
        </w:rPr>
        <w:t xml:space="preserve">to </w:t>
      </w:r>
      <w:r w:rsidRPr="00FF09E1" w:rsidR="00BE4086">
        <w:rPr>
          <w:rFonts w:ascii="Times New Roman" w:hAnsi="Times New Roman" w:cs="Times New Roman"/>
          <w:bCs/>
          <w:sz w:val="24"/>
          <w:szCs w:val="24"/>
        </w:rPr>
        <w:t>reflect</w:t>
      </w:r>
      <w:r w:rsidRPr="00210B45">
        <w:rPr>
          <w:rFonts w:ascii="Times New Roman" w:hAnsi="Times New Roman" w:cs="Times New Roman"/>
          <w:bCs/>
          <w:sz w:val="24"/>
          <w:szCs w:val="24"/>
        </w:rPr>
        <w:t xml:space="preserve"> a more accurate estimate </w:t>
      </w:r>
      <w:r w:rsidR="00176273">
        <w:rPr>
          <w:rFonts w:ascii="Times New Roman" w:hAnsi="Times New Roman" w:cs="Times New Roman"/>
          <w:bCs/>
          <w:sz w:val="24"/>
          <w:szCs w:val="24"/>
        </w:rPr>
        <w:t xml:space="preserve">from RD20-4 and the </w:t>
      </w:r>
      <w:r w:rsidRPr="00210B45">
        <w:rPr>
          <w:rFonts w:ascii="Times New Roman" w:hAnsi="Times New Roman" w:cs="Times New Roman"/>
          <w:bCs/>
          <w:sz w:val="24"/>
          <w:szCs w:val="24"/>
        </w:rPr>
        <w:t>renewal</w:t>
      </w:r>
      <w:r w:rsidR="00176273">
        <w:rPr>
          <w:rFonts w:ascii="Times New Roman" w:hAnsi="Times New Roman" w:cs="Times New Roman"/>
          <w:bCs/>
          <w:sz w:val="24"/>
          <w:szCs w:val="24"/>
        </w:rPr>
        <w:t>.</w:t>
      </w:r>
      <w:r w:rsidR="00313EF1">
        <w:rPr>
          <w:rFonts w:ascii="Times New Roman" w:hAnsi="Times New Roman" w:cs="Times New Roman"/>
          <w:bCs/>
          <w:sz w:val="24"/>
          <w:szCs w:val="24"/>
        </w:rPr>
        <w:t xml:space="preserve"> (</w:t>
      </w:r>
      <w:r w:rsidRPr="00313EF1" w:rsidR="00313EF1">
        <w:rPr>
          <w:rFonts w:ascii="Times New Roman" w:hAnsi="Times New Roman" w:cs="Times New Roman"/>
          <w:bCs/>
          <w:sz w:val="24"/>
          <w:szCs w:val="24"/>
        </w:rPr>
        <w:t xml:space="preserve">The retention totals and the net changes still reflect an increase because the retention totals were </w:t>
      </w:r>
      <w:r w:rsidR="00F84EB3">
        <w:rPr>
          <w:rFonts w:ascii="Times New Roman" w:hAnsi="Times New Roman" w:cs="Times New Roman"/>
          <w:bCs/>
          <w:sz w:val="24"/>
          <w:szCs w:val="24"/>
        </w:rPr>
        <w:t xml:space="preserve">inadvertently </w:t>
      </w:r>
      <w:r w:rsidRPr="00313EF1" w:rsidR="00313EF1">
        <w:rPr>
          <w:rFonts w:ascii="Times New Roman" w:hAnsi="Times New Roman" w:cs="Times New Roman"/>
          <w:bCs/>
          <w:sz w:val="24"/>
          <w:szCs w:val="24"/>
        </w:rPr>
        <w:t>omitted in the past.  So it now states a more accurate estimate</w:t>
      </w:r>
      <w:r w:rsidR="00313EF1">
        <w:rPr>
          <w:rFonts w:ascii="Times New Roman" w:hAnsi="Times New Roman" w:cs="Times New Roman"/>
          <w:bCs/>
          <w:sz w:val="24"/>
          <w:szCs w:val="24"/>
        </w:rPr>
        <w:t>)</w:t>
      </w:r>
      <w:r w:rsidRPr="00210B45">
        <w:rPr>
          <w:rFonts w:ascii="Times New Roman" w:hAnsi="Times New Roman" w:cs="Times New Roman"/>
          <w:bCs/>
          <w:sz w:val="24"/>
          <w:szCs w:val="24"/>
        </w:rPr>
        <w:t xml:space="preserve">.  </w:t>
      </w:r>
    </w:p>
    <w:p w:rsidRPr="00210B45" w:rsidR="007D35EA" w:rsidP="00D02F70" w:rsidRDefault="007D35EA" w14:paraId="1A7AC65F" w14:textId="09C63E3B">
      <w:pPr>
        <w:pStyle w:val="ListParagraph"/>
        <w:numPr>
          <w:ilvl w:val="0"/>
          <w:numId w:val="13"/>
        </w:numPr>
        <w:spacing w:after="0" w:line="240" w:lineRule="auto"/>
        <w:rPr>
          <w:rFonts w:ascii="Times New Roman" w:hAnsi="Times New Roman" w:cs="Times New Roman"/>
          <w:b/>
          <w:sz w:val="24"/>
          <w:szCs w:val="24"/>
        </w:rPr>
      </w:pPr>
      <w:r w:rsidRPr="00210B45">
        <w:rPr>
          <w:rFonts w:ascii="Times New Roman" w:hAnsi="Times New Roman" w:cs="Times New Roman"/>
          <w:bCs/>
          <w:sz w:val="24"/>
          <w:szCs w:val="24"/>
        </w:rPr>
        <w:t>The totals were updated to reflect the current burden due to normal fluctuation in the industry</w:t>
      </w:r>
      <w:r w:rsidR="00F84EB3">
        <w:rPr>
          <w:rFonts w:ascii="Times New Roman" w:hAnsi="Times New Roman" w:cs="Times New Roman"/>
          <w:bCs/>
          <w:sz w:val="24"/>
          <w:szCs w:val="24"/>
        </w:rPr>
        <w:t xml:space="preserve"> (an adjustment)</w:t>
      </w:r>
      <w:r w:rsidRPr="00210B45">
        <w:rPr>
          <w:rFonts w:ascii="Times New Roman" w:hAnsi="Times New Roman" w:cs="Times New Roman"/>
          <w:b/>
          <w:sz w:val="24"/>
          <w:szCs w:val="24"/>
        </w:rPr>
        <w:t>.</w:t>
      </w:r>
      <w:r w:rsidR="00AA1A60">
        <w:rPr>
          <w:rFonts w:ascii="Times New Roman" w:hAnsi="Times New Roman" w:cs="Times New Roman"/>
          <w:b/>
          <w:sz w:val="24"/>
          <w:szCs w:val="24"/>
        </w:rPr>
        <w:t xml:space="preserve">  </w:t>
      </w:r>
      <w:r w:rsidRPr="00210B45" w:rsidR="00AA1A60">
        <w:rPr>
          <w:rFonts w:ascii="Times New Roman" w:hAnsi="Times New Roman" w:cs="Times New Roman"/>
          <w:bCs/>
          <w:sz w:val="24"/>
          <w:szCs w:val="24"/>
        </w:rPr>
        <w:t xml:space="preserve">Also, the totals reflect deductions of the net proposed changes (-146 responses) </w:t>
      </w:r>
      <w:r w:rsidRPr="00210B45" w:rsidR="003A4EBE">
        <w:rPr>
          <w:rFonts w:ascii="Times New Roman" w:hAnsi="Times New Roman" w:cs="Times New Roman"/>
          <w:bCs/>
          <w:sz w:val="24"/>
          <w:szCs w:val="24"/>
        </w:rPr>
        <w:t xml:space="preserve">as stated above </w:t>
      </w:r>
      <w:r w:rsidRPr="00210B45" w:rsidR="00AA1A60">
        <w:rPr>
          <w:rFonts w:ascii="Times New Roman" w:hAnsi="Times New Roman" w:cs="Times New Roman"/>
          <w:bCs/>
          <w:sz w:val="24"/>
          <w:szCs w:val="24"/>
        </w:rPr>
        <w:t>(-921 hours) with retention included</w:t>
      </w:r>
      <w:r w:rsidR="00F84EB3">
        <w:rPr>
          <w:rFonts w:ascii="Times New Roman" w:hAnsi="Times New Roman" w:cs="Times New Roman"/>
          <w:b/>
          <w:sz w:val="24"/>
          <w:szCs w:val="24"/>
        </w:rPr>
        <w:t>.</w:t>
      </w:r>
    </w:p>
    <w:p w:rsidRPr="00210B45" w:rsidR="004E05AB" w:rsidP="001A153B" w:rsidRDefault="004E05AB" w14:paraId="329D39B1" w14:textId="77777777">
      <w:pPr>
        <w:spacing w:after="0" w:line="240" w:lineRule="auto"/>
        <w:rPr>
          <w:rFonts w:ascii="Times New Roman" w:hAnsi="Times New Roman" w:cs="Times New Roman"/>
          <w:strike/>
          <w:sz w:val="24"/>
          <w:szCs w:val="24"/>
        </w:rPr>
      </w:pPr>
    </w:p>
    <w:p w:rsidRPr="00210B45" w:rsidR="00965E15" w:rsidP="001A153B" w:rsidRDefault="00EE07DD" w14:paraId="45FDC954" w14:textId="09063524">
      <w:pPr>
        <w:spacing w:after="0" w:line="240" w:lineRule="auto"/>
        <w:rPr>
          <w:rFonts w:ascii="Times New Roman" w:hAnsi="Times New Roman" w:cs="Times New Roman"/>
          <w:sz w:val="24"/>
          <w:szCs w:val="24"/>
        </w:rPr>
      </w:pPr>
      <w:r w:rsidRPr="00210B45">
        <w:rPr>
          <w:rFonts w:ascii="Times New Roman" w:hAnsi="Times New Roman" w:cs="Times New Roman"/>
          <w:sz w:val="24"/>
          <w:szCs w:val="24"/>
        </w:rPr>
        <w:t>The following table summarize</w:t>
      </w:r>
      <w:r w:rsidR="00F84EB3">
        <w:rPr>
          <w:rFonts w:ascii="Times New Roman" w:hAnsi="Times New Roman" w:cs="Times New Roman"/>
          <w:sz w:val="24"/>
          <w:szCs w:val="24"/>
        </w:rPr>
        <w:t>s</w:t>
      </w:r>
      <w:r w:rsidRPr="00210B45">
        <w:rPr>
          <w:rFonts w:ascii="Times New Roman" w:hAnsi="Times New Roman" w:cs="Times New Roman"/>
          <w:sz w:val="24"/>
          <w:szCs w:val="24"/>
        </w:rPr>
        <w:t xml:space="preserve"> the changes in burden and responses </w:t>
      </w:r>
      <w:r w:rsidRPr="00210B45" w:rsidR="004E05AB">
        <w:rPr>
          <w:rFonts w:ascii="Times New Roman" w:hAnsi="Times New Roman" w:cs="Times New Roman"/>
          <w:sz w:val="24"/>
          <w:szCs w:val="24"/>
        </w:rPr>
        <w:t xml:space="preserve">as discussed in Docket No. </w:t>
      </w:r>
      <w:r w:rsidRPr="00210B45" w:rsidR="00EB3323">
        <w:rPr>
          <w:rFonts w:ascii="Times New Roman" w:hAnsi="Times New Roman" w:cs="Times New Roman"/>
          <w:sz w:val="24"/>
          <w:szCs w:val="24"/>
        </w:rPr>
        <w:t>RD20-4</w:t>
      </w:r>
      <w:r w:rsidRPr="00210B45" w:rsidR="0012413F">
        <w:rPr>
          <w:rFonts w:ascii="Times New Roman" w:hAnsi="Times New Roman" w:cs="Times New Roman"/>
          <w:sz w:val="24"/>
          <w:szCs w:val="24"/>
        </w:rPr>
        <w:t xml:space="preserve"> </w:t>
      </w:r>
      <w:r w:rsidR="00176273">
        <w:rPr>
          <w:rFonts w:ascii="Times New Roman" w:hAnsi="Times New Roman" w:cs="Times New Roman"/>
          <w:sz w:val="24"/>
          <w:szCs w:val="24"/>
        </w:rPr>
        <w:t xml:space="preserve">and </w:t>
      </w:r>
      <w:r w:rsidRPr="00210B45" w:rsidR="0012413F">
        <w:rPr>
          <w:rFonts w:ascii="Times New Roman" w:hAnsi="Times New Roman" w:cs="Times New Roman"/>
          <w:sz w:val="24"/>
          <w:szCs w:val="24"/>
        </w:rPr>
        <w:t>in Docket No. IC21-3</w:t>
      </w:r>
      <w:r w:rsidRPr="00210B45" w:rsidR="00D64B8A">
        <w:rPr>
          <w:rFonts w:ascii="Times New Roman" w:hAnsi="Times New Roman" w:cs="Times New Roman"/>
          <w:sz w:val="24"/>
          <w:szCs w:val="24"/>
        </w:rPr>
        <w:t xml:space="preserve">.  For this renewal, </w:t>
      </w:r>
      <w:r w:rsidRPr="00210B45" w:rsidR="009304E6">
        <w:rPr>
          <w:rFonts w:ascii="Times New Roman" w:hAnsi="Times New Roman" w:cs="Times New Roman"/>
          <w:sz w:val="24"/>
          <w:szCs w:val="24"/>
        </w:rPr>
        <w:t>t</w:t>
      </w:r>
      <w:r w:rsidRPr="00210B45" w:rsidR="00D64B8A">
        <w:rPr>
          <w:rFonts w:ascii="Times New Roman" w:hAnsi="Times New Roman" w:cs="Times New Roman"/>
          <w:sz w:val="24"/>
          <w:szCs w:val="24"/>
        </w:rPr>
        <w:t>he burden was updated to reflect the totals for the Reliability standards that currently fall under FERC</w:t>
      </w:r>
      <w:r w:rsidR="007F39BA">
        <w:rPr>
          <w:rFonts w:ascii="Times New Roman" w:hAnsi="Times New Roman" w:cs="Times New Roman"/>
          <w:sz w:val="24"/>
          <w:szCs w:val="24"/>
        </w:rPr>
        <w:t>-</w:t>
      </w:r>
      <w:r w:rsidRPr="00210B45" w:rsidR="00D64B8A">
        <w:rPr>
          <w:rFonts w:ascii="Times New Roman" w:hAnsi="Times New Roman" w:cs="Times New Roman"/>
          <w:sz w:val="24"/>
          <w:szCs w:val="24"/>
        </w:rPr>
        <w:t>725D which includes the version update of FAC</w:t>
      </w:r>
      <w:r w:rsidR="007F39BA">
        <w:rPr>
          <w:rFonts w:ascii="Times New Roman" w:hAnsi="Times New Roman" w:cs="Times New Roman"/>
          <w:sz w:val="24"/>
          <w:szCs w:val="24"/>
        </w:rPr>
        <w:t>-</w:t>
      </w:r>
      <w:r w:rsidRPr="00210B45" w:rsidR="00D64B8A">
        <w:rPr>
          <w:rFonts w:ascii="Times New Roman" w:hAnsi="Times New Roman" w:cs="Times New Roman"/>
          <w:sz w:val="24"/>
          <w:szCs w:val="24"/>
        </w:rPr>
        <w:t>002-3 within Docket No. RD20-4.</w:t>
      </w:r>
    </w:p>
    <w:p w:rsidRPr="00210B45" w:rsidR="0076658D" w:rsidP="001A153B" w:rsidRDefault="0076658D" w14:paraId="549BD136" w14:textId="3F21CAF9">
      <w:pPr>
        <w:spacing w:after="0" w:line="240" w:lineRule="auto"/>
        <w:rPr>
          <w:rFonts w:ascii="Times New Roman" w:hAnsi="Times New Roman" w:cs="Times New Roman"/>
          <w:sz w:val="24"/>
          <w:szCs w:val="24"/>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FF09E1" w:rsidR="007932D7" w:rsidTr="0029518D" w14:paraId="6BCCE95D" w14:textId="77777777">
        <w:trPr>
          <w:trHeight w:val="870"/>
        </w:trPr>
        <w:tc>
          <w:tcPr>
            <w:tcW w:w="26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10B45" w:rsidR="007932D7" w:rsidP="0029518D" w:rsidRDefault="007932D7" w14:paraId="3104905C" w14:textId="18F9AB78">
            <w:pPr>
              <w:spacing w:after="0" w:line="240" w:lineRule="auto"/>
              <w:rPr>
                <w:rFonts w:ascii="Times New Roman" w:hAnsi="Times New Roman" w:cs="Times New Roman"/>
                <w:b/>
                <w:sz w:val="24"/>
                <w:szCs w:val="24"/>
              </w:rPr>
            </w:pPr>
            <w:r w:rsidRPr="00210B45">
              <w:rPr>
                <w:rFonts w:ascii="Times New Roman" w:hAnsi="Times New Roman" w:cs="Times New Roman"/>
                <w:b/>
                <w:sz w:val="24"/>
                <w:szCs w:val="24"/>
              </w:rPr>
              <w:t>FERC-725D</w:t>
            </w:r>
          </w:p>
        </w:tc>
        <w:tc>
          <w:tcPr>
            <w:tcW w:w="1461"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10B45" w:rsidR="007932D7" w:rsidP="0029518D" w:rsidRDefault="007932D7" w14:paraId="1722EEFE" w14:textId="77777777">
            <w:pPr>
              <w:spacing w:after="0" w:line="240" w:lineRule="auto"/>
              <w:rPr>
                <w:rFonts w:ascii="Times New Roman" w:hAnsi="Times New Roman" w:cs="Times New Roman"/>
                <w:b/>
                <w:sz w:val="24"/>
                <w:szCs w:val="24"/>
              </w:rPr>
            </w:pPr>
            <w:r w:rsidRPr="00210B45">
              <w:rPr>
                <w:rFonts w:ascii="Times New Roman" w:hAnsi="Times New Roman" w:cs="Times New Roman"/>
                <w:b/>
                <w:sz w:val="24"/>
                <w:szCs w:val="24"/>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10B45" w:rsidR="007932D7" w:rsidP="0029518D" w:rsidRDefault="007932D7" w14:paraId="32374A62" w14:textId="77777777">
            <w:pPr>
              <w:spacing w:after="0" w:line="240" w:lineRule="auto"/>
              <w:rPr>
                <w:rFonts w:ascii="Times New Roman" w:hAnsi="Times New Roman" w:cs="Times New Roman"/>
                <w:b/>
                <w:sz w:val="24"/>
                <w:szCs w:val="24"/>
              </w:rPr>
            </w:pPr>
            <w:r w:rsidRPr="00210B45">
              <w:rPr>
                <w:rFonts w:ascii="Times New Roman" w:hAnsi="Times New Roman" w:cs="Times New Roman"/>
                <w:b/>
                <w:sz w:val="24"/>
                <w:szCs w:val="24"/>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10B45" w:rsidR="007932D7" w:rsidP="0029518D" w:rsidRDefault="007932D7" w14:paraId="0E2D6FB7" w14:textId="77777777">
            <w:pPr>
              <w:spacing w:after="0" w:line="240" w:lineRule="auto"/>
              <w:rPr>
                <w:rFonts w:ascii="Times New Roman" w:hAnsi="Times New Roman" w:cs="Times New Roman"/>
                <w:b/>
                <w:sz w:val="24"/>
                <w:szCs w:val="24"/>
              </w:rPr>
            </w:pPr>
            <w:r w:rsidRPr="00210B45">
              <w:rPr>
                <w:rFonts w:ascii="Times New Roman" w:hAnsi="Times New Roman" w:cs="Times New Roman"/>
                <w:b/>
                <w:sz w:val="24"/>
                <w:szCs w:val="24"/>
              </w:rPr>
              <w:t>Change due to Adjustment in Estimate</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10B45" w:rsidR="007932D7" w:rsidP="0029518D" w:rsidRDefault="007932D7" w14:paraId="0023785B" w14:textId="77777777">
            <w:pPr>
              <w:spacing w:after="0" w:line="240" w:lineRule="auto"/>
              <w:rPr>
                <w:rFonts w:ascii="Times New Roman" w:hAnsi="Times New Roman" w:cs="Times New Roman"/>
                <w:b/>
                <w:sz w:val="24"/>
                <w:szCs w:val="24"/>
              </w:rPr>
            </w:pPr>
            <w:r w:rsidRPr="00210B45">
              <w:rPr>
                <w:rFonts w:ascii="Times New Roman" w:hAnsi="Times New Roman" w:cs="Times New Roman"/>
                <w:b/>
                <w:sz w:val="24"/>
                <w:szCs w:val="24"/>
              </w:rPr>
              <w:t>Change Due to Agency Discretion</w:t>
            </w:r>
          </w:p>
        </w:tc>
      </w:tr>
      <w:tr w:rsidRPr="00FF09E1" w:rsidR="007932D7" w:rsidTr="0029518D" w14:paraId="207D372F" w14:textId="77777777">
        <w:trPr>
          <w:trHeight w:val="591"/>
        </w:trPr>
        <w:tc>
          <w:tcPr>
            <w:tcW w:w="2679" w:type="dxa"/>
            <w:tcBorders>
              <w:top w:val="single" w:color="auto" w:sz="4" w:space="0"/>
              <w:left w:val="single" w:color="auto" w:sz="4" w:space="0"/>
              <w:bottom w:val="single" w:color="auto" w:sz="4" w:space="0"/>
              <w:right w:val="single" w:color="auto" w:sz="4" w:space="0"/>
            </w:tcBorders>
            <w:vAlign w:val="bottom"/>
            <w:hideMark/>
          </w:tcPr>
          <w:p w:rsidRPr="00210B45" w:rsidR="007932D7" w:rsidP="0029518D" w:rsidRDefault="007932D7" w14:paraId="2F21785E" w14:textId="77777777">
            <w:pPr>
              <w:spacing w:after="0" w:line="240" w:lineRule="auto"/>
              <w:rPr>
                <w:rFonts w:ascii="Times New Roman" w:hAnsi="Times New Roman" w:cs="Times New Roman"/>
                <w:sz w:val="24"/>
                <w:szCs w:val="24"/>
              </w:rPr>
            </w:pPr>
            <w:r w:rsidRPr="00210B45">
              <w:rPr>
                <w:rFonts w:ascii="Times New Roman" w:hAnsi="Times New Roman" w:cs="Times New Roman"/>
                <w:sz w:val="24"/>
                <w:szCs w:val="24"/>
              </w:rPr>
              <w:t>Annual Number of Responses</w:t>
            </w:r>
          </w:p>
        </w:tc>
        <w:tc>
          <w:tcPr>
            <w:tcW w:w="1461" w:type="dxa"/>
            <w:tcBorders>
              <w:top w:val="single" w:color="auto" w:sz="4" w:space="0"/>
              <w:left w:val="single" w:color="auto" w:sz="4" w:space="0"/>
              <w:bottom w:val="single" w:color="auto" w:sz="4" w:space="0"/>
              <w:right w:val="single" w:color="auto" w:sz="4" w:space="0"/>
            </w:tcBorders>
            <w:vAlign w:val="bottom"/>
          </w:tcPr>
          <w:p w:rsidRPr="00210B45" w:rsidR="007932D7" w:rsidP="0029518D" w:rsidRDefault="00491603" w14:paraId="32137F72" w14:textId="1CD4B259">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1,957</w:t>
            </w:r>
          </w:p>
        </w:tc>
        <w:tc>
          <w:tcPr>
            <w:tcW w:w="1620" w:type="dxa"/>
            <w:tcBorders>
              <w:top w:val="single" w:color="auto" w:sz="4" w:space="0"/>
              <w:left w:val="single" w:color="auto" w:sz="4" w:space="0"/>
              <w:bottom w:val="single" w:color="auto" w:sz="4" w:space="0"/>
              <w:right w:val="single" w:color="auto" w:sz="4" w:space="0"/>
            </w:tcBorders>
            <w:vAlign w:val="bottom"/>
          </w:tcPr>
          <w:p w:rsidRPr="00210B45" w:rsidR="007932D7" w:rsidP="0029518D" w:rsidRDefault="007932D7" w14:paraId="310D1554" w14:textId="60E07253">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1,367</w:t>
            </w:r>
          </w:p>
        </w:tc>
        <w:tc>
          <w:tcPr>
            <w:tcW w:w="1800" w:type="dxa"/>
            <w:tcBorders>
              <w:top w:val="single" w:color="auto" w:sz="4" w:space="0"/>
              <w:left w:val="single" w:color="auto" w:sz="4" w:space="0"/>
              <w:bottom w:val="single" w:color="auto" w:sz="4" w:space="0"/>
              <w:right w:val="single" w:color="auto" w:sz="4" w:space="0"/>
            </w:tcBorders>
            <w:vAlign w:val="bottom"/>
          </w:tcPr>
          <w:p w:rsidRPr="00210B45" w:rsidR="007932D7" w:rsidP="0029518D" w:rsidRDefault="008838F2" w14:paraId="5DF7F3FB" w14:textId="2C1DFCB8">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736</w:t>
            </w:r>
          </w:p>
        </w:tc>
        <w:tc>
          <w:tcPr>
            <w:tcW w:w="1800" w:type="dxa"/>
            <w:tcBorders>
              <w:top w:val="single" w:color="auto" w:sz="4" w:space="0"/>
              <w:left w:val="single" w:color="auto" w:sz="4" w:space="0"/>
              <w:bottom w:val="single" w:color="auto" w:sz="4" w:space="0"/>
              <w:right w:val="single" w:color="auto" w:sz="4" w:space="0"/>
            </w:tcBorders>
            <w:vAlign w:val="bottom"/>
          </w:tcPr>
          <w:p w:rsidRPr="00210B45" w:rsidR="007932D7" w:rsidP="0029518D" w:rsidRDefault="008838F2" w14:paraId="0C57D46E" w14:textId="177DE341">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-146</w:t>
            </w:r>
          </w:p>
        </w:tc>
      </w:tr>
      <w:tr w:rsidRPr="00FF09E1" w:rsidR="007932D7" w:rsidTr="0029518D" w14:paraId="1861E630" w14:textId="77777777">
        <w:trPr>
          <w:trHeight w:val="674"/>
        </w:trPr>
        <w:tc>
          <w:tcPr>
            <w:tcW w:w="2679" w:type="dxa"/>
            <w:tcBorders>
              <w:top w:val="single" w:color="auto" w:sz="4" w:space="0"/>
              <w:left w:val="single" w:color="auto" w:sz="4" w:space="0"/>
              <w:bottom w:val="single" w:color="auto" w:sz="4" w:space="0"/>
              <w:right w:val="single" w:color="auto" w:sz="4" w:space="0"/>
            </w:tcBorders>
            <w:vAlign w:val="bottom"/>
            <w:hideMark/>
          </w:tcPr>
          <w:p w:rsidRPr="00210B45" w:rsidR="007932D7" w:rsidP="0029518D" w:rsidRDefault="007932D7" w14:paraId="7EBADAE4" w14:textId="77777777">
            <w:pPr>
              <w:spacing w:after="0" w:line="240" w:lineRule="auto"/>
              <w:rPr>
                <w:rFonts w:ascii="Times New Roman" w:hAnsi="Times New Roman" w:cs="Times New Roman"/>
                <w:sz w:val="24"/>
                <w:szCs w:val="24"/>
              </w:rPr>
            </w:pPr>
            <w:r w:rsidRPr="00210B45">
              <w:rPr>
                <w:rFonts w:ascii="Times New Roman" w:hAnsi="Times New Roman" w:cs="Times New Roman"/>
                <w:sz w:val="24"/>
                <w:szCs w:val="24"/>
              </w:rPr>
              <w:t>Annual Time Burden (Hr.)</w:t>
            </w:r>
          </w:p>
        </w:tc>
        <w:tc>
          <w:tcPr>
            <w:tcW w:w="1461" w:type="dxa"/>
            <w:tcBorders>
              <w:top w:val="single" w:color="auto" w:sz="4" w:space="0"/>
              <w:left w:val="single" w:color="auto" w:sz="4" w:space="0"/>
              <w:bottom w:val="single" w:color="auto" w:sz="4" w:space="0"/>
              <w:right w:val="single" w:color="auto" w:sz="4" w:space="0"/>
            </w:tcBorders>
            <w:vAlign w:val="bottom"/>
          </w:tcPr>
          <w:p w:rsidRPr="00210B45" w:rsidR="007932D7" w:rsidP="0029518D" w:rsidRDefault="00B80180" w14:paraId="616C4E58" w14:textId="177F1A9C">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168,655</w:t>
            </w:r>
          </w:p>
        </w:tc>
        <w:tc>
          <w:tcPr>
            <w:tcW w:w="1620" w:type="dxa"/>
            <w:tcBorders>
              <w:top w:val="single" w:color="auto" w:sz="4" w:space="0"/>
              <w:left w:val="single" w:color="auto" w:sz="4" w:space="0"/>
              <w:bottom w:val="single" w:color="auto" w:sz="4" w:space="0"/>
              <w:right w:val="single" w:color="auto" w:sz="4" w:space="0"/>
            </w:tcBorders>
            <w:vAlign w:val="bottom"/>
          </w:tcPr>
          <w:p w:rsidRPr="00210B45" w:rsidR="007932D7" w:rsidP="0029518D" w:rsidRDefault="007932D7" w14:paraId="13066701" w14:textId="4574F9F9">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154,742</w:t>
            </w:r>
          </w:p>
        </w:tc>
        <w:tc>
          <w:tcPr>
            <w:tcW w:w="1800" w:type="dxa"/>
            <w:tcBorders>
              <w:top w:val="single" w:color="auto" w:sz="4" w:space="0"/>
              <w:left w:val="single" w:color="auto" w:sz="4" w:space="0"/>
              <w:bottom w:val="single" w:color="auto" w:sz="4" w:space="0"/>
              <w:right w:val="single" w:color="auto" w:sz="4" w:space="0"/>
            </w:tcBorders>
            <w:vAlign w:val="bottom"/>
          </w:tcPr>
          <w:p w:rsidRPr="00210B45" w:rsidR="007932D7" w:rsidP="0029518D" w:rsidRDefault="008838F2" w14:paraId="77AA4D74" w14:textId="3BEF8BA7">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14,834</w:t>
            </w:r>
          </w:p>
        </w:tc>
        <w:tc>
          <w:tcPr>
            <w:tcW w:w="1800" w:type="dxa"/>
            <w:tcBorders>
              <w:top w:val="single" w:color="auto" w:sz="4" w:space="0"/>
              <w:left w:val="single" w:color="auto" w:sz="4" w:space="0"/>
              <w:bottom w:val="single" w:color="auto" w:sz="4" w:space="0"/>
              <w:right w:val="single" w:color="auto" w:sz="4" w:space="0"/>
            </w:tcBorders>
            <w:vAlign w:val="bottom"/>
          </w:tcPr>
          <w:p w:rsidRPr="00210B45" w:rsidR="007932D7" w:rsidP="0029518D" w:rsidRDefault="008838F2" w14:paraId="5B6A4EE7" w14:textId="303963F7">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-921</w:t>
            </w:r>
          </w:p>
        </w:tc>
      </w:tr>
      <w:tr w:rsidRPr="00FF09E1" w:rsidR="007932D7" w:rsidTr="0029518D" w14:paraId="30572CA3" w14:textId="77777777">
        <w:trPr>
          <w:trHeight w:val="295"/>
        </w:trPr>
        <w:tc>
          <w:tcPr>
            <w:tcW w:w="2679" w:type="dxa"/>
            <w:tcBorders>
              <w:top w:val="single" w:color="auto" w:sz="4" w:space="0"/>
              <w:left w:val="single" w:color="auto" w:sz="4" w:space="0"/>
              <w:bottom w:val="single" w:color="auto" w:sz="4" w:space="0"/>
              <w:right w:val="single" w:color="auto" w:sz="4" w:space="0"/>
            </w:tcBorders>
            <w:vAlign w:val="bottom"/>
            <w:hideMark/>
          </w:tcPr>
          <w:p w:rsidRPr="00210B45" w:rsidR="007932D7" w:rsidP="0029518D" w:rsidRDefault="007932D7" w14:paraId="7EC872FC" w14:textId="77777777">
            <w:pPr>
              <w:spacing w:after="0" w:line="240" w:lineRule="auto"/>
              <w:rPr>
                <w:rFonts w:ascii="Times New Roman" w:hAnsi="Times New Roman" w:cs="Times New Roman"/>
                <w:sz w:val="24"/>
                <w:szCs w:val="24"/>
              </w:rPr>
            </w:pPr>
            <w:r w:rsidRPr="00210B45">
              <w:rPr>
                <w:rFonts w:ascii="Times New Roman" w:hAnsi="Times New Roman" w:cs="Times New Roman"/>
                <w:sz w:val="24"/>
                <w:szCs w:val="24"/>
              </w:rPr>
              <w:t>Annual Cost Burden ($)</w:t>
            </w:r>
          </w:p>
        </w:tc>
        <w:tc>
          <w:tcPr>
            <w:tcW w:w="1461" w:type="dxa"/>
            <w:tcBorders>
              <w:top w:val="single" w:color="auto" w:sz="4" w:space="0"/>
              <w:left w:val="single" w:color="auto" w:sz="4" w:space="0"/>
              <w:bottom w:val="single" w:color="auto" w:sz="4" w:space="0"/>
              <w:right w:val="single" w:color="auto" w:sz="4" w:space="0"/>
            </w:tcBorders>
            <w:vAlign w:val="bottom"/>
            <w:hideMark/>
          </w:tcPr>
          <w:p w:rsidRPr="00210B45" w:rsidR="007932D7" w:rsidP="0029518D" w:rsidRDefault="007932D7" w14:paraId="6AF02C8C" w14:textId="77777777">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0</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210B45" w:rsidR="007932D7" w:rsidP="0029518D" w:rsidRDefault="007932D7" w14:paraId="1AE9F292" w14:textId="77777777">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210B45" w:rsidR="007932D7" w:rsidP="0029518D" w:rsidRDefault="007932D7" w14:paraId="1C0B7A52" w14:textId="77777777">
            <w:pPr>
              <w:spacing w:after="0" w:line="240" w:lineRule="auto"/>
              <w:jc w:val="right"/>
              <w:rPr>
                <w:rFonts w:ascii="Times New Roman" w:hAnsi="Times New Roman" w:cs="Times New Roman"/>
                <w:color w:val="FF0000"/>
                <w:sz w:val="24"/>
                <w:szCs w:val="24"/>
              </w:rPr>
            </w:pPr>
            <w:r w:rsidRPr="00210B45">
              <w:rPr>
                <w:rFonts w:ascii="Times New Roman" w:hAnsi="Times New Roman" w:cs="Times New Roman"/>
                <w:sz w:val="24"/>
                <w:szCs w:val="24"/>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210B45" w:rsidR="007932D7" w:rsidP="0029518D" w:rsidRDefault="007932D7" w14:paraId="7F6066DD" w14:textId="33A69016">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0</w:t>
            </w:r>
          </w:p>
        </w:tc>
      </w:tr>
    </w:tbl>
    <w:p w:rsidRPr="00210B45" w:rsidR="007932D7" w:rsidP="001A153B" w:rsidRDefault="007932D7" w14:paraId="0D8AE6A4" w14:textId="271269A4">
      <w:pPr>
        <w:spacing w:after="0" w:line="240" w:lineRule="auto"/>
        <w:rPr>
          <w:rFonts w:ascii="Times New Roman" w:hAnsi="Times New Roman" w:cs="Times New Roman"/>
          <w:sz w:val="24"/>
          <w:szCs w:val="24"/>
        </w:rPr>
      </w:pPr>
    </w:p>
    <w:p w:rsidRPr="007F39BA" w:rsidR="004E05AB" w:rsidP="001A153B" w:rsidRDefault="004E05AB" w14:paraId="086B91D2" w14:textId="77777777">
      <w:pPr>
        <w:spacing w:after="0" w:line="240" w:lineRule="auto"/>
        <w:rPr>
          <w:rFonts w:ascii="Times New Roman" w:hAnsi="Times New Roman" w:cs="Times New Roman"/>
          <w:sz w:val="24"/>
          <w:szCs w:val="24"/>
        </w:rPr>
      </w:pPr>
    </w:p>
    <w:p w:rsidRPr="007F39BA" w:rsidR="00EE07DD" w:rsidP="001A153B" w:rsidRDefault="00EE07DD" w14:paraId="78B5F6BB" w14:textId="77777777">
      <w:pPr>
        <w:numPr>
          <w:ilvl w:val="0"/>
          <w:numId w:val="2"/>
        </w:numPr>
        <w:spacing w:after="0" w:line="240" w:lineRule="auto"/>
        <w:rPr>
          <w:rFonts w:ascii="Times New Roman" w:hAnsi="Times New Roman" w:cs="Times New Roman"/>
          <w:b/>
          <w:sz w:val="24"/>
          <w:szCs w:val="24"/>
        </w:rPr>
      </w:pPr>
      <w:r w:rsidRPr="007F39BA">
        <w:rPr>
          <w:rFonts w:ascii="Times New Roman" w:hAnsi="Times New Roman" w:cs="Times New Roman"/>
          <w:b/>
          <w:sz w:val="24"/>
          <w:szCs w:val="24"/>
        </w:rPr>
        <w:t>TIME SCHEDULE FOR PUBLICATION OF DATA</w:t>
      </w:r>
    </w:p>
    <w:p w:rsidRPr="007F39BA" w:rsidR="00EE07DD" w:rsidP="001A153B" w:rsidRDefault="00EE07DD" w14:paraId="77C75645" w14:textId="77777777">
      <w:pPr>
        <w:spacing w:after="0" w:line="240" w:lineRule="auto"/>
        <w:rPr>
          <w:rFonts w:ascii="Times New Roman" w:hAnsi="Times New Roman" w:cs="Times New Roman"/>
          <w:sz w:val="24"/>
          <w:szCs w:val="24"/>
        </w:rPr>
      </w:pPr>
    </w:p>
    <w:p w:rsidRPr="007F39BA" w:rsidR="00EE07DD" w:rsidP="001A153B" w:rsidRDefault="00EE07DD" w14:paraId="35459C76" w14:textId="77777777">
      <w:pPr>
        <w:spacing w:after="0" w:line="240" w:lineRule="auto"/>
        <w:rPr>
          <w:rFonts w:ascii="Times New Roman" w:hAnsi="Times New Roman" w:cs="Times New Roman"/>
          <w:sz w:val="24"/>
          <w:szCs w:val="24"/>
        </w:rPr>
      </w:pPr>
      <w:r w:rsidRPr="007F39BA">
        <w:rPr>
          <w:rFonts w:ascii="Times New Roman" w:hAnsi="Times New Roman" w:cs="Times New Roman"/>
          <w:sz w:val="24"/>
          <w:szCs w:val="24"/>
        </w:rPr>
        <w:t>There are no data publications.</w:t>
      </w:r>
    </w:p>
    <w:p w:rsidRPr="007F39BA" w:rsidR="00EE07DD" w:rsidP="001A153B" w:rsidRDefault="00EE07DD" w14:paraId="4A903D66" w14:textId="77777777">
      <w:pPr>
        <w:spacing w:after="0" w:line="240" w:lineRule="auto"/>
        <w:rPr>
          <w:rFonts w:ascii="Times New Roman" w:hAnsi="Times New Roman" w:cs="Times New Roman"/>
          <w:sz w:val="24"/>
          <w:szCs w:val="24"/>
        </w:rPr>
      </w:pPr>
    </w:p>
    <w:p w:rsidRPr="007F39BA" w:rsidR="00EE07DD" w:rsidP="001A153B" w:rsidRDefault="00EE07DD" w14:paraId="1A90466D" w14:textId="77777777">
      <w:pPr>
        <w:numPr>
          <w:ilvl w:val="0"/>
          <w:numId w:val="2"/>
        </w:numPr>
        <w:spacing w:after="0" w:line="240" w:lineRule="auto"/>
        <w:rPr>
          <w:rFonts w:ascii="Times New Roman" w:hAnsi="Times New Roman" w:cs="Times New Roman"/>
          <w:b/>
          <w:sz w:val="24"/>
          <w:szCs w:val="24"/>
        </w:rPr>
      </w:pPr>
      <w:r w:rsidRPr="007F39BA">
        <w:rPr>
          <w:rFonts w:ascii="Times New Roman" w:hAnsi="Times New Roman" w:cs="Times New Roman"/>
          <w:b/>
          <w:sz w:val="24"/>
          <w:szCs w:val="24"/>
        </w:rPr>
        <w:t>DISPLAY OF EXPIRATION DATE</w:t>
      </w:r>
    </w:p>
    <w:p w:rsidRPr="007F39BA" w:rsidR="00EE07DD" w:rsidP="001A153B" w:rsidRDefault="00EE07DD" w14:paraId="2BEA8B4E" w14:textId="77777777">
      <w:pPr>
        <w:spacing w:after="0" w:line="240" w:lineRule="auto"/>
        <w:rPr>
          <w:rFonts w:ascii="Times New Roman" w:hAnsi="Times New Roman" w:cs="Times New Roman"/>
          <w:sz w:val="24"/>
          <w:szCs w:val="24"/>
        </w:rPr>
      </w:pPr>
    </w:p>
    <w:p w:rsidRPr="007F39BA" w:rsidR="00EE07DD" w:rsidP="001A153B" w:rsidRDefault="00EE07DD" w14:paraId="5FEF02A8" w14:textId="45C1B9DA">
      <w:pPr>
        <w:spacing w:after="0" w:line="240" w:lineRule="auto"/>
        <w:rPr>
          <w:rFonts w:ascii="Times New Roman" w:hAnsi="Times New Roman" w:cs="Times New Roman"/>
          <w:sz w:val="24"/>
          <w:szCs w:val="24"/>
        </w:rPr>
      </w:pPr>
      <w:r w:rsidRPr="007F39BA">
        <w:rPr>
          <w:rFonts w:ascii="Times New Roman" w:hAnsi="Times New Roman" w:cs="Times New Roman"/>
          <w:sz w:val="24"/>
          <w:szCs w:val="24"/>
        </w:rPr>
        <w:t xml:space="preserve">The PRA information (including expiration dates and OMB Control Nos.) is posted at </w:t>
      </w:r>
      <w:hyperlink w:history="1" r:id="rId22">
        <w:r w:rsidRPr="00FF09E1" w:rsidR="00FD6C2A">
          <w:rPr>
            <w:rFonts w:ascii="Times New Roman" w:hAnsi="Times New Roman" w:eastAsia="Times New Roman" w:cs="Times New Roman"/>
            <w:color w:val="0000FF"/>
            <w:sz w:val="24"/>
            <w:szCs w:val="24"/>
            <w:u w:val="single"/>
          </w:rPr>
          <w:t>http://www.ferc.gov/docs-filing/efiling.asp</w:t>
        </w:r>
      </w:hyperlink>
    </w:p>
    <w:p w:rsidRPr="007F39BA" w:rsidR="00EE07DD" w:rsidP="001A153B" w:rsidRDefault="00EE07DD" w14:paraId="6F45C045" w14:textId="77777777">
      <w:pPr>
        <w:spacing w:after="0" w:line="240" w:lineRule="auto"/>
        <w:rPr>
          <w:rFonts w:ascii="Times New Roman" w:hAnsi="Times New Roman" w:cs="Times New Roman"/>
          <w:sz w:val="24"/>
          <w:szCs w:val="24"/>
        </w:rPr>
      </w:pPr>
    </w:p>
    <w:p w:rsidRPr="007F39BA" w:rsidR="00EE07DD" w:rsidP="001A153B" w:rsidRDefault="00EE07DD" w14:paraId="61EDFDB7" w14:textId="77777777">
      <w:pPr>
        <w:numPr>
          <w:ilvl w:val="0"/>
          <w:numId w:val="2"/>
        </w:numPr>
        <w:spacing w:after="0" w:line="240" w:lineRule="auto"/>
        <w:rPr>
          <w:rFonts w:ascii="Times New Roman" w:hAnsi="Times New Roman" w:cs="Times New Roman"/>
          <w:b/>
          <w:sz w:val="24"/>
          <w:szCs w:val="24"/>
        </w:rPr>
      </w:pPr>
      <w:r w:rsidRPr="007F39BA">
        <w:rPr>
          <w:rFonts w:ascii="Times New Roman" w:hAnsi="Times New Roman" w:cs="Times New Roman"/>
          <w:b/>
          <w:sz w:val="24"/>
          <w:szCs w:val="24"/>
        </w:rPr>
        <w:t>EXCEPTIONS TO THE CERTIFICATION STATEMENT</w:t>
      </w:r>
    </w:p>
    <w:p w:rsidRPr="007F39BA" w:rsidR="00EE07DD" w:rsidP="001A153B" w:rsidRDefault="00EE07DD" w14:paraId="022B4FFE" w14:textId="77777777">
      <w:pPr>
        <w:spacing w:after="0" w:line="240" w:lineRule="auto"/>
        <w:rPr>
          <w:rFonts w:ascii="Times New Roman" w:hAnsi="Times New Roman" w:cs="Times New Roman"/>
          <w:b/>
          <w:sz w:val="24"/>
          <w:szCs w:val="24"/>
        </w:rPr>
      </w:pPr>
    </w:p>
    <w:p w:rsidRPr="007F39BA" w:rsidR="00EE07DD" w:rsidP="001A153B" w:rsidRDefault="00EE07DD" w14:paraId="148BE79D" w14:textId="16404A28">
      <w:pPr>
        <w:spacing w:after="0" w:line="240" w:lineRule="auto"/>
        <w:rPr>
          <w:rFonts w:ascii="Times New Roman" w:hAnsi="Times New Roman" w:cs="Times New Roman"/>
          <w:sz w:val="24"/>
          <w:szCs w:val="24"/>
        </w:rPr>
      </w:pPr>
      <w:r w:rsidRPr="007F39BA">
        <w:rPr>
          <w:rFonts w:ascii="Times New Roman" w:hAnsi="Times New Roman" w:cs="Times New Roman"/>
          <w:sz w:val="24"/>
          <w:szCs w:val="24"/>
        </w:rPr>
        <w:t xml:space="preserve">The Commission does not use statistical methods for </w:t>
      </w:r>
      <w:r w:rsidR="00FF09E1">
        <w:rPr>
          <w:rFonts w:ascii="Times New Roman" w:hAnsi="Times New Roman" w:cs="Times New Roman"/>
          <w:sz w:val="24"/>
          <w:szCs w:val="24"/>
        </w:rPr>
        <w:t>FERC-725D</w:t>
      </w:r>
      <w:r w:rsidRPr="007F39BA">
        <w:rPr>
          <w:rFonts w:ascii="Times New Roman" w:hAnsi="Times New Roman" w:cs="Times New Roman"/>
          <w:sz w:val="24"/>
          <w:szCs w:val="24"/>
        </w:rPr>
        <w:t>.</w:t>
      </w:r>
    </w:p>
    <w:sectPr w:rsidRPr="007F39BA" w:rsidR="00EE07D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BEC9D" w14:textId="77777777" w:rsidR="00E25351" w:rsidRDefault="00E25351" w:rsidP="00EE07DD">
      <w:pPr>
        <w:spacing w:after="0" w:line="240" w:lineRule="auto"/>
      </w:pPr>
      <w:r>
        <w:separator/>
      </w:r>
    </w:p>
  </w:endnote>
  <w:endnote w:type="continuationSeparator" w:id="0">
    <w:p w14:paraId="40DB914E" w14:textId="77777777" w:rsidR="00E25351" w:rsidRDefault="00E25351" w:rsidP="00EE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B46BB" w14:textId="77777777" w:rsidR="009B3BDC" w:rsidRDefault="009B3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652269"/>
      <w:docPartObj>
        <w:docPartGallery w:val="Page Numbers (Bottom of Page)"/>
        <w:docPartUnique/>
      </w:docPartObj>
    </w:sdtPr>
    <w:sdtEndPr>
      <w:rPr>
        <w:noProof/>
      </w:rPr>
    </w:sdtEndPr>
    <w:sdtContent>
      <w:p w14:paraId="33524FE4" w14:textId="76EE2AFB" w:rsidR="00E25351" w:rsidRDefault="00E2535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2A34CF4" w14:textId="77777777" w:rsidR="00E25351" w:rsidRDefault="00E25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BCAC" w14:textId="77777777" w:rsidR="009B3BDC" w:rsidRDefault="009B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E923F" w14:textId="77777777" w:rsidR="00E25351" w:rsidRDefault="00E25351" w:rsidP="00EE07DD">
      <w:pPr>
        <w:spacing w:after="0" w:line="240" w:lineRule="auto"/>
      </w:pPr>
      <w:r>
        <w:separator/>
      </w:r>
    </w:p>
  </w:footnote>
  <w:footnote w:type="continuationSeparator" w:id="0">
    <w:p w14:paraId="02A6A0E7" w14:textId="77777777" w:rsidR="00E25351" w:rsidRDefault="00E25351" w:rsidP="00EE07DD">
      <w:pPr>
        <w:spacing w:after="0" w:line="240" w:lineRule="auto"/>
      </w:pPr>
      <w:r>
        <w:continuationSeparator/>
      </w:r>
    </w:p>
  </w:footnote>
  <w:footnote w:id="1">
    <w:p w14:paraId="018584C2" w14:textId="77777777" w:rsidR="00E25351" w:rsidRPr="004875D5" w:rsidRDefault="00E25351" w:rsidP="00EE07DD">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vertAlign w:val="superscript"/>
        </w:rPr>
        <w:t xml:space="preserve"> </w:t>
      </w:r>
      <w:r w:rsidRPr="004875D5">
        <w:rPr>
          <w:rFonts w:ascii="Times New Roman" w:hAnsi="Times New Roman" w:cs="Times New Roman"/>
          <w:sz w:val="24"/>
          <w:szCs w:val="24"/>
        </w:rPr>
        <w:t>The Energy Policy Act of 2005, Pub. L. No 109-58, Title XII, Subtitle A, 119 Stat. 594, 941 (2005), codified at 16 U.S.C. 824o (2006).</w:t>
      </w:r>
    </w:p>
  </w:footnote>
  <w:footnote w:id="2">
    <w:p w14:paraId="7A42BFF1" w14:textId="77777777" w:rsidR="00E25351" w:rsidRPr="004875D5" w:rsidRDefault="00E25351" w:rsidP="00EE07DD">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w:t>
      </w:r>
      <w:r w:rsidRPr="004875D5">
        <w:rPr>
          <w:rFonts w:ascii="Times New Roman" w:hAnsi="Times New Roman" w:cs="Times New Roman"/>
          <w:i/>
          <w:iCs/>
          <w:sz w:val="24"/>
          <w:szCs w:val="24"/>
        </w:rPr>
        <w:t xml:space="preserve">Id. </w:t>
      </w:r>
      <w:r w:rsidRPr="004875D5">
        <w:rPr>
          <w:rFonts w:ascii="Times New Roman" w:hAnsi="Times New Roman" w:cs="Times New Roman"/>
          <w:sz w:val="24"/>
          <w:szCs w:val="24"/>
        </w:rPr>
        <w:t>824o(c), (d).</w:t>
      </w:r>
    </w:p>
  </w:footnote>
  <w:footnote w:id="3">
    <w:p w14:paraId="6DCA8CF7" w14:textId="77777777" w:rsidR="00E25351" w:rsidRPr="004875D5" w:rsidRDefault="00E25351" w:rsidP="00EE07DD">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w:t>
      </w:r>
      <w:r w:rsidRPr="004875D5">
        <w:rPr>
          <w:rFonts w:ascii="Times New Roman" w:hAnsi="Times New Roman" w:cs="Times New Roman"/>
          <w:i/>
          <w:iCs/>
          <w:sz w:val="24"/>
          <w:szCs w:val="24"/>
        </w:rPr>
        <w:t xml:space="preserve">Id. </w:t>
      </w:r>
      <w:r w:rsidRPr="004875D5">
        <w:rPr>
          <w:rFonts w:ascii="Times New Roman" w:hAnsi="Times New Roman" w:cs="Times New Roman"/>
          <w:sz w:val="24"/>
          <w:szCs w:val="24"/>
        </w:rPr>
        <w:t>824o(e).</w:t>
      </w:r>
    </w:p>
  </w:footnote>
  <w:footnote w:id="4">
    <w:p w14:paraId="0E8ED43F" w14:textId="77777777" w:rsidR="00E25351" w:rsidRPr="00632F48" w:rsidRDefault="00E25351">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“Electric Reliability Organization” or “ERO” means the organization certified by the </w:t>
      </w:r>
      <w:r w:rsidRPr="00632F48">
        <w:rPr>
          <w:rFonts w:ascii="Times New Roman" w:hAnsi="Times New Roman" w:cs="Times New Roman"/>
          <w:sz w:val="24"/>
          <w:szCs w:val="24"/>
        </w:rPr>
        <w:t>Commission the purpose of which is to establish and enforce Reliability Standards for the Bulk-Power System, subject to Commission review.</w:t>
      </w:r>
    </w:p>
  </w:footnote>
  <w:footnote w:id="5">
    <w:p w14:paraId="187139C0" w14:textId="77777777" w:rsidR="00E25351" w:rsidRPr="00632F48" w:rsidRDefault="00E25351" w:rsidP="00EE07DD">
      <w:pPr>
        <w:pStyle w:val="FootnoteText"/>
        <w:rPr>
          <w:rFonts w:ascii="Times New Roman" w:hAnsi="Times New Roman" w:cs="Times New Roman"/>
          <w:sz w:val="24"/>
          <w:szCs w:val="24"/>
        </w:rPr>
      </w:pPr>
      <w:r w:rsidRPr="00632F48">
        <w:rPr>
          <w:rStyle w:val="FootnoteReference"/>
          <w:rFonts w:ascii="Times New Roman" w:hAnsi="Times New Roman" w:cs="Times New Roman"/>
          <w:sz w:val="24"/>
          <w:szCs w:val="24"/>
        </w:rPr>
        <w:footnoteRef/>
      </w:r>
      <w:r w:rsidRPr="00632F48">
        <w:rPr>
          <w:rFonts w:ascii="Times New Roman" w:hAnsi="Times New Roman" w:cs="Times New Roman"/>
          <w:sz w:val="24"/>
          <w:szCs w:val="24"/>
        </w:rPr>
        <w:t xml:space="preserve"> </w:t>
      </w:r>
      <w:r w:rsidRPr="00632F48">
        <w:rPr>
          <w:rFonts w:ascii="Times New Roman" w:hAnsi="Times New Roman" w:cs="Times New Roman"/>
          <w:i/>
          <w:sz w:val="24"/>
          <w:szCs w:val="24"/>
        </w:rPr>
        <w:t>North American Electric Reliability Corp.</w:t>
      </w:r>
      <w:r w:rsidRPr="00632F48">
        <w:rPr>
          <w:rFonts w:ascii="Times New Roman" w:hAnsi="Times New Roman" w:cs="Times New Roman"/>
          <w:sz w:val="24"/>
          <w:szCs w:val="24"/>
        </w:rPr>
        <w:t xml:space="preserve">, 116 FERC ¶ 61,062, </w:t>
      </w:r>
      <w:r w:rsidRPr="00632F48">
        <w:rPr>
          <w:rFonts w:ascii="Times New Roman" w:hAnsi="Times New Roman" w:cs="Times New Roman"/>
          <w:i/>
          <w:sz w:val="24"/>
          <w:szCs w:val="24"/>
        </w:rPr>
        <w:t>order on reh’g and compliance</w:t>
      </w:r>
      <w:r w:rsidRPr="00632F48">
        <w:rPr>
          <w:rFonts w:ascii="Times New Roman" w:hAnsi="Times New Roman" w:cs="Times New Roman"/>
          <w:sz w:val="24"/>
          <w:szCs w:val="24"/>
        </w:rPr>
        <w:t xml:space="preserve">, 117 FERC ¶ 61,126 (2006), </w:t>
      </w:r>
      <w:r w:rsidRPr="00632F48">
        <w:rPr>
          <w:rFonts w:ascii="Times New Roman" w:hAnsi="Times New Roman" w:cs="Times New Roman"/>
          <w:i/>
          <w:sz w:val="24"/>
          <w:szCs w:val="24"/>
        </w:rPr>
        <w:t>order on compliance</w:t>
      </w:r>
      <w:r w:rsidRPr="00632F48">
        <w:rPr>
          <w:rFonts w:ascii="Times New Roman" w:hAnsi="Times New Roman" w:cs="Times New Roman"/>
          <w:sz w:val="24"/>
          <w:szCs w:val="24"/>
        </w:rPr>
        <w:t xml:space="preserve">, 118 FERC ¶ 61,190, </w:t>
      </w:r>
      <w:r w:rsidRPr="00632F48">
        <w:rPr>
          <w:rFonts w:ascii="Times New Roman" w:hAnsi="Times New Roman" w:cs="Times New Roman"/>
          <w:i/>
          <w:sz w:val="24"/>
          <w:szCs w:val="24"/>
        </w:rPr>
        <w:t>order on reh’g</w:t>
      </w:r>
      <w:r w:rsidRPr="00632F48">
        <w:rPr>
          <w:rFonts w:ascii="Times New Roman" w:hAnsi="Times New Roman" w:cs="Times New Roman"/>
          <w:sz w:val="24"/>
          <w:szCs w:val="24"/>
        </w:rPr>
        <w:t xml:space="preserve">, 119 FERC ¶ 61,046 (2007), </w:t>
      </w:r>
      <w:r w:rsidRPr="00632F48">
        <w:rPr>
          <w:rFonts w:ascii="Times New Roman" w:hAnsi="Times New Roman" w:cs="Times New Roman"/>
          <w:i/>
          <w:sz w:val="24"/>
          <w:szCs w:val="24"/>
        </w:rPr>
        <w:t>aff’d sub nom. Alcoa Inc. v. FERC</w:t>
      </w:r>
      <w:r w:rsidRPr="00632F48">
        <w:rPr>
          <w:rFonts w:ascii="Times New Roman" w:hAnsi="Times New Roman" w:cs="Times New Roman"/>
          <w:sz w:val="24"/>
          <w:szCs w:val="24"/>
        </w:rPr>
        <w:t>, 564 F.3d 1342 (D.C. Cir. 2009).</w:t>
      </w:r>
    </w:p>
  </w:footnote>
  <w:footnote w:id="6">
    <w:p w14:paraId="215A8A3E" w14:textId="671ABA65" w:rsidR="00E25351" w:rsidRPr="004875D5" w:rsidRDefault="00E25351">
      <w:pPr>
        <w:pStyle w:val="FootnoteText"/>
        <w:rPr>
          <w:rFonts w:ascii="Times New Roman" w:hAnsi="Times New Roman" w:cs="Times New Roman"/>
          <w:sz w:val="24"/>
          <w:szCs w:val="24"/>
        </w:rPr>
      </w:pPr>
      <w:r w:rsidRPr="00632F48">
        <w:rPr>
          <w:rStyle w:val="FootnoteReference"/>
          <w:rFonts w:ascii="Times New Roman" w:hAnsi="Times New Roman" w:cs="Times New Roman"/>
          <w:sz w:val="24"/>
          <w:szCs w:val="24"/>
        </w:rPr>
        <w:footnoteRef/>
      </w:r>
      <w:r w:rsidRPr="00632F48">
        <w:rPr>
          <w:rFonts w:ascii="Times New Roman" w:hAnsi="Times New Roman" w:cs="Times New Roman"/>
          <w:sz w:val="24"/>
          <w:szCs w:val="24"/>
        </w:rPr>
        <w:t xml:space="preserve"> </w:t>
      </w:r>
      <w:r>
        <w:rPr>
          <w:rFonts w:ascii="Times New Roman" w:hAnsi="Times New Roman" w:cs="Times New Roman"/>
          <w:sz w:val="24"/>
          <w:szCs w:val="24"/>
        </w:rPr>
        <w:t xml:space="preserve">The table is </w:t>
      </w:r>
      <w:r w:rsidR="004B18C5">
        <w:rPr>
          <w:rFonts w:ascii="Times New Roman" w:hAnsi="Times New Roman" w:cs="Times New Roman"/>
          <w:sz w:val="24"/>
          <w:szCs w:val="24"/>
        </w:rPr>
        <w:t xml:space="preserve">based on a table </w:t>
      </w:r>
      <w:r>
        <w:rPr>
          <w:rFonts w:ascii="Times New Roman" w:hAnsi="Times New Roman" w:cs="Times New Roman"/>
          <w:sz w:val="24"/>
          <w:szCs w:val="24"/>
        </w:rPr>
        <w:t xml:space="preserve">from the NERC website at </w:t>
      </w:r>
      <w:r w:rsidRPr="00632F48">
        <w:rPr>
          <w:rFonts w:ascii="Times New Roman" w:hAnsi="Times New Roman" w:cs="Times New Roman"/>
          <w:sz w:val="24"/>
          <w:szCs w:val="24"/>
        </w:rPr>
        <w:t>https://www.nerc.net/standardsreports/standardssummary.aspx</w:t>
      </w:r>
    </w:p>
  </w:footnote>
  <w:footnote w:id="7">
    <w:p w14:paraId="5829938A" w14:textId="39495199" w:rsidR="00E25351" w:rsidRPr="00402EB9" w:rsidRDefault="00E25351">
      <w:pPr>
        <w:pStyle w:val="FootnoteText"/>
        <w:rPr>
          <w:rFonts w:ascii="Times New Roman" w:hAnsi="Times New Roman" w:cs="Times New Roman"/>
          <w:sz w:val="24"/>
          <w:szCs w:val="24"/>
        </w:rPr>
      </w:pPr>
      <w:r w:rsidRPr="00402EB9">
        <w:rPr>
          <w:rStyle w:val="FootnoteReference"/>
          <w:rFonts w:ascii="Times New Roman" w:hAnsi="Times New Roman" w:cs="Times New Roman"/>
          <w:sz w:val="24"/>
          <w:szCs w:val="24"/>
        </w:rPr>
        <w:footnoteRef/>
      </w:r>
      <w:r w:rsidRPr="00402EB9">
        <w:rPr>
          <w:rFonts w:ascii="Times New Roman" w:hAnsi="Times New Roman" w:cs="Times New Roman"/>
          <w:sz w:val="24"/>
          <w:szCs w:val="24"/>
        </w:rPr>
        <w:t xml:space="preserve"> This column represents the </w:t>
      </w:r>
      <w:r>
        <w:rPr>
          <w:rFonts w:ascii="Times New Roman" w:hAnsi="Times New Roman" w:cs="Times New Roman"/>
          <w:sz w:val="24"/>
          <w:szCs w:val="24"/>
        </w:rPr>
        <w:t xml:space="preserve">effective </w:t>
      </w:r>
      <w:r w:rsidRPr="00402EB9">
        <w:rPr>
          <w:rFonts w:ascii="Times New Roman" w:hAnsi="Times New Roman" w:cs="Times New Roman"/>
          <w:sz w:val="24"/>
          <w:szCs w:val="24"/>
        </w:rPr>
        <w:t>date of the most recent approved version for each respective standard.</w:t>
      </w:r>
    </w:p>
  </w:footnote>
  <w:footnote w:id="8">
    <w:p w14:paraId="6EC2000D" w14:textId="553C9514" w:rsidR="00E25351" w:rsidRPr="00402EB9" w:rsidRDefault="00E25351">
      <w:pPr>
        <w:pStyle w:val="FootnoteText"/>
        <w:rPr>
          <w:rFonts w:ascii="Times New Roman" w:hAnsi="Times New Roman" w:cs="Times New Roman"/>
          <w:sz w:val="24"/>
          <w:szCs w:val="24"/>
        </w:rPr>
      </w:pPr>
      <w:r w:rsidRPr="00402EB9">
        <w:rPr>
          <w:rStyle w:val="FootnoteReference"/>
          <w:rFonts w:ascii="Times New Roman" w:hAnsi="Times New Roman" w:cs="Times New Roman"/>
          <w:sz w:val="24"/>
          <w:szCs w:val="24"/>
        </w:rPr>
        <w:footnoteRef/>
      </w:r>
      <w:r w:rsidRPr="00402EB9">
        <w:rPr>
          <w:rFonts w:ascii="Times New Roman" w:hAnsi="Times New Roman" w:cs="Times New Roman"/>
          <w:sz w:val="24"/>
          <w:szCs w:val="24"/>
        </w:rPr>
        <w:t xml:space="preserve"> The petition is provided on FERC’s eLibrary website at</w:t>
      </w:r>
    </w:p>
    <w:p w14:paraId="4F38E476" w14:textId="2AD8E3C3" w:rsidR="00E25351" w:rsidRPr="004875D5" w:rsidRDefault="00E25351">
      <w:pPr>
        <w:pStyle w:val="FootnoteText"/>
        <w:rPr>
          <w:rFonts w:ascii="Times New Roman" w:hAnsi="Times New Roman" w:cs="Times New Roman"/>
          <w:sz w:val="24"/>
          <w:szCs w:val="24"/>
        </w:rPr>
      </w:pPr>
      <w:r w:rsidRPr="00402EB9">
        <w:rPr>
          <w:rFonts w:ascii="Times New Roman" w:hAnsi="Times New Roman" w:cs="Times New Roman"/>
          <w:sz w:val="24"/>
          <w:szCs w:val="24"/>
        </w:rPr>
        <w:t xml:space="preserve"> </w:t>
      </w:r>
      <w:hyperlink r:id="rId1" w:history="1">
        <w:r w:rsidRPr="00402EB9">
          <w:rPr>
            <w:rStyle w:val="Hyperlink"/>
            <w:sz w:val="24"/>
            <w:szCs w:val="24"/>
          </w:rPr>
          <w:t>https://elibrary.ferc.gov/eLibrary/filedownload?fileid=15468689</w:t>
        </w:r>
      </w:hyperlink>
    </w:p>
  </w:footnote>
  <w:footnote w:id="9">
    <w:p w14:paraId="1CE8E035" w14:textId="77777777" w:rsidR="00E25351" w:rsidRPr="007C596E" w:rsidRDefault="00E25351" w:rsidP="00EC08E0">
      <w:pPr>
        <w:pStyle w:val="FootnoteText"/>
        <w:rPr>
          <w:rFonts w:ascii="Times New Roman" w:hAnsi="Times New Roman" w:cs="Times New Roman"/>
          <w:sz w:val="26"/>
          <w:szCs w:val="26"/>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The DLO is posted in FERC’s eLibrary at https://elibrary.ferc.gov/eLibrary/filedownload?fileid=15650938</w:t>
      </w:r>
      <w:r w:rsidRPr="004A333D">
        <w:rPr>
          <w:rFonts w:ascii="Times New Roman" w:hAnsi="Times New Roman" w:cs="Times New Roman"/>
          <w:sz w:val="26"/>
          <w:szCs w:val="26"/>
        </w:rPr>
        <w:t>.</w:t>
      </w:r>
    </w:p>
  </w:footnote>
  <w:footnote w:id="10">
    <w:p w14:paraId="451DC968" w14:textId="4648C240" w:rsidR="00E25351" w:rsidRPr="004875D5" w:rsidRDefault="00E25351" w:rsidP="00EE07DD">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vertAlign w:val="superscript"/>
        </w:rPr>
        <w:t xml:space="preserve"> </w:t>
      </w:r>
      <w:r w:rsidRPr="004875D5">
        <w:rPr>
          <w:rFonts w:ascii="Times New Roman" w:hAnsi="Times New Roman" w:cs="Times New Roman"/>
          <w:sz w:val="24"/>
          <w:szCs w:val="24"/>
        </w:rPr>
        <w:t xml:space="preserve">Details of the current ERO Reliability Standard processes are available on the NERC website at </w:t>
      </w:r>
      <w:hyperlink r:id="rId2" w:history="1">
        <w:r w:rsidRPr="004875D5">
          <w:rPr>
            <w:rStyle w:val="Hyperlink"/>
            <w:sz w:val="24"/>
            <w:szCs w:val="24"/>
          </w:rPr>
          <w:t>http://www.nerc.com/FilingsOrders/us/RuleOfProcedureDL/Appendix_3A_StandardProcessesManual_20130626.pdf</w:t>
        </w:r>
      </w:hyperlink>
      <w:r w:rsidRPr="004875D5">
        <w:rPr>
          <w:rFonts w:ascii="Times New Roman" w:hAnsi="Times New Roman" w:cs="Times New Roman"/>
          <w:sz w:val="24"/>
          <w:szCs w:val="24"/>
        </w:rPr>
        <w:t>.</w:t>
      </w:r>
    </w:p>
  </w:footnote>
  <w:footnote w:id="11">
    <w:p w14:paraId="22C47167" w14:textId="77777777" w:rsidR="00E25351" w:rsidRPr="004875D5" w:rsidRDefault="00E25351" w:rsidP="00F46F6D">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Details of the current ERO Reliability Standard processes are available on the NERC website at </w:t>
      </w:r>
      <w:hyperlink r:id="rId3" w:history="1">
        <w:r w:rsidRPr="004875D5">
          <w:rPr>
            <w:rStyle w:val="Hyperlink"/>
            <w:sz w:val="24"/>
            <w:szCs w:val="24"/>
          </w:rPr>
          <w:t>http://www.nerc.com/FilingsOrders/us/RuleOfProcedureDL/Appendix_3A_StandardProcessesManual_20130626.pdf</w:t>
        </w:r>
      </w:hyperlink>
      <w:r w:rsidRPr="004875D5">
        <w:rPr>
          <w:rFonts w:ascii="Times New Roman" w:hAnsi="Times New Roman" w:cs="Times New Roman"/>
          <w:sz w:val="24"/>
          <w:szCs w:val="24"/>
        </w:rPr>
        <w:t xml:space="preserve">. </w:t>
      </w:r>
    </w:p>
  </w:footnote>
  <w:footnote w:id="12">
    <w:p w14:paraId="6B56FF50" w14:textId="457B7859" w:rsidR="00E25351" w:rsidRPr="004875D5" w:rsidRDefault="00E25351">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85 FR 44875 (July 24, 2020)</w:t>
      </w:r>
    </w:p>
  </w:footnote>
  <w:footnote w:id="13">
    <w:p w14:paraId="123EF8C8" w14:textId="59C2198E" w:rsidR="00E25351" w:rsidRPr="004875D5" w:rsidRDefault="00E25351">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85 FR </w:t>
      </w:r>
      <w:r w:rsidRPr="004875D5">
        <w:rPr>
          <w:rFonts w:ascii="Times New Roman" w:hAnsi="Times New Roman" w:cs="Times New Roman"/>
          <w:bCs/>
          <w:sz w:val="24"/>
          <w:szCs w:val="24"/>
        </w:rPr>
        <w:t>66542</w:t>
      </w:r>
      <w:r w:rsidRPr="004875D5">
        <w:rPr>
          <w:rFonts w:ascii="Times New Roman" w:hAnsi="Times New Roman" w:cs="Times New Roman"/>
          <w:sz w:val="24"/>
          <w:szCs w:val="24"/>
        </w:rPr>
        <w:t xml:space="preserve"> (October 20, 2020)</w:t>
      </w:r>
    </w:p>
  </w:footnote>
  <w:footnote w:id="14">
    <w:p w14:paraId="47BBB498" w14:textId="2CAA30B2" w:rsidR="00E25351" w:rsidRPr="002E30AE" w:rsidRDefault="00E25351" w:rsidP="00402EB9">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The OMB-app</w:t>
      </w:r>
      <w:r w:rsidRPr="002E30AE">
        <w:rPr>
          <w:rFonts w:ascii="Times New Roman" w:hAnsi="Times New Roman" w:cs="Times New Roman"/>
          <w:sz w:val="24"/>
          <w:szCs w:val="24"/>
        </w:rPr>
        <w:t xml:space="preserve">roved burden for FAC-002-2 of 399 responses does not include the responses for record retention as shown in Docket No. RD14-12-000.  The net reduction in burden of 146 responses for FAC-002-3 is being submitted in this supporting statement for OMB approval under Docket No. RD20-4-000 and reflects </w:t>
      </w:r>
    </w:p>
    <w:p w14:paraId="070C07D5" w14:textId="77777777" w:rsidR="00E25351" w:rsidRPr="002E30AE" w:rsidRDefault="00E25351" w:rsidP="00402EB9">
      <w:pPr>
        <w:pStyle w:val="FootnoteText"/>
        <w:numPr>
          <w:ilvl w:val="0"/>
          <w:numId w:val="18"/>
        </w:numPr>
        <w:ind w:left="1080"/>
        <w:rPr>
          <w:rFonts w:ascii="Times New Roman" w:hAnsi="Times New Roman" w:cs="Times New Roman"/>
          <w:sz w:val="24"/>
          <w:szCs w:val="24"/>
        </w:rPr>
      </w:pPr>
      <w:r w:rsidRPr="002E30AE">
        <w:rPr>
          <w:rFonts w:ascii="Times New Roman" w:hAnsi="Times New Roman" w:cs="Times New Roman"/>
          <w:sz w:val="24"/>
          <w:szCs w:val="24"/>
        </w:rPr>
        <w:t>an adjusted addition of 20 PCs and TPs for studies and evidence retention, which results in an increase of 40 responses; and</w:t>
      </w:r>
    </w:p>
    <w:p w14:paraId="3F5EE69B" w14:textId="7E43340D" w:rsidR="00E25351" w:rsidRPr="00402EB9" w:rsidRDefault="00E25351" w:rsidP="00402EB9">
      <w:pPr>
        <w:pStyle w:val="FootnoteText"/>
        <w:numPr>
          <w:ilvl w:val="0"/>
          <w:numId w:val="18"/>
        </w:numPr>
        <w:ind w:left="1080"/>
        <w:rPr>
          <w:rFonts w:ascii="Times New Roman" w:hAnsi="Times New Roman" w:cs="Times New Roman"/>
          <w:sz w:val="24"/>
          <w:szCs w:val="24"/>
        </w:rPr>
      </w:pPr>
      <w:r w:rsidRPr="002E30AE">
        <w:rPr>
          <w:rFonts w:ascii="Times New Roman" w:hAnsi="Times New Roman" w:cs="Times New Roman"/>
          <w:sz w:val="24"/>
          <w:szCs w:val="24"/>
        </w:rPr>
        <w:t>a program and adju</w:t>
      </w:r>
      <w:r w:rsidRPr="00402EB9">
        <w:rPr>
          <w:rFonts w:ascii="Times New Roman" w:hAnsi="Times New Roman" w:cs="Times New Roman"/>
          <w:sz w:val="24"/>
          <w:szCs w:val="24"/>
        </w:rPr>
        <w:t>sted reduction of 63 de-registered load-serving entities and 30 TOs, GOs, and DPs for coordination and evidence retention, which results in a decrease of 186 responses.</w:t>
      </w:r>
    </w:p>
  </w:footnote>
  <w:footnote w:id="15">
    <w:p w14:paraId="3DD25957" w14:textId="4DE25DC6" w:rsidR="00E25351" w:rsidRPr="00453CB6" w:rsidRDefault="00E25351" w:rsidP="00402EB9">
      <w:pPr>
        <w:pStyle w:val="FootnoteText"/>
        <w:rPr>
          <w:rFonts w:ascii="Times New Roman" w:hAnsi="Times New Roman" w:cs="Times New Roman"/>
          <w:sz w:val="24"/>
          <w:szCs w:val="24"/>
        </w:rPr>
      </w:pPr>
      <w:r w:rsidRPr="00402EB9">
        <w:rPr>
          <w:rStyle w:val="FootnoteReference"/>
          <w:rFonts w:ascii="Times New Roman" w:hAnsi="Times New Roman" w:cs="Times New Roman"/>
          <w:sz w:val="24"/>
          <w:szCs w:val="24"/>
        </w:rPr>
        <w:footnoteRef/>
      </w:r>
      <w:r w:rsidRPr="00402EB9">
        <w:rPr>
          <w:rFonts w:ascii="Times New Roman" w:hAnsi="Times New Roman" w:cs="Times New Roman"/>
          <w:sz w:val="24"/>
          <w:szCs w:val="24"/>
        </w:rPr>
        <w:t xml:space="preserve"> This is the</w:t>
      </w:r>
      <w:r w:rsidRPr="00453CB6">
        <w:rPr>
          <w:rFonts w:ascii="Times New Roman" w:hAnsi="Times New Roman" w:cs="Times New Roman"/>
          <w:sz w:val="24"/>
          <w:szCs w:val="24"/>
        </w:rPr>
        <w:t xml:space="preserve"> sum of the OMB-approved burden for FAC-001-2 of 337 responses plus the additional OMB-approved burden for FAC-001-3 of 161 responses. These burden estimates do not include the responses for record retention as shown in Docket No. RD14-12-000.  </w:t>
      </w:r>
    </w:p>
  </w:footnote>
  <w:footnote w:id="16">
    <w:p w14:paraId="49BA2736" w14:textId="3272594F" w:rsidR="00E25351" w:rsidRPr="00453CB6" w:rsidRDefault="00E25351" w:rsidP="00402EB9">
      <w:pPr>
        <w:pStyle w:val="FootnoteText"/>
        <w:rPr>
          <w:rFonts w:ascii="Times New Roman" w:hAnsi="Times New Roman" w:cs="Times New Roman"/>
          <w:sz w:val="24"/>
          <w:szCs w:val="24"/>
        </w:rPr>
      </w:pPr>
      <w:r w:rsidRPr="00453CB6">
        <w:rPr>
          <w:rStyle w:val="FootnoteReference"/>
          <w:rFonts w:ascii="Times New Roman" w:hAnsi="Times New Roman" w:cs="Times New Roman"/>
          <w:sz w:val="24"/>
          <w:szCs w:val="24"/>
        </w:rPr>
        <w:footnoteRef/>
      </w:r>
      <w:r w:rsidRPr="00453CB6">
        <w:rPr>
          <w:rFonts w:ascii="Times New Roman" w:hAnsi="Times New Roman" w:cs="Times New Roman"/>
          <w:sz w:val="24"/>
          <w:szCs w:val="24"/>
        </w:rPr>
        <w:t xml:space="preserve"> </w:t>
      </w:r>
      <w:r w:rsidRPr="008125CF">
        <w:rPr>
          <w:rFonts w:ascii="Times New Roman" w:hAnsi="Times New Roman" w:cs="Times New Roman"/>
          <w:sz w:val="24"/>
          <w:szCs w:val="24"/>
        </w:rPr>
        <w:t>The OMB-approved burden for FAC-010-3, FAC-011-3 and FAC-014-2 is a joint burden estimate of 470 responses as shown in the 2011 supporting statement for FERC-725D.  All standards within this collection are being fixed by making sure the evidence retention burden is included for all reliability standards within FERC-725D.</w:t>
      </w:r>
    </w:p>
    <w:p w14:paraId="057F1CD6" w14:textId="77777777" w:rsidR="00E25351" w:rsidRPr="008668DA" w:rsidRDefault="00E25351" w:rsidP="00402EB9">
      <w:pPr>
        <w:pStyle w:val="FootnoteText"/>
        <w:rPr>
          <w:rFonts w:ascii="Times New Roman" w:hAnsi="Times New Roman" w:cs="Times New Roman"/>
          <w:sz w:val="26"/>
          <w:szCs w:val="26"/>
        </w:rPr>
      </w:pPr>
    </w:p>
  </w:footnote>
  <w:footnote w:id="17">
    <w:p w14:paraId="4CBAD784" w14:textId="77777777" w:rsidR="00E25351" w:rsidRPr="004875D5" w:rsidRDefault="00E25351" w:rsidP="008A7D44">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vertAlign w:val="superscript"/>
        </w:rPr>
        <w:t xml:space="preserve"> </w:t>
      </w:r>
      <w:r w:rsidRPr="004875D5">
        <w:rPr>
          <w:rFonts w:ascii="Times New Roman" w:hAnsi="Times New Roman" w:cs="Times New Roman"/>
          <w:sz w:val="24"/>
          <w:szCs w:val="24"/>
        </w:rPr>
        <w:t xml:space="preserve">The adjustments, due to normal industry fluctuations, are based on figures in the NERC registry </w:t>
      </w:r>
      <w:r w:rsidRPr="004875D5">
        <w:rPr>
          <w:rFonts w:ascii="Times New Roman" w:hAnsi="Times New Roman" w:cs="Times New Roman"/>
          <w:iCs/>
          <w:sz w:val="24"/>
          <w:szCs w:val="24"/>
        </w:rPr>
        <w:t>as of April 10, 2020</w:t>
      </w:r>
      <w:r w:rsidRPr="004875D5">
        <w:rPr>
          <w:rFonts w:ascii="Times New Roman" w:hAnsi="Times New Roman" w:cs="Times New Roman"/>
          <w:sz w:val="24"/>
          <w:szCs w:val="24"/>
        </w:rPr>
        <w:t xml:space="preserve">. </w:t>
      </w:r>
    </w:p>
    <w:p w14:paraId="36EAB36D" w14:textId="77777777" w:rsidR="00E25351" w:rsidRPr="004875D5" w:rsidRDefault="00E25351" w:rsidP="008A7D44">
      <w:pPr>
        <w:pStyle w:val="FootnoteText"/>
        <w:ind w:firstLine="720"/>
        <w:rPr>
          <w:rFonts w:ascii="Times New Roman" w:hAnsi="Times New Roman" w:cs="Times New Roman"/>
          <w:sz w:val="24"/>
          <w:szCs w:val="24"/>
        </w:rPr>
      </w:pPr>
    </w:p>
  </w:footnote>
  <w:footnote w:id="18">
    <w:p w14:paraId="64F23995" w14:textId="77777777" w:rsidR="00E25351" w:rsidRPr="00402EB9" w:rsidRDefault="00E25351" w:rsidP="008A7D44">
      <w:pPr>
        <w:pStyle w:val="FootnoteText"/>
        <w:rPr>
          <w:rFonts w:ascii="Times New Roman" w:hAnsi="Times New Roman" w:cs="Times New Roman"/>
          <w:sz w:val="24"/>
          <w:szCs w:val="24"/>
        </w:rPr>
      </w:pPr>
      <w:r w:rsidRPr="00402EB9">
        <w:rPr>
          <w:rStyle w:val="FootnoteReference"/>
          <w:rFonts w:ascii="Times New Roman" w:hAnsi="Times New Roman" w:cs="Times New Roman"/>
          <w:sz w:val="24"/>
          <w:szCs w:val="24"/>
        </w:rPr>
        <w:footnoteRef/>
      </w:r>
      <w:r w:rsidRPr="00402EB9">
        <w:rPr>
          <w:rFonts w:ascii="Times New Roman" w:hAnsi="Times New Roman" w:cs="Times New Roman"/>
          <w:sz w:val="24"/>
          <w:szCs w:val="24"/>
        </w:rPr>
        <w:t xml:space="preserve"> The reduction of 93 respondents and corresponding burden hours include 63 LSEs that were de-registered (program decrease of 1,008 hrs.) and an adjustment decrease of 30 respondents (480 hrs.) due to normal industry fluctuations.</w:t>
      </w:r>
    </w:p>
    <w:p w14:paraId="4F4F5A38" w14:textId="5F3C4C9B" w:rsidR="00E25351" w:rsidRPr="00402EB9" w:rsidRDefault="00E25351" w:rsidP="004875D5">
      <w:pPr>
        <w:pStyle w:val="FootnoteText"/>
        <w:rPr>
          <w:rFonts w:ascii="Times New Roman" w:hAnsi="Times New Roman" w:cs="Times New Roman"/>
          <w:sz w:val="24"/>
          <w:szCs w:val="24"/>
        </w:rPr>
      </w:pPr>
      <w:r w:rsidRPr="00402EB9">
        <w:rPr>
          <w:rFonts w:ascii="Times New Roman" w:hAnsi="Times New Roman" w:cs="Times New Roman"/>
          <w:sz w:val="24"/>
          <w:szCs w:val="24"/>
        </w:rPr>
        <w:t>Out of the total decrease of 1,488 hours, the program decrease of 1,008 hours [corresponding decrease of 63 responses] is due to Docket No. RD20-4-000.  The reduction of 480 hours is due to normal adjustments.</w:t>
      </w:r>
    </w:p>
  </w:footnote>
  <w:footnote w:id="19">
    <w:p w14:paraId="1A5D25A3" w14:textId="29929164" w:rsidR="00E25351" w:rsidRPr="008668DA" w:rsidRDefault="00E25351" w:rsidP="00402EB9">
      <w:pPr>
        <w:pStyle w:val="FootnoteText"/>
        <w:rPr>
          <w:rFonts w:ascii="Times New Roman" w:hAnsi="Times New Roman" w:cs="Times New Roman"/>
          <w:sz w:val="26"/>
          <w:szCs w:val="26"/>
        </w:rPr>
      </w:pPr>
      <w:r w:rsidRPr="00402EB9">
        <w:rPr>
          <w:rStyle w:val="FootnoteReference"/>
          <w:rFonts w:ascii="Times New Roman" w:hAnsi="Times New Roman" w:cs="Times New Roman"/>
          <w:sz w:val="24"/>
          <w:szCs w:val="24"/>
        </w:rPr>
        <w:footnoteRef/>
      </w:r>
      <w:r w:rsidRPr="00402EB9">
        <w:rPr>
          <w:rFonts w:ascii="Times New Roman" w:hAnsi="Times New Roman" w:cs="Times New Roman"/>
          <w:sz w:val="24"/>
          <w:szCs w:val="24"/>
        </w:rPr>
        <w:t xml:space="preserve"> Although 1,232 entities are registered as TO, DP, or GO, we expect at the most 123 entities (ten percent) will seek to interconnect and go through the study phase that may require coordination in any given year.</w:t>
      </w:r>
    </w:p>
  </w:footnote>
  <w:footnote w:id="20">
    <w:p w14:paraId="027994C4" w14:textId="1BCA74AE" w:rsidR="00E25351" w:rsidRPr="00402EB9" w:rsidRDefault="00E25351" w:rsidP="008A7D44">
      <w:pPr>
        <w:pStyle w:val="FootnoteText"/>
        <w:rPr>
          <w:rFonts w:ascii="Times New Roman" w:hAnsi="Times New Roman" w:cs="Times New Roman"/>
          <w:sz w:val="24"/>
          <w:szCs w:val="24"/>
        </w:rPr>
      </w:pPr>
      <w:r w:rsidRPr="00402EB9">
        <w:rPr>
          <w:rStyle w:val="FootnoteReference"/>
          <w:rFonts w:ascii="Times New Roman" w:hAnsi="Times New Roman" w:cs="Times New Roman"/>
          <w:sz w:val="24"/>
          <w:szCs w:val="24"/>
        </w:rPr>
        <w:footnoteRef/>
      </w:r>
      <w:r w:rsidRPr="00402EB9">
        <w:rPr>
          <w:rFonts w:ascii="Times New Roman" w:hAnsi="Times New Roman" w:cs="Times New Roman"/>
          <w:sz w:val="24"/>
          <w:szCs w:val="24"/>
        </w:rPr>
        <w:t xml:space="preserve"> For </w:t>
      </w:r>
      <w:r>
        <w:rPr>
          <w:rFonts w:ascii="Times New Roman" w:hAnsi="Times New Roman" w:cs="Times New Roman"/>
          <w:sz w:val="24"/>
          <w:szCs w:val="24"/>
        </w:rPr>
        <w:t>Evidence</w:t>
      </w:r>
      <w:r w:rsidRPr="00402EB9">
        <w:rPr>
          <w:rFonts w:ascii="Times New Roman" w:hAnsi="Times New Roman" w:cs="Times New Roman"/>
          <w:sz w:val="24"/>
          <w:szCs w:val="24"/>
        </w:rPr>
        <w:t xml:space="preserve"> retention-The reduction of 93 respondents and corresponding burden hours include 63 LSEs that were de-registered (program decrease of 63 hrs., due to Docket No. RD20-4-000) and an adjustment decrease of 30 respondents (30 hrs.) due to normal industry fluctuations- this results in doubling of  decrease in 93 respondents and increase of 20 additional respondents.</w:t>
      </w:r>
    </w:p>
    <w:p w14:paraId="0D4CDFAC" w14:textId="77777777" w:rsidR="00E25351" w:rsidRPr="004875D5" w:rsidRDefault="00E25351" w:rsidP="008A7D44">
      <w:pPr>
        <w:pStyle w:val="FootnoteText"/>
        <w:ind w:firstLine="720"/>
        <w:rPr>
          <w:rFonts w:ascii="Times New Roman" w:hAnsi="Times New Roman" w:cs="Times New Roman"/>
          <w:sz w:val="24"/>
          <w:szCs w:val="24"/>
        </w:rPr>
      </w:pPr>
    </w:p>
  </w:footnote>
  <w:footnote w:id="21">
    <w:p w14:paraId="220B2D24" w14:textId="77777777" w:rsidR="00E25351" w:rsidRPr="004875D5" w:rsidRDefault="00E25351" w:rsidP="008A7D44">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The estimates for cost per hour are derived as follows:</w:t>
      </w:r>
    </w:p>
    <w:p w14:paraId="21CF8E54" w14:textId="77777777" w:rsidR="00E25351" w:rsidRPr="004875D5" w:rsidRDefault="00E25351" w:rsidP="008A7D44">
      <w:pPr>
        <w:pStyle w:val="ListParagraph"/>
        <w:numPr>
          <w:ilvl w:val="0"/>
          <w:numId w:val="16"/>
        </w:numPr>
        <w:spacing w:after="0" w:line="240" w:lineRule="auto"/>
        <w:ind w:left="720"/>
        <w:rPr>
          <w:rStyle w:val="Hyperlink"/>
          <w:sz w:val="24"/>
          <w:szCs w:val="24"/>
        </w:rPr>
      </w:pPr>
      <w:r w:rsidRPr="004875D5">
        <w:rPr>
          <w:rFonts w:ascii="Times New Roman" w:hAnsi="Times New Roman" w:cs="Times New Roman"/>
          <w:sz w:val="24"/>
          <w:szCs w:val="24"/>
        </w:rPr>
        <w:t xml:space="preserve">$83.67/hour, the average of the salary plus benefits for a manager ($97.15/hour) and an electrical engineer ($70.19/hour), from Bureau of Labor and Statistics at </w:t>
      </w:r>
      <w:hyperlink r:id="rId4" w:tooltip="blocked::http://bls.gov/oes/current/naics3_221000.htm" w:history="1">
        <w:r w:rsidRPr="004875D5">
          <w:rPr>
            <w:rStyle w:val="Hyperlink"/>
            <w:sz w:val="24"/>
            <w:szCs w:val="24"/>
          </w:rPr>
          <w:t>http://bls.gov/oes/current/naics3_221000.htm</w:t>
        </w:r>
      </w:hyperlink>
      <w:r w:rsidRPr="004875D5">
        <w:rPr>
          <w:rStyle w:val="Hyperlink"/>
          <w:sz w:val="24"/>
          <w:szCs w:val="24"/>
        </w:rPr>
        <w:t>, as of June 2020</w:t>
      </w:r>
    </w:p>
    <w:p w14:paraId="3293F499" w14:textId="7DD0664E" w:rsidR="00E25351" w:rsidRPr="004875D5" w:rsidRDefault="00E25351" w:rsidP="008A7D44">
      <w:pPr>
        <w:pStyle w:val="ListParagraph"/>
        <w:numPr>
          <w:ilvl w:val="0"/>
          <w:numId w:val="16"/>
        </w:numPr>
        <w:spacing w:after="0" w:line="240" w:lineRule="auto"/>
        <w:ind w:left="720"/>
        <w:rPr>
          <w:rFonts w:ascii="Times New Roman" w:hAnsi="Times New Roman" w:cs="Times New Roman"/>
          <w:sz w:val="24"/>
          <w:szCs w:val="24"/>
        </w:rPr>
      </w:pPr>
      <w:r w:rsidRPr="004875D5">
        <w:rPr>
          <w:rFonts w:ascii="Times New Roman" w:hAnsi="Times New Roman" w:cs="Times New Roman"/>
          <w:sz w:val="24"/>
          <w:szCs w:val="24"/>
        </w:rPr>
        <w:t xml:space="preserve">Record and Information Clerks(43-4199): $41.03/hour, based on a Commission staff study of </w:t>
      </w:r>
      <w:r>
        <w:rPr>
          <w:rFonts w:ascii="Times New Roman" w:hAnsi="Times New Roman" w:cs="Times New Roman"/>
          <w:sz w:val="24"/>
          <w:szCs w:val="24"/>
        </w:rPr>
        <w:t>evidence</w:t>
      </w:r>
      <w:r w:rsidRPr="004875D5">
        <w:rPr>
          <w:rFonts w:ascii="Times New Roman" w:hAnsi="Times New Roman" w:cs="Times New Roman"/>
          <w:sz w:val="24"/>
          <w:szCs w:val="24"/>
        </w:rPr>
        <w:t xml:space="preserve"> retention burden cost. </w:t>
      </w:r>
    </w:p>
  </w:footnote>
  <w:footnote w:id="22">
    <w:p w14:paraId="711B6161" w14:textId="0398AF4D" w:rsidR="00E25351" w:rsidRPr="00210B45" w:rsidRDefault="00E25351" w:rsidP="008A7D44">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The average burden hours per response related to FAC-001-3 was listed as 2 hours in the RM16-13 Final Rule</w:t>
      </w:r>
      <w:r w:rsidRPr="00210B45">
        <w:rPr>
          <w:rFonts w:ascii="Times New Roman" w:hAnsi="Times New Roman" w:cs="Times New Roman"/>
          <w:sz w:val="24"/>
          <w:szCs w:val="24"/>
        </w:rPr>
        <w:t>, resulting in an annual burden related to FAC-001-3 of 322 hours (from 161 hours in the issued Final Rule).</w:t>
      </w:r>
    </w:p>
  </w:footnote>
  <w:footnote w:id="23">
    <w:p w14:paraId="4273B13C" w14:textId="2AB80A50" w:rsidR="00E25351" w:rsidRPr="00210B45" w:rsidRDefault="00E25351" w:rsidP="008A7D44">
      <w:pPr>
        <w:pStyle w:val="FootnoteText"/>
        <w:rPr>
          <w:rFonts w:ascii="Times New Roman" w:hAnsi="Times New Roman" w:cs="Times New Roman"/>
          <w:sz w:val="24"/>
          <w:szCs w:val="24"/>
        </w:rPr>
      </w:pPr>
      <w:r w:rsidRPr="00210B45">
        <w:rPr>
          <w:rStyle w:val="FootnoteReference"/>
          <w:rFonts w:ascii="Times New Roman" w:hAnsi="Times New Roman" w:cs="Times New Roman"/>
          <w:sz w:val="24"/>
          <w:szCs w:val="24"/>
        </w:rPr>
        <w:footnoteRef/>
      </w:r>
      <w:r w:rsidRPr="00210B45">
        <w:rPr>
          <w:rFonts w:ascii="Times New Roman" w:hAnsi="Times New Roman" w:cs="Times New Roman"/>
          <w:sz w:val="24"/>
          <w:szCs w:val="24"/>
          <w:vertAlign w:val="superscript"/>
        </w:rPr>
        <w:t xml:space="preserve"> </w:t>
      </w:r>
      <w:r w:rsidRPr="00210B45">
        <w:rPr>
          <w:rFonts w:ascii="Times New Roman" w:hAnsi="Times New Roman" w:cs="Times New Roman"/>
          <w:sz w:val="24"/>
          <w:szCs w:val="24"/>
        </w:rPr>
        <w:t xml:space="preserve">The previous burden in the 60-day notice published on 11/5/2020 was modified to reflect the net changes in burden mention in RD20-4 and incorporated previously omitted </w:t>
      </w:r>
      <w:r>
        <w:rPr>
          <w:rFonts w:ascii="Times New Roman" w:hAnsi="Times New Roman" w:cs="Times New Roman"/>
          <w:sz w:val="24"/>
          <w:szCs w:val="24"/>
        </w:rPr>
        <w:t>evidence</w:t>
      </w:r>
      <w:r w:rsidRPr="00210B45">
        <w:rPr>
          <w:rFonts w:ascii="Times New Roman" w:hAnsi="Times New Roman" w:cs="Times New Roman"/>
          <w:sz w:val="24"/>
          <w:szCs w:val="24"/>
        </w:rPr>
        <w:t xml:space="preserve"> retention burden.</w:t>
      </w:r>
    </w:p>
  </w:footnote>
  <w:footnote w:id="24">
    <w:p w14:paraId="6B633352" w14:textId="77777777" w:rsidR="00E25351" w:rsidRPr="004875D5" w:rsidRDefault="00E25351" w:rsidP="008A7D44">
      <w:pPr>
        <w:pStyle w:val="FootnoteText"/>
        <w:rPr>
          <w:rFonts w:ascii="Times New Roman" w:hAnsi="Times New Roman" w:cs="Times New Roman"/>
          <w:sz w:val="24"/>
          <w:szCs w:val="24"/>
        </w:rPr>
      </w:pPr>
      <w:r w:rsidRPr="00210B45">
        <w:rPr>
          <w:rStyle w:val="FootnoteReference"/>
          <w:rFonts w:ascii="Times New Roman" w:hAnsi="Times New Roman" w:cs="Times New Roman"/>
          <w:sz w:val="24"/>
          <w:szCs w:val="24"/>
        </w:rPr>
        <w:footnoteRef/>
      </w:r>
      <w:r w:rsidRPr="00210B45">
        <w:rPr>
          <w:rFonts w:ascii="Times New Roman" w:hAnsi="Times New Roman" w:cs="Times New Roman"/>
          <w:sz w:val="24"/>
          <w:szCs w:val="24"/>
          <w:vertAlign w:val="superscript"/>
        </w:rPr>
        <w:t xml:space="preserve"> </w:t>
      </w:r>
      <w:r w:rsidRPr="00210B45">
        <w:rPr>
          <w:rFonts w:ascii="Times New Roman" w:hAnsi="Times New Roman" w:cs="Times New Roman"/>
          <w:sz w:val="24"/>
          <w:szCs w:val="24"/>
        </w:rPr>
        <w:t>The total number of Planning Authorities, Reliab</w:t>
      </w:r>
      <w:r w:rsidRPr="004875D5">
        <w:rPr>
          <w:rFonts w:ascii="Times New Roman" w:hAnsi="Times New Roman" w:cs="Times New Roman"/>
          <w:sz w:val="24"/>
          <w:szCs w:val="24"/>
        </w:rPr>
        <w:t xml:space="preserve">ility Coordinators, Transmission Planners and Transmission Operators equals 470 (taken from the October 2020, version of NERC’s compliance registry).  </w:t>
      </w:r>
    </w:p>
  </w:footnote>
  <w:footnote w:id="25">
    <w:p w14:paraId="57B4B98A" w14:textId="73E11BE9" w:rsidR="00E25351" w:rsidRPr="004875D5" w:rsidRDefault="00E25351" w:rsidP="008A7D44">
      <w:pPr>
        <w:pStyle w:val="FootnoteText"/>
        <w:rPr>
          <w:rFonts w:ascii="Times New Roman" w:hAnsi="Times New Roman" w:cs="Times New Roman"/>
          <w:sz w:val="24"/>
          <w:szCs w:val="24"/>
          <w:vertAlign w:val="superscript"/>
        </w:rPr>
      </w:pPr>
      <w:r w:rsidRPr="00F84EB3">
        <w:rPr>
          <w:rStyle w:val="FootnoteReference"/>
          <w:rFonts w:ascii="Times New Roman" w:hAnsi="Times New Roman" w:cs="Times New Roman"/>
          <w:sz w:val="24"/>
          <w:szCs w:val="24"/>
        </w:rPr>
        <w:footnoteRef/>
      </w:r>
      <w:r w:rsidRPr="00F84EB3">
        <w:rPr>
          <w:rFonts w:ascii="Times New Roman" w:hAnsi="Times New Roman" w:cs="Times New Roman"/>
          <w:sz w:val="24"/>
          <w:szCs w:val="24"/>
          <w:vertAlign w:val="superscript"/>
        </w:rPr>
        <w:t xml:space="preserve">  </w:t>
      </w:r>
      <w:bookmarkStart w:id="13" w:name="_Hlk62821186"/>
      <w:r w:rsidRPr="00F84EB3">
        <w:rPr>
          <w:rFonts w:ascii="Times New Roman" w:hAnsi="Times New Roman" w:cs="Times New Roman"/>
          <w:sz w:val="24"/>
          <w:szCs w:val="24"/>
        </w:rPr>
        <w:t>This deducts net proposed changes (-146 responses</w:t>
      </w:r>
      <w:r>
        <w:rPr>
          <w:rFonts w:ascii="Times New Roman" w:hAnsi="Times New Roman" w:cs="Times New Roman"/>
          <w:sz w:val="24"/>
          <w:szCs w:val="24"/>
        </w:rPr>
        <w:t xml:space="preserve"> and</w:t>
      </w:r>
      <w:r w:rsidRPr="00F84EB3">
        <w:rPr>
          <w:rFonts w:ascii="Times New Roman" w:hAnsi="Times New Roman" w:cs="Times New Roman"/>
          <w:sz w:val="24"/>
          <w:szCs w:val="24"/>
        </w:rPr>
        <w:t xml:space="preserve">-921 hours) </w:t>
      </w:r>
      <w:bookmarkEnd w:id="13"/>
      <w:r>
        <w:rPr>
          <w:rFonts w:ascii="Times New Roman" w:hAnsi="Times New Roman" w:cs="Times New Roman"/>
          <w:sz w:val="24"/>
          <w:szCs w:val="24"/>
        </w:rPr>
        <w:t xml:space="preserve">with totals reflecting reporting and recordkeeping requirements.  </w:t>
      </w:r>
      <w:r w:rsidRPr="00F84EB3">
        <w:rPr>
          <w:rFonts w:ascii="Times New Roman" w:hAnsi="Times New Roman" w:cs="Times New Roman"/>
          <w:sz w:val="24"/>
          <w:szCs w:val="24"/>
        </w:rPr>
        <w:t xml:space="preserve">The retention totals and the net changes still reflect an increase because the retention totals were </w:t>
      </w:r>
      <w:r w:rsidR="00F84EB3">
        <w:rPr>
          <w:rFonts w:ascii="Times New Roman" w:hAnsi="Times New Roman" w:cs="Times New Roman"/>
          <w:sz w:val="24"/>
          <w:szCs w:val="24"/>
        </w:rPr>
        <w:t xml:space="preserve">inadvertently </w:t>
      </w:r>
      <w:r w:rsidRPr="00F84EB3">
        <w:rPr>
          <w:rFonts w:ascii="Times New Roman" w:hAnsi="Times New Roman" w:cs="Times New Roman"/>
          <w:sz w:val="24"/>
          <w:szCs w:val="24"/>
        </w:rPr>
        <w:t>omitted in the past.  So it now states a more accurate estimate</w:t>
      </w:r>
      <w:r w:rsidRPr="00F54358">
        <w:rPr>
          <w:rFonts w:ascii="Times New Roman" w:hAnsi="Times New Roman" w:cs="Times New Roman"/>
          <w:sz w:val="24"/>
          <w:szCs w:val="24"/>
        </w:rPr>
        <w:t xml:space="preserve"> </w:t>
      </w:r>
      <w:r w:rsidRPr="00F84EB3">
        <w:rPr>
          <w:rFonts w:ascii="Times New Roman" w:hAnsi="Times New Roman" w:cs="Times New Roman"/>
          <w:sz w:val="24"/>
          <w:szCs w:val="24"/>
        </w:rPr>
        <w:t>(</w:t>
      </w:r>
      <w:r>
        <w:rPr>
          <w:rFonts w:ascii="Times New Roman" w:hAnsi="Times New Roman" w:cs="Times New Roman"/>
          <w:sz w:val="24"/>
          <w:szCs w:val="24"/>
        </w:rPr>
        <w:t xml:space="preserve">with </w:t>
      </w:r>
      <w:r w:rsidRPr="00F84EB3">
        <w:rPr>
          <w:rFonts w:ascii="Times New Roman" w:hAnsi="Times New Roman" w:cs="Times New Roman"/>
          <w:sz w:val="24"/>
          <w:szCs w:val="24"/>
        </w:rPr>
        <w:t>calculations reflected in supplementary documents)</w:t>
      </w:r>
      <w:r>
        <w:rPr>
          <w:rFonts w:ascii="Times New Roman" w:hAnsi="Times New Roman" w:cs="Times New Roman"/>
          <w:sz w:val="24"/>
          <w:szCs w:val="24"/>
        </w:rPr>
        <w:t>.</w:t>
      </w:r>
    </w:p>
  </w:footnote>
  <w:footnote w:id="26">
    <w:p w14:paraId="68EAF243" w14:textId="13FFD71C" w:rsidR="00E25351" w:rsidRPr="00210B45" w:rsidRDefault="00E25351" w:rsidP="00EE07DD">
      <w:pPr>
        <w:pStyle w:val="FootnoteText"/>
        <w:rPr>
          <w:rFonts w:ascii="Times New Roman" w:hAnsi="Times New Roman" w:cs="Times New Roman"/>
          <w:sz w:val="24"/>
          <w:szCs w:val="24"/>
        </w:rPr>
      </w:pPr>
      <w:r w:rsidRPr="00210B45">
        <w:rPr>
          <w:rStyle w:val="FootnoteReference"/>
          <w:rFonts w:ascii="Times New Roman" w:hAnsi="Times New Roman" w:cs="Times New Roman"/>
          <w:sz w:val="24"/>
          <w:szCs w:val="24"/>
        </w:rPr>
        <w:footnoteRef/>
      </w:r>
      <w:r w:rsidRPr="00210B45">
        <w:rPr>
          <w:rFonts w:ascii="Times New Roman" w:hAnsi="Times New Roman" w:cs="Times New Roman"/>
          <w:sz w:val="24"/>
          <w:szCs w:val="24"/>
        </w:rPr>
        <w:t xml:space="preserve"> Based upon FERC’s 2020 FTE average salary plus benefits ($172,329)</w:t>
      </w:r>
    </w:p>
  </w:footnote>
  <w:footnote w:id="27">
    <w:p w14:paraId="416A5633" w14:textId="59827662" w:rsidR="00E25351" w:rsidRPr="008668DA" w:rsidRDefault="00E25351" w:rsidP="004875D5">
      <w:pPr>
        <w:pStyle w:val="FootnoteText"/>
        <w:rPr>
          <w:rFonts w:ascii="Times New Roman" w:hAnsi="Times New Roman" w:cs="Times New Roman"/>
          <w:sz w:val="26"/>
          <w:szCs w:val="26"/>
        </w:rPr>
      </w:pPr>
      <w:r w:rsidRPr="008668DA">
        <w:rPr>
          <w:rStyle w:val="FootnoteReference"/>
          <w:rFonts w:ascii="Times New Roman" w:hAnsi="Times New Roman" w:cs="Times New Roman"/>
          <w:sz w:val="26"/>
          <w:szCs w:val="26"/>
        </w:rPr>
        <w:footnoteRef/>
      </w:r>
      <w:r w:rsidRPr="008668DA">
        <w:rPr>
          <w:rFonts w:ascii="Times New Roman" w:hAnsi="Times New Roman" w:cs="Times New Roman"/>
          <w:sz w:val="26"/>
          <w:szCs w:val="26"/>
        </w:rPr>
        <w:t xml:space="preserve"> This is the sum of the OMB-approved burden for FAC-001-2 of 337 responses plus the additional OMB-approved burden for FAC-001-3 of 161 responses. These burden estimates do not include the responses for </w:t>
      </w:r>
      <w:r>
        <w:rPr>
          <w:rFonts w:ascii="Times New Roman" w:hAnsi="Times New Roman" w:cs="Times New Roman"/>
          <w:sz w:val="26"/>
          <w:szCs w:val="26"/>
        </w:rPr>
        <w:t xml:space="preserve">evidence </w:t>
      </w:r>
      <w:r w:rsidRPr="008668DA">
        <w:rPr>
          <w:rFonts w:ascii="Times New Roman" w:hAnsi="Times New Roman" w:cs="Times New Roman"/>
          <w:sz w:val="26"/>
          <w:szCs w:val="26"/>
        </w:rPr>
        <w:t xml:space="preserve">retention as shown in Docket No. RD14-12-000.  </w:t>
      </w:r>
    </w:p>
  </w:footnote>
  <w:footnote w:id="28">
    <w:p w14:paraId="2779B3E7" w14:textId="4A3F8B86" w:rsidR="00E25351" w:rsidRPr="008668DA" w:rsidRDefault="00E25351" w:rsidP="004875D5">
      <w:pPr>
        <w:pStyle w:val="FootnoteText"/>
        <w:rPr>
          <w:rFonts w:ascii="Times New Roman" w:hAnsi="Times New Roman" w:cs="Times New Roman"/>
          <w:sz w:val="26"/>
          <w:szCs w:val="26"/>
        </w:rPr>
      </w:pPr>
      <w:r w:rsidRPr="008668DA">
        <w:rPr>
          <w:rStyle w:val="FootnoteReference"/>
          <w:rFonts w:ascii="Times New Roman" w:hAnsi="Times New Roman" w:cs="Times New Roman"/>
          <w:sz w:val="26"/>
          <w:szCs w:val="26"/>
        </w:rPr>
        <w:footnoteRef/>
      </w:r>
      <w:r w:rsidRPr="008668DA">
        <w:rPr>
          <w:rFonts w:ascii="Times New Roman" w:hAnsi="Times New Roman" w:cs="Times New Roman"/>
          <w:sz w:val="26"/>
          <w:szCs w:val="26"/>
        </w:rPr>
        <w:t xml:space="preserve"> </w:t>
      </w:r>
      <w:bookmarkStart w:id="14" w:name="_Hlk63266595"/>
      <w:r w:rsidRPr="008668DA">
        <w:rPr>
          <w:rFonts w:ascii="Times New Roman" w:hAnsi="Times New Roman" w:cs="Times New Roman"/>
          <w:sz w:val="26"/>
          <w:szCs w:val="26"/>
        </w:rPr>
        <w:t>The OMB-approved burden for FAC-010-3, FAC-011-3 and FAC-014-2 is a joint burden estimate of 470 responses as shown in the 2011 supporting statement for FERC-725D</w:t>
      </w:r>
      <w:r>
        <w:rPr>
          <w:rFonts w:ascii="Times New Roman" w:hAnsi="Times New Roman" w:cs="Times New Roman"/>
          <w:sz w:val="26"/>
          <w:szCs w:val="26"/>
        </w:rPr>
        <w:t>.  All standards within this collection are being fixed by making sure the evidence retention burden is included for all reliability standards within FERC-725D</w:t>
      </w:r>
      <w:r w:rsidRPr="008668DA">
        <w:rPr>
          <w:rFonts w:ascii="Times New Roman" w:hAnsi="Times New Roman" w:cs="Times New Roman"/>
          <w:sz w:val="26"/>
          <w:szCs w:val="26"/>
        </w:rPr>
        <w:t>.</w:t>
      </w:r>
      <w:bookmarkEnd w:id="14"/>
    </w:p>
    <w:p w14:paraId="02F77013" w14:textId="77777777" w:rsidR="00E25351" w:rsidRPr="008668DA" w:rsidRDefault="00E25351" w:rsidP="003A4EBE">
      <w:pPr>
        <w:pStyle w:val="FootnoteText"/>
        <w:rPr>
          <w:rFonts w:ascii="Times New Roman" w:hAnsi="Times New Roman" w:cs="Times New Roman"/>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3BD6" w14:textId="77777777" w:rsidR="009B3BDC" w:rsidRDefault="009B3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F8DE" w14:textId="6C9266C4" w:rsidR="00E25351" w:rsidRDefault="00E25351">
    <w:pPr>
      <w:pStyle w:val="Header"/>
      <w:rPr>
        <w:rFonts w:ascii="Times New Roman" w:hAnsi="Times New Roman" w:cs="Times New Roman"/>
        <w:sz w:val="24"/>
        <w:szCs w:val="24"/>
      </w:rPr>
    </w:pPr>
    <w:r w:rsidRPr="00AE57E6">
      <w:rPr>
        <w:rFonts w:ascii="Times New Roman" w:hAnsi="Times New Roman" w:cs="Times New Roman"/>
        <w:sz w:val="24"/>
        <w:szCs w:val="24"/>
      </w:rPr>
      <w:t>FERC-</w:t>
    </w:r>
    <w:r>
      <w:rPr>
        <w:rFonts w:ascii="Times New Roman" w:hAnsi="Times New Roman" w:cs="Times New Roman"/>
        <w:sz w:val="24"/>
        <w:szCs w:val="24"/>
      </w:rPr>
      <w:t>725D (OMB Control No. 1902-0247)</w:t>
    </w:r>
  </w:p>
  <w:p w14:paraId="3E7FDE0C" w14:textId="45502C71" w:rsidR="00E25351" w:rsidRPr="00AE57E6" w:rsidRDefault="00E25351">
    <w:pPr>
      <w:pStyle w:val="Header"/>
      <w:rPr>
        <w:rFonts w:ascii="Times New Roman" w:hAnsi="Times New Roman" w:cs="Times New Roman"/>
        <w:sz w:val="24"/>
        <w:szCs w:val="24"/>
      </w:rPr>
    </w:pPr>
    <w:r>
      <w:rPr>
        <w:rFonts w:ascii="Times New Roman" w:hAnsi="Times New Roman" w:cs="Times New Roman"/>
        <w:sz w:val="24"/>
        <w:szCs w:val="24"/>
      </w:rPr>
      <w:t xml:space="preserve">Docket No. IC21-3-000 and </w:t>
    </w:r>
    <w:r w:rsidRPr="004A333D">
      <w:rPr>
        <w:rFonts w:ascii="Times New Roman" w:hAnsi="Times New Roman" w:cs="Times New Roman"/>
        <w:sz w:val="24"/>
        <w:szCs w:val="24"/>
      </w:rPr>
      <w:t>D</w:t>
    </w:r>
    <w:r w:rsidRPr="00AE57E6">
      <w:rPr>
        <w:rFonts w:ascii="Times New Roman" w:hAnsi="Times New Roman" w:cs="Times New Roman"/>
        <w:sz w:val="24"/>
        <w:szCs w:val="24"/>
      </w:rPr>
      <w:t>ocket No. RD20-4</w:t>
    </w:r>
    <w:r>
      <w:rPr>
        <w:rFonts w:ascii="Times New Roman" w:hAnsi="Times New Roman" w:cs="Times New Roman"/>
        <w:sz w:val="24"/>
        <w:szCs w:val="24"/>
      </w:rPr>
      <w:t>-00</w:t>
    </w:r>
    <w:r w:rsidRPr="00AE57E6">
      <w:rPr>
        <w:rFonts w:ascii="Times New Roman" w:hAnsi="Times New Roman" w:cs="Times New Roman"/>
        <w:sz w:val="24"/>
        <w:szCs w:val="24"/>
      </w:rPr>
      <w:t>0</w:t>
    </w:r>
    <w:r>
      <w:rPr>
        <w:rFonts w:ascii="Times New Roman" w:hAnsi="Times New Roman" w:cs="Times New Roman"/>
        <w:sz w:val="24"/>
        <w:szCs w:val="24"/>
      </w:rPr>
      <w:t xml:space="preserve"> </w:t>
    </w:r>
    <w:r w:rsidRPr="00AE57E6">
      <w:rPr>
        <w:rFonts w:ascii="Times New Roman" w:hAnsi="Times New Roman" w:cs="Times New Roman"/>
        <w:sz w:val="24"/>
        <w:szCs w:val="24"/>
      </w:rPr>
      <w:t xml:space="preserve">Delegated </w:t>
    </w:r>
    <w:r w:rsidRPr="004A333D">
      <w:rPr>
        <w:rFonts w:ascii="Times New Roman" w:hAnsi="Times New Roman" w:cs="Times New Roman"/>
        <w:sz w:val="24"/>
        <w:szCs w:val="24"/>
      </w:rPr>
      <w:t>Letter Order (issued 10/30/2020)</w:t>
    </w:r>
    <w:r>
      <w:rPr>
        <w:rFonts w:ascii="Times New Roman" w:hAnsi="Times New Roman" w:cs="Times New Roman"/>
        <w:sz w:val="24"/>
        <w:szCs w:val="24"/>
      </w:rPr>
      <w:t>]</w:t>
    </w:r>
    <w:r w:rsidRPr="004A333D">
      <w:rPr>
        <w:rFonts w:ascii="Times New Roman" w:hAnsi="Times New Roman" w:cs="Times New Roman"/>
        <w:sz w:val="24"/>
        <w:szCs w:val="24"/>
      </w:rPr>
      <w:t xml:space="preserve"> </w:t>
    </w:r>
  </w:p>
  <w:p w14:paraId="364ABE3A" w14:textId="77777777" w:rsidR="00E25351" w:rsidRDefault="00E253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BC346" w14:textId="77777777" w:rsidR="009B3BDC" w:rsidRDefault="009B3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02CB"/>
    <w:multiLevelType w:val="hybridMultilevel"/>
    <w:tmpl w:val="CB24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82BCF"/>
    <w:multiLevelType w:val="hybridMultilevel"/>
    <w:tmpl w:val="B258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B5E6C"/>
    <w:multiLevelType w:val="hybridMultilevel"/>
    <w:tmpl w:val="253A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85241"/>
    <w:multiLevelType w:val="hybridMultilevel"/>
    <w:tmpl w:val="C7E8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C6417"/>
    <w:multiLevelType w:val="hybridMultilevel"/>
    <w:tmpl w:val="75F48E50"/>
    <w:lvl w:ilvl="0" w:tplc="FE30341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D40464A"/>
    <w:multiLevelType w:val="hybridMultilevel"/>
    <w:tmpl w:val="9ADA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FD5BCC"/>
    <w:multiLevelType w:val="hybridMultilevel"/>
    <w:tmpl w:val="D10E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257"/>
    <w:multiLevelType w:val="hybridMultilevel"/>
    <w:tmpl w:val="DED2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B6586"/>
    <w:multiLevelType w:val="hybridMultilevel"/>
    <w:tmpl w:val="371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42BFA"/>
    <w:multiLevelType w:val="hybridMultilevel"/>
    <w:tmpl w:val="84E0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07076B7"/>
    <w:multiLevelType w:val="hybridMultilevel"/>
    <w:tmpl w:val="12BE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E04CE2"/>
    <w:multiLevelType w:val="hybridMultilevel"/>
    <w:tmpl w:val="375C2302"/>
    <w:lvl w:ilvl="0" w:tplc="8454242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8B7650"/>
    <w:multiLevelType w:val="hybridMultilevel"/>
    <w:tmpl w:val="65A2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854B2"/>
    <w:multiLevelType w:val="hybridMultilevel"/>
    <w:tmpl w:val="F9AA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983C9B"/>
    <w:multiLevelType w:val="hybridMultilevel"/>
    <w:tmpl w:val="6E788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D545117"/>
    <w:multiLevelType w:val="hybridMultilevel"/>
    <w:tmpl w:val="63E6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12"/>
  </w:num>
  <w:num w:numId="6">
    <w:abstractNumId w:val="3"/>
  </w:num>
  <w:num w:numId="7">
    <w:abstractNumId w:val="4"/>
  </w:num>
  <w:num w:numId="8">
    <w:abstractNumId w:val="17"/>
  </w:num>
  <w:num w:numId="9">
    <w:abstractNumId w:val="20"/>
  </w:num>
  <w:num w:numId="10">
    <w:abstractNumId w:val="13"/>
  </w:num>
  <w:num w:numId="11">
    <w:abstractNumId w:val="19"/>
  </w:num>
  <w:num w:numId="12">
    <w:abstractNumId w:val="14"/>
  </w:num>
  <w:num w:numId="13">
    <w:abstractNumId w:val="16"/>
  </w:num>
  <w:num w:numId="14">
    <w:abstractNumId w:val="5"/>
  </w:num>
  <w:num w:numId="15">
    <w:abstractNumId w:val="15"/>
  </w:num>
  <w:num w:numId="16">
    <w:abstractNumId w:val="6"/>
  </w:num>
  <w:num w:numId="17">
    <w:abstractNumId w:val="0"/>
  </w:num>
  <w:num w:numId="18">
    <w:abstractNumId w:val="18"/>
  </w:num>
  <w:num w:numId="19">
    <w:abstractNumId w:val="10"/>
  </w:num>
  <w:num w:numId="20">
    <w:abstractNumId w:val="7"/>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visionView w:formatting="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DD"/>
    <w:rsid w:val="00002A60"/>
    <w:rsid w:val="00011A46"/>
    <w:rsid w:val="00014369"/>
    <w:rsid w:val="00022939"/>
    <w:rsid w:val="000239B2"/>
    <w:rsid w:val="000321DC"/>
    <w:rsid w:val="00043630"/>
    <w:rsid w:val="00045E37"/>
    <w:rsid w:val="00052B62"/>
    <w:rsid w:val="0005680E"/>
    <w:rsid w:val="00064BB0"/>
    <w:rsid w:val="00065504"/>
    <w:rsid w:val="00076D27"/>
    <w:rsid w:val="0009127A"/>
    <w:rsid w:val="000948CA"/>
    <w:rsid w:val="000B196E"/>
    <w:rsid w:val="000B20B6"/>
    <w:rsid w:val="000B5986"/>
    <w:rsid w:val="000C760A"/>
    <w:rsid w:val="000C7D09"/>
    <w:rsid w:val="000D2AEC"/>
    <w:rsid w:val="000E048B"/>
    <w:rsid w:val="000F6A6D"/>
    <w:rsid w:val="00117EC8"/>
    <w:rsid w:val="0012413F"/>
    <w:rsid w:val="00124FFF"/>
    <w:rsid w:val="00134061"/>
    <w:rsid w:val="00144BD1"/>
    <w:rsid w:val="0014736C"/>
    <w:rsid w:val="001524CB"/>
    <w:rsid w:val="0016366D"/>
    <w:rsid w:val="0016425D"/>
    <w:rsid w:val="00175A53"/>
    <w:rsid w:val="00176273"/>
    <w:rsid w:val="001833CD"/>
    <w:rsid w:val="00191621"/>
    <w:rsid w:val="00192709"/>
    <w:rsid w:val="001952DF"/>
    <w:rsid w:val="00197773"/>
    <w:rsid w:val="001A153B"/>
    <w:rsid w:val="001A3C1F"/>
    <w:rsid w:val="001A6608"/>
    <w:rsid w:val="001B178A"/>
    <w:rsid w:val="001B2950"/>
    <w:rsid w:val="001F7446"/>
    <w:rsid w:val="00204A11"/>
    <w:rsid w:val="00210B45"/>
    <w:rsid w:val="00212106"/>
    <w:rsid w:val="00221329"/>
    <w:rsid w:val="002271E8"/>
    <w:rsid w:val="00231271"/>
    <w:rsid w:val="0023150C"/>
    <w:rsid w:val="00232F79"/>
    <w:rsid w:val="0024116E"/>
    <w:rsid w:val="0024377F"/>
    <w:rsid w:val="00247D18"/>
    <w:rsid w:val="0025702F"/>
    <w:rsid w:val="00261928"/>
    <w:rsid w:val="00263F49"/>
    <w:rsid w:val="002650E2"/>
    <w:rsid w:val="002779FC"/>
    <w:rsid w:val="00290AEC"/>
    <w:rsid w:val="00291B6F"/>
    <w:rsid w:val="002941C6"/>
    <w:rsid w:val="0029518D"/>
    <w:rsid w:val="002C02A1"/>
    <w:rsid w:val="002C52F8"/>
    <w:rsid w:val="002D5670"/>
    <w:rsid w:val="002E0CF6"/>
    <w:rsid w:val="002E30AE"/>
    <w:rsid w:val="002F3980"/>
    <w:rsid w:val="002F460D"/>
    <w:rsid w:val="003009CB"/>
    <w:rsid w:val="00303525"/>
    <w:rsid w:val="00303AED"/>
    <w:rsid w:val="00312383"/>
    <w:rsid w:val="00313EF1"/>
    <w:rsid w:val="00317152"/>
    <w:rsid w:val="00321A4B"/>
    <w:rsid w:val="0034581B"/>
    <w:rsid w:val="00345F59"/>
    <w:rsid w:val="003463E6"/>
    <w:rsid w:val="00350C06"/>
    <w:rsid w:val="003706A1"/>
    <w:rsid w:val="00372110"/>
    <w:rsid w:val="00372C59"/>
    <w:rsid w:val="00373635"/>
    <w:rsid w:val="00374EE1"/>
    <w:rsid w:val="00375DF0"/>
    <w:rsid w:val="003905E5"/>
    <w:rsid w:val="003A0777"/>
    <w:rsid w:val="003A4EBE"/>
    <w:rsid w:val="003C187C"/>
    <w:rsid w:val="003D19E8"/>
    <w:rsid w:val="003D34F1"/>
    <w:rsid w:val="003E4D3C"/>
    <w:rsid w:val="003F01FC"/>
    <w:rsid w:val="003F6BE2"/>
    <w:rsid w:val="00402C72"/>
    <w:rsid w:val="00402EB9"/>
    <w:rsid w:val="004174EA"/>
    <w:rsid w:val="004232B1"/>
    <w:rsid w:val="00431F3F"/>
    <w:rsid w:val="00441154"/>
    <w:rsid w:val="00453CB6"/>
    <w:rsid w:val="00454EC0"/>
    <w:rsid w:val="00460C6A"/>
    <w:rsid w:val="00474A18"/>
    <w:rsid w:val="004875D5"/>
    <w:rsid w:val="00491603"/>
    <w:rsid w:val="004956B7"/>
    <w:rsid w:val="00496D03"/>
    <w:rsid w:val="004A19E4"/>
    <w:rsid w:val="004A333D"/>
    <w:rsid w:val="004B18C5"/>
    <w:rsid w:val="004B340E"/>
    <w:rsid w:val="004B41C5"/>
    <w:rsid w:val="004C589A"/>
    <w:rsid w:val="004D0945"/>
    <w:rsid w:val="004E05AB"/>
    <w:rsid w:val="004E380A"/>
    <w:rsid w:val="004F1ECB"/>
    <w:rsid w:val="00507CD8"/>
    <w:rsid w:val="0051311C"/>
    <w:rsid w:val="00520D93"/>
    <w:rsid w:val="00532783"/>
    <w:rsid w:val="00556DD4"/>
    <w:rsid w:val="005603DA"/>
    <w:rsid w:val="005765B6"/>
    <w:rsid w:val="00585715"/>
    <w:rsid w:val="00587C53"/>
    <w:rsid w:val="00595138"/>
    <w:rsid w:val="0059538F"/>
    <w:rsid w:val="005C1D43"/>
    <w:rsid w:val="005C46A1"/>
    <w:rsid w:val="005D1BB0"/>
    <w:rsid w:val="005D515C"/>
    <w:rsid w:val="005F2368"/>
    <w:rsid w:val="006140AE"/>
    <w:rsid w:val="006160F2"/>
    <w:rsid w:val="0062150E"/>
    <w:rsid w:val="00622B23"/>
    <w:rsid w:val="00632813"/>
    <w:rsid w:val="00632F48"/>
    <w:rsid w:val="0064201D"/>
    <w:rsid w:val="00644588"/>
    <w:rsid w:val="006452B4"/>
    <w:rsid w:val="006479D5"/>
    <w:rsid w:val="0065260C"/>
    <w:rsid w:val="006606D2"/>
    <w:rsid w:val="00676F04"/>
    <w:rsid w:val="006833CF"/>
    <w:rsid w:val="00690AC0"/>
    <w:rsid w:val="00690D73"/>
    <w:rsid w:val="006B0D4F"/>
    <w:rsid w:val="006B4844"/>
    <w:rsid w:val="006D6BF7"/>
    <w:rsid w:val="006E5891"/>
    <w:rsid w:val="007002ED"/>
    <w:rsid w:val="00703C7E"/>
    <w:rsid w:val="00716FAC"/>
    <w:rsid w:val="00752DA1"/>
    <w:rsid w:val="00761D51"/>
    <w:rsid w:val="0076658D"/>
    <w:rsid w:val="00770473"/>
    <w:rsid w:val="00771F85"/>
    <w:rsid w:val="0079053C"/>
    <w:rsid w:val="00790AB6"/>
    <w:rsid w:val="007932D7"/>
    <w:rsid w:val="007B0A46"/>
    <w:rsid w:val="007B29B4"/>
    <w:rsid w:val="007C596E"/>
    <w:rsid w:val="007C76D7"/>
    <w:rsid w:val="007D35EA"/>
    <w:rsid w:val="007D4061"/>
    <w:rsid w:val="007D4242"/>
    <w:rsid w:val="007D6A22"/>
    <w:rsid w:val="007E091C"/>
    <w:rsid w:val="007F39BA"/>
    <w:rsid w:val="007F64DB"/>
    <w:rsid w:val="00802838"/>
    <w:rsid w:val="008028AD"/>
    <w:rsid w:val="00807167"/>
    <w:rsid w:val="00807391"/>
    <w:rsid w:val="008125CF"/>
    <w:rsid w:val="008147C9"/>
    <w:rsid w:val="00831BE0"/>
    <w:rsid w:val="00831EAA"/>
    <w:rsid w:val="00850607"/>
    <w:rsid w:val="0086360F"/>
    <w:rsid w:val="008668DA"/>
    <w:rsid w:val="008677C6"/>
    <w:rsid w:val="0087297B"/>
    <w:rsid w:val="00872BDC"/>
    <w:rsid w:val="008838F2"/>
    <w:rsid w:val="008A1D23"/>
    <w:rsid w:val="008A3153"/>
    <w:rsid w:val="008A7D44"/>
    <w:rsid w:val="008B1589"/>
    <w:rsid w:val="008B469B"/>
    <w:rsid w:val="008D1BFE"/>
    <w:rsid w:val="008E15F4"/>
    <w:rsid w:val="008E4006"/>
    <w:rsid w:val="008F1774"/>
    <w:rsid w:val="008F2A58"/>
    <w:rsid w:val="00910066"/>
    <w:rsid w:val="009230FB"/>
    <w:rsid w:val="009304E6"/>
    <w:rsid w:val="00940DA6"/>
    <w:rsid w:val="00947EBE"/>
    <w:rsid w:val="0095413F"/>
    <w:rsid w:val="0096410D"/>
    <w:rsid w:val="00965E15"/>
    <w:rsid w:val="00971D82"/>
    <w:rsid w:val="00973830"/>
    <w:rsid w:val="009766BA"/>
    <w:rsid w:val="00980E4B"/>
    <w:rsid w:val="00991159"/>
    <w:rsid w:val="00994311"/>
    <w:rsid w:val="00994A45"/>
    <w:rsid w:val="00995314"/>
    <w:rsid w:val="009A0BF6"/>
    <w:rsid w:val="009B3AA9"/>
    <w:rsid w:val="009B3BDC"/>
    <w:rsid w:val="009B6241"/>
    <w:rsid w:val="009D0F1E"/>
    <w:rsid w:val="009D1B16"/>
    <w:rsid w:val="009D7A62"/>
    <w:rsid w:val="009E03C9"/>
    <w:rsid w:val="009E28AF"/>
    <w:rsid w:val="009E2B02"/>
    <w:rsid w:val="009E4C85"/>
    <w:rsid w:val="009E569D"/>
    <w:rsid w:val="009F4A7D"/>
    <w:rsid w:val="009F7B8A"/>
    <w:rsid w:val="00A07EAC"/>
    <w:rsid w:val="00A13968"/>
    <w:rsid w:val="00A15BC5"/>
    <w:rsid w:val="00A16F8B"/>
    <w:rsid w:val="00A20298"/>
    <w:rsid w:val="00A20747"/>
    <w:rsid w:val="00A234C4"/>
    <w:rsid w:val="00A425A5"/>
    <w:rsid w:val="00A56BAC"/>
    <w:rsid w:val="00A72B76"/>
    <w:rsid w:val="00A95D32"/>
    <w:rsid w:val="00AA1A60"/>
    <w:rsid w:val="00AB7609"/>
    <w:rsid w:val="00AC0697"/>
    <w:rsid w:val="00AD6902"/>
    <w:rsid w:val="00AE4FE3"/>
    <w:rsid w:val="00AE57E6"/>
    <w:rsid w:val="00AF3889"/>
    <w:rsid w:val="00AF4C58"/>
    <w:rsid w:val="00AF5160"/>
    <w:rsid w:val="00B063B8"/>
    <w:rsid w:val="00B10DE6"/>
    <w:rsid w:val="00B17269"/>
    <w:rsid w:val="00B21DC1"/>
    <w:rsid w:val="00B24D07"/>
    <w:rsid w:val="00B26C82"/>
    <w:rsid w:val="00B40F0E"/>
    <w:rsid w:val="00B4773D"/>
    <w:rsid w:val="00B57B2C"/>
    <w:rsid w:val="00B608A6"/>
    <w:rsid w:val="00B62B09"/>
    <w:rsid w:val="00B668FA"/>
    <w:rsid w:val="00B72727"/>
    <w:rsid w:val="00B77B3D"/>
    <w:rsid w:val="00B80180"/>
    <w:rsid w:val="00B84786"/>
    <w:rsid w:val="00B92AA9"/>
    <w:rsid w:val="00B96FF9"/>
    <w:rsid w:val="00BA1856"/>
    <w:rsid w:val="00BB214B"/>
    <w:rsid w:val="00BD643A"/>
    <w:rsid w:val="00BE4086"/>
    <w:rsid w:val="00BF2E15"/>
    <w:rsid w:val="00BF49A0"/>
    <w:rsid w:val="00BF4AC4"/>
    <w:rsid w:val="00BF6782"/>
    <w:rsid w:val="00C002C5"/>
    <w:rsid w:val="00C03CDD"/>
    <w:rsid w:val="00C076B9"/>
    <w:rsid w:val="00C138BF"/>
    <w:rsid w:val="00C266C6"/>
    <w:rsid w:val="00C3740A"/>
    <w:rsid w:val="00C41A5F"/>
    <w:rsid w:val="00C6608B"/>
    <w:rsid w:val="00C67F7A"/>
    <w:rsid w:val="00C72369"/>
    <w:rsid w:val="00C746C3"/>
    <w:rsid w:val="00C96D20"/>
    <w:rsid w:val="00CD27C6"/>
    <w:rsid w:val="00CD30AE"/>
    <w:rsid w:val="00CD48CA"/>
    <w:rsid w:val="00CE46F8"/>
    <w:rsid w:val="00CF0501"/>
    <w:rsid w:val="00D02F70"/>
    <w:rsid w:val="00D06456"/>
    <w:rsid w:val="00D14EB1"/>
    <w:rsid w:val="00D21401"/>
    <w:rsid w:val="00D21DD1"/>
    <w:rsid w:val="00D34CE0"/>
    <w:rsid w:val="00D44D37"/>
    <w:rsid w:val="00D455B5"/>
    <w:rsid w:val="00D46460"/>
    <w:rsid w:val="00D46721"/>
    <w:rsid w:val="00D5755D"/>
    <w:rsid w:val="00D624CA"/>
    <w:rsid w:val="00D64B8A"/>
    <w:rsid w:val="00D653DF"/>
    <w:rsid w:val="00D72BDE"/>
    <w:rsid w:val="00D8690C"/>
    <w:rsid w:val="00D91380"/>
    <w:rsid w:val="00D91479"/>
    <w:rsid w:val="00D942CA"/>
    <w:rsid w:val="00DB56DF"/>
    <w:rsid w:val="00DB7EF3"/>
    <w:rsid w:val="00DE2D2D"/>
    <w:rsid w:val="00DF0433"/>
    <w:rsid w:val="00E25351"/>
    <w:rsid w:val="00E37EDF"/>
    <w:rsid w:val="00E477E5"/>
    <w:rsid w:val="00E50E08"/>
    <w:rsid w:val="00E829BB"/>
    <w:rsid w:val="00E8521E"/>
    <w:rsid w:val="00E90AC7"/>
    <w:rsid w:val="00E94B8C"/>
    <w:rsid w:val="00EA32D8"/>
    <w:rsid w:val="00EA7EE9"/>
    <w:rsid w:val="00EB3323"/>
    <w:rsid w:val="00EB3B0A"/>
    <w:rsid w:val="00EC08E0"/>
    <w:rsid w:val="00ED5F9E"/>
    <w:rsid w:val="00EE07DD"/>
    <w:rsid w:val="00EF0867"/>
    <w:rsid w:val="00EF2BC9"/>
    <w:rsid w:val="00EF4A10"/>
    <w:rsid w:val="00EF775D"/>
    <w:rsid w:val="00F0276C"/>
    <w:rsid w:val="00F07D8E"/>
    <w:rsid w:val="00F07FE2"/>
    <w:rsid w:val="00F10E0D"/>
    <w:rsid w:val="00F12A94"/>
    <w:rsid w:val="00F17E8A"/>
    <w:rsid w:val="00F225FE"/>
    <w:rsid w:val="00F23D53"/>
    <w:rsid w:val="00F304C0"/>
    <w:rsid w:val="00F345DF"/>
    <w:rsid w:val="00F36F41"/>
    <w:rsid w:val="00F36FA6"/>
    <w:rsid w:val="00F42D93"/>
    <w:rsid w:val="00F46F6D"/>
    <w:rsid w:val="00F5129D"/>
    <w:rsid w:val="00F51E13"/>
    <w:rsid w:val="00F5286E"/>
    <w:rsid w:val="00F54358"/>
    <w:rsid w:val="00F57522"/>
    <w:rsid w:val="00F81B09"/>
    <w:rsid w:val="00F84EB3"/>
    <w:rsid w:val="00F95BB0"/>
    <w:rsid w:val="00FB148F"/>
    <w:rsid w:val="00FC6372"/>
    <w:rsid w:val="00FD0C92"/>
    <w:rsid w:val="00FD6C2A"/>
    <w:rsid w:val="00FE26A2"/>
    <w:rsid w:val="00FE33E2"/>
    <w:rsid w:val="00FE6290"/>
    <w:rsid w:val="00FF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9AAE27C"/>
  <w15:docId w15:val="{0987E867-DADD-49EA-8A41-E2B43AB0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 w:type="character" w:styleId="UnresolvedMention">
    <w:name w:val="Unresolved Mention"/>
    <w:basedOn w:val="DefaultParagraphFont"/>
    <w:uiPriority w:val="99"/>
    <w:semiHidden/>
    <w:unhideWhenUsed/>
    <w:rsid w:val="00F07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7437">
      <w:bodyDiv w:val="1"/>
      <w:marLeft w:val="0"/>
      <w:marRight w:val="0"/>
      <w:marTop w:val="0"/>
      <w:marBottom w:val="0"/>
      <w:divBdr>
        <w:top w:val="none" w:sz="0" w:space="0" w:color="auto"/>
        <w:left w:val="none" w:sz="0" w:space="0" w:color="auto"/>
        <w:bottom w:val="none" w:sz="0" w:space="0" w:color="auto"/>
        <w:right w:val="none" w:sz="0" w:space="0" w:color="auto"/>
      </w:divBdr>
    </w:div>
    <w:div w:id="588464051">
      <w:bodyDiv w:val="1"/>
      <w:marLeft w:val="0"/>
      <w:marRight w:val="0"/>
      <w:marTop w:val="0"/>
      <w:marBottom w:val="0"/>
      <w:divBdr>
        <w:top w:val="none" w:sz="0" w:space="0" w:color="auto"/>
        <w:left w:val="none" w:sz="0" w:space="0" w:color="auto"/>
        <w:bottom w:val="none" w:sz="0" w:space="0" w:color="auto"/>
        <w:right w:val="none" w:sz="0" w:space="0" w:color="auto"/>
      </w:divBdr>
    </w:div>
    <w:div w:id="1491866117">
      <w:bodyDiv w:val="1"/>
      <w:marLeft w:val="0"/>
      <w:marRight w:val="0"/>
      <w:marTop w:val="0"/>
      <w:marBottom w:val="0"/>
      <w:divBdr>
        <w:top w:val="none" w:sz="0" w:space="0" w:color="auto"/>
        <w:left w:val="none" w:sz="0" w:space="0" w:color="auto"/>
        <w:bottom w:val="none" w:sz="0" w:space="0" w:color="auto"/>
        <w:right w:val="none" w:sz="0" w:space="0" w:color="auto"/>
      </w:divBdr>
    </w:div>
    <w:div w:id="1584219775">
      <w:bodyDiv w:val="1"/>
      <w:marLeft w:val="0"/>
      <w:marRight w:val="0"/>
      <w:marTop w:val="0"/>
      <w:marBottom w:val="0"/>
      <w:divBdr>
        <w:top w:val="none" w:sz="0" w:space="0" w:color="auto"/>
        <w:left w:val="none" w:sz="0" w:space="0" w:color="auto"/>
        <w:bottom w:val="none" w:sz="0" w:space="0" w:color="auto"/>
        <w:right w:val="none" w:sz="0" w:space="0" w:color="auto"/>
      </w:divBdr>
    </w:div>
    <w:div w:id="1736926470">
      <w:bodyDiv w:val="1"/>
      <w:marLeft w:val="0"/>
      <w:marRight w:val="0"/>
      <w:marTop w:val="0"/>
      <w:marBottom w:val="0"/>
      <w:divBdr>
        <w:top w:val="none" w:sz="0" w:space="0" w:color="auto"/>
        <w:left w:val="none" w:sz="0" w:space="0" w:color="auto"/>
        <w:bottom w:val="none" w:sz="0" w:space="0" w:color="auto"/>
        <w:right w:val="none" w:sz="0" w:space="0" w:color="auto"/>
      </w:divBdr>
    </w:div>
    <w:div w:id="1748965481">
      <w:bodyDiv w:val="1"/>
      <w:marLeft w:val="0"/>
      <w:marRight w:val="0"/>
      <w:marTop w:val="0"/>
      <w:marBottom w:val="0"/>
      <w:divBdr>
        <w:top w:val="none" w:sz="0" w:space="0" w:color="auto"/>
        <w:left w:val="none" w:sz="0" w:space="0" w:color="auto"/>
        <w:bottom w:val="none" w:sz="0" w:space="0" w:color="auto"/>
        <w:right w:val="none" w:sz="0" w:space="0" w:color="auto"/>
      </w:divBdr>
    </w:div>
    <w:div w:id="1978484632">
      <w:bodyDiv w:val="1"/>
      <w:marLeft w:val="0"/>
      <w:marRight w:val="0"/>
      <w:marTop w:val="0"/>
      <w:marBottom w:val="0"/>
      <w:divBdr>
        <w:top w:val="none" w:sz="0" w:space="0" w:color="auto"/>
        <w:left w:val="none" w:sz="0" w:space="0" w:color="auto"/>
        <w:bottom w:val="none" w:sz="0" w:space="0" w:color="auto"/>
        <w:right w:val="none" w:sz="0" w:space="0" w:color="auto"/>
      </w:divBdr>
      <w:divsChild>
        <w:div w:id="1011949693">
          <w:marLeft w:val="0"/>
          <w:marRight w:val="0"/>
          <w:marTop w:val="0"/>
          <w:marBottom w:val="0"/>
          <w:divBdr>
            <w:top w:val="none" w:sz="0" w:space="0" w:color="auto"/>
            <w:left w:val="none" w:sz="0" w:space="0" w:color="auto"/>
            <w:bottom w:val="none" w:sz="0" w:space="0" w:color="auto"/>
            <w:right w:val="none" w:sz="0" w:space="0" w:color="auto"/>
          </w:divBdr>
          <w:divsChild>
            <w:div w:id="1479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erc.com/pa/Stand/Reliability%20Standards/FAC-001-3.pdf" TargetMode="External"/><Relationship Id="rId18" Type="http://schemas.openxmlformats.org/officeDocument/2006/relationships/hyperlink" Target="http://www.nerc.com/pa/Stand/Reliability%20Standards/FAC-011-3.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nerc.com/files/FERC_Order(Final_Rule)Approving_FAC_Standards_Issued_March_20_2009(Order_No_722)Docket_No_RM08-11-000.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erc.com/FilingsOrders/us/FERCOrdersRules/Order%20No.%20818%20approving%20revised%20reliability%20standard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erc.com/pa/Stand/Reliability%20Standards/FAC-010-3.pdf" TargetMode="External"/><Relationship Id="rId20" Type="http://schemas.openxmlformats.org/officeDocument/2006/relationships/hyperlink" Target="http://www.nerc.com/pa/Stand/Reliability%20Standards/FAC-014-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nerc.com/pa/Stand/Reliability%20Standards/FAC-002-2.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nerc.com/FilingsOrders/us/FERCOrdersRules/Order%20No.%20818%20approving%20revised%20reliability%20standard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erc.com/FilingsOrders/us/FERCOrdersRules/E-1_Order%20No%20836.pdf" TargetMode="External"/><Relationship Id="rId22" Type="http://schemas.openxmlformats.org/officeDocument/2006/relationships/hyperlink" Target="http://www.ferc.gov/docs-filing/efiling.asp"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FilingsOrders/us/RuleOfProcedureDL/Appendix_3A_StandardProcessesManual_20130626.pdf" TargetMode="External"/><Relationship Id="rId2" Type="http://schemas.openxmlformats.org/officeDocument/2006/relationships/hyperlink" Target="http://www.nerc.com/FilingsOrders/us/RuleOfProcedureDL/Appendix_3A_StandardProcessesManual_20130626.pdf" TargetMode="External"/><Relationship Id="rId1" Type="http://schemas.openxmlformats.org/officeDocument/2006/relationships/hyperlink" Target="https://elibrary.ferc.gov/eLibrary/filedownload?fileid=15468689" TargetMode="External"/><Relationship Id="rId4"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725D</_x0031__x002e__x0020_Collection_x0020_Number>
    <Date xmlns="d6eefc7d-9817-4fa6-84d5-3bc009be21b8">2021-01-28T05:00:00+00:00</Date>
    <Status xmlns="d6eefc7d-9817-4fa6-84d5-3bc009be21b8">Draft</Status>
    <_x0032__x002e__x0020_Docket_x0020_Number xmlns="d6eefc7d-9817-4fa6-84d5-3bc009be21b8">IC21-3</_x0032__x002e__x0020_Docket_x0020_Number>
    <_x0032__x002e__x0020_Collection_x0020_Number xmlns="d6eefc7d-9817-4fa6-84d5-3bc009be21b8">725D</_x0032__x002e__x0020_Collection_x0020_Number>
    <_x0031__x002e__x0020_Docket_x0020_Number xmlns="d6eefc7d-9817-4fa6-84d5-3bc009be21b8">RD20-4</_x0031__x002e__x0020_Docket_x0020_Number>
    <_x0033__x002e__x0020_Collection_x0020_Number xmlns="d6eefc7d-9817-4fa6-84d5-3bc009be21b8" xmlns:xsi="http://www.w3.org/2001/XMLSchema-instance"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2.xml><?xml version="1.0" encoding="utf-8"?>
<ds:datastoreItem xmlns:ds="http://schemas.openxmlformats.org/officeDocument/2006/customXml" ds:itemID="{FDC8F956-2222-4F37-BEF9-3D2CA4E67A3B}">
  <ds:schemaRefs>
    <ds:schemaRef ds:uri="Microsoft.SharePoint.Taxonomy.ContentTypeSync"/>
  </ds:schemaRefs>
</ds:datastoreItem>
</file>

<file path=customXml/itemProps3.xml><?xml version="1.0" encoding="utf-8"?>
<ds:datastoreItem xmlns:ds="http://schemas.openxmlformats.org/officeDocument/2006/customXml" ds:itemID="{D5D6099D-82FD-476B-B199-9626F5C7DC55}">
  <ds:schemaRefs>
    <ds:schemaRef ds:uri="http://schemas.microsoft.com/office/2006/metadata/customXsn"/>
  </ds:schemaRefs>
</ds:datastoreItem>
</file>

<file path=customXml/itemProps4.xml><?xml version="1.0" encoding="utf-8"?>
<ds:datastoreItem xmlns:ds="http://schemas.openxmlformats.org/officeDocument/2006/customXml" ds:itemID="{E2D10264-80D8-49AA-8E31-48725C1D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5995B-DA6B-4E16-A395-CABD895ECCE6}">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C946D0F4-D705-481E-A479-D04590F4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17</Pages>
  <Words>5113</Words>
  <Characters>29148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Ellen Brown</cp:lastModifiedBy>
  <cp:revision>110</cp:revision>
  <cp:lastPrinted>2018-06-21T12:21:00Z</cp:lastPrinted>
  <dcterms:created xsi:type="dcterms:W3CDTF">2021-01-13T20:10:00Z</dcterms:created>
  <dcterms:modified xsi:type="dcterms:W3CDTF">2021-02-04T20:41:00Z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ellen.brown@ferc.gov</vt:lpwstr>
  </property>
  <property fmtid="{D5CDD505-2E9C-101B-9397-08002B2CF9AE}" pid="6" name="MSIP_Label_6155a89b-0f08-4a93-8ea2-8a916d6643b5_SetDate">
    <vt:lpwstr>2020-10-16T18:23:57.4469068Z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d11465a4-3804-49d8-a086-26a1334ebe42</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