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337" w:rsidR="00877886" w:rsidP="00877886" w:rsidRDefault="00877886" w14:paraId="26FB3905" w14:textId="221F2902">
      <w:pPr>
        <w:widowControl/>
        <w:tabs>
          <w:tab w:val="center" w:pos="5040"/>
        </w:tabs>
        <w:jc w:val="center"/>
        <w:rPr>
          <w:szCs w:val="26"/>
        </w:rPr>
      </w:pPr>
      <w:r w:rsidRPr="000B5337">
        <w:rPr>
          <w:szCs w:val="26"/>
        </w:rPr>
        <w:t>Supporting Statement for</w:t>
      </w:r>
    </w:p>
    <w:p w:rsidRPr="000B5337" w:rsidR="006D6EF4" w:rsidP="00877886" w:rsidRDefault="00C700E1" w14:paraId="0EC72FB7" w14:textId="0FC494FF">
      <w:pPr>
        <w:widowControl/>
        <w:tabs>
          <w:tab w:val="center" w:pos="5040"/>
        </w:tabs>
        <w:jc w:val="center"/>
        <w:rPr>
          <w:b/>
          <w:szCs w:val="26"/>
        </w:rPr>
      </w:pPr>
      <w:r w:rsidRPr="000B5337">
        <w:rPr>
          <w:b/>
          <w:szCs w:val="26"/>
        </w:rPr>
        <w:t>FERC-516G</w:t>
      </w:r>
      <w:r w:rsidRPr="000B5337" w:rsidR="007111C1">
        <w:rPr>
          <w:b/>
          <w:szCs w:val="26"/>
        </w:rPr>
        <w:t>,</w:t>
      </w:r>
      <w:r w:rsidRPr="000B5337" w:rsidR="00253692">
        <w:rPr>
          <w:b/>
          <w:szCs w:val="26"/>
        </w:rPr>
        <w:t xml:space="preserve"> </w:t>
      </w:r>
      <w:r w:rsidRPr="000B5337" w:rsidR="00877886">
        <w:rPr>
          <w:b/>
          <w:szCs w:val="26"/>
        </w:rPr>
        <w:t xml:space="preserve">Electric Rates Schedules and Tariff Filings, </w:t>
      </w:r>
    </w:p>
    <w:p w:rsidRPr="000B5337" w:rsidR="00877886" w:rsidP="00877886" w:rsidRDefault="00654D90" w14:paraId="0A7E411F" w14:textId="20EEDB32">
      <w:pPr>
        <w:widowControl/>
        <w:tabs>
          <w:tab w:val="center" w:pos="5040"/>
        </w:tabs>
        <w:jc w:val="center"/>
        <w:rPr>
          <w:szCs w:val="26"/>
        </w:rPr>
      </w:pPr>
      <w:r w:rsidRPr="000B5337">
        <w:rPr>
          <w:b/>
          <w:szCs w:val="26"/>
        </w:rPr>
        <w:t>OMB Control Number 1902-0295</w:t>
      </w:r>
    </w:p>
    <w:p w:rsidRPr="000B5337" w:rsidR="00877886" w:rsidP="00877886" w:rsidRDefault="00877886" w14:paraId="2894FA3C" w14:textId="77777777">
      <w:pPr>
        <w:widowControl/>
        <w:tabs>
          <w:tab w:val="center" w:pos="5040"/>
        </w:tabs>
        <w:jc w:val="center"/>
        <w:rPr>
          <w:szCs w:val="26"/>
        </w:rPr>
      </w:pPr>
    </w:p>
    <w:p w:rsidRPr="000B5337" w:rsidR="00877886" w:rsidP="00877886" w:rsidRDefault="00877886" w14:paraId="76509D92" w14:textId="11035BA9">
      <w:pPr>
        <w:widowControl/>
        <w:rPr>
          <w:szCs w:val="26"/>
        </w:rPr>
      </w:pPr>
      <w:r w:rsidRPr="000B5337">
        <w:rPr>
          <w:szCs w:val="26"/>
        </w:rPr>
        <w:t xml:space="preserve">The Federal Energy Regulatory Commission (FERC or Commission) requests that the Office of Management and Budget (OMB) review </w:t>
      </w:r>
      <w:r w:rsidRPr="000B5337" w:rsidR="007111C1">
        <w:rPr>
          <w:szCs w:val="26"/>
        </w:rPr>
        <w:t xml:space="preserve">and </w:t>
      </w:r>
      <w:r w:rsidRPr="000B5337" w:rsidR="00A73467">
        <w:rPr>
          <w:szCs w:val="26"/>
        </w:rPr>
        <w:t>renew</w:t>
      </w:r>
      <w:r w:rsidRPr="000B5337" w:rsidR="007111C1">
        <w:rPr>
          <w:szCs w:val="26"/>
        </w:rPr>
        <w:t xml:space="preserve"> </w:t>
      </w:r>
      <w:r w:rsidRPr="000B5337" w:rsidR="004F4C08">
        <w:rPr>
          <w:szCs w:val="26"/>
        </w:rPr>
        <w:t xml:space="preserve">FERC-516G </w:t>
      </w:r>
      <w:r w:rsidR="00A03C9D">
        <w:rPr>
          <w:szCs w:val="26"/>
        </w:rPr>
        <w:t>(</w:t>
      </w:r>
      <w:r w:rsidRPr="00A03C9D" w:rsidR="00A03C9D">
        <w:rPr>
          <w:szCs w:val="26"/>
        </w:rPr>
        <w:t>Electric Rates Schedules and Tariff Filings</w:t>
      </w:r>
      <w:r w:rsidR="00A03C9D">
        <w:rPr>
          <w:szCs w:val="26"/>
        </w:rPr>
        <w:t xml:space="preserve">, OMB Control No. 1902-0295) </w:t>
      </w:r>
      <w:r w:rsidRPr="000B5337" w:rsidR="007111C1">
        <w:rPr>
          <w:szCs w:val="26"/>
        </w:rPr>
        <w:t>for three years</w:t>
      </w:r>
      <w:r w:rsidRPr="000B5337" w:rsidR="004F4C08">
        <w:rPr>
          <w:szCs w:val="26"/>
        </w:rPr>
        <w:t>.</w:t>
      </w:r>
    </w:p>
    <w:p w:rsidRPr="000B5337" w:rsidR="00877886" w:rsidP="00877886" w:rsidRDefault="00877886" w14:paraId="0DB9D8B6" w14:textId="77777777">
      <w:pPr>
        <w:widowControl/>
        <w:rPr>
          <w:szCs w:val="26"/>
        </w:rPr>
      </w:pPr>
    </w:p>
    <w:p w:rsidRPr="000B5337" w:rsidR="00877886" w:rsidP="00370830" w:rsidRDefault="00877886" w14:paraId="2DBB7C89" w14:textId="77777777">
      <w:pPr>
        <w:widowControl/>
        <w:ind w:left="450" w:hanging="450"/>
        <w:rPr>
          <w:b/>
          <w:szCs w:val="26"/>
        </w:rPr>
      </w:pPr>
      <w:r w:rsidRPr="000B5337">
        <w:rPr>
          <w:b/>
          <w:szCs w:val="26"/>
        </w:rPr>
        <w:t>1.</w:t>
      </w:r>
      <w:r w:rsidRPr="000B5337">
        <w:rPr>
          <w:b/>
          <w:szCs w:val="26"/>
        </w:rPr>
        <w:tab/>
        <w:t>CIRCUMSTANCES THAT MAKE THE COLLECTION OF INFORMATION NECESSARY</w:t>
      </w:r>
    </w:p>
    <w:p w:rsidRPr="000B5337" w:rsidR="00877886" w:rsidP="006742D2" w:rsidRDefault="00877886" w14:paraId="0CA55303" w14:textId="3038CC6C">
      <w:pPr>
        <w:widowControl/>
        <w:tabs>
          <w:tab w:val="left" w:pos="5925"/>
        </w:tabs>
        <w:rPr>
          <w:b/>
          <w:szCs w:val="26"/>
        </w:rPr>
      </w:pPr>
    </w:p>
    <w:p w:rsidR="00E21866" w:rsidP="00686EE2" w:rsidRDefault="000554EE" w14:paraId="1B083B53" w14:textId="63EE5228">
      <w:pPr>
        <w:rPr>
          <w:szCs w:val="26"/>
        </w:rPr>
      </w:pPr>
      <w:r>
        <w:rPr>
          <w:szCs w:val="26"/>
        </w:rPr>
        <w:t xml:space="preserve">In accordance with </w:t>
      </w:r>
      <w:r w:rsidR="00B65635">
        <w:rPr>
          <w:szCs w:val="26"/>
        </w:rPr>
        <w:t>secti</w:t>
      </w:r>
      <w:r w:rsidRPr="000B5337" w:rsidR="0073510A">
        <w:rPr>
          <w:szCs w:val="26"/>
        </w:rPr>
        <w:t>on</w:t>
      </w:r>
      <w:r w:rsidRPr="000B5337" w:rsidR="003E60B1">
        <w:rPr>
          <w:szCs w:val="26"/>
        </w:rPr>
        <w:t xml:space="preserve"> 206 of the Federal Power Act</w:t>
      </w:r>
      <w:r w:rsidRPr="000B5337" w:rsidR="00084061">
        <w:rPr>
          <w:szCs w:val="26"/>
        </w:rPr>
        <w:t xml:space="preserve"> (FPA)</w:t>
      </w:r>
      <w:r w:rsidR="001D55C3">
        <w:rPr>
          <w:szCs w:val="26"/>
        </w:rPr>
        <w:t>,</w:t>
      </w:r>
      <w:r w:rsidRPr="000B5337" w:rsidR="003E60B1">
        <w:rPr>
          <w:rStyle w:val="FootnoteReference"/>
          <w:szCs w:val="26"/>
        </w:rPr>
        <w:footnoteReference w:id="2"/>
      </w:r>
      <w:r w:rsidR="00B65635">
        <w:rPr>
          <w:szCs w:val="26"/>
        </w:rPr>
        <w:t xml:space="preserve"> the Commission regulates the transmission and wholesale </w:t>
      </w:r>
      <w:r w:rsidR="004C14C6">
        <w:rPr>
          <w:szCs w:val="26"/>
        </w:rPr>
        <w:t xml:space="preserve">sale of </w:t>
      </w:r>
      <w:r w:rsidR="00090440">
        <w:rPr>
          <w:szCs w:val="26"/>
        </w:rPr>
        <w:t>electricity</w:t>
      </w:r>
      <w:r w:rsidR="004C14C6">
        <w:rPr>
          <w:szCs w:val="26"/>
        </w:rPr>
        <w:t xml:space="preserve"> in interstate commerce</w:t>
      </w:r>
      <w:r w:rsidRPr="000B5337" w:rsidR="00686EE2">
        <w:rPr>
          <w:szCs w:val="26"/>
        </w:rPr>
        <w:t>.</w:t>
      </w:r>
      <w:r w:rsidRPr="000B5337" w:rsidR="00084061">
        <w:rPr>
          <w:szCs w:val="26"/>
        </w:rPr>
        <w:t xml:space="preserve">  </w:t>
      </w:r>
      <w:r w:rsidRPr="000B5337" w:rsidR="001D55C3">
        <w:rPr>
          <w:szCs w:val="26"/>
        </w:rPr>
        <w:t>Section 206 of the FPA authorizes the Commission to take action, upon finding that jurisdictional rates or terms and conditions are “unjust, unreasonable, unduly discriminatory or preferential.”</w:t>
      </w:r>
    </w:p>
    <w:p w:rsidR="00E21866" w:rsidP="00686EE2" w:rsidRDefault="00E21866" w14:paraId="70A4AFD0" w14:textId="497B7020">
      <w:pPr>
        <w:rPr>
          <w:szCs w:val="26"/>
        </w:rPr>
      </w:pPr>
    </w:p>
    <w:p w:rsidR="00E174F8" w:rsidP="00AC6998" w:rsidRDefault="007E0193" w14:paraId="4DFFED61" w14:textId="737C0590">
      <w:pPr>
        <w:rPr>
          <w:szCs w:val="26"/>
        </w:rPr>
      </w:pPr>
      <w:r w:rsidRPr="000B5337">
        <w:rPr>
          <w:szCs w:val="26"/>
        </w:rPr>
        <w:t>In 2018, the Commission</w:t>
      </w:r>
      <w:r w:rsidR="002F1D13">
        <w:rPr>
          <w:szCs w:val="26"/>
        </w:rPr>
        <w:t xml:space="preserve"> issued a final rule addressing</w:t>
      </w:r>
      <w:r w:rsidR="00A56C42">
        <w:rPr>
          <w:szCs w:val="26"/>
        </w:rPr>
        <w:t xml:space="preserve"> r</w:t>
      </w:r>
      <w:r w:rsidRPr="000B5337">
        <w:rPr>
          <w:szCs w:val="26"/>
        </w:rPr>
        <w:t xml:space="preserve">eporting </w:t>
      </w:r>
      <w:r w:rsidR="00A56C42">
        <w:rPr>
          <w:szCs w:val="26"/>
        </w:rPr>
        <w:t xml:space="preserve">of </w:t>
      </w:r>
      <w:r w:rsidRPr="000B5337">
        <w:rPr>
          <w:szCs w:val="26"/>
        </w:rPr>
        <w:t>uplift and operator-initiated commitments.</w:t>
      </w:r>
      <w:r w:rsidR="001F0F13">
        <w:rPr>
          <w:rStyle w:val="FootnoteReference"/>
          <w:szCs w:val="26"/>
        </w:rPr>
        <w:footnoteReference w:id="3"/>
      </w:r>
      <w:r w:rsidRPr="000B5337">
        <w:rPr>
          <w:szCs w:val="26"/>
        </w:rPr>
        <w:t xml:space="preserve">  The Commission found that the then-existing </w:t>
      </w:r>
      <w:r w:rsidR="002F1D13">
        <w:rPr>
          <w:szCs w:val="26"/>
        </w:rPr>
        <w:t xml:space="preserve">reporting </w:t>
      </w:r>
      <w:r w:rsidRPr="000B5337">
        <w:rPr>
          <w:szCs w:val="26"/>
        </w:rPr>
        <w:t xml:space="preserve">practices were insufficiently transparent, thus resulting in </w:t>
      </w:r>
      <w:r w:rsidR="00175DC9">
        <w:rPr>
          <w:szCs w:val="26"/>
        </w:rPr>
        <w:t xml:space="preserve">a need for action under FPA </w:t>
      </w:r>
      <w:r w:rsidR="00722EFD">
        <w:rPr>
          <w:szCs w:val="26"/>
        </w:rPr>
        <w:t>section 206</w:t>
      </w:r>
      <w:r w:rsidR="0046651A">
        <w:rPr>
          <w:szCs w:val="26"/>
        </w:rPr>
        <w:t xml:space="preserve">. </w:t>
      </w:r>
      <w:r w:rsidRPr="000B5337">
        <w:rPr>
          <w:szCs w:val="26"/>
        </w:rPr>
        <w:t xml:space="preserve"> </w:t>
      </w:r>
      <w:r w:rsidR="0046651A">
        <w:rPr>
          <w:szCs w:val="26"/>
        </w:rPr>
        <w:t xml:space="preserve">In the </w:t>
      </w:r>
      <w:r w:rsidR="002F1D13">
        <w:rPr>
          <w:szCs w:val="26"/>
        </w:rPr>
        <w:t xml:space="preserve">final </w:t>
      </w:r>
      <w:r w:rsidR="002153E8">
        <w:rPr>
          <w:szCs w:val="26"/>
        </w:rPr>
        <w:t>rule</w:t>
      </w:r>
      <w:r w:rsidR="00AA6651">
        <w:rPr>
          <w:szCs w:val="26"/>
        </w:rPr>
        <w:t>,</w:t>
      </w:r>
      <w:r w:rsidR="002153E8">
        <w:rPr>
          <w:szCs w:val="26"/>
        </w:rPr>
        <w:t xml:space="preserve"> the </w:t>
      </w:r>
      <w:r w:rsidR="00E8632F">
        <w:rPr>
          <w:szCs w:val="26"/>
        </w:rPr>
        <w:t>Commission</w:t>
      </w:r>
      <w:r w:rsidR="002153E8">
        <w:rPr>
          <w:szCs w:val="26"/>
        </w:rPr>
        <w:t xml:space="preserve"> amended </w:t>
      </w:r>
      <w:r w:rsidRPr="000B5337" w:rsidR="002153E8">
        <w:rPr>
          <w:szCs w:val="26"/>
        </w:rPr>
        <w:t>18 CFR 35.28 by adding a new paragraph (g)(10)</w:t>
      </w:r>
      <w:r w:rsidR="00A714B4">
        <w:rPr>
          <w:szCs w:val="26"/>
        </w:rPr>
        <w:t xml:space="preserve">, which requires </w:t>
      </w:r>
      <w:r w:rsidR="00F25AC7">
        <w:rPr>
          <w:szCs w:val="26"/>
        </w:rPr>
        <w:t xml:space="preserve">each </w:t>
      </w:r>
      <w:r w:rsidRPr="000B5337" w:rsidR="002153E8">
        <w:rPr>
          <w:szCs w:val="26"/>
        </w:rPr>
        <w:t>Independent System Operator</w:t>
      </w:r>
      <w:r w:rsidR="00F25AC7">
        <w:rPr>
          <w:szCs w:val="26"/>
        </w:rPr>
        <w:t xml:space="preserve"> </w:t>
      </w:r>
      <w:r w:rsidRPr="000B5337" w:rsidR="002153E8">
        <w:rPr>
          <w:szCs w:val="26"/>
        </w:rPr>
        <w:t>(ISO) and Regional Transmission Organization (RTO)</w:t>
      </w:r>
      <w:r w:rsidR="002153E8">
        <w:rPr>
          <w:szCs w:val="26"/>
        </w:rPr>
        <w:t xml:space="preserve"> </w:t>
      </w:r>
      <w:r w:rsidR="009E1E31">
        <w:rPr>
          <w:szCs w:val="26"/>
        </w:rPr>
        <w:t xml:space="preserve">to </w:t>
      </w:r>
      <w:r w:rsidRPr="000B5337" w:rsidR="00A714B4">
        <w:rPr>
          <w:szCs w:val="26"/>
        </w:rPr>
        <w:t>post information regarding uplift</w:t>
      </w:r>
      <w:r w:rsidR="00AA6651">
        <w:rPr>
          <w:szCs w:val="26"/>
        </w:rPr>
        <w:t xml:space="preserve"> </w:t>
      </w:r>
      <w:r w:rsidRPr="000B5337" w:rsidR="00A714B4">
        <w:rPr>
          <w:szCs w:val="26"/>
        </w:rPr>
        <w:t>on a publicly accessible portion of its website.</w:t>
      </w:r>
    </w:p>
    <w:p w:rsidR="00AA6651" w:rsidP="00AC6998" w:rsidRDefault="00AA6651" w14:paraId="27958135" w14:textId="73F5851D">
      <w:pPr>
        <w:rPr>
          <w:szCs w:val="26"/>
        </w:rPr>
      </w:pPr>
    </w:p>
    <w:p w:rsidR="0087176C" w:rsidP="00012BA1" w:rsidRDefault="003D5860" w14:paraId="4CCBB345" w14:textId="1727104B">
      <w:pPr>
        <w:rPr>
          <w:szCs w:val="26"/>
        </w:rPr>
      </w:pPr>
      <w:r>
        <w:rPr>
          <w:szCs w:val="26"/>
        </w:rPr>
        <w:t>T</w:t>
      </w:r>
      <w:r w:rsidR="000B0630">
        <w:rPr>
          <w:szCs w:val="26"/>
        </w:rPr>
        <w:t>he Commission requested</w:t>
      </w:r>
      <w:r>
        <w:rPr>
          <w:szCs w:val="26"/>
        </w:rPr>
        <w:t xml:space="preserve">, and OMB approved, </w:t>
      </w:r>
      <w:r w:rsidR="000B0630">
        <w:rPr>
          <w:szCs w:val="26"/>
        </w:rPr>
        <w:t>the creation of FERC-516G</w:t>
      </w:r>
      <w:r w:rsidR="001B1AF1">
        <w:rPr>
          <w:szCs w:val="26"/>
        </w:rPr>
        <w:t xml:space="preserve">.  As approved by OMB, </w:t>
      </w:r>
      <w:r w:rsidR="00765E0E">
        <w:rPr>
          <w:szCs w:val="26"/>
        </w:rPr>
        <w:t xml:space="preserve">FERC-516G includes </w:t>
      </w:r>
      <w:r w:rsidR="00012BA1">
        <w:rPr>
          <w:szCs w:val="26"/>
        </w:rPr>
        <w:t>in</w:t>
      </w:r>
      <w:r w:rsidR="00953D99">
        <w:rPr>
          <w:szCs w:val="26"/>
        </w:rPr>
        <w:t>formation collection</w:t>
      </w:r>
      <w:r w:rsidR="002828E5">
        <w:rPr>
          <w:szCs w:val="26"/>
        </w:rPr>
        <w:t xml:space="preserve"> activities</w:t>
      </w:r>
      <w:r w:rsidR="00012BA1">
        <w:rPr>
          <w:szCs w:val="26"/>
        </w:rPr>
        <w:t xml:space="preserve"> pertaining to </w:t>
      </w:r>
      <w:r w:rsidR="008C3A59">
        <w:rPr>
          <w:szCs w:val="26"/>
        </w:rPr>
        <w:t xml:space="preserve">zonal </w:t>
      </w:r>
      <w:r w:rsidR="00E8632F">
        <w:rPr>
          <w:szCs w:val="26"/>
        </w:rPr>
        <w:t>upfit</w:t>
      </w:r>
      <w:r w:rsidR="008C3A59">
        <w:rPr>
          <w:szCs w:val="26"/>
        </w:rPr>
        <w:t xml:space="preserve">, resource-specific uplift, and operator-initiated </w:t>
      </w:r>
      <w:r w:rsidR="006A1FAA">
        <w:rPr>
          <w:szCs w:val="26"/>
        </w:rPr>
        <w:t>commitment.  The Commission requests renewal of these activities.</w:t>
      </w:r>
    </w:p>
    <w:p w:rsidRPr="000B5337" w:rsidR="006A1FAA" w:rsidP="00012BA1" w:rsidRDefault="006A1FAA" w14:paraId="7E95A5CE" w14:textId="77777777">
      <w:pPr>
        <w:rPr>
          <w:szCs w:val="26"/>
        </w:rPr>
      </w:pPr>
    </w:p>
    <w:p w:rsidRPr="000B5337" w:rsidR="0087176C" w:rsidP="00964054" w:rsidRDefault="0087176C" w14:paraId="202BACF2" w14:textId="1F9A4C13">
      <w:pPr>
        <w:rPr>
          <w:szCs w:val="26"/>
        </w:rPr>
      </w:pPr>
      <w:r w:rsidRPr="000B5337">
        <w:rPr>
          <w:iCs/>
          <w:szCs w:val="26"/>
        </w:rPr>
        <w:t>As originally cleared by OMB, FERC-516G also included a one-time requirement that ITOs and RTOs revise their tariffs in accordance with 18 CFR 35.28(g)(10)</w:t>
      </w:r>
      <w:r w:rsidRPr="000B5337" w:rsidR="000F73E3">
        <w:rPr>
          <w:iCs/>
          <w:szCs w:val="26"/>
        </w:rPr>
        <w:t>(iii)</w:t>
      </w:r>
      <w:r w:rsidRPr="000B5337">
        <w:rPr>
          <w:iCs/>
          <w:szCs w:val="26"/>
        </w:rPr>
        <w:t xml:space="preserve">.  </w:t>
      </w:r>
      <w:r w:rsidRPr="000B5337" w:rsidR="000F73E3">
        <w:rPr>
          <w:iCs/>
          <w:szCs w:val="26"/>
        </w:rPr>
        <w:t xml:space="preserve">The relevant </w:t>
      </w:r>
      <w:r w:rsidRPr="000B5337">
        <w:rPr>
          <w:iCs/>
          <w:szCs w:val="26"/>
        </w:rPr>
        <w:t xml:space="preserve">tariffs have been revised, and FERC is requesting removal of that </w:t>
      </w:r>
      <w:r w:rsidR="00765E0E">
        <w:rPr>
          <w:iCs/>
          <w:szCs w:val="26"/>
        </w:rPr>
        <w:t xml:space="preserve">one-time </w:t>
      </w:r>
      <w:r w:rsidRPr="000B5337">
        <w:rPr>
          <w:iCs/>
          <w:szCs w:val="26"/>
        </w:rPr>
        <w:t>information collection activity</w:t>
      </w:r>
      <w:r w:rsidRPr="000B5337" w:rsidR="004A7930">
        <w:rPr>
          <w:iCs/>
          <w:szCs w:val="26"/>
        </w:rPr>
        <w:t>.</w:t>
      </w:r>
    </w:p>
    <w:p w:rsidRPr="000B5337" w:rsidR="00877886" w:rsidP="00CC428D" w:rsidRDefault="00877886" w14:paraId="72F1E710" w14:textId="77777777"/>
    <w:p w:rsidRPr="00EE0ECF" w:rsidR="007A2C65" w:rsidP="00EE0ECF" w:rsidRDefault="00877886" w14:paraId="245320ED" w14:textId="625CC40A">
      <w:pPr>
        <w:pStyle w:val="FERCparanumber"/>
        <w:numPr>
          <w:ilvl w:val="0"/>
          <w:numId w:val="2"/>
        </w:numPr>
        <w:tabs>
          <w:tab w:val="left" w:pos="720"/>
          <w:tab w:val="left" w:pos="4860"/>
        </w:tabs>
        <w:rPr>
          <w:sz w:val="24"/>
          <w:szCs w:val="26"/>
        </w:rPr>
      </w:pPr>
      <w:r w:rsidRPr="000B5337">
        <w:rPr>
          <w:b/>
          <w:sz w:val="24"/>
          <w:szCs w:val="26"/>
        </w:rPr>
        <w:t>HOW, BY WHOM AND FOR WHAT PURPOSE IS THE INFORMATION USED AND THE CONSEQUENCES OF NOT COLLECTING THE INFORMATION</w:t>
      </w:r>
    </w:p>
    <w:p w:rsidR="00D065B5" w:rsidP="007A2C65" w:rsidRDefault="00D065B5" w14:paraId="0425DA34" w14:textId="57615D85">
      <w:pPr>
        <w:pStyle w:val="FERCparanumber"/>
        <w:numPr>
          <w:ilvl w:val="0"/>
          <w:numId w:val="0"/>
        </w:numPr>
        <w:tabs>
          <w:tab w:val="left" w:pos="720"/>
          <w:tab w:val="left" w:pos="4860"/>
        </w:tabs>
        <w:rPr>
          <w:sz w:val="24"/>
          <w:szCs w:val="26"/>
        </w:rPr>
      </w:pPr>
    </w:p>
    <w:p w:rsidR="009B0974" w:rsidP="007A2C65" w:rsidRDefault="00C744F9" w14:paraId="4D4DA190" w14:textId="0470B4A3">
      <w:pPr>
        <w:pStyle w:val="FERCparanumber"/>
        <w:numPr>
          <w:ilvl w:val="0"/>
          <w:numId w:val="0"/>
        </w:numPr>
        <w:tabs>
          <w:tab w:val="left" w:pos="720"/>
          <w:tab w:val="left" w:pos="4860"/>
        </w:tabs>
        <w:rPr>
          <w:sz w:val="24"/>
          <w:szCs w:val="26"/>
        </w:rPr>
      </w:pPr>
      <w:r>
        <w:rPr>
          <w:sz w:val="24"/>
          <w:szCs w:val="26"/>
        </w:rPr>
        <w:t>The three continuing information collection activities</w:t>
      </w:r>
      <w:r w:rsidR="007943C8">
        <w:rPr>
          <w:sz w:val="24"/>
          <w:szCs w:val="26"/>
        </w:rPr>
        <w:t xml:space="preserve"> are as follows:</w:t>
      </w:r>
      <w:r w:rsidR="00826417">
        <w:rPr>
          <w:sz w:val="24"/>
          <w:szCs w:val="26"/>
        </w:rPr>
        <w:t xml:space="preserve"> </w:t>
      </w:r>
    </w:p>
    <w:p w:rsidRPr="000B5337" w:rsidR="00C744F9" w:rsidP="007A2C65" w:rsidRDefault="00C744F9" w14:paraId="1EF60E77" w14:textId="77777777">
      <w:pPr>
        <w:pStyle w:val="FERCparanumber"/>
        <w:numPr>
          <w:ilvl w:val="0"/>
          <w:numId w:val="0"/>
        </w:numPr>
        <w:tabs>
          <w:tab w:val="left" w:pos="720"/>
          <w:tab w:val="left" w:pos="4860"/>
        </w:tabs>
        <w:rPr>
          <w:sz w:val="24"/>
          <w:szCs w:val="26"/>
        </w:rPr>
      </w:pPr>
    </w:p>
    <w:p w:rsidRPr="000B5337" w:rsidR="003B0037" w:rsidP="007A2C65" w:rsidRDefault="003B0037" w14:paraId="7FC03D22" w14:textId="5FF07AF2">
      <w:pPr>
        <w:pStyle w:val="FERCparanumber"/>
        <w:numPr>
          <w:ilvl w:val="0"/>
          <w:numId w:val="0"/>
        </w:numPr>
        <w:tabs>
          <w:tab w:val="left" w:pos="720"/>
          <w:tab w:val="left" w:pos="4860"/>
        </w:tabs>
        <w:rPr>
          <w:sz w:val="24"/>
          <w:szCs w:val="26"/>
          <w:u w:val="single"/>
        </w:rPr>
      </w:pPr>
      <w:r w:rsidRPr="000B5337">
        <w:rPr>
          <w:sz w:val="24"/>
          <w:szCs w:val="26"/>
          <w:u w:val="single"/>
        </w:rPr>
        <w:t>Zonal Uplift</w:t>
      </w:r>
    </w:p>
    <w:p w:rsidRPr="000B5337" w:rsidR="003B0037" w:rsidP="007A2C65" w:rsidRDefault="003B0037" w14:paraId="5BF350B7" w14:textId="77777777">
      <w:pPr>
        <w:pStyle w:val="FERCparanumber"/>
        <w:numPr>
          <w:ilvl w:val="0"/>
          <w:numId w:val="0"/>
        </w:numPr>
        <w:tabs>
          <w:tab w:val="left" w:pos="720"/>
          <w:tab w:val="left" w:pos="4860"/>
        </w:tabs>
        <w:rPr>
          <w:sz w:val="24"/>
          <w:szCs w:val="26"/>
          <w:u w:val="single"/>
        </w:rPr>
      </w:pPr>
    </w:p>
    <w:p w:rsidRPr="000B5337" w:rsidR="000E65A0" w:rsidP="000F7199" w:rsidRDefault="000E65A0" w14:paraId="345617A7" w14:textId="286B52A3">
      <w:pPr>
        <w:pStyle w:val="FERCparanumber"/>
        <w:numPr>
          <w:ilvl w:val="0"/>
          <w:numId w:val="0"/>
        </w:numPr>
        <w:rPr>
          <w:sz w:val="24"/>
        </w:rPr>
      </w:pPr>
      <w:r w:rsidRPr="000B5337">
        <w:rPr>
          <w:sz w:val="24"/>
        </w:rPr>
        <w:t xml:space="preserve">Each Commission-approved RTO/ISO must post uplift, paid in dollars, and categorized by transmission zone, day, and uplift category.  Transmission zone </w:t>
      </w:r>
      <w:r w:rsidRPr="000B5337" w:rsidR="001A7E3F">
        <w:rPr>
          <w:sz w:val="24"/>
        </w:rPr>
        <w:t xml:space="preserve">is </w:t>
      </w:r>
      <w:r w:rsidRPr="000B5337">
        <w:rPr>
          <w:sz w:val="24"/>
        </w:rPr>
        <w:t xml:space="preserve">defined as the geographic area </w:t>
      </w:r>
      <w:r w:rsidRPr="000B5337">
        <w:rPr>
          <w:sz w:val="24"/>
        </w:rPr>
        <w:lastRenderedPageBreak/>
        <w:t>that is used for the local allocation of charges.</w:t>
      </w:r>
      <w:r w:rsidRPr="000B5337">
        <w:rPr>
          <w:rStyle w:val="FootnoteReference"/>
          <w:bCs/>
          <w:sz w:val="24"/>
          <w:szCs w:val="26"/>
        </w:rPr>
        <w:footnoteReference w:id="4"/>
      </w:r>
      <w:r w:rsidRPr="000B5337">
        <w:rPr>
          <w:sz w:val="24"/>
        </w:rPr>
        <w:t xml:space="preserve">  Transmission zones with fewer than four resources may be aggregated with one or more neighboring transmission zones, until each aggregated zone contains at least four resources, and reported collectively.  This report </w:t>
      </w:r>
      <w:r w:rsidRPr="000B5337" w:rsidR="00C04184">
        <w:rPr>
          <w:sz w:val="24"/>
        </w:rPr>
        <w:t>must</w:t>
      </w:r>
      <w:r w:rsidRPr="000B5337">
        <w:rPr>
          <w:sz w:val="24"/>
        </w:rPr>
        <w:t xml:space="preserve"> be posted within 20 calendar days of the end of each month.</w:t>
      </w:r>
    </w:p>
    <w:p w:rsidRPr="000B5337" w:rsidR="00FE251B" w:rsidP="000F7199" w:rsidRDefault="00FE251B" w14:paraId="384DEFC9" w14:textId="77777777">
      <w:pPr>
        <w:pStyle w:val="FERCparanumber"/>
        <w:numPr>
          <w:ilvl w:val="0"/>
          <w:numId w:val="0"/>
        </w:numPr>
        <w:rPr>
          <w:sz w:val="24"/>
        </w:rPr>
      </w:pPr>
    </w:p>
    <w:p w:rsidR="00FE0F79" w:rsidP="00F677CB" w:rsidRDefault="00F677CB" w14:paraId="1D2E23B2" w14:textId="111A10C9">
      <w:pPr>
        <w:pStyle w:val="FERCparanumber"/>
        <w:numPr>
          <w:ilvl w:val="0"/>
          <w:numId w:val="0"/>
        </w:numPr>
        <w:tabs>
          <w:tab w:val="left" w:pos="720"/>
          <w:tab w:val="left" w:pos="4860"/>
        </w:tabs>
        <w:rPr>
          <w:sz w:val="24"/>
          <w:szCs w:val="26"/>
        </w:rPr>
      </w:pPr>
      <w:r w:rsidRPr="000B5337">
        <w:rPr>
          <w:sz w:val="24"/>
          <w:szCs w:val="26"/>
        </w:rPr>
        <w:t xml:space="preserve">Requiring the RTOs/ISOs to </w:t>
      </w:r>
      <w:r w:rsidR="00AA2759">
        <w:rPr>
          <w:sz w:val="24"/>
          <w:szCs w:val="26"/>
        </w:rPr>
        <w:t>post</w:t>
      </w:r>
      <w:r w:rsidRPr="000B5337">
        <w:rPr>
          <w:sz w:val="24"/>
          <w:szCs w:val="26"/>
        </w:rPr>
        <w:t xml:space="preserve"> this information facilitate</w:t>
      </w:r>
      <w:r w:rsidRPr="000B5337" w:rsidR="008E52AA">
        <w:rPr>
          <w:sz w:val="24"/>
          <w:szCs w:val="26"/>
        </w:rPr>
        <w:t>s</w:t>
      </w:r>
      <w:r w:rsidRPr="000B5337">
        <w:rPr>
          <w:sz w:val="24"/>
          <w:szCs w:val="26"/>
        </w:rPr>
        <w:t xml:space="preserve"> market participants’ ability to evaluate possible solutions to reduce the incurrence of uplift, thereby leading to more just and reasonable rates.  For example, with granular information on the location, amounts, and types of uplift, market participants can evaluate the benefits of additional transmission upgrades that could reduce the need for unit commitments.  Market participants can also use the information to raise issues of concern in the relevant stakeholder process.</w:t>
      </w:r>
    </w:p>
    <w:p w:rsidR="002F4497" w:rsidP="00F677CB" w:rsidRDefault="002F4497" w14:paraId="30029DDA" w14:textId="77777777">
      <w:pPr>
        <w:pStyle w:val="FERCparanumber"/>
        <w:numPr>
          <w:ilvl w:val="0"/>
          <w:numId w:val="0"/>
        </w:numPr>
        <w:tabs>
          <w:tab w:val="left" w:pos="720"/>
          <w:tab w:val="left" w:pos="4860"/>
        </w:tabs>
        <w:rPr>
          <w:sz w:val="24"/>
          <w:szCs w:val="26"/>
        </w:rPr>
      </w:pPr>
    </w:p>
    <w:p w:rsidRPr="000B5337" w:rsidR="003B0037" w:rsidP="00A13527" w:rsidRDefault="00E2447E" w14:paraId="206C598B" w14:textId="1D7A4071">
      <w:pPr>
        <w:pStyle w:val="FERCparanumber"/>
        <w:numPr>
          <w:ilvl w:val="0"/>
          <w:numId w:val="0"/>
        </w:numPr>
        <w:tabs>
          <w:tab w:val="left" w:pos="720"/>
          <w:tab w:val="left" w:pos="4860"/>
        </w:tabs>
        <w:rPr>
          <w:sz w:val="24"/>
          <w:szCs w:val="26"/>
          <w:u w:val="single"/>
        </w:rPr>
      </w:pPr>
      <w:r w:rsidRPr="000B5337">
        <w:rPr>
          <w:sz w:val="24"/>
          <w:szCs w:val="26"/>
          <w:u w:val="single"/>
        </w:rPr>
        <w:t>Resource-Specific Uplift</w:t>
      </w:r>
    </w:p>
    <w:p w:rsidRPr="000B5337" w:rsidR="00E2447E" w:rsidP="007A2C65" w:rsidRDefault="00E2447E" w14:paraId="2D5A430E" w14:textId="77777777">
      <w:pPr>
        <w:pStyle w:val="FERCparanumber"/>
        <w:numPr>
          <w:ilvl w:val="0"/>
          <w:numId w:val="0"/>
        </w:numPr>
        <w:tabs>
          <w:tab w:val="left" w:pos="720"/>
          <w:tab w:val="left" w:pos="4860"/>
        </w:tabs>
        <w:rPr>
          <w:sz w:val="24"/>
          <w:szCs w:val="26"/>
          <w:u w:val="single"/>
        </w:rPr>
      </w:pPr>
    </w:p>
    <w:p w:rsidRPr="000B5337" w:rsidR="006D236B" w:rsidP="007A2C65" w:rsidRDefault="006D236B" w14:paraId="71280CCE" w14:textId="00199A2E">
      <w:pPr>
        <w:pStyle w:val="FERCparanumber"/>
        <w:numPr>
          <w:ilvl w:val="0"/>
          <w:numId w:val="0"/>
        </w:numPr>
        <w:tabs>
          <w:tab w:val="left" w:pos="720"/>
          <w:tab w:val="left" w:pos="4860"/>
        </w:tabs>
        <w:rPr>
          <w:sz w:val="24"/>
        </w:rPr>
      </w:pPr>
      <w:r w:rsidRPr="000B5337">
        <w:rPr>
          <w:sz w:val="24"/>
        </w:rPr>
        <w:t>Each Commission-approved RTO/ISO must post the resource name and the total amount of uplift paid in dollars aggregated across the month to each resource that received uplift payments within the calendar month</w:t>
      </w:r>
      <w:r w:rsidR="00356425">
        <w:rPr>
          <w:sz w:val="24"/>
        </w:rPr>
        <w:t xml:space="preserve">, to be </w:t>
      </w:r>
      <w:r w:rsidRPr="000B5337">
        <w:rPr>
          <w:sz w:val="24"/>
        </w:rPr>
        <w:t>posted within 90 calendar days of the end of each month.</w:t>
      </w:r>
    </w:p>
    <w:p w:rsidRPr="000B5337" w:rsidR="00F677CB" w:rsidP="007A2C65" w:rsidRDefault="00F677CB" w14:paraId="4B5E102A" w14:textId="334B758C">
      <w:pPr>
        <w:pStyle w:val="FERCparanumber"/>
        <w:numPr>
          <w:ilvl w:val="0"/>
          <w:numId w:val="0"/>
        </w:numPr>
        <w:tabs>
          <w:tab w:val="left" w:pos="720"/>
          <w:tab w:val="left" w:pos="4860"/>
        </w:tabs>
        <w:rPr>
          <w:sz w:val="24"/>
          <w:szCs w:val="26"/>
        </w:rPr>
      </w:pPr>
    </w:p>
    <w:p w:rsidRPr="000B5337" w:rsidR="006D0041" w:rsidP="0095469D" w:rsidRDefault="00764312" w14:paraId="2CE697B9" w14:textId="57B96D1F">
      <w:pPr>
        <w:pStyle w:val="FERCparanumber"/>
        <w:numPr>
          <w:ilvl w:val="0"/>
          <w:numId w:val="0"/>
        </w:numPr>
        <w:tabs>
          <w:tab w:val="left" w:pos="720"/>
          <w:tab w:val="left" w:pos="4860"/>
        </w:tabs>
        <w:rPr>
          <w:sz w:val="24"/>
          <w:szCs w:val="26"/>
        </w:rPr>
      </w:pPr>
      <w:r w:rsidRPr="000B5337">
        <w:rPr>
          <w:sz w:val="24"/>
        </w:rPr>
        <w:t>T</w:t>
      </w:r>
      <w:r w:rsidRPr="000B5337" w:rsidR="00F677CB">
        <w:rPr>
          <w:sz w:val="24"/>
        </w:rPr>
        <w:t xml:space="preserve">he Resource-Specific Uplift </w:t>
      </w:r>
      <w:r w:rsidR="002C6380">
        <w:rPr>
          <w:sz w:val="24"/>
        </w:rPr>
        <w:t xml:space="preserve">posting </w:t>
      </w:r>
      <w:r w:rsidRPr="000B5337" w:rsidR="00F677CB">
        <w:rPr>
          <w:sz w:val="24"/>
        </w:rPr>
        <w:t>improve</w:t>
      </w:r>
      <w:r w:rsidRPr="000B5337" w:rsidR="00CF5650">
        <w:rPr>
          <w:sz w:val="24"/>
        </w:rPr>
        <w:t>s</w:t>
      </w:r>
      <w:r w:rsidRPr="000B5337" w:rsidR="00F677CB">
        <w:rPr>
          <w:sz w:val="24"/>
        </w:rPr>
        <w:t xml:space="preserve"> transparency into the causes of uplift.  </w:t>
      </w:r>
      <w:r w:rsidR="004D53EE">
        <w:rPr>
          <w:sz w:val="24"/>
        </w:rPr>
        <w:t xml:space="preserve">This posting </w:t>
      </w:r>
      <w:r w:rsidRPr="000B5337" w:rsidR="00F677CB">
        <w:rPr>
          <w:sz w:val="24"/>
        </w:rPr>
        <w:t>complement</w:t>
      </w:r>
      <w:r w:rsidRPr="000B5337" w:rsidR="00CF5650">
        <w:rPr>
          <w:sz w:val="24"/>
        </w:rPr>
        <w:t>s</w:t>
      </w:r>
      <w:r w:rsidRPr="000B5337" w:rsidR="00F677CB">
        <w:rPr>
          <w:sz w:val="24"/>
        </w:rPr>
        <w:t xml:space="preserve"> the Zonal Uplift Report by providing more granular technology-type and geographic information, allowing market participants to identify potential system needs at specific locations that may not otherwise be revealed through price signals.  The locational granularity of the required uplift report also mirrors the locational granularity of energy prices.  </w:t>
      </w:r>
      <w:r w:rsidRPr="000B5337" w:rsidR="005322A3">
        <w:rPr>
          <w:sz w:val="24"/>
        </w:rPr>
        <w:t>T</w:t>
      </w:r>
      <w:r w:rsidRPr="000B5337" w:rsidR="00F677CB">
        <w:rPr>
          <w:sz w:val="24"/>
        </w:rPr>
        <w:t xml:space="preserve">he two uplift </w:t>
      </w:r>
      <w:r w:rsidR="00D70F19">
        <w:rPr>
          <w:sz w:val="24"/>
        </w:rPr>
        <w:t xml:space="preserve">postings </w:t>
      </w:r>
      <w:r w:rsidRPr="000B5337" w:rsidR="00F677CB">
        <w:rPr>
          <w:sz w:val="24"/>
        </w:rPr>
        <w:t>in combination improve market efficiency by providing information to market participants considering, for example, where to site new resources, transmission facilities, or demand response.</w:t>
      </w:r>
      <w:r w:rsidRPr="000B5337" w:rsidR="0095469D">
        <w:rPr>
          <w:sz w:val="24"/>
        </w:rPr>
        <w:t xml:space="preserve">  These </w:t>
      </w:r>
      <w:r w:rsidR="00B2471A">
        <w:rPr>
          <w:sz w:val="24"/>
        </w:rPr>
        <w:t xml:space="preserve">postings </w:t>
      </w:r>
      <w:r w:rsidRPr="000B5337" w:rsidR="0095469D">
        <w:rPr>
          <w:sz w:val="24"/>
        </w:rPr>
        <w:t xml:space="preserve">also </w:t>
      </w:r>
      <w:r w:rsidRPr="000B5337" w:rsidR="006D0041">
        <w:rPr>
          <w:sz w:val="24"/>
          <w:szCs w:val="26"/>
        </w:rPr>
        <w:t>support the efficient functioning of RTO/ISO markets by improving market participants</w:t>
      </w:r>
      <w:r w:rsidRPr="000B5337" w:rsidR="00646A2D">
        <w:rPr>
          <w:sz w:val="24"/>
          <w:szCs w:val="26"/>
        </w:rPr>
        <w:t>’</w:t>
      </w:r>
      <w:r w:rsidRPr="000B5337" w:rsidR="006D0041">
        <w:rPr>
          <w:sz w:val="24"/>
          <w:szCs w:val="26"/>
        </w:rPr>
        <w:t xml:space="preserve"> understanding of how uplift is calculated, how uplift relates to system needs, and the predictability of uplift payments and charges going forward.</w:t>
      </w:r>
    </w:p>
    <w:p w:rsidRPr="000B5337" w:rsidR="006D0041" w:rsidP="006D0041" w:rsidRDefault="006D0041" w14:paraId="034F7A42" w14:textId="77777777">
      <w:pPr>
        <w:rPr>
          <w:szCs w:val="26"/>
        </w:rPr>
      </w:pPr>
    </w:p>
    <w:p w:rsidR="00440029" w:rsidP="00BD7A8C" w:rsidRDefault="008502EA" w14:paraId="769648ED" w14:textId="3337E6D5">
      <w:pPr>
        <w:rPr>
          <w:szCs w:val="26"/>
        </w:rPr>
      </w:pPr>
      <w:r w:rsidRPr="000B5337">
        <w:rPr>
          <w:szCs w:val="26"/>
        </w:rPr>
        <w:t>T</w:t>
      </w:r>
      <w:r w:rsidRPr="000B5337" w:rsidR="00CA14F6">
        <w:rPr>
          <w:szCs w:val="26"/>
        </w:rPr>
        <w:t>he Commission</w:t>
      </w:r>
      <w:r w:rsidRPr="000B5337" w:rsidR="006D0041">
        <w:rPr>
          <w:szCs w:val="26"/>
        </w:rPr>
        <w:t xml:space="preserve"> recognize</w:t>
      </w:r>
      <w:r w:rsidRPr="000B5337" w:rsidR="00CA14F6">
        <w:rPr>
          <w:szCs w:val="26"/>
        </w:rPr>
        <w:t>s</w:t>
      </w:r>
      <w:r w:rsidRPr="000B5337" w:rsidR="006D0041">
        <w:rPr>
          <w:szCs w:val="26"/>
        </w:rPr>
        <w:t xml:space="preserve"> that the timing of uplift </w:t>
      </w:r>
      <w:r w:rsidR="00FF29C5">
        <w:rPr>
          <w:szCs w:val="26"/>
        </w:rPr>
        <w:t>posting</w:t>
      </w:r>
      <w:r w:rsidRPr="000B5337" w:rsidR="006D0041">
        <w:rPr>
          <w:szCs w:val="26"/>
        </w:rPr>
        <w:t xml:space="preserve"> is driven, in part, by each individual RTO</w:t>
      </w:r>
      <w:r w:rsidRPr="000B5337" w:rsidR="00646A2D">
        <w:rPr>
          <w:szCs w:val="26"/>
        </w:rPr>
        <w:t>’</w:t>
      </w:r>
      <w:r w:rsidRPr="000B5337" w:rsidR="006D0041">
        <w:rPr>
          <w:szCs w:val="26"/>
        </w:rPr>
        <w:t>s/ISO</w:t>
      </w:r>
      <w:r w:rsidRPr="000B5337" w:rsidR="00646A2D">
        <w:rPr>
          <w:szCs w:val="26"/>
        </w:rPr>
        <w:t>’</w:t>
      </w:r>
      <w:r w:rsidRPr="000B5337" w:rsidR="006D0041">
        <w:rPr>
          <w:szCs w:val="26"/>
        </w:rPr>
        <w:t>s market settlement process, which needs to be completed before an uplift report can be compiled.</w:t>
      </w:r>
      <w:r w:rsidRPr="000B5337" w:rsidR="00B512A2">
        <w:rPr>
          <w:szCs w:val="26"/>
        </w:rPr>
        <w:t xml:space="preserve"> </w:t>
      </w:r>
      <w:r w:rsidRPr="000B5337" w:rsidR="00424626">
        <w:rPr>
          <w:szCs w:val="26"/>
        </w:rPr>
        <w:t xml:space="preserve">Each </w:t>
      </w:r>
      <w:r w:rsidRPr="000B5337" w:rsidDel="008A13DD" w:rsidR="006118A5">
        <w:rPr>
          <w:szCs w:val="26"/>
        </w:rPr>
        <w:t>RTO/ISO produce</w:t>
      </w:r>
      <w:r w:rsidRPr="000B5337" w:rsidR="00424626">
        <w:rPr>
          <w:szCs w:val="26"/>
        </w:rPr>
        <w:t>s</w:t>
      </w:r>
      <w:r w:rsidRPr="000B5337" w:rsidDel="008A13DD" w:rsidR="006118A5">
        <w:rPr>
          <w:szCs w:val="26"/>
        </w:rPr>
        <w:t xml:space="preserve"> a variety of public reports daily, monthly, and over longer time intervals.</w:t>
      </w:r>
      <w:r w:rsidRPr="000B5337" w:rsidR="00B512A2">
        <w:rPr>
          <w:szCs w:val="26"/>
        </w:rPr>
        <w:t xml:space="preserve"> </w:t>
      </w:r>
      <w:r w:rsidRPr="000B5337" w:rsidR="00D86594">
        <w:rPr>
          <w:szCs w:val="26"/>
        </w:rPr>
        <w:t>E</w:t>
      </w:r>
      <w:r w:rsidRPr="000B5337" w:rsidDel="008A13DD" w:rsidR="006118A5">
        <w:rPr>
          <w:szCs w:val="26"/>
        </w:rPr>
        <w:t xml:space="preserve">ach RTO/ISO </w:t>
      </w:r>
      <w:r w:rsidRPr="000B5337" w:rsidR="00AA1B5C">
        <w:rPr>
          <w:szCs w:val="26"/>
        </w:rPr>
        <w:t>has the flexibility</w:t>
      </w:r>
      <w:r w:rsidRPr="000B5337" w:rsidDel="008A13DD" w:rsidR="006118A5">
        <w:rPr>
          <w:szCs w:val="26"/>
        </w:rPr>
        <w:t xml:space="preserve"> to </w:t>
      </w:r>
      <w:r w:rsidRPr="000B5337" w:rsidR="00AA1B5C">
        <w:rPr>
          <w:szCs w:val="26"/>
        </w:rPr>
        <w:t>align</w:t>
      </w:r>
      <w:r w:rsidRPr="000B5337" w:rsidDel="008A13DD" w:rsidR="006118A5">
        <w:rPr>
          <w:szCs w:val="26"/>
        </w:rPr>
        <w:t xml:space="preserve"> the production of the uplift report</w:t>
      </w:r>
      <w:r w:rsidRPr="000B5337" w:rsidR="00F521AF">
        <w:rPr>
          <w:szCs w:val="26"/>
        </w:rPr>
        <w:t>s</w:t>
      </w:r>
      <w:r w:rsidRPr="000B5337" w:rsidDel="008A13DD" w:rsidR="006118A5">
        <w:rPr>
          <w:szCs w:val="26"/>
        </w:rPr>
        <w:t xml:space="preserve"> with any other </w:t>
      </w:r>
      <w:r w:rsidRPr="000B5337" w:rsidR="00AA1B5C">
        <w:rPr>
          <w:szCs w:val="26"/>
        </w:rPr>
        <w:t xml:space="preserve">public </w:t>
      </w:r>
      <w:r w:rsidRPr="000B5337" w:rsidDel="008A13DD" w:rsidR="006118A5">
        <w:rPr>
          <w:szCs w:val="26"/>
        </w:rPr>
        <w:t xml:space="preserve">report </w:t>
      </w:r>
      <w:r w:rsidRPr="000B5337" w:rsidR="00AA1B5C">
        <w:rPr>
          <w:szCs w:val="26"/>
        </w:rPr>
        <w:t>it generates</w:t>
      </w:r>
      <w:r w:rsidRPr="000B5337" w:rsidR="00F521AF">
        <w:rPr>
          <w:szCs w:val="26"/>
        </w:rPr>
        <w:t xml:space="preserve"> within the relevant reporting timeline (</w:t>
      </w:r>
      <w:r w:rsidR="00696CFD">
        <w:rPr>
          <w:szCs w:val="26"/>
        </w:rPr>
        <w:t>e.g.</w:t>
      </w:r>
      <w:r w:rsidRPr="000B5337" w:rsidR="00F521AF">
        <w:rPr>
          <w:szCs w:val="26"/>
        </w:rPr>
        <w:t xml:space="preserve">, 20 days after the </w:t>
      </w:r>
      <w:r w:rsidRPr="000B5337" w:rsidR="00F521AF">
        <w:rPr>
          <w:szCs w:val="26"/>
        </w:rPr>
        <w:lastRenderedPageBreak/>
        <w:t xml:space="preserve">end of the month for the Zonal Uplift </w:t>
      </w:r>
      <w:r w:rsidR="00F35E6F">
        <w:rPr>
          <w:szCs w:val="26"/>
        </w:rPr>
        <w:t xml:space="preserve">posting </w:t>
      </w:r>
      <w:r w:rsidRPr="000B5337" w:rsidR="00F521AF">
        <w:rPr>
          <w:szCs w:val="26"/>
        </w:rPr>
        <w:t xml:space="preserve">and 90 days after the end of the month for the Resource-Specific Uplift </w:t>
      </w:r>
      <w:r w:rsidR="00F35E6F">
        <w:rPr>
          <w:szCs w:val="26"/>
        </w:rPr>
        <w:t>posting</w:t>
      </w:r>
      <w:r w:rsidRPr="000B5337" w:rsidR="00F521AF">
        <w:rPr>
          <w:szCs w:val="26"/>
        </w:rPr>
        <w:t>)</w:t>
      </w:r>
      <w:r w:rsidRPr="000B5337" w:rsidR="0092736B">
        <w:rPr>
          <w:szCs w:val="26"/>
        </w:rPr>
        <w:t xml:space="preserve"> </w:t>
      </w:r>
      <w:r w:rsidRPr="000B5337" w:rsidDel="008A13DD" w:rsidR="006118A5">
        <w:rPr>
          <w:szCs w:val="26"/>
        </w:rPr>
        <w:t xml:space="preserve">in order to reduce </w:t>
      </w:r>
      <w:r w:rsidRPr="000B5337" w:rsidR="00784097">
        <w:rPr>
          <w:szCs w:val="26"/>
        </w:rPr>
        <w:t xml:space="preserve">the reporting </w:t>
      </w:r>
      <w:r w:rsidRPr="000B5337" w:rsidDel="008A13DD" w:rsidR="006118A5">
        <w:rPr>
          <w:szCs w:val="26"/>
        </w:rPr>
        <w:t>burd</w:t>
      </w:r>
      <w:r w:rsidRPr="000B5337" w:rsidR="006118A5">
        <w:rPr>
          <w:szCs w:val="26"/>
        </w:rPr>
        <w:t>en.</w:t>
      </w:r>
    </w:p>
    <w:p w:rsidRPr="000B5337" w:rsidR="00BD7A8C" w:rsidP="00BD7A8C" w:rsidRDefault="00BD7A8C" w14:paraId="029F40DD" w14:textId="77777777">
      <w:pPr>
        <w:rPr>
          <w:szCs w:val="26"/>
        </w:rPr>
      </w:pPr>
    </w:p>
    <w:p w:rsidRPr="000B5337" w:rsidR="004E4597" w:rsidRDefault="004E4597" w14:paraId="087ACA0E" w14:textId="5378E030">
      <w:pPr>
        <w:pStyle w:val="FERCparanumber"/>
        <w:numPr>
          <w:ilvl w:val="0"/>
          <w:numId w:val="0"/>
        </w:numPr>
        <w:tabs>
          <w:tab w:val="left" w:pos="720"/>
          <w:tab w:val="left" w:pos="4860"/>
        </w:tabs>
        <w:rPr>
          <w:sz w:val="24"/>
          <w:szCs w:val="26"/>
          <w:u w:val="single"/>
        </w:rPr>
      </w:pPr>
      <w:r w:rsidRPr="000B5337">
        <w:rPr>
          <w:sz w:val="24"/>
          <w:szCs w:val="26"/>
          <w:u w:val="single"/>
        </w:rPr>
        <w:t>Operator-Initiated Commitment</w:t>
      </w:r>
    </w:p>
    <w:p w:rsidRPr="000B5337" w:rsidR="00B358B9" w:rsidRDefault="00B358B9" w14:paraId="24DDAAF9" w14:textId="77777777">
      <w:pPr>
        <w:pStyle w:val="FERCparanumber"/>
        <w:numPr>
          <w:ilvl w:val="0"/>
          <w:numId w:val="0"/>
        </w:numPr>
        <w:tabs>
          <w:tab w:val="left" w:pos="720"/>
          <w:tab w:val="left" w:pos="4860"/>
        </w:tabs>
        <w:rPr>
          <w:sz w:val="24"/>
          <w:szCs w:val="26"/>
          <w:u w:val="single"/>
        </w:rPr>
      </w:pPr>
    </w:p>
    <w:p w:rsidRPr="000B5337" w:rsidR="004E4597" w:rsidP="00F35A40" w:rsidRDefault="006D236B" w14:paraId="07597C27" w14:textId="672FAB8C">
      <w:pPr>
        <w:pStyle w:val="FERCparanumber"/>
        <w:numPr>
          <w:ilvl w:val="0"/>
          <w:numId w:val="0"/>
        </w:numPr>
        <w:rPr>
          <w:sz w:val="24"/>
        </w:rPr>
      </w:pPr>
      <w:r w:rsidRPr="000B5337">
        <w:rPr>
          <w:sz w:val="24"/>
        </w:rPr>
        <w:t>Each Commission-approved RTO/ISO must post each operator-initiated commitment</w:t>
      </w:r>
      <w:r w:rsidR="0070722C">
        <w:rPr>
          <w:sz w:val="24"/>
        </w:rPr>
        <w:t>,</w:t>
      </w:r>
      <w:r w:rsidRPr="000B5337">
        <w:rPr>
          <w:sz w:val="24"/>
        </w:rPr>
        <w:t xml:space="preserve"> listing the size of the commitment, transmission zone, commitment reason, and commitment start time on a publicly accessible portion of its website within 30 calendar days of the end of each month.  </w:t>
      </w:r>
      <w:r w:rsidR="004B0256">
        <w:rPr>
          <w:sz w:val="24"/>
        </w:rPr>
        <w:t xml:space="preserve">A </w:t>
      </w:r>
      <w:r w:rsidRPr="000B5337" w:rsidR="00715155">
        <w:rPr>
          <w:sz w:val="24"/>
        </w:rPr>
        <w:t>t</w:t>
      </w:r>
      <w:r w:rsidRPr="000B5337">
        <w:rPr>
          <w:sz w:val="24"/>
        </w:rPr>
        <w:t xml:space="preserve">ransmission zone </w:t>
      </w:r>
      <w:r w:rsidRPr="000B5337" w:rsidR="00A13527">
        <w:rPr>
          <w:sz w:val="24"/>
        </w:rPr>
        <w:t xml:space="preserve">is </w:t>
      </w:r>
      <w:r w:rsidRPr="000B5337">
        <w:rPr>
          <w:sz w:val="24"/>
        </w:rPr>
        <w:t>defined as a geographic area that is used for the local allocation of charges.</w:t>
      </w:r>
      <w:r w:rsidRPr="000B5337" w:rsidR="008D06D6">
        <w:rPr>
          <w:b/>
          <w:sz w:val="24"/>
        </w:rPr>
        <w:t xml:space="preserve"> </w:t>
      </w:r>
      <w:r w:rsidRPr="000B5337" w:rsidR="008D06D6">
        <w:rPr>
          <w:sz w:val="24"/>
        </w:rPr>
        <w:t xml:space="preserve"> </w:t>
      </w:r>
      <w:r w:rsidRPr="000B5337">
        <w:rPr>
          <w:sz w:val="24"/>
        </w:rPr>
        <w:t>Commitment reasons include, but are not limited to, system-wide capacity, constraint management, and voltage support.</w:t>
      </w:r>
      <w:r w:rsidRPr="000B5337" w:rsidR="00B75E14">
        <w:rPr>
          <w:sz w:val="24"/>
        </w:rPr>
        <w:t xml:space="preserve"> </w:t>
      </w:r>
      <w:r w:rsidRPr="000B5337" w:rsidR="006803F1">
        <w:rPr>
          <w:sz w:val="24"/>
        </w:rPr>
        <w:t xml:space="preserve"> For purposes of 18 CFR 35.28(g)(10), a</w:t>
      </w:r>
      <w:r w:rsidRPr="000B5337" w:rsidR="00B75E14">
        <w:rPr>
          <w:sz w:val="24"/>
        </w:rPr>
        <w:t>n operator-initiated commitment is</w:t>
      </w:r>
      <w:r w:rsidRPr="000B5337" w:rsidR="003C442E">
        <w:rPr>
          <w:sz w:val="24"/>
        </w:rPr>
        <w:t xml:space="preserve"> a commitment after the day-ahead market, whether manual or automated, for a reason other than minimizing the total production costs of serving load.</w:t>
      </w:r>
    </w:p>
    <w:p w:rsidRPr="000B5337" w:rsidR="00C83842" w:rsidRDefault="00C83842" w14:paraId="0B40C5CB" w14:textId="77777777">
      <w:pPr>
        <w:pStyle w:val="FERCparanumber"/>
        <w:numPr>
          <w:ilvl w:val="0"/>
          <w:numId w:val="0"/>
        </w:numPr>
        <w:tabs>
          <w:tab w:val="left" w:pos="720"/>
          <w:tab w:val="left" w:pos="4860"/>
        </w:tabs>
        <w:rPr>
          <w:sz w:val="24"/>
        </w:rPr>
      </w:pPr>
    </w:p>
    <w:p w:rsidR="00F677CB" w:rsidRDefault="00F677CB" w14:paraId="6C00DDB0" w14:textId="1B41825D">
      <w:pPr>
        <w:pStyle w:val="FERCparanumber"/>
        <w:numPr>
          <w:ilvl w:val="0"/>
          <w:numId w:val="0"/>
        </w:numPr>
        <w:tabs>
          <w:tab w:val="left" w:pos="720"/>
          <w:tab w:val="left" w:pos="4860"/>
        </w:tabs>
        <w:rPr>
          <w:sz w:val="24"/>
        </w:rPr>
      </w:pPr>
      <w:r w:rsidRPr="000B5337">
        <w:rPr>
          <w:sz w:val="24"/>
        </w:rPr>
        <w:t xml:space="preserve">Transparency </w:t>
      </w:r>
      <w:r w:rsidRPr="000B5337" w:rsidR="00C13188">
        <w:rPr>
          <w:sz w:val="24"/>
        </w:rPr>
        <w:t xml:space="preserve">of </w:t>
      </w:r>
      <w:r w:rsidRPr="000B5337">
        <w:rPr>
          <w:sz w:val="24"/>
        </w:rPr>
        <w:t xml:space="preserve">operator-initiated commitments is important because such commitments can affect energy and ancillary service prices and can result in uplift.  Greater transparency will allow stakeholders to better understand the drivers of uplift costs, assess an RTO’s/ISO’s operator-initiated commitment practices, and raise any issues of concern through the stakeholder process.  The Operator-Initiated Commitment </w:t>
      </w:r>
      <w:r w:rsidR="00867A58">
        <w:rPr>
          <w:sz w:val="24"/>
        </w:rPr>
        <w:t xml:space="preserve">posting </w:t>
      </w:r>
      <w:r w:rsidRPr="000B5337">
        <w:rPr>
          <w:sz w:val="24"/>
        </w:rPr>
        <w:t>provide</w:t>
      </w:r>
      <w:r w:rsidRPr="000B5337" w:rsidR="00392D8E">
        <w:rPr>
          <w:sz w:val="24"/>
        </w:rPr>
        <w:t>s</w:t>
      </w:r>
      <w:r w:rsidRPr="000B5337">
        <w:rPr>
          <w:sz w:val="24"/>
        </w:rPr>
        <w:t xml:space="preserve"> granular information about the location, timing, causes and size of operator-initiated commitments.  Such information allow</w:t>
      </w:r>
      <w:r w:rsidRPr="000B5337" w:rsidR="005629F8">
        <w:rPr>
          <w:sz w:val="24"/>
        </w:rPr>
        <w:t>s</w:t>
      </w:r>
      <w:r w:rsidRPr="000B5337">
        <w:rPr>
          <w:sz w:val="24"/>
        </w:rPr>
        <w:t xml:space="preserve"> stakeholders to better understand the connections between system needs and operator actions and to make investments in facilities and equipment where most needed by the system, thus potentially improving market efficiency.</w:t>
      </w:r>
    </w:p>
    <w:p w:rsidRPr="000B5337" w:rsidR="0056106B" w:rsidRDefault="0056106B" w14:paraId="3B32EFEB" w14:textId="77777777">
      <w:pPr>
        <w:pStyle w:val="FERCparanumber"/>
        <w:numPr>
          <w:ilvl w:val="0"/>
          <w:numId w:val="0"/>
        </w:numPr>
        <w:tabs>
          <w:tab w:val="left" w:pos="720"/>
          <w:tab w:val="left" w:pos="4860"/>
        </w:tabs>
        <w:rPr>
          <w:sz w:val="24"/>
        </w:rPr>
      </w:pPr>
    </w:p>
    <w:p w:rsidRPr="000B5337" w:rsidR="00877886" w:rsidP="00877886" w:rsidRDefault="00877886" w14:paraId="5016BBCA" w14:textId="77777777">
      <w:pPr>
        <w:widowControl/>
        <w:numPr>
          <w:ilvl w:val="0"/>
          <w:numId w:val="2"/>
        </w:numPr>
        <w:rPr>
          <w:szCs w:val="26"/>
        </w:rPr>
      </w:pPr>
      <w:r w:rsidRPr="000B5337">
        <w:rPr>
          <w:b/>
          <w:szCs w:val="26"/>
        </w:rPr>
        <w:t>DESCRIBE ANY CONSIDERATION OF THE USE OF IMPROVED INFORMATION TECHNOLOGY TO REDUCE BURDEN AND THE TECHNICAL OR LEGAL OBSTACLES TO REDUCING BURDEN</w:t>
      </w:r>
    </w:p>
    <w:p w:rsidRPr="000B5337" w:rsidR="00BC29A5" w:rsidP="005D6647" w:rsidRDefault="00BC29A5" w14:paraId="017BF1D4" w14:textId="77777777">
      <w:pPr>
        <w:rPr>
          <w:szCs w:val="26"/>
        </w:rPr>
      </w:pPr>
    </w:p>
    <w:p w:rsidRPr="000B5337" w:rsidR="003C0EE4" w:rsidP="005D6647" w:rsidRDefault="00F0568E" w14:paraId="25A3DD33" w14:textId="1156765A">
      <w:pPr>
        <w:rPr>
          <w:szCs w:val="26"/>
        </w:rPr>
      </w:pPr>
      <w:r>
        <w:rPr>
          <w:szCs w:val="26"/>
        </w:rPr>
        <w:t>This information collection requires monthly posting</w:t>
      </w:r>
      <w:r w:rsidR="00C95FC1">
        <w:rPr>
          <w:szCs w:val="26"/>
        </w:rPr>
        <w:t xml:space="preserve">s </w:t>
      </w:r>
      <w:r w:rsidRPr="000B5337" w:rsidR="00BC29A5">
        <w:rPr>
          <w:szCs w:val="26"/>
        </w:rPr>
        <w:t>on each individual respondent’s website</w:t>
      </w:r>
      <w:r w:rsidRPr="000B5337" w:rsidR="003C0EE4">
        <w:rPr>
          <w:szCs w:val="26"/>
        </w:rPr>
        <w:t xml:space="preserve">.  </w:t>
      </w:r>
      <w:r w:rsidR="00DB7532">
        <w:rPr>
          <w:szCs w:val="26"/>
        </w:rPr>
        <w:t>T</w:t>
      </w:r>
      <w:r w:rsidRPr="000B5337" w:rsidR="003C0EE4">
        <w:rPr>
          <w:szCs w:val="26"/>
        </w:rPr>
        <w:t xml:space="preserve">hese requirements </w:t>
      </w:r>
      <w:r w:rsidRPr="000B5337" w:rsidR="00337E7B">
        <w:rPr>
          <w:szCs w:val="26"/>
        </w:rPr>
        <w:t xml:space="preserve">improve the usability of information </w:t>
      </w:r>
      <w:r w:rsidR="00DB7532">
        <w:rPr>
          <w:szCs w:val="26"/>
        </w:rPr>
        <w:t xml:space="preserve">and </w:t>
      </w:r>
      <w:r w:rsidRPr="000B5337" w:rsidR="003C0EE4">
        <w:rPr>
          <w:szCs w:val="26"/>
        </w:rPr>
        <w:t>aim to strike a balance between ensuring transparency for stakeholders in the form of clear, easy-to-use data in machine-readable format, reported at regular intervals</w:t>
      </w:r>
      <w:r w:rsidRPr="000B5337" w:rsidR="00001001">
        <w:rPr>
          <w:szCs w:val="26"/>
        </w:rPr>
        <w:t>,</w:t>
      </w:r>
      <w:r w:rsidRPr="000B5337" w:rsidR="00337E7B">
        <w:rPr>
          <w:szCs w:val="26"/>
        </w:rPr>
        <w:t xml:space="preserve"> and minimizing the burden on RTOs/ISOs</w:t>
      </w:r>
      <w:r w:rsidRPr="000B5337" w:rsidR="003C0EE4">
        <w:rPr>
          <w:szCs w:val="26"/>
        </w:rPr>
        <w:t xml:space="preserve">.  </w:t>
      </w:r>
    </w:p>
    <w:p w:rsidRPr="000B5337" w:rsidR="00877886" w:rsidP="00877886" w:rsidRDefault="00877886" w14:paraId="0BAA513C" w14:textId="77777777">
      <w:pPr>
        <w:rPr>
          <w:szCs w:val="26"/>
        </w:rPr>
      </w:pPr>
    </w:p>
    <w:p w:rsidRPr="000B5337" w:rsidR="00877886" w:rsidP="00877886" w:rsidRDefault="00877886" w14:paraId="1FFB161C" w14:textId="77777777">
      <w:pPr>
        <w:pStyle w:val="FERCparanumber"/>
        <w:numPr>
          <w:ilvl w:val="0"/>
          <w:numId w:val="2"/>
        </w:numPr>
        <w:rPr>
          <w:sz w:val="24"/>
          <w:szCs w:val="26"/>
        </w:rPr>
      </w:pPr>
      <w:r w:rsidRPr="000B5337">
        <w:rPr>
          <w:b/>
          <w:sz w:val="24"/>
          <w:szCs w:val="26"/>
        </w:rPr>
        <w:t>DESCRIBE EFFORTS TO IDENTIFY DUPLICATON AND SHOW SPECIFICALLY WHY ANY SIMILAR INFORMATION ALREADY AVAILABLE CANNOT BE USED OR MODIFIED FOR USE FOR THE PURPOSE(S) DESCRIBED IN INSTRUCTION NO. 2.</w:t>
      </w:r>
    </w:p>
    <w:p w:rsidRPr="000B5337" w:rsidR="00877886" w:rsidP="00877886" w:rsidRDefault="00877886" w14:paraId="7E8BE332" w14:textId="77777777">
      <w:pPr>
        <w:pStyle w:val="FERCparanumber"/>
        <w:numPr>
          <w:ilvl w:val="0"/>
          <w:numId w:val="0"/>
        </w:numPr>
        <w:rPr>
          <w:b/>
          <w:sz w:val="24"/>
          <w:szCs w:val="26"/>
        </w:rPr>
      </w:pPr>
    </w:p>
    <w:p w:rsidRPr="000B5337" w:rsidR="00B403E1" w:rsidP="00877886" w:rsidRDefault="00FB7261" w14:paraId="0B51B505" w14:textId="766F42C3">
      <w:pPr>
        <w:rPr>
          <w:szCs w:val="26"/>
        </w:rPr>
      </w:pPr>
      <w:r>
        <w:rPr>
          <w:szCs w:val="26"/>
        </w:rPr>
        <w:t>The Commission is the only entity that collects the information</w:t>
      </w:r>
      <w:r w:rsidR="00292644">
        <w:rPr>
          <w:szCs w:val="26"/>
        </w:rPr>
        <w:t xml:space="preserve">, and FERC-516G is the only OMB clearance </w:t>
      </w:r>
      <w:r w:rsidR="00987EE0">
        <w:rPr>
          <w:szCs w:val="26"/>
        </w:rPr>
        <w:t>for collecting the information</w:t>
      </w:r>
      <w:r w:rsidR="00350572">
        <w:rPr>
          <w:szCs w:val="26"/>
        </w:rPr>
        <w:t xml:space="preserve"> in this collection.  </w:t>
      </w:r>
      <w:r w:rsidRPr="000B5337" w:rsidR="00B403E1">
        <w:rPr>
          <w:szCs w:val="26"/>
        </w:rPr>
        <w:t>Some uplift information is also reported in Electronic Quarterly Reports.</w:t>
      </w:r>
      <w:r w:rsidRPr="000B5337" w:rsidR="00800CD5">
        <w:rPr>
          <w:rStyle w:val="FootnoteReference"/>
          <w:szCs w:val="26"/>
        </w:rPr>
        <w:footnoteReference w:id="5"/>
      </w:r>
      <w:r w:rsidRPr="000B5337" w:rsidR="00B403E1">
        <w:rPr>
          <w:szCs w:val="26"/>
        </w:rPr>
        <w:t xml:space="preserve">  However, the </w:t>
      </w:r>
      <w:r w:rsidRPr="000B5337" w:rsidR="003B4BCC">
        <w:rPr>
          <w:szCs w:val="26"/>
        </w:rPr>
        <w:t>Commission</w:t>
      </w:r>
      <w:r w:rsidRPr="000B5337" w:rsidR="00B403E1">
        <w:rPr>
          <w:szCs w:val="26"/>
        </w:rPr>
        <w:t xml:space="preserve"> has not required uplift to </w:t>
      </w:r>
      <w:r w:rsidRPr="000B5337" w:rsidR="00B403E1">
        <w:rPr>
          <w:szCs w:val="26"/>
        </w:rPr>
        <w:lastRenderedPageBreak/>
        <w:t>be reported in EQR at the level of granularity necessary to meet the price formation objectives of this proceeding.  For example, EQR uplift information does not differentiate between different categories of uplift.</w:t>
      </w:r>
      <w:r w:rsidR="006D0CDD">
        <w:rPr>
          <w:szCs w:val="26"/>
        </w:rPr>
        <w:t xml:space="preserve">  In contrast, </w:t>
      </w:r>
      <w:r w:rsidR="00257F95">
        <w:rPr>
          <w:szCs w:val="26"/>
        </w:rPr>
        <w:t xml:space="preserve">FERC-516G </w:t>
      </w:r>
      <w:r w:rsidR="00E2663A">
        <w:rPr>
          <w:szCs w:val="26"/>
        </w:rPr>
        <w:t xml:space="preserve">specifically pertains to </w:t>
      </w:r>
      <w:r w:rsidR="003F198F">
        <w:rPr>
          <w:szCs w:val="26"/>
        </w:rPr>
        <w:t>RTO</w:t>
      </w:r>
      <w:r w:rsidR="00E8632F">
        <w:rPr>
          <w:szCs w:val="26"/>
        </w:rPr>
        <w:t>s</w:t>
      </w:r>
      <w:r w:rsidR="003F198F">
        <w:rPr>
          <w:szCs w:val="26"/>
        </w:rPr>
        <w:t xml:space="preserve"> and ISOs, and requires detailed information on uplift that </w:t>
      </w:r>
      <w:r w:rsidR="001C6803">
        <w:rPr>
          <w:szCs w:val="26"/>
        </w:rPr>
        <w:t>is not required in EQRs.</w:t>
      </w:r>
    </w:p>
    <w:p w:rsidRPr="000B5337" w:rsidR="00877886" w:rsidP="00877886" w:rsidRDefault="00877886" w14:paraId="79EF5CDD" w14:textId="77777777">
      <w:pPr>
        <w:pStyle w:val="FERCparanumber"/>
        <w:numPr>
          <w:ilvl w:val="0"/>
          <w:numId w:val="0"/>
        </w:numPr>
        <w:rPr>
          <w:sz w:val="24"/>
          <w:szCs w:val="26"/>
        </w:rPr>
      </w:pPr>
    </w:p>
    <w:p w:rsidRPr="000B5337" w:rsidR="00877886" w:rsidP="00877886" w:rsidRDefault="00877886" w14:paraId="6ECA7CA0" w14:textId="77777777">
      <w:pPr>
        <w:pStyle w:val="FERCparanumber"/>
        <w:numPr>
          <w:ilvl w:val="0"/>
          <w:numId w:val="2"/>
        </w:numPr>
        <w:rPr>
          <w:sz w:val="24"/>
          <w:szCs w:val="26"/>
        </w:rPr>
      </w:pPr>
      <w:r w:rsidRPr="000B5337">
        <w:rPr>
          <w:b/>
          <w:sz w:val="24"/>
          <w:szCs w:val="26"/>
        </w:rPr>
        <w:t>METHODS USED TO MINIMIZE BURDEN IN COLLECTION OF INFORMATION INVOLVING SMALL ENTITIES</w:t>
      </w:r>
    </w:p>
    <w:p w:rsidRPr="000B5337" w:rsidR="00877886" w:rsidP="00877886" w:rsidRDefault="00877886" w14:paraId="691BE728" w14:textId="77777777">
      <w:pPr>
        <w:widowControl/>
        <w:ind w:left="1440"/>
        <w:rPr>
          <w:szCs w:val="26"/>
        </w:rPr>
      </w:pPr>
    </w:p>
    <w:p w:rsidRPr="000B5337" w:rsidR="00CC428D" w:rsidP="00CC428D" w:rsidRDefault="00CC428D" w14:paraId="58D895D0" w14:textId="6FC8867C">
      <w:pPr>
        <w:rPr>
          <w:szCs w:val="26"/>
        </w:rPr>
      </w:pPr>
      <w:r w:rsidRPr="000B5337">
        <w:rPr>
          <w:szCs w:val="26"/>
        </w:rPr>
        <w:t>The Small Business Administration (SBA) classifies an entity as an electric utility if it is primarily engaged in the transmission, generation</w:t>
      </w:r>
      <w:r w:rsidRPr="000B5337" w:rsidR="00001001">
        <w:rPr>
          <w:szCs w:val="26"/>
        </w:rPr>
        <w:t>,</w:t>
      </w:r>
      <w:r w:rsidRPr="000B5337">
        <w:rPr>
          <w:szCs w:val="26"/>
        </w:rPr>
        <w:t xml:space="preserve"> and/or distribution of electric energy for sale.  Under this definition, the six RTOs/ISOs are considered electric utilities, specifically focused on electric bulk power and control.  The size criterion for a small electric utility is 500 or fewer employees.</w:t>
      </w:r>
      <w:r w:rsidRPr="000B5337">
        <w:rPr>
          <w:b/>
          <w:szCs w:val="26"/>
          <w:vertAlign w:val="superscript"/>
        </w:rPr>
        <w:footnoteReference w:id="6"/>
      </w:r>
      <w:r w:rsidRPr="000B5337">
        <w:rPr>
          <w:szCs w:val="26"/>
        </w:rPr>
        <w:t xml:space="preserve">  Since every RTO/ISO has more than 500 employees, none are considered small entities.  </w:t>
      </w:r>
    </w:p>
    <w:p w:rsidRPr="000B5337" w:rsidR="00877886" w:rsidP="00877886" w:rsidRDefault="00877886" w14:paraId="37C4562F" w14:textId="77777777">
      <w:pPr>
        <w:pStyle w:val="FERCparanumber"/>
        <w:numPr>
          <w:ilvl w:val="0"/>
          <w:numId w:val="0"/>
        </w:numPr>
        <w:tabs>
          <w:tab w:val="num" w:pos="0"/>
        </w:tabs>
        <w:rPr>
          <w:sz w:val="24"/>
          <w:szCs w:val="26"/>
        </w:rPr>
      </w:pPr>
    </w:p>
    <w:p w:rsidRPr="000B5337" w:rsidR="00877886" w:rsidP="00877886" w:rsidRDefault="00877886" w14:paraId="022B10EF" w14:textId="77777777">
      <w:pPr>
        <w:pStyle w:val="FERCparanumber"/>
        <w:numPr>
          <w:ilvl w:val="0"/>
          <w:numId w:val="2"/>
        </w:numPr>
        <w:rPr>
          <w:sz w:val="24"/>
          <w:szCs w:val="26"/>
        </w:rPr>
      </w:pPr>
      <w:r w:rsidRPr="000B5337">
        <w:rPr>
          <w:b/>
          <w:sz w:val="24"/>
          <w:szCs w:val="26"/>
        </w:rPr>
        <w:t>CONSEQUENCE TO FEDERAL PROGRAM IF COLLECTION WERE CONDUCTED LESS FREQUENTLY</w:t>
      </w:r>
    </w:p>
    <w:p w:rsidRPr="000B5337" w:rsidR="00877886" w:rsidP="00877886" w:rsidRDefault="00877886" w14:paraId="49355BB8" w14:textId="77777777">
      <w:pPr>
        <w:rPr>
          <w:szCs w:val="26"/>
        </w:rPr>
      </w:pPr>
    </w:p>
    <w:p w:rsidRPr="000B5337" w:rsidR="005D6647" w:rsidP="00972FE2" w:rsidRDefault="00972FE2" w14:paraId="1F0C72D9" w14:textId="45710CD5">
      <w:pPr>
        <w:rPr>
          <w:szCs w:val="26"/>
        </w:rPr>
      </w:pPr>
      <w:r w:rsidRPr="00972FE2">
        <w:rPr>
          <w:iCs/>
          <w:szCs w:val="26"/>
        </w:rPr>
        <w:t>The Commission has determined that these information collection activities provide for transparency that is necessary for just and reasonable rates.</w:t>
      </w:r>
      <w:r w:rsidR="00C74537">
        <w:rPr>
          <w:iCs/>
          <w:szCs w:val="26"/>
        </w:rPr>
        <w:t xml:space="preserve">  If the Commission failed to collect the information, or collected it less frequently, </w:t>
      </w:r>
      <w:r w:rsidRPr="000B5337" w:rsidR="005D6647">
        <w:rPr>
          <w:szCs w:val="26"/>
        </w:rPr>
        <w:t xml:space="preserve">the Commission would be unable </w:t>
      </w:r>
      <w:r w:rsidRPr="000B5337" w:rsidR="00D86594">
        <w:rPr>
          <w:szCs w:val="26"/>
        </w:rPr>
        <w:t xml:space="preserve">to </w:t>
      </w:r>
      <w:r w:rsidRPr="000B5337" w:rsidR="005D6647">
        <w:rPr>
          <w:szCs w:val="26"/>
        </w:rPr>
        <w:t xml:space="preserve">ensure that </w:t>
      </w:r>
      <w:r w:rsidR="001C75C6">
        <w:rPr>
          <w:szCs w:val="26"/>
        </w:rPr>
        <w:t xml:space="preserve">the relevant rates </w:t>
      </w:r>
      <w:r w:rsidRPr="000B5337" w:rsidR="005D6647">
        <w:rPr>
          <w:szCs w:val="26"/>
        </w:rPr>
        <w:t>are just and reasonable</w:t>
      </w:r>
      <w:r w:rsidR="0003032B">
        <w:rPr>
          <w:szCs w:val="26"/>
        </w:rPr>
        <w:t>.</w:t>
      </w:r>
    </w:p>
    <w:p w:rsidRPr="000B5337" w:rsidR="00877886" w:rsidP="00877886" w:rsidRDefault="00877886" w14:paraId="3B9EA083" w14:textId="77777777">
      <w:pPr>
        <w:pStyle w:val="FERCparanumber"/>
        <w:numPr>
          <w:ilvl w:val="0"/>
          <w:numId w:val="0"/>
        </w:numPr>
        <w:rPr>
          <w:sz w:val="24"/>
          <w:szCs w:val="26"/>
        </w:rPr>
      </w:pPr>
    </w:p>
    <w:p w:rsidRPr="000B5337" w:rsidR="00877886" w:rsidP="00877886" w:rsidRDefault="00877886" w14:paraId="4F808579" w14:textId="77777777">
      <w:pPr>
        <w:pStyle w:val="FERCparanumber"/>
        <w:numPr>
          <w:ilvl w:val="0"/>
          <w:numId w:val="2"/>
        </w:numPr>
        <w:rPr>
          <w:sz w:val="24"/>
          <w:szCs w:val="26"/>
        </w:rPr>
      </w:pPr>
      <w:r w:rsidRPr="000B5337">
        <w:rPr>
          <w:b/>
          <w:sz w:val="24"/>
          <w:szCs w:val="26"/>
        </w:rPr>
        <w:t>EXPLAIN ANY SPECIAL CIRCUMSTANCES RELATING TO THE INFORMATION</w:t>
      </w:r>
    </w:p>
    <w:p w:rsidRPr="000B5337" w:rsidR="00877886" w:rsidP="00877886" w:rsidRDefault="00877886" w14:paraId="108D6287" w14:textId="77777777">
      <w:pPr>
        <w:pStyle w:val="FERCparanumber"/>
        <w:numPr>
          <w:ilvl w:val="0"/>
          <w:numId w:val="0"/>
        </w:numPr>
        <w:rPr>
          <w:b/>
          <w:sz w:val="24"/>
          <w:szCs w:val="26"/>
        </w:rPr>
      </w:pPr>
    </w:p>
    <w:p w:rsidR="00CD64EC" w:rsidP="00877886" w:rsidRDefault="00D87DD0" w14:paraId="296B7A54" w14:textId="2A6570D1">
      <w:pPr>
        <w:rPr>
          <w:szCs w:val="26"/>
        </w:rPr>
      </w:pPr>
      <w:r>
        <w:rPr>
          <w:szCs w:val="26"/>
        </w:rPr>
        <w:t>The Commission</w:t>
      </w:r>
      <w:r w:rsidR="00C80A10">
        <w:rPr>
          <w:szCs w:val="26"/>
        </w:rPr>
        <w:t xml:space="preserve">’s </w:t>
      </w:r>
      <w:r w:rsidR="0055552C">
        <w:rPr>
          <w:szCs w:val="26"/>
        </w:rPr>
        <w:t xml:space="preserve">regulations at 18 CFR 35.28(g)(10) </w:t>
      </w:r>
      <w:r w:rsidR="00CF6CF4">
        <w:rPr>
          <w:szCs w:val="26"/>
        </w:rPr>
        <w:t xml:space="preserve">require posting of </w:t>
      </w:r>
      <w:r w:rsidR="0096238D">
        <w:rPr>
          <w:szCs w:val="26"/>
        </w:rPr>
        <w:t>certain</w:t>
      </w:r>
      <w:r w:rsidR="0075108E">
        <w:rPr>
          <w:szCs w:val="26"/>
        </w:rPr>
        <w:t xml:space="preserve"> uplift </w:t>
      </w:r>
      <w:r w:rsidR="00C74B42">
        <w:rPr>
          <w:szCs w:val="26"/>
        </w:rPr>
        <w:t xml:space="preserve">information </w:t>
      </w:r>
      <w:r w:rsidR="00C80A10">
        <w:rPr>
          <w:szCs w:val="26"/>
        </w:rPr>
        <w:t>every month</w:t>
      </w:r>
      <w:r w:rsidR="00034522">
        <w:rPr>
          <w:szCs w:val="26"/>
        </w:rPr>
        <w:t>.  In accordance with</w:t>
      </w:r>
      <w:r>
        <w:rPr>
          <w:szCs w:val="26"/>
        </w:rPr>
        <w:t xml:space="preserve"> </w:t>
      </w:r>
      <w:r w:rsidR="00CF6CF4">
        <w:rPr>
          <w:szCs w:val="26"/>
        </w:rPr>
        <w:t>5 CFR 1320.5</w:t>
      </w:r>
      <w:r w:rsidR="00034522">
        <w:rPr>
          <w:szCs w:val="26"/>
        </w:rPr>
        <w:t xml:space="preserve">(d)(2), the </w:t>
      </w:r>
      <w:r w:rsidR="00681D33">
        <w:rPr>
          <w:szCs w:val="26"/>
        </w:rPr>
        <w:t>Commission</w:t>
      </w:r>
      <w:r w:rsidR="00034522">
        <w:rPr>
          <w:szCs w:val="26"/>
        </w:rPr>
        <w:t xml:space="preserve"> </w:t>
      </w:r>
      <w:r w:rsidR="00CD64EC">
        <w:rPr>
          <w:szCs w:val="26"/>
        </w:rPr>
        <w:t xml:space="preserve">explains here </w:t>
      </w:r>
      <w:r w:rsidR="00EE1F49">
        <w:rPr>
          <w:szCs w:val="26"/>
        </w:rPr>
        <w:t xml:space="preserve">why </w:t>
      </w:r>
      <w:r w:rsidR="00AA720A">
        <w:rPr>
          <w:szCs w:val="26"/>
        </w:rPr>
        <w:t>it is necessar</w:t>
      </w:r>
      <w:r w:rsidR="00A95A5D">
        <w:rPr>
          <w:szCs w:val="26"/>
        </w:rPr>
        <w:t>y</w:t>
      </w:r>
      <w:r w:rsidR="00AA720A">
        <w:rPr>
          <w:szCs w:val="26"/>
        </w:rPr>
        <w:t xml:space="preserve"> to collect the information </w:t>
      </w:r>
      <w:r w:rsidR="00C80A10">
        <w:rPr>
          <w:szCs w:val="26"/>
        </w:rPr>
        <w:t>more frequently than quarterly.</w:t>
      </w:r>
    </w:p>
    <w:p w:rsidR="00CD64EC" w:rsidP="00877886" w:rsidRDefault="00CD64EC" w14:paraId="1A597DAE" w14:textId="77777777">
      <w:pPr>
        <w:rPr>
          <w:szCs w:val="26"/>
        </w:rPr>
      </w:pPr>
    </w:p>
    <w:p w:rsidRPr="000B5337" w:rsidR="00877886" w:rsidP="00877886" w:rsidRDefault="00CD64EC" w14:paraId="1B099A47" w14:textId="26438245">
      <w:pPr>
        <w:rPr>
          <w:szCs w:val="26"/>
        </w:rPr>
      </w:pPr>
      <w:r>
        <w:rPr>
          <w:szCs w:val="26"/>
        </w:rPr>
        <w:t xml:space="preserve">In the rulemaking that led to </w:t>
      </w:r>
      <w:r w:rsidR="007960F2">
        <w:rPr>
          <w:szCs w:val="26"/>
        </w:rPr>
        <w:t xml:space="preserve">the promulgation of 18 CFR 35.28(g)(10), the </w:t>
      </w:r>
      <w:r w:rsidR="00681D33">
        <w:rPr>
          <w:szCs w:val="26"/>
        </w:rPr>
        <w:t>Commission</w:t>
      </w:r>
      <w:r w:rsidR="007960F2">
        <w:rPr>
          <w:szCs w:val="26"/>
        </w:rPr>
        <w:t xml:space="preserve"> determined that </w:t>
      </w:r>
      <w:r w:rsidR="004C4D8B">
        <w:rPr>
          <w:szCs w:val="26"/>
        </w:rPr>
        <w:t xml:space="preserve">monthly </w:t>
      </w:r>
      <w:r w:rsidR="00AF556B">
        <w:rPr>
          <w:szCs w:val="26"/>
        </w:rPr>
        <w:t>reporting</w:t>
      </w:r>
      <w:r w:rsidR="006F2728">
        <w:rPr>
          <w:szCs w:val="26"/>
        </w:rPr>
        <w:t xml:space="preserve"> </w:t>
      </w:r>
      <w:r w:rsidR="00D440CF">
        <w:rPr>
          <w:szCs w:val="26"/>
        </w:rPr>
        <w:t>requirements</w:t>
      </w:r>
      <w:r w:rsidR="00C2757D">
        <w:rPr>
          <w:szCs w:val="26"/>
        </w:rPr>
        <w:t xml:space="preserve"> are necessary to ensure just and reasonable rates </w:t>
      </w:r>
      <w:r w:rsidR="001154EF">
        <w:rPr>
          <w:szCs w:val="26"/>
        </w:rPr>
        <w:t>in compliance with FPA section 206</w:t>
      </w:r>
      <w:r w:rsidR="00272527">
        <w:rPr>
          <w:szCs w:val="26"/>
        </w:rPr>
        <w:t>, and that the</w:t>
      </w:r>
      <w:r w:rsidR="00F50981">
        <w:rPr>
          <w:szCs w:val="26"/>
        </w:rPr>
        <w:t>re is specific</w:t>
      </w:r>
      <w:r w:rsidR="00A842C6">
        <w:rPr>
          <w:szCs w:val="26"/>
        </w:rPr>
        <w:t>, o</w:t>
      </w:r>
      <w:r w:rsidR="00F50981">
        <w:rPr>
          <w:szCs w:val="26"/>
        </w:rPr>
        <w:t xml:space="preserve">bjective support for the </w:t>
      </w:r>
      <w:r w:rsidR="00272527">
        <w:rPr>
          <w:szCs w:val="26"/>
        </w:rPr>
        <w:t>burden estimates associated with the information collection requirements</w:t>
      </w:r>
      <w:r w:rsidR="00F50981">
        <w:rPr>
          <w:szCs w:val="26"/>
        </w:rPr>
        <w:t>.</w:t>
      </w:r>
      <w:r w:rsidR="001154EF">
        <w:rPr>
          <w:rStyle w:val="FootnoteReference"/>
          <w:szCs w:val="26"/>
        </w:rPr>
        <w:footnoteReference w:id="7"/>
      </w:r>
    </w:p>
    <w:p w:rsidRPr="000B5337" w:rsidR="00877886" w:rsidP="00877886" w:rsidRDefault="00877886" w14:paraId="5A706956" w14:textId="77777777">
      <w:pPr>
        <w:pStyle w:val="FERCparanumber"/>
        <w:numPr>
          <w:ilvl w:val="0"/>
          <w:numId w:val="0"/>
        </w:numPr>
        <w:rPr>
          <w:sz w:val="24"/>
          <w:szCs w:val="26"/>
        </w:rPr>
      </w:pPr>
    </w:p>
    <w:p w:rsidRPr="00327220" w:rsidR="00877886" w:rsidP="00877886" w:rsidRDefault="00877886" w14:paraId="2585F664" w14:textId="18CD7748">
      <w:pPr>
        <w:pStyle w:val="FERCparanumber"/>
        <w:numPr>
          <w:ilvl w:val="0"/>
          <w:numId w:val="2"/>
        </w:numPr>
        <w:rPr>
          <w:sz w:val="24"/>
          <w:szCs w:val="26"/>
        </w:rPr>
      </w:pPr>
      <w:r w:rsidRPr="000B5337">
        <w:rPr>
          <w:b/>
          <w:sz w:val="24"/>
          <w:szCs w:val="26"/>
        </w:rPr>
        <w:t>DESCRIBE EFFORTS TO CONSULT OUTSIDE THE AGENCY: SUMMARIZE PUBLIC COMMENTS AND THE AGENCY’S RESPONSE TO THESE COMMENTS</w:t>
      </w:r>
    </w:p>
    <w:p w:rsidR="00327220" w:rsidP="00327220" w:rsidRDefault="00327220" w14:paraId="794EBB00" w14:textId="77777777">
      <w:pPr>
        <w:pStyle w:val="FERCparanumber"/>
        <w:numPr>
          <w:ilvl w:val="0"/>
          <w:numId w:val="0"/>
        </w:numPr>
        <w:ind w:left="72"/>
        <w:rPr>
          <w:bCs/>
          <w:sz w:val="24"/>
          <w:szCs w:val="26"/>
        </w:rPr>
      </w:pPr>
      <w:r>
        <w:rPr>
          <w:bCs/>
          <w:sz w:val="24"/>
          <w:szCs w:val="26"/>
        </w:rPr>
        <w:t xml:space="preserve"> </w:t>
      </w:r>
    </w:p>
    <w:p w:rsidR="00327220" w:rsidP="00327220" w:rsidRDefault="00A03C9D" w14:paraId="1D65C812" w14:textId="069EFB5A">
      <w:pPr>
        <w:pStyle w:val="FERCparanumber"/>
        <w:numPr>
          <w:ilvl w:val="0"/>
          <w:numId w:val="0"/>
        </w:numPr>
        <w:ind w:left="72"/>
        <w:rPr>
          <w:bCs/>
          <w:sz w:val="24"/>
          <w:szCs w:val="26"/>
        </w:rPr>
      </w:pPr>
      <w:r w:rsidRPr="00A03C9D">
        <w:rPr>
          <w:bCs/>
          <w:sz w:val="24"/>
          <w:szCs w:val="26"/>
        </w:rPr>
        <w:t xml:space="preserve">Each FERC </w:t>
      </w:r>
      <w:r>
        <w:rPr>
          <w:bCs/>
          <w:sz w:val="24"/>
          <w:szCs w:val="26"/>
        </w:rPr>
        <w:t>rulemaking or renewal of an information collection activity</w:t>
      </w:r>
      <w:r w:rsidRPr="00A03C9D">
        <w:rPr>
          <w:bCs/>
          <w:sz w:val="24"/>
          <w:szCs w:val="26"/>
        </w:rPr>
        <w:t xml:space="preserve"> is published in the Federal Register thereby providing public utilities and licensees, state commissions, federal agencies, and other interested parties an opportunity to submit data, views, comments or suggestions concerning the proposed collections of data. </w:t>
      </w:r>
      <w:r>
        <w:rPr>
          <w:bCs/>
          <w:sz w:val="24"/>
          <w:szCs w:val="26"/>
        </w:rPr>
        <w:t xml:space="preserve"> </w:t>
      </w:r>
      <w:r w:rsidR="00825294">
        <w:rPr>
          <w:bCs/>
          <w:sz w:val="24"/>
          <w:szCs w:val="26"/>
        </w:rPr>
        <w:t>On April 6, 2021, t</w:t>
      </w:r>
      <w:r w:rsidR="00327220">
        <w:rPr>
          <w:bCs/>
          <w:sz w:val="24"/>
          <w:szCs w:val="26"/>
        </w:rPr>
        <w:t xml:space="preserve">he Commission </w:t>
      </w:r>
      <w:r w:rsidR="00327220">
        <w:rPr>
          <w:bCs/>
          <w:sz w:val="24"/>
          <w:szCs w:val="26"/>
        </w:rPr>
        <w:lastRenderedPageBreak/>
        <w:t xml:space="preserve">issued </w:t>
      </w:r>
      <w:r w:rsidR="00BA2EC4">
        <w:rPr>
          <w:bCs/>
          <w:sz w:val="24"/>
          <w:szCs w:val="26"/>
        </w:rPr>
        <w:t xml:space="preserve">a notice </w:t>
      </w:r>
      <w:r w:rsidR="001C45D3">
        <w:rPr>
          <w:bCs/>
          <w:sz w:val="24"/>
          <w:szCs w:val="26"/>
        </w:rPr>
        <w:t xml:space="preserve">inviting </w:t>
      </w:r>
      <w:r w:rsidR="00BA2EC4">
        <w:rPr>
          <w:bCs/>
          <w:sz w:val="24"/>
          <w:szCs w:val="26"/>
        </w:rPr>
        <w:t xml:space="preserve">public comments on the proposed renewal of this information </w:t>
      </w:r>
      <w:r w:rsidR="00C90187">
        <w:rPr>
          <w:bCs/>
          <w:sz w:val="24"/>
          <w:szCs w:val="26"/>
        </w:rPr>
        <w:t>collection for</w:t>
      </w:r>
      <w:r w:rsidR="00AB7E79">
        <w:rPr>
          <w:bCs/>
          <w:sz w:val="24"/>
          <w:szCs w:val="26"/>
        </w:rPr>
        <w:t xml:space="preserve"> a period of 60 days</w:t>
      </w:r>
      <w:r w:rsidR="00C954A0">
        <w:rPr>
          <w:bCs/>
          <w:sz w:val="24"/>
          <w:szCs w:val="26"/>
        </w:rPr>
        <w:t>.</w:t>
      </w:r>
      <w:r w:rsidR="00A83A5C">
        <w:rPr>
          <w:rStyle w:val="FootnoteReference"/>
          <w:bCs/>
          <w:sz w:val="24"/>
          <w:szCs w:val="26"/>
        </w:rPr>
        <w:footnoteReference w:id="8"/>
      </w:r>
      <w:r w:rsidR="001C184C">
        <w:rPr>
          <w:bCs/>
          <w:sz w:val="24"/>
          <w:szCs w:val="26"/>
        </w:rPr>
        <w:t xml:space="preserve">  The notice was published </w:t>
      </w:r>
      <w:r w:rsidR="00BB4CB1">
        <w:rPr>
          <w:bCs/>
          <w:sz w:val="24"/>
          <w:szCs w:val="26"/>
        </w:rPr>
        <w:t xml:space="preserve">in the Federal Register </w:t>
      </w:r>
      <w:r w:rsidR="001C184C">
        <w:rPr>
          <w:bCs/>
          <w:sz w:val="24"/>
          <w:szCs w:val="26"/>
        </w:rPr>
        <w:t>on April 12, 2021.</w:t>
      </w:r>
      <w:r w:rsidR="000B2D1B">
        <w:rPr>
          <w:rStyle w:val="FootnoteReference"/>
          <w:bCs/>
          <w:sz w:val="24"/>
          <w:szCs w:val="26"/>
        </w:rPr>
        <w:footnoteReference w:id="9"/>
      </w:r>
      <w:r w:rsidR="00130531">
        <w:rPr>
          <w:bCs/>
          <w:sz w:val="24"/>
          <w:szCs w:val="26"/>
        </w:rPr>
        <w:t xml:space="preserve">  The comment period ended on June 11, 2021. </w:t>
      </w:r>
    </w:p>
    <w:p w:rsidR="000C082E" w:rsidP="00327220" w:rsidRDefault="000C082E" w14:paraId="0A2CDB1C" w14:textId="41D0B1F9">
      <w:pPr>
        <w:pStyle w:val="FERCparanumber"/>
        <w:numPr>
          <w:ilvl w:val="0"/>
          <w:numId w:val="0"/>
        </w:numPr>
        <w:ind w:left="72"/>
        <w:rPr>
          <w:bCs/>
          <w:sz w:val="24"/>
          <w:szCs w:val="26"/>
        </w:rPr>
      </w:pPr>
    </w:p>
    <w:p w:rsidRPr="000B5337" w:rsidR="000C082E" w:rsidP="00327220" w:rsidRDefault="000C082E" w14:paraId="7E4884A1" w14:textId="3D10A0F3">
      <w:pPr>
        <w:pStyle w:val="FERCparanumber"/>
        <w:numPr>
          <w:ilvl w:val="0"/>
          <w:numId w:val="0"/>
        </w:numPr>
        <w:ind w:left="72"/>
        <w:rPr>
          <w:sz w:val="24"/>
          <w:szCs w:val="26"/>
        </w:rPr>
      </w:pPr>
      <w:r>
        <w:rPr>
          <w:bCs/>
          <w:sz w:val="24"/>
          <w:szCs w:val="26"/>
        </w:rPr>
        <w:t>The Commission issued a second notice seeking public comments for a period of 30 days</w:t>
      </w:r>
      <w:r w:rsidR="000E57A5">
        <w:rPr>
          <w:bCs/>
          <w:sz w:val="24"/>
          <w:szCs w:val="26"/>
        </w:rPr>
        <w:t xml:space="preserve"> on </w:t>
      </w:r>
      <w:r w:rsidR="00D440CF">
        <w:rPr>
          <w:bCs/>
          <w:sz w:val="24"/>
          <w:szCs w:val="26"/>
        </w:rPr>
        <w:t xml:space="preserve">June </w:t>
      </w:r>
      <w:r w:rsidR="00AA01A2">
        <w:rPr>
          <w:bCs/>
          <w:sz w:val="24"/>
          <w:szCs w:val="26"/>
        </w:rPr>
        <w:t>16</w:t>
      </w:r>
      <w:r w:rsidR="00D32C90">
        <w:rPr>
          <w:bCs/>
          <w:sz w:val="24"/>
          <w:szCs w:val="26"/>
        </w:rPr>
        <w:t>,</w:t>
      </w:r>
      <w:r w:rsidR="000E57A5">
        <w:rPr>
          <w:bCs/>
          <w:sz w:val="24"/>
          <w:szCs w:val="26"/>
        </w:rPr>
        <w:t xml:space="preserve"> 2021</w:t>
      </w:r>
      <w:r w:rsidR="003A1583">
        <w:rPr>
          <w:bCs/>
          <w:sz w:val="24"/>
          <w:szCs w:val="26"/>
        </w:rPr>
        <w:t xml:space="preserve">.  The notice was published in the </w:t>
      </w:r>
      <w:r w:rsidR="00681D33">
        <w:rPr>
          <w:bCs/>
          <w:sz w:val="24"/>
          <w:szCs w:val="26"/>
        </w:rPr>
        <w:t>Federal</w:t>
      </w:r>
      <w:r w:rsidR="003A1583">
        <w:rPr>
          <w:bCs/>
          <w:sz w:val="24"/>
          <w:szCs w:val="26"/>
        </w:rPr>
        <w:t xml:space="preserve"> Register on June </w:t>
      </w:r>
      <w:r w:rsidR="00AA01A2">
        <w:rPr>
          <w:bCs/>
          <w:sz w:val="24"/>
          <w:szCs w:val="26"/>
        </w:rPr>
        <w:t>24</w:t>
      </w:r>
      <w:r w:rsidR="003A1583">
        <w:rPr>
          <w:bCs/>
          <w:sz w:val="24"/>
          <w:szCs w:val="26"/>
        </w:rPr>
        <w:t>, 2021.</w:t>
      </w:r>
      <w:r w:rsidR="00AA01A2">
        <w:rPr>
          <w:rStyle w:val="FootnoteReference"/>
          <w:bCs/>
          <w:sz w:val="24"/>
          <w:szCs w:val="26"/>
        </w:rPr>
        <w:footnoteReference w:id="10"/>
      </w:r>
    </w:p>
    <w:p w:rsidR="0047570C" w:rsidP="000B5C93" w:rsidRDefault="0047570C" w14:paraId="1F4A0E41" w14:textId="65490899">
      <w:pPr>
        <w:widowControl/>
        <w:autoSpaceDE/>
        <w:autoSpaceDN/>
        <w:adjustRightInd/>
        <w:spacing w:after="120"/>
        <w:rPr>
          <w:b/>
          <w:szCs w:val="26"/>
        </w:rPr>
      </w:pPr>
    </w:p>
    <w:p w:rsidRPr="000B5337" w:rsidR="00877886" w:rsidP="00877886" w:rsidRDefault="00877886" w14:paraId="07C0DFEB" w14:textId="77777777">
      <w:pPr>
        <w:pStyle w:val="FERCparanumber"/>
        <w:numPr>
          <w:ilvl w:val="0"/>
          <w:numId w:val="2"/>
        </w:numPr>
        <w:rPr>
          <w:sz w:val="24"/>
          <w:szCs w:val="26"/>
        </w:rPr>
      </w:pPr>
      <w:r w:rsidRPr="000B5337">
        <w:rPr>
          <w:b/>
          <w:sz w:val="24"/>
          <w:szCs w:val="26"/>
        </w:rPr>
        <w:t>EXPLAIN ANY PAYMENT OR GIFTS TO RESPONDENTS</w:t>
      </w:r>
    </w:p>
    <w:p w:rsidRPr="000B5337" w:rsidR="00877886" w:rsidP="00877886" w:rsidRDefault="00877886" w14:paraId="0D5AFC63" w14:textId="77777777">
      <w:pPr>
        <w:pStyle w:val="FERCparanumber"/>
        <w:numPr>
          <w:ilvl w:val="0"/>
          <w:numId w:val="0"/>
        </w:numPr>
        <w:rPr>
          <w:b/>
          <w:sz w:val="24"/>
          <w:szCs w:val="26"/>
        </w:rPr>
      </w:pPr>
    </w:p>
    <w:p w:rsidRPr="000B5337" w:rsidR="00877886" w:rsidP="00877886" w:rsidRDefault="00877886" w14:paraId="76911669" w14:textId="77777777">
      <w:pPr>
        <w:widowControl/>
        <w:rPr>
          <w:szCs w:val="26"/>
        </w:rPr>
      </w:pPr>
      <w:r w:rsidRPr="000B5337">
        <w:rPr>
          <w:szCs w:val="26"/>
        </w:rPr>
        <w:t>There are no payments or gifts to respondents of this collection.</w:t>
      </w:r>
    </w:p>
    <w:p w:rsidRPr="000B5337" w:rsidR="00877886" w:rsidP="00877886" w:rsidRDefault="00877886" w14:paraId="3715C00B" w14:textId="77777777">
      <w:pPr>
        <w:pStyle w:val="FERCparanumber"/>
        <w:numPr>
          <w:ilvl w:val="0"/>
          <w:numId w:val="0"/>
        </w:numPr>
        <w:rPr>
          <w:b/>
          <w:sz w:val="24"/>
          <w:szCs w:val="26"/>
        </w:rPr>
      </w:pPr>
    </w:p>
    <w:p w:rsidRPr="000B5337" w:rsidR="00877886" w:rsidP="00877886" w:rsidRDefault="00877886" w14:paraId="22C8E151" w14:textId="77777777">
      <w:pPr>
        <w:pStyle w:val="FERCparanumber"/>
        <w:numPr>
          <w:ilvl w:val="0"/>
          <w:numId w:val="2"/>
        </w:numPr>
        <w:rPr>
          <w:sz w:val="24"/>
          <w:szCs w:val="26"/>
        </w:rPr>
      </w:pPr>
      <w:r w:rsidRPr="000B5337">
        <w:rPr>
          <w:b/>
          <w:sz w:val="24"/>
          <w:szCs w:val="26"/>
        </w:rPr>
        <w:t>DESCRIBE ANY ASSURANCE OF CONFIDENTIALITY PROVIDED TO RESPONDENTS</w:t>
      </w:r>
    </w:p>
    <w:p w:rsidRPr="000B5337" w:rsidR="00877886" w:rsidP="00877886" w:rsidRDefault="00877886" w14:paraId="0F78A0A5" w14:textId="77777777">
      <w:pPr>
        <w:pStyle w:val="FERCparanumber"/>
        <w:numPr>
          <w:ilvl w:val="0"/>
          <w:numId w:val="0"/>
        </w:numPr>
        <w:rPr>
          <w:b/>
          <w:sz w:val="24"/>
          <w:szCs w:val="26"/>
        </w:rPr>
      </w:pPr>
    </w:p>
    <w:p w:rsidRPr="000B5337" w:rsidR="00194F21" w:rsidP="00877886" w:rsidRDefault="00877886" w14:paraId="0BC5FE83" w14:textId="5963DEEC">
      <w:pPr>
        <w:pStyle w:val="FERCparanumber"/>
        <w:numPr>
          <w:ilvl w:val="0"/>
          <w:numId w:val="0"/>
        </w:numPr>
        <w:rPr>
          <w:sz w:val="24"/>
          <w:szCs w:val="26"/>
        </w:rPr>
      </w:pPr>
      <w:r w:rsidRPr="000B5337">
        <w:rPr>
          <w:sz w:val="24"/>
          <w:szCs w:val="26"/>
        </w:rPr>
        <w:t xml:space="preserve">The </w:t>
      </w:r>
      <w:r w:rsidRPr="000B5337" w:rsidR="00194F21">
        <w:rPr>
          <w:sz w:val="24"/>
          <w:szCs w:val="26"/>
        </w:rPr>
        <w:t xml:space="preserve">FERC-516G </w:t>
      </w:r>
      <w:r w:rsidRPr="000B5337">
        <w:rPr>
          <w:sz w:val="24"/>
          <w:szCs w:val="26"/>
        </w:rPr>
        <w:t xml:space="preserve">data </w:t>
      </w:r>
      <w:r w:rsidRPr="000B5337" w:rsidR="00BC29A5">
        <w:rPr>
          <w:sz w:val="24"/>
          <w:szCs w:val="26"/>
        </w:rPr>
        <w:t>are</w:t>
      </w:r>
      <w:r w:rsidRPr="000B5337">
        <w:rPr>
          <w:sz w:val="24"/>
          <w:szCs w:val="26"/>
        </w:rPr>
        <w:t xml:space="preserve"> public.  </w:t>
      </w:r>
    </w:p>
    <w:p w:rsidRPr="000B5337" w:rsidR="00194F21" w:rsidP="00877886" w:rsidRDefault="00194F21" w14:paraId="2ED13393" w14:textId="77777777">
      <w:pPr>
        <w:pStyle w:val="FERCparanumber"/>
        <w:numPr>
          <w:ilvl w:val="0"/>
          <w:numId w:val="0"/>
        </w:numPr>
        <w:rPr>
          <w:sz w:val="24"/>
          <w:szCs w:val="26"/>
        </w:rPr>
      </w:pPr>
    </w:p>
    <w:p w:rsidRPr="000B5337" w:rsidR="00877886" w:rsidP="00877886" w:rsidRDefault="00877886" w14:paraId="21B7809B" w14:textId="1E7E89E3">
      <w:pPr>
        <w:pStyle w:val="FERCparanumber"/>
        <w:numPr>
          <w:ilvl w:val="0"/>
          <w:numId w:val="0"/>
        </w:numPr>
        <w:rPr>
          <w:sz w:val="24"/>
          <w:szCs w:val="26"/>
        </w:rPr>
      </w:pPr>
      <w:r w:rsidRPr="000B5337">
        <w:rPr>
          <w:sz w:val="24"/>
          <w:szCs w:val="26"/>
        </w:rPr>
        <w:t>In general, for all submittals to the Commission, filers may submit specific requests for confidential treatment to the extent permitted by law, as set forth</w:t>
      </w:r>
      <w:r w:rsidRPr="000B5337" w:rsidR="00A10677">
        <w:rPr>
          <w:sz w:val="24"/>
          <w:szCs w:val="26"/>
        </w:rPr>
        <w:t xml:space="preserve"> in 18 CFR</w:t>
      </w:r>
      <w:r w:rsidRPr="000B5337">
        <w:rPr>
          <w:sz w:val="24"/>
          <w:szCs w:val="26"/>
        </w:rPr>
        <w:t xml:space="preserve"> 388.112.</w:t>
      </w:r>
    </w:p>
    <w:p w:rsidRPr="000B5337" w:rsidR="00877886" w:rsidP="00877886" w:rsidRDefault="00877886" w14:paraId="17CD89A9" w14:textId="77777777">
      <w:pPr>
        <w:pStyle w:val="FERCparanumber"/>
        <w:numPr>
          <w:ilvl w:val="0"/>
          <w:numId w:val="0"/>
        </w:numPr>
        <w:rPr>
          <w:sz w:val="24"/>
          <w:szCs w:val="26"/>
        </w:rPr>
      </w:pPr>
    </w:p>
    <w:p w:rsidRPr="000B5337" w:rsidR="00877886" w:rsidP="00877886" w:rsidRDefault="00877886" w14:paraId="4326D995" w14:textId="77777777">
      <w:pPr>
        <w:pStyle w:val="FERCparanumber"/>
        <w:numPr>
          <w:ilvl w:val="0"/>
          <w:numId w:val="2"/>
        </w:numPr>
        <w:rPr>
          <w:sz w:val="24"/>
          <w:szCs w:val="26"/>
        </w:rPr>
      </w:pPr>
      <w:r w:rsidRPr="000B5337">
        <w:rPr>
          <w:b/>
          <w:sz w:val="24"/>
          <w:szCs w:val="26"/>
        </w:rPr>
        <w:t>PROVIDE ADDITIONAL JUSTIFICATION FOR ANY QUESTIONS OF A SENSITIVE NATURE, SUCH AS SEXUAL BEHAVIOR AND ATTITUDES, RELIGIOUS BELIEFS, AND OTHER MATTERS THAT ARE COMMONLY CONSIDERED PRIVATE</w:t>
      </w:r>
    </w:p>
    <w:p w:rsidRPr="000B5337" w:rsidR="00877886" w:rsidP="00877886" w:rsidRDefault="00877886" w14:paraId="44760404" w14:textId="77777777">
      <w:pPr>
        <w:pStyle w:val="FERCparanumber"/>
        <w:numPr>
          <w:ilvl w:val="0"/>
          <w:numId w:val="0"/>
        </w:numPr>
        <w:rPr>
          <w:b/>
          <w:sz w:val="24"/>
          <w:szCs w:val="26"/>
        </w:rPr>
      </w:pPr>
    </w:p>
    <w:p w:rsidRPr="000B5337" w:rsidR="00877886" w:rsidP="00877886" w:rsidRDefault="00877886" w14:paraId="7E84F3F4" w14:textId="77777777">
      <w:pPr>
        <w:widowControl/>
        <w:rPr>
          <w:b/>
          <w:szCs w:val="26"/>
        </w:rPr>
      </w:pPr>
      <w:r w:rsidRPr="000B5337">
        <w:rPr>
          <w:szCs w:val="26"/>
        </w:rPr>
        <w:t>This collection does not include any questions of a sensitive nature.</w:t>
      </w:r>
    </w:p>
    <w:p w:rsidRPr="000B5337" w:rsidR="00877886" w:rsidP="00877886" w:rsidRDefault="00877886" w14:paraId="4D8FC410" w14:textId="77777777">
      <w:pPr>
        <w:pStyle w:val="FERCparanumber"/>
        <w:numPr>
          <w:ilvl w:val="0"/>
          <w:numId w:val="0"/>
        </w:numPr>
        <w:rPr>
          <w:sz w:val="24"/>
          <w:szCs w:val="26"/>
        </w:rPr>
      </w:pPr>
    </w:p>
    <w:p w:rsidRPr="000B5337" w:rsidR="00877886" w:rsidP="00877886" w:rsidRDefault="00877886" w14:paraId="1F616D5C" w14:textId="77777777">
      <w:pPr>
        <w:pStyle w:val="FERCparanumber"/>
        <w:numPr>
          <w:ilvl w:val="0"/>
          <w:numId w:val="2"/>
        </w:numPr>
        <w:rPr>
          <w:sz w:val="24"/>
          <w:szCs w:val="26"/>
        </w:rPr>
      </w:pPr>
      <w:r w:rsidRPr="000B5337">
        <w:rPr>
          <w:b/>
          <w:sz w:val="24"/>
          <w:szCs w:val="26"/>
        </w:rPr>
        <w:t>ESTIMATED BURDEN COLLECTION OF INFORMATION</w:t>
      </w:r>
    </w:p>
    <w:p w:rsidRPr="000B5337" w:rsidR="002F5A43" w:rsidP="00E60E73" w:rsidRDefault="002F5A43" w14:paraId="77AD2A33" w14:textId="77777777">
      <w:pPr>
        <w:pStyle w:val="FERCparanumber"/>
        <w:numPr>
          <w:ilvl w:val="0"/>
          <w:numId w:val="0"/>
        </w:numPr>
        <w:rPr>
          <w:sz w:val="24"/>
          <w:szCs w:val="26"/>
        </w:rPr>
      </w:pPr>
    </w:p>
    <w:p w:rsidR="008D5AD1" w:rsidP="003245F4" w:rsidRDefault="00F20EE6" w14:paraId="037CAA6B" w14:textId="169C5AFF">
      <w:pPr>
        <w:pStyle w:val="FERCparanumber"/>
        <w:numPr>
          <w:ilvl w:val="0"/>
          <w:numId w:val="0"/>
        </w:numPr>
        <w:rPr>
          <w:sz w:val="24"/>
        </w:rPr>
      </w:pPr>
      <w:r w:rsidRPr="000B5337">
        <w:rPr>
          <w:sz w:val="24"/>
        </w:rPr>
        <w:t>The estimated burden and cost</w:t>
      </w:r>
      <w:r w:rsidRPr="000B5337">
        <w:rPr>
          <w:sz w:val="24"/>
          <w:vertAlign w:val="superscript"/>
        </w:rPr>
        <w:footnoteReference w:id="11"/>
      </w:r>
      <w:r w:rsidRPr="000B5337">
        <w:rPr>
          <w:sz w:val="24"/>
        </w:rPr>
        <w:t xml:space="preserve"> for the requirements contained in</w:t>
      </w:r>
      <w:r w:rsidRPr="000B5337" w:rsidR="00416044">
        <w:rPr>
          <w:sz w:val="24"/>
        </w:rPr>
        <w:t xml:space="preserve"> 18 CFR 35.28(g)(10)</w:t>
      </w:r>
      <w:r w:rsidRPr="000B5337">
        <w:rPr>
          <w:sz w:val="24"/>
        </w:rPr>
        <w:t xml:space="preserve"> </w:t>
      </w:r>
      <w:r w:rsidRPr="000B5337" w:rsidR="004D1A3B">
        <w:rPr>
          <w:sz w:val="24"/>
        </w:rPr>
        <w:t xml:space="preserve">are as </w:t>
      </w:r>
      <w:r w:rsidRPr="000B5337">
        <w:rPr>
          <w:sz w:val="24"/>
        </w:rPr>
        <w:t>follow</w:t>
      </w:r>
      <w:r w:rsidRPr="000B5337" w:rsidR="007161A5">
        <w:rPr>
          <w:sz w:val="24"/>
        </w:rPr>
        <w:t>s:</w:t>
      </w:r>
      <w:r w:rsidR="00FA323A">
        <w:rPr>
          <w:sz w:val="24"/>
        </w:rPr>
        <w:t xml:space="preserve"> </w:t>
      </w:r>
    </w:p>
    <w:p w:rsidR="008D5AD1" w:rsidRDefault="008D5AD1" w14:paraId="6C3706F1" w14:textId="0463B3F3">
      <w:pPr>
        <w:widowControl/>
        <w:autoSpaceDE/>
        <w:autoSpaceDN/>
        <w:adjustRightInd/>
        <w:spacing w:after="160" w:line="259" w:lineRule="auto"/>
      </w:pPr>
    </w:p>
    <w:tbl>
      <w:tblPr>
        <w:tblStyle w:val="TableGrid"/>
        <w:tblW w:w="0" w:type="auto"/>
        <w:tblLook w:val="01E0" w:firstRow="1" w:lastRow="1" w:firstColumn="1" w:lastColumn="1" w:noHBand="0" w:noVBand="0"/>
      </w:tblPr>
      <w:tblGrid>
        <w:gridCol w:w="1189"/>
        <w:gridCol w:w="1525"/>
        <w:gridCol w:w="1437"/>
        <w:gridCol w:w="1279"/>
        <w:gridCol w:w="1185"/>
        <w:gridCol w:w="1302"/>
        <w:gridCol w:w="1433"/>
      </w:tblGrid>
      <w:tr w:rsidRPr="008D5AD1" w:rsidR="008D5AD1" w:rsidTr="00C05AC1" w14:paraId="2FEA8597" w14:textId="77777777">
        <w:trPr>
          <w:cantSplit/>
        </w:trPr>
        <w:tc>
          <w:tcPr>
            <w:tcW w:w="0" w:type="auto"/>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D5AD1" w:rsidR="008D5AD1" w:rsidP="00C05AC1" w:rsidRDefault="008D5AD1" w14:paraId="0ACB2F84" w14:textId="77777777">
            <w:pPr>
              <w:widowControl/>
              <w:autoSpaceDE/>
              <w:autoSpaceDN/>
              <w:adjustRightInd/>
              <w:spacing w:after="160" w:line="259" w:lineRule="auto"/>
              <w:jc w:val="center"/>
              <w:rPr>
                <w:b/>
              </w:rPr>
            </w:pPr>
            <w:r w:rsidRPr="008D5AD1">
              <w:rPr>
                <w:b/>
              </w:rPr>
              <w:lastRenderedPageBreak/>
              <w:t>FERC-516G Annual Burden Estimates</w:t>
            </w:r>
            <w:r w:rsidRPr="008D5AD1">
              <w:t xml:space="preserve"> </w:t>
            </w:r>
            <w:r w:rsidRPr="008D5AD1">
              <w:rPr>
                <w:b/>
              </w:rPr>
              <w:t>in Docket No. IC21-14-000</w:t>
            </w:r>
          </w:p>
        </w:tc>
      </w:tr>
      <w:tr w:rsidRPr="008D5AD1" w:rsidR="008D5AD1" w:rsidTr="00C05AC1" w14:paraId="1F0DD12A"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D5AD1" w:rsidR="008D5AD1" w:rsidP="0029121E" w:rsidRDefault="008D5AD1" w14:paraId="5313B2E4" w14:textId="77777777">
            <w:pPr>
              <w:widowControl/>
              <w:autoSpaceDE/>
              <w:autoSpaceDN/>
              <w:adjustRightInd/>
              <w:jc w:val="center"/>
              <w:rPr>
                <w:b/>
              </w:rPr>
            </w:pPr>
            <w:r w:rsidRPr="008D5AD1">
              <w:rPr>
                <w:b/>
              </w:rPr>
              <w:t>A.</w:t>
            </w:r>
          </w:p>
          <w:p w:rsidRPr="008D5AD1" w:rsidR="008D5AD1" w:rsidP="0029121E" w:rsidRDefault="008D5AD1" w14:paraId="35C2C825" w14:textId="77777777">
            <w:pPr>
              <w:widowControl/>
              <w:autoSpaceDE/>
              <w:autoSpaceDN/>
              <w:adjustRightInd/>
              <w:jc w:val="center"/>
              <w:rPr>
                <w:b/>
              </w:rPr>
            </w:pPr>
            <w:r w:rsidRPr="008D5AD1">
              <w:rPr>
                <w:b/>
              </w:rPr>
              <w:t>Type of Response</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D5AD1" w:rsidR="008D5AD1" w:rsidP="0029121E" w:rsidRDefault="008D5AD1" w14:paraId="0C84FBD3" w14:textId="77777777">
            <w:pPr>
              <w:widowControl/>
              <w:autoSpaceDE/>
              <w:autoSpaceDN/>
              <w:adjustRightInd/>
              <w:jc w:val="center"/>
              <w:rPr>
                <w:b/>
              </w:rPr>
            </w:pPr>
            <w:r w:rsidRPr="008D5AD1">
              <w:rPr>
                <w:b/>
              </w:rPr>
              <w:t>B.</w:t>
            </w:r>
          </w:p>
          <w:p w:rsidRPr="008D5AD1" w:rsidR="008D5AD1" w:rsidP="0029121E" w:rsidRDefault="008D5AD1" w14:paraId="64BD92F6" w14:textId="77777777">
            <w:pPr>
              <w:widowControl/>
              <w:autoSpaceDE/>
              <w:autoSpaceDN/>
              <w:adjustRightInd/>
              <w:jc w:val="center"/>
              <w:rPr>
                <w:b/>
              </w:rPr>
            </w:pPr>
            <w:r w:rsidRPr="008D5AD1">
              <w:rPr>
                <w:b/>
              </w:rPr>
              <w:t>No. of Respondents</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D5AD1" w:rsidR="008D5AD1" w:rsidP="0029121E" w:rsidRDefault="008D5AD1" w14:paraId="57BBC1E1" w14:textId="77777777">
            <w:pPr>
              <w:widowControl/>
              <w:autoSpaceDE/>
              <w:autoSpaceDN/>
              <w:adjustRightInd/>
              <w:jc w:val="center"/>
              <w:rPr>
                <w:b/>
              </w:rPr>
            </w:pPr>
            <w:r w:rsidRPr="008D5AD1">
              <w:rPr>
                <w:b/>
              </w:rPr>
              <w:t>C.</w:t>
            </w:r>
          </w:p>
          <w:p w:rsidRPr="008D5AD1" w:rsidR="008D5AD1" w:rsidP="0029121E" w:rsidRDefault="008D5AD1" w14:paraId="5909BEC3" w14:textId="77777777">
            <w:pPr>
              <w:widowControl/>
              <w:autoSpaceDE/>
              <w:autoSpaceDN/>
              <w:adjustRightInd/>
              <w:jc w:val="center"/>
              <w:rPr>
                <w:b/>
              </w:rPr>
            </w:pPr>
            <w:r w:rsidRPr="008D5AD1">
              <w:rPr>
                <w:b/>
              </w:rPr>
              <w:t>Annual No. of Responses per Respondent</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D5AD1" w:rsidR="008D5AD1" w:rsidP="0029121E" w:rsidRDefault="008D5AD1" w14:paraId="65E81980" w14:textId="77777777">
            <w:pPr>
              <w:widowControl/>
              <w:autoSpaceDE/>
              <w:autoSpaceDN/>
              <w:adjustRightInd/>
              <w:jc w:val="center"/>
              <w:rPr>
                <w:b/>
              </w:rPr>
            </w:pPr>
            <w:r w:rsidRPr="008D5AD1">
              <w:rPr>
                <w:b/>
              </w:rPr>
              <w:t>D.</w:t>
            </w:r>
          </w:p>
          <w:p w:rsidRPr="008D5AD1" w:rsidR="008D5AD1" w:rsidP="0029121E" w:rsidRDefault="008D5AD1" w14:paraId="14273B77" w14:textId="77777777">
            <w:pPr>
              <w:widowControl/>
              <w:autoSpaceDE/>
              <w:autoSpaceDN/>
              <w:adjustRightInd/>
              <w:jc w:val="center"/>
              <w:rPr>
                <w:b/>
              </w:rPr>
            </w:pPr>
            <w:r w:rsidRPr="008D5AD1">
              <w:rPr>
                <w:b/>
              </w:rPr>
              <w:t>Total No. of Responses (Column B x Column C)</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D5AD1" w:rsidR="008D5AD1" w:rsidP="0029121E" w:rsidRDefault="008D5AD1" w14:paraId="4020F04A" w14:textId="77777777">
            <w:pPr>
              <w:widowControl/>
              <w:autoSpaceDE/>
              <w:autoSpaceDN/>
              <w:adjustRightInd/>
              <w:jc w:val="center"/>
              <w:rPr>
                <w:b/>
              </w:rPr>
            </w:pPr>
            <w:r w:rsidRPr="008D5AD1">
              <w:rPr>
                <w:b/>
              </w:rPr>
              <w:t>E.</w:t>
            </w:r>
          </w:p>
          <w:p w:rsidRPr="008D5AD1" w:rsidR="008D5AD1" w:rsidP="0029121E" w:rsidRDefault="008D5AD1" w14:paraId="4AAF193B" w14:textId="77777777">
            <w:pPr>
              <w:widowControl/>
              <w:autoSpaceDE/>
              <w:autoSpaceDN/>
              <w:adjustRightInd/>
              <w:jc w:val="center"/>
              <w:rPr>
                <w:b/>
              </w:rPr>
            </w:pPr>
            <w:r w:rsidRPr="008D5AD1">
              <w:rPr>
                <w:b/>
              </w:rPr>
              <w:t>Average Burden Hours &amp; Cost Per Response</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D5AD1" w:rsidR="008D5AD1" w:rsidP="0029121E" w:rsidRDefault="008D5AD1" w14:paraId="3A67B7D0" w14:textId="77777777">
            <w:pPr>
              <w:widowControl/>
              <w:autoSpaceDE/>
              <w:autoSpaceDN/>
              <w:adjustRightInd/>
              <w:jc w:val="center"/>
              <w:rPr>
                <w:b/>
              </w:rPr>
            </w:pPr>
            <w:r w:rsidRPr="008D5AD1">
              <w:rPr>
                <w:b/>
              </w:rPr>
              <w:t>F.</w:t>
            </w:r>
          </w:p>
          <w:p w:rsidRPr="008D5AD1" w:rsidR="008D5AD1" w:rsidP="0029121E" w:rsidRDefault="008D5AD1" w14:paraId="38037610" w14:textId="77777777">
            <w:pPr>
              <w:widowControl/>
              <w:autoSpaceDE/>
              <w:autoSpaceDN/>
              <w:adjustRightInd/>
              <w:jc w:val="center"/>
              <w:rPr>
                <w:b/>
              </w:rPr>
            </w:pPr>
            <w:r w:rsidRPr="008D5AD1">
              <w:rPr>
                <w:b/>
              </w:rPr>
              <w:t>Total Annual Burden Hours &amp; Cost</w:t>
            </w:r>
          </w:p>
          <w:p w:rsidRPr="008D5AD1" w:rsidR="008D5AD1" w:rsidP="0029121E" w:rsidRDefault="008D5AD1" w14:paraId="77D512EF" w14:textId="77777777">
            <w:pPr>
              <w:widowControl/>
              <w:autoSpaceDE/>
              <w:autoSpaceDN/>
              <w:adjustRightInd/>
              <w:jc w:val="center"/>
              <w:rPr>
                <w:b/>
              </w:rPr>
            </w:pPr>
            <w:r w:rsidRPr="008D5AD1">
              <w:rPr>
                <w:b/>
              </w:rPr>
              <w:t>(Column D x Column E)</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D5AD1" w:rsidR="008D5AD1" w:rsidP="0029121E" w:rsidRDefault="008D5AD1" w14:paraId="444453D5" w14:textId="77777777">
            <w:pPr>
              <w:widowControl/>
              <w:autoSpaceDE/>
              <w:autoSpaceDN/>
              <w:adjustRightInd/>
              <w:jc w:val="center"/>
              <w:rPr>
                <w:b/>
              </w:rPr>
            </w:pPr>
            <w:r w:rsidRPr="008D5AD1">
              <w:rPr>
                <w:b/>
              </w:rPr>
              <w:t>G.</w:t>
            </w:r>
          </w:p>
          <w:p w:rsidRPr="008D5AD1" w:rsidR="008D5AD1" w:rsidP="0029121E" w:rsidRDefault="008D5AD1" w14:paraId="0C50F9B5" w14:textId="77777777">
            <w:pPr>
              <w:widowControl/>
              <w:autoSpaceDE/>
              <w:autoSpaceDN/>
              <w:adjustRightInd/>
              <w:jc w:val="center"/>
              <w:rPr>
                <w:b/>
              </w:rPr>
            </w:pPr>
            <w:r w:rsidRPr="008D5AD1">
              <w:rPr>
                <w:b/>
              </w:rPr>
              <w:t>Cost per Respondent</w:t>
            </w:r>
          </w:p>
          <w:p w:rsidRPr="008D5AD1" w:rsidR="008D5AD1" w:rsidP="0029121E" w:rsidRDefault="008D5AD1" w14:paraId="19885ABD" w14:textId="77777777">
            <w:pPr>
              <w:widowControl/>
              <w:autoSpaceDE/>
              <w:autoSpaceDN/>
              <w:adjustRightInd/>
              <w:jc w:val="center"/>
              <w:rPr>
                <w:b/>
              </w:rPr>
            </w:pPr>
            <w:r w:rsidRPr="008D5AD1">
              <w:rPr>
                <w:b/>
              </w:rPr>
              <w:t>(Column F ÷ Column B)</w:t>
            </w:r>
          </w:p>
        </w:tc>
      </w:tr>
      <w:tr w:rsidRPr="008D5AD1" w:rsidR="008D5AD1" w:rsidTr="009E66AF" w14:paraId="5BCE2DD1" w14:textId="77777777">
        <w:trPr>
          <w:cantSplit/>
          <w:trHeight w:val="872"/>
        </w:trPr>
        <w:tc>
          <w:tcPr>
            <w:tcW w:w="0" w:type="auto"/>
            <w:tcBorders>
              <w:top w:val="single" w:color="auto" w:sz="4" w:space="0"/>
              <w:left w:val="single" w:color="auto" w:sz="4" w:space="0"/>
              <w:bottom w:val="single" w:color="auto" w:sz="4" w:space="0"/>
              <w:right w:val="single" w:color="auto" w:sz="4" w:space="0"/>
            </w:tcBorders>
            <w:hideMark/>
          </w:tcPr>
          <w:p w:rsidRPr="008D5AD1" w:rsidR="008D5AD1" w:rsidP="0027368F" w:rsidRDefault="008D5AD1" w14:paraId="701DFD30" w14:textId="537CFACC">
            <w:pPr>
              <w:widowControl/>
              <w:autoSpaceDE/>
              <w:autoSpaceDN/>
              <w:adjustRightInd/>
            </w:pPr>
            <w:r w:rsidRPr="008D5AD1">
              <w:t>Preparing and Posting of 3 reports on company website each month</w:t>
            </w:r>
          </w:p>
        </w:tc>
        <w:tc>
          <w:tcPr>
            <w:tcW w:w="0" w:type="auto"/>
            <w:tcBorders>
              <w:top w:val="single" w:color="auto" w:sz="4" w:space="0"/>
              <w:left w:val="single" w:color="auto" w:sz="4" w:space="0"/>
              <w:bottom w:val="single" w:color="auto" w:sz="4" w:space="0"/>
              <w:right w:val="single" w:color="auto" w:sz="4" w:space="0"/>
            </w:tcBorders>
            <w:vAlign w:val="bottom"/>
            <w:hideMark/>
          </w:tcPr>
          <w:p w:rsidRPr="008D5AD1" w:rsidR="008D5AD1" w:rsidP="0027368F" w:rsidRDefault="008D5AD1" w14:paraId="49871ED6" w14:textId="77777777">
            <w:pPr>
              <w:widowControl/>
              <w:autoSpaceDE/>
              <w:autoSpaceDN/>
              <w:adjustRightInd/>
              <w:jc w:val="right"/>
            </w:pPr>
            <w:r w:rsidRPr="008D5AD1">
              <w:t>6</w:t>
            </w:r>
          </w:p>
        </w:tc>
        <w:tc>
          <w:tcPr>
            <w:tcW w:w="0" w:type="auto"/>
            <w:tcBorders>
              <w:top w:val="single" w:color="auto" w:sz="4" w:space="0"/>
              <w:left w:val="single" w:color="auto" w:sz="4" w:space="0"/>
              <w:bottom w:val="single" w:color="auto" w:sz="4" w:space="0"/>
              <w:right w:val="single" w:color="auto" w:sz="4" w:space="0"/>
            </w:tcBorders>
            <w:vAlign w:val="bottom"/>
            <w:hideMark/>
          </w:tcPr>
          <w:p w:rsidRPr="008D5AD1" w:rsidR="008D5AD1" w:rsidP="0027368F" w:rsidRDefault="008D5AD1" w14:paraId="5FB6D015" w14:textId="77777777">
            <w:pPr>
              <w:widowControl/>
              <w:autoSpaceDE/>
              <w:autoSpaceDN/>
              <w:adjustRightInd/>
              <w:jc w:val="right"/>
            </w:pPr>
            <w:r w:rsidRPr="008D5AD1">
              <w:t>12</w:t>
            </w:r>
          </w:p>
        </w:tc>
        <w:tc>
          <w:tcPr>
            <w:tcW w:w="0" w:type="auto"/>
            <w:tcBorders>
              <w:top w:val="single" w:color="auto" w:sz="4" w:space="0"/>
              <w:left w:val="single" w:color="auto" w:sz="4" w:space="0"/>
              <w:bottom w:val="single" w:color="auto" w:sz="4" w:space="0"/>
              <w:right w:val="single" w:color="auto" w:sz="4" w:space="0"/>
            </w:tcBorders>
            <w:vAlign w:val="bottom"/>
            <w:hideMark/>
          </w:tcPr>
          <w:p w:rsidRPr="008D5AD1" w:rsidR="008D5AD1" w:rsidP="0027368F" w:rsidRDefault="008D5AD1" w14:paraId="03599564" w14:textId="77777777">
            <w:pPr>
              <w:widowControl/>
              <w:autoSpaceDE/>
              <w:autoSpaceDN/>
              <w:adjustRightInd/>
              <w:jc w:val="right"/>
            </w:pPr>
            <w:r w:rsidRPr="008D5AD1">
              <w:t>72</w:t>
            </w:r>
          </w:p>
        </w:tc>
        <w:tc>
          <w:tcPr>
            <w:tcW w:w="0" w:type="auto"/>
            <w:tcBorders>
              <w:top w:val="single" w:color="auto" w:sz="4" w:space="0"/>
              <w:left w:val="single" w:color="auto" w:sz="4" w:space="0"/>
              <w:bottom w:val="single" w:color="auto" w:sz="4" w:space="0"/>
              <w:right w:val="single" w:color="auto" w:sz="4" w:space="0"/>
            </w:tcBorders>
            <w:vAlign w:val="bottom"/>
            <w:hideMark/>
          </w:tcPr>
          <w:p w:rsidRPr="008D5AD1" w:rsidR="008D5AD1" w:rsidP="0027368F" w:rsidRDefault="008D5AD1" w14:paraId="1EC4D60D" w14:textId="77777777">
            <w:pPr>
              <w:widowControl/>
              <w:autoSpaceDE/>
              <w:autoSpaceDN/>
              <w:adjustRightInd/>
              <w:jc w:val="right"/>
            </w:pPr>
            <w:r w:rsidRPr="008D5AD1">
              <w:t>3 hrs.; $202.14</w:t>
            </w:r>
          </w:p>
        </w:tc>
        <w:tc>
          <w:tcPr>
            <w:tcW w:w="0" w:type="auto"/>
            <w:tcBorders>
              <w:top w:val="single" w:color="auto" w:sz="4" w:space="0"/>
              <w:left w:val="single" w:color="auto" w:sz="4" w:space="0"/>
              <w:bottom w:val="single" w:color="auto" w:sz="4" w:space="0"/>
              <w:right w:val="single" w:color="auto" w:sz="4" w:space="0"/>
            </w:tcBorders>
            <w:vAlign w:val="bottom"/>
            <w:hideMark/>
          </w:tcPr>
          <w:p w:rsidRPr="008D5AD1" w:rsidR="008D5AD1" w:rsidP="0027368F" w:rsidRDefault="008D5AD1" w14:paraId="00547776" w14:textId="77777777">
            <w:pPr>
              <w:widowControl/>
              <w:autoSpaceDE/>
              <w:autoSpaceDN/>
              <w:adjustRightInd/>
              <w:jc w:val="right"/>
            </w:pPr>
            <w:r w:rsidRPr="008D5AD1">
              <w:t>216 hrs.; $14,554.08</w:t>
            </w:r>
          </w:p>
        </w:tc>
        <w:tc>
          <w:tcPr>
            <w:tcW w:w="0" w:type="auto"/>
            <w:tcBorders>
              <w:top w:val="single" w:color="auto" w:sz="4" w:space="0"/>
              <w:left w:val="single" w:color="auto" w:sz="4" w:space="0"/>
              <w:bottom w:val="single" w:color="auto" w:sz="4" w:space="0"/>
              <w:right w:val="single" w:color="auto" w:sz="4" w:space="0"/>
            </w:tcBorders>
            <w:vAlign w:val="bottom"/>
            <w:hideMark/>
          </w:tcPr>
          <w:p w:rsidRPr="008D5AD1" w:rsidR="008D5AD1" w:rsidP="0027368F" w:rsidRDefault="008D5AD1" w14:paraId="437788F6" w14:textId="77777777">
            <w:pPr>
              <w:widowControl/>
              <w:autoSpaceDE/>
              <w:autoSpaceDN/>
              <w:adjustRightInd/>
              <w:jc w:val="right"/>
            </w:pPr>
            <w:r w:rsidRPr="008D5AD1">
              <w:t>$2,425.68</w:t>
            </w:r>
          </w:p>
        </w:tc>
      </w:tr>
    </w:tbl>
    <w:p w:rsidRPr="000B5337" w:rsidR="00C90778" w:rsidP="00990381" w:rsidRDefault="00C90778" w14:paraId="7FD6174D" w14:textId="7CC09F11">
      <w:pPr>
        <w:pStyle w:val="FERCparanumber"/>
        <w:numPr>
          <w:ilvl w:val="0"/>
          <w:numId w:val="0"/>
        </w:numPr>
        <w:rPr>
          <w:sz w:val="24"/>
          <w:szCs w:val="26"/>
        </w:rPr>
      </w:pPr>
    </w:p>
    <w:p w:rsidRPr="000B5337" w:rsidR="00877886" w:rsidP="00877886" w:rsidRDefault="00877886" w14:paraId="63293FD2" w14:textId="77777777">
      <w:pPr>
        <w:pStyle w:val="FERCparanumber"/>
        <w:numPr>
          <w:ilvl w:val="0"/>
          <w:numId w:val="2"/>
        </w:numPr>
        <w:rPr>
          <w:sz w:val="24"/>
          <w:szCs w:val="26"/>
        </w:rPr>
      </w:pPr>
      <w:r w:rsidRPr="000B5337">
        <w:rPr>
          <w:b/>
          <w:sz w:val="24"/>
          <w:szCs w:val="26"/>
        </w:rPr>
        <w:t>ESTIMATE OF THE TOTAL ANNUAL COST BURDEN TO RESPONDENTS</w:t>
      </w:r>
    </w:p>
    <w:p w:rsidRPr="000B5337" w:rsidR="00877886" w:rsidP="00877886" w:rsidRDefault="00877886" w14:paraId="408244B7" w14:textId="77777777">
      <w:pPr>
        <w:pStyle w:val="FERCparanumber"/>
        <w:numPr>
          <w:ilvl w:val="0"/>
          <w:numId w:val="0"/>
        </w:numPr>
        <w:rPr>
          <w:b/>
          <w:sz w:val="24"/>
          <w:szCs w:val="26"/>
        </w:rPr>
      </w:pPr>
    </w:p>
    <w:p w:rsidRPr="000B5337" w:rsidR="00877886" w:rsidP="00877886" w:rsidRDefault="00877886" w14:paraId="6092E9C2" w14:textId="77777777">
      <w:pPr>
        <w:widowControl/>
        <w:rPr>
          <w:szCs w:val="26"/>
        </w:rPr>
      </w:pPr>
      <w:r w:rsidRPr="000B5337">
        <w:rPr>
          <w:szCs w:val="26"/>
        </w:rPr>
        <w:t>There are no start-up or other non-labor costs.</w:t>
      </w:r>
    </w:p>
    <w:p w:rsidRPr="000B5337" w:rsidR="00877886" w:rsidP="00877886" w:rsidRDefault="00877886" w14:paraId="7F1EAA0A" w14:textId="77777777">
      <w:pPr>
        <w:widowControl/>
        <w:rPr>
          <w:szCs w:val="26"/>
        </w:rPr>
      </w:pPr>
    </w:p>
    <w:p w:rsidRPr="000B5337" w:rsidR="00877886" w:rsidP="00877886" w:rsidRDefault="00877886" w14:paraId="566E376B" w14:textId="77777777">
      <w:pPr>
        <w:widowControl/>
        <w:rPr>
          <w:szCs w:val="26"/>
        </w:rPr>
      </w:pPr>
      <w:r w:rsidRPr="000B5337">
        <w:rPr>
          <w:szCs w:val="26"/>
        </w:rPr>
        <w:t>Total Capital and Start-up cost: $0</w:t>
      </w:r>
    </w:p>
    <w:p w:rsidRPr="000B5337" w:rsidR="00877886" w:rsidP="00877886" w:rsidRDefault="00877886" w14:paraId="5D50F264" w14:textId="77777777">
      <w:pPr>
        <w:widowControl/>
        <w:rPr>
          <w:szCs w:val="26"/>
        </w:rPr>
      </w:pPr>
      <w:r w:rsidRPr="000B5337">
        <w:rPr>
          <w:szCs w:val="26"/>
        </w:rPr>
        <w:t>Total Operation, Maintenance, and Purchase of Services: $0</w:t>
      </w:r>
    </w:p>
    <w:p w:rsidRPr="000B5337" w:rsidR="00877886" w:rsidP="00877886" w:rsidRDefault="00877886" w14:paraId="056FBD19" w14:textId="77777777">
      <w:pPr>
        <w:widowControl/>
        <w:rPr>
          <w:szCs w:val="26"/>
        </w:rPr>
      </w:pPr>
    </w:p>
    <w:p w:rsidR="00E77BE2" w:rsidP="000C33D7" w:rsidRDefault="00877886" w14:paraId="3863FB86" w14:textId="6B56088E">
      <w:pPr>
        <w:widowControl/>
        <w:rPr>
          <w:szCs w:val="26"/>
        </w:rPr>
      </w:pPr>
      <w:r w:rsidRPr="000B5337">
        <w:rPr>
          <w:szCs w:val="26"/>
        </w:rPr>
        <w:t xml:space="preserve">All of the costs in the </w:t>
      </w:r>
      <w:r w:rsidR="00E77BE2">
        <w:rPr>
          <w:szCs w:val="26"/>
        </w:rPr>
        <w:t xml:space="preserve">information collection </w:t>
      </w:r>
      <w:r w:rsidRPr="000B5337">
        <w:rPr>
          <w:szCs w:val="26"/>
        </w:rPr>
        <w:t>rule are associated with burden hours (labor) and described in Questions #12 and #15 in this supporting statement.</w:t>
      </w:r>
      <w:r w:rsidR="00122C5E">
        <w:rPr>
          <w:szCs w:val="26"/>
        </w:rPr>
        <w:br/>
      </w:r>
    </w:p>
    <w:p w:rsidRPr="000B5337" w:rsidR="00877886" w:rsidP="00877886" w:rsidRDefault="00877886" w14:paraId="1FB5BC21" w14:textId="77777777">
      <w:pPr>
        <w:pStyle w:val="FERCparanumber"/>
        <w:numPr>
          <w:ilvl w:val="0"/>
          <w:numId w:val="2"/>
        </w:numPr>
        <w:rPr>
          <w:b/>
          <w:sz w:val="24"/>
          <w:szCs w:val="26"/>
        </w:rPr>
      </w:pPr>
      <w:r w:rsidRPr="000B5337">
        <w:rPr>
          <w:b/>
          <w:sz w:val="24"/>
          <w:szCs w:val="26"/>
        </w:rPr>
        <w:t>ESTIMATED ANNUALIZED COST TO FEDERAL GOVERNMENT</w:t>
      </w:r>
    </w:p>
    <w:p w:rsidRPr="000B5337" w:rsidR="00877886" w:rsidP="00877886" w:rsidRDefault="00877886" w14:paraId="19FF00AD" w14:textId="77777777">
      <w:pPr>
        <w:pStyle w:val="FERCparanumber"/>
        <w:numPr>
          <w:ilvl w:val="0"/>
          <w:numId w:val="0"/>
        </w:numPr>
        <w:rPr>
          <w:b/>
          <w:sz w:val="24"/>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0B5337" w:rsidR="00877886" w:rsidTr="00B63FD9" w14:paraId="66ADF22E" w14:textId="77777777">
        <w:tc>
          <w:tcPr>
            <w:tcW w:w="1756" w:type="pct"/>
            <w:shd w:val="clear" w:color="auto" w:fill="D9D9D9"/>
            <w:vAlign w:val="center"/>
          </w:tcPr>
          <w:p w:rsidRPr="000B5337" w:rsidR="00877886" w:rsidP="00B63FD9" w:rsidRDefault="00877886" w14:paraId="63E3F61C" w14:textId="6C15B798">
            <w:pPr>
              <w:pStyle w:val="ListParagraph"/>
              <w:spacing w:after="0" w:line="240" w:lineRule="auto"/>
              <w:ind w:left="0"/>
              <w:rPr>
                <w:rFonts w:ascii="Times New Roman" w:hAnsi="Times New Roman"/>
                <w:b/>
                <w:sz w:val="24"/>
                <w:szCs w:val="26"/>
              </w:rPr>
            </w:pPr>
          </w:p>
        </w:tc>
        <w:tc>
          <w:tcPr>
            <w:tcW w:w="1627" w:type="pct"/>
            <w:shd w:val="clear" w:color="auto" w:fill="D9D9D9"/>
            <w:vAlign w:val="center"/>
          </w:tcPr>
          <w:p w:rsidRPr="000B5337" w:rsidR="00877886" w:rsidP="00B63FD9" w:rsidRDefault="00877886" w14:paraId="3B658416" w14:textId="77777777">
            <w:pPr>
              <w:pStyle w:val="ListParagraph"/>
              <w:spacing w:after="0" w:line="240" w:lineRule="auto"/>
              <w:ind w:left="0"/>
              <w:jc w:val="center"/>
              <w:rPr>
                <w:rFonts w:ascii="Times New Roman" w:hAnsi="Times New Roman"/>
                <w:b/>
                <w:sz w:val="24"/>
                <w:szCs w:val="26"/>
              </w:rPr>
            </w:pPr>
            <w:r w:rsidRPr="000B5337">
              <w:rPr>
                <w:rFonts w:ascii="Times New Roman" w:hAnsi="Times New Roman"/>
                <w:b/>
                <w:sz w:val="24"/>
                <w:szCs w:val="26"/>
              </w:rPr>
              <w:t>Number of Employees (FTE)</w:t>
            </w:r>
          </w:p>
        </w:tc>
        <w:tc>
          <w:tcPr>
            <w:tcW w:w="1617" w:type="pct"/>
            <w:shd w:val="clear" w:color="auto" w:fill="D9D9D9"/>
            <w:vAlign w:val="center"/>
          </w:tcPr>
          <w:p w:rsidRPr="000B5337" w:rsidR="00877886" w:rsidP="00B63FD9" w:rsidRDefault="00877886" w14:paraId="408919C2" w14:textId="6A059033">
            <w:pPr>
              <w:pStyle w:val="ListParagraph"/>
              <w:spacing w:after="0" w:line="240" w:lineRule="auto"/>
              <w:ind w:left="0"/>
              <w:jc w:val="center"/>
              <w:rPr>
                <w:rFonts w:ascii="Times New Roman" w:hAnsi="Times New Roman"/>
                <w:b/>
                <w:sz w:val="24"/>
                <w:szCs w:val="26"/>
              </w:rPr>
            </w:pPr>
            <w:r w:rsidRPr="000B5337">
              <w:rPr>
                <w:rFonts w:ascii="Times New Roman" w:hAnsi="Times New Roman"/>
                <w:b/>
                <w:sz w:val="24"/>
                <w:szCs w:val="26"/>
              </w:rPr>
              <w:t>Estimated Annual Federal Cost</w:t>
            </w:r>
            <w:r w:rsidRPr="000B5337" w:rsidR="008C2318">
              <w:rPr>
                <w:rFonts w:ascii="Times New Roman" w:hAnsi="Times New Roman"/>
                <w:b/>
                <w:sz w:val="24"/>
                <w:szCs w:val="26"/>
              </w:rPr>
              <w:t xml:space="preserve"> (rounded)</w:t>
            </w:r>
          </w:p>
        </w:tc>
      </w:tr>
      <w:tr w:rsidRPr="000B5337" w:rsidR="00877886" w:rsidTr="00B63FD9" w14:paraId="26A10871" w14:textId="77777777">
        <w:tc>
          <w:tcPr>
            <w:tcW w:w="1756" w:type="pct"/>
            <w:shd w:val="clear" w:color="auto" w:fill="auto"/>
            <w:vAlign w:val="center"/>
          </w:tcPr>
          <w:p w:rsidRPr="000B5337" w:rsidR="00877886" w:rsidP="00B63FD9" w:rsidRDefault="00877886" w14:paraId="3A30AC39" w14:textId="77777777">
            <w:pPr>
              <w:pStyle w:val="ListParagraph"/>
              <w:spacing w:after="0" w:line="240" w:lineRule="auto"/>
              <w:ind w:left="0"/>
              <w:rPr>
                <w:rFonts w:ascii="Times New Roman" w:hAnsi="Times New Roman"/>
                <w:sz w:val="24"/>
                <w:szCs w:val="26"/>
              </w:rPr>
            </w:pPr>
            <w:r w:rsidRPr="000B5337">
              <w:rPr>
                <w:rFonts w:ascii="Times New Roman" w:hAnsi="Times New Roman"/>
                <w:sz w:val="24"/>
                <w:szCs w:val="26"/>
              </w:rPr>
              <w:t>Analysis and Processing of Filings</w:t>
            </w:r>
            <w:r w:rsidRPr="000B5337">
              <w:rPr>
                <w:rStyle w:val="FootnoteReference"/>
                <w:rFonts w:ascii="Times New Roman" w:hAnsi="Times New Roman"/>
                <w:sz w:val="24"/>
                <w:szCs w:val="26"/>
              </w:rPr>
              <w:footnoteReference w:id="12"/>
            </w:r>
          </w:p>
        </w:tc>
        <w:tc>
          <w:tcPr>
            <w:tcW w:w="1627" w:type="pct"/>
            <w:shd w:val="clear" w:color="auto" w:fill="auto"/>
            <w:vAlign w:val="center"/>
          </w:tcPr>
          <w:p w:rsidRPr="000B5337" w:rsidR="00877886" w:rsidP="00B63FD9" w:rsidRDefault="002F5A43" w14:paraId="784BD48E" w14:textId="77777777">
            <w:pPr>
              <w:pStyle w:val="ListParagraph"/>
              <w:spacing w:after="0" w:line="240" w:lineRule="auto"/>
              <w:ind w:left="0"/>
              <w:jc w:val="right"/>
              <w:rPr>
                <w:rFonts w:ascii="Times New Roman" w:hAnsi="Times New Roman"/>
                <w:sz w:val="24"/>
                <w:szCs w:val="26"/>
              </w:rPr>
            </w:pPr>
            <w:r w:rsidRPr="000B5337">
              <w:rPr>
                <w:rFonts w:ascii="Times New Roman" w:hAnsi="Times New Roman"/>
                <w:sz w:val="24"/>
                <w:szCs w:val="26"/>
              </w:rPr>
              <w:t>0</w:t>
            </w:r>
            <w:r w:rsidRPr="000B5337" w:rsidR="001D0DDF">
              <w:rPr>
                <w:rFonts w:ascii="Times New Roman" w:hAnsi="Times New Roman"/>
                <w:sz w:val="24"/>
                <w:szCs w:val="26"/>
              </w:rPr>
              <w:t>.25</w:t>
            </w:r>
          </w:p>
        </w:tc>
        <w:tc>
          <w:tcPr>
            <w:tcW w:w="1617" w:type="pct"/>
            <w:shd w:val="clear" w:color="auto" w:fill="auto"/>
            <w:vAlign w:val="center"/>
          </w:tcPr>
          <w:p w:rsidRPr="000B5337" w:rsidR="00877886" w:rsidP="008C2318" w:rsidRDefault="00D96458" w14:paraId="1026413A" w14:textId="6B81D2E6">
            <w:pPr>
              <w:pStyle w:val="ListParagraph"/>
              <w:spacing w:after="0" w:line="240" w:lineRule="auto"/>
              <w:ind w:left="0"/>
              <w:jc w:val="right"/>
              <w:rPr>
                <w:rFonts w:ascii="Times New Roman" w:hAnsi="Times New Roman"/>
                <w:sz w:val="24"/>
                <w:szCs w:val="26"/>
              </w:rPr>
            </w:pPr>
            <w:r>
              <w:rPr>
                <w:rFonts w:ascii="Times New Roman" w:hAnsi="Times New Roman"/>
                <w:sz w:val="24"/>
                <w:szCs w:val="26"/>
              </w:rPr>
              <w:t>$43</w:t>
            </w:r>
            <w:r w:rsidR="00D02A3E">
              <w:rPr>
                <w:rFonts w:ascii="Times New Roman" w:hAnsi="Times New Roman"/>
                <w:sz w:val="24"/>
                <w:szCs w:val="26"/>
              </w:rPr>
              <w:t>,</w:t>
            </w:r>
            <w:r w:rsidR="00514DD1">
              <w:rPr>
                <w:rFonts w:ascii="Times New Roman" w:hAnsi="Times New Roman"/>
                <w:sz w:val="24"/>
                <w:szCs w:val="26"/>
              </w:rPr>
              <w:t>082</w:t>
            </w:r>
            <w:r w:rsidR="00F73A99">
              <w:rPr>
                <w:rFonts w:ascii="Times New Roman" w:hAnsi="Times New Roman"/>
                <w:sz w:val="24"/>
                <w:szCs w:val="26"/>
              </w:rPr>
              <w:t>.25</w:t>
            </w:r>
          </w:p>
        </w:tc>
      </w:tr>
      <w:tr w:rsidRPr="000B5337" w:rsidR="00877886" w:rsidTr="00B63FD9" w14:paraId="6AB34BF1" w14:textId="77777777">
        <w:tc>
          <w:tcPr>
            <w:tcW w:w="1756" w:type="pct"/>
            <w:shd w:val="clear" w:color="auto" w:fill="auto"/>
            <w:vAlign w:val="center"/>
          </w:tcPr>
          <w:p w:rsidRPr="000B5337" w:rsidR="00877886" w:rsidP="00B517A2" w:rsidRDefault="00877886" w14:paraId="0ACD9DA3" w14:textId="6188C665">
            <w:pPr>
              <w:pStyle w:val="ListParagraph"/>
              <w:spacing w:after="0" w:line="240" w:lineRule="auto"/>
              <w:ind w:left="0"/>
              <w:rPr>
                <w:rFonts w:ascii="Times New Roman" w:hAnsi="Times New Roman"/>
                <w:sz w:val="24"/>
              </w:rPr>
            </w:pPr>
            <w:r w:rsidRPr="000B5337">
              <w:rPr>
                <w:rFonts w:ascii="Times New Roman" w:hAnsi="Times New Roman"/>
                <w:sz w:val="24"/>
              </w:rPr>
              <w:t>PRA</w:t>
            </w:r>
            <w:r w:rsidRPr="000B5337">
              <w:rPr>
                <w:rStyle w:val="FootnoteReference"/>
                <w:rFonts w:ascii="Times New Roman" w:hAnsi="Times New Roman"/>
                <w:sz w:val="24"/>
              </w:rPr>
              <w:footnoteReference w:id="13"/>
            </w:r>
            <w:r w:rsidRPr="000B5337">
              <w:rPr>
                <w:rFonts w:ascii="Times New Roman" w:hAnsi="Times New Roman"/>
                <w:sz w:val="24"/>
              </w:rPr>
              <w:t xml:space="preserve"> Administrative Cost</w:t>
            </w:r>
          </w:p>
        </w:tc>
        <w:tc>
          <w:tcPr>
            <w:tcW w:w="1627" w:type="pct"/>
            <w:shd w:val="clear" w:color="auto" w:fill="D9D9D9"/>
            <w:vAlign w:val="center"/>
          </w:tcPr>
          <w:p w:rsidRPr="00547BB8" w:rsidR="00877886" w:rsidP="00B63FD9" w:rsidRDefault="00FD6C2B" w14:paraId="0D252DBD" w14:textId="49BB062C">
            <w:pPr>
              <w:pStyle w:val="ListParagraph"/>
              <w:spacing w:after="0" w:line="240" w:lineRule="auto"/>
              <w:ind w:left="0"/>
              <w:jc w:val="right"/>
              <w:rPr>
                <w:rFonts w:ascii="Times New Roman" w:hAnsi="Times New Roman"/>
                <w:bCs/>
                <w:sz w:val="24"/>
              </w:rPr>
            </w:pPr>
            <w:r w:rsidRPr="00547BB8">
              <w:rPr>
                <w:rFonts w:ascii="Times New Roman" w:hAnsi="Times New Roman"/>
                <w:bCs/>
                <w:sz w:val="24"/>
              </w:rPr>
              <w:t>N</w:t>
            </w:r>
            <w:r w:rsidRPr="00547BB8" w:rsidR="00547BB8">
              <w:rPr>
                <w:rFonts w:ascii="Times New Roman" w:hAnsi="Times New Roman"/>
                <w:bCs/>
                <w:sz w:val="24"/>
              </w:rPr>
              <w:t>/A</w:t>
            </w:r>
          </w:p>
        </w:tc>
        <w:tc>
          <w:tcPr>
            <w:tcW w:w="1617" w:type="pct"/>
            <w:shd w:val="clear" w:color="auto" w:fill="auto"/>
            <w:vAlign w:val="center"/>
          </w:tcPr>
          <w:p w:rsidRPr="000B5337" w:rsidR="00877886" w:rsidP="00B517A2" w:rsidRDefault="00E10369" w14:paraId="665875FD" w14:textId="5DC22D97">
            <w:pPr>
              <w:pStyle w:val="ListParagraph"/>
              <w:spacing w:after="0" w:line="240" w:lineRule="auto"/>
              <w:ind w:left="0"/>
              <w:jc w:val="right"/>
              <w:rPr>
                <w:rFonts w:ascii="Times New Roman" w:hAnsi="Times New Roman"/>
                <w:sz w:val="24"/>
              </w:rPr>
            </w:pPr>
            <w:r w:rsidRPr="00E10369">
              <w:rPr>
                <w:rFonts w:ascii="Times New Roman" w:hAnsi="Times New Roman"/>
                <w:bCs/>
                <w:sz w:val="24"/>
              </w:rPr>
              <w:t>$6,475</w:t>
            </w:r>
            <w:r w:rsidR="007A3BDE">
              <w:rPr>
                <w:rFonts w:ascii="Times New Roman" w:hAnsi="Times New Roman"/>
                <w:bCs/>
                <w:sz w:val="24"/>
              </w:rPr>
              <w:t>.00</w:t>
            </w:r>
          </w:p>
        </w:tc>
      </w:tr>
      <w:tr w:rsidRPr="000B5337" w:rsidR="00877886" w:rsidTr="00B63FD9" w14:paraId="51AC52BE" w14:textId="77777777">
        <w:tc>
          <w:tcPr>
            <w:tcW w:w="1756" w:type="pct"/>
            <w:shd w:val="clear" w:color="auto" w:fill="auto"/>
            <w:vAlign w:val="center"/>
          </w:tcPr>
          <w:p w:rsidRPr="000B5337" w:rsidR="00877886" w:rsidP="00B63FD9" w:rsidRDefault="00877886" w14:paraId="7B753F01" w14:textId="77777777">
            <w:pPr>
              <w:pStyle w:val="ListParagraph"/>
              <w:spacing w:after="0" w:line="240" w:lineRule="auto"/>
              <w:ind w:left="0"/>
              <w:rPr>
                <w:rFonts w:ascii="Times New Roman" w:hAnsi="Times New Roman"/>
                <w:sz w:val="24"/>
              </w:rPr>
            </w:pPr>
            <w:r w:rsidRPr="000B5337">
              <w:rPr>
                <w:rFonts w:ascii="Times New Roman" w:hAnsi="Times New Roman"/>
                <w:sz w:val="24"/>
              </w:rPr>
              <w:t>FERC Total</w:t>
            </w:r>
          </w:p>
        </w:tc>
        <w:tc>
          <w:tcPr>
            <w:tcW w:w="1627" w:type="pct"/>
            <w:shd w:val="clear" w:color="auto" w:fill="D9D9D9"/>
            <w:vAlign w:val="center"/>
          </w:tcPr>
          <w:p w:rsidRPr="000B5337" w:rsidR="00877886" w:rsidP="00B63FD9" w:rsidRDefault="00877886" w14:paraId="5BFEFD20" w14:textId="77777777">
            <w:pPr>
              <w:pStyle w:val="ListParagraph"/>
              <w:spacing w:after="0" w:line="240" w:lineRule="auto"/>
              <w:ind w:left="0"/>
              <w:jc w:val="right"/>
              <w:rPr>
                <w:rFonts w:ascii="Times New Roman" w:hAnsi="Times New Roman"/>
                <w:b/>
                <w:sz w:val="24"/>
              </w:rPr>
            </w:pPr>
          </w:p>
        </w:tc>
        <w:tc>
          <w:tcPr>
            <w:tcW w:w="1617" w:type="pct"/>
            <w:shd w:val="clear" w:color="auto" w:fill="auto"/>
            <w:vAlign w:val="center"/>
          </w:tcPr>
          <w:p w:rsidRPr="000B5337" w:rsidR="00877886" w:rsidP="0094301D" w:rsidRDefault="00FA501D" w14:paraId="6041A6E4" w14:textId="79A9C584">
            <w:pPr>
              <w:pStyle w:val="ListParagraph"/>
              <w:spacing w:after="0" w:line="240" w:lineRule="auto"/>
              <w:ind w:left="0"/>
              <w:jc w:val="right"/>
              <w:rPr>
                <w:rFonts w:ascii="Times New Roman" w:hAnsi="Times New Roman"/>
                <w:sz w:val="24"/>
              </w:rPr>
            </w:pPr>
            <w:r>
              <w:rPr>
                <w:rFonts w:ascii="Times New Roman" w:hAnsi="Times New Roman"/>
                <w:sz w:val="24"/>
              </w:rPr>
              <w:t>$</w:t>
            </w:r>
            <w:r w:rsidR="00695940">
              <w:rPr>
                <w:rFonts w:ascii="Times New Roman" w:hAnsi="Times New Roman"/>
                <w:sz w:val="24"/>
              </w:rPr>
              <w:t>49</w:t>
            </w:r>
            <w:r w:rsidR="007A3BDE">
              <w:rPr>
                <w:rFonts w:ascii="Times New Roman" w:hAnsi="Times New Roman"/>
                <w:sz w:val="24"/>
              </w:rPr>
              <w:t>,</w:t>
            </w:r>
            <w:r w:rsidR="00695940">
              <w:rPr>
                <w:rFonts w:ascii="Times New Roman" w:hAnsi="Times New Roman"/>
                <w:sz w:val="24"/>
              </w:rPr>
              <w:t>557.25</w:t>
            </w:r>
          </w:p>
        </w:tc>
      </w:tr>
    </w:tbl>
    <w:p w:rsidRPr="00705165" w:rsidR="00877886" w:rsidP="00705165" w:rsidRDefault="00877886" w14:paraId="5AEF1BAA" w14:textId="77777777">
      <w:pPr>
        <w:rPr>
          <w:b/>
        </w:rPr>
      </w:pPr>
    </w:p>
    <w:p w:rsidRPr="000B5337" w:rsidR="00877886" w:rsidP="00877886" w:rsidRDefault="00877886" w14:paraId="22051E07" w14:textId="4B7C7752">
      <w:pPr>
        <w:rPr>
          <w:szCs w:val="26"/>
        </w:rPr>
      </w:pPr>
      <w:r w:rsidRPr="000B5337">
        <w:rPr>
          <w:szCs w:val="26"/>
        </w:rPr>
        <w:t xml:space="preserve">The Commission bases its estimate of the “Analysis and Processing of Filings” cost to the </w:t>
      </w:r>
      <w:r w:rsidRPr="000B5337">
        <w:rPr>
          <w:szCs w:val="26"/>
        </w:rPr>
        <w:lastRenderedPageBreak/>
        <w:t>Federal Government on salaries and benefits for professional and clerical support.  This estimated cost represents staff analysis, decision-making, and review of any actual filings submitted in response to the information collection</w:t>
      </w:r>
      <w:r w:rsidRPr="000B5337" w:rsidR="006714CB">
        <w:rPr>
          <w:szCs w:val="26"/>
        </w:rPr>
        <w:t xml:space="preserve"> as well as monitoring of the website postings</w:t>
      </w:r>
      <w:r w:rsidRPr="000B5337">
        <w:rPr>
          <w:szCs w:val="26"/>
        </w:rPr>
        <w:t>.</w:t>
      </w:r>
    </w:p>
    <w:p w:rsidRPr="000B5337" w:rsidR="00835821" w:rsidP="00877886" w:rsidRDefault="00835821" w14:paraId="32893EE7" w14:textId="1276ABEC">
      <w:pPr>
        <w:rPr>
          <w:szCs w:val="26"/>
        </w:rPr>
      </w:pPr>
    </w:p>
    <w:p w:rsidR="00D41C81" w:rsidP="00787A23" w:rsidRDefault="00835821" w14:paraId="63E3A8B5" w14:textId="3B10519A">
      <w:pPr>
        <w:rPr>
          <w:szCs w:val="26"/>
        </w:rPr>
      </w:pPr>
      <w:r w:rsidRPr="000B5337">
        <w:rPr>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00787A23" w:rsidP="00787A23" w:rsidRDefault="00787A23" w14:paraId="7C175191" w14:textId="77777777">
      <w:pPr>
        <w:rPr>
          <w:b/>
          <w:szCs w:val="26"/>
        </w:rPr>
      </w:pPr>
    </w:p>
    <w:p w:rsidRPr="000B5337" w:rsidR="00877886" w:rsidP="00877886" w:rsidRDefault="00877886" w14:paraId="5CC770AC" w14:textId="4AF2E90E">
      <w:pPr>
        <w:pStyle w:val="FERCparanumber"/>
        <w:numPr>
          <w:ilvl w:val="0"/>
          <w:numId w:val="2"/>
        </w:numPr>
        <w:rPr>
          <w:b/>
          <w:sz w:val="24"/>
          <w:szCs w:val="26"/>
        </w:rPr>
      </w:pPr>
      <w:r w:rsidRPr="000B5337">
        <w:rPr>
          <w:b/>
          <w:sz w:val="24"/>
          <w:szCs w:val="26"/>
        </w:rPr>
        <w:t>REASONS FOR CHANGES IN BURDEN INCLUDING THE NEED FOR ANY INCREASE</w:t>
      </w:r>
    </w:p>
    <w:p w:rsidR="007C7952" w:rsidP="00E01D9A" w:rsidRDefault="007C7952" w14:paraId="0657BDF2" w14:textId="77777777">
      <w:pPr>
        <w:rPr>
          <w:iCs/>
          <w:szCs w:val="26"/>
        </w:rPr>
      </w:pPr>
    </w:p>
    <w:p w:rsidR="006C3D68" w:rsidP="00D41C81" w:rsidRDefault="000E384A" w14:paraId="5F775DE7" w14:textId="77777777">
      <w:pPr>
        <w:rPr>
          <w:iCs/>
          <w:szCs w:val="26"/>
        </w:rPr>
      </w:pPr>
      <w:r w:rsidRPr="000E384A">
        <w:rPr>
          <w:iCs/>
          <w:szCs w:val="26"/>
        </w:rPr>
        <w:t>As originally cleared by OMB, FERC-516G included a one-time requirement that ITOs and RTOs revise their tariffs.</w:t>
      </w:r>
      <w:r w:rsidR="00F64F41">
        <w:rPr>
          <w:iCs/>
          <w:szCs w:val="26"/>
        </w:rPr>
        <w:t xml:space="preserve">  The relevant tariffs have been revised, and </w:t>
      </w:r>
      <w:r w:rsidR="00BB7E65">
        <w:rPr>
          <w:iCs/>
          <w:szCs w:val="26"/>
        </w:rPr>
        <w:t>that activity is no longer needed.</w:t>
      </w:r>
      <w:r w:rsidR="001B16AD">
        <w:rPr>
          <w:iCs/>
          <w:szCs w:val="26"/>
        </w:rPr>
        <w:t xml:space="preserve">  </w:t>
      </w:r>
      <w:r w:rsidR="006276CE">
        <w:rPr>
          <w:iCs/>
          <w:szCs w:val="26"/>
        </w:rPr>
        <w:t xml:space="preserve">Removal of the one-time information collection activity </w:t>
      </w:r>
      <w:r w:rsidR="008B6273">
        <w:rPr>
          <w:iCs/>
          <w:szCs w:val="26"/>
        </w:rPr>
        <w:t xml:space="preserve">results in </w:t>
      </w:r>
      <w:r w:rsidR="000319D1">
        <w:rPr>
          <w:iCs/>
          <w:szCs w:val="26"/>
        </w:rPr>
        <w:t xml:space="preserve">6 fewer responses and </w:t>
      </w:r>
      <w:r w:rsidR="001F05C9">
        <w:rPr>
          <w:iCs/>
          <w:szCs w:val="26"/>
        </w:rPr>
        <w:t>3,000</w:t>
      </w:r>
      <w:r w:rsidR="000319D1">
        <w:rPr>
          <w:iCs/>
          <w:szCs w:val="26"/>
        </w:rPr>
        <w:t xml:space="preserve"> fewer burden hours annually</w:t>
      </w:r>
      <w:r w:rsidR="006C4D5A">
        <w:rPr>
          <w:iCs/>
          <w:szCs w:val="26"/>
        </w:rPr>
        <w:t xml:space="preserve">.  </w:t>
      </w:r>
      <w:r w:rsidRPr="00D41C81" w:rsidR="00D41C81">
        <w:rPr>
          <w:iCs/>
          <w:szCs w:val="26"/>
        </w:rPr>
        <w:t>The remaining requirements are ongoing, and there are no adjustments or program changes for them.</w:t>
      </w:r>
    </w:p>
    <w:p w:rsidR="006C3D68" w:rsidP="00D41C81" w:rsidRDefault="006C3D68" w14:paraId="03416CCD" w14:textId="77777777">
      <w:pPr>
        <w:rPr>
          <w:iCs/>
          <w:szCs w:val="26"/>
        </w:rPr>
      </w:pPr>
    </w:p>
    <w:p w:rsidRPr="00D41C81" w:rsidR="00D41C81" w:rsidP="00D41C81" w:rsidRDefault="006C3D68" w14:paraId="7AB47802" w14:textId="509C3696">
      <w:pPr>
        <w:rPr>
          <w:iCs/>
          <w:szCs w:val="26"/>
        </w:rPr>
      </w:pPr>
      <w:r>
        <w:rPr>
          <w:iCs/>
          <w:szCs w:val="26"/>
        </w:rPr>
        <w:t>B</w:t>
      </w:r>
      <w:r w:rsidR="006C4D5A">
        <w:rPr>
          <w:iCs/>
          <w:szCs w:val="26"/>
        </w:rPr>
        <w:t xml:space="preserve">ecause of the manner of presentation of burdens in ROCIS </w:t>
      </w:r>
      <w:r>
        <w:rPr>
          <w:iCs/>
          <w:szCs w:val="26"/>
        </w:rPr>
        <w:t>previously, the removal of the on</w:t>
      </w:r>
      <w:r w:rsidR="00683A83">
        <w:rPr>
          <w:iCs/>
          <w:szCs w:val="26"/>
        </w:rPr>
        <w:t>e</w:t>
      </w:r>
      <w:r>
        <w:rPr>
          <w:iCs/>
          <w:szCs w:val="26"/>
        </w:rPr>
        <w:t xml:space="preserve">-time </w:t>
      </w:r>
      <w:r w:rsidR="00683A83">
        <w:rPr>
          <w:iCs/>
          <w:szCs w:val="26"/>
        </w:rPr>
        <w:t xml:space="preserve">burdens will result in 2 fewer responses and 3,000 fewer burden hours annually.  </w:t>
      </w:r>
      <w:r w:rsidRPr="00D41C81" w:rsidR="00D41C81">
        <w:rPr>
          <w:iCs/>
          <w:szCs w:val="26"/>
        </w:rPr>
        <w:t xml:space="preserve">As presented in the supporting statement for the rulemaking that led to the promulgation of 18 CFR 35.28(g)(10),  the annualized burdens for the tariff-related activity in Year One were estimated as 6 responses and 3,000 hours. Thus, considering only that activity, removal of the one-time information collection activity </w:t>
      </w:r>
      <w:r w:rsidR="00C6170D">
        <w:rPr>
          <w:iCs/>
          <w:szCs w:val="26"/>
        </w:rPr>
        <w:t xml:space="preserve">seems to result in </w:t>
      </w:r>
      <w:r w:rsidRPr="00D41C81" w:rsidR="00D41C81">
        <w:rPr>
          <w:iCs/>
          <w:szCs w:val="26"/>
        </w:rPr>
        <w:t>6 fewer responses and 3,000 fewer burden hours annually.</w:t>
      </w:r>
      <w:r w:rsidR="00E012B1">
        <w:rPr>
          <w:iCs/>
          <w:szCs w:val="26"/>
        </w:rPr>
        <w:t xml:space="preserve">  This is how the one-time and ongoing burdens were shown in the supporting statement</w:t>
      </w:r>
      <w:r w:rsidR="0030759F">
        <w:rPr>
          <w:iCs/>
          <w:szCs w:val="26"/>
        </w:rPr>
        <w:t xml:space="preserve"> that accompanied the promulgation of 18 CFR 35.28(g)(10):</w:t>
      </w:r>
    </w:p>
    <w:p w:rsidRPr="00D41C81" w:rsidR="00D41C81" w:rsidP="00D41C81" w:rsidRDefault="00D41C81" w14:paraId="786CEDEB" w14:textId="77777777">
      <w:pPr>
        <w:rPr>
          <w:iCs/>
          <w:szCs w:val="26"/>
        </w:rPr>
      </w:pPr>
    </w:p>
    <w:p w:rsidRPr="00D41C81" w:rsidR="00D41C81" w:rsidP="00D41C81" w:rsidRDefault="00D41C81" w14:paraId="15608658" w14:textId="77777777">
      <w:pPr>
        <w:numPr>
          <w:ilvl w:val="0"/>
          <w:numId w:val="19"/>
        </w:numPr>
        <w:rPr>
          <w:iCs/>
          <w:szCs w:val="26"/>
        </w:rPr>
      </w:pPr>
      <w:r w:rsidRPr="00D41C81">
        <w:rPr>
          <w:iCs/>
          <w:szCs w:val="26"/>
        </w:rPr>
        <w:t>For Year 1, the one-time burdens were added to one year’s worth of the ongoing burdens (i.e., 78 responses and 3,216 hours);</w:t>
      </w:r>
    </w:p>
    <w:p w:rsidRPr="00D41C81" w:rsidR="00D41C81" w:rsidP="00D41C81" w:rsidRDefault="00D41C81" w14:paraId="330EA587" w14:textId="32CBC925">
      <w:pPr>
        <w:numPr>
          <w:ilvl w:val="0"/>
          <w:numId w:val="19"/>
        </w:numPr>
        <w:rPr>
          <w:iCs/>
          <w:szCs w:val="26"/>
        </w:rPr>
      </w:pPr>
      <w:r w:rsidRPr="00D41C81">
        <w:rPr>
          <w:iCs/>
          <w:szCs w:val="26"/>
        </w:rPr>
        <w:t>For Years 2 and 3, the total burden was calculated as including only the ongoing responses and hour burdens (i.e., 72 responses for each year and 216 hours for each year); and</w:t>
      </w:r>
    </w:p>
    <w:p w:rsidR="00D41C81" w:rsidP="00D41C81" w:rsidRDefault="00D41C81" w14:paraId="53F0F16D" w14:textId="066B38F0">
      <w:pPr>
        <w:numPr>
          <w:ilvl w:val="0"/>
          <w:numId w:val="19"/>
        </w:numPr>
        <w:rPr>
          <w:iCs/>
          <w:szCs w:val="26"/>
        </w:rPr>
      </w:pPr>
      <w:r w:rsidRPr="00D41C81">
        <w:rPr>
          <w:iCs/>
          <w:szCs w:val="26"/>
        </w:rPr>
        <w:t>For Years 1 through 3, 78 responses and 3,648 hours.</w:t>
      </w:r>
    </w:p>
    <w:p w:rsidRPr="00D41C81" w:rsidR="00F60499" w:rsidP="00F60499" w:rsidRDefault="00F60499" w14:paraId="5A73FC5E" w14:textId="77777777">
      <w:pPr>
        <w:rPr>
          <w:iCs/>
          <w:szCs w:val="26"/>
        </w:rPr>
      </w:pPr>
    </w:p>
    <w:p w:rsidR="00F501C9" w:rsidP="00D41C81" w:rsidRDefault="00D41C81" w14:paraId="6ADF360C" w14:textId="35C7226C">
      <w:pPr>
        <w:rPr>
          <w:iCs/>
          <w:szCs w:val="26"/>
        </w:rPr>
      </w:pPr>
      <w:r w:rsidRPr="00D41C81">
        <w:rPr>
          <w:iCs/>
          <w:szCs w:val="26"/>
        </w:rPr>
        <w:t xml:space="preserve">In </w:t>
      </w:r>
      <w:r w:rsidR="00F60499">
        <w:rPr>
          <w:iCs/>
          <w:szCs w:val="26"/>
        </w:rPr>
        <w:t xml:space="preserve">the </w:t>
      </w:r>
      <w:r w:rsidRPr="00D41C81">
        <w:rPr>
          <w:iCs/>
          <w:szCs w:val="26"/>
        </w:rPr>
        <w:t>ROCIS</w:t>
      </w:r>
      <w:r w:rsidR="00F60499">
        <w:rPr>
          <w:iCs/>
          <w:szCs w:val="26"/>
        </w:rPr>
        <w:t xml:space="preserve"> presentation for the </w:t>
      </w:r>
      <w:r w:rsidR="00E049CD">
        <w:rPr>
          <w:iCs/>
          <w:szCs w:val="26"/>
        </w:rPr>
        <w:t>rulemaking</w:t>
      </w:r>
      <w:r w:rsidRPr="00D41C81">
        <w:rPr>
          <w:iCs/>
          <w:szCs w:val="26"/>
        </w:rPr>
        <w:t xml:space="preserve">, these total burdens were presented as </w:t>
      </w:r>
      <w:r w:rsidR="00347869">
        <w:rPr>
          <w:iCs/>
          <w:szCs w:val="26"/>
        </w:rPr>
        <w:t xml:space="preserve">only one information activity </w:t>
      </w:r>
      <w:r w:rsidR="003C5BD3">
        <w:rPr>
          <w:iCs/>
          <w:szCs w:val="26"/>
        </w:rPr>
        <w:t xml:space="preserve">with </w:t>
      </w:r>
      <w:r w:rsidRPr="00D41C81">
        <w:rPr>
          <w:iCs/>
          <w:szCs w:val="26"/>
        </w:rPr>
        <w:t xml:space="preserve">the </w:t>
      </w:r>
      <w:r w:rsidRPr="00D41C81">
        <w:rPr>
          <w:iCs/>
          <w:szCs w:val="26"/>
          <w:u w:val="single"/>
        </w:rPr>
        <w:t>average</w:t>
      </w:r>
      <w:r w:rsidRPr="00D41C81">
        <w:rPr>
          <w:iCs/>
          <w:szCs w:val="26"/>
        </w:rPr>
        <w:t xml:space="preserve"> </w:t>
      </w:r>
      <w:r w:rsidRPr="00D41C81">
        <w:rPr>
          <w:iCs/>
          <w:szCs w:val="26"/>
          <w:u w:val="single"/>
        </w:rPr>
        <w:t>of the total burdens</w:t>
      </w:r>
      <w:r w:rsidRPr="00D41C81">
        <w:rPr>
          <w:iCs/>
          <w:szCs w:val="26"/>
        </w:rPr>
        <w:t xml:space="preserve"> for Years 1 through 3</w:t>
      </w:r>
      <w:r w:rsidR="003C5BD3">
        <w:rPr>
          <w:iCs/>
          <w:szCs w:val="26"/>
        </w:rPr>
        <w:t xml:space="preserve"> ―</w:t>
      </w:r>
    </w:p>
    <w:p w:rsidR="000F6C1E" w:rsidP="00D41C81" w:rsidRDefault="000F6C1E" w14:paraId="33805B95" w14:textId="07CA4002">
      <w:pPr>
        <w:rPr>
          <w:iCs/>
          <w:szCs w:val="26"/>
        </w:rPr>
      </w:pPr>
    </w:p>
    <w:p w:rsidRPr="00AB11F3" w:rsidR="000F6C1E" w:rsidP="00D41C81" w:rsidRDefault="00B96E9C" w14:paraId="637532C6" w14:textId="3A93A28C">
      <w:pPr>
        <w:pStyle w:val="ListParagraph"/>
        <w:numPr>
          <w:ilvl w:val="0"/>
          <w:numId w:val="22"/>
        </w:numPr>
        <w:rPr>
          <w:rFonts w:ascii="Times New Roman" w:hAnsi="Times New Roman"/>
          <w:iCs/>
          <w:sz w:val="24"/>
          <w:szCs w:val="26"/>
        </w:rPr>
      </w:pPr>
      <w:r w:rsidRPr="00AB11F3">
        <w:rPr>
          <w:rFonts w:ascii="Times New Roman" w:hAnsi="Times New Roman"/>
          <w:iCs/>
          <w:sz w:val="24"/>
          <w:szCs w:val="26"/>
        </w:rPr>
        <w:t>74 responses [(78 responses</w:t>
      </w:r>
      <w:r w:rsidR="0033673F">
        <w:rPr>
          <w:rFonts w:ascii="Times New Roman" w:hAnsi="Times New Roman"/>
          <w:iCs/>
          <w:sz w:val="24"/>
          <w:szCs w:val="26"/>
        </w:rPr>
        <w:t xml:space="preserve"> </w:t>
      </w:r>
      <w:r w:rsidRPr="00AB11F3">
        <w:rPr>
          <w:rFonts w:ascii="Times New Roman" w:hAnsi="Times New Roman"/>
          <w:iCs/>
          <w:sz w:val="24"/>
          <w:szCs w:val="26"/>
        </w:rPr>
        <w:t>+</w:t>
      </w:r>
      <w:r w:rsidR="0033673F">
        <w:rPr>
          <w:rFonts w:ascii="Times New Roman" w:hAnsi="Times New Roman"/>
          <w:iCs/>
          <w:sz w:val="24"/>
          <w:szCs w:val="26"/>
        </w:rPr>
        <w:t xml:space="preserve"> </w:t>
      </w:r>
      <w:r w:rsidRPr="00AB11F3">
        <w:rPr>
          <w:rFonts w:ascii="Times New Roman" w:hAnsi="Times New Roman"/>
          <w:iCs/>
          <w:sz w:val="24"/>
          <w:szCs w:val="26"/>
        </w:rPr>
        <w:t>72 responses</w:t>
      </w:r>
      <w:r w:rsidR="0033673F">
        <w:rPr>
          <w:rFonts w:ascii="Times New Roman" w:hAnsi="Times New Roman"/>
          <w:iCs/>
          <w:sz w:val="24"/>
          <w:szCs w:val="26"/>
        </w:rPr>
        <w:t xml:space="preserve"> </w:t>
      </w:r>
      <w:r w:rsidRPr="00AB11F3">
        <w:rPr>
          <w:rFonts w:ascii="Times New Roman" w:hAnsi="Times New Roman"/>
          <w:iCs/>
          <w:sz w:val="24"/>
          <w:szCs w:val="26"/>
        </w:rPr>
        <w:t>+</w:t>
      </w:r>
      <w:r w:rsidR="0033673F">
        <w:rPr>
          <w:rFonts w:ascii="Times New Roman" w:hAnsi="Times New Roman"/>
          <w:iCs/>
          <w:sz w:val="24"/>
          <w:szCs w:val="26"/>
        </w:rPr>
        <w:t xml:space="preserve"> </w:t>
      </w:r>
      <w:r w:rsidRPr="00AB11F3">
        <w:rPr>
          <w:rFonts w:ascii="Times New Roman" w:hAnsi="Times New Roman"/>
          <w:iCs/>
          <w:sz w:val="24"/>
          <w:szCs w:val="26"/>
        </w:rPr>
        <w:t>72 responses)/3 years]; and</w:t>
      </w:r>
    </w:p>
    <w:p w:rsidR="00AB11F3" w:rsidP="000F6C1E" w:rsidRDefault="000F6C1E" w14:paraId="47637A69" w14:textId="77777777">
      <w:pPr>
        <w:pStyle w:val="ListParagraph"/>
        <w:numPr>
          <w:ilvl w:val="0"/>
          <w:numId w:val="20"/>
        </w:numPr>
        <w:rPr>
          <w:rFonts w:ascii="Times New Roman" w:hAnsi="Times New Roman"/>
          <w:iCs/>
          <w:sz w:val="24"/>
          <w:szCs w:val="26"/>
        </w:rPr>
      </w:pPr>
      <w:r w:rsidRPr="00AB11F3">
        <w:rPr>
          <w:rFonts w:ascii="Times New Roman" w:hAnsi="Times New Roman"/>
          <w:iCs/>
          <w:sz w:val="24"/>
          <w:szCs w:val="26"/>
        </w:rPr>
        <w:t>1</w:t>
      </w:r>
      <w:r w:rsidRPr="00AB11F3" w:rsidR="00D41C81">
        <w:rPr>
          <w:rFonts w:ascii="Times New Roman" w:hAnsi="Times New Roman"/>
          <w:iCs/>
          <w:sz w:val="24"/>
          <w:szCs w:val="26"/>
        </w:rPr>
        <w:t>,216 hours (3,648 hours/3 years) and for Years 1-3</w:t>
      </w:r>
      <w:r w:rsidR="00AB11F3">
        <w:rPr>
          <w:rFonts w:ascii="Times New Roman" w:hAnsi="Times New Roman"/>
          <w:iCs/>
          <w:sz w:val="24"/>
          <w:szCs w:val="26"/>
        </w:rPr>
        <w:t>.</w:t>
      </w:r>
    </w:p>
    <w:p w:rsidR="00E97CC5" w:rsidP="00AB11F3" w:rsidRDefault="00D41C81" w14:paraId="5D6AC414" w14:textId="3C38D8F4">
      <w:pPr>
        <w:rPr>
          <w:iCs/>
          <w:szCs w:val="26"/>
        </w:rPr>
      </w:pPr>
      <w:r w:rsidRPr="00AB11F3">
        <w:rPr>
          <w:iCs/>
          <w:szCs w:val="26"/>
        </w:rPr>
        <w:t xml:space="preserve">The requested burdens for </w:t>
      </w:r>
      <w:r w:rsidRPr="00E83096">
        <w:rPr>
          <w:iCs/>
          <w:szCs w:val="26"/>
        </w:rPr>
        <w:t>this information collection renewal,</w:t>
      </w:r>
      <w:r w:rsidRPr="00AB11F3">
        <w:rPr>
          <w:iCs/>
          <w:szCs w:val="26"/>
        </w:rPr>
        <w:t xml:space="preserve"> as compared with the previously approved ROCIS presentation, are itemized in the following table:</w:t>
      </w:r>
    </w:p>
    <w:p w:rsidR="00E97CC5" w:rsidRDefault="00E97CC5" w14:paraId="6BE7E985" w14:textId="77777777">
      <w:pPr>
        <w:widowControl/>
        <w:autoSpaceDE/>
        <w:autoSpaceDN/>
        <w:adjustRightInd/>
        <w:spacing w:after="160" w:line="259" w:lineRule="auto"/>
        <w:rPr>
          <w:iCs/>
          <w:szCs w:val="26"/>
        </w:rPr>
      </w:pPr>
      <w:r>
        <w:rPr>
          <w:iCs/>
          <w:szCs w:val="26"/>
        </w:rPr>
        <w:br w:type="page"/>
      </w:r>
      <w:bookmarkStart w:name="_GoBack" w:id="0"/>
      <w:bookmarkEnd w:id="0"/>
    </w:p>
    <w:p w:rsidRPr="00D41C81" w:rsidR="00D41C81" w:rsidP="00D41C81" w:rsidRDefault="00D41C81" w14:paraId="63F1192B" w14:textId="77777777">
      <w:pPr>
        <w:rPr>
          <w:iCs/>
          <w:szCs w:val="26"/>
        </w:rPr>
      </w:pPr>
    </w:p>
    <w:tbl>
      <w:tblPr>
        <w:tblStyle w:val="TableGrid"/>
        <w:tblW w:w="0" w:type="auto"/>
        <w:tblLook w:val="04A0" w:firstRow="1" w:lastRow="0" w:firstColumn="1" w:lastColumn="0" w:noHBand="0" w:noVBand="1"/>
      </w:tblPr>
      <w:tblGrid>
        <w:gridCol w:w="2514"/>
        <w:gridCol w:w="3979"/>
        <w:gridCol w:w="2857"/>
      </w:tblGrid>
      <w:tr w:rsidRPr="00D41C81" w:rsidR="00D41C81" w:rsidTr="00590C29" w14:paraId="0869A672" w14:textId="77777777">
        <w:tc>
          <w:tcPr>
            <w:tcW w:w="0" w:type="auto"/>
            <w:vAlign w:val="bottom"/>
          </w:tcPr>
          <w:p w:rsidRPr="00D41C81" w:rsidR="00D41C81" w:rsidP="00D41C81" w:rsidRDefault="00D41C81" w14:paraId="335F61A9" w14:textId="77777777">
            <w:pPr>
              <w:rPr>
                <w:b/>
                <w:bCs/>
                <w:iCs/>
                <w:szCs w:val="26"/>
              </w:rPr>
            </w:pPr>
            <w:r w:rsidRPr="00D41C81">
              <w:rPr>
                <w:b/>
                <w:bCs/>
                <w:iCs/>
                <w:szCs w:val="26"/>
              </w:rPr>
              <w:t>A.</w:t>
            </w:r>
          </w:p>
          <w:p w:rsidRPr="00D41C81" w:rsidR="00D41C81" w:rsidP="00D41C81" w:rsidRDefault="00D41C81" w14:paraId="6D325E78" w14:textId="77777777">
            <w:pPr>
              <w:rPr>
                <w:b/>
                <w:bCs/>
                <w:iCs/>
                <w:szCs w:val="26"/>
              </w:rPr>
            </w:pPr>
            <w:r w:rsidRPr="00D41C81">
              <w:rPr>
                <w:b/>
                <w:bCs/>
                <w:iCs/>
                <w:szCs w:val="26"/>
              </w:rPr>
              <w:t>Requested Total  Responses and Hours</w:t>
            </w:r>
          </w:p>
        </w:tc>
        <w:tc>
          <w:tcPr>
            <w:tcW w:w="0" w:type="auto"/>
            <w:vAlign w:val="bottom"/>
          </w:tcPr>
          <w:p w:rsidRPr="00D41C81" w:rsidR="00D41C81" w:rsidP="00D41C81" w:rsidRDefault="00D41C81" w14:paraId="405F05C6" w14:textId="77777777">
            <w:pPr>
              <w:rPr>
                <w:b/>
                <w:bCs/>
                <w:iCs/>
                <w:szCs w:val="26"/>
              </w:rPr>
            </w:pPr>
            <w:r w:rsidRPr="00D41C81">
              <w:rPr>
                <w:b/>
                <w:bCs/>
                <w:iCs/>
                <w:szCs w:val="26"/>
              </w:rPr>
              <w:t>B.</w:t>
            </w:r>
          </w:p>
          <w:p w:rsidRPr="00D41C81" w:rsidR="00D41C81" w:rsidP="00D41C81" w:rsidRDefault="00D41C81" w14:paraId="186D513A" w14:textId="77777777">
            <w:pPr>
              <w:rPr>
                <w:b/>
                <w:bCs/>
                <w:iCs/>
                <w:szCs w:val="26"/>
              </w:rPr>
            </w:pPr>
            <w:r w:rsidRPr="00D41C81">
              <w:rPr>
                <w:b/>
                <w:bCs/>
                <w:iCs/>
                <w:szCs w:val="26"/>
              </w:rPr>
              <w:t>Previously Approved Total Responses and Hours as Presented in ROCIS</w:t>
            </w:r>
          </w:p>
        </w:tc>
        <w:tc>
          <w:tcPr>
            <w:tcW w:w="0" w:type="auto"/>
            <w:vAlign w:val="bottom"/>
          </w:tcPr>
          <w:p w:rsidRPr="00D41C81" w:rsidR="00D41C81" w:rsidP="00D41C81" w:rsidRDefault="00D41C81" w14:paraId="34D1DECF" w14:textId="77777777">
            <w:pPr>
              <w:rPr>
                <w:b/>
                <w:bCs/>
                <w:iCs/>
                <w:szCs w:val="26"/>
              </w:rPr>
            </w:pPr>
            <w:r w:rsidRPr="00D41C81">
              <w:rPr>
                <w:b/>
                <w:bCs/>
                <w:iCs/>
                <w:szCs w:val="26"/>
              </w:rPr>
              <w:t>C.</w:t>
            </w:r>
          </w:p>
          <w:p w:rsidRPr="00D41C81" w:rsidR="00D41C81" w:rsidP="00D41C81" w:rsidRDefault="00D41C81" w14:paraId="725D82A3" w14:textId="77777777">
            <w:pPr>
              <w:rPr>
                <w:b/>
                <w:bCs/>
                <w:iCs/>
                <w:szCs w:val="26"/>
              </w:rPr>
            </w:pPr>
            <w:r w:rsidRPr="00D41C81">
              <w:rPr>
                <w:b/>
                <w:bCs/>
                <w:iCs/>
                <w:szCs w:val="26"/>
              </w:rPr>
              <w:t>Net Change in Estimated Responses and Hours</w:t>
            </w:r>
          </w:p>
        </w:tc>
      </w:tr>
      <w:tr w:rsidRPr="00D41C81" w:rsidR="00D41C81" w:rsidTr="00590C29" w14:paraId="2422A67E" w14:textId="77777777">
        <w:tc>
          <w:tcPr>
            <w:tcW w:w="0" w:type="auto"/>
            <w:vAlign w:val="bottom"/>
          </w:tcPr>
          <w:p w:rsidRPr="00D41C81" w:rsidR="00D41C81" w:rsidP="00D41C81" w:rsidRDefault="00D41C81" w14:paraId="5823275F" w14:textId="77777777">
            <w:pPr>
              <w:rPr>
                <w:iCs/>
                <w:szCs w:val="26"/>
              </w:rPr>
            </w:pPr>
            <w:r w:rsidRPr="00D41C81">
              <w:rPr>
                <w:iCs/>
                <w:szCs w:val="26"/>
              </w:rPr>
              <w:t>72 responses;</w:t>
            </w:r>
          </w:p>
          <w:p w:rsidRPr="00D41C81" w:rsidR="00D41C81" w:rsidP="00D41C81" w:rsidRDefault="00D41C81" w14:paraId="57AA5E0C" w14:textId="77777777">
            <w:pPr>
              <w:rPr>
                <w:iCs/>
                <w:szCs w:val="26"/>
              </w:rPr>
            </w:pPr>
            <w:r w:rsidRPr="00D41C81">
              <w:rPr>
                <w:iCs/>
                <w:szCs w:val="26"/>
              </w:rPr>
              <w:t>216 hours</w:t>
            </w:r>
          </w:p>
        </w:tc>
        <w:tc>
          <w:tcPr>
            <w:tcW w:w="0" w:type="auto"/>
            <w:vAlign w:val="bottom"/>
          </w:tcPr>
          <w:p w:rsidRPr="00D41C81" w:rsidR="00D41C81" w:rsidP="00D41C81" w:rsidRDefault="00D41C81" w14:paraId="3DE6D9D6" w14:textId="77777777">
            <w:pPr>
              <w:rPr>
                <w:iCs/>
                <w:szCs w:val="26"/>
              </w:rPr>
            </w:pPr>
            <w:r w:rsidRPr="00D41C81">
              <w:rPr>
                <w:iCs/>
                <w:szCs w:val="26"/>
              </w:rPr>
              <w:t>74 responses;</w:t>
            </w:r>
          </w:p>
          <w:p w:rsidRPr="00D41C81" w:rsidR="00D41C81" w:rsidP="00D41C81" w:rsidRDefault="00D41C81" w14:paraId="5C3FBAA9" w14:textId="77777777">
            <w:pPr>
              <w:rPr>
                <w:iCs/>
                <w:szCs w:val="26"/>
              </w:rPr>
            </w:pPr>
            <w:r w:rsidRPr="00D41C81">
              <w:rPr>
                <w:iCs/>
                <w:szCs w:val="26"/>
              </w:rPr>
              <w:t>1,216 hours</w:t>
            </w:r>
          </w:p>
        </w:tc>
        <w:tc>
          <w:tcPr>
            <w:tcW w:w="0" w:type="auto"/>
            <w:vAlign w:val="bottom"/>
          </w:tcPr>
          <w:p w:rsidRPr="00D41C81" w:rsidR="00D41C81" w:rsidP="00D41C81" w:rsidRDefault="00D41C81" w14:paraId="13E8D005" w14:textId="77777777">
            <w:pPr>
              <w:rPr>
                <w:iCs/>
                <w:szCs w:val="26"/>
              </w:rPr>
            </w:pPr>
            <w:r w:rsidRPr="00D41C81">
              <w:rPr>
                <w:iCs/>
                <w:szCs w:val="26"/>
              </w:rPr>
              <w:t>2 fewer responses;</w:t>
            </w:r>
          </w:p>
          <w:p w:rsidRPr="00D41C81" w:rsidR="00D41C81" w:rsidP="00D41C81" w:rsidRDefault="00D41C81" w14:paraId="6581157F" w14:textId="77777777">
            <w:pPr>
              <w:rPr>
                <w:iCs/>
                <w:szCs w:val="26"/>
              </w:rPr>
            </w:pPr>
            <w:r w:rsidRPr="00D41C81">
              <w:rPr>
                <w:iCs/>
                <w:szCs w:val="26"/>
              </w:rPr>
              <w:t>1,000 fewer hours</w:t>
            </w:r>
          </w:p>
        </w:tc>
      </w:tr>
    </w:tbl>
    <w:p w:rsidR="004008B7" w:rsidP="00E01D9A" w:rsidRDefault="004008B7" w14:paraId="4AB506E2" w14:textId="605A0531">
      <w:pPr>
        <w:rPr>
          <w:iCs/>
          <w:szCs w:val="26"/>
        </w:rPr>
      </w:pPr>
    </w:p>
    <w:p w:rsidRPr="000B5337" w:rsidR="00877886" w:rsidP="00877886" w:rsidRDefault="00877886" w14:paraId="26887652" w14:textId="77777777">
      <w:pPr>
        <w:pStyle w:val="FERCparanumber"/>
        <w:numPr>
          <w:ilvl w:val="0"/>
          <w:numId w:val="2"/>
        </w:numPr>
        <w:rPr>
          <w:b/>
          <w:sz w:val="24"/>
          <w:szCs w:val="26"/>
        </w:rPr>
      </w:pPr>
      <w:r w:rsidRPr="000B5337">
        <w:rPr>
          <w:b/>
          <w:sz w:val="24"/>
          <w:szCs w:val="26"/>
        </w:rPr>
        <w:t>TIME SCHEDULE FOR PUBLICATION OF DATA</w:t>
      </w:r>
    </w:p>
    <w:p w:rsidRPr="000B5337" w:rsidR="00877886" w:rsidP="00877886" w:rsidRDefault="00877886" w14:paraId="5C2FFEAB" w14:textId="77777777">
      <w:pPr>
        <w:pStyle w:val="FERCparanumber"/>
        <w:numPr>
          <w:ilvl w:val="0"/>
          <w:numId w:val="0"/>
        </w:numPr>
        <w:rPr>
          <w:b/>
          <w:sz w:val="24"/>
          <w:szCs w:val="26"/>
        </w:rPr>
      </w:pPr>
    </w:p>
    <w:p w:rsidRPr="000B5337" w:rsidR="00877886" w:rsidP="00877886" w:rsidRDefault="00180947" w14:paraId="3849C445" w14:textId="5C0C99C8">
      <w:pPr>
        <w:widowControl/>
        <w:rPr>
          <w:szCs w:val="26"/>
        </w:rPr>
      </w:pPr>
      <w:r w:rsidRPr="000B5337">
        <w:rPr>
          <w:szCs w:val="26"/>
        </w:rPr>
        <w:t>The data are used for regulatory purposes only</w:t>
      </w:r>
      <w:r w:rsidR="0018542D">
        <w:rPr>
          <w:szCs w:val="26"/>
        </w:rPr>
        <w:t xml:space="preserve"> and are not published.</w:t>
      </w:r>
    </w:p>
    <w:p w:rsidRPr="000B5337" w:rsidR="00877886" w:rsidP="00877886" w:rsidRDefault="00877886" w14:paraId="00FB5AA5" w14:textId="77777777">
      <w:pPr>
        <w:pStyle w:val="FERCparanumber"/>
        <w:numPr>
          <w:ilvl w:val="0"/>
          <w:numId w:val="0"/>
        </w:numPr>
        <w:rPr>
          <w:b/>
          <w:sz w:val="24"/>
          <w:szCs w:val="26"/>
        </w:rPr>
      </w:pPr>
    </w:p>
    <w:p w:rsidRPr="000B5337" w:rsidR="00877886" w:rsidP="00877886" w:rsidRDefault="00877886" w14:paraId="45D11BAC" w14:textId="77777777">
      <w:pPr>
        <w:pStyle w:val="FERCparanumber"/>
        <w:numPr>
          <w:ilvl w:val="0"/>
          <w:numId w:val="2"/>
        </w:numPr>
        <w:rPr>
          <w:b/>
          <w:sz w:val="24"/>
          <w:szCs w:val="26"/>
        </w:rPr>
      </w:pPr>
      <w:r w:rsidRPr="000B5337">
        <w:rPr>
          <w:b/>
          <w:sz w:val="24"/>
          <w:szCs w:val="26"/>
        </w:rPr>
        <w:t>DISPLAY OF EXPIRATION DATE</w:t>
      </w:r>
    </w:p>
    <w:p w:rsidRPr="000B5337" w:rsidR="00877886" w:rsidP="00877886" w:rsidRDefault="00877886" w14:paraId="021F6404" w14:textId="77777777">
      <w:pPr>
        <w:pStyle w:val="FERCparanumber"/>
        <w:numPr>
          <w:ilvl w:val="0"/>
          <w:numId w:val="0"/>
        </w:numPr>
        <w:rPr>
          <w:b/>
          <w:sz w:val="24"/>
          <w:szCs w:val="26"/>
        </w:rPr>
      </w:pPr>
    </w:p>
    <w:p w:rsidR="00877886" w:rsidP="00877886" w:rsidRDefault="00877886" w14:paraId="094C93D2" w14:textId="08F63E2C">
      <w:pPr>
        <w:rPr>
          <w:szCs w:val="26"/>
        </w:rPr>
      </w:pPr>
      <w:r w:rsidRPr="000B5337">
        <w:rPr>
          <w:szCs w:val="26"/>
        </w:rPr>
        <w:t xml:space="preserve">The expiration date </w:t>
      </w:r>
      <w:r w:rsidRPr="000B5337" w:rsidR="00180947">
        <w:rPr>
          <w:szCs w:val="26"/>
        </w:rPr>
        <w:t>will be</w:t>
      </w:r>
      <w:r w:rsidRPr="000B5337">
        <w:rPr>
          <w:szCs w:val="26"/>
        </w:rPr>
        <w:t xml:space="preserve"> displayed in a table posted on</w:t>
      </w:r>
      <w:r w:rsidR="009E73B8">
        <w:rPr>
          <w:szCs w:val="26"/>
        </w:rPr>
        <w:t xml:space="preserve"> </w:t>
      </w:r>
      <w:r w:rsidRPr="000B5337">
        <w:rPr>
          <w:szCs w:val="26"/>
        </w:rPr>
        <w:t xml:space="preserve">ferc.gov at </w:t>
      </w:r>
      <w:r w:rsidR="005D192B">
        <w:rPr>
          <w:szCs w:val="26"/>
        </w:rPr>
        <w:t xml:space="preserve"> </w:t>
      </w:r>
      <w:r w:rsidRPr="005D192B" w:rsidR="005D192B">
        <w:rPr>
          <w:szCs w:val="26"/>
        </w:rPr>
        <w:t>https://www.ferc.gov/enforcement-legal/legal/information-collections</w:t>
      </w:r>
      <w:r w:rsidR="005D192B">
        <w:rPr>
          <w:szCs w:val="26"/>
        </w:rPr>
        <w:t>.</w:t>
      </w:r>
    </w:p>
    <w:p w:rsidRPr="000B5337" w:rsidR="00877886" w:rsidP="00877886" w:rsidRDefault="00877886" w14:paraId="59CF92C4" w14:textId="77777777">
      <w:pPr>
        <w:pStyle w:val="FERCparanumber"/>
        <w:numPr>
          <w:ilvl w:val="0"/>
          <w:numId w:val="0"/>
        </w:numPr>
        <w:rPr>
          <w:b/>
          <w:sz w:val="24"/>
          <w:szCs w:val="26"/>
        </w:rPr>
      </w:pPr>
    </w:p>
    <w:p w:rsidRPr="000B5337" w:rsidR="00877886" w:rsidP="00877886" w:rsidRDefault="00877886" w14:paraId="0B3E51DF" w14:textId="77777777">
      <w:pPr>
        <w:widowControl/>
        <w:numPr>
          <w:ilvl w:val="0"/>
          <w:numId w:val="2"/>
        </w:numPr>
        <w:ind w:hanging="720"/>
        <w:rPr>
          <w:b/>
          <w:szCs w:val="26"/>
        </w:rPr>
      </w:pPr>
      <w:r w:rsidRPr="000B5337">
        <w:rPr>
          <w:b/>
          <w:szCs w:val="26"/>
        </w:rPr>
        <w:t>EXCEPTIONS TO THE CERTIFICATION STATEMENT</w:t>
      </w:r>
    </w:p>
    <w:p w:rsidRPr="000B5337" w:rsidR="00877886" w:rsidP="00DA5743" w:rsidRDefault="00877886" w14:paraId="70D7990C" w14:textId="77777777">
      <w:pPr>
        <w:widowControl/>
        <w:rPr>
          <w:b/>
          <w:szCs w:val="26"/>
        </w:rPr>
      </w:pPr>
    </w:p>
    <w:p w:rsidRPr="000B5337" w:rsidR="00B63FD9" w:rsidP="00BF6373" w:rsidRDefault="00877886" w14:paraId="0C18394F" w14:textId="6B6865A6">
      <w:pPr>
        <w:widowControl/>
      </w:pPr>
      <w:r w:rsidRPr="000B5337">
        <w:rPr>
          <w:szCs w:val="26"/>
        </w:rPr>
        <w:t>There are no exceptions.</w:t>
      </w:r>
    </w:p>
    <w:sectPr w:rsidRPr="000B5337" w:rsidR="00B63FD9" w:rsidSect="00B63F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4B869" w14:textId="77777777" w:rsidR="004C5E34" w:rsidRDefault="004C5E34" w:rsidP="00877886">
      <w:r>
        <w:separator/>
      </w:r>
    </w:p>
  </w:endnote>
  <w:endnote w:type="continuationSeparator" w:id="0">
    <w:p w14:paraId="68B30B3F" w14:textId="77777777" w:rsidR="004C5E34" w:rsidRDefault="004C5E34" w:rsidP="00877886">
      <w:r>
        <w:continuationSeparator/>
      </w:r>
    </w:p>
  </w:endnote>
  <w:endnote w:type="continuationNotice" w:id="1">
    <w:p w14:paraId="5D62AE8A" w14:textId="77777777" w:rsidR="004C5E34" w:rsidRDefault="004C5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FC0C" w14:textId="77777777" w:rsidR="00D440CF" w:rsidRDefault="00D44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AAA4" w14:textId="77777777" w:rsidR="00587C79" w:rsidRDefault="00587C79">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3537C">
          <w:rPr>
            <w:noProof/>
          </w:rPr>
          <w:t>1</w:t>
        </w:r>
        <w:r>
          <w:rPr>
            <w:noProof/>
          </w:rPr>
          <w:fldChar w:fldCharType="end"/>
        </w:r>
      </w:sdtContent>
    </w:sdt>
  </w:p>
  <w:p w14:paraId="2E8229F3" w14:textId="77777777" w:rsidR="00587C79" w:rsidRDefault="00587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8056" w14:textId="77777777" w:rsidR="00D440CF" w:rsidRDefault="00D44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5723C" w14:textId="77777777" w:rsidR="004C5E34" w:rsidRDefault="004C5E34" w:rsidP="00877886">
      <w:r>
        <w:separator/>
      </w:r>
    </w:p>
  </w:footnote>
  <w:footnote w:type="continuationSeparator" w:id="0">
    <w:p w14:paraId="0F235201" w14:textId="77777777" w:rsidR="004C5E34" w:rsidRDefault="004C5E34" w:rsidP="00877886">
      <w:r>
        <w:continuationSeparator/>
      </w:r>
    </w:p>
  </w:footnote>
  <w:footnote w:type="continuationNotice" w:id="1">
    <w:p w14:paraId="7D61601C" w14:textId="77777777" w:rsidR="004C5E34" w:rsidRDefault="004C5E34"/>
  </w:footnote>
  <w:footnote w:id="2">
    <w:p w14:paraId="4862FA88" w14:textId="07B37042" w:rsidR="003E60B1" w:rsidRPr="00452272" w:rsidRDefault="003E60B1" w:rsidP="003B1531">
      <w:pPr>
        <w:pStyle w:val="FootnoteText"/>
        <w:spacing w:after="0"/>
        <w:rPr>
          <w:sz w:val="24"/>
        </w:rPr>
      </w:pPr>
      <w:r>
        <w:rPr>
          <w:rStyle w:val="FootnoteReference"/>
        </w:rPr>
        <w:footnoteRef/>
      </w:r>
      <w:r>
        <w:t xml:space="preserve"> </w:t>
      </w:r>
      <w:r w:rsidRPr="00452272">
        <w:rPr>
          <w:sz w:val="24"/>
        </w:rPr>
        <w:t xml:space="preserve">16 U.S.C. </w:t>
      </w:r>
      <w:r w:rsidR="00FB7B14" w:rsidRPr="00452272">
        <w:rPr>
          <w:sz w:val="24"/>
        </w:rPr>
        <w:t>824e.</w:t>
      </w:r>
    </w:p>
  </w:footnote>
  <w:footnote w:id="3">
    <w:p w14:paraId="65C43373" w14:textId="431202DF" w:rsidR="001F0F13" w:rsidRDefault="001F0F13" w:rsidP="006A2470">
      <w:pPr>
        <w:pStyle w:val="FootnoteText"/>
        <w:spacing w:after="0"/>
      </w:pPr>
      <w:r>
        <w:rPr>
          <w:rStyle w:val="FootnoteReference"/>
        </w:rPr>
        <w:footnoteRef/>
      </w:r>
      <w:r>
        <w:t xml:space="preserve"> </w:t>
      </w:r>
      <w:r w:rsidR="00467212" w:rsidRPr="00B70F76">
        <w:rPr>
          <w:sz w:val="24"/>
        </w:rPr>
        <w:t xml:space="preserve">“Uplift Cost Allocation and Transparency </w:t>
      </w:r>
      <w:r w:rsidR="007622C6" w:rsidRPr="00B70F76">
        <w:rPr>
          <w:sz w:val="24"/>
        </w:rPr>
        <w:t>in Markets Operated by Regional Transmission Organizations and Independent System Operators,” Final Rule,</w:t>
      </w:r>
      <w:r w:rsidR="00B70F76" w:rsidRPr="00B70F76">
        <w:rPr>
          <w:sz w:val="24"/>
        </w:rPr>
        <w:t xml:space="preserve"> </w:t>
      </w:r>
      <w:r w:rsidR="007622C6" w:rsidRPr="00B70F76">
        <w:rPr>
          <w:sz w:val="24"/>
        </w:rPr>
        <w:t>83 FR 18134</w:t>
      </w:r>
      <w:r w:rsidR="00B70F76" w:rsidRPr="00B70F76">
        <w:rPr>
          <w:sz w:val="24"/>
        </w:rPr>
        <w:t xml:space="preserve"> (April 25, 2018).</w:t>
      </w:r>
    </w:p>
  </w:footnote>
  <w:footnote w:id="4">
    <w:p w14:paraId="6CDC3A91" w14:textId="6E1A9CB1" w:rsidR="00587C79" w:rsidRDefault="00587C79" w:rsidP="00A03C9D">
      <w:pPr>
        <w:pStyle w:val="FootnoteText"/>
        <w:spacing w:after="0"/>
      </w:pPr>
      <w:r w:rsidRPr="00452272">
        <w:rPr>
          <w:rStyle w:val="FootnoteReference"/>
          <w:sz w:val="24"/>
        </w:rPr>
        <w:footnoteRef/>
      </w:r>
      <w:r w:rsidRPr="00452272">
        <w:rPr>
          <w:sz w:val="24"/>
          <w:vertAlign w:val="superscript"/>
        </w:rPr>
        <w:t xml:space="preserve"> </w:t>
      </w:r>
      <w:r w:rsidRPr="00452272">
        <w:rPr>
          <w:sz w:val="24"/>
        </w:rPr>
        <w:t xml:space="preserve">Transmission zones are included in both the Zonal Uplift Report and the Operator-Initiated Commitment Report.  </w:t>
      </w:r>
      <w:r w:rsidR="00C65D6D" w:rsidRPr="00452272">
        <w:rPr>
          <w:sz w:val="24"/>
        </w:rPr>
        <w:t xml:space="preserve"> </w:t>
      </w:r>
      <w:r w:rsidR="00C65D6D" w:rsidRPr="00452272">
        <w:rPr>
          <w:i/>
          <w:iCs/>
          <w:sz w:val="24"/>
        </w:rPr>
        <w:t>See</w:t>
      </w:r>
      <w:r w:rsidR="00C65D6D" w:rsidRPr="00452272">
        <w:rPr>
          <w:sz w:val="24"/>
        </w:rPr>
        <w:t xml:space="preserve"> 18 CFR </w:t>
      </w:r>
      <w:r w:rsidR="008E0626" w:rsidRPr="00452272">
        <w:rPr>
          <w:sz w:val="24"/>
        </w:rPr>
        <w:t>35.28</w:t>
      </w:r>
      <w:r w:rsidR="00C65D6D" w:rsidRPr="00452272">
        <w:rPr>
          <w:sz w:val="24"/>
        </w:rPr>
        <w:t xml:space="preserve">(g)(10)(i) and (ii).  </w:t>
      </w:r>
      <w:r w:rsidRPr="00452272">
        <w:rPr>
          <w:sz w:val="24"/>
        </w:rPr>
        <w:t>All RTOs/ISOs have several types of zones within their footprints, each with different terminology and definitions.  "Transmission zone" is not a universal term among RTOs/ISOs; for the purposes of reporting uplift the Commission defines a "transmission zone" as a geographic area that is used for the local allocation of charges.</w:t>
      </w:r>
      <w:r w:rsidR="00415343" w:rsidRPr="00452272">
        <w:rPr>
          <w:sz w:val="24"/>
        </w:rPr>
        <w:t xml:space="preserve">  The Commission has determined that </w:t>
      </w:r>
      <w:r w:rsidRPr="00452272">
        <w:rPr>
          <w:sz w:val="24"/>
        </w:rPr>
        <w:t>on balance, this definition will provide the transparency benefits of geographically granular information while minimizing the risk of harm to the market from the potential release of commercially-sensitive information.  With this definition, the Commission aims to ease the reporting burden on RTOs/ISOs by allowing them to use existing zones rather than requiring them to adjust data and the geographic level of their reporting to fit a newly prescribed level of geographic granularity.</w:t>
      </w:r>
    </w:p>
  </w:footnote>
  <w:footnote w:id="5">
    <w:p w14:paraId="4FD81EFC" w14:textId="73B50AFD" w:rsidR="00800CD5" w:rsidRPr="006A3773" w:rsidRDefault="00800CD5" w:rsidP="00BB6613">
      <w:pPr>
        <w:pStyle w:val="FootnoteText"/>
        <w:spacing w:after="0"/>
        <w:rPr>
          <w:sz w:val="24"/>
        </w:rPr>
      </w:pPr>
      <w:r>
        <w:rPr>
          <w:rStyle w:val="FootnoteReference"/>
        </w:rPr>
        <w:footnoteRef/>
      </w:r>
      <w:r>
        <w:t xml:space="preserve"> </w:t>
      </w:r>
      <w:r w:rsidRPr="006A3773">
        <w:rPr>
          <w:sz w:val="24"/>
        </w:rPr>
        <w:t>E</w:t>
      </w:r>
      <w:r w:rsidR="00623302">
        <w:rPr>
          <w:sz w:val="24"/>
        </w:rPr>
        <w:t xml:space="preserve">lectronic </w:t>
      </w:r>
      <w:r w:rsidRPr="006A3773">
        <w:rPr>
          <w:sz w:val="24"/>
        </w:rPr>
        <w:t>Q</w:t>
      </w:r>
      <w:r w:rsidR="00641395">
        <w:rPr>
          <w:sz w:val="24"/>
        </w:rPr>
        <w:t xml:space="preserve">uarterly </w:t>
      </w:r>
      <w:r w:rsidRPr="006A3773">
        <w:rPr>
          <w:sz w:val="24"/>
        </w:rPr>
        <w:t>R</w:t>
      </w:r>
      <w:r w:rsidR="00641395">
        <w:rPr>
          <w:sz w:val="24"/>
        </w:rPr>
        <w:t xml:space="preserve">eports </w:t>
      </w:r>
      <w:r w:rsidR="006859DD">
        <w:rPr>
          <w:sz w:val="24"/>
        </w:rPr>
        <w:t xml:space="preserve">(EQRs) </w:t>
      </w:r>
      <w:r w:rsidR="00641395">
        <w:rPr>
          <w:sz w:val="24"/>
        </w:rPr>
        <w:t xml:space="preserve">are </w:t>
      </w:r>
      <w:r w:rsidR="005E278A">
        <w:rPr>
          <w:sz w:val="24"/>
        </w:rPr>
        <w:t xml:space="preserve">included in </w:t>
      </w:r>
      <w:r w:rsidR="0010424B">
        <w:rPr>
          <w:sz w:val="24"/>
        </w:rPr>
        <w:t>FERC-</w:t>
      </w:r>
      <w:r w:rsidR="006B1E1F">
        <w:rPr>
          <w:sz w:val="24"/>
        </w:rPr>
        <w:t>920</w:t>
      </w:r>
      <w:r w:rsidR="00970565">
        <w:rPr>
          <w:sz w:val="24"/>
        </w:rPr>
        <w:t xml:space="preserve"> (OMB control number </w:t>
      </w:r>
      <w:r w:rsidR="006B1E1F">
        <w:rPr>
          <w:sz w:val="24"/>
        </w:rPr>
        <w:t>1902-0255</w:t>
      </w:r>
      <w:r w:rsidR="00970565">
        <w:rPr>
          <w:sz w:val="24"/>
        </w:rPr>
        <w:t>)</w:t>
      </w:r>
      <w:r w:rsidR="00F00DC2">
        <w:rPr>
          <w:sz w:val="24"/>
        </w:rPr>
        <w:t>.  EQRs</w:t>
      </w:r>
      <w:r w:rsidR="006B1E1F">
        <w:rPr>
          <w:sz w:val="24"/>
        </w:rPr>
        <w:t xml:space="preserve"> </w:t>
      </w:r>
      <w:r w:rsidRPr="006A3773">
        <w:rPr>
          <w:sz w:val="24"/>
        </w:rPr>
        <w:t>serve as a reporting mechanism for public utilities to fulfill their responsibility under section 205(c) of the Federal Power Act to have their rates and charges on file in a convenient form and place.</w:t>
      </w:r>
    </w:p>
  </w:footnote>
  <w:footnote w:id="6">
    <w:p w14:paraId="07F83325" w14:textId="77777777" w:rsidR="00587C79" w:rsidRPr="006A3773" w:rsidRDefault="00587C79" w:rsidP="00A03C9D">
      <w:pPr>
        <w:pStyle w:val="FootnoteText"/>
        <w:spacing w:after="0"/>
        <w:rPr>
          <w:sz w:val="24"/>
        </w:rPr>
      </w:pPr>
      <w:r w:rsidRPr="006A3773">
        <w:rPr>
          <w:rStyle w:val="FootnoteReference"/>
          <w:sz w:val="24"/>
        </w:rPr>
        <w:footnoteRef/>
      </w:r>
      <w:r w:rsidRPr="006A3773">
        <w:rPr>
          <w:sz w:val="24"/>
        </w:rPr>
        <w:t xml:space="preserve"> 13 CFR 121.201 (Sector 22, Utilities).</w:t>
      </w:r>
    </w:p>
  </w:footnote>
  <w:footnote w:id="7">
    <w:p w14:paraId="0E1718AF" w14:textId="3AD1BEC8" w:rsidR="001154EF" w:rsidRDefault="001154EF" w:rsidP="00702C57">
      <w:pPr>
        <w:pStyle w:val="FootnoteText"/>
        <w:spacing w:after="0"/>
      </w:pPr>
      <w:r>
        <w:rPr>
          <w:rStyle w:val="FootnoteReference"/>
        </w:rPr>
        <w:footnoteRef/>
      </w:r>
      <w:r>
        <w:t xml:space="preserve"> </w:t>
      </w:r>
      <w:r w:rsidR="002B4460">
        <w:t xml:space="preserve">83 FR </w:t>
      </w:r>
      <w:r w:rsidR="00195A94">
        <w:t xml:space="preserve">at </w:t>
      </w:r>
      <w:r w:rsidR="0062477A">
        <w:t>18139 and 18153</w:t>
      </w:r>
      <w:r w:rsidR="00A67D95">
        <w:t xml:space="preserve"> - </w:t>
      </w:r>
      <w:r w:rsidR="0062477A">
        <w:t>54.</w:t>
      </w:r>
    </w:p>
  </w:footnote>
  <w:footnote w:id="8">
    <w:p w14:paraId="49421B17" w14:textId="531DBCE8" w:rsidR="00BB4CB1" w:rsidRDefault="00A83A5C" w:rsidP="00691546">
      <w:pPr>
        <w:pStyle w:val="FootnoteText"/>
        <w:spacing w:after="0"/>
      </w:pPr>
      <w:r>
        <w:rPr>
          <w:rStyle w:val="FootnoteReference"/>
        </w:rPr>
        <w:footnoteRef/>
      </w:r>
      <w:r>
        <w:t xml:space="preserve"> </w:t>
      </w:r>
      <w:hyperlink r:id="rId1" w:history="1">
        <w:r w:rsidR="00BB4CB1" w:rsidRPr="0015509F">
          <w:rPr>
            <w:rStyle w:val="Hyperlink"/>
          </w:rPr>
          <w:t>https://elibrary.ferc.gov/eLibrary/filelist?document_id=14944774&amp;optimized=false</w:t>
        </w:r>
      </w:hyperlink>
      <w:r w:rsidR="00BB4CB1">
        <w:t>.</w:t>
      </w:r>
    </w:p>
  </w:footnote>
  <w:footnote w:id="9">
    <w:p w14:paraId="32CE91B3" w14:textId="7743A9F7" w:rsidR="000B2D1B" w:rsidRDefault="000B2D1B" w:rsidP="00691546">
      <w:pPr>
        <w:pStyle w:val="FootnoteText"/>
        <w:spacing w:after="0"/>
      </w:pPr>
      <w:r>
        <w:rPr>
          <w:rStyle w:val="FootnoteReference"/>
        </w:rPr>
        <w:footnoteRef/>
      </w:r>
      <w:r>
        <w:t xml:space="preserve"> </w:t>
      </w:r>
      <w:r w:rsidR="00644C7B">
        <w:t>86 FR 18968.</w:t>
      </w:r>
    </w:p>
  </w:footnote>
  <w:footnote w:id="10">
    <w:p w14:paraId="41FB6D4C" w14:textId="1474C43F" w:rsidR="00AA01A2" w:rsidRDefault="00AA01A2" w:rsidP="002223D8">
      <w:pPr>
        <w:pStyle w:val="FootnoteText"/>
        <w:spacing w:after="0"/>
      </w:pPr>
      <w:r>
        <w:rPr>
          <w:rStyle w:val="FootnoteReference"/>
        </w:rPr>
        <w:footnoteRef/>
      </w:r>
      <w:r>
        <w:t xml:space="preserve"> 86 FR </w:t>
      </w:r>
      <w:r w:rsidR="00690656">
        <w:t>33266.</w:t>
      </w:r>
    </w:p>
  </w:footnote>
  <w:footnote w:id="11">
    <w:p w14:paraId="55BEE540" w14:textId="77777777" w:rsidR="00425CFA" w:rsidRPr="00A03C9D" w:rsidRDefault="00587C79" w:rsidP="007762A8">
      <w:pPr>
        <w:pStyle w:val="FootnoteText"/>
        <w:spacing w:after="0"/>
        <w:rPr>
          <w:sz w:val="24"/>
          <w:szCs w:val="24"/>
        </w:rPr>
      </w:pPr>
      <w:r w:rsidRPr="00A03C9D">
        <w:rPr>
          <w:rStyle w:val="FootnoteReference"/>
          <w:sz w:val="24"/>
          <w:szCs w:val="24"/>
        </w:rPr>
        <w:footnoteRef/>
      </w:r>
      <w:r w:rsidRPr="00A03C9D">
        <w:rPr>
          <w:sz w:val="24"/>
          <w:szCs w:val="24"/>
        </w:rPr>
        <w:t xml:space="preserve"> </w:t>
      </w:r>
      <w:r w:rsidR="00425CFA" w:rsidRPr="00A03C9D">
        <w:rPr>
          <w:sz w:val="24"/>
          <w:szCs w:val="24"/>
        </w:rPr>
        <w:t>The hourly cost estimate is based on data from the Bureau of Labor Statistics for three occupational categories for 2020 involved in the reporting and recordkeeping requirements.  These figures include salary (</w:t>
      </w:r>
      <w:hyperlink r:id="rId2" w:history="1">
        <w:r w:rsidR="00425CFA" w:rsidRPr="00C542EB">
          <w:rPr>
            <w:rStyle w:val="Hyperlink"/>
            <w:sz w:val="24"/>
            <w:szCs w:val="24"/>
          </w:rPr>
          <w:t>https://www.bls.gov/oes/current/oes_nat.htm</w:t>
        </w:r>
      </w:hyperlink>
      <w:r w:rsidR="00425CFA" w:rsidRPr="00A03C9D">
        <w:rPr>
          <w:sz w:val="24"/>
          <w:szCs w:val="24"/>
        </w:rPr>
        <w:t xml:space="preserve">) and benefits </w:t>
      </w:r>
      <w:hyperlink w:history="1"/>
      <w:r w:rsidR="00425CFA" w:rsidRPr="00A03C9D">
        <w:rPr>
          <w:sz w:val="24"/>
          <w:szCs w:val="24"/>
        </w:rPr>
        <w:t>and are:</w:t>
      </w:r>
    </w:p>
    <w:p w14:paraId="176DA1DF" w14:textId="77777777" w:rsidR="00425CFA" w:rsidRPr="008A04C2" w:rsidRDefault="00425CFA" w:rsidP="00110BD1">
      <w:pPr>
        <w:pStyle w:val="FootnoteText"/>
        <w:numPr>
          <w:ilvl w:val="0"/>
          <w:numId w:val="18"/>
        </w:numPr>
        <w:spacing w:after="0"/>
        <w:rPr>
          <w:sz w:val="24"/>
          <w:szCs w:val="24"/>
        </w:rPr>
      </w:pPr>
      <w:r w:rsidRPr="008A04C2">
        <w:rPr>
          <w:sz w:val="24"/>
          <w:szCs w:val="24"/>
        </w:rPr>
        <w:t>Manager (Occupation Code 11-0000): $97.15/hour</w:t>
      </w:r>
    </w:p>
    <w:p w14:paraId="63E7956B" w14:textId="77777777" w:rsidR="00425CFA" w:rsidRPr="008A04C2" w:rsidRDefault="00425CFA" w:rsidP="00110BD1">
      <w:pPr>
        <w:pStyle w:val="FootnoteText"/>
        <w:numPr>
          <w:ilvl w:val="0"/>
          <w:numId w:val="18"/>
        </w:numPr>
        <w:spacing w:after="0"/>
        <w:rPr>
          <w:sz w:val="24"/>
          <w:szCs w:val="24"/>
        </w:rPr>
      </w:pPr>
      <w:r w:rsidRPr="008A04C2">
        <w:rPr>
          <w:sz w:val="24"/>
          <w:szCs w:val="24"/>
        </w:rPr>
        <w:t>Electrical Engineer (Occupation Code 17-2071): $70.19/hour</w:t>
      </w:r>
    </w:p>
    <w:p w14:paraId="465C068F" w14:textId="665CF6FF" w:rsidR="00425CFA" w:rsidRPr="008A04C2" w:rsidRDefault="00425CFA" w:rsidP="00110BD1">
      <w:pPr>
        <w:pStyle w:val="FootnoteText"/>
        <w:numPr>
          <w:ilvl w:val="0"/>
          <w:numId w:val="18"/>
        </w:numPr>
        <w:spacing w:after="0"/>
        <w:rPr>
          <w:sz w:val="24"/>
          <w:szCs w:val="24"/>
        </w:rPr>
      </w:pPr>
      <w:r w:rsidRPr="008A04C2">
        <w:rPr>
          <w:sz w:val="24"/>
          <w:szCs w:val="24"/>
        </w:rPr>
        <w:t>File Clerk (Occupation Code 43-4071): $34.79/hour</w:t>
      </w:r>
    </w:p>
    <w:p w14:paraId="72518005" w14:textId="296C41BC" w:rsidR="00587C79" w:rsidRPr="00A03C9D" w:rsidRDefault="00A03C9D" w:rsidP="00425CFA">
      <w:pPr>
        <w:pStyle w:val="FootnoteText"/>
        <w:rPr>
          <w:sz w:val="24"/>
          <w:szCs w:val="24"/>
        </w:rPr>
      </w:pPr>
      <w:r w:rsidRPr="00A03C9D">
        <w:rPr>
          <w:sz w:val="24"/>
          <w:szCs w:val="24"/>
        </w:rPr>
        <w:t xml:space="preserve">Therefore, $97.15 + $70.19 + $34.79= $202.13.  </w:t>
      </w:r>
      <w:r w:rsidR="00425CFA" w:rsidRPr="00A03C9D">
        <w:rPr>
          <w:sz w:val="24"/>
          <w:szCs w:val="24"/>
        </w:rPr>
        <w:t>The estimate</w:t>
      </w:r>
      <w:r w:rsidR="00E221FF" w:rsidRPr="00A03C9D">
        <w:rPr>
          <w:sz w:val="24"/>
          <w:szCs w:val="24"/>
        </w:rPr>
        <w:t>d</w:t>
      </w:r>
      <w:r w:rsidR="00425CFA" w:rsidRPr="00A03C9D">
        <w:rPr>
          <w:sz w:val="24"/>
          <w:szCs w:val="24"/>
        </w:rPr>
        <w:t xml:space="preserve"> hourly cost for the reporting requirements ($67.38</w:t>
      </w:r>
      <w:r>
        <w:rPr>
          <w:sz w:val="24"/>
          <w:szCs w:val="24"/>
        </w:rPr>
        <w:t>/hour</w:t>
      </w:r>
      <w:r w:rsidR="00425CFA" w:rsidRPr="00A03C9D">
        <w:rPr>
          <w:sz w:val="24"/>
          <w:szCs w:val="24"/>
        </w:rPr>
        <w:t xml:space="preserve">) is an average of the </w:t>
      </w:r>
      <w:r w:rsidR="00AF2430" w:rsidRPr="00A03C9D">
        <w:rPr>
          <w:sz w:val="24"/>
          <w:szCs w:val="24"/>
        </w:rPr>
        <w:t>costs listed above.</w:t>
      </w:r>
    </w:p>
  </w:footnote>
  <w:footnote w:id="12">
    <w:p w14:paraId="22A90252" w14:textId="32039F59" w:rsidR="00587C79" w:rsidRPr="006A3773" w:rsidRDefault="00587C79" w:rsidP="00DC32FC">
      <w:pPr>
        <w:pStyle w:val="FootnoteText"/>
        <w:spacing w:after="0"/>
        <w:rPr>
          <w:sz w:val="24"/>
        </w:rPr>
      </w:pPr>
      <w:r w:rsidRPr="006A3773">
        <w:rPr>
          <w:rStyle w:val="FootnoteReference"/>
          <w:sz w:val="24"/>
        </w:rPr>
        <w:footnoteRef/>
      </w:r>
      <w:r w:rsidRPr="006A3773">
        <w:rPr>
          <w:sz w:val="24"/>
        </w:rPr>
        <w:t xml:space="preserve"> </w:t>
      </w:r>
      <w:r w:rsidR="005F767C" w:rsidRPr="005F767C">
        <w:rPr>
          <w:sz w:val="24"/>
        </w:rPr>
        <w:t>The “Analysis and Processing” estimates use $172,</w:t>
      </w:r>
      <w:r w:rsidR="007D7427">
        <w:rPr>
          <w:sz w:val="24"/>
        </w:rPr>
        <w:t>329</w:t>
      </w:r>
      <w:r w:rsidR="005F767C" w:rsidRPr="005F767C">
        <w:rPr>
          <w:sz w:val="24"/>
        </w:rPr>
        <w:t xml:space="preserve"> for each FERC full-time equivalent (FTE).  This is the current average annual salary plus benefits for one FERC FTE.</w:t>
      </w:r>
    </w:p>
  </w:footnote>
  <w:footnote w:id="13">
    <w:p w14:paraId="5F286B98" w14:textId="77777777" w:rsidR="00587C79" w:rsidRPr="00B517A2" w:rsidRDefault="00587C79" w:rsidP="00DC32FC">
      <w:pPr>
        <w:pStyle w:val="FootnoteText"/>
        <w:spacing w:after="0"/>
      </w:pPr>
      <w:r w:rsidRPr="006A3773">
        <w:rPr>
          <w:rStyle w:val="FootnoteReference"/>
          <w:sz w:val="24"/>
        </w:rPr>
        <w:footnoteRef/>
      </w:r>
      <w:r w:rsidRPr="006A3773">
        <w:rPr>
          <w:sz w:val="24"/>
          <w:vertAlign w:val="superscript"/>
        </w:rPr>
        <w:t xml:space="preserve"> </w:t>
      </w:r>
      <w:r w:rsidRPr="006A3773">
        <w:rPr>
          <w:sz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4A01" w14:textId="77777777" w:rsidR="00D440CF" w:rsidRDefault="00D44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BDB3" w14:textId="0E01EC97" w:rsidR="00587C79" w:rsidRDefault="00587C79" w:rsidP="007111C1">
    <w:pPr>
      <w:pStyle w:val="Header"/>
      <w:tabs>
        <w:tab w:val="left" w:pos="3150"/>
      </w:tabs>
    </w:pPr>
    <w:r>
      <w:t>FERC-516G (OMB Control No.</w:t>
    </w:r>
    <w:r w:rsidR="006529B8">
      <w:t xml:space="preserve"> </w:t>
    </w:r>
    <w:r w:rsidRPr="007111C1">
      <w:t>1902-0295</w:t>
    </w:r>
    <w:r w:rsidR="00282517">
      <w:t>)</w:t>
    </w:r>
  </w:p>
  <w:p w14:paraId="6C892FA5" w14:textId="661CA0AE" w:rsidR="00587C79" w:rsidRDefault="006529B8" w:rsidP="004A2DD4">
    <w:pPr>
      <w:pStyle w:val="Header"/>
      <w:tabs>
        <w:tab w:val="left" w:pos="3150"/>
      </w:tabs>
    </w:pPr>
    <w:r>
      <w:t>IC21-14-000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94DD" w14:textId="77777777" w:rsidR="00587C79" w:rsidRDefault="00587C79">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8C0"/>
    <w:multiLevelType w:val="hybridMultilevel"/>
    <w:tmpl w:val="BA028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05909"/>
    <w:multiLevelType w:val="hybridMultilevel"/>
    <w:tmpl w:val="B9F210C0"/>
    <w:lvl w:ilvl="0" w:tplc="EE2C8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2A8D"/>
    <w:multiLevelType w:val="hybridMultilevel"/>
    <w:tmpl w:val="453EDF0E"/>
    <w:lvl w:ilvl="0" w:tplc="C4128328">
      <w:start w:val="1"/>
      <w:numFmt w:val="bullet"/>
      <w:lvlText w:val=""/>
      <w:lvlJc w:val="left"/>
      <w:pPr>
        <w:ind w:left="1559" w:hanging="361"/>
      </w:pPr>
      <w:rPr>
        <w:rFonts w:ascii="Symbol" w:eastAsia="Symbol" w:hAnsi="Symbol" w:hint="default"/>
        <w:w w:val="99"/>
        <w:sz w:val="26"/>
        <w:szCs w:val="26"/>
      </w:rPr>
    </w:lvl>
    <w:lvl w:ilvl="1" w:tplc="297A75EC">
      <w:start w:val="1"/>
      <w:numFmt w:val="bullet"/>
      <w:lvlText w:val="•"/>
      <w:lvlJc w:val="left"/>
      <w:pPr>
        <w:ind w:left="2361" w:hanging="361"/>
      </w:pPr>
      <w:rPr>
        <w:rFonts w:hint="default"/>
      </w:rPr>
    </w:lvl>
    <w:lvl w:ilvl="2" w:tplc="8174C2EA">
      <w:start w:val="1"/>
      <w:numFmt w:val="bullet"/>
      <w:lvlText w:val="•"/>
      <w:lvlJc w:val="left"/>
      <w:pPr>
        <w:ind w:left="3163" w:hanging="361"/>
      </w:pPr>
      <w:rPr>
        <w:rFonts w:hint="default"/>
      </w:rPr>
    </w:lvl>
    <w:lvl w:ilvl="3" w:tplc="0C1C03F6">
      <w:start w:val="1"/>
      <w:numFmt w:val="bullet"/>
      <w:lvlText w:val="•"/>
      <w:lvlJc w:val="left"/>
      <w:pPr>
        <w:ind w:left="3965" w:hanging="361"/>
      </w:pPr>
      <w:rPr>
        <w:rFonts w:hint="default"/>
      </w:rPr>
    </w:lvl>
    <w:lvl w:ilvl="4" w:tplc="7730F4DC">
      <w:start w:val="1"/>
      <w:numFmt w:val="bullet"/>
      <w:lvlText w:val="•"/>
      <w:lvlJc w:val="left"/>
      <w:pPr>
        <w:ind w:left="4767" w:hanging="361"/>
      </w:pPr>
      <w:rPr>
        <w:rFonts w:hint="default"/>
      </w:rPr>
    </w:lvl>
    <w:lvl w:ilvl="5" w:tplc="4DB0AA84">
      <w:start w:val="1"/>
      <w:numFmt w:val="bullet"/>
      <w:lvlText w:val="•"/>
      <w:lvlJc w:val="left"/>
      <w:pPr>
        <w:ind w:left="5569" w:hanging="361"/>
      </w:pPr>
      <w:rPr>
        <w:rFonts w:hint="default"/>
      </w:rPr>
    </w:lvl>
    <w:lvl w:ilvl="6" w:tplc="F6EAF5E6">
      <w:start w:val="1"/>
      <w:numFmt w:val="bullet"/>
      <w:lvlText w:val="•"/>
      <w:lvlJc w:val="left"/>
      <w:pPr>
        <w:ind w:left="6371" w:hanging="361"/>
      </w:pPr>
      <w:rPr>
        <w:rFonts w:hint="default"/>
      </w:rPr>
    </w:lvl>
    <w:lvl w:ilvl="7" w:tplc="204C4FE4">
      <w:start w:val="1"/>
      <w:numFmt w:val="bullet"/>
      <w:lvlText w:val="•"/>
      <w:lvlJc w:val="left"/>
      <w:pPr>
        <w:ind w:left="7173" w:hanging="361"/>
      </w:pPr>
      <w:rPr>
        <w:rFonts w:hint="default"/>
      </w:rPr>
    </w:lvl>
    <w:lvl w:ilvl="8" w:tplc="636ECD66">
      <w:start w:val="1"/>
      <w:numFmt w:val="bullet"/>
      <w:lvlText w:val="•"/>
      <w:lvlJc w:val="left"/>
      <w:pPr>
        <w:ind w:left="7975" w:hanging="361"/>
      </w:pPr>
      <w:rPr>
        <w:rFonts w:hint="default"/>
      </w:rPr>
    </w:lvl>
  </w:abstractNum>
  <w:abstractNum w:abstractNumId="3" w15:restartNumberingAfterBreak="0">
    <w:nsid w:val="127E1A28"/>
    <w:multiLevelType w:val="hybridMultilevel"/>
    <w:tmpl w:val="358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B5D80"/>
    <w:multiLevelType w:val="hybridMultilevel"/>
    <w:tmpl w:val="62828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FC27AB"/>
    <w:multiLevelType w:val="hybridMultilevel"/>
    <w:tmpl w:val="F9B8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D15D8"/>
    <w:multiLevelType w:val="hybridMultilevel"/>
    <w:tmpl w:val="674C392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15:restartNumberingAfterBreak="0">
    <w:nsid w:val="2EAF339C"/>
    <w:multiLevelType w:val="hybridMultilevel"/>
    <w:tmpl w:val="C25866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C17CB"/>
    <w:multiLevelType w:val="hybridMultilevel"/>
    <w:tmpl w:val="DD1C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E71C4"/>
    <w:multiLevelType w:val="hybridMultilevel"/>
    <w:tmpl w:val="5ECA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DA0F2D"/>
    <w:multiLevelType w:val="hybridMultilevel"/>
    <w:tmpl w:val="A5D4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649DA"/>
    <w:multiLevelType w:val="hybridMultilevel"/>
    <w:tmpl w:val="F96A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0D34E4"/>
    <w:multiLevelType w:val="hybridMultilevel"/>
    <w:tmpl w:val="A618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74518"/>
    <w:multiLevelType w:val="hybridMultilevel"/>
    <w:tmpl w:val="ED28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21C7C"/>
    <w:multiLevelType w:val="hybridMultilevel"/>
    <w:tmpl w:val="CF741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2D6B15"/>
    <w:multiLevelType w:val="hybridMultilevel"/>
    <w:tmpl w:val="82D8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A64F5"/>
    <w:multiLevelType w:val="hybridMultilevel"/>
    <w:tmpl w:val="B8B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30FCE"/>
    <w:multiLevelType w:val="hybridMultilevel"/>
    <w:tmpl w:val="EDBCDF90"/>
    <w:lvl w:ilvl="0" w:tplc="3C003CC6">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50BD0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26ED0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42685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C2606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BAE66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8631F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F60C5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E269B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E4E4DD3"/>
    <w:multiLevelType w:val="hybridMultilevel"/>
    <w:tmpl w:val="E690D8D0"/>
    <w:lvl w:ilvl="0" w:tplc="D4323D40">
      <w:start w:val="1"/>
      <w:numFmt w:val="decimal"/>
      <w:lvlText w:val="%1."/>
      <w:lvlJc w:val="left"/>
      <w:pPr>
        <w:tabs>
          <w:tab w:val="num" w:pos="720"/>
        </w:tabs>
        <w:ind w:left="0" w:firstLine="0"/>
      </w:pPr>
      <w:rPr>
        <w:rFonts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21"/>
  </w:num>
  <w:num w:numId="4">
    <w:abstractNumId w:val="10"/>
  </w:num>
  <w:num w:numId="5">
    <w:abstractNumId w:val="0"/>
  </w:num>
  <w:num w:numId="6">
    <w:abstractNumId w:val="13"/>
  </w:num>
  <w:num w:numId="7">
    <w:abstractNumId w:val="18"/>
  </w:num>
  <w:num w:numId="8">
    <w:abstractNumId w:val="2"/>
  </w:num>
  <w:num w:numId="9">
    <w:abstractNumId w:val="6"/>
  </w:num>
  <w:num w:numId="10">
    <w:abstractNumId w:val="5"/>
  </w:num>
  <w:num w:numId="11">
    <w:abstractNumId w:val="4"/>
  </w:num>
  <w:num w:numId="12">
    <w:abstractNumId w:val="7"/>
  </w:num>
  <w:num w:numId="13">
    <w:abstractNumId w:val="12"/>
  </w:num>
  <w:num w:numId="14">
    <w:abstractNumId w:val="20"/>
  </w:num>
  <w:num w:numId="15">
    <w:abstractNumId w:val="3"/>
  </w:num>
  <w:num w:numId="16">
    <w:abstractNumId w:val="1"/>
  </w:num>
  <w:num w:numId="17">
    <w:abstractNumId w:val="15"/>
  </w:num>
  <w:num w:numId="18">
    <w:abstractNumId w:val="11"/>
  </w:num>
  <w:num w:numId="19">
    <w:abstractNumId w:val="17"/>
  </w:num>
  <w:num w:numId="20">
    <w:abstractNumId w:val="16"/>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86"/>
    <w:rsid w:val="00001001"/>
    <w:rsid w:val="00007E29"/>
    <w:rsid w:val="00012BA1"/>
    <w:rsid w:val="0001629C"/>
    <w:rsid w:val="00020D6C"/>
    <w:rsid w:val="0002313D"/>
    <w:rsid w:val="00026AB8"/>
    <w:rsid w:val="0003032B"/>
    <w:rsid w:val="000319D1"/>
    <w:rsid w:val="00034522"/>
    <w:rsid w:val="00034649"/>
    <w:rsid w:val="00036781"/>
    <w:rsid w:val="000405EE"/>
    <w:rsid w:val="00044364"/>
    <w:rsid w:val="00052B45"/>
    <w:rsid w:val="000535E1"/>
    <w:rsid w:val="00053B46"/>
    <w:rsid w:val="00054CEA"/>
    <w:rsid w:val="000554EE"/>
    <w:rsid w:val="0008171C"/>
    <w:rsid w:val="0008212A"/>
    <w:rsid w:val="0008241F"/>
    <w:rsid w:val="00084061"/>
    <w:rsid w:val="00084868"/>
    <w:rsid w:val="00090440"/>
    <w:rsid w:val="00092C22"/>
    <w:rsid w:val="00092FFF"/>
    <w:rsid w:val="000943C2"/>
    <w:rsid w:val="0009631A"/>
    <w:rsid w:val="000A584C"/>
    <w:rsid w:val="000B02F6"/>
    <w:rsid w:val="000B0630"/>
    <w:rsid w:val="000B07EB"/>
    <w:rsid w:val="000B133A"/>
    <w:rsid w:val="000B2D1B"/>
    <w:rsid w:val="000B5337"/>
    <w:rsid w:val="000B5C93"/>
    <w:rsid w:val="000C05D0"/>
    <w:rsid w:val="000C082E"/>
    <w:rsid w:val="000C33D7"/>
    <w:rsid w:val="000C3EE4"/>
    <w:rsid w:val="000C62C8"/>
    <w:rsid w:val="000D53E6"/>
    <w:rsid w:val="000E384A"/>
    <w:rsid w:val="000E3E1E"/>
    <w:rsid w:val="000E57A5"/>
    <w:rsid w:val="000E65A0"/>
    <w:rsid w:val="000F3F60"/>
    <w:rsid w:val="000F608A"/>
    <w:rsid w:val="000F6C1E"/>
    <w:rsid w:val="000F7199"/>
    <w:rsid w:val="000F73E3"/>
    <w:rsid w:val="0010424B"/>
    <w:rsid w:val="00105718"/>
    <w:rsid w:val="00110729"/>
    <w:rsid w:val="00110BD1"/>
    <w:rsid w:val="0011546A"/>
    <w:rsid w:val="001154EF"/>
    <w:rsid w:val="001228E8"/>
    <w:rsid w:val="00122C5E"/>
    <w:rsid w:val="00123B90"/>
    <w:rsid w:val="00130531"/>
    <w:rsid w:val="00133A0B"/>
    <w:rsid w:val="00134F48"/>
    <w:rsid w:val="00140A77"/>
    <w:rsid w:val="00150C26"/>
    <w:rsid w:val="001575B1"/>
    <w:rsid w:val="00162694"/>
    <w:rsid w:val="00173CA3"/>
    <w:rsid w:val="00175DC9"/>
    <w:rsid w:val="00176759"/>
    <w:rsid w:val="001778EF"/>
    <w:rsid w:val="00180532"/>
    <w:rsid w:val="00180947"/>
    <w:rsid w:val="00181416"/>
    <w:rsid w:val="0018542D"/>
    <w:rsid w:val="00190E76"/>
    <w:rsid w:val="00194F21"/>
    <w:rsid w:val="00195494"/>
    <w:rsid w:val="00195A94"/>
    <w:rsid w:val="001A195E"/>
    <w:rsid w:val="001A223C"/>
    <w:rsid w:val="001A5C50"/>
    <w:rsid w:val="001A7E3F"/>
    <w:rsid w:val="001B16AD"/>
    <w:rsid w:val="001B1AF1"/>
    <w:rsid w:val="001B75FC"/>
    <w:rsid w:val="001C184C"/>
    <w:rsid w:val="001C45D3"/>
    <w:rsid w:val="001C6803"/>
    <w:rsid w:val="001C75C6"/>
    <w:rsid w:val="001D0184"/>
    <w:rsid w:val="001D0DDF"/>
    <w:rsid w:val="001D15CC"/>
    <w:rsid w:val="001D2570"/>
    <w:rsid w:val="001D4E05"/>
    <w:rsid w:val="001D55C3"/>
    <w:rsid w:val="001D6C5C"/>
    <w:rsid w:val="001E37B0"/>
    <w:rsid w:val="001E3F6F"/>
    <w:rsid w:val="001E3FFD"/>
    <w:rsid w:val="001E4915"/>
    <w:rsid w:val="001E556C"/>
    <w:rsid w:val="001F05C9"/>
    <w:rsid w:val="001F0F13"/>
    <w:rsid w:val="001F6983"/>
    <w:rsid w:val="001F6C0D"/>
    <w:rsid w:val="002017D5"/>
    <w:rsid w:val="00206347"/>
    <w:rsid w:val="002153E8"/>
    <w:rsid w:val="00215E5A"/>
    <w:rsid w:val="00217EBD"/>
    <w:rsid w:val="002223D8"/>
    <w:rsid w:val="00222A8D"/>
    <w:rsid w:val="00222CDB"/>
    <w:rsid w:val="0022744F"/>
    <w:rsid w:val="00230B39"/>
    <w:rsid w:val="00232B32"/>
    <w:rsid w:val="00242C3F"/>
    <w:rsid w:val="00243A7E"/>
    <w:rsid w:val="00245C3C"/>
    <w:rsid w:val="00251260"/>
    <w:rsid w:val="00251F5E"/>
    <w:rsid w:val="00253692"/>
    <w:rsid w:val="00257F95"/>
    <w:rsid w:val="00260FE2"/>
    <w:rsid w:val="002620F6"/>
    <w:rsid w:val="00266066"/>
    <w:rsid w:val="00267AD4"/>
    <w:rsid w:val="00272527"/>
    <w:rsid w:val="00272D30"/>
    <w:rsid w:val="0027368F"/>
    <w:rsid w:val="002761D3"/>
    <w:rsid w:val="00282517"/>
    <w:rsid w:val="002828E5"/>
    <w:rsid w:val="00287C7F"/>
    <w:rsid w:val="0029121E"/>
    <w:rsid w:val="00292644"/>
    <w:rsid w:val="002B431F"/>
    <w:rsid w:val="002B4460"/>
    <w:rsid w:val="002B612A"/>
    <w:rsid w:val="002B641D"/>
    <w:rsid w:val="002C18D5"/>
    <w:rsid w:val="002C2B77"/>
    <w:rsid w:val="002C6380"/>
    <w:rsid w:val="002D01D5"/>
    <w:rsid w:val="002D4EC5"/>
    <w:rsid w:val="002D662A"/>
    <w:rsid w:val="002E6552"/>
    <w:rsid w:val="002E77A4"/>
    <w:rsid w:val="002F1258"/>
    <w:rsid w:val="002F1D13"/>
    <w:rsid w:val="002F4497"/>
    <w:rsid w:val="002F5A43"/>
    <w:rsid w:val="00305E91"/>
    <w:rsid w:val="0030759F"/>
    <w:rsid w:val="00315AC2"/>
    <w:rsid w:val="00316316"/>
    <w:rsid w:val="003245F4"/>
    <w:rsid w:val="00327220"/>
    <w:rsid w:val="00327FDD"/>
    <w:rsid w:val="003305F1"/>
    <w:rsid w:val="0033281A"/>
    <w:rsid w:val="0033484F"/>
    <w:rsid w:val="0033673F"/>
    <w:rsid w:val="00336C8A"/>
    <w:rsid w:val="00337E7B"/>
    <w:rsid w:val="0034627C"/>
    <w:rsid w:val="003472EA"/>
    <w:rsid w:val="00347869"/>
    <w:rsid w:val="00350572"/>
    <w:rsid w:val="00350615"/>
    <w:rsid w:val="00355C50"/>
    <w:rsid w:val="00356425"/>
    <w:rsid w:val="00360A65"/>
    <w:rsid w:val="00360DEE"/>
    <w:rsid w:val="0036793D"/>
    <w:rsid w:val="00367C10"/>
    <w:rsid w:val="00370830"/>
    <w:rsid w:val="003809F5"/>
    <w:rsid w:val="00381448"/>
    <w:rsid w:val="00383A7C"/>
    <w:rsid w:val="00384034"/>
    <w:rsid w:val="003922F8"/>
    <w:rsid w:val="00392D8E"/>
    <w:rsid w:val="00396476"/>
    <w:rsid w:val="003964A5"/>
    <w:rsid w:val="00397280"/>
    <w:rsid w:val="00397DF9"/>
    <w:rsid w:val="003A1583"/>
    <w:rsid w:val="003A642E"/>
    <w:rsid w:val="003A78A0"/>
    <w:rsid w:val="003B0037"/>
    <w:rsid w:val="003B05C7"/>
    <w:rsid w:val="003B1531"/>
    <w:rsid w:val="003B4BCC"/>
    <w:rsid w:val="003B534A"/>
    <w:rsid w:val="003C0EE4"/>
    <w:rsid w:val="003C442E"/>
    <w:rsid w:val="003C5562"/>
    <w:rsid w:val="003C5BD3"/>
    <w:rsid w:val="003C69A0"/>
    <w:rsid w:val="003D5860"/>
    <w:rsid w:val="003D5924"/>
    <w:rsid w:val="003D7917"/>
    <w:rsid w:val="003E570A"/>
    <w:rsid w:val="003E60B1"/>
    <w:rsid w:val="003E6220"/>
    <w:rsid w:val="003E7026"/>
    <w:rsid w:val="003F0CEF"/>
    <w:rsid w:val="003F198F"/>
    <w:rsid w:val="003F3ECD"/>
    <w:rsid w:val="003F7F08"/>
    <w:rsid w:val="004008B7"/>
    <w:rsid w:val="004035DD"/>
    <w:rsid w:val="004042BD"/>
    <w:rsid w:val="004106E7"/>
    <w:rsid w:val="00410E8C"/>
    <w:rsid w:val="0041369E"/>
    <w:rsid w:val="00415343"/>
    <w:rsid w:val="00416044"/>
    <w:rsid w:val="00424626"/>
    <w:rsid w:val="00425CFA"/>
    <w:rsid w:val="00437A7A"/>
    <w:rsid w:val="00440029"/>
    <w:rsid w:val="00440192"/>
    <w:rsid w:val="00443605"/>
    <w:rsid w:val="00444DBC"/>
    <w:rsid w:val="00444FAE"/>
    <w:rsid w:val="00445495"/>
    <w:rsid w:val="00450195"/>
    <w:rsid w:val="00451A49"/>
    <w:rsid w:val="00452272"/>
    <w:rsid w:val="00454550"/>
    <w:rsid w:val="00454D86"/>
    <w:rsid w:val="004576FE"/>
    <w:rsid w:val="00457D9F"/>
    <w:rsid w:val="0046265E"/>
    <w:rsid w:val="00462E2E"/>
    <w:rsid w:val="004640FE"/>
    <w:rsid w:val="0046651A"/>
    <w:rsid w:val="00467212"/>
    <w:rsid w:val="00473EC9"/>
    <w:rsid w:val="0047570C"/>
    <w:rsid w:val="0048391F"/>
    <w:rsid w:val="00486800"/>
    <w:rsid w:val="00490E2A"/>
    <w:rsid w:val="004942DD"/>
    <w:rsid w:val="004A1429"/>
    <w:rsid w:val="004A2DD4"/>
    <w:rsid w:val="004A46EF"/>
    <w:rsid w:val="004A7930"/>
    <w:rsid w:val="004B0256"/>
    <w:rsid w:val="004B3F2A"/>
    <w:rsid w:val="004B55E0"/>
    <w:rsid w:val="004C14C6"/>
    <w:rsid w:val="004C29E7"/>
    <w:rsid w:val="004C3F3D"/>
    <w:rsid w:val="004C4A73"/>
    <w:rsid w:val="004C4BA3"/>
    <w:rsid w:val="004C4D8B"/>
    <w:rsid w:val="004C5E34"/>
    <w:rsid w:val="004D1A3B"/>
    <w:rsid w:val="004D53EE"/>
    <w:rsid w:val="004E026A"/>
    <w:rsid w:val="004E4597"/>
    <w:rsid w:val="004F223F"/>
    <w:rsid w:val="004F4C08"/>
    <w:rsid w:val="004F6FBD"/>
    <w:rsid w:val="00514B52"/>
    <w:rsid w:val="00514DD1"/>
    <w:rsid w:val="00517B1F"/>
    <w:rsid w:val="00517E27"/>
    <w:rsid w:val="0052096F"/>
    <w:rsid w:val="005235D1"/>
    <w:rsid w:val="00524C82"/>
    <w:rsid w:val="00524FE8"/>
    <w:rsid w:val="0052574F"/>
    <w:rsid w:val="0052735E"/>
    <w:rsid w:val="005322A3"/>
    <w:rsid w:val="00533CB8"/>
    <w:rsid w:val="0053635F"/>
    <w:rsid w:val="00542938"/>
    <w:rsid w:val="00547BB8"/>
    <w:rsid w:val="0055552C"/>
    <w:rsid w:val="0056106B"/>
    <w:rsid w:val="005629F8"/>
    <w:rsid w:val="00563DEF"/>
    <w:rsid w:val="00567E85"/>
    <w:rsid w:val="00571DB7"/>
    <w:rsid w:val="00573F60"/>
    <w:rsid w:val="0058263E"/>
    <w:rsid w:val="00583381"/>
    <w:rsid w:val="00585B81"/>
    <w:rsid w:val="00587C79"/>
    <w:rsid w:val="005A13AA"/>
    <w:rsid w:val="005B1662"/>
    <w:rsid w:val="005B2CF1"/>
    <w:rsid w:val="005B4B44"/>
    <w:rsid w:val="005B7B90"/>
    <w:rsid w:val="005C0DC5"/>
    <w:rsid w:val="005C4A8F"/>
    <w:rsid w:val="005C4E23"/>
    <w:rsid w:val="005D192B"/>
    <w:rsid w:val="005D21F8"/>
    <w:rsid w:val="005D6647"/>
    <w:rsid w:val="005E278A"/>
    <w:rsid w:val="005E3824"/>
    <w:rsid w:val="005E5357"/>
    <w:rsid w:val="005F1202"/>
    <w:rsid w:val="005F417B"/>
    <w:rsid w:val="005F767C"/>
    <w:rsid w:val="00603AF9"/>
    <w:rsid w:val="00605300"/>
    <w:rsid w:val="006118A5"/>
    <w:rsid w:val="0061744F"/>
    <w:rsid w:val="0062189F"/>
    <w:rsid w:val="00621B3E"/>
    <w:rsid w:val="00623302"/>
    <w:rsid w:val="0062477A"/>
    <w:rsid w:val="00626D83"/>
    <w:rsid w:val="006276CE"/>
    <w:rsid w:val="00627E83"/>
    <w:rsid w:val="00634692"/>
    <w:rsid w:val="00635A5E"/>
    <w:rsid w:val="00641395"/>
    <w:rsid w:val="006441A5"/>
    <w:rsid w:val="00644C7B"/>
    <w:rsid w:val="00645648"/>
    <w:rsid w:val="00646A2D"/>
    <w:rsid w:val="006529B8"/>
    <w:rsid w:val="00654D90"/>
    <w:rsid w:val="006602EB"/>
    <w:rsid w:val="00667AC6"/>
    <w:rsid w:val="00670A5A"/>
    <w:rsid w:val="006714CB"/>
    <w:rsid w:val="006742D2"/>
    <w:rsid w:val="00675612"/>
    <w:rsid w:val="006756A7"/>
    <w:rsid w:val="00675E16"/>
    <w:rsid w:val="006803F1"/>
    <w:rsid w:val="00681D33"/>
    <w:rsid w:val="00682BF4"/>
    <w:rsid w:val="00683A83"/>
    <w:rsid w:val="006859DD"/>
    <w:rsid w:val="00685F2E"/>
    <w:rsid w:val="00686EE2"/>
    <w:rsid w:val="00687C9E"/>
    <w:rsid w:val="00690656"/>
    <w:rsid w:val="00691546"/>
    <w:rsid w:val="006938A2"/>
    <w:rsid w:val="00695940"/>
    <w:rsid w:val="00696CFD"/>
    <w:rsid w:val="006A1FAA"/>
    <w:rsid w:val="006A2470"/>
    <w:rsid w:val="006A3773"/>
    <w:rsid w:val="006A5940"/>
    <w:rsid w:val="006B1E1F"/>
    <w:rsid w:val="006C3D68"/>
    <w:rsid w:val="006C4D5A"/>
    <w:rsid w:val="006D0041"/>
    <w:rsid w:val="006D0CDD"/>
    <w:rsid w:val="006D1459"/>
    <w:rsid w:val="006D236B"/>
    <w:rsid w:val="006D6567"/>
    <w:rsid w:val="006D6EF4"/>
    <w:rsid w:val="006E0143"/>
    <w:rsid w:val="006F1C16"/>
    <w:rsid w:val="006F2728"/>
    <w:rsid w:val="00702C57"/>
    <w:rsid w:val="007040EE"/>
    <w:rsid w:val="00705165"/>
    <w:rsid w:val="0070722C"/>
    <w:rsid w:val="00710981"/>
    <w:rsid w:val="007111C1"/>
    <w:rsid w:val="00712E36"/>
    <w:rsid w:val="00715155"/>
    <w:rsid w:val="007161A5"/>
    <w:rsid w:val="00722EFD"/>
    <w:rsid w:val="0072664D"/>
    <w:rsid w:val="00730C83"/>
    <w:rsid w:val="0073510A"/>
    <w:rsid w:val="0073537C"/>
    <w:rsid w:val="00735466"/>
    <w:rsid w:val="00735DCE"/>
    <w:rsid w:val="00737012"/>
    <w:rsid w:val="00740587"/>
    <w:rsid w:val="00741BC9"/>
    <w:rsid w:val="00750BBA"/>
    <w:rsid w:val="0075108E"/>
    <w:rsid w:val="007576AF"/>
    <w:rsid w:val="00760394"/>
    <w:rsid w:val="007622C6"/>
    <w:rsid w:val="00764312"/>
    <w:rsid w:val="00765E0E"/>
    <w:rsid w:val="00767152"/>
    <w:rsid w:val="00770A9E"/>
    <w:rsid w:val="00771C5C"/>
    <w:rsid w:val="0077410F"/>
    <w:rsid w:val="007762A8"/>
    <w:rsid w:val="007838D7"/>
    <w:rsid w:val="00784097"/>
    <w:rsid w:val="00784543"/>
    <w:rsid w:val="00784C32"/>
    <w:rsid w:val="00787A23"/>
    <w:rsid w:val="00787CA6"/>
    <w:rsid w:val="00792C87"/>
    <w:rsid w:val="007943C8"/>
    <w:rsid w:val="00794884"/>
    <w:rsid w:val="00794B6F"/>
    <w:rsid w:val="0079536F"/>
    <w:rsid w:val="007960F2"/>
    <w:rsid w:val="007A2C65"/>
    <w:rsid w:val="007A3197"/>
    <w:rsid w:val="007A3BDE"/>
    <w:rsid w:val="007A6B23"/>
    <w:rsid w:val="007B4DC5"/>
    <w:rsid w:val="007B4EA7"/>
    <w:rsid w:val="007B7323"/>
    <w:rsid w:val="007C20D9"/>
    <w:rsid w:val="007C31F6"/>
    <w:rsid w:val="007C7952"/>
    <w:rsid w:val="007D4230"/>
    <w:rsid w:val="007D62CA"/>
    <w:rsid w:val="007D7427"/>
    <w:rsid w:val="007E0193"/>
    <w:rsid w:val="007E0795"/>
    <w:rsid w:val="007E5464"/>
    <w:rsid w:val="007E558A"/>
    <w:rsid w:val="007E5BFD"/>
    <w:rsid w:val="007F3390"/>
    <w:rsid w:val="00800CD5"/>
    <w:rsid w:val="00801C1B"/>
    <w:rsid w:val="00817B6F"/>
    <w:rsid w:val="008200FA"/>
    <w:rsid w:val="00822C3C"/>
    <w:rsid w:val="00825294"/>
    <w:rsid w:val="00826417"/>
    <w:rsid w:val="00833313"/>
    <w:rsid w:val="008346CE"/>
    <w:rsid w:val="00835443"/>
    <w:rsid w:val="00835821"/>
    <w:rsid w:val="00841BF7"/>
    <w:rsid w:val="008448FD"/>
    <w:rsid w:val="008502EA"/>
    <w:rsid w:val="0085626C"/>
    <w:rsid w:val="00866036"/>
    <w:rsid w:val="00866B11"/>
    <w:rsid w:val="008672EB"/>
    <w:rsid w:val="00867A58"/>
    <w:rsid w:val="00870F81"/>
    <w:rsid w:val="0087176C"/>
    <w:rsid w:val="00871E48"/>
    <w:rsid w:val="00877886"/>
    <w:rsid w:val="008822A2"/>
    <w:rsid w:val="00887CED"/>
    <w:rsid w:val="00893A94"/>
    <w:rsid w:val="008A04C2"/>
    <w:rsid w:val="008A13DD"/>
    <w:rsid w:val="008A4486"/>
    <w:rsid w:val="008B0427"/>
    <w:rsid w:val="008B6273"/>
    <w:rsid w:val="008B63EB"/>
    <w:rsid w:val="008B67D2"/>
    <w:rsid w:val="008C2275"/>
    <w:rsid w:val="008C2318"/>
    <w:rsid w:val="008C3A59"/>
    <w:rsid w:val="008C3D8C"/>
    <w:rsid w:val="008D0376"/>
    <w:rsid w:val="008D06D6"/>
    <w:rsid w:val="008D42E3"/>
    <w:rsid w:val="008D5718"/>
    <w:rsid w:val="008D5AD1"/>
    <w:rsid w:val="008D6CC8"/>
    <w:rsid w:val="008E0626"/>
    <w:rsid w:val="008E233A"/>
    <w:rsid w:val="008E2D93"/>
    <w:rsid w:val="008E52AA"/>
    <w:rsid w:val="008E62EF"/>
    <w:rsid w:val="008F59F4"/>
    <w:rsid w:val="00904A1B"/>
    <w:rsid w:val="00917713"/>
    <w:rsid w:val="00920FD3"/>
    <w:rsid w:val="00922208"/>
    <w:rsid w:val="0092736B"/>
    <w:rsid w:val="009314DB"/>
    <w:rsid w:val="009321D8"/>
    <w:rsid w:val="009321E6"/>
    <w:rsid w:val="00935E5A"/>
    <w:rsid w:val="0094301D"/>
    <w:rsid w:val="00947CA5"/>
    <w:rsid w:val="00950BA6"/>
    <w:rsid w:val="00952168"/>
    <w:rsid w:val="00953D99"/>
    <w:rsid w:val="0095469D"/>
    <w:rsid w:val="009549AB"/>
    <w:rsid w:val="0096238D"/>
    <w:rsid w:val="00962594"/>
    <w:rsid w:val="00964054"/>
    <w:rsid w:val="009657FC"/>
    <w:rsid w:val="009663B0"/>
    <w:rsid w:val="00970565"/>
    <w:rsid w:val="0097129C"/>
    <w:rsid w:val="00972FE2"/>
    <w:rsid w:val="00975EAA"/>
    <w:rsid w:val="00987EE0"/>
    <w:rsid w:val="00990381"/>
    <w:rsid w:val="00991EB0"/>
    <w:rsid w:val="009960A2"/>
    <w:rsid w:val="009A63C1"/>
    <w:rsid w:val="009B0227"/>
    <w:rsid w:val="009B0974"/>
    <w:rsid w:val="009B12DA"/>
    <w:rsid w:val="009C6997"/>
    <w:rsid w:val="009E1E31"/>
    <w:rsid w:val="009E66AF"/>
    <w:rsid w:val="009E73B8"/>
    <w:rsid w:val="009E76C7"/>
    <w:rsid w:val="009F11AB"/>
    <w:rsid w:val="009F1C22"/>
    <w:rsid w:val="009F3A8C"/>
    <w:rsid w:val="009F3D6E"/>
    <w:rsid w:val="009F6969"/>
    <w:rsid w:val="00A025E2"/>
    <w:rsid w:val="00A03C9D"/>
    <w:rsid w:val="00A06F37"/>
    <w:rsid w:val="00A10677"/>
    <w:rsid w:val="00A10EA2"/>
    <w:rsid w:val="00A134E5"/>
    <w:rsid w:val="00A13527"/>
    <w:rsid w:val="00A136FE"/>
    <w:rsid w:val="00A13A72"/>
    <w:rsid w:val="00A1434F"/>
    <w:rsid w:val="00A14780"/>
    <w:rsid w:val="00A234C1"/>
    <w:rsid w:val="00A26B8C"/>
    <w:rsid w:val="00A3245F"/>
    <w:rsid w:val="00A56C42"/>
    <w:rsid w:val="00A67D95"/>
    <w:rsid w:val="00A714B4"/>
    <w:rsid w:val="00A73467"/>
    <w:rsid w:val="00A75894"/>
    <w:rsid w:val="00A779AC"/>
    <w:rsid w:val="00A80800"/>
    <w:rsid w:val="00A82B9E"/>
    <w:rsid w:val="00A83A5C"/>
    <w:rsid w:val="00A842C6"/>
    <w:rsid w:val="00A91C6B"/>
    <w:rsid w:val="00A95A5D"/>
    <w:rsid w:val="00A96099"/>
    <w:rsid w:val="00A97B2F"/>
    <w:rsid w:val="00AA01A2"/>
    <w:rsid w:val="00AA13AA"/>
    <w:rsid w:val="00AA1666"/>
    <w:rsid w:val="00AA1B5C"/>
    <w:rsid w:val="00AA2759"/>
    <w:rsid w:val="00AA332B"/>
    <w:rsid w:val="00AA5F01"/>
    <w:rsid w:val="00AA6651"/>
    <w:rsid w:val="00AA66D9"/>
    <w:rsid w:val="00AA7099"/>
    <w:rsid w:val="00AA720A"/>
    <w:rsid w:val="00AA7DF4"/>
    <w:rsid w:val="00AB06C6"/>
    <w:rsid w:val="00AB0F6D"/>
    <w:rsid w:val="00AB11F3"/>
    <w:rsid w:val="00AB768F"/>
    <w:rsid w:val="00AB7E79"/>
    <w:rsid w:val="00AC0D7D"/>
    <w:rsid w:val="00AC1DEE"/>
    <w:rsid w:val="00AC6998"/>
    <w:rsid w:val="00AC72A5"/>
    <w:rsid w:val="00AE0AB5"/>
    <w:rsid w:val="00AE1726"/>
    <w:rsid w:val="00AE2838"/>
    <w:rsid w:val="00AE55D0"/>
    <w:rsid w:val="00AE60B9"/>
    <w:rsid w:val="00AF1153"/>
    <w:rsid w:val="00AF1290"/>
    <w:rsid w:val="00AF2430"/>
    <w:rsid w:val="00AF4C46"/>
    <w:rsid w:val="00AF53EB"/>
    <w:rsid w:val="00AF556B"/>
    <w:rsid w:val="00AF5DFA"/>
    <w:rsid w:val="00AF7AB9"/>
    <w:rsid w:val="00B06484"/>
    <w:rsid w:val="00B16CFC"/>
    <w:rsid w:val="00B2471A"/>
    <w:rsid w:val="00B2580F"/>
    <w:rsid w:val="00B25E69"/>
    <w:rsid w:val="00B2615E"/>
    <w:rsid w:val="00B2796A"/>
    <w:rsid w:val="00B32B84"/>
    <w:rsid w:val="00B358B9"/>
    <w:rsid w:val="00B403E1"/>
    <w:rsid w:val="00B44414"/>
    <w:rsid w:val="00B47BFD"/>
    <w:rsid w:val="00B50248"/>
    <w:rsid w:val="00B512A2"/>
    <w:rsid w:val="00B512D0"/>
    <w:rsid w:val="00B517A2"/>
    <w:rsid w:val="00B565B2"/>
    <w:rsid w:val="00B63FD9"/>
    <w:rsid w:val="00B6556E"/>
    <w:rsid w:val="00B65635"/>
    <w:rsid w:val="00B66306"/>
    <w:rsid w:val="00B70F76"/>
    <w:rsid w:val="00B71475"/>
    <w:rsid w:val="00B71831"/>
    <w:rsid w:val="00B71CD1"/>
    <w:rsid w:val="00B720E7"/>
    <w:rsid w:val="00B7267E"/>
    <w:rsid w:val="00B75E14"/>
    <w:rsid w:val="00B77B90"/>
    <w:rsid w:val="00B807E4"/>
    <w:rsid w:val="00B80921"/>
    <w:rsid w:val="00B84CDC"/>
    <w:rsid w:val="00B87B69"/>
    <w:rsid w:val="00B96E9C"/>
    <w:rsid w:val="00BA25F4"/>
    <w:rsid w:val="00BA2EC4"/>
    <w:rsid w:val="00BA600E"/>
    <w:rsid w:val="00BB2141"/>
    <w:rsid w:val="00BB4CB1"/>
    <w:rsid w:val="00BB6613"/>
    <w:rsid w:val="00BB7E65"/>
    <w:rsid w:val="00BC29A5"/>
    <w:rsid w:val="00BC63CF"/>
    <w:rsid w:val="00BC76CA"/>
    <w:rsid w:val="00BD3B91"/>
    <w:rsid w:val="00BD43BC"/>
    <w:rsid w:val="00BD7A8C"/>
    <w:rsid w:val="00BF03AB"/>
    <w:rsid w:val="00BF3E44"/>
    <w:rsid w:val="00BF403E"/>
    <w:rsid w:val="00BF434F"/>
    <w:rsid w:val="00BF6373"/>
    <w:rsid w:val="00C013DA"/>
    <w:rsid w:val="00C0164C"/>
    <w:rsid w:val="00C02FDD"/>
    <w:rsid w:val="00C04184"/>
    <w:rsid w:val="00C05AC1"/>
    <w:rsid w:val="00C072B8"/>
    <w:rsid w:val="00C13188"/>
    <w:rsid w:val="00C25F2C"/>
    <w:rsid w:val="00C2757D"/>
    <w:rsid w:val="00C27A85"/>
    <w:rsid w:val="00C307D1"/>
    <w:rsid w:val="00C33EB9"/>
    <w:rsid w:val="00C43394"/>
    <w:rsid w:val="00C51A85"/>
    <w:rsid w:val="00C542EB"/>
    <w:rsid w:val="00C6170D"/>
    <w:rsid w:val="00C65D6D"/>
    <w:rsid w:val="00C66F5C"/>
    <w:rsid w:val="00C700E1"/>
    <w:rsid w:val="00C7041B"/>
    <w:rsid w:val="00C744F9"/>
    <w:rsid w:val="00C74537"/>
    <w:rsid w:val="00C74B42"/>
    <w:rsid w:val="00C75F0E"/>
    <w:rsid w:val="00C77099"/>
    <w:rsid w:val="00C80A10"/>
    <w:rsid w:val="00C80D30"/>
    <w:rsid w:val="00C83842"/>
    <w:rsid w:val="00C90187"/>
    <w:rsid w:val="00C90778"/>
    <w:rsid w:val="00C93422"/>
    <w:rsid w:val="00C93635"/>
    <w:rsid w:val="00C942B6"/>
    <w:rsid w:val="00C954A0"/>
    <w:rsid w:val="00C95FC1"/>
    <w:rsid w:val="00CA14F6"/>
    <w:rsid w:val="00CA224D"/>
    <w:rsid w:val="00CA556C"/>
    <w:rsid w:val="00CB453D"/>
    <w:rsid w:val="00CC428D"/>
    <w:rsid w:val="00CD5548"/>
    <w:rsid w:val="00CD64EC"/>
    <w:rsid w:val="00CE3279"/>
    <w:rsid w:val="00CE379B"/>
    <w:rsid w:val="00CE56F2"/>
    <w:rsid w:val="00CE60EA"/>
    <w:rsid w:val="00CF301F"/>
    <w:rsid w:val="00CF5650"/>
    <w:rsid w:val="00CF6191"/>
    <w:rsid w:val="00CF6CF4"/>
    <w:rsid w:val="00D02A3E"/>
    <w:rsid w:val="00D02A4A"/>
    <w:rsid w:val="00D0499D"/>
    <w:rsid w:val="00D06440"/>
    <w:rsid w:val="00D065B5"/>
    <w:rsid w:val="00D065C7"/>
    <w:rsid w:val="00D1145C"/>
    <w:rsid w:val="00D12803"/>
    <w:rsid w:val="00D16817"/>
    <w:rsid w:val="00D21EA1"/>
    <w:rsid w:val="00D23966"/>
    <w:rsid w:val="00D30C30"/>
    <w:rsid w:val="00D32C90"/>
    <w:rsid w:val="00D375F8"/>
    <w:rsid w:val="00D413EE"/>
    <w:rsid w:val="00D41A03"/>
    <w:rsid w:val="00D41C81"/>
    <w:rsid w:val="00D440CF"/>
    <w:rsid w:val="00D457E3"/>
    <w:rsid w:val="00D46683"/>
    <w:rsid w:val="00D57E8A"/>
    <w:rsid w:val="00D618ED"/>
    <w:rsid w:val="00D63D87"/>
    <w:rsid w:val="00D70F19"/>
    <w:rsid w:val="00D821BF"/>
    <w:rsid w:val="00D8311E"/>
    <w:rsid w:val="00D86594"/>
    <w:rsid w:val="00D86C22"/>
    <w:rsid w:val="00D87190"/>
    <w:rsid w:val="00D87DD0"/>
    <w:rsid w:val="00D930EB"/>
    <w:rsid w:val="00D95EF2"/>
    <w:rsid w:val="00D96458"/>
    <w:rsid w:val="00D96A4D"/>
    <w:rsid w:val="00D97311"/>
    <w:rsid w:val="00DA0638"/>
    <w:rsid w:val="00DA1CCE"/>
    <w:rsid w:val="00DA3C5C"/>
    <w:rsid w:val="00DA5525"/>
    <w:rsid w:val="00DA5743"/>
    <w:rsid w:val="00DB5A88"/>
    <w:rsid w:val="00DB7532"/>
    <w:rsid w:val="00DC32FC"/>
    <w:rsid w:val="00DD15AB"/>
    <w:rsid w:val="00DE6D30"/>
    <w:rsid w:val="00DF118B"/>
    <w:rsid w:val="00DF70FE"/>
    <w:rsid w:val="00E012B1"/>
    <w:rsid w:val="00E01D9A"/>
    <w:rsid w:val="00E049CD"/>
    <w:rsid w:val="00E10369"/>
    <w:rsid w:val="00E148B6"/>
    <w:rsid w:val="00E174F8"/>
    <w:rsid w:val="00E17F5A"/>
    <w:rsid w:val="00E21866"/>
    <w:rsid w:val="00E221FF"/>
    <w:rsid w:val="00E2447E"/>
    <w:rsid w:val="00E2663A"/>
    <w:rsid w:val="00E26E44"/>
    <w:rsid w:val="00E303A0"/>
    <w:rsid w:val="00E3199C"/>
    <w:rsid w:val="00E32088"/>
    <w:rsid w:val="00E36D71"/>
    <w:rsid w:val="00E50C68"/>
    <w:rsid w:val="00E511E4"/>
    <w:rsid w:val="00E528BD"/>
    <w:rsid w:val="00E52E05"/>
    <w:rsid w:val="00E55B1D"/>
    <w:rsid w:val="00E60E73"/>
    <w:rsid w:val="00E61C68"/>
    <w:rsid w:val="00E650D0"/>
    <w:rsid w:val="00E711EC"/>
    <w:rsid w:val="00E73601"/>
    <w:rsid w:val="00E75C09"/>
    <w:rsid w:val="00E77BE2"/>
    <w:rsid w:val="00E83096"/>
    <w:rsid w:val="00E8612E"/>
    <w:rsid w:val="00E8632F"/>
    <w:rsid w:val="00E93B32"/>
    <w:rsid w:val="00E9664E"/>
    <w:rsid w:val="00E97CC5"/>
    <w:rsid w:val="00EA0F3E"/>
    <w:rsid w:val="00EA1C3E"/>
    <w:rsid w:val="00EA341F"/>
    <w:rsid w:val="00EA3EAA"/>
    <w:rsid w:val="00EA5A59"/>
    <w:rsid w:val="00EB12EB"/>
    <w:rsid w:val="00EB400F"/>
    <w:rsid w:val="00EC1040"/>
    <w:rsid w:val="00EC2C3F"/>
    <w:rsid w:val="00ED1E6B"/>
    <w:rsid w:val="00ED7A50"/>
    <w:rsid w:val="00EE0ECF"/>
    <w:rsid w:val="00EE1F49"/>
    <w:rsid w:val="00EE47B0"/>
    <w:rsid w:val="00EE65E9"/>
    <w:rsid w:val="00EF49AF"/>
    <w:rsid w:val="00EF60E2"/>
    <w:rsid w:val="00EF7C04"/>
    <w:rsid w:val="00F00DC2"/>
    <w:rsid w:val="00F01D92"/>
    <w:rsid w:val="00F026A1"/>
    <w:rsid w:val="00F0568E"/>
    <w:rsid w:val="00F13B16"/>
    <w:rsid w:val="00F15350"/>
    <w:rsid w:val="00F20EE6"/>
    <w:rsid w:val="00F25AC7"/>
    <w:rsid w:val="00F26594"/>
    <w:rsid w:val="00F30FDF"/>
    <w:rsid w:val="00F31F08"/>
    <w:rsid w:val="00F32CA2"/>
    <w:rsid w:val="00F353E3"/>
    <w:rsid w:val="00F35A40"/>
    <w:rsid w:val="00F35E6F"/>
    <w:rsid w:val="00F370C2"/>
    <w:rsid w:val="00F45FFE"/>
    <w:rsid w:val="00F46ACE"/>
    <w:rsid w:val="00F501C9"/>
    <w:rsid w:val="00F50981"/>
    <w:rsid w:val="00F521AF"/>
    <w:rsid w:val="00F5476B"/>
    <w:rsid w:val="00F60499"/>
    <w:rsid w:val="00F64F41"/>
    <w:rsid w:val="00F6534F"/>
    <w:rsid w:val="00F65B06"/>
    <w:rsid w:val="00F67769"/>
    <w:rsid w:val="00F677CB"/>
    <w:rsid w:val="00F70273"/>
    <w:rsid w:val="00F73A99"/>
    <w:rsid w:val="00F77F98"/>
    <w:rsid w:val="00FA3091"/>
    <w:rsid w:val="00FA323A"/>
    <w:rsid w:val="00FA334D"/>
    <w:rsid w:val="00FA501D"/>
    <w:rsid w:val="00FA674B"/>
    <w:rsid w:val="00FA7A0D"/>
    <w:rsid w:val="00FB2630"/>
    <w:rsid w:val="00FB41AB"/>
    <w:rsid w:val="00FB4AA4"/>
    <w:rsid w:val="00FB6FD2"/>
    <w:rsid w:val="00FB7261"/>
    <w:rsid w:val="00FB7B14"/>
    <w:rsid w:val="00FD2FA5"/>
    <w:rsid w:val="00FD6C2B"/>
    <w:rsid w:val="00FE0F79"/>
    <w:rsid w:val="00FE203F"/>
    <w:rsid w:val="00FE251B"/>
    <w:rsid w:val="00FE2981"/>
    <w:rsid w:val="00FF24F1"/>
    <w:rsid w:val="00FF29C5"/>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7E1A4"/>
  <w15:docId w15:val="{D47E3F3D-5912-4463-8ECA-D2FBFFBB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800CD5"/>
    <w:rPr>
      <w:vertAlign w:val="superscript"/>
    </w:rPr>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800CD5"/>
    <w:pPr>
      <w:spacing w:after="260"/>
    </w:pPr>
    <w:rPr>
      <w:sz w:val="26"/>
      <w:szCs w:val="26"/>
    </w:rPr>
  </w:style>
  <w:style w:type="character" w:customStyle="1" w:styleId="FootnoteTextChar">
    <w:name w:val="Footnote Text Char"/>
    <w:aliases w:val="Footnote Text MRP Char,Footnote Text Char3 Char,ft Char Char,ft Char1,f Char"/>
    <w:basedOn w:val="DefaultParagraphFont"/>
    <w:uiPriority w:val="99"/>
    <w:rsid w:val="00877886"/>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877886"/>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800CD5"/>
    <w:rPr>
      <w:rFonts w:ascii="Times New Roman" w:eastAsia="Times New Roman" w:hAnsi="Times New Roman" w:cs="Times New Roman"/>
      <w:sz w:val="26"/>
      <w:szCs w:val="26"/>
    </w:rPr>
  </w:style>
  <w:style w:type="character" w:customStyle="1" w:styleId="FERCparanumberChar">
    <w:name w:val="FERC paranumber Char"/>
    <w:link w:val="FERCparanumber"/>
    <w:rsid w:val="00877886"/>
    <w:rPr>
      <w:rFonts w:ascii="Times New Roman" w:eastAsia="Times New Roman" w:hAnsi="Times New Roman" w:cs="Times New Roman"/>
      <w:sz w:val="26"/>
      <w:szCs w:val="24"/>
    </w:rPr>
  </w:style>
  <w:style w:type="character" w:styleId="Hyperlink">
    <w:name w:val="Hyperlink"/>
    <w:rsid w:val="00877886"/>
    <w:rPr>
      <w:color w:val="0000FF"/>
      <w:u w:val="single"/>
    </w:rPr>
  </w:style>
  <w:style w:type="paragraph" w:styleId="ListParagraph">
    <w:name w:val="List Paragraph"/>
    <w:basedOn w:val="Normal"/>
    <w:qFormat/>
    <w:rsid w:val="00877886"/>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77886"/>
    <w:pPr>
      <w:tabs>
        <w:tab w:val="center" w:pos="4680"/>
        <w:tab w:val="right" w:pos="9360"/>
      </w:tabs>
    </w:pPr>
  </w:style>
  <w:style w:type="character" w:customStyle="1" w:styleId="HeaderChar">
    <w:name w:val="Header Char"/>
    <w:basedOn w:val="DefaultParagraphFont"/>
    <w:link w:val="Header"/>
    <w:uiPriority w:val="99"/>
    <w:rsid w:val="00877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886"/>
    <w:pPr>
      <w:tabs>
        <w:tab w:val="center" w:pos="4680"/>
        <w:tab w:val="right" w:pos="9360"/>
      </w:tabs>
    </w:pPr>
  </w:style>
  <w:style w:type="character" w:customStyle="1" w:styleId="FooterChar">
    <w:name w:val="Footer Char"/>
    <w:basedOn w:val="DefaultParagraphFont"/>
    <w:link w:val="Footer"/>
    <w:uiPriority w:val="99"/>
    <w:rsid w:val="008778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3313"/>
    <w:rPr>
      <w:sz w:val="16"/>
      <w:szCs w:val="16"/>
    </w:rPr>
  </w:style>
  <w:style w:type="paragraph" w:styleId="CommentText">
    <w:name w:val="annotation text"/>
    <w:basedOn w:val="Normal"/>
    <w:link w:val="CommentTextChar"/>
    <w:uiPriority w:val="99"/>
    <w:unhideWhenUsed/>
    <w:rsid w:val="00833313"/>
    <w:rPr>
      <w:sz w:val="20"/>
      <w:szCs w:val="20"/>
    </w:rPr>
  </w:style>
  <w:style w:type="character" w:customStyle="1" w:styleId="CommentTextChar">
    <w:name w:val="Comment Text Char"/>
    <w:basedOn w:val="DefaultParagraphFont"/>
    <w:link w:val="CommentText"/>
    <w:uiPriority w:val="99"/>
    <w:rsid w:val="00833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313"/>
    <w:rPr>
      <w:b/>
      <w:bCs/>
    </w:rPr>
  </w:style>
  <w:style w:type="character" w:customStyle="1" w:styleId="CommentSubjectChar">
    <w:name w:val="Comment Subject Char"/>
    <w:basedOn w:val="CommentTextChar"/>
    <w:link w:val="CommentSubject"/>
    <w:uiPriority w:val="99"/>
    <w:semiHidden/>
    <w:rsid w:val="00833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13"/>
    <w:rPr>
      <w:rFonts w:ascii="Segoe UI" w:eastAsia="Times New Roman" w:hAnsi="Segoe UI" w:cs="Segoe UI"/>
      <w:sz w:val="18"/>
      <w:szCs w:val="18"/>
    </w:rPr>
  </w:style>
  <w:style w:type="paragraph" w:customStyle="1" w:styleId="ParagraphwithoutNumbers">
    <w:name w:val="Paragraph with out Numbers"/>
    <w:basedOn w:val="Normal"/>
    <w:qFormat/>
    <w:rsid w:val="00B63FD9"/>
    <w:pPr>
      <w:widowControl/>
      <w:tabs>
        <w:tab w:val="left" w:pos="720"/>
      </w:tabs>
      <w:autoSpaceDE/>
      <w:autoSpaceDN/>
      <w:adjustRightInd/>
      <w:spacing w:line="480" w:lineRule="auto"/>
      <w:outlineLvl w:val="0"/>
    </w:pPr>
    <w:rPr>
      <w:rFonts w:eastAsia="Arial Unicode MS"/>
      <w:color w:val="000000"/>
      <w:sz w:val="26"/>
      <w:szCs w:val="26"/>
      <w:u w:color="000000"/>
    </w:rPr>
  </w:style>
  <w:style w:type="paragraph" w:customStyle="1" w:styleId="Default">
    <w:name w:val="Default"/>
    <w:rsid w:val="005F41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77F98"/>
    <w:pPr>
      <w:autoSpaceDE/>
      <w:autoSpaceDN/>
      <w:adjustRightInd/>
    </w:pPr>
    <w:rPr>
      <w:rFonts w:asciiTheme="minorHAnsi" w:eastAsiaTheme="minorHAnsi" w:hAnsiTheme="minorHAnsi" w:cstheme="minorBidi"/>
      <w:sz w:val="22"/>
      <w:szCs w:val="22"/>
    </w:rPr>
  </w:style>
  <w:style w:type="paragraph" w:styleId="TOC2">
    <w:name w:val="toc 2"/>
    <w:basedOn w:val="Normal"/>
    <w:uiPriority w:val="1"/>
    <w:qFormat/>
    <w:rsid w:val="00A10EA2"/>
    <w:pPr>
      <w:autoSpaceDE/>
      <w:autoSpaceDN/>
      <w:adjustRightInd/>
      <w:ind w:left="775" w:hanging="381"/>
    </w:pPr>
    <w:rPr>
      <w:rFonts w:cstheme="minorBidi"/>
      <w:sz w:val="26"/>
      <w:szCs w:val="26"/>
    </w:rPr>
  </w:style>
  <w:style w:type="paragraph" w:styleId="BodyText">
    <w:name w:val="Body Text"/>
    <w:basedOn w:val="Normal"/>
    <w:link w:val="BodyTextChar"/>
    <w:uiPriority w:val="1"/>
    <w:qFormat/>
    <w:rsid w:val="00A10EA2"/>
    <w:pPr>
      <w:autoSpaceDE/>
      <w:autoSpaceDN/>
      <w:adjustRightInd/>
      <w:ind w:left="120"/>
    </w:pPr>
    <w:rPr>
      <w:rFonts w:cstheme="minorBidi"/>
      <w:sz w:val="26"/>
      <w:szCs w:val="26"/>
    </w:rPr>
  </w:style>
  <w:style w:type="character" w:customStyle="1" w:styleId="BodyTextChar">
    <w:name w:val="Body Text Char"/>
    <w:basedOn w:val="DefaultParagraphFont"/>
    <w:link w:val="BodyText"/>
    <w:uiPriority w:val="1"/>
    <w:rsid w:val="00A10EA2"/>
    <w:rPr>
      <w:rFonts w:ascii="Times New Roman" w:eastAsia="Times New Roman" w:hAnsi="Times New Roman"/>
      <w:sz w:val="26"/>
      <w:szCs w:val="26"/>
    </w:rPr>
  </w:style>
  <w:style w:type="paragraph" w:styleId="Revision">
    <w:name w:val="Revision"/>
    <w:hidden/>
    <w:uiPriority w:val="99"/>
    <w:semiHidden/>
    <w:rsid w:val="00FE2981"/>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F20EE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2">
    <w:name w:val="myTOC 2"/>
    <w:basedOn w:val="Normal"/>
    <w:next w:val="Normal"/>
    <w:rsid w:val="000E65A0"/>
    <w:pPr>
      <w:tabs>
        <w:tab w:val="right" w:leader="dot" w:pos="9360"/>
      </w:tabs>
      <w:ind w:left="288"/>
    </w:pPr>
    <w:rPr>
      <w:sz w:val="26"/>
      <w:szCs w:val="26"/>
    </w:rPr>
  </w:style>
  <w:style w:type="character" w:styleId="UnresolvedMention">
    <w:name w:val="Unresolved Mention"/>
    <w:basedOn w:val="DefaultParagraphFont"/>
    <w:uiPriority w:val="99"/>
    <w:semiHidden/>
    <w:unhideWhenUsed/>
    <w:rsid w:val="00BB4CB1"/>
    <w:rPr>
      <w:color w:val="605E5C"/>
      <w:shd w:val="clear" w:color="auto" w:fill="E1DFDD"/>
    </w:rPr>
  </w:style>
  <w:style w:type="character" w:styleId="FollowedHyperlink">
    <w:name w:val="FollowedHyperlink"/>
    <w:basedOn w:val="DefaultParagraphFont"/>
    <w:uiPriority w:val="99"/>
    <w:semiHidden/>
    <w:unhideWhenUsed/>
    <w:rsid w:val="00BB4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elibrary.ferc.gov/eLibrary/filelist?document_id=14944774&amp;optimized=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35CD-746E-425F-ABCC-8BE580E93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8B662-6654-403F-858C-854D25F77963}">
  <ds:schemaRefs>
    <ds:schemaRef ds:uri="http://schemas.microsoft.com/sharepoint/v3/contenttype/forms"/>
  </ds:schemaRefs>
</ds:datastoreItem>
</file>

<file path=customXml/itemProps3.xml><?xml version="1.0" encoding="utf-8"?>
<ds:datastoreItem xmlns:ds="http://schemas.openxmlformats.org/officeDocument/2006/customXml" ds:itemID="{C5B7279A-9088-4114-ACE4-516DACC125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C94CC3-0AF5-4E23-8C7F-BCF32236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FERC-516G draft supporting statement</vt:lpstr>
    </vt:vector>
  </TitlesOfParts>
  <Company>FERC</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FERC-516G draft supporting statement</dc:title>
  <dc:subject/>
  <dc:creator>Michele Chambers</dc:creator>
  <cp:keywords/>
  <dc:description/>
  <cp:lastModifiedBy>Jean Sonneman</cp:lastModifiedBy>
  <cp:revision>90</cp:revision>
  <cp:lastPrinted>2018-03-29T20:51:00Z</cp:lastPrinted>
  <dcterms:created xsi:type="dcterms:W3CDTF">2021-06-24T13:19:00Z</dcterms:created>
  <dcterms:modified xsi:type="dcterms:W3CDTF">2021-06-24T17:31:00Z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Jean.Sonneman@ferc.gov</vt:lpwstr>
  </property>
  <property fmtid="{D5CDD505-2E9C-101B-9397-08002B2CF9AE}" pid="6" name="MSIP_Label_6155a89b-0f08-4a93-8ea2-8a916d6643b5_SetDate">
    <vt:lpwstr>2021-03-12T20:28:08.0396278Z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f898f6a7-6ba8-4b63-820a-5daa7ae38fc9</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