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5179" w:rsidR="00F53486" w:rsidP="005F3674" w:rsidRDefault="00F53486">
      <w:pPr>
        <w:widowControl/>
        <w:tabs>
          <w:tab w:val="center" w:pos="5040"/>
        </w:tabs>
        <w:jc w:val="center"/>
      </w:pPr>
      <w:r w:rsidRPr="00235179">
        <w:t>Supporting</w:t>
      </w:r>
      <w:r w:rsidRPr="00235179" w:rsidR="00C42FEF">
        <w:t xml:space="preserve"> </w:t>
      </w:r>
      <w:r w:rsidRPr="00235179">
        <w:t>Statement</w:t>
      </w:r>
      <w:r w:rsidRPr="00235179" w:rsidR="00AA373D">
        <w:t xml:space="preserve"> for</w:t>
      </w:r>
    </w:p>
    <w:p w:rsidRPr="00235179" w:rsidR="00246703" w:rsidP="005F3674" w:rsidRDefault="004B7C34">
      <w:pPr>
        <w:jc w:val="center"/>
        <w:rPr>
          <w:b/>
        </w:rPr>
      </w:pPr>
      <w:r w:rsidRPr="00235179">
        <w:rPr>
          <w:b/>
        </w:rPr>
        <w:t>FERC-725</w:t>
      </w:r>
      <w:r w:rsidRPr="00235179" w:rsidR="00246703">
        <w:rPr>
          <w:b/>
        </w:rPr>
        <w:t xml:space="preserve">, </w:t>
      </w:r>
      <w:r w:rsidRPr="00235179">
        <w:rPr>
          <w:b/>
        </w:rPr>
        <w:t>Certification of Electric Reliability Organization; Procedures for Electric Reliability Standards</w:t>
      </w:r>
    </w:p>
    <w:p w:rsidRPr="00235179" w:rsidR="00AA373D" w:rsidP="005F3674" w:rsidRDefault="00AA373D">
      <w:pPr>
        <w:widowControl/>
        <w:tabs>
          <w:tab w:val="center" w:pos="5040"/>
        </w:tabs>
        <w:jc w:val="center"/>
        <w:rPr>
          <w:b/>
          <w:bCs/>
        </w:rPr>
      </w:pPr>
    </w:p>
    <w:p w:rsidRPr="00235179" w:rsidR="00D86F63" w:rsidP="005F3674" w:rsidRDefault="00AA373D">
      <w:r w:rsidRPr="00235179">
        <w:t xml:space="preserve">The Federal Energy Regulatory Commission (Commission or FERC) requests that the Office of Management and Budget (OMB) review and approve </w:t>
      </w:r>
      <w:r w:rsidRPr="00235179" w:rsidR="004B7C34">
        <w:t xml:space="preserve">FERC-725 </w:t>
      </w:r>
      <w:r w:rsidRPr="00235179" w:rsidR="00FE4940">
        <w:t>(</w:t>
      </w:r>
      <w:r w:rsidRPr="00235179" w:rsidR="004B7C34">
        <w:t>Certification of Electric Reliability Organization; Procedures for Electric Reliability Standards</w:t>
      </w:r>
      <w:r w:rsidRPr="00235179" w:rsidR="00FE4940">
        <w:t>)</w:t>
      </w:r>
      <w:r w:rsidRPr="00235179" w:rsidR="00592117">
        <w:t>, as it would be revised in Docket RM21-12-000</w:t>
      </w:r>
      <w:r w:rsidRPr="00235179">
        <w:t>.  FER</w:t>
      </w:r>
      <w:r w:rsidRPr="00235179" w:rsidR="004B7C34">
        <w:t>C-725 (OMB Control No. 1902-0225</w:t>
      </w:r>
      <w:r w:rsidRPr="00235179">
        <w:t xml:space="preserve">) is an existing Commission </w:t>
      </w:r>
      <w:r w:rsidRPr="00235179" w:rsidR="00D86F63">
        <w:t>collection of information in accordance with 18 CFR Part 39.</w:t>
      </w:r>
      <w:r w:rsidRPr="00235179" w:rsidR="004C0D95">
        <w:t xml:space="preserve">  The expiration date of OMB Control No. 1902-0225 is </w:t>
      </w:r>
      <w:r w:rsidRPr="00235179" w:rsidR="00105865">
        <w:t>February 28, 2022.</w:t>
      </w:r>
    </w:p>
    <w:p w:rsidRPr="00235179" w:rsidR="00A42D72" w:rsidP="005F3674" w:rsidRDefault="00D86F63">
      <w:r w:rsidRPr="00235179">
        <w:t xml:space="preserve"> </w:t>
      </w:r>
    </w:p>
    <w:p w:rsidRPr="00235179" w:rsidR="00F53486" w:rsidP="005F3674" w:rsidRDefault="00F53486">
      <w:pPr>
        <w:widowControl/>
        <w:numPr>
          <w:ilvl w:val="0"/>
          <w:numId w:val="9"/>
        </w:numPr>
        <w:tabs>
          <w:tab w:val="clear" w:pos="1080"/>
          <w:tab w:val="num" w:pos="720"/>
          <w:tab w:val="left" w:pos="1800"/>
        </w:tabs>
        <w:ind w:left="0" w:hanging="720"/>
        <w:rPr>
          <w:b/>
        </w:rPr>
      </w:pPr>
      <w:r w:rsidRPr="00235179">
        <w:rPr>
          <w:b/>
        </w:rPr>
        <w:t>CIRCUMSTANCES THAT MAKE THE COLLECTION OF INFORMATION NECESSARY</w:t>
      </w:r>
    </w:p>
    <w:p w:rsidRPr="00235179" w:rsidR="000B2D7B" w:rsidP="005F3674" w:rsidRDefault="000B2D7B">
      <w:pPr>
        <w:widowControl/>
        <w:tabs>
          <w:tab w:val="left" w:pos="1800"/>
        </w:tabs>
        <w:rPr>
          <w:b/>
        </w:rPr>
      </w:pPr>
    </w:p>
    <w:p w:rsidRPr="00235179" w:rsidR="002A339B" w:rsidP="005F3674" w:rsidRDefault="00EB1A8A">
      <w:r w:rsidRPr="00235179">
        <w:t>This collection of information aids the Commission in complying with the Federal Power Act (FPA) at s</w:t>
      </w:r>
      <w:r w:rsidRPr="00235179" w:rsidR="002A339B">
        <w:t xml:space="preserve">ection 215 </w:t>
      </w:r>
      <w:r w:rsidRPr="00235179" w:rsidR="00E62796">
        <w:t xml:space="preserve">(16 U.S.C. </w:t>
      </w:r>
      <w:r w:rsidRPr="00235179" w:rsidR="00805531">
        <w:t>824</w:t>
      </w:r>
      <w:r w:rsidRPr="00235179" w:rsidR="00805531">
        <w:rPr>
          <w:i/>
          <w:iCs/>
        </w:rPr>
        <w:t>o</w:t>
      </w:r>
      <w:r w:rsidRPr="00235179" w:rsidR="00805531">
        <w:t>)</w:t>
      </w:r>
      <w:r w:rsidRPr="00235179">
        <w:t>.  Section 215</w:t>
      </w:r>
      <w:r w:rsidRPr="00235179" w:rsidR="004637A2">
        <w:t>, which</w:t>
      </w:r>
      <w:r w:rsidRPr="00235179">
        <w:t xml:space="preserve"> </w:t>
      </w:r>
      <w:r w:rsidRPr="00235179" w:rsidR="004637A2">
        <w:t>was enacted as part of the Energy Policy Act of 2005,</w:t>
      </w:r>
      <w:r w:rsidRPr="00235179" w:rsidR="00BC1A3D">
        <w:rPr>
          <w:rStyle w:val="FootnoteReference"/>
          <w:b w:val="0"/>
          <w:bCs/>
          <w:sz w:val="24"/>
        </w:rPr>
        <w:footnoteReference w:id="2"/>
      </w:r>
      <w:r w:rsidRPr="00235179" w:rsidR="004637A2">
        <w:t xml:space="preserve"> </w:t>
      </w:r>
      <w:r w:rsidRPr="00235179" w:rsidR="001B342D">
        <w:t xml:space="preserve">authorizes the Commission to certify </w:t>
      </w:r>
      <w:r w:rsidRPr="00235179" w:rsidR="000F41D2">
        <w:t>an Electric Reliability Organization (ERO), the purpose of which is to establish and enforce reliability standards for the bulk</w:t>
      </w:r>
      <w:r w:rsidRPr="00235179" w:rsidR="00EF2D45">
        <w:t>-</w:t>
      </w:r>
      <w:r w:rsidRPr="00235179" w:rsidR="000F41D2">
        <w:t>power system,</w:t>
      </w:r>
      <w:r w:rsidRPr="00235179" w:rsidR="000F41D2">
        <w:rPr>
          <w:rStyle w:val="FootnoteReference"/>
          <w:b w:val="0"/>
          <w:bCs/>
          <w:sz w:val="24"/>
        </w:rPr>
        <w:footnoteReference w:id="3"/>
      </w:r>
      <w:r w:rsidRPr="00235179" w:rsidR="00A1088C">
        <w:t xml:space="preserve"> subject to Commission review.</w:t>
      </w:r>
    </w:p>
    <w:p w:rsidRPr="00235179" w:rsidR="002A339B" w:rsidP="005F3674" w:rsidRDefault="002A339B"/>
    <w:p w:rsidRPr="00235179" w:rsidR="00D407CA" w:rsidP="005F3674" w:rsidRDefault="002A339B">
      <w:r w:rsidRPr="00235179">
        <w:t>On February 3, 2006, the Commission issued Order No. 672</w:t>
      </w:r>
      <w:r w:rsidRPr="00235179">
        <w:rPr>
          <w:bCs/>
          <w:vertAlign w:val="superscript"/>
        </w:rPr>
        <w:footnoteReference w:id="4"/>
      </w:r>
      <w:r w:rsidRPr="00235179">
        <w:t xml:space="preserve"> certifying a single ERO</w:t>
      </w:r>
      <w:r w:rsidRPr="00235179" w:rsidR="00A2332F">
        <w:t xml:space="preserve">, i.e., </w:t>
      </w:r>
      <w:r w:rsidRPr="00235179">
        <w:t xml:space="preserve">the North American Electric Reliability Corporation (NERC), to oversee the reliability of the United States’ portion of the interconnected North American Bulk-Power System, subject to Commission oversight.  The ERO is responsible for developing and enforcing mandatory </w:t>
      </w:r>
      <w:r w:rsidRPr="00235179" w:rsidR="00A2332F">
        <w:t>r</w:t>
      </w:r>
      <w:r w:rsidRPr="00235179">
        <w:t xml:space="preserve">eliability </w:t>
      </w:r>
      <w:r w:rsidRPr="00235179" w:rsidR="00A2332F">
        <w:t>s</w:t>
      </w:r>
      <w:r w:rsidRPr="00235179">
        <w:t>tandards</w:t>
      </w:r>
      <w:r w:rsidRPr="00235179" w:rsidR="00EF2D45">
        <w:t xml:space="preserve">, which apply </w:t>
      </w:r>
      <w:r w:rsidRPr="00235179">
        <w:t xml:space="preserve">to all users, owners and operators of the </w:t>
      </w:r>
      <w:r w:rsidRPr="00235179" w:rsidR="00EF2D45">
        <w:t>b</w:t>
      </w:r>
      <w:r w:rsidRPr="00235179">
        <w:t>ulk-</w:t>
      </w:r>
      <w:r w:rsidRPr="00235179" w:rsidR="00EF2D45">
        <w:t>p</w:t>
      </w:r>
      <w:r w:rsidRPr="00235179">
        <w:t xml:space="preserve">ower </w:t>
      </w:r>
      <w:r w:rsidRPr="00235179" w:rsidR="00EF2D45">
        <w:t>s</w:t>
      </w:r>
      <w:r w:rsidRPr="00235179">
        <w:t>ystem.</w:t>
      </w:r>
    </w:p>
    <w:p w:rsidRPr="00235179" w:rsidR="00D407CA" w:rsidP="005F3674" w:rsidRDefault="00D407CA"/>
    <w:p w:rsidRPr="00235179" w:rsidR="00F53486" w:rsidP="005F3674" w:rsidRDefault="002A339B">
      <w:r w:rsidRPr="00235179">
        <w:t xml:space="preserve">The Commission has the authority to approve all ERO actions, to order the ERO to carry out its responsibilities under </w:t>
      </w:r>
      <w:r w:rsidRPr="00235179" w:rsidR="00D533A9">
        <w:t>16 U.S.C. 824</w:t>
      </w:r>
      <w:r w:rsidRPr="00235179" w:rsidR="00D533A9">
        <w:rPr>
          <w:i/>
          <w:iCs/>
        </w:rPr>
        <w:t>o</w:t>
      </w:r>
      <w:r w:rsidRPr="00235179">
        <w:t xml:space="preserve">, and (as appropriate) to enforce </w:t>
      </w:r>
      <w:r w:rsidRPr="00235179" w:rsidR="00F06EC1">
        <w:t>r</w:t>
      </w:r>
      <w:r w:rsidRPr="00235179">
        <w:t xml:space="preserve">eliability </w:t>
      </w:r>
      <w:r w:rsidRPr="00235179" w:rsidR="00F06EC1">
        <w:t>s</w:t>
      </w:r>
      <w:r w:rsidRPr="00235179">
        <w:t xml:space="preserve">tandards.  The ERO </w:t>
      </w:r>
      <w:r w:rsidRPr="00235179" w:rsidR="00232E60">
        <w:t>may</w:t>
      </w:r>
      <w:r w:rsidRPr="00235179">
        <w:t xml:space="preserve"> delegate its enforcement responsibilities to a Regional Entity.  Delegation is effective only after the Commission approves the delegation agreement.  A Regional Entity also </w:t>
      </w:r>
      <w:r w:rsidRPr="00235179" w:rsidR="003C218F">
        <w:t xml:space="preserve">may </w:t>
      </w:r>
      <w:r w:rsidRPr="00235179">
        <w:t>propose a Reliability Standard to the ERO for submission to the Commission for approval</w:t>
      </w:r>
      <w:r w:rsidRPr="00235179" w:rsidR="0020642E">
        <w:t>.</w:t>
      </w:r>
    </w:p>
    <w:p w:rsidRPr="00235179" w:rsidR="00A1088C" w:rsidP="005F3674" w:rsidRDefault="00A1088C"/>
    <w:p w:rsidRPr="00235179" w:rsidR="00A1088C" w:rsidP="005F3674" w:rsidRDefault="00A1088C">
      <w:r w:rsidRPr="00235179">
        <w:t>This information collection request pertains to the proposed rule in Docket No. RM2</w:t>
      </w:r>
      <w:r w:rsidRPr="00235179" w:rsidR="00A25EB0">
        <w:t>1</w:t>
      </w:r>
      <w:r w:rsidRPr="00235179">
        <w:t>-12-000, which would</w:t>
      </w:r>
      <w:r w:rsidRPr="00235179" w:rsidR="00B24C20">
        <w:t xml:space="preserve"> revise 18 CFR 39.3 to</w:t>
      </w:r>
      <w:r w:rsidRPr="00235179" w:rsidR="008D122B">
        <w:t xml:space="preserve">:  (1) </w:t>
      </w:r>
      <w:r w:rsidRPr="00235179" w:rsidR="00022C9E">
        <w:t xml:space="preserve">require the Commission-certified </w:t>
      </w:r>
      <w:r w:rsidRPr="00235179" w:rsidR="00D533A9">
        <w:t>ERO</w:t>
      </w:r>
      <w:r w:rsidRPr="00235179" w:rsidR="00022C9E">
        <w:t xml:space="preserve"> </w:t>
      </w:r>
      <w:r w:rsidRPr="00235179" w:rsidR="00022C9E">
        <w:lastRenderedPageBreak/>
        <w:t xml:space="preserve">to submit </w:t>
      </w:r>
      <w:r w:rsidRPr="00235179" w:rsidR="00081B4C">
        <w:t>a</w:t>
      </w:r>
      <w:r w:rsidRPr="00235179" w:rsidR="002370EF">
        <w:t xml:space="preserve"> “self-assessment”</w:t>
      </w:r>
      <w:r w:rsidRPr="00235179" w:rsidR="00B662FB">
        <w:rPr>
          <w:rStyle w:val="FootnoteReference"/>
          <w:sz w:val="24"/>
        </w:rPr>
        <w:footnoteReference w:id="5"/>
      </w:r>
      <w:r w:rsidRPr="00235179" w:rsidR="00022C9E">
        <w:t xml:space="preserve"> every three years instead of the current period of every five years</w:t>
      </w:r>
      <w:r w:rsidRPr="00235179" w:rsidR="002370EF">
        <w:t>;</w:t>
      </w:r>
      <w:r w:rsidRPr="00235179" w:rsidR="008D122B">
        <w:t xml:space="preserve"> (2) </w:t>
      </w:r>
      <w:r w:rsidRPr="00235179" w:rsidR="00022C9E">
        <w:t xml:space="preserve">add a requirement </w:t>
      </w:r>
      <w:r w:rsidRPr="00235179" w:rsidR="001D6043">
        <w:t xml:space="preserve">that </w:t>
      </w:r>
      <w:r w:rsidRPr="00235179" w:rsidR="00022C9E">
        <w:t>the</w:t>
      </w:r>
      <w:r w:rsidRPr="00235179" w:rsidR="001D6043">
        <w:t xml:space="preserve"> ERO</w:t>
      </w:r>
      <w:r w:rsidRPr="00235179" w:rsidR="00022C9E">
        <w:t xml:space="preserve"> include in its </w:t>
      </w:r>
      <w:r w:rsidRPr="00235179" w:rsidR="00576E4C">
        <w:t>self-</w:t>
      </w:r>
      <w:r w:rsidRPr="00235179" w:rsidR="00022C9E">
        <w:t xml:space="preserve"> assessment a detailed discussion of any areas of the E</w:t>
      </w:r>
      <w:r w:rsidRPr="00235179" w:rsidR="001D6043">
        <w:t>RO’s</w:t>
      </w:r>
      <w:r w:rsidRPr="00235179" w:rsidR="00022C9E">
        <w:t xml:space="preserve"> statutory responsibilities, or a Regional Entity’s delegated functions, beyond those required by the Commission’s regulations, that the Commission has identified at least 90 days prior to the expected </w:t>
      </w:r>
      <w:r w:rsidRPr="00235179" w:rsidR="00576E4C">
        <w:t>self-</w:t>
      </w:r>
      <w:r w:rsidRPr="00235179" w:rsidR="00022C9E">
        <w:t xml:space="preserve"> assessment submission date</w:t>
      </w:r>
      <w:r w:rsidRPr="00235179" w:rsidR="00F60B16">
        <w:t>,</w:t>
      </w:r>
      <w:r w:rsidRPr="00235179" w:rsidR="00DD5196">
        <w:t xml:space="preserve"> and (3) formalize the ERO’s solicitation of recommendations via a formal public comment period from Regional Entities, users, owners, and operators of the </w:t>
      </w:r>
      <w:r w:rsidRPr="00235179" w:rsidR="00910601">
        <w:t>b</w:t>
      </w:r>
      <w:r w:rsidRPr="00235179" w:rsidR="00DD5196">
        <w:t>ulk-</w:t>
      </w:r>
      <w:r w:rsidRPr="00235179" w:rsidR="00910601">
        <w:t>p</w:t>
      </w:r>
      <w:r w:rsidRPr="00235179" w:rsidR="00DD5196">
        <w:t xml:space="preserve">ower </w:t>
      </w:r>
      <w:r w:rsidRPr="00235179" w:rsidR="00910601">
        <w:t>s</w:t>
      </w:r>
      <w:r w:rsidRPr="00235179" w:rsidR="00DD5196">
        <w:t>ystem, and other interested parties for improvement of the ERO’s operations, activities, oversight and procedures.</w:t>
      </w:r>
    </w:p>
    <w:p w:rsidRPr="00235179" w:rsidR="001010E5" w:rsidP="005F3674" w:rsidRDefault="001010E5"/>
    <w:p w:rsidRPr="00235179" w:rsidR="004F7C2B" w:rsidP="005F3674" w:rsidRDefault="00DA6012">
      <w:r w:rsidRPr="00235179">
        <w:t xml:space="preserve">At this time, the Commission is not </w:t>
      </w:r>
      <w:r w:rsidRPr="00235179" w:rsidR="001010E5">
        <w:t xml:space="preserve">seeking renewal of </w:t>
      </w:r>
      <w:r w:rsidRPr="00235179">
        <w:t>FERC-725</w:t>
      </w:r>
      <w:r w:rsidRPr="00235179" w:rsidR="004F7C2B">
        <w:t>.</w:t>
      </w:r>
    </w:p>
    <w:p w:rsidRPr="00235179" w:rsidR="0064622C" w:rsidP="005F3674" w:rsidRDefault="0064622C"/>
    <w:p w:rsidRPr="00235179" w:rsidR="00F53486" w:rsidP="005F3674" w:rsidRDefault="00F53486">
      <w:pPr>
        <w:widowControl/>
        <w:numPr>
          <w:ilvl w:val="0"/>
          <w:numId w:val="2"/>
        </w:numPr>
        <w:tabs>
          <w:tab w:val="clear" w:pos="1815"/>
          <w:tab w:val="num" w:pos="720"/>
        </w:tabs>
        <w:ind w:left="0" w:hanging="720"/>
        <w:rPr>
          <w:b/>
        </w:rPr>
      </w:pPr>
      <w:r w:rsidRPr="00235179">
        <w:rPr>
          <w:b/>
        </w:rPr>
        <w:t xml:space="preserve">HOW, BY WHOM AND FOR WHAT PURPOSE IS THE INFORMATION TO BE USED AND THE CONSEQUENCES OF NOT COLLECTING THE INFORMATION </w:t>
      </w:r>
    </w:p>
    <w:p w:rsidRPr="00235179" w:rsidR="00F53486" w:rsidP="005F3674" w:rsidRDefault="00F53486">
      <w:pPr>
        <w:widowControl/>
      </w:pPr>
    </w:p>
    <w:p w:rsidRPr="00235179" w:rsidR="006417CB" w:rsidP="005F3674" w:rsidRDefault="006417CB">
      <w:pPr>
        <w:tabs>
          <w:tab w:val="left" w:pos="720"/>
        </w:tabs>
        <w:rPr>
          <w:bCs/>
        </w:rPr>
      </w:pPr>
      <w:r w:rsidRPr="00235179">
        <w:t>Without the FERC-725 information, the FERC, ERO, and Regional Entities will not have the data needed to determine whether sufficient and appropriate measures are being taken to ensure the reliability of the nation’s electric grid</w:t>
      </w:r>
      <w:r w:rsidRPr="00235179">
        <w:rPr>
          <w:bCs/>
        </w:rPr>
        <w:t>.</w:t>
      </w:r>
    </w:p>
    <w:p w:rsidRPr="00235179" w:rsidR="006417CB" w:rsidP="005F3674" w:rsidRDefault="006417CB"/>
    <w:p w:rsidRPr="00235179" w:rsidR="00630F5E" w:rsidP="005F3674" w:rsidRDefault="00630F5E">
      <w:r w:rsidRPr="00235179">
        <w:t>FERC-725 contains the following information collection elements</w:t>
      </w:r>
      <w:r w:rsidRPr="00235179" w:rsidR="00DA6012">
        <w:t xml:space="preserve"> that would be amended by the proposed rule</w:t>
      </w:r>
      <w:r w:rsidRPr="00235179" w:rsidR="008E0E29">
        <w:t>.</w:t>
      </w:r>
    </w:p>
    <w:p w:rsidRPr="00235179" w:rsidR="008E0E29" w:rsidP="005F3674" w:rsidRDefault="008E0E29"/>
    <w:p w:rsidRPr="00235179" w:rsidR="008E0E29" w:rsidP="005F3674" w:rsidRDefault="008E0E29">
      <w:r w:rsidRPr="00235179">
        <w:rPr>
          <w:i/>
          <w:iCs/>
        </w:rPr>
        <w:t xml:space="preserve">Frequency of </w:t>
      </w:r>
      <w:r w:rsidRPr="00235179" w:rsidR="00576E4C">
        <w:rPr>
          <w:i/>
          <w:iCs/>
        </w:rPr>
        <w:t>Self-</w:t>
      </w:r>
      <w:r w:rsidRPr="00235179" w:rsidR="007F25B1">
        <w:rPr>
          <w:i/>
          <w:iCs/>
        </w:rPr>
        <w:t xml:space="preserve"> </w:t>
      </w:r>
      <w:r w:rsidRPr="00235179">
        <w:rPr>
          <w:i/>
          <w:iCs/>
        </w:rPr>
        <w:t>Assessment</w:t>
      </w:r>
      <w:r w:rsidRPr="00235179" w:rsidR="007F25B1">
        <w:rPr>
          <w:i/>
          <w:iCs/>
        </w:rPr>
        <w:t>s</w:t>
      </w:r>
    </w:p>
    <w:p w:rsidRPr="00235179" w:rsidR="00630F5E" w:rsidP="005F3674" w:rsidRDefault="00630F5E">
      <w:pPr>
        <w:rPr>
          <w:u w:val="single"/>
        </w:rPr>
      </w:pPr>
    </w:p>
    <w:p w:rsidRPr="00235179" w:rsidR="008E0E29" w:rsidP="005F3674" w:rsidRDefault="00DA6012">
      <w:r w:rsidRPr="00235179">
        <w:t xml:space="preserve">At present, 18 CFR 39.3 </w:t>
      </w:r>
      <w:r w:rsidRPr="00235179" w:rsidR="00630F5E">
        <w:t xml:space="preserve">requires the ERO to submit to FERC a </w:t>
      </w:r>
      <w:r w:rsidRPr="00235179" w:rsidR="00576E4C">
        <w:t>self-</w:t>
      </w:r>
      <w:r w:rsidRPr="00235179" w:rsidR="00697B65">
        <w:t xml:space="preserve"> assessment </w:t>
      </w:r>
      <w:r w:rsidRPr="00235179" w:rsidR="00630F5E">
        <w:t>report every five years.</w:t>
      </w:r>
      <w:r w:rsidRPr="00235179">
        <w:t xml:space="preserve">  Ea</w:t>
      </w:r>
      <w:r w:rsidRPr="00235179" w:rsidR="00630F5E">
        <w:t xml:space="preserve">ch Regional Entity submits a </w:t>
      </w:r>
      <w:r w:rsidRPr="00235179" w:rsidR="00EA4ABB">
        <w:t>self-</w:t>
      </w:r>
      <w:r w:rsidRPr="00235179" w:rsidR="00630F5E">
        <w:t xml:space="preserve">assessment report to the ERO.  </w:t>
      </w:r>
      <w:r w:rsidRPr="00235179">
        <w:t xml:space="preserve">The proposed rule would increase the frequency of these </w:t>
      </w:r>
      <w:r w:rsidRPr="00235179" w:rsidR="00576E4C">
        <w:t>self-</w:t>
      </w:r>
      <w:r w:rsidRPr="00235179" w:rsidR="00EA4ABB">
        <w:t>self-assessment</w:t>
      </w:r>
      <w:r w:rsidRPr="00235179" w:rsidR="00697B65">
        <w:t xml:space="preserve"> reports</w:t>
      </w:r>
      <w:r w:rsidRPr="00235179">
        <w:t xml:space="preserve"> to every three years.</w:t>
      </w:r>
    </w:p>
    <w:p w:rsidRPr="00235179" w:rsidR="008E0E29" w:rsidP="005F3674" w:rsidRDefault="008E0E29">
      <w:pPr>
        <w:rPr>
          <w:u w:val="single"/>
        </w:rPr>
      </w:pPr>
    </w:p>
    <w:p w:rsidRPr="00235179" w:rsidR="008E0E29" w:rsidP="005F3674" w:rsidRDefault="008E0E29">
      <w:r w:rsidRPr="00235179">
        <w:t>The proposed amendment would</w:t>
      </w:r>
      <w:bookmarkStart w:name="_Hlk60237699" w:id="0"/>
      <w:r w:rsidRPr="00235179">
        <w:t xml:space="preserve"> improve the continuity in the Commission’s  review of the ERO’s operations, activities, oversight, procedures, and evaluation of the effectiveness of each Regional Entity in the performance of delegated functions</w:t>
      </w:r>
      <w:bookmarkEnd w:id="0"/>
      <w:r w:rsidRPr="00235179">
        <w:t xml:space="preserve">.  The proposed shorter </w:t>
      </w:r>
      <w:r w:rsidRPr="00235179" w:rsidR="00576E4C">
        <w:t>self-</w:t>
      </w:r>
      <w:r w:rsidRPr="00235179">
        <w:t>assessment cycle also would provide an opportunity to identify and implement potential improvements with regards to ERO performance in a more timely fashion.</w:t>
      </w:r>
    </w:p>
    <w:p w:rsidRPr="00235179" w:rsidR="008E0E29" w:rsidP="005F3674" w:rsidRDefault="008E0E29"/>
    <w:p w:rsidRPr="00235179" w:rsidR="008E0E29" w:rsidP="005F3674" w:rsidRDefault="008E0E29">
      <w:r w:rsidRPr="00235179">
        <w:rPr>
          <w:i/>
          <w:iCs/>
        </w:rPr>
        <w:t xml:space="preserve">Additional Element of </w:t>
      </w:r>
      <w:r w:rsidRPr="00235179" w:rsidR="00576E4C">
        <w:rPr>
          <w:i/>
          <w:iCs/>
        </w:rPr>
        <w:t>Self-</w:t>
      </w:r>
      <w:r w:rsidRPr="00235179">
        <w:rPr>
          <w:i/>
          <w:iCs/>
        </w:rPr>
        <w:t>Assessment</w:t>
      </w:r>
      <w:r w:rsidRPr="00235179" w:rsidR="00156609">
        <w:rPr>
          <w:i/>
          <w:iCs/>
        </w:rPr>
        <w:t>s</w:t>
      </w:r>
    </w:p>
    <w:p w:rsidRPr="00235179" w:rsidR="008E0E29" w:rsidP="005F3674" w:rsidRDefault="008E0E29">
      <w:r w:rsidRPr="00235179">
        <w:t xml:space="preserve"> </w:t>
      </w:r>
    </w:p>
    <w:p w:rsidRPr="00235179" w:rsidR="00630F5E" w:rsidP="005F3674" w:rsidRDefault="008E0E29">
      <w:r w:rsidRPr="00235179">
        <w:t xml:space="preserve">The proposed rule would </w:t>
      </w:r>
      <w:bookmarkStart w:name="_Hlk60303987" w:id="1"/>
      <w:r w:rsidRPr="00235179">
        <w:t xml:space="preserve">add subsection (iv) to </w:t>
      </w:r>
      <w:r w:rsidRPr="00235179" w:rsidR="009601D1">
        <w:t xml:space="preserve">18 CFR </w:t>
      </w:r>
      <w:r w:rsidRPr="00235179">
        <w:t xml:space="preserve">39.3(c)(1) to </w:t>
      </w:r>
      <w:bookmarkStart w:name="_Hlk60306553" w:id="2"/>
      <w:r w:rsidRPr="00235179">
        <w:t xml:space="preserve">require the </w:t>
      </w:r>
      <w:r w:rsidRPr="00235179">
        <w:lastRenderedPageBreak/>
        <w:t xml:space="preserve">Commission-certified ERO to include in its </w:t>
      </w:r>
      <w:r w:rsidRPr="00235179" w:rsidR="00EA4ABB">
        <w:t>self-assessments</w:t>
      </w:r>
      <w:r w:rsidRPr="00235179">
        <w:t xml:space="preserve"> a detailed discussion of any areas of the ERO’s statutory responsibilities, or the Regional Entities’ delegated functions, beyond those required by § 39.3(c)(1)(i), (ii), and (iii), that the Commission identifies for inclusion at least 90 days prior to the expected </w:t>
      </w:r>
      <w:r w:rsidRPr="00235179" w:rsidR="00576E4C">
        <w:t>self-</w:t>
      </w:r>
      <w:r w:rsidRPr="00235179">
        <w:t xml:space="preserve"> assessment submission date.</w:t>
      </w:r>
      <w:bookmarkEnd w:id="1"/>
      <w:bookmarkEnd w:id="2"/>
    </w:p>
    <w:p w:rsidRPr="00235179" w:rsidR="006627E8" w:rsidP="005F3674" w:rsidRDefault="006627E8"/>
    <w:p w:rsidRPr="00235179" w:rsidR="006627E8" w:rsidP="005F3674" w:rsidRDefault="006627E8">
      <w:r w:rsidRPr="00235179">
        <w:t xml:space="preserve">The proposed amendment would </w:t>
      </w:r>
      <w:r w:rsidRPr="00235179" w:rsidR="00FD675D">
        <w:t xml:space="preserve">provide better flexibility for the Commission’s review of the performance of the ERO’s activities and functions, as well as oversight of the Regional Entities’ delegated functions.  The Commission believes that believe 90 days’ prior notice to the submission would give the ERO adequate time to address any Commission-identified topics in its </w:t>
      </w:r>
      <w:r w:rsidRPr="00235179" w:rsidR="00576E4C">
        <w:t>self-</w:t>
      </w:r>
      <w:r w:rsidRPr="00235179" w:rsidR="00FD675D">
        <w:t xml:space="preserve"> assessment.</w:t>
      </w:r>
    </w:p>
    <w:p w:rsidRPr="00235179" w:rsidR="00910601" w:rsidP="005F3674" w:rsidRDefault="00910601"/>
    <w:p w:rsidRPr="00235179" w:rsidR="00910601" w:rsidP="005F3674" w:rsidRDefault="00910601">
      <w:pPr>
        <w:rPr>
          <w:i/>
          <w:iCs/>
        </w:rPr>
      </w:pPr>
      <w:r w:rsidRPr="00235179">
        <w:rPr>
          <w:i/>
          <w:iCs/>
        </w:rPr>
        <w:t xml:space="preserve">Formalize the </w:t>
      </w:r>
      <w:r w:rsidRPr="00235179" w:rsidR="00CE25D3">
        <w:rPr>
          <w:i/>
          <w:iCs/>
        </w:rPr>
        <w:t>Solicitation of Comments P</w:t>
      </w:r>
      <w:r w:rsidRPr="00235179">
        <w:rPr>
          <w:i/>
          <w:iCs/>
        </w:rPr>
        <w:t xml:space="preserve">rocess </w:t>
      </w:r>
    </w:p>
    <w:p w:rsidRPr="00235179" w:rsidR="00910601" w:rsidP="005F3674" w:rsidRDefault="00910601">
      <w:pPr>
        <w:rPr>
          <w:u w:val="single"/>
        </w:rPr>
      </w:pPr>
    </w:p>
    <w:p w:rsidRPr="00235179" w:rsidR="00FD675D" w:rsidP="005F3674" w:rsidRDefault="00CE25D3">
      <w:pPr>
        <w:rPr>
          <w:rFonts w:eastAsia="Calibri"/>
        </w:rPr>
      </w:pPr>
      <w:r w:rsidRPr="00235179">
        <w:rPr>
          <w:kern w:val="32"/>
        </w:rPr>
        <w:t>The proposed rule would a</w:t>
      </w:r>
      <w:r w:rsidRPr="00235179" w:rsidR="00910601">
        <w:rPr>
          <w:kern w:val="32"/>
        </w:rPr>
        <w:t xml:space="preserve">mend subsection (ii) of 18 CFR 39.3 to </w:t>
      </w:r>
      <w:r w:rsidRPr="00235179" w:rsidR="00910601">
        <w:rPr>
          <w:rFonts w:eastAsia="Calibri"/>
        </w:rPr>
        <w:t xml:space="preserve">add a formal requirement for a public comment period to solicit Regional Entities, users, owners, and operators of the Bulk-Power System, and other interested parties for improvement of the ERO's operations, activities, oversight and procedures.  </w:t>
      </w:r>
    </w:p>
    <w:p w:rsidRPr="00235179" w:rsidR="00910601" w:rsidP="005F3674" w:rsidRDefault="00910601">
      <w:pPr>
        <w:rPr>
          <w:rFonts w:eastAsia="Calibri"/>
        </w:rPr>
      </w:pPr>
    </w:p>
    <w:p w:rsidRPr="00235179" w:rsidR="00910601" w:rsidP="005F3674" w:rsidRDefault="00CE25D3">
      <w:pPr>
        <w:rPr>
          <w:rFonts w:eastAsia="Calibri"/>
        </w:rPr>
      </w:pPr>
      <w:r w:rsidRPr="00235179">
        <w:rPr>
          <w:rFonts w:eastAsia="Calibri"/>
        </w:rPr>
        <w:t xml:space="preserve">The intent of the comment period is to inform the content of the ERO’s draft </w:t>
      </w:r>
      <w:r w:rsidRPr="00235179" w:rsidR="00EA4ABB">
        <w:rPr>
          <w:rFonts w:eastAsia="Calibri"/>
        </w:rPr>
        <w:t>self-assessment</w:t>
      </w:r>
      <w:r w:rsidRPr="00235179">
        <w:rPr>
          <w:rFonts w:eastAsia="Calibri"/>
        </w:rPr>
        <w:t xml:space="preserve">.  </w:t>
      </w:r>
      <w:r w:rsidRPr="00235179" w:rsidR="00F60B16">
        <w:rPr>
          <w:rFonts w:eastAsia="Calibri"/>
        </w:rPr>
        <w:t xml:space="preserve">The ERO would meet the proposed requirement by issuing notice of a public comment period on its website specifically requesting that interested parties identify areas of improvement.  </w:t>
      </w:r>
      <w:r w:rsidRPr="00235179" w:rsidR="00910601">
        <w:rPr>
          <w:rFonts w:eastAsia="Calibri"/>
        </w:rPr>
        <w:t xml:space="preserve">The proposed amendment would provide the opportunity for more timely stakeholder feedback or direction to the ERO should issues arise. </w:t>
      </w:r>
    </w:p>
    <w:p w:rsidRPr="00235179" w:rsidR="00910601" w:rsidP="005F3674" w:rsidRDefault="00910601">
      <w:pPr>
        <w:rPr>
          <w:u w:val="single"/>
        </w:rPr>
      </w:pPr>
    </w:p>
    <w:p w:rsidRPr="00235179" w:rsidR="00F53486" w:rsidP="005F3674" w:rsidRDefault="00F53486">
      <w:pPr>
        <w:widowControl/>
        <w:numPr>
          <w:ilvl w:val="0"/>
          <w:numId w:val="2"/>
        </w:numPr>
        <w:tabs>
          <w:tab w:val="clear" w:pos="1815"/>
        </w:tabs>
        <w:ind w:left="0" w:hanging="720"/>
      </w:pPr>
      <w:r w:rsidRPr="00235179">
        <w:rPr>
          <w:b/>
        </w:rPr>
        <w:t>DESCRIBE ANY CONSIDERATION OF THE USE OF IMPROVED INFORMATION TECHNOLOGY TO REDUCE BURDEN AND THE TECHNICAL OR LEGAL OBSTACLES TO REDUCING BURDEN</w:t>
      </w:r>
    </w:p>
    <w:p w:rsidRPr="00235179" w:rsidR="00577AB2" w:rsidP="005F3674" w:rsidRDefault="00577AB2">
      <w:pPr>
        <w:widowControl/>
      </w:pPr>
    </w:p>
    <w:p w:rsidRPr="00235179" w:rsidR="00630F5E" w:rsidP="005F3674" w:rsidRDefault="00630F5E">
      <w:pPr>
        <w:widowControl/>
      </w:pPr>
      <w:r w:rsidRPr="00235179">
        <w:t xml:space="preserve">All of the information that is reported to the Commission in this collection may be submitted electronically, through the Commission’s eFiling system (as described at </w:t>
      </w:r>
      <w:hyperlink w:history="1" r:id="rId15">
        <w:r w:rsidRPr="00235179">
          <w:rPr>
            <w:rStyle w:val="Hyperlink"/>
          </w:rPr>
          <w:t>http://www.ferc.gov/docs-filing/efiling.asp</w:t>
        </w:r>
      </w:hyperlink>
      <w:r w:rsidRPr="00235179">
        <w:t>).  For the remaining information collection requirements (information not submitted to the Commission), the use of current or improved technology is not controlled by the Commission, and is therefore left to the discretion of each reporting entity.</w:t>
      </w:r>
    </w:p>
    <w:p w:rsidRPr="00235179" w:rsidR="00310C1B" w:rsidP="005F3674" w:rsidRDefault="00310C1B">
      <w:pPr>
        <w:widowControl/>
      </w:pPr>
    </w:p>
    <w:p w:rsidRPr="00235179" w:rsidR="00F53486" w:rsidP="005F3674" w:rsidRDefault="00F53486">
      <w:pPr>
        <w:widowControl/>
        <w:tabs>
          <w:tab w:val="left" w:pos="720"/>
        </w:tabs>
        <w:ind w:hanging="720"/>
        <w:rPr>
          <w:b/>
        </w:rPr>
      </w:pPr>
      <w:r w:rsidRPr="00235179">
        <w:rPr>
          <w:b/>
        </w:rPr>
        <w:t>4.</w:t>
      </w:r>
      <w:r w:rsidRPr="00235179">
        <w:rPr>
          <w:b/>
        </w:rPr>
        <w:tab/>
        <w:t>DESCRIBE EFFORTS TO IDENTIFY DUPLICATION AND SHOW SPECIFICALLY WHY ANY SIMILAR INFORMATION ALREADY AVAILABLE CANNOT BE USED OR MODIFIED FOR USE FOR THE PURPOSE(S) DESCRIBED IN INSTRUCTION NO. 2.</w:t>
      </w:r>
    </w:p>
    <w:p w:rsidRPr="00235179" w:rsidR="000A1237" w:rsidP="005F3674" w:rsidRDefault="000A1237">
      <w:pPr>
        <w:widowControl/>
        <w:ind w:firstLine="720"/>
        <w:rPr>
          <w:b/>
        </w:rPr>
      </w:pPr>
    </w:p>
    <w:p w:rsidRPr="00235179" w:rsidR="00F53486" w:rsidP="005F3674" w:rsidRDefault="00630F5E">
      <w:r w:rsidRPr="00235179">
        <w:t>Filing requirements are periodically reviewed as OMB review dates arise, or as the Commission may deem necessary in carrying out its responsibilities, in order to eliminate duplication and ensure that filing burden is minimized.  The Commission believes there are no similar sources of information available that can be used or modified for these purposes.</w:t>
      </w:r>
    </w:p>
    <w:p w:rsidRPr="00235179" w:rsidR="00630F5E" w:rsidP="005F3674" w:rsidRDefault="00630F5E"/>
    <w:p w:rsidRPr="00235179" w:rsidR="00F53486" w:rsidP="005F3674" w:rsidRDefault="00F53486">
      <w:pPr>
        <w:widowControl/>
        <w:tabs>
          <w:tab w:val="left" w:pos="720"/>
        </w:tabs>
        <w:ind w:hanging="720"/>
      </w:pPr>
      <w:r w:rsidRPr="00235179">
        <w:rPr>
          <w:b/>
        </w:rPr>
        <w:t>5.</w:t>
      </w:r>
      <w:r w:rsidRPr="00235179">
        <w:t xml:space="preserve"> </w:t>
      </w:r>
      <w:r w:rsidRPr="00235179">
        <w:tab/>
      </w:r>
      <w:r w:rsidRPr="00235179">
        <w:rPr>
          <w:b/>
        </w:rPr>
        <w:t>METHODS USED TO MINIMIZE BURDEN IN COLLECTION OF INFORMATION INVOLVING SMALL ENTITIES</w:t>
      </w:r>
      <w:r w:rsidRPr="00235179">
        <w:t xml:space="preserve"> </w:t>
      </w:r>
    </w:p>
    <w:p w:rsidRPr="00235179" w:rsidR="00F53486" w:rsidP="005F3674" w:rsidRDefault="00F53486">
      <w:pPr>
        <w:widowControl/>
        <w:ind w:hanging="720"/>
      </w:pPr>
    </w:p>
    <w:p w:rsidRPr="00235179" w:rsidR="006B3439" w:rsidP="005F3674" w:rsidRDefault="006B3439">
      <w:pPr>
        <w:widowControl/>
      </w:pPr>
      <w:r w:rsidRPr="00235179">
        <w:t xml:space="preserve">This collection </w:t>
      </w:r>
      <w:r w:rsidRPr="00235179" w:rsidR="0011074A">
        <w:t>affects primarily NERC but also affects</w:t>
      </w:r>
      <w:r w:rsidRPr="00235179">
        <w:t xml:space="preserve"> small registered entities.  The Commission allows small entities to join a joint action agency or similar organization, which could accept responsibility for compliance with the Reliability Standards and related reporting requirements on behalf of its members.  In NERC’s compliance database there are </w:t>
      </w:r>
      <w:r w:rsidRPr="00235179" w:rsidR="003948C5">
        <w:t>46</w:t>
      </w:r>
      <w:r w:rsidRPr="00235179">
        <w:t xml:space="preserve"> entries for Joint Registration Organizations (JROs).  FERC does not have records to indicate how many of the </w:t>
      </w:r>
      <w:r w:rsidRPr="00235179" w:rsidR="003948C5">
        <w:t xml:space="preserve">46 </w:t>
      </w:r>
      <w:r w:rsidRPr="00235179">
        <w:t xml:space="preserve">entries are small business entities or parties of a joint action agency or similar organization but FERC does estimate that at least half of the listed JROs are large organizations.  </w:t>
      </w:r>
    </w:p>
    <w:p w:rsidRPr="00235179" w:rsidR="006B3439" w:rsidP="005F3674" w:rsidRDefault="006B3439">
      <w:pPr>
        <w:widowControl/>
      </w:pPr>
    </w:p>
    <w:p w:rsidRPr="00235179" w:rsidR="00D222C7" w:rsidP="005F3674" w:rsidRDefault="006B3439">
      <w:pPr>
        <w:widowControl/>
        <w:rPr>
          <w:b/>
          <w:bCs/>
        </w:rPr>
      </w:pPr>
      <w:r w:rsidRPr="00235179">
        <w:t>The Commission does not know of any barriers that prevent entities from entering into joint action agreements.  Generally entities that enter into agreements do this because of shared responsibilities or geographic convenience</w:t>
      </w:r>
      <w:r w:rsidRPr="00235179" w:rsidR="00773922">
        <w:t xml:space="preserve">. </w:t>
      </w:r>
    </w:p>
    <w:p w:rsidRPr="00235179" w:rsidR="00F53486" w:rsidP="005F3674" w:rsidRDefault="00F53486">
      <w:pPr>
        <w:widowControl/>
      </w:pPr>
    </w:p>
    <w:p w:rsidRPr="00235179" w:rsidR="007E2455" w:rsidP="005F3674" w:rsidRDefault="00F53486">
      <w:pPr>
        <w:widowControl/>
        <w:numPr>
          <w:ilvl w:val="0"/>
          <w:numId w:val="3"/>
        </w:numPr>
        <w:tabs>
          <w:tab w:val="clear" w:pos="1080"/>
          <w:tab w:val="num" w:pos="720"/>
        </w:tabs>
        <w:ind w:left="0" w:hanging="720"/>
        <w:rPr>
          <w:b/>
        </w:rPr>
      </w:pPr>
      <w:r w:rsidRPr="00235179">
        <w:rPr>
          <w:b/>
        </w:rPr>
        <w:t>CONSEQUENCE TO FEDERAL PROGRAM IF COLLECTION WERE CONDUCTED LESS FREQUENTLY</w:t>
      </w:r>
    </w:p>
    <w:p w:rsidRPr="00235179" w:rsidR="007C11A8" w:rsidP="005F3674" w:rsidRDefault="007C11A8">
      <w:pPr>
        <w:widowControl/>
        <w:rPr>
          <w:b/>
        </w:rPr>
      </w:pPr>
    </w:p>
    <w:p w:rsidRPr="00235179" w:rsidR="007E2455" w:rsidP="005F3674" w:rsidRDefault="006B3439">
      <w:pPr>
        <w:tabs>
          <w:tab w:val="left" w:pos="720"/>
        </w:tabs>
        <w:rPr>
          <w:bCs/>
        </w:rPr>
      </w:pPr>
      <w:r w:rsidRPr="00235179">
        <w:t>This collection focuses on electric reliability reporting requirements that are not contained within any Reliability Standards.  The Commission approves of these requirements as necessary for the reliable operation of the bulk electric system.  Any reduction in frequency may diminish the ability of NERC, Regional Entities, or FERC in maintaining reliability on the bulk electric system</w:t>
      </w:r>
      <w:r w:rsidRPr="00235179" w:rsidR="007E2455">
        <w:rPr>
          <w:bCs/>
        </w:rPr>
        <w:t>.</w:t>
      </w:r>
    </w:p>
    <w:p w:rsidRPr="00235179" w:rsidR="00F53486" w:rsidP="005F3674" w:rsidRDefault="00F53486">
      <w:pPr>
        <w:widowControl/>
      </w:pPr>
    </w:p>
    <w:p w:rsidRPr="00235179" w:rsidR="00F53486" w:rsidP="005F3674" w:rsidRDefault="00F53486">
      <w:pPr>
        <w:widowControl/>
        <w:tabs>
          <w:tab w:val="left" w:pos="720"/>
        </w:tabs>
        <w:ind w:hanging="720"/>
        <w:rPr>
          <w:b/>
        </w:rPr>
      </w:pPr>
      <w:r w:rsidRPr="00235179">
        <w:rPr>
          <w:b/>
        </w:rPr>
        <w:t>7</w:t>
      </w:r>
      <w:r w:rsidRPr="00235179">
        <w:t>.</w:t>
      </w:r>
      <w:r w:rsidRPr="00235179">
        <w:tab/>
      </w:r>
      <w:r w:rsidRPr="00235179">
        <w:rPr>
          <w:b/>
        </w:rPr>
        <w:t>EXPLAIN ANY SPECIAL CIRCUMSTANCES RELATING TO THE INFORMATION</w:t>
      </w:r>
    </w:p>
    <w:p w:rsidRPr="00235179" w:rsidR="00C90BA2" w:rsidP="005F3674" w:rsidRDefault="00C90BA2">
      <w:pPr>
        <w:widowControl/>
        <w:ind w:firstLine="720"/>
        <w:rPr>
          <w:b/>
        </w:rPr>
      </w:pPr>
    </w:p>
    <w:p w:rsidRPr="00235179" w:rsidR="00CB20FD" w:rsidP="005F3674" w:rsidRDefault="00A86DC2">
      <w:pPr>
        <w:widowControl/>
        <w:rPr>
          <w:b/>
          <w:bCs/>
        </w:rPr>
      </w:pPr>
      <w:r w:rsidRPr="00235179">
        <w:t>There are no special circumstances related to this collection.</w:t>
      </w:r>
    </w:p>
    <w:p w:rsidRPr="00235179" w:rsidR="00390518" w:rsidP="005F3674" w:rsidRDefault="00390518">
      <w:pPr>
        <w:widowControl/>
      </w:pPr>
    </w:p>
    <w:p w:rsidRPr="00235179" w:rsidR="00E73323" w:rsidP="005F3674" w:rsidRDefault="00C42FEF">
      <w:pPr>
        <w:widowControl/>
        <w:tabs>
          <w:tab w:val="left" w:pos="720"/>
        </w:tabs>
        <w:ind w:hanging="720"/>
        <w:rPr>
          <w:b/>
        </w:rPr>
      </w:pPr>
      <w:r w:rsidRPr="00235179">
        <w:rPr>
          <w:b/>
        </w:rPr>
        <w:t xml:space="preserve">8.  </w:t>
      </w:r>
      <w:r w:rsidRPr="00235179" w:rsidR="00A86DC2">
        <w:rPr>
          <w:b/>
        </w:rPr>
        <w:tab/>
      </w:r>
      <w:r w:rsidRPr="00235179" w:rsidR="00F53486">
        <w:rPr>
          <w:b/>
        </w:rPr>
        <w:t>DESCRIBE EFFORTS TO CONSULT OUTSIDE THE AGENC</w:t>
      </w:r>
      <w:r w:rsidRPr="00235179" w:rsidR="00DA3CB6">
        <w:rPr>
          <w:b/>
        </w:rPr>
        <w:t xml:space="preserve">Y:  </w:t>
      </w:r>
      <w:r w:rsidRPr="00235179" w:rsidR="00F53486">
        <w:rPr>
          <w:b/>
        </w:rPr>
        <w:t>SUMMARIZE PUBLIC COMMENTS AND THE AGENCY’S RESPONSE TO THESE COMMENTS</w:t>
      </w:r>
    </w:p>
    <w:p w:rsidRPr="00235179" w:rsidR="00E73323" w:rsidP="005F3674" w:rsidRDefault="00E73323"/>
    <w:p w:rsidRPr="00235179" w:rsidR="00CB20FD" w:rsidP="005F3674" w:rsidRDefault="00903A15">
      <w:pPr>
        <w:pStyle w:val="LegalFormat"/>
      </w:pPr>
      <w:r w:rsidRPr="00235179">
        <w:t xml:space="preserve">Each FERC rulemaking (both proposed and final rules) is published in the </w:t>
      </w:r>
      <w:r w:rsidRPr="00235179">
        <w:rPr>
          <w:i/>
        </w:rPr>
        <w:t>Federal Register</w:t>
      </w:r>
      <w:r w:rsidRPr="00235179">
        <w:t>, thereby providing the public, including public utilities and licensees, state commissions, and Federal agencies, an opportunity to submit data, views, comments or suggestions concerning the proposed collections of data.</w:t>
      </w:r>
    </w:p>
    <w:p w:rsidRPr="00235179" w:rsidR="00903A15" w:rsidP="005F3674" w:rsidRDefault="00903A15">
      <w:pPr>
        <w:pStyle w:val="LegalFormat"/>
      </w:pPr>
    </w:p>
    <w:p w:rsidR="00475DA1" w:rsidP="005F3674" w:rsidRDefault="00903A15">
      <w:pPr>
        <w:pStyle w:val="LegalFormat"/>
      </w:pPr>
      <w:r w:rsidRPr="00235179">
        <w:t xml:space="preserve">The proposed rule pertaining to this information collection request was issued on </w:t>
      </w:r>
      <w:r w:rsidRPr="00235179" w:rsidR="00FF068F">
        <w:t>January 19</w:t>
      </w:r>
      <w:r w:rsidRPr="00235179">
        <w:t xml:space="preserve">, 2021 </w:t>
      </w:r>
      <w:r w:rsidRPr="00235179" w:rsidR="00FF068F">
        <w:t xml:space="preserve">(174 FERC ¶ 61,031) </w:t>
      </w:r>
      <w:r w:rsidRPr="00235179">
        <w:t xml:space="preserve">and was published in the Federal Register on </w:t>
      </w:r>
      <w:r w:rsidRPr="00235179" w:rsidR="007D4747">
        <w:t>January 29</w:t>
      </w:r>
      <w:r w:rsidRPr="00235179">
        <w:t>, 2021 (</w:t>
      </w:r>
      <w:r w:rsidRPr="00235179" w:rsidR="007D4747">
        <w:t>86 FR 7518</w:t>
      </w:r>
      <w:r w:rsidRPr="00235179">
        <w:t>).</w:t>
      </w:r>
      <w:r w:rsidRPr="00235179" w:rsidR="00994490">
        <w:t xml:space="preserve">  Commissioner Chatterjee and Commissioner (now-Chairman) Glick</w:t>
      </w:r>
      <w:r w:rsidR="00E6078B">
        <w:t xml:space="preserve"> stated in a joint concurrence that </w:t>
      </w:r>
      <w:r w:rsidR="00475DA1">
        <w:t>they support the rulemaking in RM21-12-000, and:</w:t>
      </w:r>
    </w:p>
    <w:p w:rsidR="00475DA1" w:rsidP="005F3674" w:rsidRDefault="00475DA1">
      <w:pPr>
        <w:pStyle w:val="LegalFormat"/>
      </w:pPr>
    </w:p>
    <w:p w:rsidRPr="00235179" w:rsidR="00903A15" w:rsidP="005F3674" w:rsidRDefault="00475DA1">
      <w:pPr>
        <w:pStyle w:val="LegalFormat"/>
      </w:pPr>
      <w:r>
        <w:tab/>
      </w:r>
      <w:r w:rsidRPr="00475DA1">
        <w:t>Given the important and increasingly complex role the ERO plays in ensuring the reliability of the Bulk Power System, we urge interested parties to submit comments on the proposed reforms.  To that end, while we encourage comments on the potential benefits of these proposed reforms, we also encourage interested parties to provide comments on the potential burdens the proposed reforms may impose on the ERO and its Regional Entities.</w:t>
      </w:r>
    </w:p>
    <w:p w:rsidRPr="00235179" w:rsidR="00310C1B" w:rsidP="005F3674" w:rsidRDefault="00310C1B">
      <w:pPr>
        <w:pStyle w:val="LegalFormat"/>
      </w:pPr>
    </w:p>
    <w:p w:rsidRPr="00235179" w:rsidR="00F53486" w:rsidP="005F3674" w:rsidRDefault="00F53486">
      <w:pPr>
        <w:widowControl/>
        <w:tabs>
          <w:tab w:val="left" w:pos="720"/>
        </w:tabs>
        <w:ind w:hanging="720"/>
        <w:rPr>
          <w:b/>
        </w:rPr>
      </w:pPr>
      <w:r w:rsidRPr="00235179">
        <w:rPr>
          <w:b/>
        </w:rPr>
        <w:t>9.</w:t>
      </w:r>
      <w:r w:rsidRPr="00235179">
        <w:t xml:space="preserve"> </w:t>
      </w:r>
      <w:r w:rsidRPr="00235179">
        <w:tab/>
      </w:r>
      <w:r w:rsidRPr="00235179">
        <w:rPr>
          <w:b/>
        </w:rPr>
        <w:t>EXPLAIN ANY PAYMENT OR GIFTS TO RESPONDENTS</w:t>
      </w:r>
    </w:p>
    <w:p w:rsidRPr="00235179" w:rsidR="00F53486" w:rsidP="005F3674" w:rsidRDefault="00F53486">
      <w:pPr>
        <w:widowControl/>
        <w:ind w:firstLine="720"/>
        <w:rPr>
          <w:b/>
        </w:rPr>
      </w:pPr>
    </w:p>
    <w:p w:rsidRPr="00235179" w:rsidR="00CB20FD" w:rsidP="005F3674" w:rsidRDefault="00CB20FD">
      <w:r w:rsidRPr="00235179">
        <w:t xml:space="preserve">There are </w:t>
      </w:r>
      <w:r w:rsidRPr="00235179" w:rsidR="00135FB3">
        <w:t>n</w:t>
      </w:r>
      <w:r w:rsidRPr="00235179" w:rsidR="005C0F45">
        <w:t>o payments or gifts to FERC-725</w:t>
      </w:r>
      <w:r w:rsidRPr="00235179">
        <w:t xml:space="preserve"> respondents.</w:t>
      </w:r>
    </w:p>
    <w:p w:rsidRPr="00235179" w:rsidR="00F53486" w:rsidP="005F3674" w:rsidRDefault="00F53486">
      <w:pPr>
        <w:widowControl/>
        <w:ind w:firstLine="720"/>
      </w:pPr>
    </w:p>
    <w:p w:rsidRPr="00235179" w:rsidR="00F53486" w:rsidP="005F3674" w:rsidRDefault="00F53486">
      <w:pPr>
        <w:widowControl/>
        <w:tabs>
          <w:tab w:val="left" w:pos="720"/>
        </w:tabs>
        <w:ind w:hanging="720"/>
        <w:rPr>
          <w:b/>
        </w:rPr>
      </w:pPr>
      <w:r w:rsidRPr="00235179">
        <w:rPr>
          <w:b/>
        </w:rPr>
        <w:t>10.</w:t>
      </w:r>
      <w:r w:rsidRPr="00235179">
        <w:rPr>
          <w:b/>
        </w:rPr>
        <w:tab/>
        <w:t>DESCRIBE ANY ASSURANCE OF CONFIDENTIALITY</w:t>
      </w:r>
      <w:r w:rsidRPr="00235179" w:rsidR="009A7A06">
        <w:rPr>
          <w:b/>
        </w:rPr>
        <w:t xml:space="preserve"> </w:t>
      </w:r>
      <w:r w:rsidRPr="00235179">
        <w:rPr>
          <w:b/>
        </w:rPr>
        <w:t>PROVIDED TO RESPONDENTS</w:t>
      </w:r>
    </w:p>
    <w:p w:rsidRPr="00235179" w:rsidR="00F53486" w:rsidP="005F3674" w:rsidRDefault="00F53486">
      <w:pPr>
        <w:widowControl/>
        <w:ind w:firstLine="720"/>
        <w:rPr>
          <w:b/>
        </w:rPr>
      </w:pPr>
    </w:p>
    <w:p w:rsidRPr="00235179" w:rsidR="005C0F45" w:rsidP="005F3674" w:rsidRDefault="005C0F45">
      <w:r w:rsidRPr="00235179">
        <w:t xml:space="preserve">The Commission generally does not consider the data to be confidential. However, certain actions have confidentiality provisions which prevent the disclosure of information relating to enforcement actions and </w:t>
      </w:r>
      <w:r w:rsidRPr="00235179" w:rsidR="00153D47">
        <w:t>Critical Energy/Electric Infrastructure Information</w:t>
      </w:r>
      <w:r w:rsidRPr="00235179" w:rsidR="00D10D30">
        <w:t xml:space="preserve"> (CEII)</w:t>
      </w:r>
      <w:r w:rsidRPr="00235179">
        <w:t>.</w:t>
      </w:r>
      <w:r w:rsidRPr="00235179" w:rsidR="00153D47">
        <w:rPr>
          <w:rStyle w:val="FootnoteReference"/>
          <w:b w:val="0"/>
          <w:bCs/>
          <w:sz w:val="24"/>
        </w:rPr>
        <w:footnoteReference w:id="6"/>
      </w:r>
      <w:r w:rsidRPr="00235179">
        <w:t xml:space="preserve"> </w:t>
      </w:r>
      <w:r w:rsidRPr="00235179" w:rsidR="00D10D30">
        <w:t xml:space="preserve">A request for </w:t>
      </w:r>
      <w:r w:rsidRPr="00235179" w:rsidR="00804EA7">
        <w:t>material</w:t>
      </w:r>
      <w:r w:rsidRPr="00235179" w:rsidR="00D10D30">
        <w:t xml:space="preserve"> to be treated as CEII or privileged may be made under 18 CFR Part 388.</w:t>
      </w:r>
      <w:r w:rsidRPr="00235179">
        <w:t xml:space="preserve"> </w:t>
      </w:r>
      <w:r w:rsidRPr="00235179" w:rsidR="00153D47">
        <w:t xml:space="preserve"> </w:t>
      </w:r>
    </w:p>
    <w:p w:rsidRPr="00235179" w:rsidR="005C0F45" w:rsidP="005F3674" w:rsidRDefault="005C0F45"/>
    <w:p w:rsidRPr="00235179" w:rsidR="005C0F45" w:rsidP="005F3674" w:rsidRDefault="005C0F45">
      <w:r w:rsidRPr="00235179">
        <w:t>There are procedures in 18 CFR § 39.7(b)(4), and 39.7(e)(7), which prevent disclosure of information received pursuant to Section 215 of the Federal Power Act, which pertain to violations of Reliability Standards.  Section 39.7(b)(4) provides that “each violation or alleged violation shall be treated as nonpublic until the matter is filed with the Commission as a notice of penalty or resolved by an admission that the user, owner or operator of the Bulk-Power System violated a Reliability Standard or by a settlement or other negotiated disposition. The disposition of each violation or alleged violation that relates to a Cybersecurity Incident or that would jeopardize the security of the Bulk-Power System if publicly disclosed shall be nonpublic unless the Commission directs otherwise.”  Similarly, Section 39.7(e)(7) provides that “a proceeding for Commission review of a penalty for violation of a Reliability Standard will be public unless the Commission determines that a nonpublic proceeding is necessary and lawful, including a proceeding involving a Cybersecurity Incident. For a nonpublic proceeding, the user, owner or operator of the Bulk-Power System that is the subject of the penalty will be given timely notice and an opportunity for hearing and the public will not be notified and the public will not be allowed to participate.”</w:t>
      </w:r>
    </w:p>
    <w:p w:rsidRPr="00235179" w:rsidR="005C0F45" w:rsidP="005F3674" w:rsidRDefault="005C0F45"/>
    <w:p w:rsidRPr="00235179" w:rsidR="005C0F45" w:rsidP="005F3674" w:rsidRDefault="005C0F45">
      <w:r w:rsidRPr="00235179">
        <w:t xml:space="preserve">In addition,18 C.F.R. 388.112 provides that “any person submitting a document to the Commission may request privileged treatment by claiming that some or all of the information contained in a particular document is exempt from the mandatory public disclosure requirements of the Freedom of Information Act, 5 U.S.C. 552, and should be </w:t>
      </w:r>
      <w:r w:rsidRPr="00235179">
        <w:lastRenderedPageBreak/>
        <w:t xml:space="preserve">withheld from public disclosure.” </w:t>
      </w:r>
    </w:p>
    <w:p w:rsidRPr="00235179" w:rsidR="005C0F45" w:rsidP="005F3674" w:rsidRDefault="005C0F45"/>
    <w:p w:rsidRPr="00235179" w:rsidR="0063011A" w:rsidP="005F3674" w:rsidRDefault="005C0F45">
      <w:r w:rsidRPr="00235179">
        <w:t xml:space="preserve">Finally, 18 CFR § 388.113 </w:t>
      </w:r>
      <w:r w:rsidRPr="00235179" w:rsidR="00B05F40">
        <w:t>g</w:t>
      </w:r>
      <w:r w:rsidRPr="00235179">
        <w:t>overns access to CEII</w:t>
      </w:r>
      <w:r w:rsidRPr="00235179" w:rsidR="00B3742B">
        <w:t xml:space="preserve"> information</w:t>
      </w:r>
      <w:r w:rsidRPr="00235179">
        <w:t>.  Under 18 CFR §388.113(b), the Commission may restrict access to previously filed documents as well as Commission-generated documents which contain CEII information</w:t>
      </w:r>
      <w:r w:rsidRPr="00235179" w:rsidR="0063011A">
        <w:t>.</w:t>
      </w:r>
      <w:r w:rsidRPr="00235179" w:rsidR="0063011A">
        <w:rPr>
          <w:rStyle w:val="FootnoteReference"/>
          <w:b w:val="0"/>
          <w:sz w:val="24"/>
        </w:rPr>
        <w:footnoteReference w:id="7"/>
      </w:r>
      <w:r w:rsidRPr="00235179" w:rsidR="0063011A">
        <w:t xml:space="preserve">  </w:t>
      </w:r>
    </w:p>
    <w:p w:rsidRPr="00235179" w:rsidR="00986B0D" w:rsidP="005F3674" w:rsidRDefault="00986B0D">
      <w:pPr>
        <w:widowControl/>
      </w:pPr>
    </w:p>
    <w:p w:rsidRPr="00235179" w:rsidR="00F53486" w:rsidP="005F3674" w:rsidRDefault="00F53486">
      <w:pPr>
        <w:widowControl/>
        <w:tabs>
          <w:tab w:val="left" w:pos="720"/>
        </w:tabs>
        <w:ind w:hanging="720"/>
        <w:rPr>
          <w:b/>
        </w:rPr>
      </w:pPr>
      <w:r w:rsidRPr="00235179">
        <w:rPr>
          <w:b/>
        </w:rPr>
        <w:t>11.</w:t>
      </w:r>
      <w:r w:rsidRPr="00235179">
        <w:rPr>
          <w:b/>
        </w:rPr>
        <w:tab/>
      </w:r>
      <w:r w:rsidRPr="00235179" w:rsidR="00A701B9">
        <w:rPr>
          <w:b/>
        </w:rPr>
        <w:t>PROVIDE ADDITIONAL JUSTIFICATION FOR ANY QUESTIONS OF A SENSITIVE NATURE, SUCH AS SEXUAL BEHAVIOR AND ATTITUDES, RELIGIOUS BELIEFS, AND OTHER MATTERS THAT ARE COMMONLY CONSIDERED PRIVATE</w:t>
      </w:r>
    </w:p>
    <w:p w:rsidRPr="00235179" w:rsidR="00F53486" w:rsidP="005F3674" w:rsidRDefault="00F53486">
      <w:pPr>
        <w:widowControl/>
        <w:rPr>
          <w:b/>
        </w:rPr>
      </w:pPr>
    </w:p>
    <w:p w:rsidRPr="00235179" w:rsidR="00B66750" w:rsidP="005F3674" w:rsidRDefault="00F31A81">
      <w:pPr>
        <w:widowControl/>
      </w:pPr>
      <w:r w:rsidRPr="00235179">
        <w:t>The Commission does not consider any of t</w:t>
      </w:r>
      <w:r w:rsidRPr="00235179" w:rsidR="0063011A">
        <w:t xml:space="preserve">he questions </w:t>
      </w:r>
      <w:r w:rsidRPr="00235179" w:rsidR="00A701B9">
        <w:t>to be sensitive or</w:t>
      </w:r>
      <w:r w:rsidRPr="00235179">
        <w:t xml:space="preserve"> private.</w:t>
      </w:r>
    </w:p>
    <w:p w:rsidRPr="00235179" w:rsidR="00E5486A" w:rsidP="005F3674" w:rsidRDefault="00E5486A">
      <w:pPr>
        <w:widowControl/>
      </w:pPr>
    </w:p>
    <w:p w:rsidRPr="00235179" w:rsidR="00F53486" w:rsidP="005F3674" w:rsidRDefault="00F53486">
      <w:pPr>
        <w:widowControl/>
        <w:tabs>
          <w:tab w:val="left" w:pos="720"/>
        </w:tabs>
        <w:ind w:hanging="720"/>
        <w:rPr>
          <w:b/>
        </w:rPr>
      </w:pPr>
      <w:r w:rsidRPr="00235179">
        <w:rPr>
          <w:b/>
        </w:rPr>
        <w:t>12.</w:t>
      </w:r>
      <w:r w:rsidRPr="00235179">
        <w:rPr>
          <w:b/>
        </w:rPr>
        <w:tab/>
        <w:t>ESTIMATED BURDEN OF COLLECTION OF INFORMATION</w:t>
      </w:r>
    </w:p>
    <w:p w:rsidRPr="00235179" w:rsidR="00F53486" w:rsidP="005F3674" w:rsidRDefault="00F53486"/>
    <w:p w:rsidRPr="00235179" w:rsidR="004A284D" w:rsidP="005F3674" w:rsidRDefault="004A284D">
      <w:pPr>
        <w:widowControl/>
      </w:pPr>
      <w:r w:rsidRPr="00235179">
        <w:t xml:space="preserve">In this information collection request, the Commission estimates respondents’ burdens and costs only to the extent that </w:t>
      </w:r>
      <w:r w:rsidRPr="00235179" w:rsidR="006F17D5">
        <w:t xml:space="preserve">they </w:t>
      </w:r>
      <w:r w:rsidRPr="00235179">
        <w:t>would be affected by</w:t>
      </w:r>
      <w:r w:rsidRPr="00235179" w:rsidR="00DF1A65">
        <w:t>: (1)</w:t>
      </w:r>
      <w:r w:rsidRPr="00235179">
        <w:t xml:space="preserve"> the proposed rule in RM21-12-000</w:t>
      </w:r>
      <w:r w:rsidRPr="00235179" w:rsidR="00DF1A65">
        <w:t xml:space="preserve">, and (2) the need to adjust the number of Regional Entities.  </w:t>
      </w:r>
      <w:r w:rsidRPr="00235179" w:rsidR="00F038F8">
        <w:t xml:space="preserve">In order to </w:t>
      </w:r>
      <w:r w:rsidRPr="00235179" w:rsidR="00A5076B">
        <w:t>facilitate</w:t>
      </w:r>
      <w:r w:rsidRPr="00235179" w:rsidR="008337E9">
        <w:t xml:space="preserve"> </w:t>
      </w:r>
      <w:r w:rsidRPr="00235179" w:rsidR="00706F06">
        <w:t xml:space="preserve">comparisons between the modified estimates and the previously approved estimates for </w:t>
      </w:r>
      <w:r w:rsidRPr="00235179" w:rsidR="00F038F8">
        <w:t>FERC-725, t</w:t>
      </w:r>
      <w:r w:rsidRPr="00235179">
        <w:t>he hourly cost used in the calculating the following estimates is the same as the hourly cost used in the most recent renewal of FERC-725.</w:t>
      </w:r>
    </w:p>
    <w:p w:rsidRPr="00235179" w:rsidR="004A284D" w:rsidP="005F3674" w:rsidRDefault="004A284D">
      <w:pPr>
        <w:widowControl/>
      </w:pPr>
    </w:p>
    <w:p w:rsidRPr="00235179" w:rsidR="00F35995" w:rsidP="005F3674" w:rsidRDefault="00F35995">
      <w:pPr>
        <w:widowControl/>
      </w:pPr>
      <w:r w:rsidRPr="00235179">
        <w:t>For hourly cost (for wages and benefits), we estimate that 70 percent of the time is spent by Electrical Engineers (code 17-2071, at $66.90/hr.), 20 percent of the time is spent by Legal (code 23-0000, at $143.68/hr.), and 10 percent by Office and Administrative Support (code 43-0000, at $41.34/hr.).  We calculated the weighted hourly cost (for wages and benefits) of $79.70 {or [(0.70) * ($66.90/hr.)] + [(0.20) * $143.68/hr.] + [(0.10) * $41.34/hr.]}.</w:t>
      </w:r>
    </w:p>
    <w:p w:rsidRPr="00235179" w:rsidR="00F35995" w:rsidP="005F3674" w:rsidRDefault="00F35995">
      <w:pPr>
        <w:widowControl/>
      </w:pPr>
    </w:p>
    <w:p w:rsidRPr="00235179" w:rsidR="00F83F1C" w:rsidP="005F3674" w:rsidRDefault="00DF1A65">
      <w:pPr>
        <w:widowControl/>
      </w:pPr>
      <w:r w:rsidRPr="00235179">
        <w:t xml:space="preserve">The adjustments resulting from the change in the number of Regional Entities are shown below in Item 15.  </w:t>
      </w:r>
      <w:r w:rsidRPr="00235179" w:rsidR="00F35995">
        <w:t>The e</w:t>
      </w:r>
      <w:r w:rsidRPr="00235179" w:rsidR="009237E8">
        <w:t>stimate</w:t>
      </w:r>
      <w:r w:rsidRPr="00235179" w:rsidR="006B0CC2">
        <w:t>d</w:t>
      </w:r>
      <w:r w:rsidRPr="00235179" w:rsidR="00E5486A">
        <w:t xml:space="preserve"> annual</w:t>
      </w:r>
      <w:r w:rsidRPr="00235179" w:rsidR="00F231A1">
        <w:t>ized</w:t>
      </w:r>
      <w:r w:rsidRPr="00235179" w:rsidR="00E5486A">
        <w:t xml:space="preserve"> </w:t>
      </w:r>
      <w:r w:rsidRPr="00235179" w:rsidR="00CA724B">
        <w:t xml:space="preserve">respondents’ </w:t>
      </w:r>
      <w:r w:rsidRPr="00235179" w:rsidR="006B0CC2">
        <w:t>burden</w:t>
      </w:r>
      <w:r w:rsidRPr="00235179" w:rsidR="006B0CC2">
        <w:rPr>
          <w:rStyle w:val="FootnoteReference"/>
          <w:b w:val="0"/>
          <w:bCs/>
          <w:sz w:val="24"/>
        </w:rPr>
        <w:footnoteReference w:id="8"/>
      </w:r>
      <w:r w:rsidRPr="00235179" w:rsidR="00E5486A">
        <w:t xml:space="preserve"> and cost</w:t>
      </w:r>
      <w:r w:rsidRPr="00235179" w:rsidR="003C78A8">
        <w:rPr>
          <w:rStyle w:val="FootnoteReference"/>
          <w:b w:val="0"/>
          <w:bCs/>
          <w:sz w:val="24"/>
        </w:rPr>
        <w:footnoteReference w:id="9"/>
      </w:r>
      <w:r w:rsidRPr="00235179" w:rsidR="009237E8">
        <w:t xml:space="preserve"> </w:t>
      </w:r>
      <w:r w:rsidRPr="00235179" w:rsidR="0061186A">
        <w:t>for the collection of information in this proposed rule are</w:t>
      </w:r>
      <w:r w:rsidRPr="00235179" w:rsidR="006B0CC2">
        <w:t xml:space="preserve"> shown </w:t>
      </w:r>
      <w:r w:rsidRPr="00235179">
        <w:t xml:space="preserve">below </w:t>
      </w:r>
      <w:r w:rsidRPr="00235179" w:rsidR="008E1FB4">
        <w:t xml:space="preserve">in </w:t>
      </w:r>
      <w:r w:rsidRPr="00235179">
        <w:t>Table 12.</w:t>
      </w:r>
    </w:p>
    <w:p w:rsidRPr="00235179" w:rsidR="006B0CC2" w:rsidP="005F3674" w:rsidRDefault="00F83F1C">
      <w:pPr>
        <w:widowControl/>
        <w:jc w:val="center"/>
        <w:rPr>
          <w:b/>
          <w:bCs/>
        </w:rPr>
      </w:pPr>
      <w:r w:rsidRPr="00235179">
        <w:br w:type="page"/>
      </w:r>
      <w:r w:rsidRPr="00235179" w:rsidR="00DF1A65">
        <w:rPr>
          <w:b/>
          <w:bCs/>
        </w:rPr>
        <w:lastRenderedPageBreak/>
        <w:t>Table 12</w:t>
      </w:r>
    </w:p>
    <w:p w:rsidRPr="00235179" w:rsidR="00DF1A65" w:rsidP="005F3674" w:rsidRDefault="00DF1A65">
      <w:pPr>
        <w:widowControl/>
        <w:jc w:val="center"/>
        <w:rPr>
          <w:b/>
          <w:bCs/>
        </w:rPr>
      </w:pPr>
      <w:r w:rsidRPr="00235179">
        <w:rPr>
          <w:b/>
          <w:bCs/>
        </w:rPr>
        <w:t>Revised Estimated Annualized Burdens Due to RM21-12-000</w:t>
      </w:r>
    </w:p>
    <w:p w:rsidRPr="00235179" w:rsidR="00541666" w:rsidP="005F3674" w:rsidRDefault="00541666">
      <w:pPr>
        <w:widowControl/>
      </w:pPr>
    </w:p>
    <w:tbl>
      <w:tblPr>
        <w:tblW w:w="9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69"/>
        <w:gridCol w:w="1350"/>
        <w:gridCol w:w="1523"/>
        <w:gridCol w:w="1430"/>
        <w:gridCol w:w="1390"/>
        <w:gridCol w:w="1243"/>
        <w:gridCol w:w="1390"/>
      </w:tblGrid>
      <w:tr w:rsidRPr="00235179" w:rsidR="00F37060" w:rsidTr="009214A3">
        <w:tc>
          <w:tcPr>
            <w:tcW w:w="9542" w:type="dxa"/>
            <w:gridSpan w:val="7"/>
            <w:shd w:val="clear" w:color="auto" w:fill="auto"/>
          </w:tcPr>
          <w:p w:rsidRPr="00235179" w:rsidR="00F37060" w:rsidP="005F3674" w:rsidRDefault="00F37060">
            <w:pPr>
              <w:widowControl/>
              <w:jc w:val="center"/>
              <w:rPr>
                <w:b/>
              </w:rPr>
            </w:pPr>
            <w:r w:rsidRPr="00235179">
              <w:rPr>
                <w:b/>
              </w:rPr>
              <w:t>FERC-725 Burdens and Costs Resulting from the Proposed Rule in RM</w:t>
            </w:r>
            <w:r w:rsidRPr="00235179" w:rsidR="00E25242">
              <w:rPr>
                <w:b/>
              </w:rPr>
              <w:t>21</w:t>
            </w:r>
            <w:r w:rsidRPr="00235179">
              <w:rPr>
                <w:b/>
              </w:rPr>
              <w:t>-12-000</w:t>
            </w:r>
          </w:p>
        </w:tc>
      </w:tr>
      <w:tr w:rsidRPr="00235179" w:rsidR="00F37060" w:rsidTr="00E25242">
        <w:tc>
          <w:tcPr>
            <w:tcW w:w="0" w:type="auto"/>
            <w:shd w:val="clear" w:color="auto" w:fill="auto"/>
            <w:vAlign w:val="bottom"/>
          </w:tcPr>
          <w:p w:rsidRPr="00235179" w:rsidR="00F37060" w:rsidP="005F3674" w:rsidRDefault="00F37060">
            <w:pPr>
              <w:widowControl/>
              <w:jc w:val="center"/>
              <w:rPr>
                <w:b/>
              </w:rPr>
            </w:pPr>
            <w:r w:rsidRPr="00235179">
              <w:rPr>
                <w:b/>
              </w:rPr>
              <w:t>A.</w:t>
            </w:r>
          </w:p>
          <w:p w:rsidRPr="00235179" w:rsidR="00F37060" w:rsidP="005F3674" w:rsidRDefault="00F37060">
            <w:pPr>
              <w:widowControl/>
              <w:jc w:val="center"/>
            </w:pPr>
            <w:r w:rsidRPr="00235179">
              <w:rPr>
                <w:b/>
              </w:rPr>
              <w:t>Type of Respondent</w:t>
            </w:r>
          </w:p>
        </w:tc>
        <w:tc>
          <w:tcPr>
            <w:tcW w:w="0" w:type="auto"/>
            <w:shd w:val="clear" w:color="auto" w:fill="auto"/>
            <w:vAlign w:val="bottom"/>
          </w:tcPr>
          <w:p w:rsidRPr="00235179" w:rsidR="00F37060" w:rsidP="005F3674" w:rsidRDefault="00F37060">
            <w:pPr>
              <w:widowControl/>
              <w:jc w:val="center"/>
              <w:rPr>
                <w:b/>
              </w:rPr>
            </w:pPr>
            <w:r w:rsidRPr="00235179">
              <w:rPr>
                <w:b/>
              </w:rPr>
              <w:t>B.</w:t>
            </w:r>
          </w:p>
          <w:p w:rsidRPr="00235179" w:rsidR="00F37060" w:rsidP="005F3674" w:rsidRDefault="00F37060">
            <w:pPr>
              <w:widowControl/>
              <w:jc w:val="center"/>
            </w:pPr>
            <w:r w:rsidRPr="00235179">
              <w:rPr>
                <w:b/>
              </w:rPr>
              <w:t>Type of Response</w:t>
            </w:r>
          </w:p>
        </w:tc>
        <w:tc>
          <w:tcPr>
            <w:tcW w:w="1524" w:type="dxa"/>
            <w:shd w:val="clear" w:color="auto" w:fill="auto"/>
            <w:vAlign w:val="bottom"/>
          </w:tcPr>
          <w:p w:rsidRPr="00235179" w:rsidR="00F37060" w:rsidP="005F3674" w:rsidRDefault="00F37060">
            <w:pPr>
              <w:widowControl/>
              <w:jc w:val="center"/>
              <w:rPr>
                <w:b/>
              </w:rPr>
            </w:pPr>
            <w:r w:rsidRPr="00235179">
              <w:rPr>
                <w:b/>
              </w:rPr>
              <w:t>C.</w:t>
            </w:r>
          </w:p>
          <w:p w:rsidRPr="00235179" w:rsidR="00F37060" w:rsidP="005F3674" w:rsidRDefault="00F37060">
            <w:pPr>
              <w:widowControl/>
              <w:jc w:val="center"/>
            </w:pPr>
            <w:r w:rsidRPr="00235179">
              <w:rPr>
                <w:b/>
              </w:rPr>
              <w:t>No. of Respondents</w:t>
            </w:r>
          </w:p>
        </w:tc>
        <w:tc>
          <w:tcPr>
            <w:tcW w:w="1430" w:type="dxa"/>
            <w:shd w:val="clear" w:color="auto" w:fill="auto"/>
            <w:vAlign w:val="bottom"/>
          </w:tcPr>
          <w:p w:rsidRPr="00235179" w:rsidR="00F37060" w:rsidP="005F3674" w:rsidRDefault="00F37060">
            <w:pPr>
              <w:widowControl/>
              <w:jc w:val="center"/>
              <w:rPr>
                <w:b/>
              </w:rPr>
            </w:pPr>
            <w:r w:rsidRPr="00235179">
              <w:rPr>
                <w:b/>
              </w:rPr>
              <w:t>D.</w:t>
            </w:r>
          </w:p>
          <w:p w:rsidRPr="00235179" w:rsidR="00F37060" w:rsidP="005F3674" w:rsidRDefault="00B038A2">
            <w:pPr>
              <w:widowControl/>
              <w:jc w:val="center"/>
            </w:pPr>
            <w:r w:rsidRPr="00235179">
              <w:rPr>
                <w:b/>
              </w:rPr>
              <w:t>Annualized</w:t>
            </w:r>
            <w:r w:rsidRPr="00235179" w:rsidR="00F37060">
              <w:rPr>
                <w:b/>
              </w:rPr>
              <w:t xml:space="preserve"> Responses Per Respondent</w:t>
            </w:r>
          </w:p>
        </w:tc>
        <w:tc>
          <w:tcPr>
            <w:tcW w:w="0" w:type="auto"/>
            <w:shd w:val="clear" w:color="auto" w:fill="auto"/>
            <w:vAlign w:val="bottom"/>
          </w:tcPr>
          <w:p w:rsidRPr="00235179" w:rsidR="00F37060" w:rsidP="005F3674" w:rsidRDefault="00F37060">
            <w:pPr>
              <w:widowControl/>
              <w:jc w:val="center"/>
              <w:rPr>
                <w:b/>
              </w:rPr>
            </w:pPr>
            <w:r w:rsidRPr="00235179">
              <w:rPr>
                <w:b/>
              </w:rPr>
              <w:t>E.</w:t>
            </w:r>
          </w:p>
          <w:p w:rsidRPr="00235179" w:rsidR="00F37060" w:rsidP="005F3674" w:rsidRDefault="00F37060">
            <w:pPr>
              <w:widowControl/>
              <w:jc w:val="center"/>
              <w:rPr>
                <w:b/>
              </w:rPr>
            </w:pPr>
            <w:r w:rsidRPr="00235179">
              <w:rPr>
                <w:b/>
              </w:rPr>
              <w:t xml:space="preserve">Total </w:t>
            </w:r>
            <w:r w:rsidRPr="00235179" w:rsidR="00B038A2">
              <w:rPr>
                <w:b/>
              </w:rPr>
              <w:t xml:space="preserve">Annualized </w:t>
            </w:r>
            <w:r w:rsidRPr="00235179">
              <w:rPr>
                <w:b/>
              </w:rPr>
              <w:t>Responses</w:t>
            </w:r>
          </w:p>
          <w:p w:rsidRPr="00235179" w:rsidR="00F37060" w:rsidP="005F3674" w:rsidRDefault="00F37060">
            <w:pPr>
              <w:widowControl/>
              <w:jc w:val="center"/>
            </w:pPr>
            <w:r w:rsidRPr="00235179">
              <w:rPr>
                <w:b/>
              </w:rPr>
              <w:t>(Col. C x Col. D)</w:t>
            </w:r>
          </w:p>
        </w:tc>
        <w:tc>
          <w:tcPr>
            <w:tcW w:w="0" w:type="auto"/>
            <w:shd w:val="clear" w:color="auto" w:fill="auto"/>
            <w:vAlign w:val="bottom"/>
          </w:tcPr>
          <w:p w:rsidRPr="00235179" w:rsidR="00F37060" w:rsidP="005F3674" w:rsidRDefault="00F37060">
            <w:pPr>
              <w:widowControl/>
              <w:jc w:val="center"/>
              <w:rPr>
                <w:b/>
              </w:rPr>
            </w:pPr>
            <w:r w:rsidRPr="00235179">
              <w:rPr>
                <w:b/>
              </w:rPr>
              <w:t>F.</w:t>
            </w:r>
          </w:p>
          <w:p w:rsidRPr="00235179" w:rsidR="00F37060" w:rsidP="005F3674" w:rsidRDefault="00F37060">
            <w:pPr>
              <w:widowControl/>
              <w:jc w:val="center"/>
            </w:pPr>
            <w:r w:rsidRPr="00235179">
              <w:rPr>
                <w:b/>
              </w:rPr>
              <w:t>Average Burden Hours &amp; Cost ($) per Response (rounded)</w:t>
            </w:r>
          </w:p>
        </w:tc>
        <w:tc>
          <w:tcPr>
            <w:tcW w:w="0" w:type="auto"/>
            <w:shd w:val="clear" w:color="auto" w:fill="auto"/>
            <w:vAlign w:val="bottom"/>
          </w:tcPr>
          <w:p w:rsidRPr="00235179" w:rsidR="00F37060" w:rsidP="005F3674" w:rsidRDefault="00F37060">
            <w:pPr>
              <w:widowControl/>
              <w:jc w:val="center"/>
              <w:rPr>
                <w:b/>
              </w:rPr>
            </w:pPr>
            <w:r w:rsidRPr="00235179">
              <w:rPr>
                <w:b/>
              </w:rPr>
              <w:t>G.</w:t>
            </w:r>
          </w:p>
          <w:p w:rsidRPr="00235179" w:rsidR="00F37060" w:rsidP="005F3674" w:rsidRDefault="00F37060">
            <w:pPr>
              <w:widowControl/>
              <w:jc w:val="center"/>
            </w:pPr>
            <w:r w:rsidRPr="00235179">
              <w:rPr>
                <w:b/>
              </w:rPr>
              <w:t>Estimated Total Annual</w:t>
            </w:r>
            <w:r w:rsidRPr="00235179" w:rsidR="00B038A2">
              <w:rPr>
                <w:b/>
              </w:rPr>
              <w:t>ized</w:t>
            </w:r>
            <w:r w:rsidRPr="00235179">
              <w:rPr>
                <w:b/>
              </w:rPr>
              <w:t xml:space="preserve"> Burden Hrs. &amp; Cost ($) (rounded) (Col. E x Col. F)</w:t>
            </w:r>
          </w:p>
        </w:tc>
      </w:tr>
      <w:tr w:rsidRPr="00235179" w:rsidR="00F37060" w:rsidTr="006E5417">
        <w:tc>
          <w:tcPr>
            <w:tcW w:w="0" w:type="auto"/>
            <w:shd w:val="clear" w:color="auto" w:fill="auto"/>
            <w:vAlign w:val="bottom"/>
          </w:tcPr>
          <w:p w:rsidRPr="00235179" w:rsidR="00F37060" w:rsidP="005F3674" w:rsidRDefault="00F37060">
            <w:pPr>
              <w:widowControl/>
            </w:pPr>
            <w:r w:rsidRPr="00235179">
              <w:t>Electric Reliability Organization</w:t>
            </w:r>
          </w:p>
        </w:tc>
        <w:tc>
          <w:tcPr>
            <w:tcW w:w="0" w:type="auto"/>
            <w:shd w:val="clear" w:color="auto" w:fill="auto"/>
            <w:vAlign w:val="bottom"/>
          </w:tcPr>
          <w:p w:rsidRPr="00235179" w:rsidR="00F37060" w:rsidP="005F3674" w:rsidRDefault="00576E4C">
            <w:pPr>
              <w:widowControl/>
            </w:pPr>
            <w:r w:rsidRPr="00235179">
              <w:t>Self-</w:t>
            </w:r>
            <w:r w:rsidRPr="00235179" w:rsidR="00156609">
              <w:t xml:space="preserve"> </w:t>
            </w:r>
            <w:r w:rsidRPr="00235179" w:rsidR="00F37060">
              <w:t>Assessment</w:t>
            </w:r>
          </w:p>
        </w:tc>
        <w:tc>
          <w:tcPr>
            <w:tcW w:w="1524" w:type="dxa"/>
            <w:shd w:val="clear" w:color="auto" w:fill="auto"/>
            <w:vAlign w:val="bottom"/>
          </w:tcPr>
          <w:p w:rsidRPr="00235179" w:rsidR="00F37060" w:rsidP="005F3674" w:rsidRDefault="00F37060">
            <w:pPr>
              <w:widowControl/>
              <w:jc w:val="right"/>
            </w:pPr>
            <w:r w:rsidRPr="00235179">
              <w:t>1</w:t>
            </w:r>
          </w:p>
        </w:tc>
        <w:tc>
          <w:tcPr>
            <w:tcW w:w="1430" w:type="dxa"/>
            <w:shd w:val="clear" w:color="auto" w:fill="auto"/>
            <w:vAlign w:val="bottom"/>
          </w:tcPr>
          <w:p w:rsidRPr="00235179" w:rsidR="00F37060" w:rsidP="005F3674" w:rsidRDefault="00F37060">
            <w:pPr>
              <w:widowControl/>
              <w:jc w:val="right"/>
            </w:pPr>
            <w:r w:rsidRPr="00235179">
              <w:t>0.33</w:t>
            </w:r>
          </w:p>
        </w:tc>
        <w:tc>
          <w:tcPr>
            <w:tcW w:w="0" w:type="auto"/>
            <w:shd w:val="clear" w:color="auto" w:fill="auto"/>
            <w:vAlign w:val="bottom"/>
          </w:tcPr>
          <w:p w:rsidRPr="00235179" w:rsidR="00F37060" w:rsidP="005F3674" w:rsidRDefault="00F37060">
            <w:pPr>
              <w:widowControl/>
              <w:jc w:val="right"/>
            </w:pPr>
            <w:r w:rsidRPr="00235179">
              <w:t>0.33</w:t>
            </w:r>
          </w:p>
        </w:tc>
        <w:tc>
          <w:tcPr>
            <w:tcW w:w="0" w:type="auto"/>
            <w:shd w:val="clear" w:color="auto" w:fill="auto"/>
            <w:vAlign w:val="bottom"/>
          </w:tcPr>
          <w:p w:rsidRPr="00235179" w:rsidR="00F37060" w:rsidP="005F3674" w:rsidRDefault="00F37060">
            <w:pPr>
              <w:widowControl/>
              <w:jc w:val="right"/>
            </w:pPr>
            <w:r w:rsidRPr="00235179">
              <w:t>4,160 hrs.;</w:t>
            </w:r>
          </w:p>
          <w:p w:rsidRPr="00235179" w:rsidR="00F37060" w:rsidP="005F3674" w:rsidRDefault="00F37060">
            <w:pPr>
              <w:widowControl/>
              <w:jc w:val="right"/>
            </w:pPr>
            <w:r w:rsidRPr="00235179">
              <w:t>$331,552</w:t>
            </w:r>
          </w:p>
        </w:tc>
        <w:tc>
          <w:tcPr>
            <w:tcW w:w="0" w:type="auto"/>
            <w:shd w:val="clear" w:color="auto" w:fill="auto"/>
            <w:vAlign w:val="bottom"/>
          </w:tcPr>
          <w:p w:rsidRPr="00235179" w:rsidR="00F37060" w:rsidP="005F3674" w:rsidRDefault="00F37060">
            <w:pPr>
              <w:widowControl/>
              <w:jc w:val="right"/>
            </w:pPr>
            <w:r w:rsidRPr="00235179">
              <w:t>1,373 hrs.;</w:t>
            </w:r>
          </w:p>
          <w:p w:rsidRPr="00235179" w:rsidR="00F37060" w:rsidP="005F3674" w:rsidRDefault="00F37060">
            <w:pPr>
              <w:widowControl/>
              <w:jc w:val="right"/>
            </w:pPr>
            <w:r w:rsidRPr="00235179">
              <w:t>$109,412</w:t>
            </w:r>
          </w:p>
        </w:tc>
      </w:tr>
      <w:tr w:rsidRPr="00235179" w:rsidR="00F37060" w:rsidTr="006E5417">
        <w:tc>
          <w:tcPr>
            <w:tcW w:w="0" w:type="auto"/>
            <w:shd w:val="clear" w:color="auto" w:fill="auto"/>
            <w:vAlign w:val="bottom"/>
          </w:tcPr>
          <w:p w:rsidRPr="00235179" w:rsidR="00F37060" w:rsidP="005F3674" w:rsidRDefault="00F37060">
            <w:pPr>
              <w:widowControl/>
            </w:pPr>
            <w:r w:rsidRPr="00235179">
              <w:t>Regional Entities</w:t>
            </w:r>
            <w:r w:rsidRPr="00235179" w:rsidR="006F17D5">
              <w:rPr>
                <w:rStyle w:val="FootnoteReference"/>
                <w:sz w:val="24"/>
              </w:rPr>
              <w:footnoteReference w:id="10"/>
            </w:r>
          </w:p>
        </w:tc>
        <w:tc>
          <w:tcPr>
            <w:tcW w:w="0" w:type="auto"/>
            <w:shd w:val="clear" w:color="auto" w:fill="auto"/>
            <w:vAlign w:val="bottom"/>
          </w:tcPr>
          <w:p w:rsidRPr="00235179" w:rsidR="00F37060" w:rsidP="005F3674" w:rsidRDefault="00576E4C">
            <w:pPr>
              <w:widowControl/>
            </w:pPr>
            <w:r w:rsidRPr="00235179">
              <w:t>Self-</w:t>
            </w:r>
            <w:r w:rsidRPr="00235179" w:rsidR="00156609">
              <w:t xml:space="preserve"> </w:t>
            </w:r>
            <w:r w:rsidRPr="00235179" w:rsidR="00F37060">
              <w:t>Assessment</w:t>
            </w:r>
          </w:p>
        </w:tc>
        <w:tc>
          <w:tcPr>
            <w:tcW w:w="1524" w:type="dxa"/>
            <w:shd w:val="clear" w:color="auto" w:fill="auto"/>
            <w:vAlign w:val="bottom"/>
          </w:tcPr>
          <w:p w:rsidRPr="00235179" w:rsidR="00F37060" w:rsidP="005F3674" w:rsidRDefault="00F37060">
            <w:pPr>
              <w:widowControl/>
              <w:jc w:val="right"/>
            </w:pPr>
            <w:r w:rsidRPr="00235179">
              <w:t>6</w:t>
            </w:r>
          </w:p>
        </w:tc>
        <w:tc>
          <w:tcPr>
            <w:tcW w:w="1430" w:type="dxa"/>
            <w:shd w:val="clear" w:color="auto" w:fill="auto"/>
            <w:vAlign w:val="bottom"/>
          </w:tcPr>
          <w:p w:rsidRPr="00235179" w:rsidR="00F37060" w:rsidP="005F3674" w:rsidRDefault="00F37060">
            <w:pPr>
              <w:widowControl/>
              <w:jc w:val="right"/>
            </w:pPr>
            <w:r w:rsidRPr="00235179">
              <w:t>0.33</w:t>
            </w:r>
          </w:p>
        </w:tc>
        <w:tc>
          <w:tcPr>
            <w:tcW w:w="0" w:type="auto"/>
            <w:shd w:val="clear" w:color="auto" w:fill="auto"/>
            <w:vAlign w:val="bottom"/>
          </w:tcPr>
          <w:p w:rsidRPr="00235179" w:rsidR="00F37060" w:rsidP="005F3674" w:rsidRDefault="00F37060">
            <w:pPr>
              <w:widowControl/>
              <w:jc w:val="right"/>
            </w:pPr>
            <w:r w:rsidRPr="00235179">
              <w:t>1.98</w:t>
            </w:r>
          </w:p>
        </w:tc>
        <w:tc>
          <w:tcPr>
            <w:tcW w:w="0" w:type="auto"/>
            <w:shd w:val="clear" w:color="auto" w:fill="auto"/>
            <w:vAlign w:val="bottom"/>
          </w:tcPr>
          <w:p w:rsidRPr="00235179" w:rsidR="00F37060" w:rsidP="005F3674" w:rsidRDefault="00F37060">
            <w:pPr>
              <w:widowControl/>
              <w:jc w:val="right"/>
            </w:pPr>
            <w:r w:rsidRPr="00235179">
              <w:t>4,160 hrs.;</w:t>
            </w:r>
          </w:p>
          <w:p w:rsidRPr="00235179" w:rsidR="00F37060" w:rsidP="005F3674" w:rsidRDefault="00F37060">
            <w:pPr>
              <w:widowControl/>
              <w:jc w:val="right"/>
            </w:pPr>
            <w:r w:rsidRPr="00235179">
              <w:t>$331,552</w:t>
            </w:r>
          </w:p>
        </w:tc>
        <w:tc>
          <w:tcPr>
            <w:tcW w:w="0" w:type="auto"/>
            <w:shd w:val="clear" w:color="auto" w:fill="auto"/>
            <w:vAlign w:val="bottom"/>
          </w:tcPr>
          <w:p w:rsidRPr="00235179" w:rsidR="00F37060" w:rsidP="005F3674" w:rsidRDefault="00F37060">
            <w:pPr>
              <w:widowControl/>
              <w:jc w:val="right"/>
            </w:pPr>
          </w:p>
          <w:p w:rsidRPr="00235179" w:rsidR="00F37060" w:rsidP="005F3674" w:rsidRDefault="00F37060">
            <w:pPr>
              <w:widowControl/>
              <w:jc w:val="right"/>
            </w:pPr>
            <w:r w:rsidRPr="00235179">
              <w:t>8,237 hrs.;</w:t>
            </w:r>
          </w:p>
          <w:p w:rsidRPr="00235179" w:rsidR="00F37060" w:rsidP="005F3674" w:rsidRDefault="00F37060">
            <w:pPr>
              <w:widowControl/>
              <w:jc w:val="right"/>
            </w:pPr>
            <w:r w:rsidRPr="00235179">
              <w:t>$656,489</w:t>
            </w:r>
          </w:p>
        </w:tc>
      </w:tr>
      <w:tr w:rsidRPr="00235179" w:rsidR="00F37060" w:rsidTr="006E5417">
        <w:tc>
          <w:tcPr>
            <w:tcW w:w="0" w:type="auto"/>
            <w:shd w:val="clear" w:color="auto" w:fill="auto"/>
          </w:tcPr>
          <w:p w:rsidRPr="00235179" w:rsidR="00F37060" w:rsidP="005F3674" w:rsidRDefault="00F37060">
            <w:pPr>
              <w:widowControl/>
            </w:pPr>
            <w:r w:rsidRPr="00235179">
              <w:rPr>
                <w:b/>
              </w:rPr>
              <w:t>Total Burden Hrs. and Cost</w:t>
            </w:r>
          </w:p>
        </w:tc>
        <w:tc>
          <w:tcPr>
            <w:tcW w:w="0" w:type="auto"/>
            <w:shd w:val="clear" w:color="auto" w:fill="BFBFBF"/>
          </w:tcPr>
          <w:p w:rsidRPr="00235179" w:rsidR="00F37060" w:rsidP="005F3674" w:rsidRDefault="00F37060">
            <w:pPr>
              <w:widowControl/>
            </w:pPr>
          </w:p>
        </w:tc>
        <w:tc>
          <w:tcPr>
            <w:tcW w:w="1524" w:type="dxa"/>
            <w:shd w:val="clear" w:color="auto" w:fill="auto"/>
            <w:vAlign w:val="bottom"/>
          </w:tcPr>
          <w:p w:rsidRPr="00235179" w:rsidR="00F37060" w:rsidP="005F3674" w:rsidRDefault="006E5417">
            <w:pPr>
              <w:widowControl/>
              <w:jc w:val="right"/>
            </w:pPr>
            <w:r w:rsidRPr="00235179">
              <w:t>7</w:t>
            </w:r>
          </w:p>
        </w:tc>
        <w:tc>
          <w:tcPr>
            <w:tcW w:w="1430" w:type="dxa"/>
            <w:shd w:val="clear" w:color="auto" w:fill="BFBFBF"/>
            <w:vAlign w:val="bottom"/>
          </w:tcPr>
          <w:p w:rsidRPr="00235179" w:rsidR="00F37060" w:rsidP="005F3674" w:rsidRDefault="00F37060">
            <w:pPr>
              <w:widowControl/>
              <w:jc w:val="right"/>
            </w:pPr>
          </w:p>
        </w:tc>
        <w:tc>
          <w:tcPr>
            <w:tcW w:w="0" w:type="auto"/>
            <w:shd w:val="clear" w:color="auto" w:fill="auto"/>
            <w:vAlign w:val="bottom"/>
          </w:tcPr>
          <w:p w:rsidRPr="00235179" w:rsidR="00F37060" w:rsidP="005F3674" w:rsidRDefault="00F37060">
            <w:pPr>
              <w:widowControl/>
              <w:jc w:val="right"/>
            </w:pPr>
            <w:r w:rsidRPr="00235179">
              <w:t>2.31</w:t>
            </w:r>
          </w:p>
        </w:tc>
        <w:tc>
          <w:tcPr>
            <w:tcW w:w="0" w:type="auto"/>
            <w:shd w:val="clear" w:color="auto" w:fill="BFBFBF"/>
            <w:vAlign w:val="bottom"/>
          </w:tcPr>
          <w:p w:rsidRPr="00235179" w:rsidR="00F37060" w:rsidP="005F3674" w:rsidRDefault="00F37060">
            <w:pPr>
              <w:widowControl/>
              <w:jc w:val="right"/>
            </w:pPr>
          </w:p>
        </w:tc>
        <w:tc>
          <w:tcPr>
            <w:tcW w:w="0" w:type="auto"/>
            <w:shd w:val="clear" w:color="auto" w:fill="auto"/>
            <w:vAlign w:val="bottom"/>
          </w:tcPr>
          <w:p w:rsidRPr="00235179" w:rsidR="00F37060" w:rsidP="005F3674" w:rsidRDefault="00F37060">
            <w:pPr>
              <w:widowControl/>
              <w:jc w:val="right"/>
            </w:pPr>
            <w:r w:rsidRPr="00235179">
              <w:t>9,610 hrs.;</w:t>
            </w:r>
          </w:p>
          <w:p w:rsidRPr="00235179" w:rsidR="00F37060" w:rsidP="005F3674" w:rsidRDefault="00F37060">
            <w:pPr>
              <w:widowControl/>
              <w:jc w:val="right"/>
            </w:pPr>
            <w:r w:rsidRPr="00235179">
              <w:t>$765,901</w:t>
            </w:r>
          </w:p>
        </w:tc>
      </w:tr>
    </w:tbl>
    <w:p w:rsidRPr="00235179" w:rsidR="00F35995" w:rsidP="005F3674" w:rsidRDefault="00F35995">
      <w:pPr>
        <w:widowControl/>
      </w:pPr>
    </w:p>
    <w:p w:rsidRPr="00235179" w:rsidR="00DF1A65" w:rsidP="005F3674" w:rsidRDefault="00DF1A65">
      <w:pPr>
        <w:widowControl/>
      </w:pPr>
    </w:p>
    <w:p w:rsidRPr="00235179" w:rsidR="00F53486" w:rsidP="005F3674" w:rsidRDefault="00FF5CA4">
      <w:pPr>
        <w:widowControl/>
        <w:numPr>
          <w:ilvl w:val="0"/>
          <w:numId w:val="4"/>
        </w:numPr>
        <w:tabs>
          <w:tab w:val="left" w:pos="720"/>
        </w:tabs>
        <w:ind w:left="0" w:hanging="720"/>
        <w:rPr>
          <w:b/>
        </w:rPr>
      </w:pPr>
      <w:r w:rsidRPr="00235179">
        <w:rPr>
          <w:b/>
        </w:rPr>
        <w:t xml:space="preserve"> </w:t>
      </w:r>
      <w:r w:rsidRPr="00235179" w:rsidR="00F53486">
        <w:rPr>
          <w:b/>
        </w:rPr>
        <w:t>ESTIMATE OF</w:t>
      </w:r>
      <w:r w:rsidRPr="00235179">
        <w:rPr>
          <w:b/>
        </w:rPr>
        <w:t xml:space="preserve"> TOTAL ANNUAL COST OF BURDEN TO</w:t>
      </w:r>
      <w:r w:rsidRPr="00235179" w:rsidR="00224FC5">
        <w:rPr>
          <w:b/>
        </w:rPr>
        <w:t xml:space="preserve"> </w:t>
      </w:r>
      <w:r w:rsidRPr="00235179" w:rsidR="00F53486">
        <w:rPr>
          <w:b/>
        </w:rPr>
        <w:t>RESPONDENTS</w:t>
      </w:r>
    </w:p>
    <w:p w:rsidRPr="00235179" w:rsidR="00190364" w:rsidP="005F3674" w:rsidRDefault="00190364">
      <w:pPr>
        <w:widowControl/>
      </w:pPr>
    </w:p>
    <w:p w:rsidRPr="00235179" w:rsidR="00C94D0C" w:rsidP="005F3674" w:rsidRDefault="00590F23">
      <w:pPr>
        <w:widowControl/>
      </w:pPr>
      <w:r w:rsidRPr="00235179">
        <w:t xml:space="preserve">Commission staff estimates no </w:t>
      </w:r>
      <w:r w:rsidRPr="00235179" w:rsidR="00167488">
        <w:t xml:space="preserve">additional </w:t>
      </w:r>
      <w:r w:rsidRPr="00235179">
        <w:t>non-labor costs resulting from the proposed rule in RM21-12-000</w:t>
      </w:r>
      <w:r w:rsidR="00842087">
        <w:t xml:space="preserve">, but continues to disclose the following </w:t>
      </w:r>
      <w:r w:rsidRPr="00235179" w:rsidR="00167488">
        <w:t>previously approved</w:t>
      </w:r>
      <w:r w:rsidRPr="00235179">
        <w:t xml:space="preserve"> </w:t>
      </w:r>
      <w:r w:rsidRPr="00235179" w:rsidR="00F31B20">
        <w:t xml:space="preserve">annual non-labor related </w:t>
      </w:r>
      <w:r w:rsidRPr="00235179" w:rsidR="00E84D7E">
        <w:t xml:space="preserve">cost burden for </w:t>
      </w:r>
      <w:r w:rsidRPr="00235179" w:rsidR="00167488">
        <w:t>FERC-725</w:t>
      </w:r>
      <w:r w:rsidR="00842087">
        <w:t>, i.e.</w:t>
      </w:r>
      <w:r w:rsidRPr="00235179" w:rsidR="003C73E9">
        <w:t xml:space="preserve"> $65,000 per year</w:t>
      </w:r>
      <w:r w:rsidR="00842087">
        <w:t>:</w:t>
      </w:r>
      <w:r w:rsidRPr="00235179" w:rsidR="003C73E9">
        <w:t xml:space="preserve">  (1) $15,000 in s</w:t>
      </w:r>
      <w:r w:rsidRPr="00235179" w:rsidR="00BE18F8">
        <w:t>oftware costs (ERO)</w:t>
      </w:r>
      <w:r w:rsidRPr="00235179" w:rsidR="003C73E9">
        <w:t>, and (2) $50,000 in software costs (Regional Entities).</w:t>
      </w:r>
    </w:p>
    <w:p w:rsidRPr="00235179" w:rsidR="00181B23" w:rsidP="005F3674" w:rsidRDefault="00181B23">
      <w:pPr>
        <w:widowControl/>
        <w:rPr>
          <w:b/>
        </w:rPr>
      </w:pPr>
    </w:p>
    <w:p w:rsidRPr="00235179" w:rsidR="00F53486" w:rsidP="005F3674" w:rsidRDefault="00F53486">
      <w:pPr>
        <w:widowControl/>
        <w:tabs>
          <w:tab w:val="left" w:pos="720"/>
        </w:tabs>
        <w:ind w:hanging="720"/>
        <w:rPr>
          <w:b/>
        </w:rPr>
      </w:pPr>
      <w:r w:rsidRPr="00235179">
        <w:rPr>
          <w:b/>
        </w:rPr>
        <w:t>14.</w:t>
      </w:r>
      <w:r w:rsidRPr="00235179">
        <w:tab/>
      </w:r>
      <w:r w:rsidRPr="00235179" w:rsidR="00FF5CA4">
        <w:t xml:space="preserve"> </w:t>
      </w:r>
      <w:r w:rsidRPr="00235179">
        <w:rPr>
          <w:b/>
        </w:rPr>
        <w:t>ESTIM</w:t>
      </w:r>
      <w:r w:rsidRPr="00235179" w:rsidR="00FF5CA4">
        <w:rPr>
          <w:b/>
        </w:rPr>
        <w:t>ATED ANNUALIZED COST TO FEDERAL</w:t>
      </w:r>
      <w:r w:rsidRPr="00235179" w:rsidR="00B07EAE">
        <w:rPr>
          <w:b/>
        </w:rPr>
        <w:t xml:space="preserve"> </w:t>
      </w:r>
      <w:r w:rsidRPr="00235179" w:rsidR="00A7570B">
        <w:rPr>
          <w:b/>
        </w:rPr>
        <w:t>GOVERNMENT</w:t>
      </w:r>
    </w:p>
    <w:p w:rsidRPr="00235179" w:rsidR="00F53486" w:rsidP="005F3674" w:rsidRDefault="00F53486">
      <w:pPr>
        <w:tabs>
          <w:tab w:val="left" w:pos="-1440"/>
        </w:tabs>
        <w:ind w:hanging="43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6"/>
        <w:gridCol w:w="2872"/>
        <w:gridCol w:w="2882"/>
      </w:tblGrid>
      <w:tr w:rsidRPr="00235179" w:rsidR="0053577B" w:rsidTr="00256EDC">
        <w:trPr>
          <w:trHeight w:val="638"/>
        </w:trPr>
        <w:tc>
          <w:tcPr>
            <w:tcW w:w="2938" w:type="dxa"/>
            <w:shd w:val="clear" w:color="auto" w:fill="CCCCCC"/>
          </w:tcPr>
          <w:p w:rsidRPr="00235179" w:rsidR="0053577B" w:rsidP="005F3674" w:rsidRDefault="0053577B"/>
        </w:tc>
        <w:tc>
          <w:tcPr>
            <w:tcW w:w="2953" w:type="dxa"/>
            <w:shd w:val="clear" w:color="auto" w:fill="CCCCCC"/>
          </w:tcPr>
          <w:p w:rsidRPr="00235179" w:rsidR="0053577B" w:rsidP="005F3674" w:rsidRDefault="0053577B">
            <w:pPr>
              <w:rPr>
                <w:b/>
              </w:rPr>
            </w:pPr>
            <w:r w:rsidRPr="00235179">
              <w:rPr>
                <w:b/>
              </w:rPr>
              <w:t>Number of Employees (FTEs)</w:t>
            </w:r>
          </w:p>
        </w:tc>
        <w:tc>
          <w:tcPr>
            <w:tcW w:w="2965" w:type="dxa"/>
            <w:shd w:val="clear" w:color="auto" w:fill="CCCCCC"/>
          </w:tcPr>
          <w:p w:rsidRPr="00235179" w:rsidR="0053577B" w:rsidP="005F3674" w:rsidRDefault="0053577B">
            <w:pPr>
              <w:rPr>
                <w:b/>
              </w:rPr>
            </w:pPr>
            <w:r w:rsidRPr="00235179">
              <w:rPr>
                <w:b/>
              </w:rPr>
              <w:t>Estimated Annual Federal Cost</w:t>
            </w:r>
          </w:p>
        </w:tc>
      </w:tr>
      <w:tr w:rsidRPr="00235179" w:rsidR="007822C4" w:rsidTr="00181B23">
        <w:tc>
          <w:tcPr>
            <w:tcW w:w="2938" w:type="dxa"/>
            <w:shd w:val="clear" w:color="auto" w:fill="auto"/>
          </w:tcPr>
          <w:p w:rsidRPr="00235179" w:rsidR="007822C4" w:rsidP="005F3674" w:rsidRDefault="00181B23">
            <w:r w:rsidRPr="00235179">
              <w:rPr>
                <w:szCs w:val="26"/>
              </w:rPr>
              <w:t>PRA</w:t>
            </w:r>
            <w:r w:rsidRPr="00235179">
              <w:rPr>
                <w:rStyle w:val="FootnoteReference"/>
                <w:b w:val="0"/>
                <w:sz w:val="24"/>
              </w:rPr>
              <w:footnoteReference w:id="11"/>
            </w:r>
            <w:r w:rsidRPr="00235179">
              <w:rPr>
                <w:b/>
                <w:szCs w:val="26"/>
              </w:rPr>
              <w:t xml:space="preserve"> </w:t>
            </w:r>
            <w:r w:rsidRPr="00235179">
              <w:rPr>
                <w:szCs w:val="26"/>
              </w:rPr>
              <w:t xml:space="preserve">Administration Cost </w:t>
            </w:r>
          </w:p>
        </w:tc>
        <w:tc>
          <w:tcPr>
            <w:tcW w:w="2953" w:type="dxa"/>
            <w:shd w:val="clear" w:color="auto" w:fill="auto"/>
          </w:tcPr>
          <w:p w:rsidRPr="00235179" w:rsidR="007822C4" w:rsidP="005F3674" w:rsidRDefault="004311EB">
            <w:pPr>
              <w:jc w:val="right"/>
            </w:pPr>
            <w:r w:rsidRPr="00235179">
              <w:t>N/</w:t>
            </w:r>
            <w:r w:rsidRPr="00235179" w:rsidR="00024CBF">
              <w:t>A</w:t>
            </w:r>
          </w:p>
        </w:tc>
        <w:tc>
          <w:tcPr>
            <w:tcW w:w="2965" w:type="dxa"/>
            <w:shd w:val="clear" w:color="auto" w:fill="auto"/>
          </w:tcPr>
          <w:p w:rsidRPr="00235179" w:rsidR="007822C4" w:rsidP="005F3674" w:rsidRDefault="00BF4328">
            <w:pPr>
              <w:jc w:val="right"/>
            </w:pPr>
            <w:r w:rsidRPr="00235179">
              <w:t>$6,475</w:t>
            </w:r>
          </w:p>
        </w:tc>
      </w:tr>
      <w:tr w:rsidRPr="00235179" w:rsidR="00181B23" w:rsidTr="00181B23">
        <w:tc>
          <w:tcPr>
            <w:tcW w:w="2938" w:type="dxa"/>
            <w:shd w:val="clear" w:color="auto" w:fill="auto"/>
          </w:tcPr>
          <w:p w:rsidRPr="00235179" w:rsidR="00181B23" w:rsidP="005F3674" w:rsidRDefault="00181B23">
            <w:pPr>
              <w:rPr>
                <w:szCs w:val="26"/>
              </w:rPr>
            </w:pPr>
            <w:r w:rsidRPr="00235179">
              <w:rPr>
                <w:szCs w:val="26"/>
              </w:rPr>
              <w:t xml:space="preserve">Data Processing and </w:t>
            </w:r>
            <w:r w:rsidRPr="00235179">
              <w:rPr>
                <w:szCs w:val="26"/>
              </w:rPr>
              <w:lastRenderedPageBreak/>
              <w:t>Analysis</w:t>
            </w:r>
            <w:r w:rsidRPr="00235179" w:rsidR="00EF55FC">
              <w:rPr>
                <w:rStyle w:val="FootnoteReference"/>
                <w:b w:val="0"/>
                <w:sz w:val="24"/>
              </w:rPr>
              <w:footnoteReference w:id="12"/>
            </w:r>
          </w:p>
        </w:tc>
        <w:tc>
          <w:tcPr>
            <w:tcW w:w="2953" w:type="dxa"/>
            <w:shd w:val="clear" w:color="auto" w:fill="auto"/>
          </w:tcPr>
          <w:p w:rsidRPr="00235179" w:rsidR="00181B23" w:rsidP="005F3674" w:rsidRDefault="005B1118">
            <w:pPr>
              <w:jc w:val="right"/>
            </w:pPr>
            <w:r w:rsidRPr="00235179">
              <w:lastRenderedPageBreak/>
              <w:t>25</w:t>
            </w:r>
          </w:p>
        </w:tc>
        <w:tc>
          <w:tcPr>
            <w:tcW w:w="2965" w:type="dxa"/>
            <w:shd w:val="clear" w:color="auto" w:fill="auto"/>
          </w:tcPr>
          <w:p w:rsidRPr="00235179" w:rsidR="00181B23" w:rsidP="005F3674" w:rsidRDefault="00181B23">
            <w:pPr>
              <w:jc w:val="right"/>
            </w:pPr>
            <w:r w:rsidRPr="00235179">
              <w:t>$</w:t>
            </w:r>
            <w:r w:rsidRPr="00235179" w:rsidR="00256EDC">
              <w:t>4,1</w:t>
            </w:r>
            <w:r w:rsidRPr="00235179" w:rsidR="00FB517A">
              <w:t>77,275</w:t>
            </w:r>
          </w:p>
        </w:tc>
      </w:tr>
      <w:tr w:rsidRPr="00235179" w:rsidR="00181B23" w:rsidTr="00EC0D8E">
        <w:tc>
          <w:tcPr>
            <w:tcW w:w="2938" w:type="dxa"/>
            <w:shd w:val="clear" w:color="auto" w:fill="auto"/>
          </w:tcPr>
          <w:p w:rsidRPr="00235179" w:rsidR="00181B23" w:rsidP="005F3674" w:rsidRDefault="00181B23">
            <w:pPr>
              <w:rPr>
                <w:szCs w:val="26"/>
              </w:rPr>
            </w:pPr>
            <w:r w:rsidRPr="00235179">
              <w:rPr>
                <w:szCs w:val="26"/>
              </w:rPr>
              <w:t>FERC Total</w:t>
            </w:r>
          </w:p>
        </w:tc>
        <w:tc>
          <w:tcPr>
            <w:tcW w:w="2953" w:type="dxa"/>
            <w:tcBorders>
              <w:bottom w:val="single" w:color="auto" w:sz="4" w:space="0"/>
            </w:tcBorders>
            <w:shd w:val="clear" w:color="auto" w:fill="BFBFBF"/>
          </w:tcPr>
          <w:p w:rsidRPr="00235179" w:rsidR="00181B23" w:rsidP="005F3674" w:rsidRDefault="00181B23">
            <w:pPr>
              <w:jc w:val="right"/>
            </w:pPr>
          </w:p>
        </w:tc>
        <w:tc>
          <w:tcPr>
            <w:tcW w:w="2965" w:type="dxa"/>
            <w:shd w:val="clear" w:color="auto" w:fill="auto"/>
          </w:tcPr>
          <w:p w:rsidRPr="00235179" w:rsidR="00181B23" w:rsidP="005F3674" w:rsidRDefault="00DF00A2">
            <w:pPr>
              <w:jc w:val="right"/>
            </w:pPr>
            <w:r w:rsidRPr="00235179">
              <w:t>$</w:t>
            </w:r>
            <w:r w:rsidRPr="00235179" w:rsidR="00256EDC">
              <w:t>4</w:t>
            </w:r>
            <w:r w:rsidRPr="00235179" w:rsidR="00FB517A">
              <w:t>,18</w:t>
            </w:r>
            <w:r w:rsidR="000836B2">
              <w:t>3,750</w:t>
            </w:r>
          </w:p>
        </w:tc>
      </w:tr>
    </w:tbl>
    <w:p w:rsidRPr="00235179" w:rsidR="00F53486" w:rsidP="005F3674" w:rsidRDefault="00F53486">
      <w:pPr>
        <w:widowControl/>
      </w:pPr>
    </w:p>
    <w:p w:rsidRPr="00235179" w:rsidR="00474C40" w:rsidP="005F3674" w:rsidRDefault="00474C40">
      <w:pPr>
        <w:widowControl/>
        <w:autoSpaceDE/>
        <w:autoSpaceDN/>
        <w:adjustRightInd/>
        <w:rPr>
          <w:szCs w:val="26"/>
        </w:rPr>
      </w:pPr>
      <w:r w:rsidRPr="00235179">
        <w:rPr>
          <w:szCs w:val="26"/>
        </w:rPr>
        <w:t xml:space="preserve">The Commission bases its estimate of the </w:t>
      </w:r>
      <w:r w:rsidRPr="00235179" w:rsidR="001A0258">
        <w:rPr>
          <w:szCs w:val="26"/>
        </w:rPr>
        <w:t>“</w:t>
      </w:r>
      <w:r w:rsidRPr="00235179">
        <w:rPr>
          <w:szCs w:val="26"/>
        </w:rPr>
        <w:t>Data Processing and Analysis</w:t>
      </w:r>
      <w:r w:rsidRPr="00235179" w:rsidR="001A0258">
        <w:rPr>
          <w:szCs w:val="26"/>
        </w:rPr>
        <w:t>”</w:t>
      </w:r>
      <w:r w:rsidRPr="00235179">
        <w:rPr>
          <w:szCs w:val="26"/>
        </w:rPr>
        <w:t xml:space="preserve"> cost to the Federal Government on salaries and benefits for professional and clerical support.  This estimated cost represents staff analysis, decision making, and review of actual filings.</w:t>
      </w:r>
    </w:p>
    <w:p w:rsidRPr="00235179" w:rsidR="00474C40" w:rsidP="005F3674" w:rsidRDefault="00474C40">
      <w:pPr>
        <w:widowControl/>
        <w:autoSpaceDE/>
        <w:autoSpaceDN/>
        <w:adjustRightInd/>
        <w:rPr>
          <w:szCs w:val="26"/>
        </w:rPr>
      </w:pPr>
    </w:p>
    <w:p w:rsidRPr="00235179" w:rsidR="00474C40" w:rsidP="005F3674" w:rsidRDefault="00474C40">
      <w:pPr>
        <w:widowControl/>
        <w:autoSpaceDE/>
        <w:autoSpaceDN/>
        <w:adjustRightInd/>
        <w:rPr>
          <w:szCs w:val="26"/>
        </w:rPr>
      </w:pPr>
      <w:r w:rsidRPr="00235179">
        <w:rPr>
          <w:szCs w:val="26"/>
        </w:rPr>
        <w:t xml:space="preserve">The </w:t>
      </w:r>
      <w:r w:rsidRPr="00235179" w:rsidR="004C26EE">
        <w:rPr>
          <w:szCs w:val="26"/>
        </w:rPr>
        <w:t>“</w:t>
      </w:r>
      <w:r w:rsidRPr="00235179">
        <w:rPr>
          <w:szCs w:val="26"/>
        </w:rPr>
        <w:t>PRA Administrative Cost</w:t>
      </w:r>
      <w:r w:rsidRPr="00235179" w:rsidR="004C26EE">
        <w:rPr>
          <w:szCs w:val="26"/>
        </w:rPr>
        <w:t>”</w:t>
      </w:r>
      <w:r w:rsidRPr="00235179">
        <w:rPr>
          <w:szCs w:val="26"/>
        </w:rPr>
        <w:t xml:space="preserve"> is the average annual FERC cost associated with preparing, issuing, and submitting materials necessary to comply with the PRA</w:t>
      </w:r>
      <w:r w:rsidRPr="00235179" w:rsidR="004C26EE">
        <w:rPr>
          <w:szCs w:val="26"/>
        </w:rPr>
        <w:t>.</w:t>
      </w:r>
      <w:r w:rsidRPr="00235179">
        <w:rPr>
          <w:szCs w:val="26"/>
        </w:rPr>
        <w:t xml:space="preserve">  It also includes the cost of publishing the </w:t>
      </w:r>
      <w:r w:rsidRPr="00235179" w:rsidR="009C40C3">
        <w:rPr>
          <w:szCs w:val="26"/>
        </w:rPr>
        <w:t xml:space="preserve">required </w:t>
      </w:r>
      <w:r w:rsidRPr="00235179">
        <w:rPr>
          <w:szCs w:val="26"/>
        </w:rPr>
        <w:t>notices in the Federal Register.</w:t>
      </w:r>
    </w:p>
    <w:p w:rsidRPr="00235179" w:rsidR="00F53486" w:rsidP="005F3674" w:rsidRDefault="00F53486">
      <w:bookmarkStart w:name="_GoBack" w:id="3"/>
      <w:bookmarkEnd w:id="3"/>
    </w:p>
    <w:p w:rsidRPr="00235179" w:rsidR="00F53486" w:rsidP="005F3674" w:rsidRDefault="00F53486">
      <w:pPr>
        <w:widowControl/>
        <w:tabs>
          <w:tab w:val="left" w:pos="720"/>
        </w:tabs>
        <w:ind w:hanging="720"/>
        <w:rPr>
          <w:b/>
        </w:rPr>
      </w:pPr>
      <w:r w:rsidRPr="00235179">
        <w:rPr>
          <w:b/>
        </w:rPr>
        <w:t>15.</w:t>
      </w:r>
      <w:r w:rsidRPr="00235179">
        <w:rPr>
          <w:b/>
        </w:rPr>
        <w:tab/>
        <w:t>REASONS FOR CHANGES IN BURDEN INCLUDING THE NEED FOR ANY INCREASE</w:t>
      </w:r>
    </w:p>
    <w:p w:rsidRPr="00235179" w:rsidR="00A5076B" w:rsidP="005F3674" w:rsidRDefault="00A5076B">
      <w:pPr>
        <w:widowControl/>
        <w:rPr>
          <w:b/>
        </w:rPr>
      </w:pPr>
    </w:p>
    <w:p w:rsidRPr="00235179" w:rsidR="00950B3C" w:rsidP="005F3674" w:rsidRDefault="00950B3C">
      <w:pPr>
        <w:rPr>
          <w:bCs/>
        </w:rPr>
      </w:pPr>
      <w:r w:rsidRPr="00235179">
        <w:rPr>
          <w:bCs/>
        </w:rPr>
        <w:t>Program changes in t</w:t>
      </w:r>
      <w:r w:rsidRPr="00235179" w:rsidR="003023F8">
        <w:rPr>
          <w:bCs/>
        </w:rPr>
        <w:t>he proposed rule would</w:t>
      </w:r>
      <w:r w:rsidRPr="00235179">
        <w:rPr>
          <w:bCs/>
        </w:rPr>
        <w:t>:</w:t>
      </w:r>
    </w:p>
    <w:p w:rsidRPr="00235179" w:rsidR="00950B3C" w:rsidP="005F3674" w:rsidRDefault="00950B3C">
      <w:pPr>
        <w:rPr>
          <w:bCs/>
        </w:rPr>
      </w:pPr>
    </w:p>
    <w:p w:rsidRPr="00235179" w:rsidR="00950B3C" w:rsidP="005F3674" w:rsidRDefault="00950B3C">
      <w:pPr>
        <w:numPr>
          <w:ilvl w:val="0"/>
          <w:numId w:val="23"/>
        </w:numPr>
        <w:ind w:left="0"/>
      </w:pPr>
      <w:r w:rsidRPr="00235179">
        <w:rPr>
          <w:bCs/>
        </w:rPr>
        <w:t>I</w:t>
      </w:r>
      <w:r w:rsidRPr="00235179" w:rsidR="003023F8">
        <w:rPr>
          <w:bCs/>
        </w:rPr>
        <w:t xml:space="preserve">ncrease the required frequency of </w:t>
      </w:r>
      <w:r w:rsidRPr="00235179" w:rsidR="00523616">
        <w:rPr>
          <w:bCs/>
        </w:rPr>
        <w:t xml:space="preserve">all </w:t>
      </w:r>
      <w:r w:rsidRPr="00235179" w:rsidR="003023F8">
        <w:rPr>
          <w:bCs/>
        </w:rPr>
        <w:t>self-assessments from one every five years to one every three years</w:t>
      </w:r>
      <w:r w:rsidRPr="00235179">
        <w:rPr>
          <w:bCs/>
        </w:rPr>
        <w:t>;</w:t>
      </w:r>
    </w:p>
    <w:p w:rsidRPr="00235179" w:rsidR="00950B3C" w:rsidP="005F3674" w:rsidRDefault="00950B3C">
      <w:pPr>
        <w:numPr>
          <w:ilvl w:val="0"/>
          <w:numId w:val="23"/>
        </w:numPr>
        <w:ind w:left="0"/>
      </w:pPr>
      <w:r w:rsidRPr="00235179">
        <w:rPr>
          <w:bCs/>
        </w:rPr>
        <w:t xml:space="preserve">Add a requirement to </w:t>
      </w:r>
      <w:r w:rsidRPr="00235179" w:rsidR="005A6218">
        <w:rPr>
          <w:bCs/>
        </w:rPr>
        <w:t xml:space="preserve">address </w:t>
      </w:r>
      <w:r w:rsidRPr="00235179">
        <w:rPr>
          <w:bCs/>
        </w:rPr>
        <w:t xml:space="preserve">in </w:t>
      </w:r>
      <w:r w:rsidRPr="00235179" w:rsidR="00470601">
        <w:rPr>
          <w:bCs/>
        </w:rPr>
        <w:t>any self-assessment a</w:t>
      </w:r>
      <w:r w:rsidRPr="00235179" w:rsidR="005A6218">
        <w:rPr>
          <w:bCs/>
        </w:rPr>
        <w:t>n subject</w:t>
      </w:r>
      <w:r w:rsidRPr="00235179">
        <w:rPr>
          <w:bCs/>
        </w:rPr>
        <w:t xml:space="preserve"> </w:t>
      </w:r>
      <w:r w:rsidRPr="00235179">
        <w:t>that the Commission identifies at least 90 days prior to the expected self- assessment submission date; and</w:t>
      </w:r>
    </w:p>
    <w:p w:rsidRPr="00235179" w:rsidR="00950B3C" w:rsidP="005F3674" w:rsidRDefault="005A6218">
      <w:pPr>
        <w:numPr>
          <w:ilvl w:val="0"/>
          <w:numId w:val="23"/>
        </w:numPr>
        <w:ind w:left="0"/>
      </w:pPr>
      <w:r w:rsidRPr="00235179">
        <w:t>Add a requirement, in preparing any self-assessment, that the ERO seek and respond to recommendations of Regional Entities; users, owners, and operators of the</w:t>
      </w:r>
      <w:r w:rsidRPr="00235179" w:rsidR="00F41747">
        <w:t xml:space="preserve"> bulk-power system;</w:t>
      </w:r>
      <w:r w:rsidRPr="00235179">
        <w:t xml:space="preserve"> and other interested parties for improvement of the ERO’s operations, activities, oversight and procedures.</w:t>
      </w:r>
    </w:p>
    <w:p w:rsidRPr="00235179" w:rsidR="005A6218" w:rsidP="005F3674" w:rsidRDefault="005A6218"/>
    <w:p w:rsidRPr="00235179" w:rsidR="0090473E" w:rsidP="005F3674" w:rsidRDefault="0090473E">
      <w:pPr>
        <w:widowControl/>
        <w:rPr>
          <w:bCs/>
        </w:rPr>
      </w:pPr>
      <w:r w:rsidRPr="00235179">
        <w:rPr>
          <w:bCs/>
        </w:rPr>
        <w:t>In addition, the information collection analysis in the proposed rule adjusted the number of Regional Entities</w:t>
      </w:r>
      <w:r w:rsidRPr="00235179" w:rsidR="00901301">
        <w:rPr>
          <w:bCs/>
        </w:rPr>
        <w:t>.  The number of Regional Entities at the time of the previously approved IC request was seven.  At present, there are six Regional Entities.</w:t>
      </w:r>
      <w:r w:rsidRPr="00235179" w:rsidR="003E51D4">
        <w:rPr>
          <w:bCs/>
        </w:rPr>
        <w:t xml:space="preserve">  The burden estimates in this request account for </w:t>
      </w:r>
      <w:r w:rsidRPr="00235179" w:rsidR="00D14DA6">
        <w:rPr>
          <w:bCs/>
        </w:rPr>
        <w:t xml:space="preserve">this adjustment </w:t>
      </w:r>
      <w:r w:rsidRPr="00235179" w:rsidR="003E51D4">
        <w:rPr>
          <w:bCs/>
        </w:rPr>
        <w:t>for all of the activities in FERC-725 that pertain to Regional Entities.</w:t>
      </w:r>
    </w:p>
    <w:p w:rsidRPr="00235179" w:rsidR="0090473E" w:rsidP="005F3674" w:rsidRDefault="0090473E">
      <w:pPr>
        <w:widowControl/>
        <w:rPr>
          <w:bCs/>
        </w:rPr>
      </w:pPr>
    </w:p>
    <w:p w:rsidRPr="00235179" w:rsidR="003B79CC" w:rsidP="005F3674" w:rsidRDefault="003B79CC">
      <w:pPr>
        <w:widowControl/>
        <w:rPr>
          <w:bCs/>
        </w:rPr>
      </w:pPr>
      <w:r w:rsidRPr="00235179">
        <w:rPr>
          <w:bCs/>
        </w:rPr>
        <w:t xml:space="preserve">The net </w:t>
      </w:r>
      <w:r w:rsidRPr="00235179" w:rsidR="003E51D4">
        <w:rPr>
          <w:bCs/>
        </w:rPr>
        <w:t>incremental</w:t>
      </w:r>
      <w:r w:rsidRPr="00235179" w:rsidR="00B82C32">
        <w:rPr>
          <w:bCs/>
        </w:rPr>
        <w:t>, annualized</w:t>
      </w:r>
      <w:r w:rsidRPr="00235179" w:rsidR="003E51D4">
        <w:rPr>
          <w:bCs/>
        </w:rPr>
        <w:t xml:space="preserve"> </w:t>
      </w:r>
      <w:r w:rsidRPr="00235179">
        <w:rPr>
          <w:bCs/>
        </w:rPr>
        <w:t xml:space="preserve">effect of the proposed rule </w:t>
      </w:r>
      <w:r w:rsidRPr="00235179" w:rsidR="005D4DDE">
        <w:rPr>
          <w:bCs/>
        </w:rPr>
        <w:t xml:space="preserve">for self-assessments </w:t>
      </w:r>
      <w:r w:rsidRPr="00235179">
        <w:rPr>
          <w:bCs/>
        </w:rPr>
        <w:t xml:space="preserve">would be an increase of </w:t>
      </w:r>
      <w:r w:rsidRPr="00235179" w:rsidR="005D4DDE">
        <w:rPr>
          <w:bCs/>
        </w:rPr>
        <w:t xml:space="preserve">0.71 response </w:t>
      </w:r>
      <w:r w:rsidRPr="00235179" w:rsidR="00DB776A">
        <w:rPr>
          <w:bCs/>
        </w:rPr>
        <w:t>and 2,956 burden hours.</w:t>
      </w:r>
      <w:r w:rsidRPr="00235179" w:rsidR="00DC5E2A">
        <w:rPr>
          <w:bCs/>
        </w:rPr>
        <w:t xml:space="preserve">  </w:t>
      </w:r>
      <w:r w:rsidRPr="00235179" w:rsidR="00DB776A">
        <w:rPr>
          <w:bCs/>
        </w:rPr>
        <w:t>The</w:t>
      </w:r>
      <w:r w:rsidRPr="00235179" w:rsidR="003E51D4">
        <w:rPr>
          <w:bCs/>
        </w:rPr>
        <w:t xml:space="preserve">se changes </w:t>
      </w:r>
      <w:r w:rsidRPr="00235179" w:rsidR="00DB776A">
        <w:rPr>
          <w:bCs/>
        </w:rPr>
        <w:t xml:space="preserve">are </w:t>
      </w:r>
      <w:r w:rsidRPr="00235179" w:rsidR="003023F8">
        <w:rPr>
          <w:bCs/>
        </w:rPr>
        <w:t>itemized below in Table 15-1.</w:t>
      </w:r>
    </w:p>
    <w:p w:rsidRPr="00235179" w:rsidR="004F7C2B" w:rsidP="005F3674" w:rsidRDefault="004F7C2B">
      <w:pPr>
        <w:widowControl/>
        <w:rPr>
          <w:bCs/>
        </w:rPr>
      </w:pPr>
    </w:p>
    <w:p w:rsidRPr="00235179" w:rsidR="004F7C2B" w:rsidP="005F3674" w:rsidRDefault="004F7C2B">
      <w:pPr>
        <w:widowControl/>
        <w:rPr>
          <w:bCs/>
        </w:rPr>
      </w:pPr>
      <w:r w:rsidRPr="00235179">
        <w:rPr>
          <w:bCs/>
        </w:rPr>
        <w:t xml:space="preserve">Please note:  ROCIS rounds some burden estimates up or down, and this rounding can have minor effects on various calculations.  For example, ROCIS rounds up the estimated responses for EROs to 10 responses.  As a result, the total number of hours showing in ROCIS is somewhat different than the hours shown in this supporting statement. </w:t>
      </w:r>
    </w:p>
    <w:p w:rsidRPr="00235179" w:rsidR="00071409" w:rsidP="005F3674" w:rsidRDefault="00071409">
      <w:pPr>
        <w:widowControl/>
        <w:rPr>
          <w:bCs/>
        </w:rPr>
      </w:pPr>
    </w:p>
    <w:p w:rsidRPr="00235179" w:rsidR="00A46ECB" w:rsidP="005F3674" w:rsidRDefault="00A46ECB">
      <w:pPr>
        <w:widowControl/>
        <w:rPr>
          <w:bCs/>
        </w:rPr>
      </w:pPr>
    </w:p>
    <w:p w:rsidRPr="00235179" w:rsidR="00A46ECB" w:rsidP="005F3674" w:rsidRDefault="00A46ECB">
      <w:pPr>
        <w:widowControl/>
        <w:jc w:val="center"/>
        <w:rPr>
          <w:b/>
        </w:rPr>
      </w:pPr>
      <w:r w:rsidRPr="00235179">
        <w:rPr>
          <w:b/>
        </w:rPr>
        <w:t>Table 15-1</w:t>
      </w:r>
    </w:p>
    <w:p w:rsidRPr="00235179" w:rsidR="00A46ECB" w:rsidP="005F3674" w:rsidRDefault="00A46ECB">
      <w:pPr>
        <w:widowControl/>
        <w:jc w:val="center"/>
        <w:rPr>
          <w:b/>
        </w:rPr>
      </w:pPr>
      <w:r w:rsidRPr="00235179">
        <w:rPr>
          <w:b/>
        </w:rPr>
        <w:lastRenderedPageBreak/>
        <w:t xml:space="preserve">Annualized </w:t>
      </w:r>
      <w:r w:rsidRPr="00235179" w:rsidR="00B61020">
        <w:rPr>
          <w:b/>
          <w:i/>
          <w:iCs/>
        </w:rPr>
        <w:t>Incremental</w:t>
      </w:r>
      <w:r w:rsidRPr="00235179" w:rsidR="00B61020">
        <w:rPr>
          <w:b/>
        </w:rPr>
        <w:t xml:space="preserve"> </w:t>
      </w:r>
      <w:r w:rsidRPr="00235179">
        <w:rPr>
          <w:b/>
        </w:rPr>
        <w:t xml:space="preserve">Burden </w:t>
      </w:r>
      <w:r w:rsidRPr="00235179" w:rsidR="00A721C2">
        <w:rPr>
          <w:b/>
        </w:rPr>
        <w:t xml:space="preserve">Changes in FERC-725 </w:t>
      </w:r>
      <w:r w:rsidRPr="00235179">
        <w:rPr>
          <w:b/>
        </w:rPr>
        <w:t>as a Result of Program Changes in RM</w:t>
      </w:r>
      <w:r w:rsidRPr="00235179" w:rsidR="00B61020">
        <w:rPr>
          <w:b/>
        </w:rPr>
        <w:t>21-12</w:t>
      </w:r>
      <w:r w:rsidRPr="00235179" w:rsidR="003D7014">
        <w:rPr>
          <w:b/>
        </w:rPr>
        <w:t>-000</w:t>
      </w:r>
    </w:p>
    <w:p w:rsidRPr="00235179" w:rsidR="00DB776A" w:rsidP="005F3674" w:rsidRDefault="00DB776A">
      <w:pPr>
        <w:widowControl/>
        <w:rPr>
          <w:b/>
        </w:rPr>
      </w:pP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3"/>
        <w:gridCol w:w="1390"/>
        <w:gridCol w:w="1390"/>
        <w:gridCol w:w="1390"/>
        <w:gridCol w:w="1390"/>
        <w:gridCol w:w="1390"/>
        <w:gridCol w:w="1390"/>
      </w:tblGrid>
      <w:tr w:rsidRPr="00235179" w:rsidR="007B071A" w:rsidTr="00620922">
        <w:trPr>
          <w:cantSplit/>
          <w:tblHeader/>
        </w:trPr>
        <w:tc>
          <w:tcPr>
            <w:tcW w:w="1587" w:type="dxa"/>
            <w:shd w:val="clear" w:color="auto" w:fill="auto"/>
            <w:vAlign w:val="bottom"/>
          </w:tcPr>
          <w:p w:rsidRPr="00235179" w:rsidR="00273E20" w:rsidP="005F3674" w:rsidRDefault="00273E20">
            <w:pPr>
              <w:widowControl/>
              <w:jc w:val="center"/>
              <w:rPr>
                <w:b/>
              </w:rPr>
            </w:pPr>
            <w:r w:rsidRPr="00235179">
              <w:rPr>
                <w:b/>
              </w:rPr>
              <w:t>A.</w:t>
            </w:r>
          </w:p>
          <w:p w:rsidRPr="00235179" w:rsidR="00273E20" w:rsidP="005F3674" w:rsidRDefault="00273E20">
            <w:pPr>
              <w:widowControl/>
              <w:jc w:val="center"/>
              <w:rPr>
                <w:b/>
              </w:rPr>
            </w:pPr>
            <w:r w:rsidRPr="00235179">
              <w:rPr>
                <w:b/>
              </w:rPr>
              <w:t>Type of Response</w:t>
            </w:r>
          </w:p>
        </w:tc>
        <w:tc>
          <w:tcPr>
            <w:tcW w:w="1283" w:type="dxa"/>
            <w:shd w:val="clear" w:color="auto" w:fill="auto"/>
            <w:vAlign w:val="bottom"/>
          </w:tcPr>
          <w:p w:rsidRPr="00235179" w:rsidR="00273E20" w:rsidP="005F3674" w:rsidRDefault="00273E20">
            <w:pPr>
              <w:widowControl/>
              <w:jc w:val="center"/>
              <w:rPr>
                <w:b/>
              </w:rPr>
            </w:pPr>
            <w:r w:rsidRPr="00235179">
              <w:rPr>
                <w:b/>
              </w:rPr>
              <w:t>B.</w:t>
            </w:r>
          </w:p>
          <w:p w:rsidRPr="00235179" w:rsidR="00273E20" w:rsidP="005F3674" w:rsidRDefault="00273E20">
            <w:pPr>
              <w:widowControl/>
              <w:jc w:val="center"/>
              <w:rPr>
                <w:b/>
              </w:rPr>
            </w:pPr>
            <w:r w:rsidRPr="00235179">
              <w:rPr>
                <w:b/>
              </w:rPr>
              <w:t xml:space="preserve">Requested </w:t>
            </w:r>
            <w:r w:rsidRPr="00235179" w:rsidR="007B071A">
              <w:rPr>
                <w:b/>
              </w:rPr>
              <w:t xml:space="preserve">Annualized </w:t>
            </w:r>
            <w:r w:rsidRPr="00235179">
              <w:rPr>
                <w:b/>
              </w:rPr>
              <w:t>Responses</w:t>
            </w:r>
          </w:p>
        </w:tc>
        <w:tc>
          <w:tcPr>
            <w:tcW w:w="0" w:type="auto"/>
            <w:shd w:val="clear" w:color="auto" w:fill="auto"/>
            <w:vAlign w:val="bottom"/>
          </w:tcPr>
          <w:p w:rsidRPr="00235179" w:rsidR="00273E20" w:rsidP="005F3674" w:rsidRDefault="00273E20">
            <w:pPr>
              <w:widowControl/>
              <w:jc w:val="center"/>
              <w:rPr>
                <w:b/>
              </w:rPr>
            </w:pPr>
            <w:r w:rsidRPr="00235179">
              <w:rPr>
                <w:b/>
              </w:rPr>
              <w:t>C.</w:t>
            </w:r>
          </w:p>
          <w:p w:rsidRPr="00235179" w:rsidR="00273E20" w:rsidP="005F3674" w:rsidRDefault="00273E20">
            <w:pPr>
              <w:widowControl/>
              <w:jc w:val="center"/>
              <w:rPr>
                <w:b/>
              </w:rPr>
            </w:pPr>
            <w:r w:rsidRPr="00235179">
              <w:rPr>
                <w:b/>
              </w:rPr>
              <w:t xml:space="preserve">Requested </w:t>
            </w:r>
            <w:r w:rsidRPr="00235179" w:rsidR="007B071A">
              <w:rPr>
                <w:b/>
              </w:rPr>
              <w:t xml:space="preserve">Annualized </w:t>
            </w:r>
            <w:r w:rsidRPr="00235179">
              <w:rPr>
                <w:b/>
              </w:rPr>
              <w:t>Hours</w:t>
            </w:r>
          </w:p>
        </w:tc>
        <w:tc>
          <w:tcPr>
            <w:tcW w:w="0" w:type="auto"/>
            <w:shd w:val="clear" w:color="auto" w:fill="auto"/>
            <w:vAlign w:val="bottom"/>
          </w:tcPr>
          <w:p w:rsidRPr="00235179" w:rsidR="00273E20" w:rsidP="005F3674" w:rsidRDefault="00273E20">
            <w:pPr>
              <w:widowControl/>
              <w:jc w:val="center"/>
              <w:rPr>
                <w:b/>
              </w:rPr>
            </w:pPr>
            <w:r w:rsidRPr="00235179">
              <w:rPr>
                <w:b/>
              </w:rPr>
              <w:t>D.</w:t>
            </w:r>
          </w:p>
          <w:p w:rsidRPr="00235179" w:rsidR="00273E20" w:rsidP="005F3674" w:rsidRDefault="00273E20">
            <w:pPr>
              <w:widowControl/>
              <w:jc w:val="center"/>
              <w:rPr>
                <w:b/>
              </w:rPr>
            </w:pPr>
            <w:r w:rsidRPr="00235179">
              <w:rPr>
                <w:b/>
              </w:rPr>
              <w:t xml:space="preserve">Previously Approved </w:t>
            </w:r>
            <w:r w:rsidRPr="00235179" w:rsidR="007B071A">
              <w:rPr>
                <w:b/>
              </w:rPr>
              <w:t xml:space="preserve">Annualized </w:t>
            </w:r>
            <w:r w:rsidRPr="00235179">
              <w:rPr>
                <w:b/>
              </w:rPr>
              <w:t>Responses</w:t>
            </w:r>
          </w:p>
        </w:tc>
        <w:tc>
          <w:tcPr>
            <w:tcW w:w="0" w:type="auto"/>
            <w:shd w:val="clear" w:color="auto" w:fill="auto"/>
            <w:vAlign w:val="bottom"/>
          </w:tcPr>
          <w:p w:rsidRPr="00235179" w:rsidR="00273E20" w:rsidP="005F3674" w:rsidRDefault="00273E20">
            <w:pPr>
              <w:widowControl/>
              <w:jc w:val="center"/>
              <w:rPr>
                <w:b/>
              </w:rPr>
            </w:pPr>
            <w:r w:rsidRPr="00235179">
              <w:rPr>
                <w:b/>
              </w:rPr>
              <w:t>E.</w:t>
            </w:r>
          </w:p>
          <w:p w:rsidRPr="00235179" w:rsidR="00273E20" w:rsidP="005F3674" w:rsidRDefault="00273E20">
            <w:pPr>
              <w:widowControl/>
              <w:jc w:val="center"/>
              <w:rPr>
                <w:b/>
              </w:rPr>
            </w:pPr>
            <w:r w:rsidRPr="00235179">
              <w:rPr>
                <w:b/>
              </w:rPr>
              <w:t xml:space="preserve">Previously Approved </w:t>
            </w:r>
            <w:r w:rsidRPr="00235179" w:rsidR="007B071A">
              <w:rPr>
                <w:b/>
              </w:rPr>
              <w:t xml:space="preserve">Annualized </w:t>
            </w:r>
            <w:r w:rsidRPr="00235179">
              <w:rPr>
                <w:b/>
              </w:rPr>
              <w:t>Hours</w:t>
            </w:r>
          </w:p>
        </w:tc>
        <w:tc>
          <w:tcPr>
            <w:tcW w:w="1454" w:type="dxa"/>
            <w:shd w:val="clear" w:color="auto" w:fill="auto"/>
            <w:vAlign w:val="bottom"/>
          </w:tcPr>
          <w:p w:rsidRPr="00235179" w:rsidR="00273E20" w:rsidP="005F3674" w:rsidRDefault="00273E20">
            <w:pPr>
              <w:widowControl/>
              <w:jc w:val="center"/>
              <w:rPr>
                <w:b/>
              </w:rPr>
            </w:pPr>
            <w:r w:rsidRPr="00235179">
              <w:rPr>
                <w:b/>
              </w:rPr>
              <w:t>F.</w:t>
            </w:r>
          </w:p>
          <w:p w:rsidRPr="00235179" w:rsidR="00273E20" w:rsidP="005F3674" w:rsidRDefault="00273E20">
            <w:pPr>
              <w:widowControl/>
              <w:jc w:val="center"/>
              <w:rPr>
                <w:b/>
              </w:rPr>
            </w:pPr>
            <w:r w:rsidRPr="00235179">
              <w:rPr>
                <w:b/>
              </w:rPr>
              <w:t xml:space="preserve">Net Change in </w:t>
            </w:r>
            <w:r w:rsidRPr="00235179" w:rsidR="007B071A">
              <w:rPr>
                <w:b/>
              </w:rPr>
              <w:t xml:space="preserve">Annualized </w:t>
            </w:r>
            <w:r w:rsidRPr="00235179">
              <w:rPr>
                <w:b/>
              </w:rPr>
              <w:t>Responses (Column B - Column D)</w:t>
            </w:r>
          </w:p>
        </w:tc>
        <w:tc>
          <w:tcPr>
            <w:tcW w:w="1359" w:type="dxa"/>
            <w:shd w:val="clear" w:color="auto" w:fill="auto"/>
          </w:tcPr>
          <w:p w:rsidRPr="00235179" w:rsidR="00273E20" w:rsidP="005F3674" w:rsidRDefault="00273E20">
            <w:pPr>
              <w:widowControl/>
              <w:jc w:val="center"/>
              <w:rPr>
                <w:b/>
              </w:rPr>
            </w:pPr>
            <w:r w:rsidRPr="00235179">
              <w:rPr>
                <w:b/>
              </w:rPr>
              <w:t>G.</w:t>
            </w:r>
          </w:p>
          <w:p w:rsidRPr="00235179" w:rsidR="00273E20" w:rsidP="005F3674" w:rsidRDefault="00273E20">
            <w:pPr>
              <w:widowControl/>
              <w:jc w:val="center"/>
              <w:rPr>
                <w:b/>
              </w:rPr>
            </w:pPr>
            <w:r w:rsidRPr="00235179">
              <w:rPr>
                <w:b/>
              </w:rPr>
              <w:t xml:space="preserve">Net Change in </w:t>
            </w:r>
            <w:r w:rsidRPr="00235179" w:rsidR="007B071A">
              <w:rPr>
                <w:b/>
              </w:rPr>
              <w:t xml:space="preserve">Annualized </w:t>
            </w:r>
            <w:r w:rsidRPr="00235179">
              <w:rPr>
                <w:b/>
              </w:rPr>
              <w:t>Hours</w:t>
            </w:r>
            <w:r w:rsidRPr="00235179" w:rsidR="007B071A">
              <w:rPr>
                <w:b/>
              </w:rPr>
              <w:t xml:space="preserve"> </w:t>
            </w:r>
            <w:r w:rsidRPr="00235179">
              <w:rPr>
                <w:b/>
              </w:rPr>
              <w:t xml:space="preserve">(Column C </w:t>
            </w:r>
            <w:r w:rsidRPr="00235179" w:rsidR="00D220AA">
              <w:rPr>
                <w:b/>
              </w:rPr>
              <w:t>-</w:t>
            </w:r>
            <w:r w:rsidRPr="00235179">
              <w:rPr>
                <w:b/>
              </w:rPr>
              <w:t xml:space="preserve"> Column E)</w:t>
            </w:r>
          </w:p>
        </w:tc>
      </w:tr>
      <w:tr w:rsidRPr="00235179" w:rsidR="007B071A" w:rsidTr="00620922">
        <w:trPr>
          <w:cantSplit/>
        </w:trPr>
        <w:tc>
          <w:tcPr>
            <w:tcW w:w="1587" w:type="dxa"/>
            <w:shd w:val="clear" w:color="auto" w:fill="auto"/>
          </w:tcPr>
          <w:p w:rsidRPr="00235179" w:rsidR="00273E20" w:rsidP="005F3674" w:rsidRDefault="00576E4C">
            <w:pPr>
              <w:widowControl/>
              <w:rPr>
                <w:bCs/>
              </w:rPr>
            </w:pPr>
            <w:r w:rsidRPr="00235179">
              <w:t>Self-</w:t>
            </w:r>
            <w:r w:rsidRPr="00235179" w:rsidR="00273E20">
              <w:t xml:space="preserve"> Assessment</w:t>
            </w:r>
            <w:r w:rsidRPr="00235179" w:rsidR="003023F8">
              <w:t>s</w:t>
            </w:r>
            <w:r w:rsidRPr="00235179" w:rsidR="00273E20">
              <w:t xml:space="preserve"> (ERO)</w:t>
            </w:r>
          </w:p>
        </w:tc>
        <w:tc>
          <w:tcPr>
            <w:tcW w:w="1283" w:type="dxa"/>
            <w:shd w:val="clear" w:color="auto" w:fill="auto"/>
            <w:vAlign w:val="bottom"/>
          </w:tcPr>
          <w:p w:rsidRPr="00235179" w:rsidR="00273E20" w:rsidP="005F3674" w:rsidRDefault="00273E20">
            <w:pPr>
              <w:widowControl/>
              <w:jc w:val="right"/>
              <w:rPr>
                <w:bCs/>
              </w:rPr>
            </w:pPr>
            <w:r w:rsidRPr="00235179">
              <w:rPr>
                <w:bCs/>
              </w:rPr>
              <w:t>0.33</w:t>
            </w:r>
            <w:r w:rsidRPr="00235179" w:rsidR="00A705D0">
              <w:rPr>
                <w:bCs/>
              </w:rPr>
              <w:t xml:space="preserve"> response</w:t>
            </w:r>
          </w:p>
        </w:tc>
        <w:tc>
          <w:tcPr>
            <w:tcW w:w="0" w:type="auto"/>
            <w:shd w:val="clear" w:color="auto" w:fill="auto"/>
            <w:vAlign w:val="bottom"/>
          </w:tcPr>
          <w:p w:rsidRPr="00235179" w:rsidR="00273E20" w:rsidP="005F3674" w:rsidRDefault="00273E20">
            <w:pPr>
              <w:widowControl/>
              <w:jc w:val="right"/>
              <w:rPr>
                <w:bCs/>
              </w:rPr>
            </w:pPr>
            <w:r w:rsidRPr="00235179">
              <w:t>1,373 h</w:t>
            </w:r>
            <w:r w:rsidRPr="00235179" w:rsidR="005A0AAF">
              <w:t>ours</w:t>
            </w:r>
          </w:p>
        </w:tc>
        <w:tc>
          <w:tcPr>
            <w:tcW w:w="0" w:type="auto"/>
            <w:shd w:val="clear" w:color="auto" w:fill="auto"/>
            <w:vAlign w:val="bottom"/>
          </w:tcPr>
          <w:p w:rsidRPr="00235179" w:rsidR="00273E20" w:rsidP="005F3674" w:rsidRDefault="00273E20">
            <w:pPr>
              <w:widowControl/>
              <w:jc w:val="right"/>
              <w:rPr>
                <w:bCs/>
              </w:rPr>
            </w:pPr>
            <w:r w:rsidRPr="00235179">
              <w:rPr>
                <w:bCs/>
              </w:rPr>
              <w:t>0.20</w:t>
            </w:r>
            <w:r w:rsidRPr="00235179" w:rsidR="000B0ED3">
              <w:rPr>
                <w:bCs/>
              </w:rPr>
              <w:t xml:space="preserve"> response</w:t>
            </w:r>
          </w:p>
        </w:tc>
        <w:tc>
          <w:tcPr>
            <w:tcW w:w="0" w:type="auto"/>
            <w:shd w:val="clear" w:color="auto" w:fill="auto"/>
            <w:vAlign w:val="bottom"/>
          </w:tcPr>
          <w:p w:rsidRPr="00235179" w:rsidR="00A57C6C" w:rsidP="005F3674" w:rsidRDefault="000B0ED3">
            <w:pPr>
              <w:widowControl/>
              <w:jc w:val="right"/>
              <w:rPr>
                <w:bCs/>
              </w:rPr>
            </w:pPr>
            <w:r w:rsidRPr="00235179">
              <w:rPr>
                <w:bCs/>
              </w:rPr>
              <w:t>832</w:t>
            </w:r>
          </w:p>
          <w:p w:rsidRPr="00235179" w:rsidR="00273E20" w:rsidP="005F3674" w:rsidRDefault="005A0AAF">
            <w:pPr>
              <w:widowControl/>
              <w:jc w:val="right"/>
              <w:rPr>
                <w:bCs/>
              </w:rPr>
            </w:pPr>
            <w:r w:rsidRPr="00235179">
              <w:rPr>
                <w:bCs/>
              </w:rPr>
              <w:t>hours</w:t>
            </w:r>
          </w:p>
        </w:tc>
        <w:tc>
          <w:tcPr>
            <w:tcW w:w="1454" w:type="dxa"/>
            <w:shd w:val="clear" w:color="auto" w:fill="auto"/>
            <w:vAlign w:val="bottom"/>
          </w:tcPr>
          <w:p w:rsidRPr="00235179" w:rsidR="00273E20" w:rsidP="005F3674" w:rsidRDefault="00A705D0">
            <w:pPr>
              <w:widowControl/>
              <w:jc w:val="right"/>
              <w:rPr>
                <w:bCs/>
              </w:rPr>
            </w:pPr>
            <w:r w:rsidRPr="00235179">
              <w:rPr>
                <w:bCs/>
              </w:rPr>
              <w:t>+ 1.3 response</w:t>
            </w:r>
          </w:p>
        </w:tc>
        <w:tc>
          <w:tcPr>
            <w:tcW w:w="1359" w:type="dxa"/>
            <w:shd w:val="clear" w:color="auto" w:fill="auto"/>
            <w:vAlign w:val="bottom"/>
          </w:tcPr>
          <w:p w:rsidRPr="00235179" w:rsidR="00273E20" w:rsidP="005F3674" w:rsidRDefault="00A705D0">
            <w:pPr>
              <w:widowControl/>
              <w:jc w:val="right"/>
              <w:rPr>
                <w:bCs/>
              </w:rPr>
            </w:pPr>
            <w:r w:rsidRPr="00235179">
              <w:rPr>
                <w:bCs/>
              </w:rPr>
              <w:t>+ 541 h</w:t>
            </w:r>
            <w:r w:rsidRPr="00235179" w:rsidR="005A0AAF">
              <w:rPr>
                <w:bCs/>
              </w:rPr>
              <w:t>ours</w:t>
            </w:r>
          </w:p>
        </w:tc>
      </w:tr>
      <w:tr w:rsidRPr="00235179" w:rsidR="007B071A" w:rsidTr="00620922">
        <w:trPr>
          <w:cantSplit/>
        </w:trPr>
        <w:tc>
          <w:tcPr>
            <w:tcW w:w="1587" w:type="dxa"/>
            <w:shd w:val="clear" w:color="auto" w:fill="auto"/>
          </w:tcPr>
          <w:p w:rsidRPr="00235179" w:rsidR="00273E20" w:rsidP="005F3674" w:rsidRDefault="00576E4C">
            <w:pPr>
              <w:widowControl/>
            </w:pPr>
            <w:r w:rsidRPr="00235179">
              <w:t>Self-</w:t>
            </w:r>
            <w:r w:rsidRPr="00235179" w:rsidR="00273E20">
              <w:t xml:space="preserve"> Assessment</w:t>
            </w:r>
            <w:r w:rsidRPr="00235179" w:rsidR="003023F8">
              <w:t>s</w:t>
            </w:r>
          </w:p>
          <w:p w:rsidRPr="00235179" w:rsidR="00273E20" w:rsidP="005F3674" w:rsidRDefault="00273E20">
            <w:pPr>
              <w:widowControl/>
              <w:rPr>
                <w:bCs/>
              </w:rPr>
            </w:pPr>
            <w:r w:rsidRPr="00235179">
              <w:rPr>
                <w:bCs/>
              </w:rPr>
              <w:t>(Regional Entities)</w:t>
            </w:r>
          </w:p>
        </w:tc>
        <w:tc>
          <w:tcPr>
            <w:tcW w:w="1283" w:type="dxa"/>
            <w:shd w:val="clear" w:color="auto" w:fill="auto"/>
            <w:vAlign w:val="bottom"/>
          </w:tcPr>
          <w:p w:rsidRPr="00235179" w:rsidR="00273E20" w:rsidP="005F3674" w:rsidRDefault="00273E20">
            <w:pPr>
              <w:widowControl/>
              <w:jc w:val="right"/>
              <w:rPr>
                <w:bCs/>
              </w:rPr>
            </w:pPr>
            <w:r w:rsidRPr="00235179">
              <w:rPr>
                <w:bCs/>
              </w:rPr>
              <w:t>1.98</w:t>
            </w:r>
            <w:r w:rsidRPr="00235179" w:rsidR="00A705D0">
              <w:rPr>
                <w:bCs/>
              </w:rPr>
              <w:t xml:space="preserve"> responses</w:t>
            </w:r>
          </w:p>
        </w:tc>
        <w:tc>
          <w:tcPr>
            <w:tcW w:w="0" w:type="auto"/>
            <w:shd w:val="clear" w:color="auto" w:fill="auto"/>
            <w:vAlign w:val="bottom"/>
          </w:tcPr>
          <w:p w:rsidRPr="00235179" w:rsidR="00273E20" w:rsidP="005F3674" w:rsidRDefault="00273E20">
            <w:pPr>
              <w:widowControl/>
              <w:jc w:val="right"/>
              <w:rPr>
                <w:bCs/>
              </w:rPr>
            </w:pPr>
            <w:r w:rsidRPr="00235179">
              <w:t xml:space="preserve">8,237 </w:t>
            </w:r>
            <w:r w:rsidRPr="00235179" w:rsidR="005A0AAF">
              <w:t>hours</w:t>
            </w:r>
          </w:p>
        </w:tc>
        <w:tc>
          <w:tcPr>
            <w:tcW w:w="0" w:type="auto"/>
            <w:shd w:val="clear" w:color="auto" w:fill="auto"/>
            <w:vAlign w:val="bottom"/>
          </w:tcPr>
          <w:p w:rsidRPr="00235179" w:rsidR="00273E20" w:rsidP="005F3674" w:rsidRDefault="000B0ED3">
            <w:pPr>
              <w:widowControl/>
              <w:jc w:val="right"/>
              <w:rPr>
                <w:bCs/>
              </w:rPr>
            </w:pPr>
            <w:r w:rsidRPr="00235179">
              <w:rPr>
                <w:bCs/>
              </w:rPr>
              <w:t>1.40 responses</w:t>
            </w:r>
          </w:p>
        </w:tc>
        <w:tc>
          <w:tcPr>
            <w:tcW w:w="0" w:type="auto"/>
            <w:shd w:val="clear" w:color="auto" w:fill="auto"/>
            <w:vAlign w:val="bottom"/>
          </w:tcPr>
          <w:p w:rsidRPr="00235179" w:rsidR="00273E20" w:rsidP="005F3674" w:rsidRDefault="000B0ED3">
            <w:pPr>
              <w:widowControl/>
              <w:jc w:val="right"/>
              <w:rPr>
                <w:bCs/>
              </w:rPr>
            </w:pPr>
            <w:r w:rsidRPr="00235179">
              <w:rPr>
                <w:bCs/>
              </w:rPr>
              <w:t>5,824 h</w:t>
            </w:r>
            <w:r w:rsidRPr="00235179" w:rsidR="005A0AAF">
              <w:rPr>
                <w:bCs/>
              </w:rPr>
              <w:t>ours</w:t>
            </w:r>
          </w:p>
        </w:tc>
        <w:tc>
          <w:tcPr>
            <w:tcW w:w="1454" w:type="dxa"/>
            <w:shd w:val="clear" w:color="auto" w:fill="auto"/>
            <w:vAlign w:val="bottom"/>
          </w:tcPr>
          <w:p w:rsidRPr="00235179" w:rsidR="00273E20" w:rsidP="005F3674" w:rsidRDefault="00A705D0">
            <w:pPr>
              <w:widowControl/>
              <w:jc w:val="right"/>
              <w:rPr>
                <w:bCs/>
              </w:rPr>
            </w:pPr>
            <w:r w:rsidRPr="00235179">
              <w:rPr>
                <w:bCs/>
              </w:rPr>
              <w:t>+ 0.58 response</w:t>
            </w:r>
          </w:p>
        </w:tc>
        <w:tc>
          <w:tcPr>
            <w:tcW w:w="1359" w:type="dxa"/>
            <w:shd w:val="clear" w:color="auto" w:fill="auto"/>
            <w:vAlign w:val="bottom"/>
          </w:tcPr>
          <w:p w:rsidRPr="00235179" w:rsidR="00273E20" w:rsidP="005F3674" w:rsidRDefault="00A705D0">
            <w:pPr>
              <w:widowControl/>
              <w:jc w:val="right"/>
              <w:rPr>
                <w:bCs/>
              </w:rPr>
            </w:pPr>
            <w:r w:rsidRPr="00235179">
              <w:rPr>
                <w:bCs/>
              </w:rPr>
              <w:t>+ 2,413 h</w:t>
            </w:r>
            <w:r w:rsidRPr="00235179" w:rsidR="005A0AAF">
              <w:rPr>
                <w:bCs/>
              </w:rPr>
              <w:t>ours</w:t>
            </w:r>
          </w:p>
        </w:tc>
      </w:tr>
      <w:tr w:rsidRPr="00235179" w:rsidR="007B071A" w:rsidTr="00465404">
        <w:trPr>
          <w:cantSplit/>
        </w:trPr>
        <w:tc>
          <w:tcPr>
            <w:tcW w:w="1587" w:type="dxa"/>
            <w:shd w:val="clear" w:color="auto" w:fill="auto"/>
            <w:vAlign w:val="center"/>
          </w:tcPr>
          <w:p w:rsidRPr="00235179" w:rsidR="00273E20" w:rsidP="005F3674" w:rsidRDefault="00273E20">
            <w:pPr>
              <w:widowControl/>
              <w:jc w:val="center"/>
              <w:rPr>
                <w:b/>
              </w:rPr>
            </w:pPr>
            <w:r w:rsidRPr="00235179">
              <w:rPr>
                <w:b/>
              </w:rPr>
              <w:t>Totals</w:t>
            </w:r>
          </w:p>
        </w:tc>
        <w:tc>
          <w:tcPr>
            <w:tcW w:w="1283" w:type="dxa"/>
            <w:shd w:val="clear" w:color="auto" w:fill="auto"/>
            <w:vAlign w:val="bottom"/>
          </w:tcPr>
          <w:p w:rsidRPr="00235179" w:rsidR="00273E20" w:rsidP="005F3674" w:rsidRDefault="00736EA3">
            <w:pPr>
              <w:widowControl/>
              <w:jc w:val="right"/>
              <w:rPr>
                <w:bCs/>
              </w:rPr>
            </w:pPr>
            <w:r w:rsidRPr="00235179">
              <w:rPr>
                <w:bCs/>
              </w:rPr>
              <w:t>2.31</w:t>
            </w:r>
            <w:r w:rsidRPr="00235179" w:rsidR="00A705D0">
              <w:rPr>
                <w:bCs/>
              </w:rPr>
              <w:t xml:space="preserve"> responses</w:t>
            </w:r>
          </w:p>
        </w:tc>
        <w:tc>
          <w:tcPr>
            <w:tcW w:w="0" w:type="auto"/>
            <w:shd w:val="clear" w:color="auto" w:fill="auto"/>
            <w:vAlign w:val="bottom"/>
          </w:tcPr>
          <w:p w:rsidRPr="00235179" w:rsidR="00273E20" w:rsidP="005F3674" w:rsidRDefault="0076681F">
            <w:pPr>
              <w:widowControl/>
              <w:jc w:val="right"/>
              <w:rPr>
                <w:bCs/>
              </w:rPr>
            </w:pPr>
            <w:r w:rsidRPr="00235179">
              <w:rPr>
                <w:bCs/>
              </w:rPr>
              <w:t>9</w:t>
            </w:r>
            <w:r w:rsidRPr="00235179" w:rsidR="00A83936">
              <w:rPr>
                <w:bCs/>
              </w:rPr>
              <w:t>,</w:t>
            </w:r>
            <w:r w:rsidRPr="00235179">
              <w:rPr>
                <w:bCs/>
              </w:rPr>
              <w:t>610 h</w:t>
            </w:r>
            <w:r w:rsidRPr="00235179" w:rsidR="0025725C">
              <w:rPr>
                <w:bCs/>
              </w:rPr>
              <w:t>ours</w:t>
            </w:r>
          </w:p>
        </w:tc>
        <w:tc>
          <w:tcPr>
            <w:tcW w:w="0" w:type="auto"/>
            <w:shd w:val="clear" w:color="auto" w:fill="auto"/>
            <w:vAlign w:val="bottom"/>
          </w:tcPr>
          <w:p w:rsidRPr="00235179" w:rsidR="00273E20" w:rsidP="005F3674" w:rsidRDefault="00A705D0">
            <w:pPr>
              <w:widowControl/>
              <w:jc w:val="right"/>
              <w:rPr>
                <w:bCs/>
              </w:rPr>
            </w:pPr>
            <w:r w:rsidRPr="00235179">
              <w:rPr>
                <w:bCs/>
              </w:rPr>
              <w:t>1.60 responses</w:t>
            </w:r>
          </w:p>
        </w:tc>
        <w:tc>
          <w:tcPr>
            <w:tcW w:w="0" w:type="auto"/>
            <w:shd w:val="clear" w:color="auto" w:fill="auto"/>
            <w:vAlign w:val="bottom"/>
          </w:tcPr>
          <w:p w:rsidRPr="00235179" w:rsidR="00273E20" w:rsidP="005F3674" w:rsidRDefault="00A705D0">
            <w:pPr>
              <w:widowControl/>
              <w:jc w:val="right"/>
              <w:rPr>
                <w:bCs/>
              </w:rPr>
            </w:pPr>
            <w:r w:rsidRPr="00235179">
              <w:rPr>
                <w:bCs/>
              </w:rPr>
              <w:t>6,654 hours</w:t>
            </w:r>
          </w:p>
        </w:tc>
        <w:tc>
          <w:tcPr>
            <w:tcW w:w="1454" w:type="dxa"/>
            <w:shd w:val="clear" w:color="auto" w:fill="auto"/>
            <w:vAlign w:val="bottom"/>
          </w:tcPr>
          <w:p w:rsidRPr="00235179" w:rsidR="00273E20" w:rsidP="005F3674" w:rsidRDefault="00A64266">
            <w:pPr>
              <w:widowControl/>
              <w:jc w:val="right"/>
              <w:rPr>
                <w:bCs/>
              </w:rPr>
            </w:pPr>
            <w:r w:rsidRPr="00235179">
              <w:rPr>
                <w:bCs/>
              </w:rPr>
              <w:t>+ 0.71</w:t>
            </w:r>
            <w:r w:rsidRPr="00235179" w:rsidR="005A0AAF">
              <w:rPr>
                <w:bCs/>
              </w:rPr>
              <w:t xml:space="preserve"> responses</w:t>
            </w:r>
          </w:p>
        </w:tc>
        <w:tc>
          <w:tcPr>
            <w:tcW w:w="1359" w:type="dxa"/>
            <w:shd w:val="clear" w:color="auto" w:fill="auto"/>
            <w:vAlign w:val="bottom"/>
          </w:tcPr>
          <w:p w:rsidRPr="00235179" w:rsidR="00273E20" w:rsidP="005F3674" w:rsidRDefault="005A0AAF">
            <w:pPr>
              <w:widowControl/>
              <w:jc w:val="right"/>
              <w:rPr>
                <w:bCs/>
              </w:rPr>
            </w:pPr>
            <w:r w:rsidRPr="00235179">
              <w:rPr>
                <w:bCs/>
              </w:rPr>
              <w:t>+ 2,956 hours</w:t>
            </w:r>
          </w:p>
        </w:tc>
      </w:tr>
    </w:tbl>
    <w:p w:rsidRPr="00235179" w:rsidR="00071409" w:rsidP="005F3674" w:rsidRDefault="00071409">
      <w:pPr>
        <w:widowControl/>
        <w:rPr>
          <w:bCs/>
        </w:rPr>
      </w:pPr>
    </w:p>
    <w:p w:rsidRPr="00235179" w:rsidR="00593539" w:rsidP="005F3674" w:rsidRDefault="0006099D">
      <w:pPr>
        <w:widowControl/>
      </w:pPr>
      <w:r w:rsidRPr="00235179">
        <w:t>The impacts on FERC-725 (excluding the changes in self-</w:t>
      </w:r>
      <w:r w:rsidRPr="00235179" w:rsidR="003E7DE0">
        <w:t>assessments</w:t>
      </w:r>
      <w:r w:rsidRPr="00235179">
        <w:t>) as a result of adjusting the number of Regional Entities are itemized below in Table 15-2.</w:t>
      </w:r>
    </w:p>
    <w:p w:rsidRPr="00235179" w:rsidR="0006099D" w:rsidP="005F3674" w:rsidRDefault="00593539">
      <w:pPr>
        <w:widowControl/>
      </w:pPr>
      <w:r w:rsidRPr="00235179">
        <w:br w:type="page"/>
      </w:r>
    </w:p>
    <w:p w:rsidRPr="00235179" w:rsidR="0006099D" w:rsidP="005F3674" w:rsidRDefault="0006099D">
      <w:pPr>
        <w:widowControl/>
        <w:jc w:val="center"/>
        <w:rPr>
          <w:b/>
          <w:bCs/>
        </w:rPr>
      </w:pPr>
    </w:p>
    <w:p w:rsidRPr="00235179" w:rsidR="0006099D" w:rsidP="005F3674" w:rsidRDefault="0006099D">
      <w:pPr>
        <w:widowControl/>
        <w:jc w:val="center"/>
        <w:rPr>
          <w:b/>
          <w:bCs/>
        </w:rPr>
      </w:pPr>
      <w:r w:rsidRPr="00235179">
        <w:rPr>
          <w:b/>
          <w:bCs/>
        </w:rPr>
        <w:t>Table 15-2</w:t>
      </w:r>
    </w:p>
    <w:p w:rsidRPr="00235179" w:rsidR="0006099D" w:rsidP="005F3674" w:rsidRDefault="0006099D">
      <w:pPr>
        <w:widowControl/>
        <w:jc w:val="center"/>
        <w:rPr>
          <w:b/>
          <w:bCs/>
        </w:rPr>
      </w:pPr>
      <w:r w:rsidRPr="00235179">
        <w:rPr>
          <w:b/>
          <w:bCs/>
        </w:rPr>
        <w:t>Annualized Burden Changes in FERC-725 for Regional Entities (Excluding Self-Assessment</w:t>
      </w:r>
      <w:r w:rsidRPr="00235179" w:rsidR="00593539">
        <w:rPr>
          <w:b/>
          <w:bCs/>
        </w:rPr>
        <w:t>s</w:t>
      </w:r>
      <w:r w:rsidRPr="00235179">
        <w:rPr>
          <w:b/>
          <w:bCs/>
        </w:rPr>
        <w:t>) as a Result of Adjustments</w:t>
      </w:r>
    </w:p>
    <w:p w:rsidRPr="00235179" w:rsidR="0006099D" w:rsidP="005F3674" w:rsidRDefault="0006099D">
      <w:pPr>
        <w:widowControl/>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21"/>
        <w:gridCol w:w="1219"/>
        <w:gridCol w:w="1218"/>
        <w:gridCol w:w="1218"/>
        <w:gridCol w:w="1218"/>
        <w:gridCol w:w="1218"/>
        <w:gridCol w:w="1218"/>
      </w:tblGrid>
      <w:tr w:rsidRPr="00235179" w:rsidR="0006099D" w:rsidTr="00731F10">
        <w:tc>
          <w:tcPr>
            <w:tcW w:w="0" w:type="auto"/>
            <w:shd w:val="clear" w:color="auto" w:fill="auto"/>
            <w:vAlign w:val="bottom"/>
          </w:tcPr>
          <w:p w:rsidRPr="00235179" w:rsidR="0006099D" w:rsidP="005F3674" w:rsidRDefault="0006099D">
            <w:pPr>
              <w:widowControl/>
              <w:jc w:val="center"/>
              <w:rPr>
                <w:b/>
              </w:rPr>
            </w:pPr>
            <w:r w:rsidRPr="00235179">
              <w:rPr>
                <w:b/>
              </w:rPr>
              <w:t>A.</w:t>
            </w:r>
          </w:p>
          <w:p w:rsidRPr="00235179" w:rsidR="0006099D" w:rsidP="005F3674" w:rsidRDefault="0006099D">
            <w:pPr>
              <w:widowControl/>
              <w:jc w:val="center"/>
              <w:rPr>
                <w:b/>
              </w:rPr>
            </w:pPr>
            <w:r w:rsidRPr="00235179">
              <w:rPr>
                <w:b/>
              </w:rPr>
              <w:t>Type of Response</w:t>
            </w:r>
          </w:p>
        </w:tc>
        <w:tc>
          <w:tcPr>
            <w:tcW w:w="0" w:type="auto"/>
            <w:shd w:val="clear" w:color="auto" w:fill="auto"/>
            <w:vAlign w:val="bottom"/>
          </w:tcPr>
          <w:p w:rsidRPr="00235179" w:rsidR="0006099D" w:rsidP="005F3674" w:rsidRDefault="0006099D">
            <w:pPr>
              <w:widowControl/>
              <w:jc w:val="center"/>
              <w:rPr>
                <w:b/>
              </w:rPr>
            </w:pPr>
            <w:r w:rsidRPr="00235179">
              <w:rPr>
                <w:b/>
              </w:rPr>
              <w:t>B.</w:t>
            </w:r>
          </w:p>
          <w:p w:rsidRPr="00235179" w:rsidR="0006099D" w:rsidP="005F3674" w:rsidRDefault="0006099D">
            <w:pPr>
              <w:widowControl/>
              <w:jc w:val="center"/>
              <w:rPr>
                <w:b/>
              </w:rPr>
            </w:pPr>
            <w:r w:rsidRPr="00235179">
              <w:rPr>
                <w:b/>
              </w:rPr>
              <w:t>Requested Annualized Responses</w:t>
            </w:r>
          </w:p>
        </w:tc>
        <w:tc>
          <w:tcPr>
            <w:tcW w:w="0" w:type="auto"/>
            <w:shd w:val="clear" w:color="auto" w:fill="auto"/>
            <w:vAlign w:val="bottom"/>
          </w:tcPr>
          <w:p w:rsidRPr="00235179" w:rsidR="0006099D" w:rsidP="005F3674" w:rsidRDefault="0006099D">
            <w:pPr>
              <w:widowControl/>
              <w:jc w:val="center"/>
              <w:rPr>
                <w:b/>
              </w:rPr>
            </w:pPr>
            <w:r w:rsidRPr="00235179">
              <w:rPr>
                <w:b/>
              </w:rPr>
              <w:t>C.</w:t>
            </w:r>
          </w:p>
          <w:p w:rsidRPr="00235179" w:rsidR="0006099D" w:rsidP="005F3674" w:rsidRDefault="0006099D">
            <w:pPr>
              <w:widowControl/>
              <w:jc w:val="center"/>
              <w:rPr>
                <w:b/>
              </w:rPr>
            </w:pPr>
            <w:r w:rsidRPr="00235179">
              <w:rPr>
                <w:b/>
              </w:rPr>
              <w:t>Requested Annualized Hours</w:t>
            </w:r>
          </w:p>
        </w:tc>
        <w:tc>
          <w:tcPr>
            <w:tcW w:w="0" w:type="auto"/>
            <w:shd w:val="clear" w:color="auto" w:fill="auto"/>
            <w:vAlign w:val="bottom"/>
          </w:tcPr>
          <w:p w:rsidRPr="00235179" w:rsidR="0006099D" w:rsidP="005F3674" w:rsidRDefault="0006099D">
            <w:pPr>
              <w:widowControl/>
              <w:jc w:val="center"/>
              <w:rPr>
                <w:b/>
              </w:rPr>
            </w:pPr>
            <w:r w:rsidRPr="00235179">
              <w:rPr>
                <w:b/>
              </w:rPr>
              <w:t>D.</w:t>
            </w:r>
          </w:p>
          <w:p w:rsidRPr="00235179" w:rsidR="0006099D" w:rsidP="005F3674" w:rsidRDefault="0006099D">
            <w:pPr>
              <w:widowControl/>
              <w:jc w:val="center"/>
              <w:rPr>
                <w:b/>
              </w:rPr>
            </w:pPr>
            <w:r w:rsidRPr="00235179">
              <w:rPr>
                <w:b/>
              </w:rPr>
              <w:t>Previously Approved Annualized Responses</w:t>
            </w:r>
          </w:p>
        </w:tc>
        <w:tc>
          <w:tcPr>
            <w:tcW w:w="0" w:type="auto"/>
            <w:shd w:val="clear" w:color="auto" w:fill="auto"/>
            <w:vAlign w:val="bottom"/>
          </w:tcPr>
          <w:p w:rsidRPr="00235179" w:rsidR="0006099D" w:rsidP="005F3674" w:rsidRDefault="0006099D">
            <w:pPr>
              <w:widowControl/>
              <w:jc w:val="center"/>
              <w:rPr>
                <w:b/>
              </w:rPr>
            </w:pPr>
            <w:r w:rsidRPr="00235179">
              <w:rPr>
                <w:b/>
              </w:rPr>
              <w:t>E.</w:t>
            </w:r>
          </w:p>
          <w:p w:rsidRPr="00235179" w:rsidR="0006099D" w:rsidP="005F3674" w:rsidRDefault="0006099D">
            <w:pPr>
              <w:widowControl/>
              <w:jc w:val="center"/>
              <w:rPr>
                <w:b/>
              </w:rPr>
            </w:pPr>
            <w:r w:rsidRPr="00235179">
              <w:rPr>
                <w:b/>
              </w:rPr>
              <w:t>Previously Approved Annualized Hours</w:t>
            </w:r>
          </w:p>
        </w:tc>
        <w:tc>
          <w:tcPr>
            <w:tcW w:w="0" w:type="auto"/>
            <w:shd w:val="clear" w:color="auto" w:fill="auto"/>
            <w:vAlign w:val="bottom"/>
          </w:tcPr>
          <w:p w:rsidRPr="00235179" w:rsidR="0006099D" w:rsidP="005F3674" w:rsidRDefault="0006099D">
            <w:pPr>
              <w:widowControl/>
              <w:jc w:val="center"/>
              <w:rPr>
                <w:b/>
              </w:rPr>
            </w:pPr>
            <w:r w:rsidRPr="00235179">
              <w:rPr>
                <w:b/>
              </w:rPr>
              <w:t>F.</w:t>
            </w:r>
          </w:p>
          <w:p w:rsidRPr="00235179" w:rsidR="0006099D" w:rsidP="005F3674" w:rsidRDefault="0006099D">
            <w:pPr>
              <w:widowControl/>
              <w:jc w:val="center"/>
              <w:rPr>
                <w:b/>
              </w:rPr>
            </w:pPr>
            <w:r w:rsidRPr="00235179">
              <w:rPr>
                <w:b/>
              </w:rPr>
              <w:t>Net Change in Annualized Responses (Column B - Column D)</w:t>
            </w:r>
          </w:p>
        </w:tc>
        <w:tc>
          <w:tcPr>
            <w:tcW w:w="0" w:type="auto"/>
            <w:shd w:val="clear" w:color="auto" w:fill="auto"/>
          </w:tcPr>
          <w:p w:rsidRPr="00235179" w:rsidR="0006099D" w:rsidP="005F3674" w:rsidRDefault="0006099D">
            <w:pPr>
              <w:widowControl/>
              <w:jc w:val="center"/>
              <w:rPr>
                <w:b/>
              </w:rPr>
            </w:pPr>
            <w:r w:rsidRPr="00235179">
              <w:rPr>
                <w:b/>
              </w:rPr>
              <w:t>G.</w:t>
            </w:r>
          </w:p>
          <w:p w:rsidRPr="00235179" w:rsidR="0006099D" w:rsidP="005F3674" w:rsidRDefault="0006099D">
            <w:pPr>
              <w:widowControl/>
              <w:jc w:val="center"/>
              <w:rPr>
                <w:b/>
              </w:rPr>
            </w:pPr>
            <w:r w:rsidRPr="00235179">
              <w:rPr>
                <w:b/>
              </w:rPr>
              <w:t>Net Change in Annualized Hours (Column C - Column E)</w:t>
            </w:r>
          </w:p>
        </w:tc>
      </w:tr>
      <w:tr w:rsidRPr="00235179" w:rsidR="005678E3" w:rsidTr="00731F10">
        <w:tc>
          <w:tcPr>
            <w:tcW w:w="0" w:type="auto"/>
            <w:shd w:val="clear" w:color="auto" w:fill="auto"/>
            <w:vAlign w:val="center"/>
          </w:tcPr>
          <w:p w:rsidRPr="00235179" w:rsidR="005678E3" w:rsidP="005F3674" w:rsidRDefault="005678E3">
            <w:pPr>
              <w:widowControl/>
              <w:jc w:val="center"/>
              <w:rPr>
                <w:bCs/>
              </w:rPr>
            </w:pPr>
            <w:r w:rsidRPr="00235179">
              <w:rPr>
                <w:bCs/>
              </w:rPr>
              <w:t>Reliability Assessments</w:t>
            </w:r>
          </w:p>
          <w:p w:rsidRPr="00235179" w:rsidR="005678E3" w:rsidP="005F3674" w:rsidRDefault="005678E3">
            <w:pPr>
              <w:widowControl/>
              <w:jc w:val="center"/>
              <w:rPr>
                <w:bCs/>
              </w:rPr>
            </w:pPr>
            <w:r w:rsidRPr="00235179">
              <w:rPr>
                <w:bCs/>
              </w:rPr>
              <w:t>(Regional Entities)</w:t>
            </w:r>
          </w:p>
        </w:tc>
        <w:tc>
          <w:tcPr>
            <w:tcW w:w="0" w:type="auto"/>
            <w:shd w:val="clear" w:color="auto" w:fill="auto"/>
            <w:vAlign w:val="bottom"/>
          </w:tcPr>
          <w:p w:rsidRPr="00235179" w:rsidR="005678E3" w:rsidP="005F3674" w:rsidRDefault="005678E3">
            <w:pPr>
              <w:widowControl/>
              <w:jc w:val="right"/>
            </w:pPr>
            <w:r w:rsidRPr="00235179">
              <w:t>6 responses</w:t>
            </w:r>
          </w:p>
        </w:tc>
        <w:tc>
          <w:tcPr>
            <w:tcW w:w="0" w:type="auto"/>
            <w:shd w:val="clear" w:color="auto" w:fill="auto"/>
            <w:vAlign w:val="bottom"/>
          </w:tcPr>
          <w:p w:rsidRPr="00235179" w:rsidR="005678E3" w:rsidP="005F3674" w:rsidRDefault="00E33C12">
            <w:pPr>
              <w:widowControl/>
              <w:jc w:val="center"/>
            </w:pPr>
            <w:r w:rsidRPr="00235179">
              <w:t>93,600 hours</w:t>
            </w:r>
          </w:p>
          <w:p w:rsidRPr="00235179" w:rsidR="007D6CE9" w:rsidP="005F3674" w:rsidRDefault="007D6CE9">
            <w:pPr>
              <w:widowControl/>
              <w:jc w:val="center"/>
            </w:pPr>
            <w:r w:rsidRPr="00235179">
              <w:t>(15,600 hours per response)</w:t>
            </w:r>
          </w:p>
        </w:tc>
        <w:tc>
          <w:tcPr>
            <w:tcW w:w="0" w:type="auto"/>
            <w:shd w:val="clear" w:color="auto" w:fill="auto"/>
            <w:vAlign w:val="bottom"/>
          </w:tcPr>
          <w:p w:rsidRPr="00235179" w:rsidR="005678E3" w:rsidP="005F3674" w:rsidRDefault="005678E3">
            <w:pPr>
              <w:widowControl/>
              <w:jc w:val="right"/>
            </w:pPr>
            <w:r w:rsidRPr="00235179">
              <w:t>7 responses</w:t>
            </w:r>
          </w:p>
        </w:tc>
        <w:tc>
          <w:tcPr>
            <w:tcW w:w="0" w:type="auto"/>
            <w:shd w:val="clear" w:color="auto" w:fill="auto"/>
            <w:vAlign w:val="bottom"/>
          </w:tcPr>
          <w:p w:rsidRPr="00235179" w:rsidR="005678E3" w:rsidP="005F3674" w:rsidRDefault="005678E3">
            <w:pPr>
              <w:widowControl/>
              <w:jc w:val="right"/>
            </w:pPr>
            <w:r w:rsidRPr="00235179">
              <w:t>109,200 hours</w:t>
            </w:r>
          </w:p>
          <w:p w:rsidRPr="00235179" w:rsidR="00993F8C" w:rsidP="005F3674" w:rsidRDefault="00993F8C">
            <w:pPr>
              <w:widowControl/>
              <w:jc w:val="right"/>
            </w:pPr>
            <w:r w:rsidRPr="00235179">
              <w:t>(15,600 hours per response)</w:t>
            </w:r>
          </w:p>
        </w:tc>
        <w:tc>
          <w:tcPr>
            <w:tcW w:w="0" w:type="auto"/>
            <w:shd w:val="clear" w:color="auto" w:fill="auto"/>
            <w:vAlign w:val="bottom"/>
          </w:tcPr>
          <w:p w:rsidRPr="00235179" w:rsidR="005678E3" w:rsidP="005F3674" w:rsidRDefault="00465404">
            <w:pPr>
              <w:widowControl/>
              <w:jc w:val="right"/>
            </w:pPr>
            <w:r w:rsidRPr="00235179">
              <w:t>‒ 1 response</w:t>
            </w:r>
          </w:p>
        </w:tc>
        <w:tc>
          <w:tcPr>
            <w:tcW w:w="0" w:type="auto"/>
            <w:shd w:val="clear" w:color="auto" w:fill="auto"/>
            <w:vAlign w:val="bottom"/>
          </w:tcPr>
          <w:p w:rsidRPr="00235179" w:rsidR="005678E3" w:rsidP="005F3674" w:rsidRDefault="00731F10">
            <w:pPr>
              <w:widowControl/>
              <w:jc w:val="right"/>
            </w:pPr>
            <w:r w:rsidRPr="00235179">
              <w:t>‒ 15,600</w:t>
            </w:r>
            <w:r w:rsidRPr="00235179" w:rsidR="005678E3">
              <w:t xml:space="preserve"> hours</w:t>
            </w:r>
          </w:p>
        </w:tc>
      </w:tr>
      <w:tr w:rsidRPr="00235179" w:rsidR="005678E3" w:rsidTr="00731F10">
        <w:tc>
          <w:tcPr>
            <w:tcW w:w="0" w:type="auto"/>
            <w:shd w:val="clear" w:color="auto" w:fill="auto"/>
            <w:vAlign w:val="center"/>
          </w:tcPr>
          <w:p w:rsidRPr="00235179" w:rsidR="005678E3" w:rsidP="005F3674" w:rsidRDefault="005678E3">
            <w:pPr>
              <w:widowControl/>
              <w:jc w:val="center"/>
            </w:pPr>
            <w:r w:rsidRPr="00235179">
              <w:t>Reliability Compliance (Regional Entities)</w:t>
            </w:r>
          </w:p>
        </w:tc>
        <w:tc>
          <w:tcPr>
            <w:tcW w:w="0" w:type="auto"/>
            <w:shd w:val="clear" w:color="auto" w:fill="auto"/>
            <w:vAlign w:val="bottom"/>
          </w:tcPr>
          <w:p w:rsidRPr="00235179" w:rsidR="005678E3" w:rsidP="005F3674" w:rsidRDefault="005678E3">
            <w:pPr>
              <w:widowControl/>
              <w:jc w:val="right"/>
            </w:pPr>
            <w:r w:rsidRPr="00235179">
              <w:t>6 responses</w:t>
            </w:r>
          </w:p>
        </w:tc>
        <w:tc>
          <w:tcPr>
            <w:tcW w:w="0" w:type="auto"/>
            <w:shd w:val="clear" w:color="auto" w:fill="auto"/>
            <w:vAlign w:val="bottom"/>
          </w:tcPr>
          <w:p w:rsidRPr="00235179" w:rsidR="005678E3" w:rsidP="005F3674" w:rsidRDefault="006A73C1">
            <w:pPr>
              <w:widowControl/>
              <w:jc w:val="right"/>
            </w:pPr>
            <w:r w:rsidRPr="00235179">
              <w:t>224,640 hours (</w:t>
            </w:r>
            <w:r w:rsidRPr="00235179" w:rsidR="0029028A">
              <w:t xml:space="preserve">37,440 hours </w:t>
            </w:r>
            <w:r w:rsidRPr="00235179" w:rsidR="003E7DE0">
              <w:t>p</w:t>
            </w:r>
            <w:r w:rsidRPr="00235179" w:rsidR="0029028A">
              <w:t>er response)</w:t>
            </w:r>
          </w:p>
        </w:tc>
        <w:tc>
          <w:tcPr>
            <w:tcW w:w="0" w:type="auto"/>
            <w:shd w:val="clear" w:color="auto" w:fill="auto"/>
            <w:vAlign w:val="bottom"/>
          </w:tcPr>
          <w:p w:rsidRPr="00235179" w:rsidR="005678E3" w:rsidP="005F3674" w:rsidRDefault="005678E3">
            <w:pPr>
              <w:widowControl/>
              <w:jc w:val="right"/>
            </w:pPr>
            <w:r w:rsidRPr="00235179">
              <w:t>7 responses</w:t>
            </w:r>
          </w:p>
        </w:tc>
        <w:tc>
          <w:tcPr>
            <w:tcW w:w="0" w:type="auto"/>
            <w:shd w:val="clear" w:color="auto" w:fill="auto"/>
            <w:vAlign w:val="bottom"/>
          </w:tcPr>
          <w:p w:rsidRPr="00235179" w:rsidR="005678E3" w:rsidP="005F3674" w:rsidRDefault="005678E3">
            <w:pPr>
              <w:widowControl/>
              <w:jc w:val="right"/>
            </w:pPr>
            <w:r w:rsidRPr="00235179">
              <w:t>262,080 hours</w:t>
            </w:r>
          </w:p>
          <w:p w:rsidRPr="00235179" w:rsidR="0029028A" w:rsidP="005F3674" w:rsidRDefault="0029028A">
            <w:pPr>
              <w:widowControl/>
              <w:jc w:val="right"/>
            </w:pPr>
            <w:r w:rsidRPr="00235179">
              <w:t>(37,440 hours per response)</w:t>
            </w:r>
          </w:p>
        </w:tc>
        <w:tc>
          <w:tcPr>
            <w:tcW w:w="0" w:type="auto"/>
            <w:shd w:val="clear" w:color="auto" w:fill="auto"/>
            <w:vAlign w:val="bottom"/>
          </w:tcPr>
          <w:p w:rsidRPr="00235179" w:rsidR="005678E3" w:rsidP="005F3674" w:rsidRDefault="00465404">
            <w:pPr>
              <w:widowControl/>
              <w:jc w:val="right"/>
            </w:pPr>
            <w:r w:rsidRPr="00235179">
              <w:t>‒ 1 response</w:t>
            </w:r>
          </w:p>
        </w:tc>
        <w:tc>
          <w:tcPr>
            <w:tcW w:w="0" w:type="auto"/>
            <w:shd w:val="clear" w:color="auto" w:fill="auto"/>
            <w:vAlign w:val="bottom"/>
          </w:tcPr>
          <w:p w:rsidRPr="00235179" w:rsidR="005678E3" w:rsidP="005F3674" w:rsidRDefault="00731F10">
            <w:pPr>
              <w:widowControl/>
              <w:jc w:val="right"/>
            </w:pPr>
            <w:r w:rsidRPr="00235179">
              <w:t>‒ 37,440</w:t>
            </w:r>
            <w:r w:rsidRPr="00235179" w:rsidR="0047177E">
              <w:t xml:space="preserve"> </w:t>
            </w:r>
            <w:r w:rsidRPr="00235179" w:rsidR="005678E3">
              <w:t>hours</w:t>
            </w:r>
          </w:p>
        </w:tc>
      </w:tr>
      <w:tr w:rsidRPr="00235179" w:rsidR="005678E3" w:rsidTr="00731F10">
        <w:tc>
          <w:tcPr>
            <w:tcW w:w="0" w:type="auto"/>
            <w:shd w:val="clear" w:color="auto" w:fill="auto"/>
            <w:vAlign w:val="center"/>
          </w:tcPr>
          <w:p w:rsidRPr="00235179" w:rsidR="005678E3" w:rsidP="005F3674" w:rsidRDefault="005678E3">
            <w:pPr>
              <w:widowControl/>
              <w:jc w:val="center"/>
            </w:pPr>
            <w:r w:rsidRPr="00235179">
              <w:t>Standards Development</w:t>
            </w:r>
          </w:p>
          <w:p w:rsidRPr="00235179" w:rsidR="005678E3" w:rsidP="005F3674" w:rsidRDefault="005678E3">
            <w:pPr>
              <w:widowControl/>
              <w:jc w:val="center"/>
            </w:pPr>
            <w:r w:rsidRPr="00235179">
              <w:t>(Regional Entities)</w:t>
            </w:r>
          </w:p>
        </w:tc>
        <w:tc>
          <w:tcPr>
            <w:tcW w:w="0" w:type="auto"/>
            <w:shd w:val="clear" w:color="auto" w:fill="auto"/>
            <w:vAlign w:val="bottom"/>
          </w:tcPr>
          <w:p w:rsidRPr="00235179" w:rsidR="005678E3" w:rsidP="005F3674" w:rsidRDefault="005678E3">
            <w:pPr>
              <w:widowControl/>
              <w:jc w:val="right"/>
            </w:pPr>
            <w:r w:rsidRPr="00235179">
              <w:t>6 responses</w:t>
            </w:r>
          </w:p>
        </w:tc>
        <w:tc>
          <w:tcPr>
            <w:tcW w:w="0" w:type="auto"/>
            <w:shd w:val="clear" w:color="auto" w:fill="auto"/>
            <w:vAlign w:val="bottom"/>
          </w:tcPr>
          <w:p w:rsidRPr="00235179" w:rsidR="005678E3" w:rsidP="005F3674" w:rsidRDefault="00B57A7A">
            <w:pPr>
              <w:widowControl/>
              <w:jc w:val="right"/>
            </w:pPr>
            <w:r w:rsidRPr="00235179">
              <w:t>14,040 hours per response (</w:t>
            </w:r>
            <w:r w:rsidRPr="00235179" w:rsidR="007F170A">
              <w:t>2,340 hours per response)</w:t>
            </w:r>
          </w:p>
        </w:tc>
        <w:tc>
          <w:tcPr>
            <w:tcW w:w="0" w:type="auto"/>
            <w:shd w:val="clear" w:color="auto" w:fill="auto"/>
            <w:vAlign w:val="bottom"/>
          </w:tcPr>
          <w:p w:rsidRPr="00235179" w:rsidR="005678E3" w:rsidP="005F3674" w:rsidRDefault="005678E3">
            <w:pPr>
              <w:widowControl/>
              <w:jc w:val="right"/>
            </w:pPr>
            <w:r w:rsidRPr="00235179">
              <w:t>7 responses</w:t>
            </w:r>
          </w:p>
        </w:tc>
        <w:tc>
          <w:tcPr>
            <w:tcW w:w="0" w:type="auto"/>
            <w:shd w:val="clear" w:color="auto" w:fill="auto"/>
            <w:vAlign w:val="bottom"/>
          </w:tcPr>
          <w:p w:rsidRPr="00235179" w:rsidR="005678E3" w:rsidP="005F3674" w:rsidRDefault="005678E3">
            <w:pPr>
              <w:widowControl/>
              <w:jc w:val="right"/>
            </w:pPr>
            <w:r w:rsidRPr="00235179">
              <w:t>16,380 hours</w:t>
            </w:r>
          </w:p>
          <w:p w:rsidRPr="00235179" w:rsidR="007F170A" w:rsidP="005F3674" w:rsidRDefault="007F170A">
            <w:pPr>
              <w:widowControl/>
              <w:jc w:val="right"/>
            </w:pPr>
            <w:r w:rsidRPr="00235179">
              <w:t xml:space="preserve">(2,340 </w:t>
            </w:r>
            <w:r w:rsidRPr="00235179" w:rsidR="00AE1B6D">
              <w:t xml:space="preserve"> </w:t>
            </w:r>
            <w:r w:rsidRPr="00235179">
              <w:t>hours per response)</w:t>
            </w:r>
          </w:p>
        </w:tc>
        <w:tc>
          <w:tcPr>
            <w:tcW w:w="0" w:type="auto"/>
            <w:shd w:val="clear" w:color="auto" w:fill="auto"/>
            <w:vAlign w:val="bottom"/>
          </w:tcPr>
          <w:p w:rsidRPr="00235179" w:rsidR="005678E3" w:rsidP="005F3674" w:rsidRDefault="00465404">
            <w:pPr>
              <w:widowControl/>
              <w:jc w:val="right"/>
            </w:pPr>
            <w:r w:rsidRPr="00235179">
              <w:t>‒ 1 response</w:t>
            </w:r>
          </w:p>
        </w:tc>
        <w:tc>
          <w:tcPr>
            <w:tcW w:w="0" w:type="auto"/>
            <w:shd w:val="clear" w:color="auto" w:fill="auto"/>
            <w:vAlign w:val="bottom"/>
          </w:tcPr>
          <w:p w:rsidRPr="00235179" w:rsidR="005678E3" w:rsidP="005F3674" w:rsidRDefault="003305E3">
            <w:pPr>
              <w:widowControl/>
              <w:jc w:val="right"/>
            </w:pPr>
            <w:r w:rsidRPr="00235179">
              <w:t>‒ 2,340</w:t>
            </w:r>
            <w:r w:rsidRPr="00235179" w:rsidR="005678E3">
              <w:t xml:space="preserve"> hours</w:t>
            </w:r>
          </w:p>
        </w:tc>
      </w:tr>
      <w:tr w:rsidRPr="00235179" w:rsidR="005678E3" w:rsidTr="00731F10">
        <w:tc>
          <w:tcPr>
            <w:tcW w:w="0" w:type="auto"/>
            <w:shd w:val="clear" w:color="auto" w:fill="auto"/>
            <w:vAlign w:val="center"/>
          </w:tcPr>
          <w:p w:rsidRPr="00235179" w:rsidR="005678E3" w:rsidP="005F3674" w:rsidRDefault="005678E3">
            <w:pPr>
              <w:widowControl/>
              <w:jc w:val="center"/>
            </w:pPr>
            <w:r w:rsidRPr="00235179">
              <w:t>Other Reporting</w:t>
            </w:r>
          </w:p>
          <w:p w:rsidRPr="00235179" w:rsidR="005678E3" w:rsidP="005F3674" w:rsidRDefault="005678E3">
            <w:pPr>
              <w:widowControl/>
              <w:jc w:val="center"/>
            </w:pPr>
            <w:r w:rsidRPr="00235179">
              <w:t>(Regional Entities)</w:t>
            </w:r>
          </w:p>
        </w:tc>
        <w:tc>
          <w:tcPr>
            <w:tcW w:w="0" w:type="auto"/>
            <w:shd w:val="clear" w:color="auto" w:fill="auto"/>
            <w:vAlign w:val="bottom"/>
          </w:tcPr>
          <w:p w:rsidRPr="00235179" w:rsidR="005678E3" w:rsidP="005F3674" w:rsidRDefault="005678E3">
            <w:pPr>
              <w:widowControl/>
              <w:jc w:val="right"/>
            </w:pPr>
            <w:r w:rsidRPr="00235179">
              <w:t>6 responses</w:t>
            </w:r>
          </w:p>
        </w:tc>
        <w:tc>
          <w:tcPr>
            <w:tcW w:w="0" w:type="auto"/>
            <w:shd w:val="clear" w:color="auto" w:fill="auto"/>
            <w:vAlign w:val="bottom"/>
          </w:tcPr>
          <w:p w:rsidRPr="00235179" w:rsidR="005678E3" w:rsidP="005F3674" w:rsidRDefault="00A51193">
            <w:pPr>
              <w:widowControl/>
              <w:jc w:val="right"/>
            </w:pPr>
            <w:r w:rsidRPr="00235179">
              <w:t xml:space="preserve">6,240 hours </w:t>
            </w:r>
            <w:r w:rsidRPr="00235179" w:rsidR="00C54093">
              <w:t>(1,040 hours per response)</w:t>
            </w:r>
          </w:p>
        </w:tc>
        <w:tc>
          <w:tcPr>
            <w:tcW w:w="0" w:type="auto"/>
            <w:shd w:val="clear" w:color="auto" w:fill="auto"/>
            <w:vAlign w:val="bottom"/>
          </w:tcPr>
          <w:p w:rsidRPr="00235179" w:rsidR="005678E3" w:rsidP="005F3674" w:rsidRDefault="005678E3">
            <w:pPr>
              <w:widowControl/>
              <w:jc w:val="right"/>
            </w:pPr>
            <w:r w:rsidRPr="00235179">
              <w:t>7 responses</w:t>
            </w:r>
          </w:p>
        </w:tc>
        <w:tc>
          <w:tcPr>
            <w:tcW w:w="0" w:type="auto"/>
            <w:shd w:val="clear" w:color="auto" w:fill="auto"/>
            <w:vAlign w:val="bottom"/>
          </w:tcPr>
          <w:p w:rsidRPr="00235179" w:rsidR="005678E3" w:rsidP="005F3674" w:rsidRDefault="005678E3">
            <w:pPr>
              <w:widowControl/>
              <w:jc w:val="right"/>
            </w:pPr>
            <w:r w:rsidRPr="00235179">
              <w:t>7,280 hours</w:t>
            </w:r>
            <w:r w:rsidRPr="00235179" w:rsidR="00C54093">
              <w:t xml:space="preserve"> (1,040 hours per response)</w:t>
            </w:r>
          </w:p>
        </w:tc>
        <w:tc>
          <w:tcPr>
            <w:tcW w:w="0" w:type="auto"/>
            <w:shd w:val="clear" w:color="auto" w:fill="auto"/>
            <w:vAlign w:val="bottom"/>
          </w:tcPr>
          <w:p w:rsidRPr="00235179" w:rsidR="005678E3" w:rsidP="005F3674" w:rsidRDefault="00465404">
            <w:pPr>
              <w:widowControl/>
              <w:jc w:val="right"/>
            </w:pPr>
            <w:r w:rsidRPr="00235179">
              <w:t>‒ 1 response</w:t>
            </w:r>
          </w:p>
        </w:tc>
        <w:tc>
          <w:tcPr>
            <w:tcW w:w="0" w:type="auto"/>
            <w:shd w:val="clear" w:color="auto" w:fill="auto"/>
            <w:vAlign w:val="bottom"/>
          </w:tcPr>
          <w:p w:rsidRPr="00235179" w:rsidR="005678E3" w:rsidP="005F3674" w:rsidRDefault="00601FD0">
            <w:pPr>
              <w:widowControl/>
              <w:jc w:val="right"/>
            </w:pPr>
            <w:r w:rsidRPr="00235179">
              <w:t xml:space="preserve">‒ </w:t>
            </w:r>
            <w:r w:rsidRPr="00235179" w:rsidR="00993A1E">
              <w:t xml:space="preserve">1,040 </w:t>
            </w:r>
            <w:r w:rsidRPr="00235179" w:rsidR="005678E3">
              <w:t>hours</w:t>
            </w:r>
          </w:p>
        </w:tc>
      </w:tr>
      <w:tr w:rsidRPr="00235179" w:rsidR="005678E3" w:rsidTr="00C9443E">
        <w:tc>
          <w:tcPr>
            <w:tcW w:w="0" w:type="auto"/>
            <w:shd w:val="clear" w:color="auto" w:fill="auto"/>
            <w:vAlign w:val="bottom"/>
          </w:tcPr>
          <w:p w:rsidRPr="00235179" w:rsidR="005678E3" w:rsidP="005F3674" w:rsidRDefault="005678E3">
            <w:pPr>
              <w:widowControl/>
              <w:jc w:val="center"/>
              <w:rPr>
                <w:b/>
              </w:rPr>
            </w:pPr>
            <w:r w:rsidRPr="00235179">
              <w:rPr>
                <w:b/>
              </w:rPr>
              <w:t>Totals</w:t>
            </w:r>
          </w:p>
        </w:tc>
        <w:tc>
          <w:tcPr>
            <w:tcW w:w="0" w:type="auto"/>
            <w:shd w:val="clear" w:color="auto" w:fill="auto"/>
            <w:vAlign w:val="bottom"/>
          </w:tcPr>
          <w:p w:rsidRPr="00235179" w:rsidR="005678E3" w:rsidP="005F3674" w:rsidRDefault="0080495A">
            <w:pPr>
              <w:widowControl/>
              <w:jc w:val="right"/>
              <w:rPr>
                <w:bCs/>
              </w:rPr>
            </w:pPr>
            <w:r w:rsidRPr="00235179">
              <w:rPr>
                <w:bCs/>
              </w:rPr>
              <w:t>24 responses</w:t>
            </w:r>
          </w:p>
        </w:tc>
        <w:tc>
          <w:tcPr>
            <w:tcW w:w="0" w:type="auto"/>
            <w:shd w:val="clear" w:color="auto" w:fill="auto"/>
            <w:vAlign w:val="bottom"/>
          </w:tcPr>
          <w:p w:rsidRPr="00235179" w:rsidR="005678E3" w:rsidP="005F3674" w:rsidRDefault="008C2540">
            <w:pPr>
              <w:widowControl/>
              <w:jc w:val="right"/>
              <w:rPr>
                <w:bCs/>
              </w:rPr>
            </w:pPr>
            <w:r w:rsidRPr="00235179">
              <w:rPr>
                <w:bCs/>
              </w:rPr>
              <w:t>338,520 hours</w:t>
            </w:r>
          </w:p>
        </w:tc>
        <w:tc>
          <w:tcPr>
            <w:tcW w:w="0" w:type="auto"/>
            <w:shd w:val="clear" w:color="auto" w:fill="auto"/>
            <w:vAlign w:val="bottom"/>
          </w:tcPr>
          <w:p w:rsidRPr="00235179" w:rsidR="005678E3" w:rsidP="005F3674" w:rsidRDefault="008C2540">
            <w:pPr>
              <w:widowControl/>
              <w:jc w:val="right"/>
              <w:rPr>
                <w:bCs/>
              </w:rPr>
            </w:pPr>
            <w:r w:rsidRPr="00235179">
              <w:rPr>
                <w:bCs/>
              </w:rPr>
              <w:t>28 responses</w:t>
            </w:r>
          </w:p>
        </w:tc>
        <w:tc>
          <w:tcPr>
            <w:tcW w:w="0" w:type="auto"/>
            <w:shd w:val="clear" w:color="auto" w:fill="auto"/>
            <w:vAlign w:val="bottom"/>
          </w:tcPr>
          <w:p w:rsidRPr="00235179" w:rsidR="005678E3" w:rsidP="005F3674" w:rsidRDefault="00465404">
            <w:pPr>
              <w:widowControl/>
              <w:jc w:val="right"/>
              <w:rPr>
                <w:bCs/>
              </w:rPr>
            </w:pPr>
            <w:r w:rsidRPr="00235179">
              <w:rPr>
                <w:bCs/>
              </w:rPr>
              <w:t>394,</w:t>
            </w:r>
            <w:r w:rsidRPr="00235179" w:rsidR="000C4FDF">
              <w:rPr>
                <w:bCs/>
              </w:rPr>
              <w:t>9</w:t>
            </w:r>
            <w:r w:rsidRPr="00235179">
              <w:rPr>
                <w:bCs/>
              </w:rPr>
              <w:t>40 hours</w:t>
            </w:r>
          </w:p>
        </w:tc>
        <w:tc>
          <w:tcPr>
            <w:tcW w:w="0" w:type="auto"/>
            <w:shd w:val="clear" w:color="auto" w:fill="auto"/>
            <w:vAlign w:val="bottom"/>
          </w:tcPr>
          <w:p w:rsidRPr="00235179" w:rsidR="005678E3" w:rsidP="005F3674" w:rsidRDefault="00465404">
            <w:pPr>
              <w:widowControl/>
              <w:jc w:val="right"/>
              <w:rPr>
                <w:bCs/>
              </w:rPr>
            </w:pPr>
            <w:r w:rsidRPr="00235179">
              <w:rPr>
                <w:bCs/>
              </w:rPr>
              <w:t>‒ 5 responses</w:t>
            </w:r>
          </w:p>
        </w:tc>
        <w:tc>
          <w:tcPr>
            <w:tcW w:w="0" w:type="auto"/>
            <w:shd w:val="clear" w:color="auto" w:fill="auto"/>
            <w:vAlign w:val="bottom"/>
          </w:tcPr>
          <w:p w:rsidRPr="00235179" w:rsidR="005678E3" w:rsidP="005F3674" w:rsidRDefault="00AE1B6D">
            <w:pPr>
              <w:widowControl/>
              <w:jc w:val="right"/>
              <w:rPr>
                <w:bCs/>
              </w:rPr>
            </w:pPr>
            <w:r w:rsidRPr="00235179">
              <w:rPr>
                <w:bCs/>
              </w:rPr>
              <w:t xml:space="preserve">‒ </w:t>
            </w:r>
            <w:r w:rsidRPr="00235179" w:rsidR="00C9443E">
              <w:rPr>
                <w:bCs/>
              </w:rPr>
              <w:t xml:space="preserve">56,000 </w:t>
            </w:r>
            <w:r w:rsidRPr="00235179">
              <w:rPr>
                <w:bCs/>
              </w:rPr>
              <w:t>hours</w:t>
            </w:r>
          </w:p>
        </w:tc>
      </w:tr>
    </w:tbl>
    <w:p w:rsidRPr="00235179" w:rsidR="0006099D" w:rsidP="005F3674" w:rsidRDefault="0006099D">
      <w:pPr>
        <w:widowControl/>
      </w:pPr>
    </w:p>
    <w:p w:rsidRPr="00235179" w:rsidR="001136B9" w:rsidP="005F3674" w:rsidRDefault="00FD1C26">
      <w:pPr>
        <w:widowControl/>
        <w:rPr>
          <w:b/>
          <w:bCs/>
        </w:rPr>
      </w:pPr>
      <w:r w:rsidRPr="00235179">
        <w:t>The impact</w:t>
      </w:r>
      <w:r w:rsidRPr="00235179" w:rsidR="00620922">
        <w:t>s</w:t>
      </w:r>
      <w:r w:rsidRPr="00235179">
        <w:t xml:space="preserve"> on FERC-725 overall </w:t>
      </w:r>
      <w:r w:rsidRPr="00235179" w:rsidR="00620922">
        <w:t xml:space="preserve">are </w:t>
      </w:r>
      <w:r w:rsidRPr="00235179">
        <w:t xml:space="preserve">itemized </w:t>
      </w:r>
      <w:r w:rsidRPr="00235179" w:rsidR="00530931">
        <w:t xml:space="preserve">below </w:t>
      </w:r>
      <w:r w:rsidRPr="00235179">
        <w:t xml:space="preserve">in </w:t>
      </w:r>
      <w:r w:rsidRPr="00235179" w:rsidR="00530931">
        <w:t>Table 15</w:t>
      </w:r>
      <w:r w:rsidRPr="00235179" w:rsidR="0006099D">
        <w:t>-3</w:t>
      </w:r>
      <w:r w:rsidRPr="00235179" w:rsidR="00511B02">
        <w:rPr>
          <w:b/>
          <w:bCs/>
        </w:rPr>
        <w:t>.</w:t>
      </w:r>
      <w:r w:rsidRPr="00235179">
        <w:rPr>
          <w:b/>
          <w:bCs/>
          <w:vertAlign w:val="superscript"/>
        </w:rPr>
        <w:footnoteReference w:id="13"/>
      </w:r>
      <w:r w:rsidRPr="00235179" w:rsidDel="00511B02" w:rsidR="00511B02">
        <w:t xml:space="preserve"> </w:t>
      </w:r>
      <w:r w:rsidRPr="00235179" w:rsidR="0011392D">
        <w:rPr>
          <w:b/>
          <w:bCs/>
        </w:rPr>
        <w:br w:type="page"/>
      </w:r>
    </w:p>
    <w:p w:rsidRPr="00235179" w:rsidR="0006099D" w:rsidP="005F3674" w:rsidRDefault="0006099D">
      <w:pPr>
        <w:widowControl/>
        <w:jc w:val="center"/>
        <w:rPr>
          <w:b/>
          <w:bCs/>
        </w:rPr>
      </w:pPr>
    </w:p>
    <w:p w:rsidRPr="00235179" w:rsidR="0006099D" w:rsidP="005F3674" w:rsidRDefault="0006099D">
      <w:pPr>
        <w:widowControl/>
        <w:jc w:val="center"/>
        <w:rPr>
          <w:b/>
          <w:bCs/>
        </w:rPr>
      </w:pPr>
    </w:p>
    <w:p w:rsidRPr="00235179" w:rsidR="00620922" w:rsidP="005F3674" w:rsidRDefault="00293096">
      <w:pPr>
        <w:widowControl/>
        <w:jc w:val="center"/>
        <w:rPr>
          <w:b/>
          <w:bCs/>
        </w:rPr>
      </w:pPr>
      <w:r w:rsidRPr="00235179">
        <w:rPr>
          <w:b/>
          <w:bCs/>
        </w:rPr>
        <w:t>Table 15-</w:t>
      </w:r>
      <w:r w:rsidRPr="00235179" w:rsidR="0006099D">
        <w:rPr>
          <w:b/>
          <w:bCs/>
        </w:rPr>
        <w:t>3</w:t>
      </w:r>
    </w:p>
    <w:p w:rsidRPr="00235179" w:rsidR="00293096" w:rsidP="005F3674" w:rsidRDefault="00B61020">
      <w:pPr>
        <w:widowControl/>
        <w:jc w:val="center"/>
        <w:rPr>
          <w:b/>
          <w:bCs/>
        </w:rPr>
      </w:pPr>
      <w:r w:rsidRPr="00235179">
        <w:rPr>
          <w:b/>
          <w:bCs/>
        </w:rPr>
        <w:t>Annualized Burden</w:t>
      </w:r>
      <w:r w:rsidRPr="00235179" w:rsidR="00A721C2">
        <w:rPr>
          <w:b/>
          <w:bCs/>
        </w:rPr>
        <w:t xml:space="preserve"> </w:t>
      </w:r>
      <w:r w:rsidRPr="00235179">
        <w:rPr>
          <w:b/>
          <w:bCs/>
        </w:rPr>
        <w:t xml:space="preserve">Changes in FERC-725 </w:t>
      </w:r>
      <w:r w:rsidRPr="00235179">
        <w:rPr>
          <w:b/>
          <w:bCs/>
          <w:i/>
          <w:iCs/>
        </w:rPr>
        <w:t>Overall</w:t>
      </w:r>
      <w:r w:rsidRPr="00235179">
        <w:rPr>
          <w:b/>
          <w:bCs/>
        </w:rPr>
        <w:t xml:space="preserve"> as a Result of Program Changes </w:t>
      </w:r>
      <w:r w:rsidRPr="00235179" w:rsidR="00172A14">
        <w:rPr>
          <w:b/>
          <w:bCs/>
          <w:i/>
          <w:iCs/>
        </w:rPr>
        <w:t>and</w:t>
      </w:r>
      <w:r w:rsidRPr="00235179" w:rsidR="00172A14">
        <w:rPr>
          <w:b/>
          <w:bCs/>
        </w:rPr>
        <w:t xml:space="preserve"> Adjustments</w:t>
      </w:r>
    </w:p>
    <w:p w:rsidRPr="00235179" w:rsidR="00FD1C26" w:rsidP="005F3674" w:rsidRDefault="00FD1C26">
      <w:pPr>
        <w:widowControl/>
        <w:rPr>
          <w:b/>
          <w:bCs/>
        </w:rPr>
      </w:pPr>
    </w:p>
    <w:tbl>
      <w:tblPr>
        <w:tblW w:w="9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9"/>
        <w:gridCol w:w="1430"/>
        <w:gridCol w:w="1390"/>
        <w:gridCol w:w="1390"/>
        <w:gridCol w:w="1390"/>
        <w:gridCol w:w="1390"/>
        <w:gridCol w:w="1390"/>
      </w:tblGrid>
      <w:tr w:rsidRPr="00235179" w:rsidR="00933BA0" w:rsidTr="000E1328">
        <w:trPr>
          <w:cantSplit/>
          <w:tblHeader/>
        </w:trPr>
        <w:tc>
          <w:tcPr>
            <w:tcW w:w="0" w:type="auto"/>
            <w:shd w:val="clear" w:color="auto" w:fill="auto"/>
            <w:vAlign w:val="bottom"/>
          </w:tcPr>
          <w:p w:rsidRPr="00235179" w:rsidR="00FD1C26" w:rsidP="005F3674" w:rsidRDefault="00FD1C26">
            <w:pPr>
              <w:widowControl/>
              <w:jc w:val="center"/>
              <w:rPr>
                <w:b/>
              </w:rPr>
            </w:pPr>
            <w:r w:rsidRPr="00235179">
              <w:rPr>
                <w:b/>
              </w:rPr>
              <w:t>A.</w:t>
            </w:r>
          </w:p>
          <w:p w:rsidRPr="00235179" w:rsidR="00FD1C26" w:rsidP="005F3674" w:rsidRDefault="00FD1C26">
            <w:pPr>
              <w:widowControl/>
              <w:jc w:val="center"/>
              <w:rPr>
                <w:b/>
                <w:bCs/>
              </w:rPr>
            </w:pPr>
            <w:r w:rsidRPr="00235179">
              <w:rPr>
                <w:b/>
              </w:rPr>
              <w:t>Type of Response</w:t>
            </w:r>
          </w:p>
        </w:tc>
        <w:tc>
          <w:tcPr>
            <w:tcW w:w="0" w:type="auto"/>
            <w:shd w:val="clear" w:color="auto" w:fill="auto"/>
            <w:vAlign w:val="bottom"/>
          </w:tcPr>
          <w:p w:rsidRPr="00235179" w:rsidR="00FD1C26" w:rsidP="005F3674" w:rsidRDefault="00FD1C26">
            <w:pPr>
              <w:widowControl/>
              <w:jc w:val="center"/>
              <w:rPr>
                <w:b/>
              </w:rPr>
            </w:pPr>
            <w:r w:rsidRPr="00235179">
              <w:rPr>
                <w:b/>
              </w:rPr>
              <w:t>B.</w:t>
            </w:r>
          </w:p>
          <w:p w:rsidRPr="00235179" w:rsidR="00FD1C26" w:rsidP="005F3674" w:rsidRDefault="00FD1C26">
            <w:pPr>
              <w:widowControl/>
              <w:jc w:val="center"/>
              <w:rPr>
                <w:b/>
                <w:bCs/>
              </w:rPr>
            </w:pPr>
            <w:r w:rsidRPr="00235179">
              <w:rPr>
                <w:b/>
              </w:rPr>
              <w:t xml:space="preserve">Requested </w:t>
            </w:r>
            <w:r w:rsidRPr="00235179" w:rsidR="00BB7425">
              <w:rPr>
                <w:b/>
              </w:rPr>
              <w:t xml:space="preserve">Annualized </w:t>
            </w:r>
            <w:r w:rsidRPr="00235179">
              <w:rPr>
                <w:b/>
              </w:rPr>
              <w:t>Responses</w:t>
            </w:r>
            <w:r w:rsidRPr="00235179" w:rsidR="00E832FD">
              <w:rPr>
                <w:rStyle w:val="FootnoteReference"/>
                <w:b w:val="0"/>
                <w:sz w:val="24"/>
              </w:rPr>
              <w:footnoteReference w:id="14"/>
            </w:r>
          </w:p>
        </w:tc>
        <w:tc>
          <w:tcPr>
            <w:tcW w:w="0" w:type="auto"/>
            <w:shd w:val="clear" w:color="auto" w:fill="auto"/>
            <w:vAlign w:val="bottom"/>
          </w:tcPr>
          <w:p w:rsidRPr="00235179" w:rsidR="00FD1C26" w:rsidP="005F3674" w:rsidRDefault="00FD1C26">
            <w:pPr>
              <w:widowControl/>
              <w:jc w:val="center"/>
              <w:rPr>
                <w:b/>
              </w:rPr>
            </w:pPr>
            <w:r w:rsidRPr="00235179">
              <w:rPr>
                <w:b/>
              </w:rPr>
              <w:t>C.</w:t>
            </w:r>
          </w:p>
          <w:p w:rsidRPr="00235179" w:rsidR="00FD1C26" w:rsidP="005F3674" w:rsidRDefault="00FD1C26">
            <w:pPr>
              <w:widowControl/>
              <w:jc w:val="center"/>
              <w:rPr>
                <w:b/>
                <w:bCs/>
              </w:rPr>
            </w:pPr>
            <w:r w:rsidRPr="00235179">
              <w:rPr>
                <w:b/>
              </w:rPr>
              <w:t xml:space="preserve">Requested </w:t>
            </w:r>
            <w:r w:rsidRPr="00235179" w:rsidR="00BB7425">
              <w:rPr>
                <w:b/>
              </w:rPr>
              <w:t xml:space="preserve">Annualized </w:t>
            </w:r>
            <w:r w:rsidRPr="00235179">
              <w:rPr>
                <w:b/>
              </w:rPr>
              <w:t>Hours</w:t>
            </w:r>
          </w:p>
        </w:tc>
        <w:tc>
          <w:tcPr>
            <w:tcW w:w="0" w:type="auto"/>
            <w:shd w:val="clear" w:color="auto" w:fill="auto"/>
            <w:vAlign w:val="bottom"/>
          </w:tcPr>
          <w:p w:rsidRPr="00235179" w:rsidR="00FD1C26" w:rsidP="005F3674" w:rsidRDefault="00FD1C26">
            <w:pPr>
              <w:widowControl/>
              <w:jc w:val="center"/>
              <w:rPr>
                <w:b/>
              </w:rPr>
            </w:pPr>
            <w:r w:rsidRPr="00235179">
              <w:rPr>
                <w:b/>
              </w:rPr>
              <w:t>D.</w:t>
            </w:r>
          </w:p>
          <w:p w:rsidRPr="00235179" w:rsidR="00FD1C26" w:rsidP="005F3674" w:rsidRDefault="00FD1C26">
            <w:pPr>
              <w:widowControl/>
              <w:jc w:val="center"/>
              <w:rPr>
                <w:b/>
                <w:bCs/>
              </w:rPr>
            </w:pPr>
            <w:r w:rsidRPr="00235179">
              <w:rPr>
                <w:b/>
              </w:rPr>
              <w:t xml:space="preserve">Previously Approved </w:t>
            </w:r>
            <w:r w:rsidRPr="00235179" w:rsidR="00BB7425">
              <w:rPr>
                <w:b/>
              </w:rPr>
              <w:t xml:space="preserve">Annualized </w:t>
            </w:r>
            <w:r w:rsidRPr="00235179">
              <w:rPr>
                <w:b/>
              </w:rPr>
              <w:t>Responses</w:t>
            </w:r>
          </w:p>
        </w:tc>
        <w:tc>
          <w:tcPr>
            <w:tcW w:w="0" w:type="auto"/>
            <w:shd w:val="clear" w:color="auto" w:fill="auto"/>
            <w:vAlign w:val="bottom"/>
          </w:tcPr>
          <w:p w:rsidRPr="00235179" w:rsidR="00FD1C26" w:rsidP="005F3674" w:rsidRDefault="00FD1C26">
            <w:pPr>
              <w:widowControl/>
              <w:jc w:val="center"/>
              <w:rPr>
                <w:b/>
              </w:rPr>
            </w:pPr>
            <w:r w:rsidRPr="00235179">
              <w:rPr>
                <w:b/>
              </w:rPr>
              <w:t>E.</w:t>
            </w:r>
          </w:p>
          <w:p w:rsidRPr="00235179" w:rsidR="00FD1C26" w:rsidP="005F3674" w:rsidRDefault="00FD1C26">
            <w:pPr>
              <w:widowControl/>
              <w:jc w:val="center"/>
              <w:rPr>
                <w:b/>
                <w:bCs/>
              </w:rPr>
            </w:pPr>
            <w:r w:rsidRPr="00235179">
              <w:rPr>
                <w:b/>
              </w:rPr>
              <w:t xml:space="preserve">Previously Approved </w:t>
            </w:r>
            <w:r w:rsidRPr="00235179" w:rsidR="00BB7425">
              <w:rPr>
                <w:b/>
              </w:rPr>
              <w:t xml:space="preserve">Annualized </w:t>
            </w:r>
            <w:r w:rsidRPr="00235179">
              <w:rPr>
                <w:b/>
              </w:rPr>
              <w:t>Hours</w:t>
            </w:r>
          </w:p>
        </w:tc>
        <w:tc>
          <w:tcPr>
            <w:tcW w:w="0" w:type="auto"/>
            <w:shd w:val="clear" w:color="auto" w:fill="auto"/>
            <w:vAlign w:val="bottom"/>
          </w:tcPr>
          <w:p w:rsidRPr="00235179" w:rsidR="00FD1C26" w:rsidP="005F3674" w:rsidRDefault="00FD1C26">
            <w:pPr>
              <w:widowControl/>
              <w:jc w:val="center"/>
              <w:rPr>
                <w:b/>
              </w:rPr>
            </w:pPr>
            <w:r w:rsidRPr="00235179">
              <w:rPr>
                <w:b/>
              </w:rPr>
              <w:t>F.</w:t>
            </w:r>
          </w:p>
          <w:p w:rsidRPr="00235179" w:rsidR="00FD1C26" w:rsidP="005F3674" w:rsidRDefault="00FD1C26">
            <w:pPr>
              <w:widowControl/>
              <w:jc w:val="center"/>
              <w:rPr>
                <w:b/>
                <w:bCs/>
              </w:rPr>
            </w:pPr>
            <w:r w:rsidRPr="00235179">
              <w:rPr>
                <w:b/>
              </w:rPr>
              <w:t xml:space="preserve">Net Change in </w:t>
            </w:r>
            <w:r w:rsidRPr="00235179" w:rsidR="00BB7425">
              <w:rPr>
                <w:b/>
              </w:rPr>
              <w:t xml:space="preserve">Annualized </w:t>
            </w:r>
            <w:r w:rsidRPr="00235179">
              <w:rPr>
                <w:b/>
              </w:rPr>
              <w:t>Responses (Column B - Column D)</w:t>
            </w:r>
          </w:p>
        </w:tc>
        <w:tc>
          <w:tcPr>
            <w:tcW w:w="0" w:type="auto"/>
            <w:shd w:val="clear" w:color="auto" w:fill="auto"/>
            <w:vAlign w:val="bottom"/>
          </w:tcPr>
          <w:p w:rsidRPr="00235179" w:rsidR="00FD1C26" w:rsidP="005F3674" w:rsidRDefault="00FD1C26">
            <w:pPr>
              <w:widowControl/>
              <w:jc w:val="center"/>
              <w:rPr>
                <w:b/>
              </w:rPr>
            </w:pPr>
            <w:r w:rsidRPr="00235179">
              <w:rPr>
                <w:b/>
              </w:rPr>
              <w:t>G.</w:t>
            </w:r>
          </w:p>
          <w:p w:rsidRPr="00235179" w:rsidR="00FD1C26" w:rsidP="005F3674" w:rsidRDefault="00FD1C26">
            <w:pPr>
              <w:widowControl/>
              <w:jc w:val="center"/>
              <w:rPr>
                <w:b/>
                <w:bCs/>
              </w:rPr>
            </w:pPr>
            <w:r w:rsidRPr="00235179">
              <w:rPr>
                <w:b/>
              </w:rPr>
              <w:t xml:space="preserve">Net Change in </w:t>
            </w:r>
            <w:r w:rsidRPr="00235179" w:rsidR="00BB7425">
              <w:rPr>
                <w:b/>
              </w:rPr>
              <w:t xml:space="preserve">Annualized </w:t>
            </w:r>
            <w:r w:rsidRPr="00235179">
              <w:rPr>
                <w:b/>
              </w:rPr>
              <w:t>Hours (Column C - Column E)</w:t>
            </w:r>
          </w:p>
        </w:tc>
      </w:tr>
      <w:tr w:rsidRPr="00235179" w:rsidR="00BB7425" w:rsidTr="000E1328">
        <w:trPr>
          <w:cantSplit/>
        </w:trPr>
        <w:tc>
          <w:tcPr>
            <w:tcW w:w="0" w:type="auto"/>
            <w:shd w:val="clear" w:color="auto" w:fill="auto"/>
          </w:tcPr>
          <w:p w:rsidRPr="00235179" w:rsidR="00FD1C26" w:rsidP="005F3674" w:rsidRDefault="0011392D">
            <w:pPr>
              <w:widowControl/>
            </w:pPr>
            <w:r w:rsidRPr="00235179">
              <w:t>Self-</w:t>
            </w:r>
            <w:r w:rsidRPr="00235179" w:rsidR="00FD1C26">
              <w:t xml:space="preserve"> Assessment</w:t>
            </w:r>
            <w:r w:rsidRPr="00235179">
              <w:t>s</w:t>
            </w:r>
            <w:r w:rsidRPr="00235179" w:rsidR="002D1B3A">
              <w:t xml:space="preserve"> </w:t>
            </w:r>
            <w:r w:rsidRPr="00235179" w:rsidR="00FD1C26">
              <w:t>(ERO)</w:t>
            </w:r>
          </w:p>
        </w:tc>
        <w:tc>
          <w:tcPr>
            <w:tcW w:w="0" w:type="auto"/>
            <w:shd w:val="clear" w:color="auto" w:fill="auto"/>
            <w:vAlign w:val="bottom"/>
          </w:tcPr>
          <w:p w:rsidRPr="00235179" w:rsidR="00FD1C26" w:rsidP="005F3674" w:rsidRDefault="00FD1C26">
            <w:pPr>
              <w:widowControl/>
              <w:jc w:val="right"/>
            </w:pPr>
            <w:r w:rsidRPr="00235179">
              <w:t>0.33 response</w:t>
            </w:r>
          </w:p>
        </w:tc>
        <w:tc>
          <w:tcPr>
            <w:tcW w:w="0" w:type="auto"/>
            <w:shd w:val="clear" w:color="auto" w:fill="auto"/>
            <w:vAlign w:val="bottom"/>
          </w:tcPr>
          <w:p w:rsidRPr="00235179" w:rsidR="00FD1C26" w:rsidP="005F3674" w:rsidRDefault="00FD1C26">
            <w:pPr>
              <w:widowControl/>
              <w:jc w:val="right"/>
            </w:pPr>
            <w:r w:rsidRPr="00235179">
              <w:t>1,373 hours</w:t>
            </w:r>
          </w:p>
        </w:tc>
        <w:tc>
          <w:tcPr>
            <w:tcW w:w="0" w:type="auto"/>
            <w:shd w:val="clear" w:color="auto" w:fill="auto"/>
            <w:vAlign w:val="bottom"/>
          </w:tcPr>
          <w:p w:rsidRPr="00235179" w:rsidR="00FD1C26" w:rsidP="005F3674" w:rsidRDefault="00FD1C26">
            <w:pPr>
              <w:widowControl/>
              <w:jc w:val="right"/>
            </w:pPr>
            <w:r w:rsidRPr="00235179">
              <w:t>0.20 response</w:t>
            </w:r>
          </w:p>
        </w:tc>
        <w:tc>
          <w:tcPr>
            <w:tcW w:w="0" w:type="auto"/>
            <w:shd w:val="clear" w:color="auto" w:fill="auto"/>
            <w:vAlign w:val="bottom"/>
          </w:tcPr>
          <w:p w:rsidRPr="00235179" w:rsidR="00FD1C26" w:rsidP="005F3674" w:rsidRDefault="00FD1C26">
            <w:pPr>
              <w:widowControl/>
              <w:jc w:val="right"/>
            </w:pPr>
            <w:r w:rsidRPr="00235179">
              <w:t>832</w:t>
            </w:r>
          </w:p>
          <w:p w:rsidRPr="00235179" w:rsidR="00FD1C26" w:rsidP="005F3674" w:rsidRDefault="0030626E">
            <w:pPr>
              <w:widowControl/>
              <w:jc w:val="right"/>
            </w:pPr>
            <w:r w:rsidRPr="00235179">
              <w:t>H</w:t>
            </w:r>
            <w:r w:rsidRPr="00235179" w:rsidR="00FD1C26">
              <w:t>ours</w:t>
            </w:r>
          </w:p>
        </w:tc>
        <w:tc>
          <w:tcPr>
            <w:tcW w:w="0" w:type="auto"/>
            <w:shd w:val="clear" w:color="auto" w:fill="auto"/>
            <w:vAlign w:val="bottom"/>
          </w:tcPr>
          <w:p w:rsidRPr="00235179" w:rsidR="00FD1C26" w:rsidP="005F3674" w:rsidRDefault="00FD1C26">
            <w:pPr>
              <w:widowControl/>
              <w:jc w:val="right"/>
            </w:pPr>
            <w:r w:rsidRPr="00235179">
              <w:t>+ 0.13 response</w:t>
            </w:r>
          </w:p>
        </w:tc>
        <w:tc>
          <w:tcPr>
            <w:tcW w:w="0" w:type="auto"/>
            <w:shd w:val="clear" w:color="auto" w:fill="auto"/>
            <w:vAlign w:val="bottom"/>
          </w:tcPr>
          <w:p w:rsidRPr="00235179" w:rsidR="00FD1C26" w:rsidP="005F3674" w:rsidRDefault="00FD1C26">
            <w:pPr>
              <w:widowControl/>
              <w:jc w:val="right"/>
            </w:pPr>
            <w:r w:rsidRPr="00235179">
              <w:t>+ 541 hours</w:t>
            </w:r>
          </w:p>
        </w:tc>
      </w:tr>
      <w:tr w:rsidRPr="00235179" w:rsidR="00BB7425" w:rsidTr="000E1328">
        <w:trPr>
          <w:cantSplit/>
        </w:trPr>
        <w:tc>
          <w:tcPr>
            <w:tcW w:w="0" w:type="auto"/>
            <w:shd w:val="clear" w:color="auto" w:fill="auto"/>
          </w:tcPr>
          <w:p w:rsidRPr="00235179" w:rsidR="0011392D" w:rsidP="005F3674" w:rsidRDefault="0011392D">
            <w:pPr>
              <w:widowControl/>
            </w:pPr>
            <w:r w:rsidRPr="00235179">
              <w:t>Reliability Assessments (ERO)</w:t>
            </w:r>
          </w:p>
        </w:tc>
        <w:tc>
          <w:tcPr>
            <w:tcW w:w="0" w:type="auto"/>
            <w:shd w:val="clear" w:color="auto" w:fill="auto"/>
            <w:vAlign w:val="bottom"/>
          </w:tcPr>
          <w:p w:rsidRPr="00235179" w:rsidR="0011392D" w:rsidP="005F3674" w:rsidRDefault="0011392D">
            <w:pPr>
              <w:widowControl/>
              <w:jc w:val="right"/>
            </w:pPr>
            <w:r w:rsidRPr="00235179">
              <w:t>5.5 responses</w:t>
            </w:r>
          </w:p>
        </w:tc>
        <w:tc>
          <w:tcPr>
            <w:tcW w:w="0" w:type="auto"/>
            <w:shd w:val="clear" w:color="auto" w:fill="auto"/>
            <w:vAlign w:val="bottom"/>
          </w:tcPr>
          <w:p w:rsidRPr="00235179" w:rsidR="0011392D" w:rsidP="005F3674" w:rsidRDefault="0011392D">
            <w:pPr>
              <w:widowControl/>
              <w:jc w:val="right"/>
            </w:pPr>
            <w:r w:rsidRPr="00235179">
              <w:t>85,800 hours</w:t>
            </w:r>
          </w:p>
        </w:tc>
        <w:tc>
          <w:tcPr>
            <w:tcW w:w="0" w:type="auto"/>
            <w:shd w:val="clear" w:color="auto" w:fill="auto"/>
            <w:vAlign w:val="bottom"/>
          </w:tcPr>
          <w:p w:rsidRPr="00235179" w:rsidR="0011392D" w:rsidP="005F3674" w:rsidRDefault="0011392D">
            <w:pPr>
              <w:widowControl/>
              <w:jc w:val="right"/>
            </w:pPr>
            <w:r w:rsidRPr="00235179">
              <w:t>5.5 responses</w:t>
            </w:r>
          </w:p>
        </w:tc>
        <w:tc>
          <w:tcPr>
            <w:tcW w:w="0" w:type="auto"/>
            <w:shd w:val="clear" w:color="auto" w:fill="auto"/>
            <w:vAlign w:val="bottom"/>
          </w:tcPr>
          <w:p w:rsidRPr="00235179" w:rsidR="0011392D" w:rsidP="005F3674" w:rsidRDefault="0011392D">
            <w:pPr>
              <w:widowControl/>
              <w:jc w:val="right"/>
            </w:pPr>
            <w:r w:rsidRPr="00235179">
              <w:t>85,800 hours</w:t>
            </w:r>
          </w:p>
        </w:tc>
        <w:tc>
          <w:tcPr>
            <w:tcW w:w="0" w:type="auto"/>
            <w:shd w:val="clear" w:color="auto" w:fill="auto"/>
            <w:vAlign w:val="bottom"/>
          </w:tcPr>
          <w:p w:rsidRPr="00235179" w:rsidR="0011392D" w:rsidP="005F3674" w:rsidRDefault="0011392D">
            <w:pPr>
              <w:widowControl/>
              <w:jc w:val="right"/>
            </w:pPr>
            <w:r w:rsidRPr="00235179">
              <w:t>0 responses</w:t>
            </w:r>
          </w:p>
        </w:tc>
        <w:tc>
          <w:tcPr>
            <w:tcW w:w="0" w:type="auto"/>
            <w:shd w:val="clear" w:color="auto" w:fill="auto"/>
            <w:vAlign w:val="bottom"/>
          </w:tcPr>
          <w:p w:rsidRPr="00235179" w:rsidR="0011392D" w:rsidP="005F3674" w:rsidRDefault="0011392D">
            <w:pPr>
              <w:widowControl/>
              <w:jc w:val="right"/>
            </w:pPr>
            <w:r w:rsidRPr="00235179">
              <w:t>0 hours</w:t>
            </w:r>
          </w:p>
        </w:tc>
      </w:tr>
      <w:tr w:rsidRPr="00235179" w:rsidR="00BB7425" w:rsidTr="000E1328">
        <w:trPr>
          <w:cantSplit/>
        </w:trPr>
        <w:tc>
          <w:tcPr>
            <w:tcW w:w="0" w:type="auto"/>
            <w:shd w:val="clear" w:color="auto" w:fill="auto"/>
          </w:tcPr>
          <w:p w:rsidRPr="00235179" w:rsidR="0011392D" w:rsidP="005F3674" w:rsidRDefault="0011392D">
            <w:pPr>
              <w:widowControl/>
            </w:pPr>
            <w:r w:rsidRPr="00235179">
              <w:t>Reliability Compliance (ERO)</w:t>
            </w:r>
          </w:p>
        </w:tc>
        <w:tc>
          <w:tcPr>
            <w:tcW w:w="0" w:type="auto"/>
            <w:shd w:val="clear" w:color="auto" w:fill="auto"/>
            <w:vAlign w:val="bottom"/>
          </w:tcPr>
          <w:p w:rsidRPr="00235179" w:rsidR="0011392D" w:rsidP="005F3674" w:rsidRDefault="0011392D">
            <w:pPr>
              <w:widowControl/>
              <w:jc w:val="right"/>
            </w:pPr>
            <w:r w:rsidRPr="00235179">
              <w:t>2 responses</w:t>
            </w:r>
          </w:p>
        </w:tc>
        <w:tc>
          <w:tcPr>
            <w:tcW w:w="0" w:type="auto"/>
            <w:shd w:val="clear" w:color="auto" w:fill="auto"/>
            <w:vAlign w:val="bottom"/>
          </w:tcPr>
          <w:p w:rsidRPr="00235179" w:rsidR="0011392D" w:rsidP="005F3674" w:rsidRDefault="0011392D">
            <w:pPr>
              <w:widowControl/>
              <w:jc w:val="right"/>
            </w:pPr>
            <w:r w:rsidRPr="00235179">
              <w:t>40,560 hours</w:t>
            </w:r>
          </w:p>
        </w:tc>
        <w:tc>
          <w:tcPr>
            <w:tcW w:w="0" w:type="auto"/>
            <w:shd w:val="clear" w:color="auto" w:fill="auto"/>
            <w:vAlign w:val="bottom"/>
          </w:tcPr>
          <w:p w:rsidRPr="00235179" w:rsidR="0011392D" w:rsidP="005F3674" w:rsidRDefault="0011392D">
            <w:pPr>
              <w:widowControl/>
              <w:jc w:val="right"/>
            </w:pPr>
            <w:r w:rsidRPr="00235179">
              <w:t>2 responses</w:t>
            </w:r>
          </w:p>
        </w:tc>
        <w:tc>
          <w:tcPr>
            <w:tcW w:w="0" w:type="auto"/>
            <w:shd w:val="clear" w:color="auto" w:fill="auto"/>
            <w:vAlign w:val="bottom"/>
          </w:tcPr>
          <w:p w:rsidRPr="00235179" w:rsidR="0011392D" w:rsidP="005F3674" w:rsidRDefault="0011392D">
            <w:pPr>
              <w:widowControl/>
              <w:jc w:val="right"/>
            </w:pPr>
            <w:r w:rsidRPr="00235179">
              <w:t>40,560 hours</w:t>
            </w:r>
          </w:p>
        </w:tc>
        <w:tc>
          <w:tcPr>
            <w:tcW w:w="0" w:type="auto"/>
            <w:shd w:val="clear" w:color="auto" w:fill="auto"/>
            <w:vAlign w:val="bottom"/>
          </w:tcPr>
          <w:p w:rsidRPr="00235179" w:rsidR="0011392D" w:rsidP="005F3674" w:rsidRDefault="0011392D">
            <w:pPr>
              <w:widowControl/>
              <w:jc w:val="right"/>
            </w:pPr>
            <w:r w:rsidRPr="00235179">
              <w:t>0 responses</w:t>
            </w:r>
          </w:p>
        </w:tc>
        <w:tc>
          <w:tcPr>
            <w:tcW w:w="0" w:type="auto"/>
            <w:shd w:val="clear" w:color="auto" w:fill="auto"/>
            <w:vAlign w:val="bottom"/>
          </w:tcPr>
          <w:p w:rsidRPr="00235179" w:rsidR="0011392D" w:rsidP="005F3674" w:rsidRDefault="0011392D">
            <w:pPr>
              <w:widowControl/>
              <w:jc w:val="right"/>
            </w:pPr>
            <w:r w:rsidRPr="00235179">
              <w:t>0 hours</w:t>
            </w:r>
          </w:p>
        </w:tc>
      </w:tr>
      <w:tr w:rsidRPr="00235179" w:rsidR="00BB7425" w:rsidTr="000E1328">
        <w:trPr>
          <w:cantSplit/>
        </w:trPr>
        <w:tc>
          <w:tcPr>
            <w:tcW w:w="0" w:type="auto"/>
            <w:shd w:val="clear" w:color="auto" w:fill="auto"/>
          </w:tcPr>
          <w:p w:rsidRPr="00235179" w:rsidR="0011392D" w:rsidP="005F3674" w:rsidRDefault="0011392D">
            <w:pPr>
              <w:widowControl/>
            </w:pPr>
            <w:r w:rsidRPr="00235179">
              <w:t>Standards Development (ERO)</w:t>
            </w:r>
          </w:p>
        </w:tc>
        <w:tc>
          <w:tcPr>
            <w:tcW w:w="0" w:type="auto"/>
            <w:shd w:val="clear" w:color="auto" w:fill="auto"/>
            <w:vAlign w:val="bottom"/>
          </w:tcPr>
          <w:p w:rsidRPr="00235179" w:rsidR="0011392D" w:rsidP="005F3674" w:rsidRDefault="0011392D">
            <w:pPr>
              <w:widowControl/>
              <w:jc w:val="right"/>
            </w:pPr>
            <w:r w:rsidRPr="00235179">
              <w:t>1 response</w:t>
            </w:r>
          </w:p>
        </w:tc>
        <w:tc>
          <w:tcPr>
            <w:tcW w:w="0" w:type="auto"/>
            <w:shd w:val="clear" w:color="auto" w:fill="auto"/>
            <w:vAlign w:val="bottom"/>
          </w:tcPr>
          <w:p w:rsidRPr="00235179" w:rsidR="0011392D" w:rsidP="005F3674" w:rsidRDefault="0011392D">
            <w:pPr>
              <w:widowControl/>
              <w:jc w:val="right"/>
            </w:pPr>
            <w:r w:rsidRPr="00235179">
              <w:t>21,840 hours</w:t>
            </w:r>
          </w:p>
        </w:tc>
        <w:tc>
          <w:tcPr>
            <w:tcW w:w="0" w:type="auto"/>
            <w:shd w:val="clear" w:color="auto" w:fill="auto"/>
            <w:vAlign w:val="bottom"/>
          </w:tcPr>
          <w:p w:rsidRPr="00235179" w:rsidR="0011392D" w:rsidP="005F3674" w:rsidRDefault="0011392D">
            <w:pPr>
              <w:widowControl/>
              <w:jc w:val="right"/>
            </w:pPr>
            <w:r w:rsidRPr="00235179">
              <w:t>1 response</w:t>
            </w:r>
          </w:p>
        </w:tc>
        <w:tc>
          <w:tcPr>
            <w:tcW w:w="0" w:type="auto"/>
            <w:shd w:val="clear" w:color="auto" w:fill="auto"/>
            <w:vAlign w:val="bottom"/>
          </w:tcPr>
          <w:p w:rsidRPr="00235179" w:rsidR="0011392D" w:rsidP="005F3674" w:rsidRDefault="0011392D">
            <w:pPr>
              <w:widowControl/>
              <w:jc w:val="right"/>
            </w:pPr>
            <w:r w:rsidRPr="00235179">
              <w:t>21,840 hours</w:t>
            </w:r>
          </w:p>
        </w:tc>
        <w:tc>
          <w:tcPr>
            <w:tcW w:w="0" w:type="auto"/>
            <w:shd w:val="clear" w:color="auto" w:fill="auto"/>
            <w:vAlign w:val="bottom"/>
          </w:tcPr>
          <w:p w:rsidRPr="00235179" w:rsidR="0011392D" w:rsidP="005F3674" w:rsidRDefault="0011392D">
            <w:pPr>
              <w:widowControl/>
              <w:jc w:val="right"/>
            </w:pPr>
            <w:r w:rsidRPr="00235179">
              <w:t>0 responses</w:t>
            </w:r>
          </w:p>
        </w:tc>
        <w:tc>
          <w:tcPr>
            <w:tcW w:w="0" w:type="auto"/>
            <w:shd w:val="clear" w:color="auto" w:fill="auto"/>
            <w:vAlign w:val="bottom"/>
          </w:tcPr>
          <w:p w:rsidRPr="00235179" w:rsidR="0011392D" w:rsidP="005F3674" w:rsidRDefault="0011392D">
            <w:pPr>
              <w:widowControl/>
              <w:jc w:val="right"/>
            </w:pPr>
            <w:r w:rsidRPr="00235179">
              <w:t>0 hours</w:t>
            </w:r>
          </w:p>
        </w:tc>
      </w:tr>
      <w:tr w:rsidRPr="00235179" w:rsidR="00BB7425" w:rsidTr="000E1328">
        <w:trPr>
          <w:cantSplit/>
        </w:trPr>
        <w:tc>
          <w:tcPr>
            <w:tcW w:w="0" w:type="auto"/>
            <w:shd w:val="clear" w:color="auto" w:fill="auto"/>
          </w:tcPr>
          <w:p w:rsidRPr="00235179" w:rsidR="0011392D" w:rsidP="005F3674" w:rsidRDefault="0011392D">
            <w:pPr>
              <w:widowControl/>
            </w:pPr>
            <w:r w:rsidRPr="00235179">
              <w:t>Other Reporting (ERO)</w:t>
            </w:r>
          </w:p>
        </w:tc>
        <w:tc>
          <w:tcPr>
            <w:tcW w:w="0" w:type="auto"/>
            <w:shd w:val="clear" w:color="auto" w:fill="auto"/>
            <w:vAlign w:val="bottom"/>
          </w:tcPr>
          <w:p w:rsidRPr="00235179" w:rsidR="0011392D" w:rsidP="005F3674" w:rsidRDefault="0011392D">
            <w:pPr>
              <w:widowControl/>
              <w:jc w:val="right"/>
            </w:pPr>
            <w:r w:rsidRPr="00235179">
              <w:t>1 response</w:t>
            </w:r>
          </w:p>
        </w:tc>
        <w:tc>
          <w:tcPr>
            <w:tcW w:w="0" w:type="auto"/>
            <w:shd w:val="clear" w:color="auto" w:fill="auto"/>
            <w:vAlign w:val="bottom"/>
          </w:tcPr>
          <w:p w:rsidRPr="00235179" w:rsidR="0011392D" w:rsidP="005F3674" w:rsidRDefault="0011392D">
            <w:pPr>
              <w:widowControl/>
              <w:jc w:val="right"/>
            </w:pPr>
            <w:r w:rsidRPr="00235179">
              <w:t xml:space="preserve">2,080 hours </w:t>
            </w:r>
          </w:p>
        </w:tc>
        <w:tc>
          <w:tcPr>
            <w:tcW w:w="0" w:type="auto"/>
            <w:shd w:val="clear" w:color="auto" w:fill="auto"/>
            <w:vAlign w:val="bottom"/>
          </w:tcPr>
          <w:p w:rsidRPr="00235179" w:rsidR="0011392D" w:rsidP="005F3674" w:rsidRDefault="0011392D">
            <w:pPr>
              <w:widowControl/>
              <w:jc w:val="right"/>
            </w:pPr>
            <w:r w:rsidRPr="00235179">
              <w:t>1 response</w:t>
            </w:r>
          </w:p>
        </w:tc>
        <w:tc>
          <w:tcPr>
            <w:tcW w:w="0" w:type="auto"/>
            <w:shd w:val="clear" w:color="auto" w:fill="auto"/>
            <w:vAlign w:val="bottom"/>
          </w:tcPr>
          <w:p w:rsidRPr="00235179" w:rsidR="0011392D" w:rsidP="005F3674" w:rsidRDefault="0011392D">
            <w:pPr>
              <w:widowControl/>
              <w:jc w:val="right"/>
            </w:pPr>
            <w:r w:rsidRPr="00235179">
              <w:t xml:space="preserve">2,080 hours </w:t>
            </w:r>
          </w:p>
        </w:tc>
        <w:tc>
          <w:tcPr>
            <w:tcW w:w="0" w:type="auto"/>
            <w:shd w:val="clear" w:color="auto" w:fill="auto"/>
            <w:vAlign w:val="bottom"/>
          </w:tcPr>
          <w:p w:rsidRPr="00235179" w:rsidR="0011392D" w:rsidP="005F3674" w:rsidRDefault="0011392D">
            <w:pPr>
              <w:widowControl/>
              <w:jc w:val="right"/>
            </w:pPr>
            <w:r w:rsidRPr="00235179">
              <w:t>0 responses</w:t>
            </w:r>
          </w:p>
        </w:tc>
        <w:tc>
          <w:tcPr>
            <w:tcW w:w="0" w:type="auto"/>
            <w:shd w:val="clear" w:color="auto" w:fill="auto"/>
            <w:vAlign w:val="bottom"/>
          </w:tcPr>
          <w:p w:rsidRPr="00235179" w:rsidR="0011392D" w:rsidP="005F3674" w:rsidRDefault="0011392D">
            <w:pPr>
              <w:widowControl/>
              <w:jc w:val="right"/>
            </w:pPr>
            <w:r w:rsidRPr="00235179">
              <w:t>0 hours</w:t>
            </w:r>
          </w:p>
        </w:tc>
      </w:tr>
      <w:tr w:rsidRPr="00235179" w:rsidR="00933BA0" w:rsidTr="000E1328">
        <w:trPr>
          <w:cantSplit/>
        </w:trPr>
        <w:tc>
          <w:tcPr>
            <w:tcW w:w="0" w:type="auto"/>
            <w:shd w:val="clear" w:color="auto" w:fill="auto"/>
          </w:tcPr>
          <w:p w:rsidRPr="00235179" w:rsidR="001F51EB" w:rsidP="005F3674" w:rsidRDefault="001F51EB">
            <w:pPr>
              <w:widowControl/>
            </w:pPr>
            <w:r w:rsidRPr="00235179">
              <w:rPr>
                <w:i/>
              </w:rPr>
              <w:t>ERO, Sub-Total</w:t>
            </w:r>
          </w:p>
        </w:tc>
        <w:tc>
          <w:tcPr>
            <w:tcW w:w="0" w:type="auto"/>
            <w:shd w:val="clear" w:color="auto" w:fill="auto"/>
            <w:vAlign w:val="bottom"/>
          </w:tcPr>
          <w:p w:rsidRPr="00235179" w:rsidR="001F51EB" w:rsidP="005F3674" w:rsidRDefault="007F53E7">
            <w:pPr>
              <w:widowControl/>
              <w:jc w:val="right"/>
              <w:rPr>
                <w:i/>
                <w:iCs/>
              </w:rPr>
            </w:pPr>
            <w:r w:rsidRPr="00235179">
              <w:rPr>
                <w:i/>
                <w:iCs/>
              </w:rPr>
              <w:t>9.83 responses</w:t>
            </w:r>
          </w:p>
        </w:tc>
        <w:tc>
          <w:tcPr>
            <w:tcW w:w="0" w:type="auto"/>
            <w:shd w:val="clear" w:color="auto" w:fill="auto"/>
            <w:vAlign w:val="bottom"/>
          </w:tcPr>
          <w:p w:rsidRPr="00235179" w:rsidR="001F51EB" w:rsidP="005F3674" w:rsidRDefault="00961745">
            <w:pPr>
              <w:widowControl/>
              <w:jc w:val="right"/>
              <w:rPr>
                <w:i/>
                <w:iCs/>
              </w:rPr>
            </w:pPr>
            <w:r w:rsidRPr="00235179">
              <w:rPr>
                <w:i/>
                <w:iCs/>
              </w:rPr>
              <w:t>151</w:t>
            </w:r>
            <w:r w:rsidRPr="00235179" w:rsidR="00857DE8">
              <w:rPr>
                <w:i/>
                <w:iCs/>
              </w:rPr>
              <w:t>,</w:t>
            </w:r>
            <w:r w:rsidRPr="00235179">
              <w:rPr>
                <w:i/>
                <w:iCs/>
              </w:rPr>
              <w:t>653 hours</w:t>
            </w:r>
          </w:p>
        </w:tc>
        <w:tc>
          <w:tcPr>
            <w:tcW w:w="0" w:type="auto"/>
            <w:shd w:val="clear" w:color="auto" w:fill="auto"/>
            <w:vAlign w:val="bottom"/>
          </w:tcPr>
          <w:p w:rsidRPr="00235179" w:rsidR="001F51EB" w:rsidP="005F3674" w:rsidRDefault="00961745">
            <w:pPr>
              <w:widowControl/>
              <w:jc w:val="right"/>
              <w:rPr>
                <w:i/>
                <w:iCs/>
              </w:rPr>
            </w:pPr>
            <w:r w:rsidRPr="00235179">
              <w:rPr>
                <w:i/>
                <w:iCs/>
              </w:rPr>
              <w:t>9.7 responses</w:t>
            </w:r>
          </w:p>
        </w:tc>
        <w:tc>
          <w:tcPr>
            <w:tcW w:w="0" w:type="auto"/>
            <w:shd w:val="clear" w:color="auto" w:fill="auto"/>
            <w:vAlign w:val="bottom"/>
          </w:tcPr>
          <w:p w:rsidRPr="00235179" w:rsidR="001F51EB" w:rsidP="005F3674" w:rsidRDefault="00D94103">
            <w:pPr>
              <w:widowControl/>
              <w:jc w:val="right"/>
              <w:rPr>
                <w:i/>
                <w:iCs/>
              </w:rPr>
            </w:pPr>
            <w:r w:rsidRPr="00235179">
              <w:rPr>
                <w:i/>
                <w:iCs/>
              </w:rPr>
              <w:t>151,112 hours</w:t>
            </w:r>
          </w:p>
        </w:tc>
        <w:tc>
          <w:tcPr>
            <w:tcW w:w="0" w:type="auto"/>
            <w:shd w:val="clear" w:color="auto" w:fill="auto"/>
            <w:vAlign w:val="bottom"/>
          </w:tcPr>
          <w:p w:rsidRPr="00235179" w:rsidR="001F51EB" w:rsidP="005F3674" w:rsidRDefault="00961745">
            <w:pPr>
              <w:widowControl/>
              <w:jc w:val="right"/>
              <w:rPr>
                <w:i/>
                <w:iCs/>
              </w:rPr>
            </w:pPr>
            <w:r w:rsidRPr="00235179">
              <w:rPr>
                <w:i/>
                <w:iCs/>
              </w:rPr>
              <w:t>+ 0.13 response</w:t>
            </w:r>
          </w:p>
        </w:tc>
        <w:tc>
          <w:tcPr>
            <w:tcW w:w="0" w:type="auto"/>
            <w:shd w:val="clear" w:color="auto" w:fill="auto"/>
            <w:vAlign w:val="bottom"/>
          </w:tcPr>
          <w:p w:rsidRPr="00235179" w:rsidR="001F51EB" w:rsidP="005F3674" w:rsidRDefault="00961745">
            <w:pPr>
              <w:widowControl/>
              <w:jc w:val="right"/>
              <w:rPr>
                <w:i/>
                <w:iCs/>
              </w:rPr>
            </w:pPr>
            <w:r w:rsidRPr="00235179">
              <w:rPr>
                <w:i/>
                <w:iCs/>
              </w:rPr>
              <w:t>+ 541 hours</w:t>
            </w:r>
          </w:p>
        </w:tc>
      </w:tr>
      <w:tr w:rsidRPr="00235179" w:rsidR="00933BA0" w:rsidTr="000E1328">
        <w:trPr>
          <w:cantSplit/>
        </w:trPr>
        <w:tc>
          <w:tcPr>
            <w:tcW w:w="0" w:type="auto"/>
            <w:shd w:val="clear" w:color="auto" w:fill="auto"/>
          </w:tcPr>
          <w:p w:rsidRPr="00235179" w:rsidR="0044044F" w:rsidP="005F3674" w:rsidRDefault="0044044F">
            <w:pPr>
              <w:widowControl/>
            </w:pPr>
            <w:r w:rsidRPr="00235179">
              <w:t>Self-Assessments</w:t>
            </w:r>
          </w:p>
          <w:p w:rsidRPr="00235179" w:rsidR="0044044F" w:rsidP="005F3674" w:rsidRDefault="0044044F">
            <w:pPr>
              <w:widowControl/>
            </w:pPr>
            <w:r w:rsidRPr="00235179">
              <w:t>(Regional Entities)</w:t>
            </w:r>
            <w:r w:rsidRPr="00235179" w:rsidR="00184D72">
              <w:rPr>
                <w:rStyle w:val="FootnoteReference"/>
                <w:sz w:val="24"/>
              </w:rPr>
              <w:footnoteReference w:id="15"/>
            </w:r>
          </w:p>
        </w:tc>
        <w:tc>
          <w:tcPr>
            <w:tcW w:w="0" w:type="auto"/>
            <w:shd w:val="clear" w:color="auto" w:fill="auto"/>
            <w:vAlign w:val="bottom"/>
          </w:tcPr>
          <w:p w:rsidRPr="00235179" w:rsidR="0044044F" w:rsidP="005F3674" w:rsidRDefault="0044044F">
            <w:pPr>
              <w:widowControl/>
              <w:jc w:val="right"/>
            </w:pPr>
            <w:r w:rsidRPr="00235179">
              <w:t>1.98</w:t>
            </w:r>
            <w:r w:rsidRPr="00235179" w:rsidR="00CC6FE9">
              <w:t xml:space="preserve"> responses</w:t>
            </w:r>
          </w:p>
        </w:tc>
        <w:tc>
          <w:tcPr>
            <w:tcW w:w="0" w:type="auto"/>
            <w:shd w:val="clear" w:color="auto" w:fill="auto"/>
            <w:vAlign w:val="bottom"/>
          </w:tcPr>
          <w:p w:rsidRPr="00235179" w:rsidR="0044044F" w:rsidP="005F3674" w:rsidRDefault="00CC6FE9">
            <w:pPr>
              <w:widowControl/>
              <w:jc w:val="right"/>
            </w:pPr>
            <w:r w:rsidRPr="00235179">
              <w:t>8,237 hours</w:t>
            </w:r>
          </w:p>
        </w:tc>
        <w:tc>
          <w:tcPr>
            <w:tcW w:w="0" w:type="auto"/>
            <w:shd w:val="clear" w:color="auto" w:fill="auto"/>
            <w:vAlign w:val="bottom"/>
          </w:tcPr>
          <w:p w:rsidRPr="00235179" w:rsidR="0044044F" w:rsidP="005F3674" w:rsidRDefault="0044044F">
            <w:pPr>
              <w:widowControl/>
              <w:jc w:val="right"/>
            </w:pPr>
            <w:r w:rsidRPr="00235179">
              <w:t>1.4</w:t>
            </w:r>
            <w:r w:rsidRPr="00235179" w:rsidR="00CC6FE9">
              <w:t xml:space="preserve"> responses</w:t>
            </w:r>
          </w:p>
        </w:tc>
        <w:tc>
          <w:tcPr>
            <w:tcW w:w="0" w:type="auto"/>
            <w:shd w:val="clear" w:color="auto" w:fill="auto"/>
            <w:vAlign w:val="bottom"/>
          </w:tcPr>
          <w:p w:rsidRPr="00235179" w:rsidR="0044044F" w:rsidP="005F3674" w:rsidRDefault="0044044F">
            <w:pPr>
              <w:widowControl/>
              <w:jc w:val="right"/>
            </w:pPr>
            <w:r w:rsidRPr="00235179">
              <w:t>5,824 hours</w:t>
            </w:r>
          </w:p>
        </w:tc>
        <w:tc>
          <w:tcPr>
            <w:tcW w:w="0" w:type="auto"/>
            <w:shd w:val="clear" w:color="auto" w:fill="auto"/>
            <w:vAlign w:val="bottom"/>
          </w:tcPr>
          <w:p w:rsidRPr="00235179" w:rsidR="0044044F" w:rsidP="005F3674" w:rsidRDefault="0044044F">
            <w:pPr>
              <w:pStyle w:val="Title"/>
              <w:spacing w:before="0" w:after="0"/>
              <w:jc w:val="right"/>
              <w:rPr>
                <w:rFonts w:ascii="Times New Roman" w:hAnsi="Times New Roman"/>
                <w:b w:val="0"/>
                <w:bCs w:val="0"/>
                <w:sz w:val="24"/>
              </w:rPr>
            </w:pPr>
            <w:r w:rsidRPr="00235179">
              <w:rPr>
                <w:rFonts w:ascii="Times New Roman" w:hAnsi="Times New Roman"/>
                <w:b w:val="0"/>
                <w:bCs w:val="0"/>
                <w:sz w:val="24"/>
              </w:rPr>
              <w:t>+ 0.58 response</w:t>
            </w:r>
          </w:p>
        </w:tc>
        <w:tc>
          <w:tcPr>
            <w:tcW w:w="0" w:type="auto"/>
            <w:shd w:val="clear" w:color="auto" w:fill="auto"/>
            <w:vAlign w:val="bottom"/>
          </w:tcPr>
          <w:p w:rsidRPr="00235179" w:rsidR="0044044F" w:rsidP="005F3674" w:rsidRDefault="00B71903">
            <w:pPr>
              <w:widowControl/>
              <w:jc w:val="right"/>
            </w:pPr>
            <w:r w:rsidRPr="00235179">
              <w:t>+ 2,413 hours</w:t>
            </w:r>
          </w:p>
        </w:tc>
      </w:tr>
      <w:tr w:rsidRPr="00235179" w:rsidR="000E1328" w:rsidTr="000E1328">
        <w:trPr>
          <w:cantSplit/>
        </w:trPr>
        <w:tc>
          <w:tcPr>
            <w:tcW w:w="0" w:type="auto"/>
            <w:shd w:val="clear" w:color="auto" w:fill="auto"/>
          </w:tcPr>
          <w:p w:rsidRPr="00235179" w:rsidR="000E1328" w:rsidP="005F3674" w:rsidRDefault="000E1328">
            <w:pPr>
              <w:widowControl/>
            </w:pPr>
            <w:r w:rsidRPr="00235179">
              <w:lastRenderedPageBreak/>
              <w:t>Reliability Assessments</w:t>
            </w:r>
          </w:p>
          <w:p w:rsidRPr="00235179" w:rsidR="000E1328" w:rsidP="005F3674" w:rsidRDefault="000E1328">
            <w:pPr>
              <w:widowControl/>
            </w:pPr>
            <w:r w:rsidRPr="00235179">
              <w:t>(Regional Entities)</w:t>
            </w:r>
          </w:p>
        </w:tc>
        <w:tc>
          <w:tcPr>
            <w:tcW w:w="0" w:type="auto"/>
            <w:shd w:val="clear" w:color="auto" w:fill="auto"/>
            <w:vAlign w:val="bottom"/>
          </w:tcPr>
          <w:p w:rsidRPr="00235179" w:rsidR="000E1328" w:rsidP="005F3674" w:rsidRDefault="000E1328">
            <w:pPr>
              <w:widowControl/>
              <w:jc w:val="right"/>
            </w:pPr>
            <w:r w:rsidRPr="00235179">
              <w:t>6 responses</w:t>
            </w:r>
          </w:p>
        </w:tc>
        <w:tc>
          <w:tcPr>
            <w:tcW w:w="0" w:type="auto"/>
            <w:shd w:val="clear" w:color="auto" w:fill="auto"/>
            <w:vAlign w:val="bottom"/>
          </w:tcPr>
          <w:p w:rsidRPr="00235179" w:rsidR="000E1328" w:rsidP="005F3674" w:rsidRDefault="000E1328">
            <w:pPr>
              <w:widowControl/>
              <w:jc w:val="right"/>
            </w:pPr>
            <w:r w:rsidRPr="00235179">
              <w:t>93,600 hours</w:t>
            </w:r>
          </w:p>
        </w:tc>
        <w:tc>
          <w:tcPr>
            <w:tcW w:w="0" w:type="auto"/>
            <w:shd w:val="clear" w:color="auto" w:fill="auto"/>
            <w:vAlign w:val="bottom"/>
          </w:tcPr>
          <w:p w:rsidRPr="00235179" w:rsidR="000E1328" w:rsidP="005F3674" w:rsidRDefault="000E1328">
            <w:pPr>
              <w:widowControl/>
              <w:jc w:val="right"/>
            </w:pPr>
            <w:r w:rsidRPr="00235179">
              <w:t>7 responses</w:t>
            </w:r>
          </w:p>
        </w:tc>
        <w:tc>
          <w:tcPr>
            <w:tcW w:w="0" w:type="auto"/>
            <w:shd w:val="clear" w:color="auto" w:fill="auto"/>
            <w:vAlign w:val="bottom"/>
          </w:tcPr>
          <w:p w:rsidRPr="00235179" w:rsidR="000E1328" w:rsidP="005F3674" w:rsidRDefault="000E1328">
            <w:pPr>
              <w:widowControl/>
              <w:jc w:val="right"/>
            </w:pPr>
            <w:r w:rsidRPr="00235179">
              <w:t>109,200 hours</w:t>
            </w:r>
          </w:p>
        </w:tc>
        <w:tc>
          <w:tcPr>
            <w:tcW w:w="0" w:type="auto"/>
            <w:shd w:val="clear" w:color="auto" w:fill="auto"/>
            <w:vAlign w:val="bottom"/>
          </w:tcPr>
          <w:p w:rsidRPr="00235179" w:rsidR="000E1328" w:rsidP="005F3674" w:rsidRDefault="000E1328">
            <w:pPr>
              <w:widowControl/>
              <w:jc w:val="right"/>
            </w:pPr>
            <w:r w:rsidRPr="00235179">
              <w:t>‒ 1 response</w:t>
            </w:r>
          </w:p>
        </w:tc>
        <w:tc>
          <w:tcPr>
            <w:tcW w:w="0" w:type="auto"/>
            <w:shd w:val="clear" w:color="auto" w:fill="auto"/>
            <w:vAlign w:val="bottom"/>
          </w:tcPr>
          <w:p w:rsidRPr="00235179" w:rsidR="000E1328" w:rsidP="005F3674" w:rsidRDefault="000E1328">
            <w:pPr>
              <w:widowControl/>
              <w:jc w:val="right"/>
            </w:pPr>
            <w:r w:rsidRPr="00235179">
              <w:t>‒ 15,600 hours</w:t>
            </w:r>
          </w:p>
        </w:tc>
      </w:tr>
      <w:tr w:rsidRPr="00235179" w:rsidR="000E1328" w:rsidTr="000E1328">
        <w:trPr>
          <w:cantSplit/>
        </w:trPr>
        <w:tc>
          <w:tcPr>
            <w:tcW w:w="0" w:type="auto"/>
            <w:shd w:val="clear" w:color="auto" w:fill="auto"/>
          </w:tcPr>
          <w:p w:rsidRPr="00235179" w:rsidR="000E1328" w:rsidP="005F3674" w:rsidRDefault="000E1328">
            <w:pPr>
              <w:widowControl/>
            </w:pPr>
            <w:r w:rsidRPr="00235179">
              <w:t>Reliability Compliance (Regional Entities)</w:t>
            </w:r>
          </w:p>
        </w:tc>
        <w:tc>
          <w:tcPr>
            <w:tcW w:w="0" w:type="auto"/>
            <w:shd w:val="clear" w:color="auto" w:fill="auto"/>
            <w:vAlign w:val="bottom"/>
          </w:tcPr>
          <w:p w:rsidRPr="00235179" w:rsidR="000E1328" w:rsidP="005F3674" w:rsidRDefault="000E1328">
            <w:pPr>
              <w:widowControl/>
              <w:jc w:val="right"/>
            </w:pPr>
            <w:r w:rsidRPr="00235179">
              <w:t>6 responses</w:t>
            </w:r>
          </w:p>
        </w:tc>
        <w:tc>
          <w:tcPr>
            <w:tcW w:w="0" w:type="auto"/>
            <w:shd w:val="clear" w:color="auto" w:fill="auto"/>
            <w:vAlign w:val="bottom"/>
          </w:tcPr>
          <w:p w:rsidRPr="00235179" w:rsidR="000E1328" w:rsidP="005F3674" w:rsidRDefault="00BC5756">
            <w:pPr>
              <w:widowControl/>
              <w:jc w:val="right"/>
            </w:pPr>
            <w:r w:rsidRPr="00235179">
              <w:t>224,640</w:t>
            </w:r>
            <w:r w:rsidRPr="00235179" w:rsidR="000E1328">
              <w:t xml:space="preserve"> hours</w:t>
            </w:r>
          </w:p>
        </w:tc>
        <w:tc>
          <w:tcPr>
            <w:tcW w:w="0" w:type="auto"/>
            <w:shd w:val="clear" w:color="auto" w:fill="auto"/>
            <w:vAlign w:val="bottom"/>
          </w:tcPr>
          <w:p w:rsidRPr="00235179" w:rsidR="000E1328" w:rsidP="005F3674" w:rsidRDefault="000E1328">
            <w:pPr>
              <w:widowControl/>
              <w:jc w:val="right"/>
            </w:pPr>
            <w:r w:rsidRPr="00235179">
              <w:t>7 responses</w:t>
            </w:r>
          </w:p>
        </w:tc>
        <w:tc>
          <w:tcPr>
            <w:tcW w:w="0" w:type="auto"/>
            <w:shd w:val="clear" w:color="auto" w:fill="auto"/>
            <w:vAlign w:val="bottom"/>
          </w:tcPr>
          <w:p w:rsidRPr="00235179" w:rsidR="000E1328" w:rsidP="005F3674" w:rsidRDefault="000E1328">
            <w:pPr>
              <w:widowControl/>
              <w:jc w:val="right"/>
            </w:pPr>
            <w:r w:rsidRPr="00235179">
              <w:t>262,080 hours</w:t>
            </w:r>
          </w:p>
        </w:tc>
        <w:tc>
          <w:tcPr>
            <w:tcW w:w="0" w:type="auto"/>
            <w:shd w:val="clear" w:color="auto" w:fill="auto"/>
            <w:vAlign w:val="bottom"/>
          </w:tcPr>
          <w:p w:rsidRPr="00235179" w:rsidR="000E1328" w:rsidP="005F3674" w:rsidRDefault="000E1328">
            <w:pPr>
              <w:widowControl/>
              <w:jc w:val="right"/>
            </w:pPr>
            <w:r w:rsidRPr="00235179">
              <w:t>‒ 1 response</w:t>
            </w:r>
          </w:p>
        </w:tc>
        <w:tc>
          <w:tcPr>
            <w:tcW w:w="0" w:type="auto"/>
            <w:shd w:val="clear" w:color="auto" w:fill="auto"/>
            <w:vAlign w:val="bottom"/>
          </w:tcPr>
          <w:p w:rsidRPr="00235179" w:rsidR="000E1328" w:rsidP="005F3674" w:rsidRDefault="000E1328">
            <w:pPr>
              <w:widowControl/>
              <w:jc w:val="right"/>
            </w:pPr>
            <w:r w:rsidRPr="00235179">
              <w:t>‒ 37,440 hours</w:t>
            </w:r>
          </w:p>
        </w:tc>
      </w:tr>
      <w:tr w:rsidRPr="00235179" w:rsidR="000E1328" w:rsidTr="000E1328">
        <w:trPr>
          <w:cantSplit/>
        </w:trPr>
        <w:tc>
          <w:tcPr>
            <w:tcW w:w="0" w:type="auto"/>
            <w:shd w:val="clear" w:color="auto" w:fill="auto"/>
          </w:tcPr>
          <w:p w:rsidRPr="00235179" w:rsidR="000E1328" w:rsidP="005F3674" w:rsidRDefault="000E1328">
            <w:pPr>
              <w:widowControl/>
            </w:pPr>
            <w:r w:rsidRPr="00235179">
              <w:t>Standards Development</w:t>
            </w:r>
          </w:p>
          <w:p w:rsidRPr="00235179" w:rsidR="000E1328" w:rsidP="005F3674" w:rsidRDefault="000E1328">
            <w:pPr>
              <w:widowControl/>
            </w:pPr>
            <w:r w:rsidRPr="00235179">
              <w:t>(Regional Entities)</w:t>
            </w:r>
          </w:p>
        </w:tc>
        <w:tc>
          <w:tcPr>
            <w:tcW w:w="0" w:type="auto"/>
            <w:shd w:val="clear" w:color="auto" w:fill="auto"/>
            <w:vAlign w:val="bottom"/>
          </w:tcPr>
          <w:p w:rsidRPr="00235179" w:rsidR="000E1328" w:rsidP="005F3674" w:rsidRDefault="000E1328">
            <w:pPr>
              <w:widowControl/>
              <w:jc w:val="right"/>
            </w:pPr>
            <w:r w:rsidRPr="00235179">
              <w:t>6 responses</w:t>
            </w:r>
          </w:p>
        </w:tc>
        <w:tc>
          <w:tcPr>
            <w:tcW w:w="0" w:type="auto"/>
            <w:shd w:val="clear" w:color="auto" w:fill="auto"/>
            <w:vAlign w:val="bottom"/>
          </w:tcPr>
          <w:p w:rsidRPr="00235179" w:rsidR="000E1328" w:rsidP="005F3674" w:rsidRDefault="00BC5756">
            <w:pPr>
              <w:widowControl/>
              <w:jc w:val="right"/>
            </w:pPr>
            <w:r w:rsidRPr="00235179">
              <w:t>14,040</w:t>
            </w:r>
            <w:r w:rsidRPr="00235179" w:rsidR="000E1328">
              <w:t xml:space="preserve"> hours</w:t>
            </w:r>
          </w:p>
        </w:tc>
        <w:tc>
          <w:tcPr>
            <w:tcW w:w="0" w:type="auto"/>
            <w:shd w:val="clear" w:color="auto" w:fill="auto"/>
            <w:vAlign w:val="bottom"/>
          </w:tcPr>
          <w:p w:rsidRPr="00235179" w:rsidR="000E1328" w:rsidP="005F3674" w:rsidRDefault="000E1328">
            <w:pPr>
              <w:widowControl/>
              <w:jc w:val="right"/>
            </w:pPr>
            <w:r w:rsidRPr="00235179">
              <w:t>7 responses</w:t>
            </w:r>
          </w:p>
        </w:tc>
        <w:tc>
          <w:tcPr>
            <w:tcW w:w="0" w:type="auto"/>
            <w:shd w:val="clear" w:color="auto" w:fill="auto"/>
            <w:vAlign w:val="bottom"/>
          </w:tcPr>
          <w:p w:rsidRPr="00235179" w:rsidR="000E1328" w:rsidP="005F3674" w:rsidRDefault="000E1328">
            <w:pPr>
              <w:widowControl/>
              <w:jc w:val="right"/>
            </w:pPr>
            <w:r w:rsidRPr="00235179">
              <w:t>16,380 hours</w:t>
            </w:r>
          </w:p>
        </w:tc>
        <w:tc>
          <w:tcPr>
            <w:tcW w:w="0" w:type="auto"/>
            <w:shd w:val="clear" w:color="auto" w:fill="auto"/>
            <w:vAlign w:val="bottom"/>
          </w:tcPr>
          <w:p w:rsidRPr="00235179" w:rsidR="000E1328" w:rsidP="005F3674" w:rsidRDefault="000E1328">
            <w:pPr>
              <w:widowControl/>
              <w:jc w:val="right"/>
            </w:pPr>
            <w:r w:rsidRPr="00235179">
              <w:t>‒ 1 response</w:t>
            </w:r>
          </w:p>
        </w:tc>
        <w:tc>
          <w:tcPr>
            <w:tcW w:w="0" w:type="auto"/>
            <w:shd w:val="clear" w:color="auto" w:fill="auto"/>
            <w:vAlign w:val="bottom"/>
          </w:tcPr>
          <w:p w:rsidRPr="00235179" w:rsidR="000E1328" w:rsidP="005F3674" w:rsidRDefault="000E1328">
            <w:pPr>
              <w:widowControl/>
              <w:jc w:val="right"/>
            </w:pPr>
            <w:r w:rsidRPr="00235179">
              <w:t>‒ 2,340 hours</w:t>
            </w:r>
          </w:p>
        </w:tc>
      </w:tr>
      <w:tr w:rsidRPr="00235179" w:rsidR="000E1328" w:rsidTr="000E1328">
        <w:trPr>
          <w:cantSplit/>
        </w:trPr>
        <w:tc>
          <w:tcPr>
            <w:tcW w:w="0" w:type="auto"/>
            <w:shd w:val="clear" w:color="auto" w:fill="auto"/>
          </w:tcPr>
          <w:p w:rsidRPr="00235179" w:rsidR="000E1328" w:rsidP="005F3674" w:rsidRDefault="000E1328">
            <w:pPr>
              <w:widowControl/>
            </w:pPr>
            <w:r w:rsidRPr="00235179">
              <w:t>Other Reporting</w:t>
            </w:r>
          </w:p>
          <w:p w:rsidRPr="00235179" w:rsidR="000E1328" w:rsidP="005F3674" w:rsidRDefault="000E1328">
            <w:pPr>
              <w:widowControl/>
            </w:pPr>
            <w:r w:rsidRPr="00235179">
              <w:t>(Regional Entities)</w:t>
            </w:r>
          </w:p>
        </w:tc>
        <w:tc>
          <w:tcPr>
            <w:tcW w:w="0" w:type="auto"/>
            <w:shd w:val="clear" w:color="auto" w:fill="auto"/>
            <w:vAlign w:val="bottom"/>
          </w:tcPr>
          <w:p w:rsidRPr="00235179" w:rsidR="000E1328" w:rsidP="005F3674" w:rsidRDefault="000E1328">
            <w:pPr>
              <w:widowControl/>
              <w:jc w:val="right"/>
            </w:pPr>
            <w:r w:rsidRPr="00235179">
              <w:t>6 responses</w:t>
            </w:r>
          </w:p>
        </w:tc>
        <w:tc>
          <w:tcPr>
            <w:tcW w:w="0" w:type="auto"/>
            <w:shd w:val="clear" w:color="auto" w:fill="auto"/>
            <w:vAlign w:val="bottom"/>
          </w:tcPr>
          <w:p w:rsidRPr="00235179" w:rsidR="000E1328" w:rsidP="005F3674" w:rsidRDefault="00BC5756">
            <w:pPr>
              <w:widowControl/>
              <w:jc w:val="right"/>
            </w:pPr>
            <w:r w:rsidRPr="00235179">
              <w:t>6,240</w:t>
            </w:r>
            <w:r w:rsidRPr="00235179" w:rsidR="000E1328">
              <w:t xml:space="preserve"> hours</w:t>
            </w:r>
          </w:p>
        </w:tc>
        <w:tc>
          <w:tcPr>
            <w:tcW w:w="0" w:type="auto"/>
            <w:shd w:val="clear" w:color="auto" w:fill="auto"/>
            <w:vAlign w:val="bottom"/>
          </w:tcPr>
          <w:p w:rsidRPr="00235179" w:rsidR="000E1328" w:rsidP="005F3674" w:rsidRDefault="000E1328">
            <w:pPr>
              <w:widowControl/>
              <w:jc w:val="right"/>
            </w:pPr>
            <w:r w:rsidRPr="00235179">
              <w:t>7 responses</w:t>
            </w:r>
          </w:p>
        </w:tc>
        <w:tc>
          <w:tcPr>
            <w:tcW w:w="0" w:type="auto"/>
            <w:shd w:val="clear" w:color="auto" w:fill="auto"/>
            <w:vAlign w:val="bottom"/>
          </w:tcPr>
          <w:p w:rsidRPr="00235179" w:rsidR="000E1328" w:rsidP="005F3674" w:rsidRDefault="000E1328">
            <w:pPr>
              <w:widowControl/>
              <w:jc w:val="right"/>
            </w:pPr>
            <w:r w:rsidRPr="00235179">
              <w:t>7,280 hours</w:t>
            </w:r>
          </w:p>
        </w:tc>
        <w:tc>
          <w:tcPr>
            <w:tcW w:w="0" w:type="auto"/>
            <w:shd w:val="clear" w:color="auto" w:fill="auto"/>
            <w:vAlign w:val="bottom"/>
          </w:tcPr>
          <w:p w:rsidRPr="00235179" w:rsidR="000E1328" w:rsidP="005F3674" w:rsidRDefault="000E1328">
            <w:pPr>
              <w:widowControl/>
              <w:jc w:val="right"/>
            </w:pPr>
            <w:r w:rsidRPr="00235179">
              <w:t>‒ 1 response</w:t>
            </w:r>
          </w:p>
        </w:tc>
        <w:tc>
          <w:tcPr>
            <w:tcW w:w="0" w:type="auto"/>
            <w:shd w:val="clear" w:color="auto" w:fill="auto"/>
            <w:vAlign w:val="bottom"/>
          </w:tcPr>
          <w:p w:rsidRPr="00235179" w:rsidR="000E1328" w:rsidP="005F3674" w:rsidRDefault="000E1328">
            <w:pPr>
              <w:widowControl/>
              <w:jc w:val="right"/>
            </w:pPr>
            <w:r w:rsidRPr="00235179">
              <w:t>‒ 1,040 hours</w:t>
            </w:r>
          </w:p>
        </w:tc>
      </w:tr>
      <w:tr w:rsidRPr="00235179" w:rsidR="000E1328" w:rsidTr="00A47A34">
        <w:trPr>
          <w:cantSplit/>
        </w:trPr>
        <w:tc>
          <w:tcPr>
            <w:tcW w:w="0" w:type="auto"/>
            <w:shd w:val="clear" w:color="auto" w:fill="auto"/>
          </w:tcPr>
          <w:p w:rsidRPr="00235179" w:rsidR="000E1328" w:rsidP="005F3674" w:rsidRDefault="000E1328">
            <w:pPr>
              <w:widowControl/>
            </w:pPr>
            <w:r w:rsidRPr="00235179">
              <w:rPr>
                <w:i/>
              </w:rPr>
              <w:t>Regional Entities, Sub-Total</w:t>
            </w:r>
          </w:p>
        </w:tc>
        <w:tc>
          <w:tcPr>
            <w:tcW w:w="0" w:type="auto"/>
            <w:shd w:val="clear" w:color="auto" w:fill="auto"/>
            <w:vAlign w:val="bottom"/>
          </w:tcPr>
          <w:p w:rsidRPr="00235179" w:rsidR="000E1328" w:rsidP="005F3674" w:rsidRDefault="000E1328">
            <w:pPr>
              <w:widowControl/>
              <w:jc w:val="right"/>
              <w:rPr>
                <w:i/>
                <w:iCs/>
              </w:rPr>
            </w:pPr>
            <w:r w:rsidRPr="00235179">
              <w:rPr>
                <w:i/>
                <w:iCs/>
              </w:rPr>
              <w:t>25.98 responses</w:t>
            </w:r>
          </w:p>
        </w:tc>
        <w:tc>
          <w:tcPr>
            <w:tcW w:w="0" w:type="auto"/>
            <w:shd w:val="clear" w:color="auto" w:fill="auto"/>
            <w:vAlign w:val="bottom"/>
          </w:tcPr>
          <w:p w:rsidRPr="00235179" w:rsidR="000E1328" w:rsidP="005F3674" w:rsidRDefault="00644E1A">
            <w:pPr>
              <w:widowControl/>
              <w:jc w:val="right"/>
              <w:rPr>
                <w:i/>
                <w:iCs/>
              </w:rPr>
            </w:pPr>
            <w:r w:rsidRPr="00235179">
              <w:rPr>
                <w:i/>
                <w:iCs/>
              </w:rPr>
              <w:t>346,757</w:t>
            </w:r>
            <w:r w:rsidRPr="00235179" w:rsidR="000E1328">
              <w:rPr>
                <w:i/>
                <w:iCs/>
              </w:rPr>
              <w:t xml:space="preserve"> hours</w:t>
            </w:r>
          </w:p>
        </w:tc>
        <w:tc>
          <w:tcPr>
            <w:tcW w:w="0" w:type="auto"/>
            <w:shd w:val="clear" w:color="auto" w:fill="auto"/>
            <w:vAlign w:val="bottom"/>
          </w:tcPr>
          <w:p w:rsidRPr="00235179" w:rsidR="000E1328" w:rsidP="005F3674" w:rsidRDefault="000E1328">
            <w:pPr>
              <w:widowControl/>
              <w:jc w:val="right"/>
              <w:rPr>
                <w:i/>
                <w:iCs/>
              </w:rPr>
            </w:pPr>
            <w:r w:rsidRPr="00235179">
              <w:rPr>
                <w:i/>
                <w:iCs/>
              </w:rPr>
              <w:t>29.4 responses</w:t>
            </w:r>
          </w:p>
        </w:tc>
        <w:tc>
          <w:tcPr>
            <w:tcW w:w="0" w:type="auto"/>
            <w:shd w:val="clear" w:color="auto" w:fill="auto"/>
            <w:vAlign w:val="bottom"/>
          </w:tcPr>
          <w:p w:rsidRPr="00235179" w:rsidR="000E1328" w:rsidP="005F3674" w:rsidRDefault="000E1328">
            <w:pPr>
              <w:widowControl/>
              <w:jc w:val="right"/>
              <w:rPr>
                <w:i/>
              </w:rPr>
            </w:pPr>
            <w:r w:rsidRPr="00235179">
              <w:rPr>
                <w:i/>
              </w:rPr>
              <w:t>400,764 hours</w:t>
            </w:r>
          </w:p>
        </w:tc>
        <w:tc>
          <w:tcPr>
            <w:tcW w:w="0" w:type="auto"/>
            <w:shd w:val="clear" w:color="auto" w:fill="auto"/>
            <w:vAlign w:val="bottom"/>
          </w:tcPr>
          <w:p w:rsidRPr="00235179" w:rsidR="000E1328" w:rsidP="005F3674" w:rsidRDefault="00810DBB">
            <w:pPr>
              <w:widowControl/>
              <w:jc w:val="right"/>
              <w:rPr>
                <w:i/>
                <w:iCs/>
              </w:rPr>
            </w:pPr>
            <w:r w:rsidRPr="00235179">
              <w:rPr>
                <w:i/>
                <w:iCs/>
              </w:rPr>
              <w:t>‒</w:t>
            </w:r>
            <w:r w:rsidRPr="00235179" w:rsidR="000E1328">
              <w:rPr>
                <w:i/>
                <w:iCs/>
              </w:rPr>
              <w:t xml:space="preserve"> </w:t>
            </w:r>
            <w:r w:rsidRPr="00235179">
              <w:rPr>
                <w:i/>
                <w:iCs/>
              </w:rPr>
              <w:t xml:space="preserve">3.42 </w:t>
            </w:r>
            <w:r w:rsidRPr="00235179" w:rsidR="000E1328">
              <w:rPr>
                <w:i/>
                <w:iCs/>
              </w:rPr>
              <w:t>responses</w:t>
            </w:r>
          </w:p>
        </w:tc>
        <w:tc>
          <w:tcPr>
            <w:tcW w:w="0" w:type="auto"/>
            <w:shd w:val="clear" w:color="auto" w:fill="auto"/>
            <w:vAlign w:val="bottom"/>
          </w:tcPr>
          <w:p w:rsidRPr="00235179" w:rsidR="000E1328" w:rsidP="005F3674" w:rsidRDefault="0072531E">
            <w:pPr>
              <w:widowControl/>
              <w:jc w:val="right"/>
              <w:rPr>
                <w:i/>
                <w:iCs/>
              </w:rPr>
            </w:pPr>
            <w:r w:rsidRPr="00235179">
              <w:rPr>
                <w:i/>
                <w:iCs/>
              </w:rPr>
              <w:t xml:space="preserve">‒ </w:t>
            </w:r>
            <w:r w:rsidRPr="00235179" w:rsidR="006D3CFD">
              <w:rPr>
                <w:i/>
                <w:iCs/>
              </w:rPr>
              <w:t>54</w:t>
            </w:r>
            <w:r w:rsidRPr="00235179" w:rsidR="00A47A34">
              <w:rPr>
                <w:i/>
                <w:iCs/>
              </w:rPr>
              <w:t>,</w:t>
            </w:r>
            <w:r w:rsidRPr="00235179" w:rsidR="006D3CFD">
              <w:rPr>
                <w:i/>
                <w:iCs/>
              </w:rPr>
              <w:t>007 hours</w:t>
            </w:r>
          </w:p>
        </w:tc>
      </w:tr>
      <w:tr w:rsidRPr="00235179" w:rsidR="000E1328" w:rsidTr="000E1328">
        <w:trPr>
          <w:cantSplit/>
        </w:trPr>
        <w:tc>
          <w:tcPr>
            <w:tcW w:w="0" w:type="auto"/>
            <w:shd w:val="clear" w:color="auto" w:fill="auto"/>
          </w:tcPr>
          <w:p w:rsidRPr="00235179" w:rsidR="000E1328" w:rsidP="005F3674" w:rsidRDefault="000E1328">
            <w:pPr>
              <w:widowControl/>
              <w:rPr>
                <w:iCs/>
              </w:rPr>
            </w:pPr>
            <w:r w:rsidRPr="00235179">
              <w:rPr>
                <w:iCs/>
              </w:rPr>
              <w:t>Stakeholder Survey (Registered Entities)</w:t>
            </w:r>
          </w:p>
        </w:tc>
        <w:tc>
          <w:tcPr>
            <w:tcW w:w="0" w:type="auto"/>
            <w:shd w:val="clear" w:color="auto" w:fill="auto"/>
            <w:vAlign w:val="bottom"/>
          </w:tcPr>
          <w:p w:rsidRPr="00235179" w:rsidR="000E1328" w:rsidP="005F3674" w:rsidRDefault="000E1328">
            <w:pPr>
              <w:widowControl/>
              <w:jc w:val="right"/>
            </w:pPr>
            <w:r w:rsidRPr="00235179">
              <w:t>281.8 responses</w:t>
            </w:r>
          </w:p>
        </w:tc>
        <w:tc>
          <w:tcPr>
            <w:tcW w:w="0" w:type="auto"/>
            <w:shd w:val="clear" w:color="auto" w:fill="auto"/>
            <w:vAlign w:val="bottom"/>
          </w:tcPr>
          <w:p w:rsidRPr="00235179" w:rsidR="000E1328" w:rsidP="005F3674" w:rsidRDefault="000E1328">
            <w:pPr>
              <w:widowControl/>
              <w:jc w:val="right"/>
            </w:pPr>
            <w:r w:rsidRPr="00235179">
              <w:t>2,254 hours</w:t>
            </w:r>
          </w:p>
        </w:tc>
        <w:tc>
          <w:tcPr>
            <w:tcW w:w="0" w:type="auto"/>
            <w:shd w:val="clear" w:color="auto" w:fill="auto"/>
            <w:vAlign w:val="bottom"/>
          </w:tcPr>
          <w:p w:rsidRPr="00235179" w:rsidR="000E1328" w:rsidP="005F3674" w:rsidRDefault="000E1328">
            <w:pPr>
              <w:widowControl/>
              <w:jc w:val="right"/>
            </w:pPr>
            <w:r w:rsidRPr="00235179">
              <w:t>281.8 responses</w:t>
            </w:r>
          </w:p>
        </w:tc>
        <w:tc>
          <w:tcPr>
            <w:tcW w:w="0" w:type="auto"/>
            <w:shd w:val="clear" w:color="auto" w:fill="auto"/>
            <w:vAlign w:val="bottom"/>
          </w:tcPr>
          <w:p w:rsidRPr="00235179" w:rsidR="000E1328" w:rsidP="005F3674" w:rsidRDefault="000E1328">
            <w:pPr>
              <w:widowControl/>
              <w:jc w:val="right"/>
            </w:pPr>
            <w:r w:rsidRPr="00235179">
              <w:t>2,254 hours</w:t>
            </w:r>
          </w:p>
        </w:tc>
        <w:tc>
          <w:tcPr>
            <w:tcW w:w="0" w:type="auto"/>
            <w:shd w:val="clear" w:color="auto" w:fill="auto"/>
            <w:vAlign w:val="bottom"/>
          </w:tcPr>
          <w:p w:rsidRPr="00235179" w:rsidR="000E1328" w:rsidP="005F3674" w:rsidRDefault="000E1328">
            <w:pPr>
              <w:widowControl/>
              <w:jc w:val="right"/>
            </w:pPr>
            <w:r w:rsidRPr="00235179">
              <w:t>0 responses</w:t>
            </w:r>
          </w:p>
        </w:tc>
        <w:tc>
          <w:tcPr>
            <w:tcW w:w="0" w:type="auto"/>
            <w:shd w:val="clear" w:color="auto" w:fill="auto"/>
            <w:vAlign w:val="bottom"/>
          </w:tcPr>
          <w:p w:rsidRPr="00235179" w:rsidR="000E1328" w:rsidP="005F3674" w:rsidRDefault="000E1328">
            <w:pPr>
              <w:widowControl/>
              <w:jc w:val="right"/>
            </w:pPr>
            <w:r w:rsidRPr="00235179">
              <w:t>0 hours</w:t>
            </w:r>
          </w:p>
        </w:tc>
      </w:tr>
      <w:tr w:rsidRPr="00235179" w:rsidR="000E1328" w:rsidTr="000E1328">
        <w:trPr>
          <w:cantSplit/>
        </w:trPr>
        <w:tc>
          <w:tcPr>
            <w:tcW w:w="0" w:type="auto"/>
            <w:shd w:val="clear" w:color="auto" w:fill="auto"/>
          </w:tcPr>
          <w:p w:rsidRPr="00235179" w:rsidR="000E1328" w:rsidP="005F3674" w:rsidRDefault="000E1328">
            <w:pPr>
              <w:widowControl/>
              <w:rPr>
                <w:iCs/>
              </w:rPr>
            </w:pPr>
            <w:r w:rsidRPr="00235179">
              <w:rPr>
                <w:iCs/>
              </w:rPr>
              <w:t>Reliability Compliance (Registered Entities)</w:t>
            </w:r>
          </w:p>
        </w:tc>
        <w:tc>
          <w:tcPr>
            <w:tcW w:w="0" w:type="auto"/>
            <w:shd w:val="clear" w:color="auto" w:fill="auto"/>
            <w:vAlign w:val="bottom"/>
          </w:tcPr>
          <w:p w:rsidRPr="00235179" w:rsidR="000E1328" w:rsidP="005F3674" w:rsidRDefault="000E1328">
            <w:pPr>
              <w:widowControl/>
              <w:jc w:val="right"/>
            </w:pPr>
            <w:r w:rsidRPr="00235179">
              <w:t>1,409 responses</w:t>
            </w:r>
          </w:p>
        </w:tc>
        <w:tc>
          <w:tcPr>
            <w:tcW w:w="0" w:type="auto"/>
            <w:shd w:val="clear" w:color="auto" w:fill="auto"/>
            <w:vAlign w:val="bottom"/>
          </w:tcPr>
          <w:p w:rsidRPr="00235179" w:rsidR="000E1328" w:rsidP="005F3674" w:rsidRDefault="000E1328">
            <w:pPr>
              <w:widowControl/>
              <w:jc w:val="right"/>
            </w:pPr>
            <w:r w:rsidRPr="00235179">
              <w:t>563,600 hours</w:t>
            </w:r>
          </w:p>
        </w:tc>
        <w:tc>
          <w:tcPr>
            <w:tcW w:w="0" w:type="auto"/>
            <w:shd w:val="clear" w:color="auto" w:fill="auto"/>
            <w:vAlign w:val="bottom"/>
          </w:tcPr>
          <w:p w:rsidRPr="00235179" w:rsidR="000E1328" w:rsidP="005F3674" w:rsidRDefault="000E1328">
            <w:pPr>
              <w:widowControl/>
              <w:jc w:val="right"/>
            </w:pPr>
            <w:r w:rsidRPr="00235179">
              <w:t>1,409 responses</w:t>
            </w:r>
          </w:p>
        </w:tc>
        <w:tc>
          <w:tcPr>
            <w:tcW w:w="0" w:type="auto"/>
            <w:shd w:val="clear" w:color="auto" w:fill="auto"/>
            <w:vAlign w:val="bottom"/>
          </w:tcPr>
          <w:p w:rsidRPr="00235179" w:rsidR="000E1328" w:rsidP="005F3674" w:rsidRDefault="000E1328">
            <w:pPr>
              <w:widowControl/>
              <w:jc w:val="right"/>
            </w:pPr>
            <w:r w:rsidRPr="00235179">
              <w:t>563,600 hours</w:t>
            </w:r>
          </w:p>
        </w:tc>
        <w:tc>
          <w:tcPr>
            <w:tcW w:w="0" w:type="auto"/>
            <w:shd w:val="clear" w:color="auto" w:fill="auto"/>
            <w:vAlign w:val="bottom"/>
          </w:tcPr>
          <w:p w:rsidRPr="00235179" w:rsidR="000E1328" w:rsidP="005F3674" w:rsidRDefault="000E1328">
            <w:pPr>
              <w:widowControl/>
              <w:jc w:val="right"/>
            </w:pPr>
            <w:r w:rsidRPr="00235179">
              <w:t>0 responses</w:t>
            </w:r>
          </w:p>
        </w:tc>
        <w:tc>
          <w:tcPr>
            <w:tcW w:w="0" w:type="auto"/>
            <w:shd w:val="clear" w:color="auto" w:fill="auto"/>
            <w:vAlign w:val="bottom"/>
          </w:tcPr>
          <w:p w:rsidRPr="00235179" w:rsidR="000E1328" w:rsidP="005F3674" w:rsidRDefault="000E1328">
            <w:pPr>
              <w:widowControl/>
              <w:jc w:val="right"/>
            </w:pPr>
            <w:r w:rsidRPr="00235179">
              <w:t>0 hours</w:t>
            </w:r>
          </w:p>
        </w:tc>
      </w:tr>
      <w:tr w:rsidRPr="00235179" w:rsidR="000E1328" w:rsidTr="000E1328">
        <w:trPr>
          <w:cantSplit/>
        </w:trPr>
        <w:tc>
          <w:tcPr>
            <w:tcW w:w="0" w:type="auto"/>
            <w:shd w:val="clear" w:color="auto" w:fill="auto"/>
          </w:tcPr>
          <w:p w:rsidRPr="00235179" w:rsidR="000E1328" w:rsidP="005F3674" w:rsidRDefault="000E1328">
            <w:pPr>
              <w:widowControl/>
              <w:rPr>
                <w:i/>
              </w:rPr>
            </w:pPr>
            <w:r w:rsidRPr="00235179">
              <w:rPr>
                <w:i/>
              </w:rPr>
              <w:t>Registered Entities, Sub-Total</w:t>
            </w:r>
          </w:p>
        </w:tc>
        <w:tc>
          <w:tcPr>
            <w:tcW w:w="0" w:type="auto"/>
            <w:shd w:val="clear" w:color="auto" w:fill="auto"/>
            <w:vAlign w:val="bottom"/>
          </w:tcPr>
          <w:p w:rsidRPr="00235179" w:rsidR="000E1328" w:rsidP="005F3674" w:rsidRDefault="000E1328">
            <w:pPr>
              <w:widowControl/>
              <w:jc w:val="right"/>
              <w:rPr>
                <w:i/>
                <w:iCs/>
              </w:rPr>
            </w:pPr>
            <w:r w:rsidRPr="00235179">
              <w:rPr>
                <w:i/>
                <w:iCs/>
              </w:rPr>
              <w:t>1,690.8 responses</w:t>
            </w:r>
          </w:p>
        </w:tc>
        <w:tc>
          <w:tcPr>
            <w:tcW w:w="0" w:type="auto"/>
            <w:shd w:val="clear" w:color="auto" w:fill="auto"/>
            <w:vAlign w:val="bottom"/>
          </w:tcPr>
          <w:p w:rsidRPr="00235179" w:rsidR="000E1328" w:rsidP="005F3674" w:rsidRDefault="000E1328">
            <w:pPr>
              <w:widowControl/>
              <w:jc w:val="right"/>
              <w:rPr>
                <w:i/>
                <w:iCs/>
              </w:rPr>
            </w:pPr>
            <w:r w:rsidRPr="00235179">
              <w:rPr>
                <w:i/>
                <w:iCs/>
              </w:rPr>
              <w:t>565,854 hours</w:t>
            </w:r>
          </w:p>
        </w:tc>
        <w:tc>
          <w:tcPr>
            <w:tcW w:w="0" w:type="auto"/>
            <w:shd w:val="clear" w:color="auto" w:fill="auto"/>
            <w:vAlign w:val="bottom"/>
          </w:tcPr>
          <w:p w:rsidRPr="00235179" w:rsidR="000E1328" w:rsidP="005F3674" w:rsidRDefault="000E1328">
            <w:pPr>
              <w:widowControl/>
              <w:jc w:val="right"/>
              <w:rPr>
                <w:i/>
                <w:iCs/>
              </w:rPr>
            </w:pPr>
            <w:r w:rsidRPr="00235179">
              <w:rPr>
                <w:i/>
                <w:iCs/>
              </w:rPr>
              <w:t>1,690.8 responses</w:t>
            </w:r>
          </w:p>
        </w:tc>
        <w:tc>
          <w:tcPr>
            <w:tcW w:w="0" w:type="auto"/>
            <w:shd w:val="clear" w:color="auto" w:fill="auto"/>
            <w:vAlign w:val="bottom"/>
          </w:tcPr>
          <w:p w:rsidRPr="00235179" w:rsidR="000E1328" w:rsidP="005F3674" w:rsidRDefault="000E1328">
            <w:pPr>
              <w:widowControl/>
              <w:jc w:val="right"/>
              <w:rPr>
                <w:i/>
                <w:iCs/>
              </w:rPr>
            </w:pPr>
            <w:r w:rsidRPr="00235179">
              <w:rPr>
                <w:i/>
                <w:iCs/>
              </w:rPr>
              <w:t>565,854 hours</w:t>
            </w:r>
          </w:p>
        </w:tc>
        <w:tc>
          <w:tcPr>
            <w:tcW w:w="0" w:type="auto"/>
            <w:shd w:val="clear" w:color="auto" w:fill="auto"/>
            <w:vAlign w:val="bottom"/>
          </w:tcPr>
          <w:p w:rsidRPr="00235179" w:rsidR="000E1328" w:rsidP="005F3674" w:rsidRDefault="000E1328">
            <w:pPr>
              <w:widowControl/>
              <w:jc w:val="right"/>
              <w:rPr>
                <w:i/>
                <w:iCs/>
              </w:rPr>
            </w:pPr>
            <w:r w:rsidRPr="00235179">
              <w:rPr>
                <w:i/>
                <w:iCs/>
              </w:rPr>
              <w:t>0 responses</w:t>
            </w:r>
          </w:p>
        </w:tc>
        <w:tc>
          <w:tcPr>
            <w:tcW w:w="0" w:type="auto"/>
            <w:shd w:val="clear" w:color="auto" w:fill="auto"/>
            <w:vAlign w:val="bottom"/>
          </w:tcPr>
          <w:p w:rsidRPr="00235179" w:rsidR="000E1328" w:rsidP="005F3674" w:rsidRDefault="000E1328">
            <w:pPr>
              <w:widowControl/>
              <w:jc w:val="right"/>
              <w:rPr>
                <w:i/>
                <w:iCs/>
              </w:rPr>
            </w:pPr>
            <w:r w:rsidRPr="00235179">
              <w:rPr>
                <w:i/>
                <w:iCs/>
              </w:rPr>
              <w:t>0 hours</w:t>
            </w:r>
          </w:p>
        </w:tc>
      </w:tr>
      <w:tr w:rsidRPr="00235179" w:rsidR="000E1328" w:rsidTr="000E1328">
        <w:trPr>
          <w:cantSplit/>
        </w:trPr>
        <w:tc>
          <w:tcPr>
            <w:tcW w:w="0" w:type="auto"/>
            <w:shd w:val="clear" w:color="auto" w:fill="auto"/>
            <w:vAlign w:val="center"/>
          </w:tcPr>
          <w:p w:rsidRPr="00235179" w:rsidR="000E1328" w:rsidP="005F3674" w:rsidRDefault="000E1328">
            <w:pPr>
              <w:widowControl/>
              <w:jc w:val="center"/>
              <w:rPr>
                <w:b/>
                <w:bCs/>
                <w:iCs/>
              </w:rPr>
            </w:pPr>
            <w:r w:rsidRPr="00235179">
              <w:rPr>
                <w:b/>
                <w:bCs/>
                <w:iCs/>
              </w:rPr>
              <w:t>Totals</w:t>
            </w:r>
          </w:p>
        </w:tc>
        <w:tc>
          <w:tcPr>
            <w:tcW w:w="0" w:type="auto"/>
            <w:shd w:val="clear" w:color="auto" w:fill="auto"/>
            <w:vAlign w:val="bottom"/>
          </w:tcPr>
          <w:p w:rsidRPr="00235179" w:rsidR="000E1328" w:rsidP="005F3674" w:rsidRDefault="000E1328">
            <w:pPr>
              <w:widowControl/>
              <w:jc w:val="right"/>
            </w:pPr>
            <w:r w:rsidRPr="00235179">
              <w:t>17</w:t>
            </w:r>
            <w:r w:rsidRPr="00235179" w:rsidR="0030428C">
              <w:t>26</w:t>
            </w:r>
            <w:r w:rsidRPr="00235179">
              <w:t>.61 responses</w:t>
            </w:r>
          </w:p>
        </w:tc>
        <w:tc>
          <w:tcPr>
            <w:tcW w:w="0" w:type="auto"/>
            <w:shd w:val="clear" w:color="auto" w:fill="auto"/>
            <w:vAlign w:val="bottom"/>
          </w:tcPr>
          <w:p w:rsidRPr="00235179" w:rsidR="000E1328" w:rsidP="005F3674" w:rsidRDefault="000E1328">
            <w:pPr>
              <w:widowControl/>
              <w:jc w:val="right"/>
            </w:pPr>
            <w:r w:rsidRPr="00235179">
              <w:t>1,</w:t>
            </w:r>
            <w:r w:rsidRPr="00235179" w:rsidR="00E5169B">
              <w:t xml:space="preserve">064,264 </w:t>
            </w:r>
            <w:r w:rsidRPr="00235179">
              <w:t>hours</w:t>
            </w:r>
          </w:p>
        </w:tc>
        <w:tc>
          <w:tcPr>
            <w:tcW w:w="0" w:type="auto"/>
            <w:shd w:val="clear" w:color="auto" w:fill="auto"/>
            <w:vAlign w:val="bottom"/>
          </w:tcPr>
          <w:p w:rsidRPr="00235179" w:rsidR="000E1328" w:rsidP="005F3674" w:rsidRDefault="000E1328">
            <w:pPr>
              <w:widowControl/>
              <w:jc w:val="right"/>
            </w:pPr>
            <w:r w:rsidRPr="00235179">
              <w:t>1,729.9 responses</w:t>
            </w:r>
          </w:p>
        </w:tc>
        <w:tc>
          <w:tcPr>
            <w:tcW w:w="0" w:type="auto"/>
            <w:shd w:val="clear" w:color="auto" w:fill="auto"/>
            <w:vAlign w:val="bottom"/>
          </w:tcPr>
          <w:p w:rsidRPr="00235179" w:rsidR="000E1328" w:rsidP="005F3674" w:rsidRDefault="000E1328">
            <w:pPr>
              <w:widowControl/>
              <w:jc w:val="right"/>
            </w:pPr>
            <w:r w:rsidRPr="00235179">
              <w:t>1,117,730 hours</w:t>
            </w:r>
          </w:p>
        </w:tc>
        <w:tc>
          <w:tcPr>
            <w:tcW w:w="0" w:type="auto"/>
            <w:shd w:val="clear" w:color="auto" w:fill="auto"/>
            <w:vAlign w:val="bottom"/>
          </w:tcPr>
          <w:p w:rsidRPr="00235179" w:rsidR="000E1328" w:rsidP="005F3674" w:rsidRDefault="00FA5B08">
            <w:pPr>
              <w:widowControl/>
              <w:jc w:val="right"/>
            </w:pPr>
            <w:r w:rsidRPr="00235179">
              <w:t xml:space="preserve">‒ </w:t>
            </w:r>
            <w:r w:rsidRPr="00235179" w:rsidR="000E1328">
              <w:t xml:space="preserve"> </w:t>
            </w:r>
            <w:r w:rsidRPr="00235179">
              <w:t xml:space="preserve">3.29 </w:t>
            </w:r>
            <w:r w:rsidRPr="00235179" w:rsidR="000E1328">
              <w:t>response</w:t>
            </w:r>
            <w:r w:rsidRPr="00235179">
              <w:t>s</w:t>
            </w:r>
          </w:p>
        </w:tc>
        <w:tc>
          <w:tcPr>
            <w:tcW w:w="0" w:type="auto"/>
            <w:shd w:val="clear" w:color="auto" w:fill="auto"/>
            <w:vAlign w:val="bottom"/>
          </w:tcPr>
          <w:p w:rsidRPr="00235179" w:rsidR="000E1328" w:rsidP="005F3674" w:rsidRDefault="00FA5B08">
            <w:pPr>
              <w:widowControl/>
              <w:jc w:val="right"/>
            </w:pPr>
            <w:r w:rsidRPr="00235179">
              <w:t>‒ 53,466</w:t>
            </w:r>
            <w:r w:rsidRPr="00235179" w:rsidR="000E1328">
              <w:t xml:space="preserve"> hours</w:t>
            </w:r>
          </w:p>
        </w:tc>
      </w:tr>
    </w:tbl>
    <w:p w:rsidRPr="00235179" w:rsidR="00FD1C26" w:rsidP="005F3674" w:rsidRDefault="00FD1C26">
      <w:pPr>
        <w:widowControl/>
      </w:pPr>
    </w:p>
    <w:p w:rsidRPr="00235179" w:rsidR="00F53486" w:rsidP="005F3674" w:rsidRDefault="00FF5CA4">
      <w:pPr>
        <w:widowControl/>
        <w:numPr>
          <w:ilvl w:val="0"/>
          <w:numId w:val="5"/>
        </w:numPr>
        <w:tabs>
          <w:tab w:val="clear" w:pos="1080"/>
          <w:tab w:val="num" w:pos="720"/>
        </w:tabs>
        <w:ind w:left="0" w:hanging="720"/>
        <w:rPr>
          <w:b/>
        </w:rPr>
      </w:pPr>
      <w:r w:rsidRPr="00235179">
        <w:rPr>
          <w:b/>
        </w:rPr>
        <w:t xml:space="preserve"> </w:t>
      </w:r>
      <w:r w:rsidRPr="00235179" w:rsidR="00F53486">
        <w:rPr>
          <w:b/>
        </w:rPr>
        <w:t>TIME SCHEDULE FOR PUBLICATION OF DATA</w:t>
      </w:r>
    </w:p>
    <w:p w:rsidRPr="00235179" w:rsidR="00F53486" w:rsidP="005F3674" w:rsidRDefault="00F53486">
      <w:pPr>
        <w:widowControl/>
        <w:rPr>
          <w:b/>
        </w:rPr>
      </w:pPr>
    </w:p>
    <w:p w:rsidRPr="00235179" w:rsidR="00801837" w:rsidP="005F3674" w:rsidRDefault="00801837">
      <w:pPr>
        <w:widowControl/>
      </w:pPr>
      <w:r w:rsidRPr="00235179">
        <w:t>There are no tabulating, statistical or tabulating analysis or publication plans for the collection of information.  The data are used for regulatory purposes only.</w:t>
      </w:r>
    </w:p>
    <w:p w:rsidRPr="00235179" w:rsidR="00F53486" w:rsidP="005F3674" w:rsidRDefault="00F53486">
      <w:pPr>
        <w:widowControl/>
        <w:ind w:firstLine="720"/>
      </w:pPr>
    </w:p>
    <w:p w:rsidRPr="00235179" w:rsidR="00F53486" w:rsidP="005F3674" w:rsidRDefault="00F53486">
      <w:pPr>
        <w:widowControl/>
        <w:tabs>
          <w:tab w:val="left" w:pos="720"/>
        </w:tabs>
        <w:ind w:hanging="720"/>
        <w:rPr>
          <w:b/>
        </w:rPr>
      </w:pPr>
      <w:r w:rsidRPr="00235179">
        <w:rPr>
          <w:b/>
        </w:rPr>
        <w:lastRenderedPageBreak/>
        <w:t>17.</w:t>
      </w:r>
      <w:r w:rsidRPr="00235179">
        <w:tab/>
      </w:r>
      <w:r w:rsidRPr="00235179" w:rsidR="00FF5CA4">
        <w:t xml:space="preserve"> </w:t>
      </w:r>
      <w:r w:rsidRPr="00235179">
        <w:rPr>
          <w:b/>
        </w:rPr>
        <w:t>DISPLAY OF EXPIRATION DATE</w:t>
      </w:r>
    </w:p>
    <w:p w:rsidRPr="00235179" w:rsidR="00F53486" w:rsidP="005F3674" w:rsidRDefault="00F53486">
      <w:pPr>
        <w:widowControl/>
        <w:ind w:firstLine="720"/>
        <w:rPr>
          <w:b/>
        </w:rPr>
      </w:pPr>
    </w:p>
    <w:p w:rsidRPr="00235179" w:rsidR="00F53486" w:rsidP="005F3674" w:rsidRDefault="008854B8">
      <w:pPr>
        <w:widowControl/>
      </w:pPr>
      <w:r w:rsidRPr="00235179">
        <w:t xml:space="preserve">The OMB expiration dates are posted on </w:t>
      </w:r>
      <w:hyperlink w:history="1" r:id="rId16">
        <w:r w:rsidRPr="00235179" w:rsidR="00901301">
          <w:rPr>
            <w:rStyle w:val="Hyperlink"/>
          </w:rPr>
          <w:t>http://www.ferc.gov/docs-filing/info-collections.asp</w:t>
        </w:r>
      </w:hyperlink>
      <w:r w:rsidRPr="00235179" w:rsidR="00397224">
        <w:t xml:space="preserve"> .</w:t>
      </w:r>
    </w:p>
    <w:p w:rsidRPr="00235179" w:rsidR="00397224" w:rsidP="005F3674" w:rsidRDefault="00397224">
      <w:pPr>
        <w:widowControl/>
        <w:ind w:firstLine="720"/>
      </w:pPr>
    </w:p>
    <w:p w:rsidRPr="00235179" w:rsidR="00F53486" w:rsidP="005F3674" w:rsidRDefault="00F53486">
      <w:pPr>
        <w:widowControl/>
        <w:numPr>
          <w:ilvl w:val="0"/>
          <w:numId w:val="6"/>
        </w:numPr>
        <w:tabs>
          <w:tab w:val="clear" w:pos="1080"/>
          <w:tab w:val="num" w:pos="720"/>
        </w:tabs>
        <w:ind w:left="0" w:hanging="720"/>
        <w:rPr>
          <w:b/>
        </w:rPr>
      </w:pPr>
      <w:r w:rsidRPr="00235179">
        <w:rPr>
          <w:b/>
        </w:rPr>
        <w:t xml:space="preserve"> EXCEPTIONS TO THE CERTIFICATION STATEMENT</w:t>
      </w:r>
    </w:p>
    <w:p w:rsidRPr="00235179" w:rsidR="00F53486" w:rsidP="005F3674" w:rsidRDefault="00F53486">
      <w:pPr>
        <w:widowControl/>
        <w:rPr>
          <w:b/>
        </w:rPr>
      </w:pPr>
    </w:p>
    <w:p w:rsidRPr="00235179" w:rsidR="00112165" w:rsidP="005F3674" w:rsidRDefault="00181B23">
      <w:r w:rsidRPr="00235179">
        <w:t>There are no exceptions.</w:t>
      </w:r>
    </w:p>
    <w:sectPr w:rsidRPr="00235179" w:rsidR="00112165">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5C4" w:rsidRDefault="005825C4">
      <w:r>
        <w:separator/>
      </w:r>
    </w:p>
  </w:endnote>
  <w:endnote w:type="continuationSeparator" w:id="0">
    <w:p w:rsidR="005825C4" w:rsidRDefault="005825C4">
      <w:r>
        <w:continuationSeparator/>
      </w:r>
    </w:p>
  </w:endnote>
  <w:endnote w:type="continuationNotice" w:id="1">
    <w:p w:rsidR="005825C4" w:rsidRDefault="00582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570B" w:rsidRDefault="00A7570B" w:rsidP="00F53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68BF">
      <w:rPr>
        <w:rStyle w:val="PageNumber"/>
        <w:noProof/>
      </w:rPr>
      <w:t>1</w:t>
    </w:r>
    <w:r>
      <w:rPr>
        <w:rStyle w:val="PageNumber"/>
      </w:rPr>
      <w:fldChar w:fldCharType="end"/>
    </w:r>
  </w:p>
  <w:p w:rsidR="00A7570B" w:rsidRDefault="00A7570B" w:rsidP="00F5348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539" w:rsidRDefault="00593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5C4" w:rsidRDefault="005825C4">
      <w:r>
        <w:separator/>
      </w:r>
    </w:p>
  </w:footnote>
  <w:footnote w:type="continuationSeparator" w:id="0">
    <w:p w:rsidR="005825C4" w:rsidRDefault="005825C4">
      <w:r>
        <w:continuationSeparator/>
      </w:r>
    </w:p>
  </w:footnote>
  <w:footnote w:type="continuationNotice" w:id="1">
    <w:p w:rsidR="005825C4" w:rsidRDefault="005825C4"/>
  </w:footnote>
  <w:footnote w:id="2">
    <w:p w:rsidR="00BC1A3D" w:rsidRPr="00235179" w:rsidRDefault="00BC1A3D" w:rsidP="00BC1A3D">
      <w:pPr>
        <w:pStyle w:val="FootnoteText"/>
        <w:spacing w:after="0"/>
        <w:ind w:firstLine="0"/>
      </w:pPr>
      <w:r w:rsidRPr="00235179">
        <w:rPr>
          <w:rStyle w:val="FootnoteReference"/>
          <w:b w:val="0"/>
          <w:bCs/>
          <w:sz w:val="24"/>
        </w:rPr>
        <w:footnoteRef/>
      </w:r>
      <w:r w:rsidRPr="00235179">
        <w:rPr>
          <w:b/>
          <w:bCs/>
        </w:rPr>
        <w:t xml:space="preserve"> </w:t>
      </w:r>
      <w:r w:rsidRPr="00235179">
        <w:t xml:space="preserve">Pub. L. No. 109-58, 119 Stat. 941, Title XII, § 1211(a) (Aug. 8, 2005). </w:t>
      </w:r>
    </w:p>
  </w:footnote>
  <w:footnote w:id="3">
    <w:p w:rsidR="000F41D2" w:rsidRPr="00235179" w:rsidRDefault="000F41D2" w:rsidP="000F41D2">
      <w:pPr>
        <w:pStyle w:val="FootnoteText"/>
        <w:spacing w:after="0"/>
        <w:ind w:firstLine="0"/>
      </w:pPr>
      <w:r w:rsidRPr="00235179">
        <w:rPr>
          <w:rStyle w:val="FootnoteReference"/>
          <w:b w:val="0"/>
          <w:bCs/>
          <w:sz w:val="24"/>
        </w:rPr>
        <w:footnoteRef/>
      </w:r>
      <w:r w:rsidRPr="00235179">
        <w:t xml:space="preserve"> As defined at 16 U.S.C. 824</w:t>
      </w:r>
      <w:r w:rsidRPr="00235179">
        <w:rPr>
          <w:i/>
          <w:iCs/>
        </w:rPr>
        <w:t>o</w:t>
      </w:r>
      <w:r w:rsidR="00A1088C" w:rsidRPr="00235179">
        <w:t>(a)</w:t>
      </w:r>
      <w:r w:rsidRPr="00235179">
        <w:t xml:space="preserve">, the </w:t>
      </w:r>
      <w:r w:rsidR="00A1088C" w:rsidRPr="00235179">
        <w:t>term “</w:t>
      </w:r>
      <w:r w:rsidRPr="00235179">
        <w:t>bulk power system</w:t>
      </w:r>
      <w:r w:rsidR="00A1088C" w:rsidRPr="00235179">
        <w:t>” means (1) facilities and control systems necessary for operating an interconnected electric energy transmission network (or any portion thereof); and (2) electric energy from generation facilities needed to maintain transmission system reliability.</w:t>
      </w:r>
    </w:p>
  </w:footnote>
  <w:footnote w:id="4">
    <w:p w:rsidR="002A339B" w:rsidRPr="00235179" w:rsidRDefault="002A339B" w:rsidP="0071002E">
      <w:pPr>
        <w:pStyle w:val="FootnoteText"/>
        <w:spacing w:after="0"/>
        <w:ind w:firstLine="0"/>
      </w:pPr>
      <w:r w:rsidRPr="00235179">
        <w:rPr>
          <w:rStyle w:val="FootnoteReference"/>
          <w:b w:val="0"/>
          <w:bCs/>
          <w:sz w:val="24"/>
          <w:szCs w:val="20"/>
        </w:rPr>
        <w:footnoteRef/>
      </w:r>
      <w:r w:rsidRPr="00235179">
        <w:t xml:space="preserve"> Rules Concerning Certification of the Electric Reliability Organization; and Procedures for the Establishment, Approval, and Enforcement of Electric Reliability Standards ¶ 31,204 71 FR 8662 (2006) </w:t>
      </w:r>
      <w:r w:rsidRPr="00235179">
        <w:rPr>
          <w:u w:val="single"/>
        </w:rPr>
        <w:t>Order on rehearing</w:t>
      </w:r>
      <w:r w:rsidRPr="00235179">
        <w:t>, 71 FR 19,814 (2006), FERC Statutes and Regulations ¶ 31,212 (2006).</w:t>
      </w:r>
    </w:p>
  </w:footnote>
  <w:footnote w:id="5">
    <w:p w:rsidR="00B662FB" w:rsidRPr="00235179" w:rsidRDefault="00B662FB" w:rsidP="00235179">
      <w:pPr>
        <w:pStyle w:val="FootnoteText"/>
        <w:spacing w:after="0"/>
        <w:ind w:firstLine="0"/>
      </w:pPr>
      <w:r w:rsidRPr="00235179">
        <w:rPr>
          <w:rStyle w:val="FootnoteReference"/>
          <w:b w:val="0"/>
          <w:bCs/>
          <w:sz w:val="24"/>
        </w:rPr>
        <w:footnoteRef/>
      </w:r>
      <w:r w:rsidRPr="00235179">
        <w:t xml:space="preserve"> The statutory authority for this collection of information is 16 U.S.C. 824</w:t>
      </w:r>
      <w:r w:rsidRPr="00235179">
        <w:rPr>
          <w:i/>
          <w:iCs/>
        </w:rPr>
        <w:t>o</w:t>
      </w:r>
      <w:r w:rsidRPr="00235179">
        <w:t xml:space="preserve">(g), which states that the ERO “shall conduct periodic assessments of the reliability and adequacy of the bulk-power system in North America.”  The term “self-assessment” is shorthand for the </w:t>
      </w:r>
      <w:r w:rsidR="00A04705" w:rsidRPr="00235179">
        <w:t>performance assessment report</w:t>
      </w:r>
      <w:r w:rsidR="000D3BE9" w:rsidRPr="00235179">
        <w:t xml:space="preserve"> mentioned in 18 CFR 39.3(c).</w:t>
      </w:r>
    </w:p>
    <w:p w:rsidR="00B662FB" w:rsidRPr="00523616" w:rsidRDefault="00B662FB" w:rsidP="00620922">
      <w:pPr>
        <w:pStyle w:val="FootnoteText"/>
        <w:spacing w:after="0"/>
        <w:ind w:firstLine="0"/>
        <w:rPr>
          <w:u w:val="single"/>
        </w:rPr>
      </w:pPr>
    </w:p>
  </w:footnote>
  <w:footnote w:id="6">
    <w:p w:rsidR="00153D47" w:rsidRPr="00903A15" w:rsidRDefault="00153D47" w:rsidP="0071002E">
      <w:pPr>
        <w:pStyle w:val="FootnoteText"/>
        <w:spacing w:after="0"/>
        <w:ind w:firstLine="0"/>
      </w:pPr>
      <w:r w:rsidRPr="00E6078B">
        <w:rPr>
          <w:rStyle w:val="FootnoteReference"/>
          <w:b w:val="0"/>
          <w:bCs/>
          <w:sz w:val="24"/>
          <w:szCs w:val="20"/>
        </w:rPr>
        <w:footnoteRef/>
      </w:r>
      <w:r w:rsidRPr="00903A15">
        <w:t xml:space="preserve"> For more information on the Commission’s CEII program</w:t>
      </w:r>
      <w:r w:rsidR="00B3742B" w:rsidRPr="00903A15">
        <w:t xml:space="preserve"> (and submitting and accessing CEII materials)</w:t>
      </w:r>
      <w:r w:rsidRPr="00903A15">
        <w:t xml:space="preserve">, see </w:t>
      </w:r>
      <w:hyperlink r:id="rId1" w:history="1">
        <w:r w:rsidRPr="00903A15">
          <w:rPr>
            <w:rStyle w:val="Hyperlink"/>
          </w:rPr>
          <w:t>https://www.ferc.gov/legal/ceii-foia/ceii.asp</w:t>
        </w:r>
      </w:hyperlink>
      <w:r w:rsidRPr="00903A15">
        <w:t>.</w:t>
      </w:r>
    </w:p>
  </w:footnote>
  <w:footnote w:id="7">
    <w:p w:rsidR="0063011A" w:rsidRPr="00903A15" w:rsidRDefault="0063011A" w:rsidP="0071002E">
      <w:pPr>
        <w:pStyle w:val="FootnoteText"/>
        <w:spacing w:after="0"/>
        <w:ind w:firstLine="0"/>
      </w:pPr>
      <w:r w:rsidRPr="00903A15">
        <w:rPr>
          <w:rStyle w:val="FootnoteReference"/>
          <w:b w:val="0"/>
          <w:bCs/>
          <w:sz w:val="24"/>
          <w:szCs w:val="20"/>
        </w:rPr>
        <w:footnoteRef/>
      </w:r>
      <w:r w:rsidRPr="00903A15">
        <w:t xml:space="preserve"> 18 CFR 388.112</w:t>
      </w:r>
    </w:p>
  </w:footnote>
  <w:footnote w:id="8">
    <w:p w:rsidR="006B0CC2" w:rsidRPr="00F35995" w:rsidRDefault="006B0CC2" w:rsidP="006B0CC2">
      <w:pPr>
        <w:pStyle w:val="FootnoteText"/>
        <w:spacing w:after="0"/>
        <w:ind w:firstLine="0"/>
      </w:pPr>
      <w:r w:rsidRPr="006B0CC2">
        <w:rPr>
          <w:rStyle w:val="FootnoteReference"/>
          <w:b w:val="0"/>
          <w:bCs/>
        </w:rPr>
        <w:footnoteRef/>
      </w:r>
      <w:r>
        <w:rPr>
          <w:b/>
          <w:bCs/>
        </w:rPr>
        <w:t xml:space="preserve"> </w:t>
      </w:r>
      <w:r w:rsidR="00F35995">
        <w:t xml:space="preserve">These burdens include the time, effort and employee costs incurred by </w:t>
      </w:r>
      <w:r w:rsidR="00C43B89">
        <w:t>respondents</w:t>
      </w:r>
      <w:r w:rsidR="00F35995">
        <w:t xml:space="preserve"> in </w:t>
      </w:r>
      <w:r w:rsidR="00C43B89">
        <w:t>complying</w:t>
      </w:r>
      <w:r w:rsidR="00F35995">
        <w:t xml:space="preserve"> with this collection of information.</w:t>
      </w:r>
    </w:p>
  </w:footnote>
  <w:footnote w:id="9">
    <w:p w:rsidR="005D589E" w:rsidRPr="00004B0B" w:rsidRDefault="003C78A8" w:rsidP="0071002E">
      <w:pPr>
        <w:pStyle w:val="FootnoteText"/>
        <w:spacing w:after="0"/>
        <w:ind w:firstLine="0"/>
        <w:rPr>
          <w:sz w:val="20"/>
        </w:rPr>
      </w:pPr>
      <w:r w:rsidRPr="00903A15">
        <w:rPr>
          <w:rStyle w:val="FootnoteReference"/>
          <w:b w:val="0"/>
          <w:bCs/>
          <w:sz w:val="24"/>
          <w:szCs w:val="20"/>
        </w:rPr>
        <w:footnoteRef/>
      </w:r>
      <w:r w:rsidRPr="00903A15">
        <w:t xml:space="preserve"> </w:t>
      </w:r>
      <w:r w:rsidR="005D589E" w:rsidRPr="005D589E">
        <w:t xml:space="preserve">Costs (for wages and benefits) are based on wage figures from the Bureau of Labor Statistics (BLS) for May 2017 (at https://www.bls.gov/oes/current/naics2_22.htm) and benefits information (at </w:t>
      </w:r>
      <w:hyperlink r:id="rId2" w:history="1">
        <w:r w:rsidR="005D589E" w:rsidRPr="007544C3">
          <w:rPr>
            <w:rStyle w:val="Hyperlink"/>
          </w:rPr>
          <w:t>https://www.bls.gov/news.release/ecec.nr0.htm</w:t>
        </w:r>
      </w:hyperlink>
      <w:r w:rsidR="005D589E" w:rsidRPr="005D589E">
        <w:t>).</w:t>
      </w:r>
    </w:p>
  </w:footnote>
  <w:footnote w:id="10">
    <w:p w:rsidR="006F17D5" w:rsidRDefault="006F17D5" w:rsidP="006F17D5">
      <w:pPr>
        <w:pStyle w:val="FootnoteText"/>
        <w:spacing w:after="0"/>
        <w:ind w:firstLine="0"/>
      </w:pPr>
      <w:r w:rsidRPr="006F17D5">
        <w:rPr>
          <w:rStyle w:val="FootnoteReference"/>
          <w:b w:val="0"/>
          <w:bCs/>
        </w:rPr>
        <w:footnoteRef/>
      </w:r>
      <w:r>
        <w:t xml:space="preserve"> This information collection request, like the previously approved request, includes burdens incurred by Regional Entities as a result of the ERO’s </w:t>
      </w:r>
      <w:r w:rsidRPr="006F17D5">
        <w:t xml:space="preserve">existing </w:t>
      </w:r>
      <w:r>
        <w:t xml:space="preserve">ad continuing </w:t>
      </w:r>
      <w:r w:rsidRPr="006F17D5">
        <w:t xml:space="preserve">internal processes </w:t>
      </w:r>
      <w:r>
        <w:t xml:space="preserve">for assessing </w:t>
      </w:r>
      <w:r w:rsidRPr="006F17D5">
        <w:t>the Regional Entities’ ongoing performance in their delegated activities.</w:t>
      </w:r>
    </w:p>
  </w:footnote>
  <w:footnote w:id="11">
    <w:p w:rsidR="00181B23" w:rsidRPr="00004B0B" w:rsidRDefault="00181B23" w:rsidP="0071002E">
      <w:pPr>
        <w:pStyle w:val="FootnoteText"/>
        <w:spacing w:after="0"/>
        <w:ind w:firstLine="0"/>
        <w:rPr>
          <w:sz w:val="20"/>
        </w:rPr>
      </w:pPr>
      <w:r w:rsidRPr="00004B0B">
        <w:rPr>
          <w:rStyle w:val="FootnoteReference"/>
          <w:b w:val="0"/>
          <w:sz w:val="20"/>
          <w:szCs w:val="20"/>
        </w:rPr>
        <w:footnoteRef/>
      </w:r>
      <w:r w:rsidRPr="00004B0B">
        <w:rPr>
          <w:sz w:val="20"/>
        </w:rPr>
        <w:t xml:space="preserve"> </w:t>
      </w:r>
      <w:r w:rsidRPr="007C6FB5">
        <w:t>Paperwork Reduction Act of 1995 (PRA).</w:t>
      </w:r>
    </w:p>
  </w:footnote>
  <w:footnote w:id="12">
    <w:p w:rsidR="00EF55FC" w:rsidRPr="00004B0B" w:rsidRDefault="00EF55FC" w:rsidP="0071002E">
      <w:pPr>
        <w:pStyle w:val="FootnoteText"/>
        <w:spacing w:after="0"/>
        <w:ind w:firstLine="0"/>
        <w:rPr>
          <w:sz w:val="20"/>
        </w:rPr>
      </w:pPr>
      <w:r w:rsidRPr="00004B0B">
        <w:rPr>
          <w:rStyle w:val="FootnoteReference"/>
          <w:sz w:val="20"/>
          <w:szCs w:val="20"/>
        </w:rPr>
        <w:footnoteRef/>
      </w:r>
      <w:r w:rsidRPr="00004B0B">
        <w:rPr>
          <w:sz w:val="20"/>
        </w:rPr>
        <w:t xml:space="preserve"> </w:t>
      </w:r>
      <w:r w:rsidR="00474C40" w:rsidRPr="00004B0B">
        <w:rPr>
          <w:sz w:val="20"/>
        </w:rPr>
        <w:t>The cost estimate is based upon FERC’s FY201</w:t>
      </w:r>
      <w:r w:rsidR="00E72236">
        <w:rPr>
          <w:sz w:val="20"/>
        </w:rPr>
        <w:t>9</w:t>
      </w:r>
      <w:r w:rsidR="00474C40" w:rsidRPr="00004B0B">
        <w:rPr>
          <w:sz w:val="20"/>
        </w:rPr>
        <w:t xml:space="preserve"> average annual salary plus benefits per FTE (full-time equivalent) of $16</w:t>
      </w:r>
      <w:r w:rsidR="00FB517A">
        <w:rPr>
          <w:sz w:val="20"/>
        </w:rPr>
        <w:t>7,091</w:t>
      </w:r>
      <w:r w:rsidR="00474C40" w:rsidRPr="00004B0B">
        <w:rPr>
          <w:sz w:val="20"/>
        </w:rPr>
        <w:t>.</w:t>
      </w:r>
    </w:p>
  </w:footnote>
  <w:footnote w:id="13">
    <w:p w:rsidR="00FD1C26" w:rsidRDefault="00FD1C26" w:rsidP="00523616">
      <w:pPr>
        <w:pStyle w:val="FootnoteText"/>
        <w:spacing w:after="0"/>
        <w:ind w:firstLine="0"/>
      </w:pPr>
      <w:r>
        <w:rPr>
          <w:rStyle w:val="FootnoteReference"/>
        </w:rPr>
        <w:footnoteRef/>
      </w:r>
      <w:r>
        <w:t xml:space="preserve"> </w:t>
      </w:r>
      <w:r w:rsidR="002A7CC2">
        <w:t xml:space="preserve">Table 15-2 </w:t>
      </w:r>
      <w:r>
        <w:t xml:space="preserve"> is shown in order to provide a comprehensive view of FERC-725 as it would be affected in the proposed rule.</w:t>
      </w:r>
    </w:p>
  </w:footnote>
  <w:footnote w:id="14">
    <w:p w:rsidR="00E832FD" w:rsidRDefault="00E832FD" w:rsidP="00E832FD">
      <w:pPr>
        <w:pStyle w:val="FootnoteText"/>
        <w:ind w:firstLine="0"/>
      </w:pPr>
      <w:r>
        <w:rPr>
          <w:rStyle w:val="FootnoteReference"/>
        </w:rPr>
        <w:footnoteRef/>
      </w:r>
      <w:r>
        <w:t xml:space="preserve"> Unlike the previously approved burden estimates for FERC-725, which at the time accurately accounted for seven Regional Entities, the estimated numbers of responses for Regional Entities in this IC request account for the current number of six Regional Entities.</w:t>
      </w:r>
    </w:p>
  </w:footnote>
  <w:footnote w:id="15">
    <w:p w:rsidR="00184D72" w:rsidRDefault="00184D72" w:rsidP="00184D72">
      <w:pPr>
        <w:pStyle w:val="FootnoteText"/>
        <w:ind w:firstLine="0"/>
      </w:pPr>
      <w:r>
        <w:rPr>
          <w:rStyle w:val="FootnoteReference"/>
        </w:rPr>
        <w:footnoteRef/>
      </w:r>
      <w:r>
        <w:t xml:space="preserve"> ROCIS rounded up the annualized number of responses for Regional Entities’ self-assessments to two.  This rounding-up affected the burden-hour estimate for this IC activity as well as the number of responses shown in ROCIS.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539" w:rsidRDefault="00593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C42" w:rsidRDefault="00A7570B">
    <w:pPr>
      <w:spacing w:line="240" w:lineRule="exact"/>
    </w:pPr>
    <w:r w:rsidRPr="00004B0B">
      <w:t>FER</w:t>
    </w:r>
    <w:r w:rsidR="004B7C34" w:rsidRPr="00004B0B">
      <w:t>C-725</w:t>
    </w:r>
    <w:r w:rsidR="00470E91" w:rsidRPr="00004B0B">
      <w:t xml:space="preserve"> </w:t>
    </w:r>
    <w:r w:rsidR="004B7C34" w:rsidRPr="00004B0B">
      <w:t>(OMB Control No. 1902-0225</w:t>
    </w:r>
    <w:r w:rsidRPr="00004B0B">
      <w:t>)</w:t>
    </w:r>
  </w:p>
  <w:p w:rsidR="00656642" w:rsidRDefault="00656642">
    <w:pPr>
      <w:spacing w:line="240" w:lineRule="exact"/>
    </w:pPr>
    <w:r>
      <w:t>RM21-12-000</w:t>
    </w:r>
    <w:r w:rsidR="0006099D">
      <w:t>, RIN 1902-AF78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539" w:rsidRDefault="00593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2AE7EA"/>
    <w:multiLevelType w:val="hybridMultilevel"/>
    <w:tmpl w:val="C3A13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C552D5"/>
    <w:multiLevelType w:val="hybridMultilevel"/>
    <w:tmpl w:val="001BB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F6CD3"/>
    <w:multiLevelType w:val="hybridMultilevel"/>
    <w:tmpl w:val="64A0B718"/>
    <w:lvl w:ilvl="0" w:tplc="87ECED62">
      <w:start w:val="7"/>
      <w:numFmt w:val="bullet"/>
      <w:lvlText w:val="-"/>
      <w:lvlJc w:val="left"/>
      <w:pPr>
        <w:ind w:left="9330" w:hanging="360"/>
      </w:pPr>
      <w:rPr>
        <w:rFonts w:ascii="Times New Roman" w:eastAsia="Calibr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3" w15:restartNumberingAfterBreak="0">
    <w:nsid w:val="0A080813"/>
    <w:multiLevelType w:val="hybridMultilevel"/>
    <w:tmpl w:val="99EC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51A1B"/>
    <w:multiLevelType w:val="hybridMultilevel"/>
    <w:tmpl w:val="734EEF40"/>
    <w:lvl w:ilvl="0" w:tplc="A0DA6B2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5FF140A"/>
    <w:multiLevelType w:val="hybridMultilevel"/>
    <w:tmpl w:val="DECA9992"/>
    <w:lvl w:ilvl="0" w:tplc="F0EE7DE2">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156D43"/>
    <w:multiLevelType w:val="multilevel"/>
    <w:tmpl w:val="B140707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F22D4"/>
    <w:multiLevelType w:val="hybridMultilevel"/>
    <w:tmpl w:val="9360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11FF3"/>
    <w:multiLevelType w:val="hybridMultilevel"/>
    <w:tmpl w:val="D29B6F6A"/>
    <w:lvl w:ilvl="0" w:tplc="67F6B988">
      <w:start w:val="1"/>
      <w:numFmt w:val="ideographDigital"/>
      <w:lvlText w:val=""/>
      <w:lvlJc w:val="left"/>
    </w:lvl>
    <w:lvl w:ilvl="1" w:tplc="07D01CEE">
      <w:numFmt w:val="decimal"/>
      <w:lvlText w:val=""/>
      <w:lvlJc w:val="left"/>
    </w:lvl>
    <w:lvl w:ilvl="2" w:tplc="32A8E7CA">
      <w:numFmt w:val="decimal"/>
      <w:lvlText w:val=""/>
      <w:lvlJc w:val="left"/>
    </w:lvl>
    <w:lvl w:ilvl="3" w:tplc="CF9AD710">
      <w:numFmt w:val="decimal"/>
      <w:lvlText w:val=""/>
      <w:lvlJc w:val="left"/>
    </w:lvl>
    <w:lvl w:ilvl="4" w:tplc="42A05490">
      <w:numFmt w:val="decimal"/>
      <w:lvlText w:val=""/>
      <w:lvlJc w:val="left"/>
    </w:lvl>
    <w:lvl w:ilvl="5" w:tplc="B30A3DA8">
      <w:numFmt w:val="decimal"/>
      <w:lvlText w:val=""/>
      <w:lvlJc w:val="left"/>
    </w:lvl>
    <w:lvl w:ilvl="6" w:tplc="DA385146">
      <w:numFmt w:val="decimal"/>
      <w:lvlText w:val=""/>
      <w:lvlJc w:val="left"/>
    </w:lvl>
    <w:lvl w:ilvl="7" w:tplc="7ACA2A56">
      <w:numFmt w:val="decimal"/>
      <w:lvlText w:val=""/>
      <w:lvlJc w:val="left"/>
    </w:lvl>
    <w:lvl w:ilvl="8" w:tplc="89620A6E">
      <w:numFmt w:val="decimal"/>
      <w:lvlText w:val=""/>
      <w:lvlJc w:val="left"/>
    </w:lvl>
  </w:abstractNum>
  <w:abstractNum w:abstractNumId="14" w15:restartNumberingAfterBreak="0">
    <w:nsid w:val="48F803E2"/>
    <w:multiLevelType w:val="hybridMultilevel"/>
    <w:tmpl w:val="0BE239CA"/>
    <w:lvl w:ilvl="0" w:tplc="E5DA69A2">
      <w:start w:val="18"/>
      <w:numFmt w:val="decimal"/>
      <w:lvlText w:val="%1."/>
      <w:lvlJc w:val="left"/>
      <w:pPr>
        <w:tabs>
          <w:tab w:val="num" w:pos="1080"/>
        </w:tabs>
        <w:ind w:left="1080" w:hanging="360"/>
      </w:pPr>
      <w:rPr>
        <w:rFonts w:hint="default"/>
      </w:rPr>
    </w:lvl>
    <w:lvl w:ilvl="1" w:tplc="C97ADF40" w:tentative="1">
      <w:start w:val="1"/>
      <w:numFmt w:val="lowerLetter"/>
      <w:lvlText w:val="%2."/>
      <w:lvlJc w:val="left"/>
      <w:pPr>
        <w:tabs>
          <w:tab w:val="num" w:pos="1800"/>
        </w:tabs>
        <w:ind w:left="1800" w:hanging="360"/>
      </w:pPr>
    </w:lvl>
    <w:lvl w:ilvl="2" w:tplc="2F3C5A6A" w:tentative="1">
      <w:start w:val="1"/>
      <w:numFmt w:val="lowerRoman"/>
      <w:lvlText w:val="%3."/>
      <w:lvlJc w:val="right"/>
      <w:pPr>
        <w:tabs>
          <w:tab w:val="num" w:pos="2520"/>
        </w:tabs>
        <w:ind w:left="2520" w:hanging="180"/>
      </w:pPr>
    </w:lvl>
    <w:lvl w:ilvl="3" w:tplc="278214D8" w:tentative="1">
      <w:start w:val="1"/>
      <w:numFmt w:val="decimal"/>
      <w:lvlText w:val="%4."/>
      <w:lvlJc w:val="left"/>
      <w:pPr>
        <w:tabs>
          <w:tab w:val="num" w:pos="3240"/>
        </w:tabs>
        <w:ind w:left="3240" w:hanging="360"/>
      </w:pPr>
    </w:lvl>
    <w:lvl w:ilvl="4" w:tplc="1E169DB6" w:tentative="1">
      <w:start w:val="1"/>
      <w:numFmt w:val="lowerLetter"/>
      <w:lvlText w:val="%5."/>
      <w:lvlJc w:val="left"/>
      <w:pPr>
        <w:tabs>
          <w:tab w:val="num" w:pos="3960"/>
        </w:tabs>
        <w:ind w:left="3960" w:hanging="360"/>
      </w:pPr>
    </w:lvl>
    <w:lvl w:ilvl="5" w:tplc="B5308A92" w:tentative="1">
      <w:start w:val="1"/>
      <w:numFmt w:val="lowerRoman"/>
      <w:lvlText w:val="%6."/>
      <w:lvlJc w:val="right"/>
      <w:pPr>
        <w:tabs>
          <w:tab w:val="num" w:pos="4680"/>
        </w:tabs>
        <w:ind w:left="4680" w:hanging="180"/>
      </w:pPr>
    </w:lvl>
    <w:lvl w:ilvl="6" w:tplc="6CA438B4" w:tentative="1">
      <w:start w:val="1"/>
      <w:numFmt w:val="decimal"/>
      <w:lvlText w:val="%7."/>
      <w:lvlJc w:val="left"/>
      <w:pPr>
        <w:tabs>
          <w:tab w:val="num" w:pos="5400"/>
        </w:tabs>
        <w:ind w:left="5400" w:hanging="360"/>
      </w:pPr>
    </w:lvl>
    <w:lvl w:ilvl="7" w:tplc="A0B84E34" w:tentative="1">
      <w:start w:val="1"/>
      <w:numFmt w:val="lowerLetter"/>
      <w:lvlText w:val="%8."/>
      <w:lvlJc w:val="left"/>
      <w:pPr>
        <w:tabs>
          <w:tab w:val="num" w:pos="6120"/>
        </w:tabs>
        <w:ind w:left="6120" w:hanging="360"/>
      </w:pPr>
    </w:lvl>
    <w:lvl w:ilvl="8" w:tplc="7B223132" w:tentative="1">
      <w:start w:val="1"/>
      <w:numFmt w:val="lowerRoman"/>
      <w:lvlText w:val="%9."/>
      <w:lvlJc w:val="right"/>
      <w:pPr>
        <w:tabs>
          <w:tab w:val="num" w:pos="6840"/>
        </w:tabs>
        <w:ind w:left="6840" w:hanging="180"/>
      </w:pPr>
    </w:lvl>
  </w:abstractNum>
  <w:abstractNum w:abstractNumId="15" w15:restartNumberingAfterBreak="0">
    <w:nsid w:val="4B582FE5"/>
    <w:multiLevelType w:val="hybridMultilevel"/>
    <w:tmpl w:val="531C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292AD4"/>
    <w:multiLevelType w:val="hybridMultilevel"/>
    <w:tmpl w:val="45E8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06CC6"/>
    <w:multiLevelType w:val="hybridMultilevel"/>
    <w:tmpl w:val="A038F154"/>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EE719D3"/>
    <w:multiLevelType w:val="hybridMultilevel"/>
    <w:tmpl w:val="B9A2F77C"/>
    <w:lvl w:ilvl="0" w:tplc="1472AE6A">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E18228"/>
    <w:multiLevelType w:val="hybridMultilevel"/>
    <w:tmpl w:val="9A7EF4B6"/>
    <w:lvl w:ilvl="0" w:tplc="042ECDC8">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2" w15:restartNumberingAfterBreak="0">
    <w:nsid w:val="7C035C1A"/>
    <w:multiLevelType w:val="hybridMultilevel"/>
    <w:tmpl w:val="06AEC0F2"/>
    <w:lvl w:ilvl="0" w:tplc="3F00588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4A5A00"/>
    <w:multiLevelType w:val="hybridMultilevel"/>
    <w:tmpl w:val="E267F0BF"/>
    <w:lvl w:ilvl="0" w:tplc="E4FAF836">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20"/>
  </w:num>
  <w:num w:numId="2">
    <w:abstractNumId w:val="9"/>
  </w:num>
  <w:num w:numId="3">
    <w:abstractNumId w:val="19"/>
  </w:num>
  <w:num w:numId="4">
    <w:abstractNumId w:val="4"/>
  </w:num>
  <w:num w:numId="5">
    <w:abstractNumId w:val="6"/>
  </w:num>
  <w:num w:numId="6">
    <w:abstractNumId w:val="14"/>
  </w:num>
  <w:num w:numId="7">
    <w:abstractNumId w:val="5"/>
  </w:num>
  <w:num w:numId="8">
    <w:abstractNumId w:val="18"/>
  </w:num>
  <w:num w:numId="9">
    <w:abstractNumId w:val="7"/>
  </w:num>
  <w:num w:numId="10">
    <w:abstractNumId w:val="21"/>
  </w:num>
  <w:num w:numId="11">
    <w:abstractNumId w:val="23"/>
  </w:num>
  <w:num w:numId="12">
    <w:abstractNumId w:val="0"/>
  </w:num>
  <w:num w:numId="13">
    <w:abstractNumId w:val="1"/>
  </w:num>
  <w:num w:numId="14">
    <w:abstractNumId w:val="13"/>
  </w:num>
  <w:num w:numId="15">
    <w:abstractNumId w:val="16"/>
  </w:num>
  <w:num w:numId="16">
    <w:abstractNumId w:val="8"/>
  </w:num>
  <w:num w:numId="17">
    <w:abstractNumId w:val="10"/>
  </w:num>
  <w:num w:numId="18">
    <w:abstractNumId w:val="3"/>
  </w:num>
  <w:num w:numId="19">
    <w:abstractNumId w:val="11"/>
  </w:num>
  <w:num w:numId="20">
    <w:abstractNumId w:val="15"/>
  </w:num>
  <w:num w:numId="21">
    <w:abstractNumId w:val="12"/>
  </w:num>
  <w:num w:numId="22">
    <w:abstractNumId w:val="2"/>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4715"/>
    <w:rsid w:val="00004B0B"/>
    <w:rsid w:val="00005A6A"/>
    <w:rsid w:val="0000646C"/>
    <w:rsid w:val="00007461"/>
    <w:rsid w:val="00010709"/>
    <w:rsid w:val="00010F9E"/>
    <w:rsid w:val="00012456"/>
    <w:rsid w:val="00012C95"/>
    <w:rsid w:val="00012F33"/>
    <w:rsid w:val="00013533"/>
    <w:rsid w:val="00013E36"/>
    <w:rsid w:val="000145A6"/>
    <w:rsid w:val="0001497B"/>
    <w:rsid w:val="00016043"/>
    <w:rsid w:val="000178F8"/>
    <w:rsid w:val="00021144"/>
    <w:rsid w:val="00021C4B"/>
    <w:rsid w:val="000222D5"/>
    <w:rsid w:val="00022C9E"/>
    <w:rsid w:val="000242E1"/>
    <w:rsid w:val="00024CBF"/>
    <w:rsid w:val="00027ADD"/>
    <w:rsid w:val="00027DC3"/>
    <w:rsid w:val="0003097E"/>
    <w:rsid w:val="000317A1"/>
    <w:rsid w:val="000328BE"/>
    <w:rsid w:val="00033652"/>
    <w:rsid w:val="000356C4"/>
    <w:rsid w:val="00040B30"/>
    <w:rsid w:val="00041919"/>
    <w:rsid w:val="00042596"/>
    <w:rsid w:val="0004337C"/>
    <w:rsid w:val="00043F30"/>
    <w:rsid w:val="000446C0"/>
    <w:rsid w:val="00045684"/>
    <w:rsid w:val="00046D56"/>
    <w:rsid w:val="000505EB"/>
    <w:rsid w:val="0005088D"/>
    <w:rsid w:val="0005159C"/>
    <w:rsid w:val="000515DB"/>
    <w:rsid w:val="000521BF"/>
    <w:rsid w:val="00052C67"/>
    <w:rsid w:val="00056B57"/>
    <w:rsid w:val="00060041"/>
    <w:rsid w:val="0006099D"/>
    <w:rsid w:val="0006156B"/>
    <w:rsid w:val="0006213B"/>
    <w:rsid w:val="00062746"/>
    <w:rsid w:val="000637B3"/>
    <w:rsid w:val="00071409"/>
    <w:rsid w:val="00072A09"/>
    <w:rsid w:val="00076AE2"/>
    <w:rsid w:val="000818B7"/>
    <w:rsid w:val="00081B4C"/>
    <w:rsid w:val="00081E83"/>
    <w:rsid w:val="00082F14"/>
    <w:rsid w:val="000836B2"/>
    <w:rsid w:val="000841A8"/>
    <w:rsid w:val="0008557F"/>
    <w:rsid w:val="00087E3D"/>
    <w:rsid w:val="00087FF0"/>
    <w:rsid w:val="000903C1"/>
    <w:rsid w:val="00094779"/>
    <w:rsid w:val="00094855"/>
    <w:rsid w:val="00097381"/>
    <w:rsid w:val="0009760A"/>
    <w:rsid w:val="000A0764"/>
    <w:rsid w:val="000A1237"/>
    <w:rsid w:val="000A6DC0"/>
    <w:rsid w:val="000B0ED3"/>
    <w:rsid w:val="000B2D7B"/>
    <w:rsid w:val="000B2F75"/>
    <w:rsid w:val="000B48AE"/>
    <w:rsid w:val="000B5844"/>
    <w:rsid w:val="000B603A"/>
    <w:rsid w:val="000B746B"/>
    <w:rsid w:val="000C0490"/>
    <w:rsid w:val="000C12A0"/>
    <w:rsid w:val="000C235D"/>
    <w:rsid w:val="000C2544"/>
    <w:rsid w:val="000C3447"/>
    <w:rsid w:val="000C4FDF"/>
    <w:rsid w:val="000C772D"/>
    <w:rsid w:val="000D3152"/>
    <w:rsid w:val="000D3BE9"/>
    <w:rsid w:val="000D62B6"/>
    <w:rsid w:val="000D65EF"/>
    <w:rsid w:val="000D6A7D"/>
    <w:rsid w:val="000D7294"/>
    <w:rsid w:val="000D7724"/>
    <w:rsid w:val="000D7C85"/>
    <w:rsid w:val="000E0677"/>
    <w:rsid w:val="000E10F7"/>
    <w:rsid w:val="000E1328"/>
    <w:rsid w:val="000E203C"/>
    <w:rsid w:val="000E25FE"/>
    <w:rsid w:val="000E3740"/>
    <w:rsid w:val="000E3C9A"/>
    <w:rsid w:val="000E661B"/>
    <w:rsid w:val="000F0C44"/>
    <w:rsid w:val="000F2028"/>
    <w:rsid w:val="000F285F"/>
    <w:rsid w:val="000F41D2"/>
    <w:rsid w:val="000F4D2A"/>
    <w:rsid w:val="000F61B6"/>
    <w:rsid w:val="000F7368"/>
    <w:rsid w:val="001010E5"/>
    <w:rsid w:val="00101A9C"/>
    <w:rsid w:val="00104D07"/>
    <w:rsid w:val="00105865"/>
    <w:rsid w:val="00105DF4"/>
    <w:rsid w:val="00106250"/>
    <w:rsid w:val="0011074A"/>
    <w:rsid w:val="001117C2"/>
    <w:rsid w:val="00111D7B"/>
    <w:rsid w:val="00112165"/>
    <w:rsid w:val="0011326F"/>
    <w:rsid w:val="001136B9"/>
    <w:rsid w:val="0011392D"/>
    <w:rsid w:val="0011543E"/>
    <w:rsid w:val="001178F6"/>
    <w:rsid w:val="00120591"/>
    <w:rsid w:val="0012164F"/>
    <w:rsid w:val="0012166C"/>
    <w:rsid w:val="001216AC"/>
    <w:rsid w:val="00121B59"/>
    <w:rsid w:val="001222C7"/>
    <w:rsid w:val="00124722"/>
    <w:rsid w:val="00124C55"/>
    <w:rsid w:val="001261D4"/>
    <w:rsid w:val="00126CA1"/>
    <w:rsid w:val="00130B16"/>
    <w:rsid w:val="00130E0A"/>
    <w:rsid w:val="00130FAD"/>
    <w:rsid w:val="00135FB3"/>
    <w:rsid w:val="00140B74"/>
    <w:rsid w:val="0014112C"/>
    <w:rsid w:val="0014123A"/>
    <w:rsid w:val="001414E8"/>
    <w:rsid w:val="00142A35"/>
    <w:rsid w:val="00143007"/>
    <w:rsid w:val="00143200"/>
    <w:rsid w:val="0014337D"/>
    <w:rsid w:val="00144F33"/>
    <w:rsid w:val="001465D9"/>
    <w:rsid w:val="0014696E"/>
    <w:rsid w:val="001476C3"/>
    <w:rsid w:val="00150BC2"/>
    <w:rsid w:val="00151456"/>
    <w:rsid w:val="00152123"/>
    <w:rsid w:val="00152AFE"/>
    <w:rsid w:val="00152F33"/>
    <w:rsid w:val="00152FA5"/>
    <w:rsid w:val="00153D47"/>
    <w:rsid w:val="001544C7"/>
    <w:rsid w:val="00156609"/>
    <w:rsid w:val="00156B00"/>
    <w:rsid w:val="00156B03"/>
    <w:rsid w:val="0015749E"/>
    <w:rsid w:val="001612F8"/>
    <w:rsid w:val="00162E14"/>
    <w:rsid w:val="001630DC"/>
    <w:rsid w:val="001644A0"/>
    <w:rsid w:val="001644A3"/>
    <w:rsid w:val="0016491A"/>
    <w:rsid w:val="001658E3"/>
    <w:rsid w:val="00166462"/>
    <w:rsid w:val="00167488"/>
    <w:rsid w:val="001703F3"/>
    <w:rsid w:val="00171CB2"/>
    <w:rsid w:val="00172A14"/>
    <w:rsid w:val="00173047"/>
    <w:rsid w:val="00177A39"/>
    <w:rsid w:val="0018066C"/>
    <w:rsid w:val="001809C5"/>
    <w:rsid w:val="00181179"/>
    <w:rsid w:val="001817AD"/>
    <w:rsid w:val="00181B23"/>
    <w:rsid w:val="001827BF"/>
    <w:rsid w:val="00182E32"/>
    <w:rsid w:val="00184D72"/>
    <w:rsid w:val="001869AE"/>
    <w:rsid w:val="001873FE"/>
    <w:rsid w:val="0018747B"/>
    <w:rsid w:val="0018784D"/>
    <w:rsid w:val="00187F13"/>
    <w:rsid w:val="00190364"/>
    <w:rsid w:val="00192270"/>
    <w:rsid w:val="00195308"/>
    <w:rsid w:val="00196226"/>
    <w:rsid w:val="00197F8F"/>
    <w:rsid w:val="001A007E"/>
    <w:rsid w:val="001A0258"/>
    <w:rsid w:val="001A35BC"/>
    <w:rsid w:val="001A3C58"/>
    <w:rsid w:val="001A496C"/>
    <w:rsid w:val="001A6698"/>
    <w:rsid w:val="001A713F"/>
    <w:rsid w:val="001A76AB"/>
    <w:rsid w:val="001A76CF"/>
    <w:rsid w:val="001B00E6"/>
    <w:rsid w:val="001B06D4"/>
    <w:rsid w:val="001B15A7"/>
    <w:rsid w:val="001B342D"/>
    <w:rsid w:val="001B4702"/>
    <w:rsid w:val="001B5147"/>
    <w:rsid w:val="001B7A77"/>
    <w:rsid w:val="001C0C2E"/>
    <w:rsid w:val="001C5859"/>
    <w:rsid w:val="001C7E97"/>
    <w:rsid w:val="001D00B0"/>
    <w:rsid w:val="001D4A35"/>
    <w:rsid w:val="001D4E11"/>
    <w:rsid w:val="001D6043"/>
    <w:rsid w:val="001D7CA4"/>
    <w:rsid w:val="001E00FC"/>
    <w:rsid w:val="001E10EA"/>
    <w:rsid w:val="001E1A33"/>
    <w:rsid w:val="001E2E0E"/>
    <w:rsid w:val="001E4E81"/>
    <w:rsid w:val="001E54D8"/>
    <w:rsid w:val="001E6077"/>
    <w:rsid w:val="001F22E7"/>
    <w:rsid w:val="001F4264"/>
    <w:rsid w:val="001F51EB"/>
    <w:rsid w:val="00203269"/>
    <w:rsid w:val="00204BD0"/>
    <w:rsid w:val="0020642E"/>
    <w:rsid w:val="00206639"/>
    <w:rsid w:val="002069A8"/>
    <w:rsid w:val="00206BB3"/>
    <w:rsid w:val="00207676"/>
    <w:rsid w:val="00207C5A"/>
    <w:rsid w:val="00207DC8"/>
    <w:rsid w:val="00211146"/>
    <w:rsid w:val="002119FB"/>
    <w:rsid w:val="00214318"/>
    <w:rsid w:val="00214610"/>
    <w:rsid w:val="002154BE"/>
    <w:rsid w:val="00217BBB"/>
    <w:rsid w:val="00217DF4"/>
    <w:rsid w:val="002214B7"/>
    <w:rsid w:val="00222CFC"/>
    <w:rsid w:val="00223276"/>
    <w:rsid w:val="002238CB"/>
    <w:rsid w:val="00224FC5"/>
    <w:rsid w:val="00226598"/>
    <w:rsid w:val="00226D28"/>
    <w:rsid w:val="00230220"/>
    <w:rsid w:val="002323AB"/>
    <w:rsid w:val="00232E60"/>
    <w:rsid w:val="00235179"/>
    <w:rsid w:val="00235AA3"/>
    <w:rsid w:val="002370EF"/>
    <w:rsid w:val="0023772B"/>
    <w:rsid w:val="00240632"/>
    <w:rsid w:val="0024121D"/>
    <w:rsid w:val="00242D03"/>
    <w:rsid w:val="0024436C"/>
    <w:rsid w:val="00244CC1"/>
    <w:rsid w:val="00245529"/>
    <w:rsid w:val="00246703"/>
    <w:rsid w:val="00252D14"/>
    <w:rsid w:val="002561B9"/>
    <w:rsid w:val="00256EDC"/>
    <w:rsid w:val="0025725C"/>
    <w:rsid w:val="00260F32"/>
    <w:rsid w:val="00261F7F"/>
    <w:rsid w:val="00263093"/>
    <w:rsid w:val="0026611F"/>
    <w:rsid w:val="002677EF"/>
    <w:rsid w:val="00270F2B"/>
    <w:rsid w:val="0027117C"/>
    <w:rsid w:val="0027232A"/>
    <w:rsid w:val="0027297E"/>
    <w:rsid w:val="00273709"/>
    <w:rsid w:val="00273E20"/>
    <w:rsid w:val="00274860"/>
    <w:rsid w:val="00274C0D"/>
    <w:rsid w:val="00280494"/>
    <w:rsid w:val="0028075E"/>
    <w:rsid w:val="00280C35"/>
    <w:rsid w:val="00281194"/>
    <w:rsid w:val="002832DA"/>
    <w:rsid w:val="002835ED"/>
    <w:rsid w:val="00283D03"/>
    <w:rsid w:val="00284BBA"/>
    <w:rsid w:val="002850FF"/>
    <w:rsid w:val="002861B6"/>
    <w:rsid w:val="0029028A"/>
    <w:rsid w:val="00293003"/>
    <w:rsid w:val="00293096"/>
    <w:rsid w:val="0029437C"/>
    <w:rsid w:val="0029499F"/>
    <w:rsid w:val="00296A48"/>
    <w:rsid w:val="002A028B"/>
    <w:rsid w:val="002A2918"/>
    <w:rsid w:val="002A339B"/>
    <w:rsid w:val="002A43A4"/>
    <w:rsid w:val="002A52A9"/>
    <w:rsid w:val="002A64EE"/>
    <w:rsid w:val="002A756F"/>
    <w:rsid w:val="002A7CC2"/>
    <w:rsid w:val="002B350F"/>
    <w:rsid w:val="002B552F"/>
    <w:rsid w:val="002B62A0"/>
    <w:rsid w:val="002B6CE1"/>
    <w:rsid w:val="002C0D75"/>
    <w:rsid w:val="002C0ECB"/>
    <w:rsid w:val="002C0F54"/>
    <w:rsid w:val="002C12FC"/>
    <w:rsid w:val="002C1DAC"/>
    <w:rsid w:val="002C48E7"/>
    <w:rsid w:val="002C558A"/>
    <w:rsid w:val="002D006E"/>
    <w:rsid w:val="002D1B3A"/>
    <w:rsid w:val="002D2879"/>
    <w:rsid w:val="002D46F0"/>
    <w:rsid w:val="002D4EC2"/>
    <w:rsid w:val="002E008E"/>
    <w:rsid w:val="002E069A"/>
    <w:rsid w:val="002E1BC3"/>
    <w:rsid w:val="002E3809"/>
    <w:rsid w:val="002E3D93"/>
    <w:rsid w:val="002E51DE"/>
    <w:rsid w:val="002E57FB"/>
    <w:rsid w:val="002E768D"/>
    <w:rsid w:val="002E7CF3"/>
    <w:rsid w:val="002F05EC"/>
    <w:rsid w:val="002F0784"/>
    <w:rsid w:val="002F0A06"/>
    <w:rsid w:val="002F0BD5"/>
    <w:rsid w:val="002F199F"/>
    <w:rsid w:val="002F1A9A"/>
    <w:rsid w:val="002F28D4"/>
    <w:rsid w:val="002F6521"/>
    <w:rsid w:val="002F6E9E"/>
    <w:rsid w:val="003004B7"/>
    <w:rsid w:val="003023F8"/>
    <w:rsid w:val="00302481"/>
    <w:rsid w:val="00302B8E"/>
    <w:rsid w:val="00303779"/>
    <w:rsid w:val="0030428C"/>
    <w:rsid w:val="00305758"/>
    <w:rsid w:val="0030626E"/>
    <w:rsid w:val="003063A4"/>
    <w:rsid w:val="003078D4"/>
    <w:rsid w:val="003078DD"/>
    <w:rsid w:val="00310C1B"/>
    <w:rsid w:val="003147E9"/>
    <w:rsid w:val="003153C4"/>
    <w:rsid w:val="00317F6A"/>
    <w:rsid w:val="003200B8"/>
    <w:rsid w:val="003215A7"/>
    <w:rsid w:val="003217CF"/>
    <w:rsid w:val="00321E97"/>
    <w:rsid w:val="00322511"/>
    <w:rsid w:val="003305E3"/>
    <w:rsid w:val="00332F58"/>
    <w:rsid w:val="0033774F"/>
    <w:rsid w:val="003377D5"/>
    <w:rsid w:val="00337993"/>
    <w:rsid w:val="00341708"/>
    <w:rsid w:val="00341B0D"/>
    <w:rsid w:val="003421DE"/>
    <w:rsid w:val="00344460"/>
    <w:rsid w:val="00345D0C"/>
    <w:rsid w:val="003517F8"/>
    <w:rsid w:val="00351A5B"/>
    <w:rsid w:val="00353F93"/>
    <w:rsid w:val="00354B0D"/>
    <w:rsid w:val="003558D2"/>
    <w:rsid w:val="003564A5"/>
    <w:rsid w:val="00356954"/>
    <w:rsid w:val="00357C43"/>
    <w:rsid w:val="00357D71"/>
    <w:rsid w:val="003600A3"/>
    <w:rsid w:val="00363D30"/>
    <w:rsid w:val="003641A4"/>
    <w:rsid w:val="003660A1"/>
    <w:rsid w:val="00366330"/>
    <w:rsid w:val="00366EAF"/>
    <w:rsid w:val="00367FD7"/>
    <w:rsid w:val="00370613"/>
    <w:rsid w:val="003707BE"/>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48C5"/>
    <w:rsid w:val="003950FD"/>
    <w:rsid w:val="00395A51"/>
    <w:rsid w:val="00395C27"/>
    <w:rsid w:val="00396D51"/>
    <w:rsid w:val="00397224"/>
    <w:rsid w:val="003A1D7A"/>
    <w:rsid w:val="003A2F16"/>
    <w:rsid w:val="003A429A"/>
    <w:rsid w:val="003A7313"/>
    <w:rsid w:val="003B0489"/>
    <w:rsid w:val="003B2E64"/>
    <w:rsid w:val="003B79CC"/>
    <w:rsid w:val="003B7EED"/>
    <w:rsid w:val="003C120B"/>
    <w:rsid w:val="003C1F91"/>
    <w:rsid w:val="003C218F"/>
    <w:rsid w:val="003C43FB"/>
    <w:rsid w:val="003C5BBF"/>
    <w:rsid w:val="003C73E9"/>
    <w:rsid w:val="003C78A8"/>
    <w:rsid w:val="003D3040"/>
    <w:rsid w:val="003D7014"/>
    <w:rsid w:val="003E19AF"/>
    <w:rsid w:val="003E28A0"/>
    <w:rsid w:val="003E3C7E"/>
    <w:rsid w:val="003E51D4"/>
    <w:rsid w:val="003E5AEE"/>
    <w:rsid w:val="003E742E"/>
    <w:rsid w:val="003E7DE0"/>
    <w:rsid w:val="003F0178"/>
    <w:rsid w:val="003F2031"/>
    <w:rsid w:val="003F3330"/>
    <w:rsid w:val="003F35D5"/>
    <w:rsid w:val="003F4092"/>
    <w:rsid w:val="003F4AAC"/>
    <w:rsid w:val="00400101"/>
    <w:rsid w:val="00400271"/>
    <w:rsid w:val="00405933"/>
    <w:rsid w:val="00405A82"/>
    <w:rsid w:val="0040634E"/>
    <w:rsid w:val="004063CE"/>
    <w:rsid w:val="00406497"/>
    <w:rsid w:val="00406959"/>
    <w:rsid w:val="00406DBA"/>
    <w:rsid w:val="00407010"/>
    <w:rsid w:val="004103A0"/>
    <w:rsid w:val="00411626"/>
    <w:rsid w:val="00412248"/>
    <w:rsid w:val="004127D0"/>
    <w:rsid w:val="00412EC0"/>
    <w:rsid w:val="0041485E"/>
    <w:rsid w:val="0041677A"/>
    <w:rsid w:val="004179C8"/>
    <w:rsid w:val="00420560"/>
    <w:rsid w:val="0042183B"/>
    <w:rsid w:val="004237DF"/>
    <w:rsid w:val="00426BD5"/>
    <w:rsid w:val="0042746E"/>
    <w:rsid w:val="00427BBB"/>
    <w:rsid w:val="004311EB"/>
    <w:rsid w:val="00431388"/>
    <w:rsid w:val="00431982"/>
    <w:rsid w:val="00435FF2"/>
    <w:rsid w:val="0043702A"/>
    <w:rsid w:val="0044044F"/>
    <w:rsid w:val="004405BF"/>
    <w:rsid w:val="00440DE7"/>
    <w:rsid w:val="00441AA9"/>
    <w:rsid w:val="0044342B"/>
    <w:rsid w:val="00443646"/>
    <w:rsid w:val="00444881"/>
    <w:rsid w:val="004476C1"/>
    <w:rsid w:val="00447D97"/>
    <w:rsid w:val="00450921"/>
    <w:rsid w:val="0045481D"/>
    <w:rsid w:val="00454F4D"/>
    <w:rsid w:val="004567F0"/>
    <w:rsid w:val="0046023F"/>
    <w:rsid w:val="0046046E"/>
    <w:rsid w:val="0046104B"/>
    <w:rsid w:val="004620FA"/>
    <w:rsid w:val="004637A2"/>
    <w:rsid w:val="00464331"/>
    <w:rsid w:val="00464372"/>
    <w:rsid w:val="00465404"/>
    <w:rsid w:val="00465410"/>
    <w:rsid w:val="00470601"/>
    <w:rsid w:val="00470CBD"/>
    <w:rsid w:val="00470DC8"/>
    <w:rsid w:val="00470E91"/>
    <w:rsid w:val="0047177E"/>
    <w:rsid w:val="00472307"/>
    <w:rsid w:val="00474C40"/>
    <w:rsid w:val="00475DA1"/>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97095"/>
    <w:rsid w:val="004A00E2"/>
    <w:rsid w:val="004A0FCD"/>
    <w:rsid w:val="004A1449"/>
    <w:rsid w:val="004A284D"/>
    <w:rsid w:val="004A2F0F"/>
    <w:rsid w:val="004A328D"/>
    <w:rsid w:val="004A362D"/>
    <w:rsid w:val="004A43CC"/>
    <w:rsid w:val="004B05F7"/>
    <w:rsid w:val="004B0791"/>
    <w:rsid w:val="004B1A4F"/>
    <w:rsid w:val="004B46A3"/>
    <w:rsid w:val="004B4EF4"/>
    <w:rsid w:val="004B510F"/>
    <w:rsid w:val="004B7C34"/>
    <w:rsid w:val="004C0D95"/>
    <w:rsid w:val="004C11C4"/>
    <w:rsid w:val="004C26EE"/>
    <w:rsid w:val="004C352A"/>
    <w:rsid w:val="004C6CC5"/>
    <w:rsid w:val="004C715D"/>
    <w:rsid w:val="004D1FFC"/>
    <w:rsid w:val="004D5C73"/>
    <w:rsid w:val="004E0D31"/>
    <w:rsid w:val="004E2BF1"/>
    <w:rsid w:val="004E5D48"/>
    <w:rsid w:val="004E7782"/>
    <w:rsid w:val="004F1164"/>
    <w:rsid w:val="004F15BA"/>
    <w:rsid w:val="004F1A1A"/>
    <w:rsid w:val="004F20A0"/>
    <w:rsid w:val="004F3304"/>
    <w:rsid w:val="004F5B8F"/>
    <w:rsid w:val="004F67DA"/>
    <w:rsid w:val="004F782A"/>
    <w:rsid w:val="004F7C2B"/>
    <w:rsid w:val="005015DB"/>
    <w:rsid w:val="00501B2D"/>
    <w:rsid w:val="00502F6D"/>
    <w:rsid w:val="00504289"/>
    <w:rsid w:val="00506EC4"/>
    <w:rsid w:val="00511B02"/>
    <w:rsid w:val="005134C9"/>
    <w:rsid w:val="005154D6"/>
    <w:rsid w:val="005172C6"/>
    <w:rsid w:val="005219CF"/>
    <w:rsid w:val="00522F4F"/>
    <w:rsid w:val="00523616"/>
    <w:rsid w:val="00523E93"/>
    <w:rsid w:val="00524507"/>
    <w:rsid w:val="00524ACB"/>
    <w:rsid w:val="00525B7E"/>
    <w:rsid w:val="00530931"/>
    <w:rsid w:val="00532DB1"/>
    <w:rsid w:val="00532DDA"/>
    <w:rsid w:val="0053310C"/>
    <w:rsid w:val="00533E86"/>
    <w:rsid w:val="0053474F"/>
    <w:rsid w:val="0053542D"/>
    <w:rsid w:val="0053577B"/>
    <w:rsid w:val="00536065"/>
    <w:rsid w:val="0054022C"/>
    <w:rsid w:val="0054122A"/>
    <w:rsid w:val="00541666"/>
    <w:rsid w:val="00541EB8"/>
    <w:rsid w:val="00543D6D"/>
    <w:rsid w:val="0054477B"/>
    <w:rsid w:val="005448D8"/>
    <w:rsid w:val="005463DB"/>
    <w:rsid w:val="005475F7"/>
    <w:rsid w:val="0055286A"/>
    <w:rsid w:val="0055697F"/>
    <w:rsid w:val="00556AC8"/>
    <w:rsid w:val="00556E07"/>
    <w:rsid w:val="005573F3"/>
    <w:rsid w:val="005607C9"/>
    <w:rsid w:val="005611A6"/>
    <w:rsid w:val="00561335"/>
    <w:rsid w:val="00562389"/>
    <w:rsid w:val="0056274A"/>
    <w:rsid w:val="00563876"/>
    <w:rsid w:val="00563F43"/>
    <w:rsid w:val="005643C5"/>
    <w:rsid w:val="0056546A"/>
    <w:rsid w:val="0056623B"/>
    <w:rsid w:val="005678E3"/>
    <w:rsid w:val="00567D5F"/>
    <w:rsid w:val="00567FC5"/>
    <w:rsid w:val="005738A0"/>
    <w:rsid w:val="00576897"/>
    <w:rsid w:val="00576E4C"/>
    <w:rsid w:val="0057746D"/>
    <w:rsid w:val="00577AB2"/>
    <w:rsid w:val="0058061F"/>
    <w:rsid w:val="005820A9"/>
    <w:rsid w:val="0058229C"/>
    <w:rsid w:val="005825C4"/>
    <w:rsid w:val="005838B4"/>
    <w:rsid w:val="00583E7C"/>
    <w:rsid w:val="00584833"/>
    <w:rsid w:val="00584E02"/>
    <w:rsid w:val="005874D8"/>
    <w:rsid w:val="005900DB"/>
    <w:rsid w:val="00590F23"/>
    <w:rsid w:val="005916D2"/>
    <w:rsid w:val="00592117"/>
    <w:rsid w:val="00593539"/>
    <w:rsid w:val="005939C1"/>
    <w:rsid w:val="00593A8A"/>
    <w:rsid w:val="00596032"/>
    <w:rsid w:val="00596216"/>
    <w:rsid w:val="005968B9"/>
    <w:rsid w:val="0059762D"/>
    <w:rsid w:val="005A0AAF"/>
    <w:rsid w:val="005A4901"/>
    <w:rsid w:val="005A6218"/>
    <w:rsid w:val="005A675D"/>
    <w:rsid w:val="005B1118"/>
    <w:rsid w:val="005B3DE7"/>
    <w:rsid w:val="005B4586"/>
    <w:rsid w:val="005B500A"/>
    <w:rsid w:val="005B5E21"/>
    <w:rsid w:val="005B629A"/>
    <w:rsid w:val="005B774B"/>
    <w:rsid w:val="005C0E05"/>
    <w:rsid w:val="005C0F45"/>
    <w:rsid w:val="005C10C9"/>
    <w:rsid w:val="005C12A4"/>
    <w:rsid w:val="005C1AED"/>
    <w:rsid w:val="005C1C67"/>
    <w:rsid w:val="005C1C93"/>
    <w:rsid w:val="005C4835"/>
    <w:rsid w:val="005C55ED"/>
    <w:rsid w:val="005C6218"/>
    <w:rsid w:val="005C68CA"/>
    <w:rsid w:val="005C6B50"/>
    <w:rsid w:val="005D0285"/>
    <w:rsid w:val="005D0358"/>
    <w:rsid w:val="005D0CDE"/>
    <w:rsid w:val="005D3558"/>
    <w:rsid w:val="005D3C29"/>
    <w:rsid w:val="005D4DDE"/>
    <w:rsid w:val="005D589E"/>
    <w:rsid w:val="005E01D4"/>
    <w:rsid w:val="005E4DB2"/>
    <w:rsid w:val="005E513B"/>
    <w:rsid w:val="005F2929"/>
    <w:rsid w:val="005F2DDF"/>
    <w:rsid w:val="005F320D"/>
    <w:rsid w:val="005F3674"/>
    <w:rsid w:val="005F4A17"/>
    <w:rsid w:val="005F5746"/>
    <w:rsid w:val="005F5B69"/>
    <w:rsid w:val="005F6C60"/>
    <w:rsid w:val="005F700E"/>
    <w:rsid w:val="005F796A"/>
    <w:rsid w:val="006006AC"/>
    <w:rsid w:val="00600CC4"/>
    <w:rsid w:val="006016BF"/>
    <w:rsid w:val="00601FD0"/>
    <w:rsid w:val="006022D7"/>
    <w:rsid w:val="00602606"/>
    <w:rsid w:val="00604A67"/>
    <w:rsid w:val="00604DA0"/>
    <w:rsid w:val="00604E58"/>
    <w:rsid w:val="006071F8"/>
    <w:rsid w:val="0061186A"/>
    <w:rsid w:val="00612C90"/>
    <w:rsid w:val="00615E89"/>
    <w:rsid w:val="00617678"/>
    <w:rsid w:val="006200D0"/>
    <w:rsid w:val="00620922"/>
    <w:rsid w:val="00620FD4"/>
    <w:rsid w:val="00623688"/>
    <w:rsid w:val="0062370A"/>
    <w:rsid w:val="00623F94"/>
    <w:rsid w:val="006243CC"/>
    <w:rsid w:val="00625C24"/>
    <w:rsid w:val="00625E46"/>
    <w:rsid w:val="0063011A"/>
    <w:rsid w:val="00630F5E"/>
    <w:rsid w:val="006322DD"/>
    <w:rsid w:val="00633156"/>
    <w:rsid w:val="00633A78"/>
    <w:rsid w:val="006347C0"/>
    <w:rsid w:val="0063541B"/>
    <w:rsid w:val="00636760"/>
    <w:rsid w:val="0063692D"/>
    <w:rsid w:val="00637DDD"/>
    <w:rsid w:val="006417CB"/>
    <w:rsid w:val="00644E1A"/>
    <w:rsid w:val="0064622C"/>
    <w:rsid w:val="0064704F"/>
    <w:rsid w:val="00647951"/>
    <w:rsid w:val="00650ACC"/>
    <w:rsid w:val="00650F00"/>
    <w:rsid w:val="006531D6"/>
    <w:rsid w:val="00653533"/>
    <w:rsid w:val="00653DCD"/>
    <w:rsid w:val="00655BCE"/>
    <w:rsid w:val="006562D9"/>
    <w:rsid w:val="00656642"/>
    <w:rsid w:val="006571FF"/>
    <w:rsid w:val="0066040D"/>
    <w:rsid w:val="00660E00"/>
    <w:rsid w:val="00661999"/>
    <w:rsid w:val="00661EED"/>
    <w:rsid w:val="006627E8"/>
    <w:rsid w:val="00662945"/>
    <w:rsid w:val="0066711C"/>
    <w:rsid w:val="00670B59"/>
    <w:rsid w:val="00671B10"/>
    <w:rsid w:val="0067250E"/>
    <w:rsid w:val="00674079"/>
    <w:rsid w:val="0067461E"/>
    <w:rsid w:val="00674A7C"/>
    <w:rsid w:val="0067624B"/>
    <w:rsid w:val="00676997"/>
    <w:rsid w:val="00683538"/>
    <w:rsid w:val="006861E1"/>
    <w:rsid w:val="00686250"/>
    <w:rsid w:val="00690A8D"/>
    <w:rsid w:val="006914F3"/>
    <w:rsid w:val="0069287A"/>
    <w:rsid w:val="00692EFE"/>
    <w:rsid w:val="00693BAF"/>
    <w:rsid w:val="0069412C"/>
    <w:rsid w:val="00694A73"/>
    <w:rsid w:val="006965F8"/>
    <w:rsid w:val="006969E7"/>
    <w:rsid w:val="00696BDA"/>
    <w:rsid w:val="00697B54"/>
    <w:rsid w:val="00697B65"/>
    <w:rsid w:val="006A10DD"/>
    <w:rsid w:val="006A4285"/>
    <w:rsid w:val="006A53D8"/>
    <w:rsid w:val="006A5BFE"/>
    <w:rsid w:val="006A6533"/>
    <w:rsid w:val="006A71C1"/>
    <w:rsid w:val="006A73C1"/>
    <w:rsid w:val="006B0205"/>
    <w:rsid w:val="006B0402"/>
    <w:rsid w:val="006B0CC2"/>
    <w:rsid w:val="006B11A4"/>
    <w:rsid w:val="006B200C"/>
    <w:rsid w:val="006B2BE2"/>
    <w:rsid w:val="006B2F12"/>
    <w:rsid w:val="006B3439"/>
    <w:rsid w:val="006B4206"/>
    <w:rsid w:val="006B4C3F"/>
    <w:rsid w:val="006B6237"/>
    <w:rsid w:val="006B6A9B"/>
    <w:rsid w:val="006B70DF"/>
    <w:rsid w:val="006B71A4"/>
    <w:rsid w:val="006B71A9"/>
    <w:rsid w:val="006B7800"/>
    <w:rsid w:val="006C1899"/>
    <w:rsid w:val="006C3153"/>
    <w:rsid w:val="006C31BD"/>
    <w:rsid w:val="006C4690"/>
    <w:rsid w:val="006C4866"/>
    <w:rsid w:val="006C5184"/>
    <w:rsid w:val="006C5B7B"/>
    <w:rsid w:val="006C666F"/>
    <w:rsid w:val="006C6BC8"/>
    <w:rsid w:val="006C7D65"/>
    <w:rsid w:val="006D0264"/>
    <w:rsid w:val="006D3CFD"/>
    <w:rsid w:val="006D5678"/>
    <w:rsid w:val="006D5CDC"/>
    <w:rsid w:val="006D6F07"/>
    <w:rsid w:val="006E103D"/>
    <w:rsid w:val="006E2736"/>
    <w:rsid w:val="006E5417"/>
    <w:rsid w:val="006E56E7"/>
    <w:rsid w:val="006F17A9"/>
    <w:rsid w:val="006F17D5"/>
    <w:rsid w:val="006F2ED9"/>
    <w:rsid w:val="006F5682"/>
    <w:rsid w:val="006F5C74"/>
    <w:rsid w:val="006F6478"/>
    <w:rsid w:val="006F76E1"/>
    <w:rsid w:val="006F7C84"/>
    <w:rsid w:val="006F7DA9"/>
    <w:rsid w:val="006F7F61"/>
    <w:rsid w:val="007028B3"/>
    <w:rsid w:val="00702A4D"/>
    <w:rsid w:val="00702AD8"/>
    <w:rsid w:val="0070318D"/>
    <w:rsid w:val="00703CD0"/>
    <w:rsid w:val="007052BD"/>
    <w:rsid w:val="0070582B"/>
    <w:rsid w:val="00706590"/>
    <w:rsid w:val="00706D2B"/>
    <w:rsid w:val="00706F06"/>
    <w:rsid w:val="0071002E"/>
    <w:rsid w:val="00710C5B"/>
    <w:rsid w:val="007119F7"/>
    <w:rsid w:val="007129A6"/>
    <w:rsid w:val="00714D85"/>
    <w:rsid w:val="007152BF"/>
    <w:rsid w:val="00721C06"/>
    <w:rsid w:val="007239F5"/>
    <w:rsid w:val="007251C2"/>
    <w:rsid w:val="0072531E"/>
    <w:rsid w:val="00726047"/>
    <w:rsid w:val="0072643A"/>
    <w:rsid w:val="00726760"/>
    <w:rsid w:val="00730FBC"/>
    <w:rsid w:val="00731CBD"/>
    <w:rsid w:val="00731F10"/>
    <w:rsid w:val="00732235"/>
    <w:rsid w:val="00732E8E"/>
    <w:rsid w:val="00733C05"/>
    <w:rsid w:val="00736EA3"/>
    <w:rsid w:val="00737F36"/>
    <w:rsid w:val="00741864"/>
    <w:rsid w:val="00742267"/>
    <w:rsid w:val="00744765"/>
    <w:rsid w:val="00744FF8"/>
    <w:rsid w:val="0074688A"/>
    <w:rsid w:val="007476E0"/>
    <w:rsid w:val="0075010F"/>
    <w:rsid w:val="007503D1"/>
    <w:rsid w:val="00751054"/>
    <w:rsid w:val="00751D4F"/>
    <w:rsid w:val="007531D9"/>
    <w:rsid w:val="007546C3"/>
    <w:rsid w:val="00757093"/>
    <w:rsid w:val="00757ABF"/>
    <w:rsid w:val="00757B8C"/>
    <w:rsid w:val="00760E29"/>
    <w:rsid w:val="00763E30"/>
    <w:rsid w:val="00764BA4"/>
    <w:rsid w:val="007653B0"/>
    <w:rsid w:val="00765980"/>
    <w:rsid w:val="0076681F"/>
    <w:rsid w:val="00766850"/>
    <w:rsid w:val="00767146"/>
    <w:rsid w:val="00767464"/>
    <w:rsid w:val="007676F9"/>
    <w:rsid w:val="00772A21"/>
    <w:rsid w:val="00773922"/>
    <w:rsid w:val="00774D59"/>
    <w:rsid w:val="00775B42"/>
    <w:rsid w:val="00775E68"/>
    <w:rsid w:val="007767A9"/>
    <w:rsid w:val="00777446"/>
    <w:rsid w:val="007776A6"/>
    <w:rsid w:val="00777C40"/>
    <w:rsid w:val="00781066"/>
    <w:rsid w:val="007822C4"/>
    <w:rsid w:val="0078241C"/>
    <w:rsid w:val="00790A50"/>
    <w:rsid w:val="007924A3"/>
    <w:rsid w:val="00793159"/>
    <w:rsid w:val="00793699"/>
    <w:rsid w:val="007941E5"/>
    <w:rsid w:val="00794D00"/>
    <w:rsid w:val="007952CD"/>
    <w:rsid w:val="00795FED"/>
    <w:rsid w:val="007965C3"/>
    <w:rsid w:val="007965FF"/>
    <w:rsid w:val="007A0C6E"/>
    <w:rsid w:val="007A22B7"/>
    <w:rsid w:val="007A2BA2"/>
    <w:rsid w:val="007A30F1"/>
    <w:rsid w:val="007A416A"/>
    <w:rsid w:val="007A4EA0"/>
    <w:rsid w:val="007A5F1B"/>
    <w:rsid w:val="007A73C2"/>
    <w:rsid w:val="007A7FA8"/>
    <w:rsid w:val="007B059B"/>
    <w:rsid w:val="007B071A"/>
    <w:rsid w:val="007B160B"/>
    <w:rsid w:val="007B241B"/>
    <w:rsid w:val="007B26EC"/>
    <w:rsid w:val="007B501F"/>
    <w:rsid w:val="007B5683"/>
    <w:rsid w:val="007B5FA4"/>
    <w:rsid w:val="007B6040"/>
    <w:rsid w:val="007B64EE"/>
    <w:rsid w:val="007B742B"/>
    <w:rsid w:val="007C0665"/>
    <w:rsid w:val="007C0750"/>
    <w:rsid w:val="007C11A8"/>
    <w:rsid w:val="007C3607"/>
    <w:rsid w:val="007C3BD7"/>
    <w:rsid w:val="007C5354"/>
    <w:rsid w:val="007C559A"/>
    <w:rsid w:val="007C6DBF"/>
    <w:rsid w:val="007C6FB5"/>
    <w:rsid w:val="007D26E5"/>
    <w:rsid w:val="007D3283"/>
    <w:rsid w:val="007D3BF5"/>
    <w:rsid w:val="007D4747"/>
    <w:rsid w:val="007D6A14"/>
    <w:rsid w:val="007D6CE9"/>
    <w:rsid w:val="007D73E2"/>
    <w:rsid w:val="007E09B1"/>
    <w:rsid w:val="007E181A"/>
    <w:rsid w:val="007E1DA0"/>
    <w:rsid w:val="007E1EF1"/>
    <w:rsid w:val="007E2455"/>
    <w:rsid w:val="007E422B"/>
    <w:rsid w:val="007E68EB"/>
    <w:rsid w:val="007F170A"/>
    <w:rsid w:val="007F1BCD"/>
    <w:rsid w:val="007F25B1"/>
    <w:rsid w:val="007F4A74"/>
    <w:rsid w:val="007F53E7"/>
    <w:rsid w:val="007F75D7"/>
    <w:rsid w:val="007F774D"/>
    <w:rsid w:val="00801837"/>
    <w:rsid w:val="008031F9"/>
    <w:rsid w:val="00803BA3"/>
    <w:rsid w:val="00804657"/>
    <w:rsid w:val="0080495A"/>
    <w:rsid w:val="00804EA7"/>
    <w:rsid w:val="0080515A"/>
    <w:rsid w:val="00805531"/>
    <w:rsid w:val="008059B1"/>
    <w:rsid w:val="008059F5"/>
    <w:rsid w:val="00807B11"/>
    <w:rsid w:val="00807EE8"/>
    <w:rsid w:val="00810C42"/>
    <w:rsid w:val="00810DBB"/>
    <w:rsid w:val="00812953"/>
    <w:rsid w:val="00812E7E"/>
    <w:rsid w:val="008141E2"/>
    <w:rsid w:val="008143F7"/>
    <w:rsid w:val="00814681"/>
    <w:rsid w:val="00815A3F"/>
    <w:rsid w:val="0082030A"/>
    <w:rsid w:val="00820D5E"/>
    <w:rsid w:val="00820EA4"/>
    <w:rsid w:val="00821D54"/>
    <w:rsid w:val="00824065"/>
    <w:rsid w:val="008241D8"/>
    <w:rsid w:val="00824EF5"/>
    <w:rsid w:val="00824F4A"/>
    <w:rsid w:val="00825406"/>
    <w:rsid w:val="0082566B"/>
    <w:rsid w:val="008266F7"/>
    <w:rsid w:val="008308FC"/>
    <w:rsid w:val="00831AC0"/>
    <w:rsid w:val="00832116"/>
    <w:rsid w:val="00832311"/>
    <w:rsid w:val="008337E9"/>
    <w:rsid w:val="008339D1"/>
    <w:rsid w:val="00834733"/>
    <w:rsid w:val="00835890"/>
    <w:rsid w:val="008368A8"/>
    <w:rsid w:val="00837365"/>
    <w:rsid w:val="0084057F"/>
    <w:rsid w:val="00840681"/>
    <w:rsid w:val="008416A7"/>
    <w:rsid w:val="00842087"/>
    <w:rsid w:val="008449DF"/>
    <w:rsid w:val="0084540E"/>
    <w:rsid w:val="00845703"/>
    <w:rsid w:val="00846CE4"/>
    <w:rsid w:val="008510CF"/>
    <w:rsid w:val="00851401"/>
    <w:rsid w:val="00853324"/>
    <w:rsid w:val="008541A0"/>
    <w:rsid w:val="008544BC"/>
    <w:rsid w:val="00857C13"/>
    <w:rsid w:val="00857DE8"/>
    <w:rsid w:val="00861D0C"/>
    <w:rsid w:val="0086309F"/>
    <w:rsid w:val="0086311B"/>
    <w:rsid w:val="008654FD"/>
    <w:rsid w:val="00866A9B"/>
    <w:rsid w:val="00867F63"/>
    <w:rsid w:val="008700C2"/>
    <w:rsid w:val="00871B10"/>
    <w:rsid w:val="008736EB"/>
    <w:rsid w:val="0087571B"/>
    <w:rsid w:val="00876671"/>
    <w:rsid w:val="0087699F"/>
    <w:rsid w:val="008823E6"/>
    <w:rsid w:val="008825A5"/>
    <w:rsid w:val="00883133"/>
    <w:rsid w:val="00883F07"/>
    <w:rsid w:val="0088545F"/>
    <w:rsid w:val="008854B8"/>
    <w:rsid w:val="00890DFF"/>
    <w:rsid w:val="00891178"/>
    <w:rsid w:val="00891376"/>
    <w:rsid w:val="00894DE8"/>
    <w:rsid w:val="00894FE3"/>
    <w:rsid w:val="008950E2"/>
    <w:rsid w:val="00895629"/>
    <w:rsid w:val="00896039"/>
    <w:rsid w:val="00897406"/>
    <w:rsid w:val="0089740A"/>
    <w:rsid w:val="0089783A"/>
    <w:rsid w:val="00897A22"/>
    <w:rsid w:val="008A52AE"/>
    <w:rsid w:val="008A5681"/>
    <w:rsid w:val="008A57C8"/>
    <w:rsid w:val="008A643C"/>
    <w:rsid w:val="008B0F73"/>
    <w:rsid w:val="008B22DF"/>
    <w:rsid w:val="008B2F87"/>
    <w:rsid w:val="008B383A"/>
    <w:rsid w:val="008B48F3"/>
    <w:rsid w:val="008B4C83"/>
    <w:rsid w:val="008B5057"/>
    <w:rsid w:val="008B59B5"/>
    <w:rsid w:val="008B6C3B"/>
    <w:rsid w:val="008B7AEA"/>
    <w:rsid w:val="008C0BD8"/>
    <w:rsid w:val="008C2540"/>
    <w:rsid w:val="008C5749"/>
    <w:rsid w:val="008D03D9"/>
    <w:rsid w:val="008D122B"/>
    <w:rsid w:val="008D1F20"/>
    <w:rsid w:val="008D46D4"/>
    <w:rsid w:val="008D4929"/>
    <w:rsid w:val="008D7A1E"/>
    <w:rsid w:val="008E0180"/>
    <w:rsid w:val="008E075B"/>
    <w:rsid w:val="008E0E29"/>
    <w:rsid w:val="008E1B21"/>
    <w:rsid w:val="008E1EC6"/>
    <w:rsid w:val="008E1FB4"/>
    <w:rsid w:val="008E4E00"/>
    <w:rsid w:val="008E514F"/>
    <w:rsid w:val="008E672D"/>
    <w:rsid w:val="008E7D98"/>
    <w:rsid w:val="008E7ECC"/>
    <w:rsid w:val="008F0BC5"/>
    <w:rsid w:val="008F1820"/>
    <w:rsid w:val="008F4BAE"/>
    <w:rsid w:val="008F4F08"/>
    <w:rsid w:val="00900190"/>
    <w:rsid w:val="00900EB6"/>
    <w:rsid w:val="00901301"/>
    <w:rsid w:val="00901BB8"/>
    <w:rsid w:val="0090248F"/>
    <w:rsid w:val="00902942"/>
    <w:rsid w:val="00902F6A"/>
    <w:rsid w:val="00903A15"/>
    <w:rsid w:val="0090473E"/>
    <w:rsid w:val="009056C7"/>
    <w:rsid w:val="009063AA"/>
    <w:rsid w:val="00906409"/>
    <w:rsid w:val="00906B1C"/>
    <w:rsid w:val="00910601"/>
    <w:rsid w:val="00911332"/>
    <w:rsid w:val="00912ECE"/>
    <w:rsid w:val="0091536C"/>
    <w:rsid w:val="009161AD"/>
    <w:rsid w:val="0091686D"/>
    <w:rsid w:val="009168DB"/>
    <w:rsid w:val="00917EB8"/>
    <w:rsid w:val="009214A3"/>
    <w:rsid w:val="009237E8"/>
    <w:rsid w:val="00927E38"/>
    <w:rsid w:val="00933BA0"/>
    <w:rsid w:val="00936A38"/>
    <w:rsid w:val="0093782D"/>
    <w:rsid w:val="009411B0"/>
    <w:rsid w:val="00942ACF"/>
    <w:rsid w:val="00943841"/>
    <w:rsid w:val="0094411B"/>
    <w:rsid w:val="00947B47"/>
    <w:rsid w:val="00947F24"/>
    <w:rsid w:val="00950B3C"/>
    <w:rsid w:val="009552ED"/>
    <w:rsid w:val="00956997"/>
    <w:rsid w:val="00957087"/>
    <w:rsid w:val="009601D1"/>
    <w:rsid w:val="00960B2B"/>
    <w:rsid w:val="00961745"/>
    <w:rsid w:val="009623A8"/>
    <w:rsid w:val="00964220"/>
    <w:rsid w:val="009659A2"/>
    <w:rsid w:val="00966FC9"/>
    <w:rsid w:val="00970097"/>
    <w:rsid w:val="00970722"/>
    <w:rsid w:val="00972A23"/>
    <w:rsid w:val="0097589C"/>
    <w:rsid w:val="00980E7D"/>
    <w:rsid w:val="0098123A"/>
    <w:rsid w:val="009819F4"/>
    <w:rsid w:val="009831E4"/>
    <w:rsid w:val="00983241"/>
    <w:rsid w:val="009832F8"/>
    <w:rsid w:val="00983F30"/>
    <w:rsid w:val="00985F03"/>
    <w:rsid w:val="009862C9"/>
    <w:rsid w:val="00986B0D"/>
    <w:rsid w:val="00986FDF"/>
    <w:rsid w:val="00990652"/>
    <w:rsid w:val="00990EBA"/>
    <w:rsid w:val="00992281"/>
    <w:rsid w:val="00993A1E"/>
    <w:rsid w:val="00993F8C"/>
    <w:rsid w:val="00994490"/>
    <w:rsid w:val="0099535A"/>
    <w:rsid w:val="00996B2E"/>
    <w:rsid w:val="00997824"/>
    <w:rsid w:val="009A1DB6"/>
    <w:rsid w:val="009A24BD"/>
    <w:rsid w:val="009A2B83"/>
    <w:rsid w:val="009A3A3B"/>
    <w:rsid w:val="009A5EB5"/>
    <w:rsid w:val="009A6C8C"/>
    <w:rsid w:val="009A7235"/>
    <w:rsid w:val="009A7A06"/>
    <w:rsid w:val="009B0922"/>
    <w:rsid w:val="009B18D2"/>
    <w:rsid w:val="009B2B80"/>
    <w:rsid w:val="009B4CAB"/>
    <w:rsid w:val="009C0270"/>
    <w:rsid w:val="009C0B57"/>
    <w:rsid w:val="009C1298"/>
    <w:rsid w:val="009C40C3"/>
    <w:rsid w:val="009C453E"/>
    <w:rsid w:val="009C4D63"/>
    <w:rsid w:val="009C5270"/>
    <w:rsid w:val="009C6109"/>
    <w:rsid w:val="009C6269"/>
    <w:rsid w:val="009C66D7"/>
    <w:rsid w:val="009C6EA9"/>
    <w:rsid w:val="009D30F1"/>
    <w:rsid w:val="009D4559"/>
    <w:rsid w:val="009D4B17"/>
    <w:rsid w:val="009D511E"/>
    <w:rsid w:val="009D6706"/>
    <w:rsid w:val="009D6EAE"/>
    <w:rsid w:val="009D7587"/>
    <w:rsid w:val="009D772E"/>
    <w:rsid w:val="009D7A5E"/>
    <w:rsid w:val="009E124F"/>
    <w:rsid w:val="009E289E"/>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028D5"/>
    <w:rsid w:val="00A04705"/>
    <w:rsid w:val="00A07A3C"/>
    <w:rsid w:val="00A1088C"/>
    <w:rsid w:val="00A11160"/>
    <w:rsid w:val="00A1717D"/>
    <w:rsid w:val="00A1769E"/>
    <w:rsid w:val="00A214D1"/>
    <w:rsid w:val="00A2188D"/>
    <w:rsid w:val="00A22602"/>
    <w:rsid w:val="00A229EF"/>
    <w:rsid w:val="00A2332F"/>
    <w:rsid w:val="00A2369B"/>
    <w:rsid w:val="00A252F8"/>
    <w:rsid w:val="00A25EB0"/>
    <w:rsid w:val="00A26CAA"/>
    <w:rsid w:val="00A27F3D"/>
    <w:rsid w:val="00A31AA6"/>
    <w:rsid w:val="00A32287"/>
    <w:rsid w:val="00A323F7"/>
    <w:rsid w:val="00A32D6F"/>
    <w:rsid w:val="00A360F4"/>
    <w:rsid w:val="00A36A8D"/>
    <w:rsid w:val="00A4078B"/>
    <w:rsid w:val="00A41266"/>
    <w:rsid w:val="00A41520"/>
    <w:rsid w:val="00A419A5"/>
    <w:rsid w:val="00A42A73"/>
    <w:rsid w:val="00A42D72"/>
    <w:rsid w:val="00A43F32"/>
    <w:rsid w:val="00A46103"/>
    <w:rsid w:val="00A46BBC"/>
    <w:rsid w:val="00A46ECB"/>
    <w:rsid w:val="00A47A34"/>
    <w:rsid w:val="00A502B9"/>
    <w:rsid w:val="00A5076B"/>
    <w:rsid w:val="00A51193"/>
    <w:rsid w:val="00A514DA"/>
    <w:rsid w:val="00A5351E"/>
    <w:rsid w:val="00A54324"/>
    <w:rsid w:val="00A55225"/>
    <w:rsid w:val="00A56A25"/>
    <w:rsid w:val="00A5788F"/>
    <w:rsid w:val="00A57C6C"/>
    <w:rsid w:val="00A57D3A"/>
    <w:rsid w:val="00A613B1"/>
    <w:rsid w:val="00A61FEA"/>
    <w:rsid w:val="00A63757"/>
    <w:rsid w:val="00A63F63"/>
    <w:rsid w:val="00A64266"/>
    <w:rsid w:val="00A64615"/>
    <w:rsid w:val="00A64F4E"/>
    <w:rsid w:val="00A652BE"/>
    <w:rsid w:val="00A660F6"/>
    <w:rsid w:val="00A66723"/>
    <w:rsid w:val="00A67D4B"/>
    <w:rsid w:val="00A701B9"/>
    <w:rsid w:val="00A705D0"/>
    <w:rsid w:val="00A721C2"/>
    <w:rsid w:val="00A72438"/>
    <w:rsid w:val="00A72C24"/>
    <w:rsid w:val="00A73E51"/>
    <w:rsid w:val="00A74341"/>
    <w:rsid w:val="00A7570B"/>
    <w:rsid w:val="00A77F9E"/>
    <w:rsid w:val="00A81EB5"/>
    <w:rsid w:val="00A820E1"/>
    <w:rsid w:val="00A83936"/>
    <w:rsid w:val="00A84A9D"/>
    <w:rsid w:val="00A852B2"/>
    <w:rsid w:val="00A86DC2"/>
    <w:rsid w:val="00A9060D"/>
    <w:rsid w:val="00A906EA"/>
    <w:rsid w:val="00A92AD3"/>
    <w:rsid w:val="00A94001"/>
    <w:rsid w:val="00A941B2"/>
    <w:rsid w:val="00A945AA"/>
    <w:rsid w:val="00A95CA2"/>
    <w:rsid w:val="00A97F38"/>
    <w:rsid w:val="00AA1685"/>
    <w:rsid w:val="00AA3091"/>
    <w:rsid w:val="00AA373D"/>
    <w:rsid w:val="00AA4749"/>
    <w:rsid w:val="00AA56D9"/>
    <w:rsid w:val="00AA647E"/>
    <w:rsid w:val="00AA7C70"/>
    <w:rsid w:val="00AA7E16"/>
    <w:rsid w:val="00AA7E17"/>
    <w:rsid w:val="00AB04AA"/>
    <w:rsid w:val="00AB0A99"/>
    <w:rsid w:val="00AB4313"/>
    <w:rsid w:val="00AB4B0E"/>
    <w:rsid w:val="00AB6149"/>
    <w:rsid w:val="00AB70CA"/>
    <w:rsid w:val="00AB7810"/>
    <w:rsid w:val="00AB7CE1"/>
    <w:rsid w:val="00AC29AE"/>
    <w:rsid w:val="00AC2E52"/>
    <w:rsid w:val="00AC45CA"/>
    <w:rsid w:val="00AC6B01"/>
    <w:rsid w:val="00AC7400"/>
    <w:rsid w:val="00AD03AC"/>
    <w:rsid w:val="00AD0E57"/>
    <w:rsid w:val="00AD20B1"/>
    <w:rsid w:val="00AD2BA7"/>
    <w:rsid w:val="00AD37E5"/>
    <w:rsid w:val="00AD3915"/>
    <w:rsid w:val="00AD3936"/>
    <w:rsid w:val="00AD3E72"/>
    <w:rsid w:val="00AD4109"/>
    <w:rsid w:val="00AD4224"/>
    <w:rsid w:val="00AE03A8"/>
    <w:rsid w:val="00AE1B6D"/>
    <w:rsid w:val="00AE3DBA"/>
    <w:rsid w:val="00AE467C"/>
    <w:rsid w:val="00AE4C02"/>
    <w:rsid w:val="00AE4C65"/>
    <w:rsid w:val="00AE62F6"/>
    <w:rsid w:val="00AE67D6"/>
    <w:rsid w:val="00AE72A7"/>
    <w:rsid w:val="00AE76F8"/>
    <w:rsid w:val="00AE7CC9"/>
    <w:rsid w:val="00AE7F2D"/>
    <w:rsid w:val="00AF138C"/>
    <w:rsid w:val="00AF13D0"/>
    <w:rsid w:val="00AF205F"/>
    <w:rsid w:val="00AF2652"/>
    <w:rsid w:val="00AF4C60"/>
    <w:rsid w:val="00AF551C"/>
    <w:rsid w:val="00AF742F"/>
    <w:rsid w:val="00AF7A8D"/>
    <w:rsid w:val="00B007FF"/>
    <w:rsid w:val="00B00B95"/>
    <w:rsid w:val="00B02875"/>
    <w:rsid w:val="00B038A2"/>
    <w:rsid w:val="00B04BB9"/>
    <w:rsid w:val="00B05B7C"/>
    <w:rsid w:val="00B05F40"/>
    <w:rsid w:val="00B06752"/>
    <w:rsid w:val="00B069B9"/>
    <w:rsid w:val="00B07EAE"/>
    <w:rsid w:val="00B10CA6"/>
    <w:rsid w:val="00B157E8"/>
    <w:rsid w:val="00B15E55"/>
    <w:rsid w:val="00B16238"/>
    <w:rsid w:val="00B1661B"/>
    <w:rsid w:val="00B16781"/>
    <w:rsid w:val="00B17D41"/>
    <w:rsid w:val="00B21628"/>
    <w:rsid w:val="00B22689"/>
    <w:rsid w:val="00B227E1"/>
    <w:rsid w:val="00B23566"/>
    <w:rsid w:val="00B242B7"/>
    <w:rsid w:val="00B24C20"/>
    <w:rsid w:val="00B2558A"/>
    <w:rsid w:val="00B255A6"/>
    <w:rsid w:val="00B268AC"/>
    <w:rsid w:val="00B268B3"/>
    <w:rsid w:val="00B26C44"/>
    <w:rsid w:val="00B27B75"/>
    <w:rsid w:val="00B306EB"/>
    <w:rsid w:val="00B31F4D"/>
    <w:rsid w:val="00B333D2"/>
    <w:rsid w:val="00B36CC0"/>
    <w:rsid w:val="00B37129"/>
    <w:rsid w:val="00B3742B"/>
    <w:rsid w:val="00B377A8"/>
    <w:rsid w:val="00B4017D"/>
    <w:rsid w:val="00B43419"/>
    <w:rsid w:val="00B43730"/>
    <w:rsid w:val="00B44F76"/>
    <w:rsid w:val="00B460BC"/>
    <w:rsid w:val="00B46C8B"/>
    <w:rsid w:val="00B51773"/>
    <w:rsid w:val="00B51ADE"/>
    <w:rsid w:val="00B5270B"/>
    <w:rsid w:val="00B53FC8"/>
    <w:rsid w:val="00B54BCE"/>
    <w:rsid w:val="00B57A7A"/>
    <w:rsid w:val="00B57E8F"/>
    <w:rsid w:val="00B61020"/>
    <w:rsid w:val="00B6383C"/>
    <w:rsid w:val="00B63D77"/>
    <w:rsid w:val="00B6400A"/>
    <w:rsid w:val="00B64533"/>
    <w:rsid w:val="00B64C37"/>
    <w:rsid w:val="00B66039"/>
    <w:rsid w:val="00B662FB"/>
    <w:rsid w:val="00B665DC"/>
    <w:rsid w:val="00B66750"/>
    <w:rsid w:val="00B67427"/>
    <w:rsid w:val="00B67536"/>
    <w:rsid w:val="00B705B0"/>
    <w:rsid w:val="00B70BF5"/>
    <w:rsid w:val="00B71558"/>
    <w:rsid w:val="00B71903"/>
    <w:rsid w:val="00B740A1"/>
    <w:rsid w:val="00B7441B"/>
    <w:rsid w:val="00B752DF"/>
    <w:rsid w:val="00B75595"/>
    <w:rsid w:val="00B76670"/>
    <w:rsid w:val="00B76D95"/>
    <w:rsid w:val="00B77164"/>
    <w:rsid w:val="00B80A0C"/>
    <w:rsid w:val="00B822B3"/>
    <w:rsid w:val="00B82C32"/>
    <w:rsid w:val="00B83C35"/>
    <w:rsid w:val="00B84DBE"/>
    <w:rsid w:val="00B91803"/>
    <w:rsid w:val="00B935D7"/>
    <w:rsid w:val="00B970FF"/>
    <w:rsid w:val="00B97206"/>
    <w:rsid w:val="00B975A9"/>
    <w:rsid w:val="00BA19E7"/>
    <w:rsid w:val="00BA2F67"/>
    <w:rsid w:val="00BA3B0E"/>
    <w:rsid w:val="00BA4674"/>
    <w:rsid w:val="00BA473D"/>
    <w:rsid w:val="00BA7BC8"/>
    <w:rsid w:val="00BB1D25"/>
    <w:rsid w:val="00BB30D5"/>
    <w:rsid w:val="00BB3901"/>
    <w:rsid w:val="00BB7425"/>
    <w:rsid w:val="00BC0343"/>
    <w:rsid w:val="00BC0770"/>
    <w:rsid w:val="00BC1A3D"/>
    <w:rsid w:val="00BC3AD4"/>
    <w:rsid w:val="00BC47A5"/>
    <w:rsid w:val="00BC5702"/>
    <w:rsid w:val="00BC5756"/>
    <w:rsid w:val="00BC6BCC"/>
    <w:rsid w:val="00BC78F7"/>
    <w:rsid w:val="00BD2276"/>
    <w:rsid w:val="00BD3EB5"/>
    <w:rsid w:val="00BD5AB0"/>
    <w:rsid w:val="00BE0A8F"/>
    <w:rsid w:val="00BE18F8"/>
    <w:rsid w:val="00BE1B19"/>
    <w:rsid w:val="00BE2035"/>
    <w:rsid w:val="00BE3A47"/>
    <w:rsid w:val="00BF1860"/>
    <w:rsid w:val="00BF41A9"/>
    <w:rsid w:val="00BF4328"/>
    <w:rsid w:val="00BF5D88"/>
    <w:rsid w:val="00BF66F0"/>
    <w:rsid w:val="00C015D3"/>
    <w:rsid w:val="00C03A3C"/>
    <w:rsid w:val="00C04D0A"/>
    <w:rsid w:val="00C05051"/>
    <w:rsid w:val="00C0761A"/>
    <w:rsid w:val="00C10304"/>
    <w:rsid w:val="00C110D4"/>
    <w:rsid w:val="00C11E2B"/>
    <w:rsid w:val="00C13AD8"/>
    <w:rsid w:val="00C174E8"/>
    <w:rsid w:val="00C17DDE"/>
    <w:rsid w:val="00C200D9"/>
    <w:rsid w:val="00C21BD5"/>
    <w:rsid w:val="00C24336"/>
    <w:rsid w:val="00C25055"/>
    <w:rsid w:val="00C26B0D"/>
    <w:rsid w:val="00C306A2"/>
    <w:rsid w:val="00C332BC"/>
    <w:rsid w:val="00C342F7"/>
    <w:rsid w:val="00C36B99"/>
    <w:rsid w:val="00C37143"/>
    <w:rsid w:val="00C377D7"/>
    <w:rsid w:val="00C42FEF"/>
    <w:rsid w:val="00C43B89"/>
    <w:rsid w:val="00C51B80"/>
    <w:rsid w:val="00C524BB"/>
    <w:rsid w:val="00C5357E"/>
    <w:rsid w:val="00C53C77"/>
    <w:rsid w:val="00C54093"/>
    <w:rsid w:val="00C54108"/>
    <w:rsid w:val="00C55329"/>
    <w:rsid w:val="00C60156"/>
    <w:rsid w:val="00C60E60"/>
    <w:rsid w:val="00C639EF"/>
    <w:rsid w:val="00C65597"/>
    <w:rsid w:val="00C656C0"/>
    <w:rsid w:val="00C73442"/>
    <w:rsid w:val="00C74091"/>
    <w:rsid w:val="00C76300"/>
    <w:rsid w:val="00C763FB"/>
    <w:rsid w:val="00C77D66"/>
    <w:rsid w:val="00C80B08"/>
    <w:rsid w:val="00C82A73"/>
    <w:rsid w:val="00C84504"/>
    <w:rsid w:val="00C8586F"/>
    <w:rsid w:val="00C85889"/>
    <w:rsid w:val="00C85A55"/>
    <w:rsid w:val="00C90BA2"/>
    <w:rsid w:val="00C90ED6"/>
    <w:rsid w:val="00C9111F"/>
    <w:rsid w:val="00C9326B"/>
    <w:rsid w:val="00C93430"/>
    <w:rsid w:val="00C93E27"/>
    <w:rsid w:val="00C93F47"/>
    <w:rsid w:val="00C9443E"/>
    <w:rsid w:val="00C94769"/>
    <w:rsid w:val="00C94D0C"/>
    <w:rsid w:val="00C95036"/>
    <w:rsid w:val="00C96042"/>
    <w:rsid w:val="00C969AA"/>
    <w:rsid w:val="00C96EA8"/>
    <w:rsid w:val="00C9766D"/>
    <w:rsid w:val="00CA10E6"/>
    <w:rsid w:val="00CA1680"/>
    <w:rsid w:val="00CA17F3"/>
    <w:rsid w:val="00CA23F7"/>
    <w:rsid w:val="00CA27B2"/>
    <w:rsid w:val="00CA4042"/>
    <w:rsid w:val="00CA53C5"/>
    <w:rsid w:val="00CA662B"/>
    <w:rsid w:val="00CA724B"/>
    <w:rsid w:val="00CB0971"/>
    <w:rsid w:val="00CB09D0"/>
    <w:rsid w:val="00CB1857"/>
    <w:rsid w:val="00CB20FD"/>
    <w:rsid w:val="00CB33D8"/>
    <w:rsid w:val="00CB4207"/>
    <w:rsid w:val="00CB48F5"/>
    <w:rsid w:val="00CB583D"/>
    <w:rsid w:val="00CB6B0D"/>
    <w:rsid w:val="00CB6D8B"/>
    <w:rsid w:val="00CC0D24"/>
    <w:rsid w:val="00CC301C"/>
    <w:rsid w:val="00CC3569"/>
    <w:rsid w:val="00CC3E61"/>
    <w:rsid w:val="00CC3F02"/>
    <w:rsid w:val="00CC4231"/>
    <w:rsid w:val="00CC460B"/>
    <w:rsid w:val="00CC6FE9"/>
    <w:rsid w:val="00CD137F"/>
    <w:rsid w:val="00CD1588"/>
    <w:rsid w:val="00CD39CB"/>
    <w:rsid w:val="00CD6482"/>
    <w:rsid w:val="00CE25D3"/>
    <w:rsid w:val="00CE2AEB"/>
    <w:rsid w:val="00CE2FE3"/>
    <w:rsid w:val="00CE450C"/>
    <w:rsid w:val="00CE45D7"/>
    <w:rsid w:val="00CE4953"/>
    <w:rsid w:val="00CE656C"/>
    <w:rsid w:val="00CE7806"/>
    <w:rsid w:val="00CF177D"/>
    <w:rsid w:val="00CF3B1D"/>
    <w:rsid w:val="00CF5531"/>
    <w:rsid w:val="00CF70FD"/>
    <w:rsid w:val="00CF79F1"/>
    <w:rsid w:val="00CF7F44"/>
    <w:rsid w:val="00D035B7"/>
    <w:rsid w:val="00D04A9E"/>
    <w:rsid w:val="00D0741E"/>
    <w:rsid w:val="00D10D30"/>
    <w:rsid w:val="00D130A1"/>
    <w:rsid w:val="00D14B3A"/>
    <w:rsid w:val="00D14DA6"/>
    <w:rsid w:val="00D14EA1"/>
    <w:rsid w:val="00D16C33"/>
    <w:rsid w:val="00D17ECC"/>
    <w:rsid w:val="00D20F09"/>
    <w:rsid w:val="00D220AA"/>
    <w:rsid w:val="00D222C7"/>
    <w:rsid w:val="00D24F6C"/>
    <w:rsid w:val="00D268BF"/>
    <w:rsid w:val="00D2693D"/>
    <w:rsid w:val="00D26C8A"/>
    <w:rsid w:val="00D27F21"/>
    <w:rsid w:val="00D339F9"/>
    <w:rsid w:val="00D35588"/>
    <w:rsid w:val="00D35EB4"/>
    <w:rsid w:val="00D36947"/>
    <w:rsid w:val="00D4079E"/>
    <w:rsid w:val="00D407CA"/>
    <w:rsid w:val="00D40921"/>
    <w:rsid w:val="00D42016"/>
    <w:rsid w:val="00D423DB"/>
    <w:rsid w:val="00D42E77"/>
    <w:rsid w:val="00D43527"/>
    <w:rsid w:val="00D45B60"/>
    <w:rsid w:val="00D45F95"/>
    <w:rsid w:val="00D52043"/>
    <w:rsid w:val="00D533A9"/>
    <w:rsid w:val="00D616ED"/>
    <w:rsid w:val="00D642FA"/>
    <w:rsid w:val="00D649E8"/>
    <w:rsid w:val="00D64CEB"/>
    <w:rsid w:val="00D64EF2"/>
    <w:rsid w:val="00D67620"/>
    <w:rsid w:val="00D726D8"/>
    <w:rsid w:val="00D7380A"/>
    <w:rsid w:val="00D74C14"/>
    <w:rsid w:val="00D755FB"/>
    <w:rsid w:val="00D76CD3"/>
    <w:rsid w:val="00D76D4B"/>
    <w:rsid w:val="00D77B2B"/>
    <w:rsid w:val="00D77B4E"/>
    <w:rsid w:val="00D803E2"/>
    <w:rsid w:val="00D845B3"/>
    <w:rsid w:val="00D8569B"/>
    <w:rsid w:val="00D85A98"/>
    <w:rsid w:val="00D86F63"/>
    <w:rsid w:val="00D87C69"/>
    <w:rsid w:val="00D9001A"/>
    <w:rsid w:val="00D90E8D"/>
    <w:rsid w:val="00D92947"/>
    <w:rsid w:val="00D93ED8"/>
    <w:rsid w:val="00D94103"/>
    <w:rsid w:val="00D97519"/>
    <w:rsid w:val="00DA3CB6"/>
    <w:rsid w:val="00DA43A9"/>
    <w:rsid w:val="00DA5EC5"/>
    <w:rsid w:val="00DA6012"/>
    <w:rsid w:val="00DA751F"/>
    <w:rsid w:val="00DB19F7"/>
    <w:rsid w:val="00DB2269"/>
    <w:rsid w:val="00DB2B90"/>
    <w:rsid w:val="00DB2C75"/>
    <w:rsid w:val="00DB4F22"/>
    <w:rsid w:val="00DB574A"/>
    <w:rsid w:val="00DB646D"/>
    <w:rsid w:val="00DB776A"/>
    <w:rsid w:val="00DB7E85"/>
    <w:rsid w:val="00DC03E9"/>
    <w:rsid w:val="00DC1459"/>
    <w:rsid w:val="00DC5E2A"/>
    <w:rsid w:val="00DD044E"/>
    <w:rsid w:val="00DD1B86"/>
    <w:rsid w:val="00DD3B45"/>
    <w:rsid w:val="00DD4705"/>
    <w:rsid w:val="00DD4A02"/>
    <w:rsid w:val="00DD5145"/>
    <w:rsid w:val="00DD5196"/>
    <w:rsid w:val="00DD6032"/>
    <w:rsid w:val="00DD6EDC"/>
    <w:rsid w:val="00DD743A"/>
    <w:rsid w:val="00DD76F8"/>
    <w:rsid w:val="00DE307D"/>
    <w:rsid w:val="00DE326A"/>
    <w:rsid w:val="00DE36E3"/>
    <w:rsid w:val="00DE4C21"/>
    <w:rsid w:val="00DE4D72"/>
    <w:rsid w:val="00DE55F6"/>
    <w:rsid w:val="00DF00A2"/>
    <w:rsid w:val="00DF0678"/>
    <w:rsid w:val="00DF1A65"/>
    <w:rsid w:val="00DF3932"/>
    <w:rsid w:val="00DF3DAF"/>
    <w:rsid w:val="00DF403D"/>
    <w:rsid w:val="00DF4475"/>
    <w:rsid w:val="00DF526C"/>
    <w:rsid w:val="00DF5657"/>
    <w:rsid w:val="00DF56D2"/>
    <w:rsid w:val="00DF59A2"/>
    <w:rsid w:val="00DF6C93"/>
    <w:rsid w:val="00E00009"/>
    <w:rsid w:val="00E02ADD"/>
    <w:rsid w:val="00E049FB"/>
    <w:rsid w:val="00E055C2"/>
    <w:rsid w:val="00E05E6B"/>
    <w:rsid w:val="00E06D01"/>
    <w:rsid w:val="00E06F16"/>
    <w:rsid w:val="00E07C53"/>
    <w:rsid w:val="00E10452"/>
    <w:rsid w:val="00E10E3F"/>
    <w:rsid w:val="00E11853"/>
    <w:rsid w:val="00E11A17"/>
    <w:rsid w:val="00E11DC7"/>
    <w:rsid w:val="00E11FF9"/>
    <w:rsid w:val="00E12BAB"/>
    <w:rsid w:val="00E1645C"/>
    <w:rsid w:val="00E20430"/>
    <w:rsid w:val="00E21C63"/>
    <w:rsid w:val="00E248A7"/>
    <w:rsid w:val="00E25242"/>
    <w:rsid w:val="00E310B1"/>
    <w:rsid w:val="00E32BD2"/>
    <w:rsid w:val="00E33B8C"/>
    <w:rsid w:val="00E33C12"/>
    <w:rsid w:val="00E355FA"/>
    <w:rsid w:val="00E367BE"/>
    <w:rsid w:val="00E37A46"/>
    <w:rsid w:val="00E40FA3"/>
    <w:rsid w:val="00E43889"/>
    <w:rsid w:val="00E43F21"/>
    <w:rsid w:val="00E5167F"/>
    <w:rsid w:val="00E5169B"/>
    <w:rsid w:val="00E51CEB"/>
    <w:rsid w:val="00E53D3C"/>
    <w:rsid w:val="00E546E4"/>
    <w:rsid w:val="00E5486A"/>
    <w:rsid w:val="00E54B1B"/>
    <w:rsid w:val="00E55E3E"/>
    <w:rsid w:val="00E57768"/>
    <w:rsid w:val="00E601A5"/>
    <w:rsid w:val="00E6078B"/>
    <w:rsid w:val="00E607D0"/>
    <w:rsid w:val="00E62796"/>
    <w:rsid w:val="00E62A4E"/>
    <w:rsid w:val="00E667A8"/>
    <w:rsid w:val="00E7121C"/>
    <w:rsid w:val="00E72236"/>
    <w:rsid w:val="00E724E2"/>
    <w:rsid w:val="00E73323"/>
    <w:rsid w:val="00E767B1"/>
    <w:rsid w:val="00E80561"/>
    <w:rsid w:val="00E80806"/>
    <w:rsid w:val="00E80E3F"/>
    <w:rsid w:val="00E82962"/>
    <w:rsid w:val="00E832FD"/>
    <w:rsid w:val="00E84D7E"/>
    <w:rsid w:val="00E8561F"/>
    <w:rsid w:val="00E90009"/>
    <w:rsid w:val="00E91917"/>
    <w:rsid w:val="00E91D53"/>
    <w:rsid w:val="00E93003"/>
    <w:rsid w:val="00E95B96"/>
    <w:rsid w:val="00E965B4"/>
    <w:rsid w:val="00EA1D0E"/>
    <w:rsid w:val="00EA2040"/>
    <w:rsid w:val="00EA28D2"/>
    <w:rsid w:val="00EA3831"/>
    <w:rsid w:val="00EA3DDC"/>
    <w:rsid w:val="00EA4A6C"/>
    <w:rsid w:val="00EA4ABB"/>
    <w:rsid w:val="00EA4FA3"/>
    <w:rsid w:val="00EA5739"/>
    <w:rsid w:val="00EA5A3A"/>
    <w:rsid w:val="00EA79DC"/>
    <w:rsid w:val="00EA7B31"/>
    <w:rsid w:val="00EB1A81"/>
    <w:rsid w:val="00EB1A8A"/>
    <w:rsid w:val="00EB2C39"/>
    <w:rsid w:val="00EB2DC1"/>
    <w:rsid w:val="00EB32AE"/>
    <w:rsid w:val="00EB3430"/>
    <w:rsid w:val="00EB5E00"/>
    <w:rsid w:val="00EB5FF4"/>
    <w:rsid w:val="00EB6BC5"/>
    <w:rsid w:val="00EB7300"/>
    <w:rsid w:val="00EC0D8E"/>
    <w:rsid w:val="00EC106E"/>
    <w:rsid w:val="00EC352A"/>
    <w:rsid w:val="00EC3F0A"/>
    <w:rsid w:val="00EC3F47"/>
    <w:rsid w:val="00EC5527"/>
    <w:rsid w:val="00EC6C18"/>
    <w:rsid w:val="00ED1657"/>
    <w:rsid w:val="00ED1A36"/>
    <w:rsid w:val="00ED1A49"/>
    <w:rsid w:val="00ED30BD"/>
    <w:rsid w:val="00ED4AF3"/>
    <w:rsid w:val="00ED6398"/>
    <w:rsid w:val="00ED64B1"/>
    <w:rsid w:val="00ED6C10"/>
    <w:rsid w:val="00ED765D"/>
    <w:rsid w:val="00EE2622"/>
    <w:rsid w:val="00EE28C1"/>
    <w:rsid w:val="00EE2AB3"/>
    <w:rsid w:val="00EE365B"/>
    <w:rsid w:val="00EF0A3A"/>
    <w:rsid w:val="00EF129C"/>
    <w:rsid w:val="00EF1BBC"/>
    <w:rsid w:val="00EF2D45"/>
    <w:rsid w:val="00EF4877"/>
    <w:rsid w:val="00EF54E7"/>
    <w:rsid w:val="00EF55FC"/>
    <w:rsid w:val="00EF5788"/>
    <w:rsid w:val="00EF6071"/>
    <w:rsid w:val="00EF6C8B"/>
    <w:rsid w:val="00F00DEF"/>
    <w:rsid w:val="00F012F7"/>
    <w:rsid w:val="00F038F8"/>
    <w:rsid w:val="00F062A3"/>
    <w:rsid w:val="00F06EC1"/>
    <w:rsid w:val="00F1031B"/>
    <w:rsid w:val="00F1392D"/>
    <w:rsid w:val="00F13F3B"/>
    <w:rsid w:val="00F17D46"/>
    <w:rsid w:val="00F20FCC"/>
    <w:rsid w:val="00F231A1"/>
    <w:rsid w:val="00F23E09"/>
    <w:rsid w:val="00F240DC"/>
    <w:rsid w:val="00F24678"/>
    <w:rsid w:val="00F300A2"/>
    <w:rsid w:val="00F31A81"/>
    <w:rsid w:val="00F31B20"/>
    <w:rsid w:val="00F342CE"/>
    <w:rsid w:val="00F35995"/>
    <w:rsid w:val="00F37060"/>
    <w:rsid w:val="00F40298"/>
    <w:rsid w:val="00F411FA"/>
    <w:rsid w:val="00F41747"/>
    <w:rsid w:val="00F42623"/>
    <w:rsid w:val="00F439E5"/>
    <w:rsid w:val="00F45917"/>
    <w:rsid w:val="00F46014"/>
    <w:rsid w:val="00F47098"/>
    <w:rsid w:val="00F5012D"/>
    <w:rsid w:val="00F501AF"/>
    <w:rsid w:val="00F50F37"/>
    <w:rsid w:val="00F515F8"/>
    <w:rsid w:val="00F51F65"/>
    <w:rsid w:val="00F52415"/>
    <w:rsid w:val="00F52433"/>
    <w:rsid w:val="00F52963"/>
    <w:rsid w:val="00F53486"/>
    <w:rsid w:val="00F534F5"/>
    <w:rsid w:val="00F53E8C"/>
    <w:rsid w:val="00F54354"/>
    <w:rsid w:val="00F551FD"/>
    <w:rsid w:val="00F55285"/>
    <w:rsid w:val="00F5796C"/>
    <w:rsid w:val="00F57D31"/>
    <w:rsid w:val="00F60B16"/>
    <w:rsid w:val="00F6120D"/>
    <w:rsid w:val="00F631BB"/>
    <w:rsid w:val="00F634EE"/>
    <w:rsid w:val="00F6604C"/>
    <w:rsid w:val="00F66D93"/>
    <w:rsid w:val="00F66DFD"/>
    <w:rsid w:val="00F701EB"/>
    <w:rsid w:val="00F724FF"/>
    <w:rsid w:val="00F72B9C"/>
    <w:rsid w:val="00F76F2B"/>
    <w:rsid w:val="00F77EF2"/>
    <w:rsid w:val="00F8011E"/>
    <w:rsid w:val="00F80EC1"/>
    <w:rsid w:val="00F82710"/>
    <w:rsid w:val="00F83318"/>
    <w:rsid w:val="00F83C59"/>
    <w:rsid w:val="00F83F1C"/>
    <w:rsid w:val="00F842FE"/>
    <w:rsid w:val="00F84330"/>
    <w:rsid w:val="00F84AB6"/>
    <w:rsid w:val="00F857D6"/>
    <w:rsid w:val="00F86995"/>
    <w:rsid w:val="00F8777B"/>
    <w:rsid w:val="00F90D8D"/>
    <w:rsid w:val="00F91748"/>
    <w:rsid w:val="00F94FB2"/>
    <w:rsid w:val="00F9550D"/>
    <w:rsid w:val="00F963B5"/>
    <w:rsid w:val="00F96F55"/>
    <w:rsid w:val="00FA222E"/>
    <w:rsid w:val="00FA24F9"/>
    <w:rsid w:val="00FA2A52"/>
    <w:rsid w:val="00FA334D"/>
    <w:rsid w:val="00FA4FCC"/>
    <w:rsid w:val="00FA56BB"/>
    <w:rsid w:val="00FA5B08"/>
    <w:rsid w:val="00FA5CA1"/>
    <w:rsid w:val="00FA6455"/>
    <w:rsid w:val="00FA68B5"/>
    <w:rsid w:val="00FA7686"/>
    <w:rsid w:val="00FA7A8F"/>
    <w:rsid w:val="00FA7FBC"/>
    <w:rsid w:val="00FB2E56"/>
    <w:rsid w:val="00FB3FEB"/>
    <w:rsid w:val="00FB40FB"/>
    <w:rsid w:val="00FB517A"/>
    <w:rsid w:val="00FB5BEE"/>
    <w:rsid w:val="00FB6605"/>
    <w:rsid w:val="00FB770F"/>
    <w:rsid w:val="00FC050D"/>
    <w:rsid w:val="00FC17EE"/>
    <w:rsid w:val="00FC275D"/>
    <w:rsid w:val="00FC3183"/>
    <w:rsid w:val="00FC3B1B"/>
    <w:rsid w:val="00FC3F00"/>
    <w:rsid w:val="00FC4FCC"/>
    <w:rsid w:val="00FC6081"/>
    <w:rsid w:val="00FC7064"/>
    <w:rsid w:val="00FD15FE"/>
    <w:rsid w:val="00FD1824"/>
    <w:rsid w:val="00FD1C26"/>
    <w:rsid w:val="00FD5ED2"/>
    <w:rsid w:val="00FD675D"/>
    <w:rsid w:val="00FE02E2"/>
    <w:rsid w:val="00FE0EED"/>
    <w:rsid w:val="00FE4940"/>
    <w:rsid w:val="00FF068F"/>
    <w:rsid w:val="00FF1425"/>
    <w:rsid w:val="00FF2851"/>
    <w:rsid w:val="00FF5CA4"/>
    <w:rsid w:val="00FF6512"/>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D7C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1">
    <w:name w:val="heading 1"/>
    <w:basedOn w:val="Normal"/>
    <w:next w:val="Normal"/>
    <w:link w:val="Heading1Char"/>
    <w:qFormat/>
    <w:rsid w:val="00B662FB"/>
    <w:pPr>
      <w:keepNext/>
      <w:spacing w:before="240" w:after="60"/>
      <w:outlineLvl w:val="0"/>
    </w:pPr>
    <w:rPr>
      <w:rFonts w:ascii="Calibri Light" w:hAnsi="Calibri Light"/>
      <w:b/>
      <w:bCs/>
      <w:kern w:val="32"/>
      <w:sz w:val="32"/>
      <w:szCs w:val="32"/>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5F3674"/>
    <w:pPr>
      <w:widowControl/>
      <w:tabs>
        <w:tab w:val="num" w:pos="0"/>
      </w:tabs>
      <w:autoSpaceDE/>
      <w:autoSpaceDN/>
      <w:adjustRightInd/>
      <w:spacing w:after="0"/>
      <w:ind w:left="720" w:hanging="720"/>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uiPriority w:val="99"/>
    <w:semiHidden/>
    <w:rsid w:val="00A214D1"/>
    <w:rPr>
      <w:sz w:val="16"/>
      <w:szCs w:val="16"/>
    </w:rPr>
  </w:style>
  <w:style w:type="paragraph" w:styleId="CommentText">
    <w:name w:val="annotation text"/>
    <w:basedOn w:val="Normal"/>
    <w:link w:val="CommentTextChar"/>
    <w:uiPriority w:val="99"/>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Footnote Text Char Char3,fn Char1,Footnote Text Char1 Char2,Footnote Text Char Char Char2,Footnote Text Char1 Char Char1,Footnote Text Char Char Char Char1, Char Char1,Footnote Text Char Char1 Char1,Char Char,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
    <w:rsid w:val="00584833"/>
    <w:rPr>
      <w:sz w:val="22"/>
    </w:rPr>
  </w:style>
  <w:style w:type="character" w:customStyle="1" w:styleId="CommentTextChar">
    <w:name w:val="Comment Text Char"/>
    <w:link w:val="CommentText"/>
    <w:uiPriority w:val="99"/>
    <w:rsid w:val="00A419A5"/>
  </w:style>
  <w:style w:type="paragraph" w:styleId="ListParagraph">
    <w:name w:val="List Paragraph"/>
    <w:basedOn w:val="Normal"/>
    <w:uiPriority w:val="34"/>
    <w:qFormat/>
    <w:rsid w:val="008E1FB4"/>
    <w:pPr>
      <w:widowControl/>
      <w:autoSpaceDE/>
      <w:autoSpaceDN/>
      <w:adjustRightInd/>
      <w:ind w:left="720"/>
      <w:contextualSpacing/>
    </w:pPr>
    <w:rPr>
      <w:sz w:val="26"/>
    </w:rPr>
  </w:style>
  <w:style w:type="character" w:styleId="UnresolvedMention">
    <w:name w:val="Unresolved Mention"/>
    <w:uiPriority w:val="99"/>
    <w:semiHidden/>
    <w:unhideWhenUsed/>
    <w:rsid w:val="005D589E"/>
    <w:rPr>
      <w:color w:val="605E5C"/>
      <w:shd w:val="clear" w:color="auto" w:fill="E1DFDD"/>
    </w:rPr>
  </w:style>
  <w:style w:type="character" w:customStyle="1" w:styleId="Heading1Char">
    <w:name w:val="Heading 1 Char"/>
    <w:link w:val="Heading1"/>
    <w:rsid w:val="00B662FB"/>
    <w:rPr>
      <w:rFonts w:ascii="Calibri Light" w:eastAsia="Times New Roman" w:hAnsi="Calibri Light" w:cs="Times New Roman"/>
      <w:b/>
      <w:bCs/>
      <w:kern w:val="32"/>
      <w:sz w:val="32"/>
      <w:szCs w:val="32"/>
    </w:rPr>
  </w:style>
  <w:style w:type="paragraph" w:styleId="Title">
    <w:name w:val="Title"/>
    <w:basedOn w:val="Normal"/>
    <w:next w:val="Normal"/>
    <w:link w:val="TitleChar"/>
    <w:qFormat/>
    <w:rsid w:val="0044044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4044F"/>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621859">
      <w:bodyDiv w:val="1"/>
      <w:marLeft w:val="0"/>
      <w:marRight w:val="0"/>
      <w:marTop w:val="0"/>
      <w:marBottom w:val="0"/>
      <w:divBdr>
        <w:top w:val="none" w:sz="0" w:space="0" w:color="auto"/>
        <w:left w:val="none" w:sz="0" w:space="0" w:color="auto"/>
        <w:bottom w:val="none" w:sz="0" w:space="0" w:color="auto"/>
        <w:right w:val="none" w:sz="0" w:space="0" w:color="auto"/>
      </w:divBdr>
    </w:div>
    <w:div w:id="1440493579">
      <w:bodyDiv w:val="1"/>
      <w:marLeft w:val="0"/>
      <w:marRight w:val="0"/>
      <w:marTop w:val="0"/>
      <w:marBottom w:val="0"/>
      <w:divBdr>
        <w:top w:val="none" w:sz="0" w:space="0" w:color="auto"/>
        <w:left w:val="none" w:sz="0" w:space="0" w:color="auto"/>
        <w:bottom w:val="none" w:sz="0" w:space="0" w:color="auto"/>
        <w:right w:val="none" w:sz="0" w:space="0" w:color="auto"/>
      </w:divBdr>
    </w:div>
    <w:div w:id="19343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_x0031__x002e__x0020_Collection_x0020_Number>
    <Date xmlns="d6eefc7d-9817-4fa6-84d5-3bc009be21b8">2019-09-18T04:00:00+00:00</Date>
    <Status xmlns="d6eefc7d-9817-4fa6-84d5-3bc009be21b8">Draft</Status>
    <_x0032__x002e__x0020_Docket_x0020_Number xmlns="d6eefc7d-9817-4fa6-84d5-3bc009be21b8" xsi:nil="true"/>
    <_x0032__x002e__x0020_Collection_x0020_Number xmlns="d6eefc7d-9817-4fa6-84d5-3bc009be21b8">725(1A)</_x0032__x002e__x0020_Collection_x0020_Number>
    <_x0031__x002e__x0020_Docket_x0020_Number xmlns="d6eefc7d-9817-4fa6-84d5-3bc009be21b8" xsi:nil="true"/>
    <_x0033__x002e__x0020_Collection_x0020_Number xmlns="d6eefc7d-9817-4fa6-84d5-3bc009be21b8"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81706-48D0-4423-8E69-CA2A273A5065}">
  <ds:schemaRefs>
    <ds:schemaRef ds:uri="http://schemas.microsoft.com/office/2006/metadata/customXsn"/>
  </ds:schemaRefs>
</ds:datastoreItem>
</file>

<file path=customXml/itemProps2.xml><?xml version="1.0" encoding="utf-8"?>
<ds:datastoreItem xmlns:ds="http://schemas.openxmlformats.org/officeDocument/2006/customXml" ds:itemID="{1C967C16-5C4E-4EC8-A609-6BC0E4E726CD}">
  <ds:schemaRefs>
    <ds:schemaRef ds:uri="Microsoft.SharePoint.Taxonomy.ContentTypeSync"/>
  </ds:schemaRefs>
</ds:datastoreItem>
</file>

<file path=customXml/itemProps3.xml><?xml version="1.0" encoding="utf-8"?>
<ds:datastoreItem xmlns:ds="http://schemas.openxmlformats.org/officeDocument/2006/customXml" ds:itemID="{EF091730-F5D3-4024-81CD-0C95D3C2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BFFC6-4EA8-455C-9A13-FE2D20482587}">
  <ds:schemaRefs>
    <ds:schemaRef ds:uri="http://schemas.microsoft.com/sharepoint/v3/contenttype/forms"/>
  </ds:schemaRefs>
</ds:datastoreItem>
</file>

<file path=customXml/itemProps5.xml><?xml version="1.0" encoding="utf-8"?>
<ds:datastoreItem xmlns:ds="http://schemas.openxmlformats.org/officeDocument/2006/customXml" ds:itemID="{544817C9-FCB4-4ED4-90AB-D9EC23FA426F}">
  <ds:schemaRefs>
    <ds:schemaRef ds:uri="http://schemas.microsoft.com/office/2006/metadata/longProperties"/>
  </ds:schemaRefs>
</ds:datastoreItem>
</file>

<file path=customXml/itemProps6.xml><?xml version="1.0" encoding="utf-8"?>
<ds:datastoreItem xmlns:ds="http://schemas.openxmlformats.org/officeDocument/2006/customXml" ds:itemID="{17DCCBBA-0693-4655-936A-B693AA4CF359}">
  <ds:schemaRefs>
    <ds:schemaRef ds:uri="http://schemas.microsoft.com/office/2006/metadata/properties"/>
    <ds:schemaRef ds:uri="http://schemas.microsoft.com/office/infopath/2007/PartnerControls"/>
    <ds:schemaRef ds:uri="d6eefc7d-9817-4fa6-84d5-3bc009be21b8"/>
  </ds:schemaRefs>
</ds:datastoreItem>
</file>

<file path=customXml/itemProps7.xml><?xml version="1.0" encoding="utf-8"?>
<ds:datastoreItem xmlns:ds="http://schemas.openxmlformats.org/officeDocument/2006/customXml" ds:itemID="{1607E5A0-2587-41A2-BDA6-758DCE7CB5BA}">
  <ds:schemaRefs>
    <ds:schemaRef ds:uri="http://schemas.openxmlformats.org/officeDocument/2006/bibliography"/>
  </ds:schemaRefs>
</ds:datastoreItem>
</file>

<file path=customXml/itemProps8.xml><?xml version="1.0" encoding="utf-8"?>
<ds:datastoreItem xmlns:ds="http://schemas.openxmlformats.org/officeDocument/2006/customXml" ds:itemID="{1EF9D777-B8C8-4123-8BDD-8C33CCF8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3305</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FERC-725 nonsub change request supporting statement</vt:lpstr>
    </vt:vector>
  </TitlesOfParts>
  <LinksUpToDate>false</LinksUpToDate>
  <CharactersWithSpaces>22104</CharactersWithSpaces>
  <SharedDoc>false</SharedDoc>
  <HLinks>
    <vt:vector size="24" baseType="variant">
      <vt:variant>
        <vt:i4>1310738</vt:i4>
      </vt:variant>
      <vt:variant>
        <vt:i4>3</vt:i4>
      </vt:variant>
      <vt:variant>
        <vt:i4>0</vt:i4>
      </vt:variant>
      <vt:variant>
        <vt:i4>5</vt:i4>
      </vt:variant>
      <vt:variant>
        <vt:lpwstr>http://www.ferc.gov/docs-filing/info-collections.asp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ariant>
        <vt:i4>4194333</vt:i4>
      </vt:variant>
      <vt:variant>
        <vt:i4>3</vt:i4>
      </vt:variant>
      <vt:variant>
        <vt:i4>0</vt:i4>
      </vt:variant>
      <vt:variant>
        <vt:i4>5</vt:i4>
      </vt:variant>
      <vt:variant>
        <vt:lpwstr>https://www.bls.gov/news.release/ecec.nr0.htm</vt:lpwstr>
      </vt:variant>
      <vt:variant>
        <vt:lpwstr/>
      </vt:variant>
      <vt:variant>
        <vt:i4>4587600</vt:i4>
      </vt:variant>
      <vt:variant>
        <vt:i4>0</vt:i4>
      </vt:variant>
      <vt:variant>
        <vt:i4>0</vt:i4>
      </vt:variant>
      <vt:variant>
        <vt:i4>5</vt:i4>
      </vt:variant>
      <vt:variant>
        <vt:lpwstr>https://www.ferc.gov/legal/ceii-foia/ceii.asp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 nonsub change request supporting statement</dc:title>
  <dc:subject/>
  <dc:creator/>
  <cp:keywords/>
  <dc:description/>
  <cp:lastModifiedBy/>
  <cp:revision>1</cp:revision>
  <dcterms:created xsi:type="dcterms:W3CDTF">2021-02-16T14:23:00Z</dcterms:created>
  <dcterms:modified xsi:type="dcterms:W3CDTF">2021-02-16T15:14:00Z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Jean.Sonneman@ferc.gov</vt:lpwstr>
  </property>
  <property fmtid="{D5CDD505-2E9C-101B-9397-08002B2CF9AE}" pid="7" name="MSIP_Label_6155a89b-0f08-4a93-8ea2-8a916d6643b5_SetDate">
    <vt:lpwstr>2021-01-06T18:32:57.9265495Z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45a0e56f-ca49-487a-9879-0cc625d0c96f</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