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5687" w:rsidR="002B19D5" w:rsidP="00D37535" w:rsidRDefault="002B19D5" w14:paraId="13117F77"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153A138"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05CA289" w14:textId="77777777">
      <w:pPr>
        <w:spacing w:after="100" w:afterAutospacing="1" w:line="240" w:lineRule="auto"/>
        <w:contextualSpacing/>
        <w:jc w:val="center"/>
        <w:rPr>
          <w:rFonts w:ascii="Calibri" w:hAnsi="Calibri" w:cs="Calibri"/>
          <w:b/>
          <w:sz w:val="36"/>
        </w:rPr>
      </w:pPr>
    </w:p>
    <w:p w:rsidRPr="00985687" w:rsidR="002B19D5" w:rsidP="00D37535" w:rsidRDefault="002B19D5" w14:paraId="1CD4164C" w14:textId="77777777">
      <w:pPr>
        <w:spacing w:after="100" w:afterAutospacing="1" w:line="240" w:lineRule="auto"/>
        <w:contextualSpacing/>
        <w:jc w:val="center"/>
        <w:rPr>
          <w:rFonts w:ascii="Calibri" w:hAnsi="Calibri" w:cs="Calibri"/>
          <w:b/>
          <w:sz w:val="36"/>
        </w:rPr>
      </w:pPr>
    </w:p>
    <w:p w:rsidRPr="00985687" w:rsidR="002B19D5" w:rsidP="00D37535" w:rsidRDefault="00A50918" w14:paraId="0F6821C0" w14:textId="392BC551">
      <w:pPr>
        <w:spacing w:after="100" w:afterAutospacing="1" w:line="240" w:lineRule="auto"/>
        <w:contextualSpacing/>
        <w:jc w:val="center"/>
        <w:rPr>
          <w:rFonts w:ascii="Calibri" w:hAnsi="Calibri" w:cs="Calibri"/>
          <w:sz w:val="36"/>
          <w:highlight w:val="yellow"/>
        </w:rPr>
      </w:pPr>
      <w:r w:rsidRPr="00A50918">
        <w:rPr>
          <w:rFonts w:ascii="Calibri" w:hAnsi="Calibri" w:cs="Calibri"/>
          <w:b/>
          <w:sz w:val="36"/>
        </w:rPr>
        <w:t>Final National Pollutant Discharge Elimination System Multi-Sector General Permit for Industrial Stormwater Discharges</w:t>
      </w:r>
      <w:r w:rsidRPr="00A50918" w:rsidDel="00A50918">
        <w:rPr>
          <w:rFonts w:ascii="Calibri" w:hAnsi="Calibri" w:cs="Calibri"/>
          <w:b/>
          <w:sz w:val="36"/>
        </w:rPr>
        <w:t xml:space="preserve"> </w:t>
      </w:r>
      <w:r w:rsidRPr="00985687" w:rsidR="002B19D5">
        <w:rPr>
          <w:rFonts w:ascii="Calibri" w:hAnsi="Calibri" w:cs="Calibri"/>
          <w:b/>
          <w:sz w:val="36"/>
        </w:rPr>
        <w:br/>
      </w:r>
      <w:r w:rsidRPr="00985687" w:rsidR="002B19D5">
        <w:rPr>
          <w:rFonts w:ascii="Calibri" w:hAnsi="Calibri" w:cs="Calibri"/>
          <w:b/>
          <w:sz w:val="36"/>
        </w:rPr>
        <w:br/>
      </w:r>
      <w:r w:rsidRPr="00985687" w:rsidR="002B19D5">
        <w:rPr>
          <w:rFonts w:ascii="Calibri" w:hAnsi="Calibri" w:cs="Calibri"/>
          <w:sz w:val="36"/>
        </w:rPr>
        <w:t xml:space="preserve">OMB Control No. </w:t>
      </w:r>
      <w:r w:rsidRPr="006A64EA" w:rsidR="0028531F">
        <w:rPr>
          <w:rFonts w:ascii="Calibri" w:hAnsi="Calibri" w:cs="Calibri"/>
          <w:sz w:val="36"/>
        </w:rPr>
        <w:t>2040-</w:t>
      </w:r>
      <w:r w:rsidRPr="006A64EA" w:rsidR="003058D7">
        <w:rPr>
          <w:rFonts w:ascii="Calibri" w:hAnsi="Calibri" w:cs="Calibri"/>
          <w:sz w:val="36"/>
        </w:rPr>
        <w:t>0300</w:t>
      </w:r>
      <w:r w:rsidRPr="006A64EA" w:rsidR="002B19D5">
        <w:rPr>
          <w:rFonts w:ascii="Calibri" w:hAnsi="Calibri" w:cs="Calibri"/>
          <w:sz w:val="36"/>
        </w:rPr>
        <w:t xml:space="preserve"> EPA ICR No. </w:t>
      </w:r>
      <w:r w:rsidRPr="006A64EA" w:rsidR="0028531F">
        <w:rPr>
          <w:rFonts w:ascii="Calibri" w:hAnsi="Calibri" w:cs="Calibri"/>
          <w:sz w:val="36"/>
        </w:rPr>
        <w:t>2612.0</w:t>
      </w:r>
      <w:r w:rsidR="001F045A">
        <w:rPr>
          <w:rFonts w:ascii="Calibri" w:hAnsi="Calibri" w:cs="Calibri"/>
          <w:sz w:val="36"/>
        </w:rPr>
        <w:t>2</w:t>
      </w:r>
    </w:p>
    <w:p w:rsidRPr="00985687" w:rsidR="002B19D5" w:rsidP="00D37535" w:rsidRDefault="002B19D5" w14:paraId="28E388CF" w14:textId="77777777">
      <w:pPr>
        <w:spacing w:after="100" w:afterAutospacing="1" w:line="240" w:lineRule="auto"/>
        <w:contextualSpacing/>
        <w:jc w:val="center"/>
        <w:rPr>
          <w:rFonts w:ascii="Calibri" w:hAnsi="Calibri" w:cs="Calibri"/>
          <w:b/>
        </w:rPr>
      </w:pPr>
    </w:p>
    <w:p w:rsidRPr="00985687" w:rsidR="002B19D5" w:rsidP="00D37535" w:rsidRDefault="002B19D5" w14:paraId="3C0440AB" w14:textId="77777777">
      <w:pPr>
        <w:spacing w:after="100" w:afterAutospacing="1" w:line="240" w:lineRule="auto"/>
        <w:contextualSpacing/>
        <w:jc w:val="center"/>
        <w:rPr>
          <w:rFonts w:ascii="Calibri" w:hAnsi="Calibri" w:cs="Calibri"/>
          <w:b/>
        </w:rPr>
      </w:pPr>
    </w:p>
    <w:p w:rsidRPr="00985687" w:rsidR="002B19D5" w:rsidP="00D37535" w:rsidRDefault="002B19D5" w14:paraId="0A31C74D" w14:textId="77777777">
      <w:pPr>
        <w:spacing w:after="100" w:afterAutospacing="1" w:line="240" w:lineRule="auto"/>
        <w:contextualSpacing/>
        <w:jc w:val="center"/>
        <w:rPr>
          <w:rFonts w:ascii="Calibri" w:hAnsi="Calibri" w:cs="Calibri"/>
          <w:b/>
        </w:rPr>
      </w:pPr>
    </w:p>
    <w:p w:rsidRPr="00985687" w:rsidR="002B19D5" w:rsidP="00D37535" w:rsidRDefault="002B19D5" w14:paraId="32B78D05" w14:textId="77777777">
      <w:pPr>
        <w:spacing w:after="100" w:afterAutospacing="1" w:line="240" w:lineRule="auto"/>
        <w:contextualSpacing/>
        <w:jc w:val="center"/>
        <w:rPr>
          <w:rFonts w:ascii="Calibri" w:hAnsi="Calibri" w:cs="Calibri"/>
          <w:b/>
        </w:rPr>
      </w:pPr>
    </w:p>
    <w:p w:rsidRPr="00985687" w:rsidR="002B19D5" w:rsidP="00D37535" w:rsidRDefault="002B19D5" w14:paraId="46A9CD8F" w14:textId="77777777">
      <w:pPr>
        <w:spacing w:after="100" w:afterAutospacing="1" w:line="240" w:lineRule="auto"/>
        <w:contextualSpacing/>
        <w:jc w:val="center"/>
        <w:rPr>
          <w:rFonts w:ascii="Calibri" w:hAnsi="Calibri" w:cs="Calibri"/>
          <w:b/>
        </w:rPr>
      </w:pPr>
    </w:p>
    <w:p w:rsidRPr="00985687" w:rsidR="002B19D5" w:rsidP="00D37535" w:rsidRDefault="002B19D5" w14:paraId="7B3FD17E" w14:textId="77777777">
      <w:pPr>
        <w:spacing w:after="100" w:afterAutospacing="1" w:line="240" w:lineRule="auto"/>
        <w:contextualSpacing/>
        <w:jc w:val="center"/>
        <w:rPr>
          <w:rFonts w:ascii="Calibri" w:hAnsi="Calibri" w:cs="Calibri"/>
          <w:b/>
        </w:rPr>
      </w:pPr>
    </w:p>
    <w:p w:rsidRPr="00F932AA" w:rsidR="008305AC" w:rsidP="00D37535" w:rsidRDefault="004A51DC" w14:paraId="338236F4" w14:textId="5DE8149B">
      <w:pPr>
        <w:spacing w:after="100" w:afterAutospacing="1" w:line="240" w:lineRule="auto"/>
        <w:contextualSpacing/>
        <w:jc w:val="center"/>
        <w:rPr>
          <w:rFonts w:ascii="Calibri" w:hAnsi="Calibri" w:cs="Calibri"/>
          <w:b/>
        </w:rPr>
      </w:pPr>
      <w:r>
        <w:rPr>
          <w:rFonts w:ascii="Calibri" w:hAnsi="Calibri" w:cs="Calibri"/>
          <w:b/>
        </w:rPr>
        <w:t xml:space="preserve">January </w:t>
      </w:r>
      <w:r w:rsidR="00C16441">
        <w:rPr>
          <w:rFonts w:ascii="Calibri" w:hAnsi="Calibri" w:cs="Calibri"/>
          <w:b/>
        </w:rPr>
        <w:t>8,</w:t>
      </w:r>
      <w:r w:rsidRPr="00F932AA" w:rsidR="002D5C0D">
        <w:rPr>
          <w:rFonts w:ascii="Calibri" w:hAnsi="Calibri" w:cs="Calibri"/>
          <w:b/>
        </w:rPr>
        <w:t xml:space="preserve"> 202</w:t>
      </w:r>
      <w:r w:rsidR="0060733C">
        <w:rPr>
          <w:rFonts w:ascii="Calibri" w:hAnsi="Calibri" w:cs="Calibri"/>
          <w:b/>
        </w:rPr>
        <w:t>1</w:t>
      </w:r>
    </w:p>
    <w:p w:rsidRPr="00985687" w:rsidR="008305AC" w:rsidP="00D37535" w:rsidRDefault="008305AC" w14:paraId="2BE6CB04" w14:textId="77777777">
      <w:pPr>
        <w:spacing w:after="100" w:afterAutospacing="1" w:line="240" w:lineRule="auto"/>
        <w:contextualSpacing/>
        <w:jc w:val="center"/>
        <w:rPr>
          <w:rFonts w:ascii="Calibri" w:hAnsi="Calibri" w:cs="Calibri"/>
          <w:b/>
        </w:rPr>
      </w:pPr>
    </w:p>
    <w:p w:rsidRPr="00985687" w:rsidR="008305AC" w:rsidP="00D37535" w:rsidRDefault="008305AC" w14:paraId="3DD987A9" w14:textId="77777777">
      <w:pPr>
        <w:spacing w:after="100" w:afterAutospacing="1" w:line="240" w:lineRule="auto"/>
        <w:contextualSpacing/>
        <w:jc w:val="center"/>
        <w:rPr>
          <w:rFonts w:ascii="Calibri" w:hAnsi="Calibri" w:cs="Calibri"/>
          <w:b/>
        </w:rPr>
      </w:pPr>
    </w:p>
    <w:p w:rsidRPr="00985687" w:rsidR="008305AC" w:rsidP="00D37535" w:rsidRDefault="008305AC" w14:paraId="057117F4" w14:textId="77777777">
      <w:pPr>
        <w:spacing w:after="100" w:afterAutospacing="1" w:line="240" w:lineRule="auto"/>
        <w:contextualSpacing/>
        <w:jc w:val="center"/>
        <w:rPr>
          <w:rFonts w:ascii="Calibri" w:hAnsi="Calibri" w:cs="Calibri"/>
          <w:b/>
        </w:rPr>
      </w:pPr>
    </w:p>
    <w:p w:rsidRPr="00985687" w:rsidR="008305AC" w:rsidP="00D37535" w:rsidRDefault="008305AC" w14:paraId="3964CD1B" w14:textId="77777777">
      <w:pPr>
        <w:spacing w:after="100" w:afterAutospacing="1" w:line="240" w:lineRule="auto"/>
        <w:contextualSpacing/>
        <w:jc w:val="center"/>
        <w:rPr>
          <w:rFonts w:ascii="Calibri" w:hAnsi="Calibri" w:cs="Calibri"/>
          <w:b/>
        </w:rPr>
      </w:pPr>
    </w:p>
    <w:p w:rsidRPr="00985687" w:rsidR="00825AFC" w:rsidP="00D37535" w:rsidRDefault="008305AC" w14:paraId="5A54DA37" w14:textId="233061B7">
      <w:pPr>
        <w:spacing w:after="100" w:afterAutospacing="1" w:line="240" w:lineRule="auto"/>
        <w:contextualSpacing/>
        <w:jc w:val="center"/>
        <w:rPr>
          <w:rFonts w:ascii="Calibri" w:hAnsi="Calibri" w:cs="Calibri"/>
          <w:b/>
        </w:rPr>
      </w:pPr>
      <w:r w:rsidRPr="00985687">
        <w:rPr>
          <w:rFonts w:ascii="Calibri" w:hAnsi="Calibri" w:cs="Calibri"/>
        </w:rPr>
        <w:t>United States Environmental Protection Agency</w:t>
      </w:r>
      <w:r w:rsidRPr="00985687">
        <w:rPr>
          <w:rFonts w:ascii="Calibri" w:hAnsi="Calibri" w:cs="Calibri"/>
        </w:rPr>
        <w:br/>
        <w:t>Office of Wastewater Management</w:t>
      </w:r>
      <w:r w:rsidRPr="00985687">
        <w:rPr>
          <w:rFonts w:ascii="Calibri" w:hAnsi="Calibri" w:cs="Calibri"/>
        </w:rPr>
        <w:br/>
        <w:t>1200 Pennsylvania Ave, NW</w:t>
      </w:r>
      <w:r w:rsidRPr="00985687">
        <w:rPr>
          <w:rFonts w:ascii="Calibri" w:hAnsi="Calibri" w:cs="Calibri"/>
        </w:rPr>
        <w:br/>
        <w:t>Washington, DC  20460</w:t>
      </w:r>
      <w:r w:rsidRPr="00985687" w:rsidR="002B19D5">
        <w:rPr>
          <w:rFonts w:ascii="Calibri" w:hAnsi="Calibri" w:cs="Calibri"/>
          <w:b/>
        </w:rPr>
        <w:br/>
      </w:r>
    </w:p>
    <w:p w:rsidRPr="00985687" w:rsidR="00454E33" w:rsidP="00D37535" w:rsidRDefault="00454E33" w14:paraId="04444B2C" w14:textId="77777777">
      <w:pPr>
        <w:spacing w:after="100" w:afterAutospacing="1" w:line="240" w:lineRule="auto"/>
        <w:contextualSpacing/>
        <w:rPr>
          <w:rFonts w:ascii="Calibri" w:hAnsi="Calibri" w:cs="Calibri"/>
          <w:b/>
        </w:rPr>
      </w:pPr>
      <w:r w:rsidRPr="00985687">
        <w:rPr>
          <w:rFonts w:ascii="Calibri" w:hAnsi="Calibri" w:cs="Calibri"/>
          <w:b/>
        </w:rPr>
        <w:br w:type="page"/>
      </w:r>
    </w:p>
    <w:sdt>
      <w:sdtPr>
        <w:rPr>
          <w:rFonts w:asciiTheme="minorHAnsi" w:hAnsiTheme="minorHAnsi" w:eastAsiaTheme="minorHAnsi" w:cstheme="minorBidi"/>
          <w:color w:val="auto"/>
          <w:sz w:val="22"/>
          <w:szCs w:val="22"/>
        </w:rPr>
        <w:id w:val="-1841304763"/>
        <w:docPartObj>
          <w:docPartGallery w:val="Table of Contents"/>
          <w:docPartUnique/>
        </w:docPartObj>
      </w:sdtPr>
      <w:sdtEndPr>
        <w:rPr>
          <w:b/>
          <w:bCs/>
          <w:noProof/>
        </w:rPr>
      </w:sdtEndPr>
      <w:sdtContent>
        <w:p w:rsidR="00F32E94" w:rsidP="00D37535" w:rsidRDefault="00F32E94" w14:paraId="3F85034E" w14:textId="54A7EC47">
          <w:pPr>
            <w:pStyle w:val="TOCHeading"/>
            <w:numPr>
              <w:ilvl w:val="0"/>
              <w:numId w:val="0"/>
            </w:numPr>
            <w:spacing w:before="0" w:after="100" w:afterAutospacing="1"/>
            <w:contextualSpacing/>
          </w:pPr>
          <w:r>
            <w:t>Contents</w:t>
          </w:r>
        </w:p>
        <w:p w:rsidR="00592039" w:rsidRDefault="00F32E94" w14:paraId="79914DDD" w14:textId="4C6AE417">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history="1" w:anchor="_Toc24963860">
            <w:r w:rsidRPr="000A5160" w:rsidR="00592039">
              <w:rPr>
                <w:rStyle w:val="Hyperlink"/>
                <w:noProof/>
              </w:rPr>
              <w:t>I.</w:t>
            </w:r>
            <w:r w:rsidR="00592039">
              <w:rPr>
                <w:rFonts w:eastAsiaTheme="minorEastAsia"/>
                <w:noProof/>
              </w:rPr>
              <w:tab/>
            </w:r>
            <w:r w:rsidRPr="000A5160" w:rsidR="00592039">
              <w:rPr>
                <w:rStyle w:val="Hyperlink"/>
                <w:noProof/>
              </w:rPr>
              <w:t>Identification</w:t>
            </w:r>
            <w:r w:rsidR="00592039">
              <w:rPr>
                <w:noProof/>
                <w:webHidden/>
              </w:rPr>
              <w:tab/>
            </w:r>
            <w:r w:rsidR="00592039">
              <w:rPr>
                <w:noProof/>
                <w:webHidden/>
              </w:rPr>
              <w:fldChar w:fldCharType="begin"/>
            </w:r>
            <w:r w:rsidR="00592039">
              <w:rPr>
                <w:noProof/>
                <w:webHidden/>
              </w:rPr>
              <w:instrText xml:space="preserve"> PAGEREF _Toc24963860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56650701" w14:textId="3FE57852">
          <w:pPr>
            <w:pStyle w:val="TOC2"/>
            <w:tabs>
              <w:tab w:val="left" w:pos="660"/>
              <w:tab w:val="right" w:leader="dot" w:pos="9350"/>
            </w:tabs>
            <w:rPr>
              <w:rFonts w:eastAsiaTheme="minorEastAsia"/>
              <w:noProof/>
            </w:rPr>
          </w:pPr>
          <w:hyperlink w:history="1" w:anchor="_Toc24963861">
            <w:r w:rsidRPr="000A5160" w:rsidR="00592039">
              <w:rPr>
                <w:rStyle w:val="Hyperlink"/>
                <w:noProof/>
              </w:rPr>
              <w:t>A.</w:t>
            </w:r>
            <w:r w:rsidR="00592039">
              <w:rPr>
                <w:rFonts w:eastAsiaTheme="minorEastAsia"/>
                <w:noProof/>
              </w:rPr>
              <w:tab/>
            </w:r>
            <w:r w:rsidRPr="000A5160" w:rsidR="00592039">
              <w:rPr>
                <w:rStyle w:val="Hyperlink"/>
                <w:noProof/>
              </w:rPr>
              <w:t>Title</w:t>
            </w:r>
            <w:r w:rsidR="00592039">
              <w:rPr>
                <w:noProof/>
                <w:webHidden/>
              </w:rPr>
              <w:tab/>
            </w:r>
            <w:r w:rsidR="00592039">
              <w:rPr>
                <w:noProof/>
                <w:webHidden/>
              </w:rPr>
              <w:fldChar w:fldCharType="begin"/>
            </w:r>
            <w:r w:rsidR="00592039">
              <w:rPr>
                <w:noProof/>
                <w:webHidden/>
              </w:rPr>
              <w:instrText xml:space="preserve"> PAGEREF _Toc24963861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7CCA849B" w14:textId="7B164129">
          <w:pPr>
            <w:pStyle w:val="TOC2"/>
            <w:tabs>
              <w:tab w:val="left" w:pos="660"/>
              <w:tab w:val="right" w:leader="dot" w:pos="9350"/>
            </w:tabs>
            <w:rPr>
              <w:rFonts w:eastAsiaTheme="minorEastAsia"/>
              <w:noProof/>
            </w:rPr>
          </w:pPr>
          <w:hyperlink w:history="1" w:anchor="_Toc24963862">
            <w:r w:rsidRPr="000A5160" w:rsidR="00592039">
              <w:rPr>
                <w:rStyle w:val="Hyperlink"/>
                <w:noProof/>
              </w:rPr>
              <w:t>B.</w:t>
            </w:r>
            <w:r w:rsidR="00592039">
              <w:rPr>
                <w:rFonts w:eastAsiaTheme="minorEastAsia"/>
                <w:noProof/>
              </w:rPr>
              <w:tab/>
            </w:r>
            <w:r w:rsidRPr="000A5160" w:rsidR="00592039">
              <w:rPr>
                <w:rStyle w:val="Hyperlink"/>
                <w:noProof/>
              </w:rPr>
              <w:t>Short Characterization/Abstract</w:t>
            </w:r>
            <w:r w:rsidR="00592039">
              <w:rPr>
                <w:noProof/>
                <w:webHidden/>
              </w:rPr>
              <w:tab/>
            </w:r>
            <w:r w:rsidR="00592039">
              <w:rPr>
                <w:noProof/>
                <w:webHidden/>
              </w:rPr>
              <w:fldChar w:fldCharType="begin"/>
            </w:r>
            <w:r w:rsidR="00592039">
              <w:rPr>
                <w:noProof/>
                <w:webHidden/>
              </w:rPr>
              <w:instrText xml:space="preserve"> PAGEREF _Toc24963862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004E26F3" w14:textId="6B491FC8">
          <w:pPr>
            <w:pStyle w:val="TOC1"/>
            <w:tabs>
              <w:tab w:val="left" w:pos="440"/>
              <w:tab w:val="right" w:leader="dot" w:pos="9350"/>
            </w:tabs>
            <w:rPr>
              <w:rFonts w:eastAsiaTheme="minorEastAsia"/>
              <w:noProof/>
            </w:rPr>
          </w:pPr>
          <w:hyperlink w:history="1" w:anchor="_Toc24963863">
            <w:r w:rsidRPr="000A5160" w:rsidR="00592039">
              <w:rPr>
                <w:rStyle w:val="Hyperlink"/>
                <w:noProof/>
              </w:rPr>
              <w:t>II.</w:t>
            </w:r>
            <w:r w:rsidR="00592039">
              <w:rPr>
                <w:rFonts w:eastAsiaTheme="minorEastAsia"/>
                <w:noProof/>
              </w:rPr>
              <w:tab/>
            </w:r>
            <w:r w:rsidRPr="000A5160" w:rsidR="00592039">
              <w:rPr>
                <w:rStyle w:val="Hyperlink"/>
                <w:noProof/>
              </w:rPr>
              <w:t>Need for and Use of Collection</w:t>
            </w:r>
            <w:r w:rsidR="00592039">
              <w:rPr>
                <w:noProof/>
                <w:webHidden/>
              </w:rPr>
              <w:tab/>
            </w:r>
            <w:r w:rsidR="00592039">
              <w:rPr>
                <w:noProof/>
                <w:webHidden/>
              </w:rPr>
              <w:fldChar w:fldCharType="begin"/>
            </w:r>
            <w:r w:rsidR="00592039">
              <w:rPr>
                <w:noProof/>
                <w:webHidden/>
              </w:rPr>
              <w:instrText xml:space="preserve"> PAGEREF _Toc24963863 \h </w:instrText>
            </w:r>
            <w:r w:rsidR="00592039">
              <w:rPr>
                <w:noProof/>
                <w:webHidden/>
              </w:rPr>
            </w:r>
            <w:r w:rsidR="00592039">
              <w:rPr>
                <w:noProof/>
                <w:webHidden/>
              </w:rPr>
              <w:fldChar w:fldCharType="separate"/>
            </w:r>
            <w:r w:rsidR="00963C61">
              <w:rPr>
                <w:noProof/>
                <w:webHidden/>
              </w:rPr>
              <w:t>2</w:t>
            </w:r>
            <w:r w:rsidR="00592039">
              <w:rPr>
                <w:noProof/>
                <w:webHidden/>
              </w:rPr>
              <w:fldChar w:fldCharType="end"/>
            </w:r>
          </w:hyperlink>
        </w:p>
        <w:p w:rsidR="00592039" w:rsidRDefault="0038321E" w14:paraId="5138D679" w14:textId="6D496D8B">
          <w:pPr>
            <w:pStyle w:val="TOC2"/>
            <w:tabs>
              <w:tab w:val="left" w:pos="660"/>
              <w:tab w:val="right" w:leader="dot" w:pos="9350"/>
            </w:tabs>
            <w:rPr>
              <w:rFonts w:eastAsiaTheme="minorEastAsia"/>
              <w:noProof/>
            </w:rPr>
          </w:pPr>
          <w:hyperlink w:history="1" w:anchor="_Toc24963864">
            <w:r w:rsidRPr="000A5160" w:rsidR="00592039">
              <w:rPr>
                <w:rStyle w:val="Hyperlink"/>
                <w:noProof/>
              </w:rPr>
              <w:t>A.</w:t>
            </w:r>
            <w:r w:rsidR="00592039">
              <w:rPr>
                <w:rFonts w:eastAsiaTheme="minorEastAsia"/>
                <w:noProof/>
              </w:rPr>
              <w:tab/>
            </w:r>
            <w:r w:rsidRPr="000A5160" w:rsidR="00592039">
              <w:rPr>
                <w:rStyle w:val="Hyperlink"/>
                <w:noProof/>
              </w:rPr>
              <w:t>Need/Authority for the Collection</w:t>
            </w:r>
            <w:r w:rsidR="00592039">
              <w:rPr>
                <w:noProof/>
                <w:webHidden/>
              </w:rPr>
              <w:tab/>
            </w:r>
            <w:r w:rsidR="00592039">
              <w:rPr>
                <w:noProof/>
                <w:webHidden/>
              </w:rPr>
              <w:fldChar w:fldCharType="begin"/>
            </w:r>
            <w:r w:rsidR="00592039">
              <w:rPr>
                <w:noProof/>
                <w:webHidden/>
              </w:rPr>
              <w:instrText xml:space="preserve"> PAGEREF _Toc24963864 \h </w:instrText>
            </w:r>
            <w:r w:rsidR="00592039">
              <w:rPr>
                <w:noProof/>
                <w:webHidden/>
              </w:rPr>
            </w:r>
            <w:r w:rsidR="00592039">
              <w:rPr>
                <w:noProof/>
                <w:webHidden/>
              </w:rPr>
              <w:fldChar w:fldCharType="separate"/>
            </w:r>
            <w:r w:rsidR="00963C61">
              <w:rPr>
                <w:noProof/>
                <w:webHidden/>
              </w:rPr>
              <w:t>2</w:t>
            </w:r>
            <w:r w:rsidR="00592039">
              <w:rPr>
                <w:noProof/>
                <w:webHidden/>
              </w:rPr>
              <w:fldChar w:fldCharType="end"/>
            </w:r>
          </w:hyperlink>
        </w:p>
        <w:p w:rsidR="00592039" w:rsidRDefault="0038321E" w14:paraId="0C88C185" w14:textId="5002A8F4">
          <w:pPr>
            <w:pStyle w:val="TOC2"/>
            <w:tabs>
              <w:tab w:val="left" w:pos="660"/>
              <w:tab w:val="right" w:leader="dot" w:pos="9350"/>
            </w:tabs>
            <w:rPr>
              <w:rFonts w:eastAsiaTheme="minorEastAsia"/>
              <w:noProof/>
            </w:rPr>
          </w:pPr>
          <w:hyperlink w:history="1" w:anchor="_Toc24963865">
            <w:r w:rsidRPr="000A5160" w:rsidR="00592039">
              <w:rPr>
                <w:rStyle w:val="Hyperlink"/>
                <w:noProof/>
              </w:rPr>
              <w:t>B.</w:t>
            </w:r>
            <w:r w:rsidR="00592039">
              <w:rPr>
                <w:rFonts w:eastAsiaTheme="minorEastAsia"/>
                <w:noProof/>
              </w:rPr>
              <w:tab/>
            </w:r>
            <w:r w:rsidRPr="000A5160" w:rsidR="00592039">
              <w:rPr>
                <w:rStyle w:val="Hyperlink"/>
                <w:noProof/>
              </w:rPr>
              <w:t>Practical Utility/Users of the Data</w:t>
            </w:r>
            <w:r w:rsidR="00592039">
              <w:rPr>
                <w:noProof/>
                <w:webHidden/>
              </w:rPr>
              <w:tab/>
            </w:r>
            <w:r w:rsidR="00592039">
              <w:rPr>
                <w:noProof/>
                <w:webHidden/>
              </w:rPr>
              <w:fldChar w:fldCharType="begin"/>
            </w:r>
            <w:r w:rsidR="00592039">
              <w:rPr>
                <w:noProof/>
                <w:webHidden/>
              </w:rPr>
              <w:instrText xml:space="preserve"> PAGEREF _Toc24963865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7574B9D8" w14:textId="5E5CCC6A">
          <w:pPr>
            <w:pStyle w:val="TOC1"/>
            <w:tabs>
              <w:tab w:val="left" w:pos="660"/>
              <w:tab w:val="right" w:leader="dot" w:pos="9350"/>
            </w:tabs>
            <w:rPr>
              <w:rFonts w:eastAsiaTheme="minorEastAsia"/>
              <w:noProof/>
            </w:rPr>
          </w:pPr>
          <w:hyperlink w:history="1" w:anchor="_Toc24963866">
            <w:r w:rsidRPr="000A5160" w:rsidR="00592039">
              <w:rPr>
                <w:rStyle w:val="Hyperlink"/>
                <w:noProof/>
              </w:rPr>
              <w:t>III.</w:t>
            </w:r>
            <w:r w:rsidR="00592039">
              <w:rPr>
                <w:rFonts w:eastAsiaTheme="minorEastAsia"/>
                <w:noProof/>
              </w:rPr>
              <w:tab/>
            </w:r>
            <w:r w:rsidRPr="000A5160" w:rsidR="00592039">
              <w:rPr>
                <w:rStyle w:val="Hyperlink"/>
                <w:noProof/>
              </w:rPr>
              <w:t>Non Duplication, Consultations, &amp; Other Collection Criteria</w:t>
            </w:r>
            <w:r w:rsidR="00592039">
              <w:rPr>
                <w:noProof/>
                <w:webHidden/>
              </w:rPr>
              <w:tab/>
            </w:r>
            <w:r w:rsidR="00592039">
              <w:rPr>
                <w:noProof/>
                <w:webHidden/>
              </w:rPr>
              <w:fldChar w:fldCharType="begin"/>
            </w:r>
            <w:r w:rsidR="00592039">
              <w:rPr>
                <w:noProof/>
                <w:webHidden/>
              </w:rPr>
              <w:instrText xml:space="preserve"> PAGEREF _Toc24963866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1A0A8BF5" w14:textId="06BFFA74">
          <w:pPr>
            <w:pStyle w:val="TOC2"/>
            <w:tabs>
              <w:tab w:val="left" w:pos="660"/>
              <w:tab w:val="right" w:leader="dot" w:pos="9350"/>
            </w:tabs>
            <w:rPr>
              <w:rFonts w:eastAsiaTheme="minorEastAsia"/>
              <w:noProof/>
            </w:rPr>
          </w:pPr>
          <w:hyperlink w:history="1" w:anchor="_Toc24963867">
            <w:r w:rsidRPr="000A5160" w:rsidR="00592039">
              <w:rPr>
                <w:rStyle w:val="Hyperlink"/>
                <w:noProof/>
              </w:rPr>
              <w:t>A.</w:t>
            </w:r>
            <w:r w:rsidR="00592039">
              <w:rPr>
                <w:rFonts w:eastAsiaTheme="minorEastAsia"/>
                <w:noProof/>
              </w:rPr>
              <w:tab/>
            </w:r>
            <w:r w:rsidRPr="000A5160" w:rsidR="00592039">
              <w:rPr>
                <w:rStyle w:val="Hyperlink"/>
                <w:noProof/>
              </w:rPr>
              <w:t>Non duplication</w:t>
            </w:r>
            <w:r w:rsidR="00592039">
              <w:rPr>
                <w:noProof/>
                <w:webHidden/>
              </w:rPr>
              <w:tab/>
            </w:r>
            <w:r w:rsidR="00592039">
              <w:rPr>
                <w:noProof/>
                <w:webHidden/>
              </w:rPr>
              <w:fldChar w:fldCharType="begin"/>
            </w:r>
            <w:r w:rsidR="00592039">
              <w:rPr>
                <w:noProof/>
                <w:webHidden/>
              </w:rPr>
              <w:instrText xml:space="preserve"> PAGEREF _Toc24963867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21A7EC7B" w14:textId="12A3A654">
          <w:pPr>
            <w:pStyle w:val="TOC2"/>
            <w:tabs>
              <w:tab w:val="left" w:pos="660"/>
              <w:tab w:val="right" w:leader="dot" w:pos="9350"/>
            </w:tabs>
            <w:rPr>
              <w:rFonts w:eastAsiaTheme="minorEastAsia"/>
              <w:noProof/>
            </w:rPr>
          </w:pPr>
          <w:hyperlink w:history="1" w:anchor="_Toc24963868">
            <w:r w:rsidRPr="000A5160" w:rsidR="00592039">
              <w:rPr>
                <w:rStyle w:val="Hyperlink"/>
                <w:noProof/>
              </w:rPr>
              <w:t>B.</w:t>
            </w:r>
            <w:r w:rsidR="00592039">
              <w:rPr>
                <w:rFonts w:eastAsiaTheme="minorEastAsia"/>
                <w:noProof/>
              </w:rPr>
              <w:tab/>
            </w:r>
            <w:r w:rsidRPr="000A5160" w:rsidR="00592039">
              <w:rPr>
                <w:rStyle w:val="Hyperlink"/>
                <w:noProof/>
              </w:rPr>
              <w:t>Public Notice Required Prior to ICR submission to OMB</w:t>
            </w:r>
            <w:r w:rsidR="00592039">
              <w:rPr>
                <w:noProof/>
                <w:webHidden/>
              </w:rPr>
              <w:tab/>
            </w:r>
            <w:r w:rsidR="00592039">
              <w:rPr>
                <w:noProof/>
                <w:webHidden/>
              </w:rPr>
              <w:fldChar w:fldCharType="begin"/>
            </w:r>
            <w:r w:rsidR="00592039">
              <w:rPr>
                <w:noProof/>
                <w:webHidden/>
              </w:rPr>
              <w:instrText xml:space="preserve"> PAGEREF _Toc24963868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4227E02F" w14:textId="4A3651FF">
          <w:pPr>
            <w:pStyle w:val="TOC2"/>
            <w:tabs>
              <w:tab w:val="left" w:pos="660"/>
              <w:tab w:val="right" w:leader="dot" w:pos="9350"/>
            </w:tabs>
            <w:rPr>
              <w:rFonts w:eastAsiaTheme="minorEastAsia"/>
              <w:noProof/>
            </w:rPr>
          </w:pPr>
          <w:hyperlink w:history="1" w:anchor="_Toc24963869">
            <w:r w:rsidRPr="000A5160" w:rsidR="00592039">
              <w:rPr>
                <w:rStyle w:val="Hyperlink"/>
                <w:noProof/>
              </w:rPr>
              <w:t>C.</w:t>
            </w:r>
            <w:r w:rsidR="00592039">
              <w:rPr>
                <w:rFonts w:eastAsiaTheme="minorEastAsia"/>
                <w:noProof/>
              </w:rPr>
              <w:tab/>
            </w:r>
            <w:r w:rsidRPr="000A5160" w:rsidR="00592039">
              <w:rPr>
                <w:rStyle w:val="Hyperlink"/>
                <w:noProof/>
              </w:rPr>
              <w:t>Consultations</w:t>
            </w:r>
            <w:r w:rsidR="00592039">
              <w:rPr>
                <w:noProof/>
                <w:webHidden/>
              </w:rPr>
              <w:tab/>
            </w:r>
            <w:r w:rsidR="00592039">
              <w:rPr>
                <w:noProof/>
                <w:webHidden/>
              </w:rPr>
              <w:fldChar w:fldCharType="begin"/>
            </w:r>
            <w:r w:rsidR="00592039">
              <w:rPr>
                <w:noProof/>
                <w:webHidden/>
              </w:rPr>
              <w:instrText xml:space="preserve"> PAGEREF _Toc24963869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0ED03914" w14:textId="6D87CA0D">
          <w:pPr>
            <w:pStyle w:val="TOC2"/>
            <w:tabs>
              <w:tab w:val="left" w:pos="660"/>
              <w:tab w:val="right" w:leader="dot" w:pos="9350"/>
            </w:tabs>
            <w:rPr>
              <w:rFonts w:eastAsiaTheme="minorEastAsia"/>
              <w:noProof/>
            </w:rPr>
          </w:pPr>
          <w:hyperlink w:history="1" w:anchor="_Toc24963870">
            <w:r w:rsidRPr="000A5160" w:rsidR="00592039">
              <w:rPr>
                <w:rStyle w:val="Hyperlink"/>
                <w:noProof/>
              </w:rPr>
              <w:t>D.</w:t>
            </w:r>
            <w:r w:rsidR="00592039">
              <w:rPr>
                <w:rFonts w:eastAsiaTheme="minorEastAsia"/>
                <w:noProof/>
              </w:rPr>
              <w:tab/>
            </w:r>
            <w:r w:rsidRPr="000A5160" w:rsidR="00592039">
              <w:rPr>
                <w:rStyle w:val="Hyperlink"/>
                <w:noProof/>
              </w:rPr>
              <w:t>Effects of Less Frequent Collection</w:t>
            </w:r>
            <w:r w:rsidR="00592039">
              <w:rPr>
                <w:noProof/>
                <w:webHidden/>
              </w:rPr>
              <w:tab/>
            </w:r>
            <w:r w:rsidR="00592039">
              <w:rPr>
                <w:noProof/>
                <w:webHidden/>
              </w:rPr>
              <w:fldChar w:fldCharType="begin"/>
            </w:r>
            <w:r w:rsidR="00592039">
              <w:rPr>
                <w:noProof/>
                <w:webHidden/>
              </w:rPr>
              <w:instrText xml:space="preserve"> PAGEREF _Toc24963870 \h </w:instrText>
            </w:r>
            <w:r w:rsidR="00592039">
              <w:rPr>
                <w:noProof/>
                <w:webHidden/>
              </w:rPr>
            </w:r>
            <w:r w:rsidR="00592039">
              <w:rPr>
                <w:noProof/>
                <w:webHidden/>
              </w:rPr>
              <w:fldChar w:fldCharType="separate"/>
            </w:r>
            <w:r w:rsidR="00963C61">
              <w:rPr>
                <w:noProof/>
                <w:webHidden/>
              </w:rPr>
              <w:t>3</w:t>
            </w:r>
            <w:r w:rsidR="00592039">
              <w:rPr>
                <w:noProof/>
                <w:webHidden/>
              </w:rPr>
              <w:fldChar w:fldCharType="end"/>
            </w:r>
          </w:hyperlink>
        </w:p>
        <w:p w:rsidR="00592039" w:rsidRDefault="0038321E" w14:paraId="652A6B1C" w14:textId="03F736BD">
          <w:pPr>
            <w:pStyle w:val="TOC2"/>
            <w:tabs>
              <w:tab w:val="left" w:pos="660"/>
              <w:tab w:val="right" w:leader="dot" w:pos="9350"/>
            </w:tabs>
            <w:rPr>
              <w:rFonts w:eastAsiaTheme="minorEastAsia"/>
              <w:noProof/>
            </w:rPr>
          </w:pPr>
          <w:hyperlink w:history="1" w:anchor="_Toc24963871">
            <w:r w:rsidRPr="000A5160" w:rsidR="00592039">
              <w:rPr>
                <w:rStyle w:val="Hyperlink"/>
                <w:noProof/>
              </w:rPr>
              <w:t>E.</w:t>
            </w:r>
            <w:r w:rsidR="00592039">
              <w:rPr>
                <w:rFonts w:eastAsiaTheme="minorEastAsia"/>
                <w:noProof/>
              </w:rPr>
              <w:tab/>
            </w:r>
            <w:r w:rsidRPr="000A5160" w:rsidR="00592039">
              <w:rPr>
                <w:rStyle w:val="Hyperlink"/>
                <w:noProof/>
              </w:rPr>
              <w:t>General Guidelines</w:t>
            </w:r>
            <w:r w:rsidR="00592039">
              <w:rPr>
                <w:noProof/>
                <w:webHidden/>
              </w:rPr>
              <w:tab/>
            </w:r>
            <w:r w:rsidR="00592039">
              <w:rPr>
                <w:noProof/>
                <w:webHidden/>
              </w:rPr>
              <w:fldChar w:fldCharType="begin"/>
            </w:r>
            <w:r w:rsidR="00592039">
              <w:rPr>
                <w:noProof/>
                <w:webHidden/>
              </w:rPr>
              <w:instrText xml:space="preserve"> PAGEREF _Toc24963871 \h </w:instrText>
            </w:r>
            <w:r w:rsidR="00592039">
              <w:rPr>
                <w:noProof/>
                <w:webHidden/>
              </w:rPr>
            </w:r>
            <w:r w:rsidR="00592039">
              <w:rPr>
                <w:noProof/>
                <w:webHidden/>
              </w:rPr>
              <w:fldChar w:fldCharType="separate"/>
            </w:r>
            <w:r w:rsidR="00963C61">
              <w:rPr>
                <w:noProof/>
                <w:webHidden/>
              </w:rPr>
              <w:t>4</w:t>
            </w:r>
            <w:r w:rsidR="00592039">
              <w:rPr>
                <w:noProof/>
                <w:webHidden/>
              </w:rPr>
              <w:fldChar w:fldCharType="end"/>
            </w:r>
          </w:hyperlink>
        </w:p>
        <w:p w:rsidR="00592039" w:rsidRDefault="0038321E" w14:paraId="275C0FE1" w14:textId="01B114DA">
          <w:pPr>
            <w:pStyle w:val="TOC2"/>
            <w:tabs>
              <w:tab w:val="left" w:pos="660"/>
              <w:tab w:val="right" w:leader="dot" w:pos="9350"/>
            </w:tabs>
            <w:rPr>
              <w:rFonts w:eastAsiaTheme="minorEastAsia"/>
              <w:noProof/>
            </w:rPr>
          </w:pPr>
          <w:hyperlink w:history="1" w:anchor="_Toc24963872">
            <w:r w:rsidRPr="000A5160" w:rsidR="00592039">
              <w:rPr>
                <w:rStyle w:val="Hyperlink"/>
                <w:noProof/>
              </w:rPr>
              <w:t>F.</w:t>
            </w:r>
            <w:r w:rsidR="00592039">
              <w:rPr>
                <w:rFonts w:eastAsiaTheme="minorEastAsia"/>
                <w:noProof/>
              </w:rPr>
              <w:tab/>
            </w:r>
            <w:r w:rsidRPr="000A5160" w:rsidR="00592039">
              <w:rPr>
                <w:rStyle w:val="Hyperlink"/>
                <w:noProof/>
              </w:rPr>
              <w:t>Confidentiality</w:t>
            </w:r>
            <w:r w:rsidR="00592039">
              <w:rPr>
                <w:noProof/>
                <w:webHidden/>
              </w:rPr>
              <w:tab/>
            </w:r>
            <w:r w:rsidR="00592039">
              <w:rPr>
                <w:noProof/>
                <w:webHidden/>
              </w:rPr>
              <w:fldChar w:fldCharType="begin"/>
            </w:r>
            <w:r w:rsidR="00592039">
              <w:rPr>
                <w:noProof/>
                <w:webHidden/>
              </w:rPr>
              <w:instrText xml:space="preserve"> PAGEREF _Toc24963872 \h </w:instrText>
            </w:r>
            <w:r w:rsidR="00592039">
              <w:rPr>
                <w:noProof/>
                <w:webHidden/>
              </w:rPr>
            </w:r>
            <w:r w:rsidR="00592039">
              <w:rPr>
                <w:noProof/>
                <w:webHidden/>
              </w:rPr>
              <w:fldChar w:fldCharType="separate"/>
            </w:r>
            <w:r w:rsidR="00963C61">
              <w:rPr>
                <w:noProof/>
                <w:webHidden/>
              </w:rPr>
              <w:t>4</w:t>
            </w:r>
            <w:r w:rsidR="00592039">
              <w:rPr>
                <w:noProof/>
                <w:webHidden/>
              </w:rPr>
              <w:fldChar w:fldCharType="end"/>
            </w:r>
          </w:hyperlink>
        </w:p>
        <w:p w:rsidR="00592039" w:rsidRDefault="0038321E" w14:paraId="11D9E423" w14:textId="2D034D44">
          <w:pPr>
            <w:pStyle w:val="TOC2"/>
            <w:tabs>
              <w:tab w:val="left" w:pos="660"/>
              <w:tab w:val="right" w:leader="dot" w:pos="9350"/>
            </w:tabs>
            <w:rPr>
              <w:rFonts w:eastAsiaTheme="minorEastAsia"/>
              <w:noProof/>
            </w:rPr>
          </w:pPr>
          <w:hyperlink w:history="1" w:anchor="_Toc24963873">
            <w:r w:rsidRPr="000A5160" w:rsidR="00592039">
              <w:rPr>
                <w:rStyle w:val="Hyperlink"/>
                <w:noProof/>
              </w:rPr>
              <w:t>G.</w:t>
            </w:r>
            <w:r w:rsidR="00592039">
              <w:rPr>
                <w:rFonts w:eastAsiaTheme="minorEastAsia"/>
                <w:noProof/>
              </w:rPr>
              <w:tab/>
            </w:r>
            <w:r w:rsidRPr="000A5160" w:rsidR="00592039">
              <w:rPr>
                <w:rStyle w:val="Hyperlink"/>
                <w:noProof/>
              </w:rPr>
              <w:t>Sensitive Questions</w:t>
            </w:r>
            <w:r w:rsidR="00592039">
              <w:rPr>
                <w:noProof/>
                <w:webHidden/>
              </w:rPr>
              <w:tab/>
            </w:r>
            <w:r w:rsidR="00592039">
              <w:rPr>
                <w:noProof/>
                <w:webHidden/>
              </w:rPr>
              <w:fldChar w:fldCharType="begin"/>
            </w:r>
            <w:r w:rsidR="00592039">
              <w:rPr>
                <w:noProof/>
                <w:webHidden/>
              </w:rPr>
              <w:instrText xml:space="preserve"> PAGEREF _Toc24963873 \h </w:instrText>
            </w:r>
            <w:r w:rsidR="00592039">
              <w:rPr>
                <w:noProof/>
                <w:webHidden/>
              </w:rPr>
            </w:r>
            <w:r w:rsidR="00592039">
              <w:rPr>
                <w:noProof/>
                <w:webHidden/>
              </w:rPr>
              <w:fldChar w:fldCharType="separate"/>
            </w:r>
            <w:r w:rsidR="00963C61">
              <w:rPr>
                <w:noProof/>
                <w:webHidden/>
              </w:rPr>
              <w:t>4</w:t>
            </w:r>
            <w:r w:rsidR="00592039">
              <w:rPr>
                <w:noProof/>
                <w:webHidden/>
              </w:rPr>
              <w:fldChar w:fldCharType="end"/>
            </w:r>
          </w:hyperlink>
        </w:p>
        <w:p w:rsidR="00592039" w:rsidRDefault="0038321E" w14:paraId="6F11CB6F" w14:textId="6FB5E0F7">
          <w:pPr>
            <w:pStyle w:val="TOC1"/>
            <w:tabs>
              <w:tab w:val="left" w:pos="660"/>
              <w:tab w:val="right" w:leader="dot" w:pos="9350"/>
            </w:tabs>
            <w:rPr>
              <w:rFonts w:eastAsiaTheme="minorEastAsia"/>
              <w:noProof/>
            </w:rPr>
          </w:pPr>
          <w:hyperlink w:history="1" w:anchor="_Toc24963874">
            <w:r w:rsidRPr="000A5160" w:rsidR="00592039">
              <w:rPr>
                <w:rStyle w:val="Hyperlink"/>
                <w:noProof/>
              </w:rPr>
              <w:t>IV.</w:t>
            </w:r>
            <w:r w:rsidR="00592039">
              <w:rPr>
                <w:rFonts w:eastAsiaTheme="minorEastAsia"/>
                <w:noProof/>
              </w:rPr>
              <w:tab/>
            </w:r>
            <w:r w:rsidRPr="000A5160" w:rsidR="00592039">
              <w:rPr>
                <w:rStyle w:val="Hyperlink"/>
                <w:noProof/>
              </w:rPr>
              <w:t>Respondents and Information Requested</w:t>
            </w:r>
            <w:r w:rsidR="00592039">
              <w:rPr>
                <w:noProof/>
                <w:webHidden/>
              </w:rPr>
              <w:tab/>
            </w:r>
            <w:r w:rsidR="00592039">
              <w:rPr>
                <w:noProof/>
                <w:webHidden/>
              </w:rPr>
              <w:fldChar w:fldCharType="begin"/>
            </w:r>
            <w:r w:rsidR="00592039">
              <w:rPr>
                <w:noProof/>
                <w:webHidden/>
              </w:rPr>
              <w:instrText xml:space="preserve"> PAGEREF _Toc24963874 \h </w:instrText>
            </w:r>
            <w:r w:rsidR="00592039">
              <w:rPr>
                <w:noProof/>
                <w:webHidden/>
              </w:rPr>
            </w:r>
            <w:r w:rsidR="00592039">
              <w:rPr>
                <w:noProof/>
                <w:webHidden/>
              </w:rPr>
              <w:fldChar w:fldCharType="separate"/>
            </w:r>
            <w:r w:rsidR="00963C61">
              <w:rPr>
                <w:noProof/>
                <w:webHidden/>
              </w:rPr>
              <w:t>4</w:t>
            </w:r>
            <w:r w:rsidR="00592039">
              <w:rPr>
                <w:noProof/>
                <w:webHidden/>
              </w:rPr>
              <w:fldChar w:fldCharType="end"/>
            </w:r>
          </w:hyperlink>
        </w:p>
        <w:p w:rsidR="00592039" w:rsidRDefault="0038321E" w14:paraId="18B64E6C" w14:textId="583D5979">
          <w:pPr>
            <w:pStyle w:val="TOC2"/>
            <w:tabs>
              <w:tab w:val="left" w:pos="660"/>
              <w:tab w:val="right" w:leader="dot" w:pos="9350"/>
            </w:tabs>
            <w:rPr>
              <w:rFonts w:eastAsiaTheme="minorEastAsia"/>
              <w:noProof/>
            </w:rPr>
          </w:pPr>
          <w:hyperlink w:history="1" w:anchor="_Toc24963875">
            <w:r w:rsidRPr="000A5160" w:rsidR="00592039">
              <w:rPr>
                <w:rStyle w:val="Hyperlink"/>
                <w:noProof/>
              </w:rPr>
              <w:t>A.</w:t>
            </w:r>
            <w:r w:rsidR="00592039">
              <w:rPr>
                <w:rFonts w:eastAsiaTheme="minorEastAsia"/>
                <w:noProof/>
              </w:rPr>
              <w:tab/>
            </w:r>
            <w:r w:rsidRPr="000A5160" w:rsidR="00592039">
              <w:rPr>
                <w:rStyle w:val="Hyperlink"/>
                <w:noProof/>
              </w:rPr>
              <w:t>Respondents/SIC Codes</w:t>
            </w:r>
            <w:r w:rsidR="00592039">
              <w:rPr>
                <w:noProof/>
                <w:webHidden/>
              </w:rPr>
              <w:tab/>
            </w:r>
            <w:r w:rsidR="00592039">
              <w:rPr>
                <w:noProof/>
                <w:webHidden/>
              </w:rPr>
              <w:fldChar w:fldCharType="begin"/>
            </w:r>
            <w:r w:rsidR="00592039">
              <w:rPr>
                <w:noProof/>
                <w:webHidden/>
              </w:rPr>
              <w:instrText xml:space="preserve"> PAGEREF _Toc24963875 \h </w:instrText>
            </w:r>
            <w:r w:rsidR="00592039">
              <w:rPr>
                <w:noProof/>
                <w:webHidden/>
              </w:rPr>
            </w:r>
            <w:r w:rsidR="00592039">
              <w:rPr>
                <w:noProof/>
                <w:webHidden/>
              </w:rPr>
              <w:fldChar w:fldCharType="separate"/>
            </w:r>
            <w:r w:rsidR="00963C61">
              <w:rPr>
                <w:noProof/>
                <w:webHidden/>
              </w:rPr>
              <w:t>4</w:t>
            </w:r>
            <w:r w:rsidR="00592039">
              <w:rPr>
                <w:noProof/>
                <w:webHidden/>
              </w:rPr>
              <w:fldChar w:fldCharType="end"/>
            </w:r>
          </w:hyperlink>
        </w:p>
        <w:p w:rsidR="00592039" w:rsidRDefault="0038321E" w14:paraId="24EB4AB2" w14:textId="5D49F310">
          <w:pPr>
            <w:pStyle w:val="TOC2"/>
            <w:tabs>
              <w:tab w:val="left" w:pos="660"/>
              <w:tab w:val="right" w:leader="dot" w:pos="9350"/>
            </w:tabs>
            <w:rPr>
              <w:rFonts w:eastAsiaTheme="minorEastAsia"/>
              <w:noProof/>
            </w:rPr>
          </w:pPr>
          <w:hyperlink w:history="1" w:anchor="_Toc24963876">
            <w:r w:rsidRPr="000A5160" w:rsidR="00592039">
              <w:rPr>
                <w:rStyle w:val="Hyperlink"/>
                <w:noProof/>
              </w:rPr>
              <w:t>B.</w:t>
            </w:r>
            <w:r w:rsidR="00592039">
              <w:rPr>
                <w:rFonts w:eastAsiaTheme="minorEastAsia"/>
                <w:noProof/>
              </w:rPr>
              <w:tab/>
            </w:r>
            <w:r w:rsidRPr="000A5160" w:rsidR="00592039">
              <w:rPr>
                <w:rStyle w:val="Hyperlink"/>
                <w:noProof/>
              </w:rPr>
              <w:t>Information Requested – Data Items, including record keeping requirements, and Respondent Activities</w:t>
            </w:r>
            <w:r w:rsidR="00592039">
              <w:rPr>
                <w:noProof/>
                <w:webHidden/>
              </w:rPr>
              <w:tab/>
            </w:r>
            <w:r w:rsidR="00592039">
              <w:rPr>
                <w:noProof/>
                <w:webHidden/>
              </w:rPr>
              <w:fldChar w:fldCharType="begin"/>
            </w:r>
            <w:r w:rsidR="00592039">
              <w:rPr>
                <w:noProof/>
                <w:webHidden/>
              </w:rPr>
              <w:instrText xml:space="preserve"> PAGEREF _Toc24963876 \h </w:instrText>
            </w:r>
            <w:r w:rsidR="00592039">
              <w:rPr>
                <w:noProof/>
                <w:webHidden/>
              </w:rPr>
            </w:r>
            <w:r w:rsidR="00592039">
              <w:rPr>
                <w:noProof/>
                <w:webHidden/>
              </w:rPr>
              <w:fldChar w:fldCharType="separate"/>
            </w:r>
            <w:r w:rsidR="00963C61">
              <w:rPr>
                <w:noProof/>
                <w:webHidden/>
              </w:rPr>
              <w:t>5</w:t>
            </w:r>
            <w:r w:rsidR="00592039">
              <w:rPr>
                <w:noProof/>
                <w:webHidden/>
              </w:rPr>
              <w:fldChar w:fldCharType="end"/>
            </w:r>
          </w:hyperlink>
        </w:p>
        <w:p w:rsidR="00592039" w:rsidRDefault="0038321E" w14:paraId="719D50C0" w14:textId="66596959">
          <w:pPr>
            <w:pStyle w:val="TOC1"/>
            <w:tabs>
              <w:tab w:val="left" w:pos="440"/>
              <w:tab w:val="right" w:leader="dot" w:pos="9350"/>
            </w:tabs>
            <w:rPr>
              <w:rFonts w:eastAsiaTheme="minorEastAsia"/>
              <w:noProof/>
            </w:rPr>
          </w:pPr>
          <w:hyperlink w:history="1" w:anchor="_Toc24963877">
            <w:r w:rsidRPr="000A5160" w:rsidR="00592039">
              <w:rPr>
                <w:rStyle w:val="Hyperlink"/>
                <w:noProof/>
              </w:rPr>
              <w:t>V.</w:t>
            </w:r>
            <w:r w:rsidR="00592039">
              <w:rPr>
                <w:rFonts w:eastAsiaTheme="minorEastAsia"/>
                <w:noProof/>
              </w:rPr>
              <w:tab/>
            </w:r>
            <w:r w:rsidRPr="000A5160" w:rsidR="00592039">
              <w:rPr>
                <w:rStyle w:val="Hyperlink"/>
                <w:noProof/>
              </w:rPr>
              <w:t>Agency Activities, Methods, and Information Management</w:t>
            </w:r>
            <w:r w:rsidR="00592039">
              <w:rPr>
                <w:noProof/>
                <w:webHidden/>
              </w:rPr>
              <w:tab/>
            </w:r>
            <w:r w:rsidR="00592039">
              <w:rPr>
                <w:noProof/>
                <w:webHidden/>
              </w:rPr>
              <w:fldChar w:fldCharType="begin"/>
            </w:r>
            <w:r w:rsidR="00592039">
              <w:rPr>
                <w:noProof/>
                <w:webHidden/>
              </w:rPr>
              <w:instrText xml:space="preserve"> PAGEREF _Toc24963877 \h </w:instrText>
            </w:r>
            <w:r w:rsidR="00592039">
              <w:rPr>
                <w:noProof/>
                <w:webHidden/>
              </w:rPr>
            </w:r>
            <w:r w:rsidR="00592039">
              <w:rPr>
                <w:noProof/>
                <w:webHidden/>
              </w:rPr>
              <w:fldChar w:fldCharType="separate"/>
            </w:r>
            <w:r w:rsidR="00963C61">
              <w:rPr>
                <w:noProof/>
                <w:webHidden/>
              </w:rPr>
              <w:t>9</w:t>
            </w:r>
            <w:r w:rsidR="00592039">
              <w:rPr>
                <w:noProof/>
                <w:webHidden/>
              </w:rPr>
              <w:fldChar w:fldCharType="end"/>
            </w:r>
          </w:hyperlink>
        </w:p>
        <w:p w:rsidR="00592039" w:rsidRDefault="0038321E" w14:paraId="3B2FB788" w14:textId="6A9C751C">
          <w:pPr>
            <w:pStyle w:val="TOC2"/>
            <w:tabs>
              <w:tab w:val="left" w:pos="660"/>
              <w:tab w:val="right" w:leader="dot" w:pos="9350"/>
            </w:tabs>
            <w:rPr>
              <w:rFonts w:eastAsiaTheme="minorEastAsia"/>
              <w:noProof/>
            </w:rPr>
          </w:pPr>
          <w:hyperlink w:history="1" w:anchor="_Toc24963878">
            <w:r w:rsidRPr="000A5160" w:rsidR="00592039">
              <w:rPr>
                <w:rStyle w:val="Hyperlink"/>
                <w:noProof/>
              </w:rPr>
              <w:t>A.</w:t>
            </w:r>
            <w:r w:rsidR="00592039">
              <w:rPr>
                <w:rFonts w:eastAsiaTheme="minorEastAsia"/>
                <w:noProof/>
              </w:rPr>
              <w:tab/>
            </w:r>
            <w:r w:rsidRPr="000A5160" w:rsidR="00592039">
              <w:rPr>
                <w:rStyle w:val="Hyperlink"/>
                <w:noProof/>
              </w:rPr>
              <w:t>Agency Activities</w:t>
            </w:r>
            <w:r w:rsidR="00592039">
              <w:rPr>
                <w:noProof/>
                <w:webHidden/>
              </w:rPr>
              <w:tab/>
            </w:r>
            <w:r w:rsidR="00592039">
              <w:rPr>
                <w:noProof/>
                <w:webHidden/>
              </w:rPr>
              <w:fldChar w:fldCharType="begin"/>
            </w:r>
            <w:r w:rsidR="00592039">
              <w:rPr>
                <w:noProof/>
                <w:webHidden/>
              </w:rPr>
              <w:instrText xml:space="preserve"> PAGEREF _Toc24963878 \h </w:instrText>
            </w:r>
            <w:r w:rsidR="00592039">
              <w:rPr>
                <w:noProof/>
                <w:webHidden/>
              </w:rPr>
            </w:r>
            <w:r w:rsidR="00592039">
              <w:rPr>
                <w:noProof/>
                <w:webHidden/>
              </w:rPr>
              <w:fldChar w:fldCharType="separate"/>
            </w:r>
            <w:r w:rsidR="00963C61">
              <w:rPr>
                <w:noProof/>
                <w:webHidden/>
              </w:rPr>
              <w:t>9</w:t>
            </w:r>
            <w:r w:rsidR="00592039">
              <w:rPr>
                <w:noProof/>
                <w:webHidden/>
              </w:rPr>
              <w:fldChar w:fldCharType="end"/>
            </w:r>
          </w:hyperlink>
        </w:p>
        <w:p w:rsidR="00592039" w:rsidRDefault="0038321E" w14:paraId="30A0B7E5" w14:textId="5715FD8B">
          <w:pPr>
            <w:pStyle w:val="TOC2"/>
            <w:tabs>
              <w:tab w:val="left" w:pos="660"/>
              <w:tab w:val="right" w:leader="dot" w:pos="9350"/>
            </w:tabs>
            <w:rPr>
              <w:rFonts w:eastAsiaTheme="minorEastAsia"/>
              <w:noProof/>
            </w:rPr>
          </w:pPr>
          <w:hyperlink w:history="1" w:anchor="_Toc24963879">
            <w:r w:rsidRPr="000A5160" w:rsidR="00592039">
              <w:rPr>
                <w:rStyle w:val="Hyperlink"/>
                <w:noProof/>
              </w:rPr>
              <w:t>B.</w:t>
            </w:r>
            <w:r w:rsidR="00592039">
              <w:rPr>
                <w:rFonts w:eastAsiaTheme="minorEastAsia"/>
                <w:noProof/>
              </w:rPr>
              <w:tab/>
            </w:r>
            <w:r w:rsidRPr="000A5160" w:rsidR="00592039">
              <w:rPr>
                <w:rStyle w:val="Hyperlink"/>
                <w:noProof/>
              </w:rPr>
              <w:t>Collection Methodology and Management</w:t>
            </w:r>
            <w:r w:rsidR="00592039">
              <w:rPr>
                <w:noProof/>
                <w:webHidden/>
              </w:rPr>
              <w:tab/>
            </w:r>
            <w:r w:rsidR="00592039">
              <w:rPr>
                <w:noProof/>
                <w:webHidden/>
              </w:rPr>
              <w:fldChar w:fldCharType="begin"/>
            </w:r>
            <w:r w:rsidR="00592039">
              <w:rPr>
                <w:noProof/>
                <w:webHidden/>
              </w:rPr>
              <w:instrText xml:space="preserve"> PAGEREF _Toc24963879 \h </w:instrText>
            </w:r>
            <w:r w:rsidR="00592039">
              <w:rPr>
                <w:noProof/>
                <w:webHidden/>
              </w:rPr>
            </w:r>
            <w:r w:rsidR="00592039">
              <w:rPr>
                <w:noProof/>
                <w:webHidden/>
              </w:rPr>
              <w:fldChar w:fldCharType="separate"/>
            </w:r>
            <w:r w:rsidR="00963C61">
              <w:rPr>
                <w:noProof/>
                <w:webHidden/>
              </w:rPr>
              <w:t>9</w:t>
            </w:r>
            <w:r w:rsidR="00592039">
              <w:rPr>
                <w:noProof/>
                <w:webHidden/>
              </w:rPr>
              <w:fldChar w:fldCharType="end"/>
            </w:r>
          </w:hyperlink>
        </w:p>
        <w:p w:rsidR="00592039" w:rsidRDefault="0038321E" w14:paraId="20BB9DB7" w14:textId="5263B5CF">
          <w:pPr>
            <w:pStyle w:val="TOC2"/>
            <w:tabs>
              <w:tab w:val="left" w:pos="660"/>
              <w:tab w:val="right" w:leader="dot" w:pos="9350"/>
            </w:tabs>
            <w:rPr>
              <w:rFonts w:eastAsiaTheme="minorEastAsia"/>
              <w:noProof/>
            </w:rPr>
          </w:pPr>
          <w:hyperlink w:history="1" w:anchor="_Toc24963880">
            <w:r w:rsidRPr="000A5160" w:rsidR="00592039">
              <w:rPr>
                <w:rStyle w:val="Hyperlink"/>
                <w:noProof/>
              </w:rPr>
              <w:t>C.</w:t>
            </w:r>
            <w:r w:rsidR="00592039">
              <w:rPr>
                <w:rFonts w:eastAsiaTheme="minorEastAsia"/>
                <w:noProof/>
              </w:rPr>
              <w:tab/>
            </w:r>
            <w:r w:rsidRPr="000A5160" w:rsidR="00592039">
              <w:rPr>
                <w:rStyle w:val="Hyperlink"/>
                <w:noProof/>
              </w:rPr>
              <w:t>Small Entity Flexibility</w:t>
            </w:r>
            <w:r w:rsidR="00592039">
              <w:rPr>
                <w:noProof/>
                <w:webHidden/>
              </w:rPr>
              <w:tab/>
            </w:r>
            <w:r w:rsidR="00592039">
              <w:rPr>
                <w:noProof/>
                <w:webHidden/>
              </w:rPr>
              <w:fldChar w:fldCharType="begin"/>
            </w:r>
            <w:r w:rsidR="00592039">
              <w:rPr>
                <w:noProof/>
                <w:webHidden/>
              </w:rPr>
              <w:instrText xml:space="preserve"> PAGEREF _Toc24963880 \h </w:instrText>
            </w:r>
            <w:r w:rsidR="00592039">
              <w:rPr>
                <w:noProof/>
                <w:webHidden/>
              </w:rPr>
            </w:r>
            <w:r w:rsidR="00592039">
              <w:rPr>
                <w:noProof/>
                <w:webHidden/>
              </w:rPr>
              <w:fldChar w:fldCharType="separate"/>
            </w:r>
            <w:r w:rsidR="00963C61">
              <w:rPr>
                <w:noProof/>
                <w:webHidden/>
              </w:rPr>
              <w:t>10</w:t>
            </w:r>
            <w:r w:rsidR="00592039">
              <w:rPr>
                <w:noProof/>
                <w:webHidden/>
              </w:rPr>
              <w:fldChar w:fldCharType="end"/>
            </w:r>
          </w:hyperlink>
        </w:p>
        <w:p w:rsidR="00592039" w:rsidRDefault="0038321E" w14:paraId="589E40EF" w14:textId="1483E824">
          <w:pPr>
            <w:pStyle w:val="TOC2"/>
            <w:tabs>
              <w:tab w:val="left" w:pos="660"/>
              <w:tab w:val="right" w:leader="dot" w:pos="9350"/>
            </w:tabs>
            <w:rPr>
              <w:rFonts w:eastAsiaTheme="minorEastAsia"/>
              <w:noProof/>
            </w:rPr>
          </w:pPr>
          <w:hyperlink w:history="1" w:anchor="_Toc24963881">
            <w:r w:rsidRPr="000A5160" w:rsidR="00592039">
              <w:rPr>
                <w:rStyle w:val="Hyperlink"/>
                <w:noProof/>
              </w:rPr>
              <w:t>D.</w:t>
            </w:r>
            <w:r w:rsidR="00592039">
              <w:rPr>
                <w:rFonts w:eastAsiaTheme="minorEastAsia"/>
                <w:noProof/>
              </w:rPr>
              <w:tab/>
            </w:r>
            <w:r w:rsidRPr="000A5160" w:rsidR="00592039">
              <w:rPr>
                <w:rStyle w:val="Hyperlink"/>
                <w:noProof/>
              </w:rPr>
              <w:t>Collection Schedule</w:t>
            </w:r>
            <w:r w:rsidR="00592039">
              <w:rPr>
                <w:noProof/>
                <w:webHidden/>
              </w:rPr>
              <w:tab/>
            </w:r>
            <w:r w:rsidR="00592039">
              <w:rPr>
                <w:noProof/>
                <w:webHidden/>
              </w:rPr>
              <w:fldChar w:fldCharType="begin"/>
            </w:r>
            <w:r w:rsidR="00592039">
              <w:rPr>
                <w:noProof/>
                <w:webHidden/>
              </w:rPr>
              <w:instrText xml:space="preserve"> PAGEREF _Toc24963881 \h </w:instrText>
            </w:r>
            <w:r w:rsidR="00592039">
              <w:rPr>
                <w:noProof/>
                <w:webHidden/>
              </w:rPr>
            </w:r>
            <w:r w:rsidR="00592039">
              <w:rPr>
                <w:noProof/>
                <w:webHidden/>
              </w:rPr>
              <w:fldChar w:fldCharType="separate"/>
            </w:r>
            <w:r w:rsidR="00963C61">
              <w:rPr>
                <w:noProof/>
                <w:webHidden/>
              </w:rPr>
              <w:t>10</w:t>
            </w:r>
            <w:r w:rsidR="00592039">
              <w:rPr>
                <w:noProof/>
                <w:webHidden/>
              </w:rPr>
              <w:fldChar w:fldCharType="end"/>
            </w:r>
          </w:hyperlink>
        </w:p>
        <w:p w:rsidR="00592039" w:rsidRDefault="0038321E" w14:paraId="4A2DE74B" w14:textId="0B45E45C">
          <w:pPr>
            <w:pStyle w:val="TOC1"/>
            <w:tabs>
              <w:tab w:val="left" w:pos="660"/>
              <w:tab w:val="right" w:leader="dot" w:pos="9350"/>
            </w:tabs>
            <w:rPr>
              <w:rFonts w:eastAsiaTheme="minorEastAsia"/>
              <w:noProof/>
            </w:rPr>
          </w:pPr>
          <w:hyperlink w:history="1" w:anchor="_Toc24963882">
            <w:r w:rsidRPr="000A5160" w:rsidR="00592039">
              <w:rPr>
                <w:rStyle w:val="Hyperlink"/>
                <w:noProof/>
              </w:rPr>
              <w:t>VI.</w:t>
            </w:r>
            <w:r w:rsidR="00592039">
              <w:rPr>
                <w:rFonts w:eastAsiaTheme="minorEastAsia"/>
                <w:noProof/>
              </w:rPr>
              <w:tab/>
            </w:r>
            <w:r w:rsidRPr="000A5160" w:rsidR="00592039">
              <w:rPr>
                <w:rStyle w:val="Hyperlink"/>
                <w:noProof/>
              </w:rPr>
              <w:t>Estimating Burden and Cost</w:t>
            </w:r>
            <w:r w:rsidR="00592039">
              <w:rPr>
                <w:noProof/>
                <w:webHidden/>
              </w:rPr>
              <w:tab/>
            </w:r>
            <w:r w:rsidR="00592039">
              <w:rPr>
                <w:noProof/>
                <w:webHidden/>
              </w:rPr>
              <w:fldChar w:fldCharType="begin"/>
            </w:r>
            <w:r w:rsidR="00592039">
              <w:rPr>
                <w:noProof/>
                <w:webHidden/>
              </w:rPr>
              <w:instrText xml:space="preserve"> PAGEREF _Toc24963882 \h </w:instrText>
            </w:r>
            <w:r w:rsidR="00592039">
              <w:rPr>
                <w:noProof/>
                <w:webHidden/>
              </w:rPr>
            </w:r>
            <w:r w:rsidR="00592039">
              <w:rPr>
                <w:noProof/>
                <w:webHidden/>
              </w:rPr>
              <w:fldChar w:fldCharType="separate"/>
            </w:r>
            <w:r w:rsidR="00963C61">
              <w:rPr>
                <w:noProof/>
                <w:webHidden/>
              </w:rPr>
              <w:t>13</w:t>
            </w:r>
            <w:r w:rsidR="00592039">
              <w:rPr>
                <w:noProof/>
                <w:webHidden/>
              </w:rPr>
              <w:fldChar w:fldCharType="end"/>
            </w:r>
          </w:hyperlink>
        </w:p>
        <w:p w:rsidR="00592039" w:rsidRDefault="0038321E" w14:paraId="5E0EF33F" w14:textId="6C247458">
          <w:pPr>
            <w:pStyle w:val="TOC2"/>
            <w:tabs>
              <w:tab w:val="left" w:pos="660"/>
              <w:tab w:val="right" w:leader="dot" w:pos="9350"/>
            </w:tabs>
            <w:rPr>
              <w:rFonts w:eastAsiaTheme="minorEastAsia"/>
              <w:noProof/>
            </w:rPr>
          </w:pPr>
          <w:hyperlink w:history="1" w:anchor="_Toc24963883">
            <w:r w:rsidRPr="000A5160" w:rsidR="00592039">
              <w:rPr>
                <w:rStyle w:val="Hyperlink"/>
                <w:noProof/>
              </w:rPr>
              <w:t>A.</w:t>
            </w:r>
            <w:r w:rsidR="00592039">
              <w:rPr>
                <w:rFonts w:eastAsiaTheme="minorEastAsia"/>
                <w:noProof/>
              </w:rPr>
              <w:tab/>
            </w:r>
            <w:r w:rsidRPr="000A5160" w:rsidR="00592039">
              <w:rPr>
                <w:rStyle w:val="Hyperlink"/>
                <w:noProof/>
              </w:rPr>
              <w:t>Estimating Respondent Burden</w:t>
            </w:r>
            <w:r w:rsidR="00592039">
              <w:rPr>
                <w:noProof/>
                <w:webHidden/>
              </w:rPr>
              <w:tab/>
            </w:r>
            <w:r w:rsidR="00592039">
              <w:rPr>
                <w:noProof/>
                <w:webHidden/>
              </w:rPr>
              <w:fldChar w:fldCharType="begin"/>
            </w:r>
            <w:r w:rsidR="00592039">
              <w:rPr>
                <w:noProof/>
                <w:webHidden/>
              </w:rPr>
              <w:instrText xml:space="preserve"> PAGEREF _Toc24963883 \h </w:instrText>
            </w:r>
            <w:r w:rsidR="00592039">
              <w:rPr>
                <w:noProof/>
                <w:webHidden/>
              </w:rPr>
            </w:r>
            <w:r w:rsidR="00592039">
              <w:rPr>
                <w:noProof/>
                <w:webHidden/>
              </w:rPr>
              <w:fldChar w:fldCharType="separate"/>
            </w:r>
            <w:r w:rsidR="00963C61">
              <w:rPr>
                <w:noProof/>
                <w:webHidden/>
              </w:rPr>
              <w:t>13</w:t>
            </w:r>
            <w:r w:rsidR="00592039">
              <w:rPr>
                <w:noProof/>
                <w:webHidden/>
              </w:rPr>
              <w:fldChar w:fldCharType="end"/>
            </w:r>
          </w:hyperlink>
        </w:p>
        <w:p w:rsidR="00592039" w:rsidRDefault="0038321E" w14:paraId="7E96B144" w14:textId="1B5BDC7F">
          <w:pPr>
            <w:pStyle w:val="TOC2"/>
            <w:tabs>
              <w:tab w:val="left" w:pos="660"/>
              <w:tab w:val="right" w:leader="dot" w:pos="9350"/>
            </w:tabs>
            <w:rPr>
              <w:rFonts w:eastAsiaTheme="minorEastAsia"/>
              <w:noProof/>
            </w:rPr>
          </w:pPr>
          <w:hyperlink w:history="1" w:anchor="_Toc24963884">
            <w:r w:rsidRPr="000A5160" w:rsidR="00592039">
              <w:rPr>
                <w:rStyle w:val="Hyperlink"/>
                <w:noProof/>
              </w:rPr>
              <w:t>B.</w:t>
            </w:r>
            <w:r w:rsidR="00592039">
              <w:rPr>
                <w:rFonts w:eastAsiaTheme="minorEastAsia"/>
                <w:noProof/>
              </w:rPr>
              <w:tab/>
            </w:r>
            <w:r w:rsidRPr="000A5160" w:rsidR="00592039">
              <w:rPr>
                <w:rStyle w:val="Hyperlink"/>
                <w:noProof/>
              </w:rPr>
              <w:t>Estimating Respondent Costs</w:t>
            </w:r>
            <w:r w:rsidR="00592039">
              <w:rPr>
                <w:noProof/>
                <w:webHidden/>
              </w:rPr>
              <w:tab/>
            </w:r>
            <w:r w:rsidR="00592039">
              <w:rPr>
                <w:noProof/>
                <w:webHidden/>
              </w:rPr>
              <w:fldChar w:fldCharType="begin"/>
            </w:r>
            <w:r w:rsidR="00592039">
              <w:rPr>
                <w:noProof/>
                <w:webHidden/>
              </w:rPr>
              <w:instrText xml:space="preserve"> PAGEREF _Toc24963884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761B87CB" w14:textId="4E916D36">
          <w:pPr>
            <w:pStyle w:val="TOC3"/>
            <w:tabs>
              <w:tab w:val="left" w:pos="880"/>
              <w:tab w:val="right" w:leader="dot" w:pos="9350"/>
            </w:tabs>
            <w:rPr>
              <w:rFonts w:eastAsiaTheme="minorEastAsia"/>
              <w:noProof/>
            </w:rPr>
          </w:pPr>
          <w:hyperlink w:history="1" w:anchor="_Toc24963885">
            <w:r w:rsidRPr="000A5160" w:rsidR="00592039">
              <w:rPr>
                <w:rStyle w:val="Hyperlink"/>
                <w:noProof/>
              </w:rPr>
              <w:t>1.</w:t>
            </w:r>
            <w:r w:rsidR="00592039">
              <w:rPr>
                <w:rFonts w:eastAsiaTheme="minorEastAsia"/>
                <w:noProof/>
              </w:rPr>
              <w:tab/>
            </w:r>
            <w:r w:rsidRPr="000A5160" w:rsidR="00592039">
              <w:rPr>
                <w:rStyle w:val="Hyperlink"/>
                <w:noProof/>
              </w:rPr>
              <w:t>Estimating Labor Costs</w:t>
            </w:r>
            <w:r w:rsidR="00592039">
              <w:rPr>
                <w:noProof/>
                <w:webHidden/>
              </w:rPr>
              <w:tab/>
            </w:r>
            <w:r w:rsidR="00592039">
              <w:rPr>
                <w:noProof/>
                <w:webHidden/>
              </w:rPr>
              <w:fldChar w:fldCharType="begin"/>
            </w:r>
            <w:r w:rsidR="00592039">
              <w:rPr>
                <w:noProof/>
                <w:webHidden/>
              </w:rPr>
              <w:instrText xml:space="preserve"> PAGEREF _Toc24963885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19356DF6" w14:textId="0BE49000">
          <w:pPr>
            <w:pStyle w:val="TOC3"/>
            <w:tabs>
              <w:tab w:val="left" w:pos="880"/>
              <w:tab w:val="right" w:leader="dot" w:pos="9350"/>
            </w:tabs>
            <w:rPr>
              <w:rFonts w:eastAsiaTheme="minorEastAsia"/>
              <w:noProof/>
            </w:rPr>
          </w:pPr>
          <w:hyperlink w:history="1" w:anchor="_Toc24963886">
            <w:r w:rsidRPr="000A5160" w:rsidR="00592039">
              <w:rPr>
                <w:rStyle w:val="Hyperlink"/>
                <w:noProof/>
              </w:rPr>
              <w:t>2.</w:t>
            </w:r>
            <w:r w:rsidR="00592039">
              <w:rPr>
                <w:rFonts w:eastAsiaTheme="minorEastAsia"/>
                <w:noProof/>
              </w:rPr>
              <w:tab/>
            </w:r>
            <w:r w:rsidRPr="000A5160" w:rsidR="00592039">
              <w:rPr>
                <w:rStyle w:val="Hyperlink"/>
                <w:noProof/>
              </w:rPr>
              <w:t>Estimating Capital and Operations and Maintenance Costs</w:t>
            </w:r>
            <w:r w:rsidR="00592039">
              <w:rPr>
                <w:noProof/>
                <w:webHidden/>
              </w:rPr>
              <w:tab/>
            </w:r>
            <w:r w:rsidR="00592039">
              <w:rPr>
                <w:noProof/>
                <w:webHidden/>
              </w:rPr>
              <w:fldChar w:fldCharType="begin"/>
            </w:r>
            <w:r w:rsidR="00592039">
              <w:rPr>
                <w:noProof/>
                <w:webHidden/>
              </w:rPr>
              <w:instrText xml:space="preserve"> PAGEREF _Toc24963886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31C8298B" w14:textId="3B323DBA">
          <w:pPr>
            <w:pStyle w:val="TOC3"/>
            <w:tabs>
              <w:tab w:val="left" w:pos="880"/>
              <w:tab w:val="right" w:leader="dot" w:pos="9350"/>
            </w:tabs>
            <w:rPr>
              <w:rFonts w:eastAsiaTheme="minorEastAsia"/>
              <w:noProof/>
            </w:rPr>
          </w:pPr>
          <w:hyperlink w:history="1" w:anchor="_Toc24963887">
            <w:r w:rsidRPr="000A5160" w:rsidR="00592039">
              <w:rPr>
                <w:rStyle w:val="Hyperlink"/>
                <w:noProof/>
              </w:rPr>
              <w:t>3.</w:t>
            </w:r>
            <w:r w:rsidR="00592039">
              <w:rPr>
                <w:rFonts w:eastAsiaTheme="minorEastAsia"/>
                <w:noProof/>
              </w:rPr>
              <w:tab/>
            </w:r>
            <w:r w:rsidRPr="000A5160" w:rsidR="00592039">
              <w:rPr>
                <w:rStyle w:val="Hyperlink"/>
                <w:noProof/>
              </w:rPr>
              <w:t>Capital/Start-up Operating and Maintenance (O&amp;M) Costs</w:t>
            </w:r>
            <w:r w:rsidR="00592039">
              <w:rPr>
                <w:noProof/>
                <w:webHidden/>
              </w:rPr>
              <w:tab/>
            </w:r>
            <w:r w:rsidR="00592039">
              <w:rPr>
                <w:noProof/>
                <w:webHidden/>
              </w:rPr>
              <w:fldChar w:fldCharType="begin"/>
            </w:r>
            <w:r w:rsidR="00592039">
              <w:rPr>
                <w:noProof/>
                <w:webHidden/>
              </w:rPr>
              <w:instrText xml:space="preserve"> PAGEREF _Toc24963887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66EE95A8" w14:textId="0F8B2D96">
          <w:pPr>
            <w:pStyle w:val="TOC3"/>
            <w:tabs>
              <w:tab w:val="left" w:pos="880"/>
              <w:tab w:val="right" w:leader="dot" w:pos="9350"/>
            </w:tabs>
            <w:rPr>
              <w:rFonts w:eastAsiaTheme="minorEastAsia"/>
              <w:noProof/>
            </w:rPr>
          </w:pPr>
          <w:hyperlink w:history="1" w:anchor="_Toc24963888">
            <w:r w:rsidRPr="000A5160" w:rsidR="00592039">
              <w:rPr>
                <w:rStyle w:val="Hyperlink"/>
                <w:noProof/>
              </w:rPr>
              <w:t>4.</w:t>
            </w:r>
            <w:r w:rsidR="00592039">
              <w:rPr>
                <w:rFonts w:eastAsiaTheme="minorEastAsia"/>
                <w:noProof/>
              </w:rPr>
              <w:tab/>
            </w:r>
            <w:r w:rsidRPr="000A5160" w:rsidR="00592039">
              <w:rPr>
                <w:rStyle w:val="Hyperlink"/>
                <w:noProof/>
              </w:rPr>
              <w:t>Annualizing Capital Costs</w:t>
            </w:r>
            <w:r w:rsidR="00592039">
              <w:rPr>
                <w:noProof/>
                <w:webHidden/>
              </w:rPr>
              <w:tab/>
            </w:r>
            <w:r w:rsidR="00592039">
              <w:rPr>
                <w:noProof/>
                <w:webHidden/>
              </w:rPr>
              <w:fldChar w:fldCharType="begin"/>
            </w:r>
            <w:r w:rsidR="00592039">
              <w:rPr>
                <w:noProof/>
                <w:webHidden/>
              </w:rPr>
              <w:instrText xml:space="preserve"> PAGEREF _Toc24963888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69F037E7" w14:textId="750B34DF">
          <w:pPr>
            <w:pStyle w:val="TOC2"/>
            <w:tabs>
              <w:tab w:val="left" w:pos="660"/>
              <w:tab w:val="right" w:leader="dot" w:pos="9350"/>
            </w:tabs>
            <w:rPr>
              <w:rFonts w:eastAsiaTheme="minorEastAsia"/>
              <w:noProof/>
            </w:rPr>
          </w:pPr>
          <w:hyperlink w:history="1" w:anchor="_Toc24963889">
            <w:r w:rsidRPr="000A5160" w:rsidR="00592039">
              <w:rPr>
                <w:rStyle w:val="Hyperlink"/>
                <w:noProof/>
              </w:rPr>
              <w:t>C.</w:t>
            </w:r>
            <w:r w:rsidR="00592039">
              <w:rPr>
                <w:rFonts w:eastAsiaTheme="minorEastAsia"/>
                <w:noProof/>
              </w:rPr>
              <w:tab/>
            </w:r>
            <w:r w:rsidRPr="000A5160" w:rsidR="00592039">
              <w:rPr>
                <w:rStyle w:val="Hyperlink"/>
                <w:noProof/>
              </w:rPr>
              <w:t>Estimating Agency Burden and Cost</w:t>
            </w:r>
            <w:r w:rsidR="00592039">
              <w:rPr>
                <w:noProof/>
                <w:webHidden/>
              </w:rPr>
              <w:tab/>
            </w:r>
            <w:r w:rsidR="00592039">
              <w:rPr>
                <w:noProof/>
                <w:webHidden/>
              </w:rPr>
              <w:fldChar w:fldCharType="begin"/>
            </w:r>
            <w:r w:rsidR="00592039">
              <w:rPr>
                <w:noProof/>
                <w:webHidden/>
              </w:rPr>
              <w:instrText xml:space="preserve"> PAGEREF _Toc24963889 \h </w:instrText>
            </w:r>
            <w:r w:rsidR="00592039">
              <w:rPr>
                <w:noProof/>
                <w:webHidden/>
              </w:rPr>
            </w:r>
            <w:r w:rsidR="00592039">
              <w:rPr>
                <w:noProof/>
                <w:webHidden/>
              </w:rPr>
              <w:fldChar w:fldCharType="separate"/>
            </w:r>
            <w:r w:rsidR="00963C61">
              <w:rPr>
                <w:noProof/>
                <w:webHidden/>
              </w:rPr>
              <w:t>22</w:t>
            </w:r>
            <w:r w:rsidR="00592039">
              <w:rPr>
                <w:noProof/>
                <w:webHidden/>
              </w:rPr>
              <w:fldChar w:fldCharType="end"/>
            </w:r>
          </w:hyperlink>
        </w:p>
        <w:p w:rsidR="00592039" w:rsidRDefault="0038321E" w14:paraId="3F9D8C02" w14:textId="0770F126">
          <w:pPr>
            <w:pStyle w:val="TOC2"/>
            <w:tabs>
              <w:tab w:val="left" w:pos="660"/>
              <w:tab w:val="right" w:leader="dot" w:pos="9350"/>
            </w:tabs>
            <w:rPr>
              <w:rFonts w:eastAsiaTheme="minorEastAsia"/>
              <w:noProof/>
            </w:rPr>
          </w:pPr>
          <w:hyperlink w:history="1" w:anchor="_Toc24963890">
            <w:r w:rsidRPr="000A5160" w:rsidR="00592039">
              <w:rPr>
                <w:rStyle w:val="Hyperlink"/>
                <w:noProof/>
              </w:rPr>
              <w:t>D.</w:t>
            </w:r>
            <w:r w:rsidR="00592039">
              <w:rPr>
                <w:rFonts w:eastAsiaTheme="minorEastAsia"/>
                <w:noProof/>
              </w:rPr>
              <w:tab/>
            </w:r>
            <w:r w:rsidRPr="000A5160" w:rsidR="00592039">
              <w:rPr>
                <w:rStyle w:val="Hyperlink"/>
                <w:noProof/>
              </w:rPr>
              <w:t>Estimating the Respondent Universe and Total Burden and Costs</w:t>
            </w:r>
            <w:r w:rsidR="00592039">
              <w:rPr>
                <w:noProof/>
                <w:webHidden/>
              </w:rPr>
              <w:tab/>
            </w:r>
            <w:r w:rsidR="00592039">
              <w:rPr>
                <w:noProof/>
                <w:webHidden/>
              </w:rPr>
              <w:fldChar w:fldCharType="begin"/>
            </w:r>
            <w:r w:rsidR="00592039">
              <w:rPr>
                <w:noProof/>
                <w:webHidden/>
              </w:rPr>
              <w:instrText xml:space="preserve"> PAGEREF _Toc24963890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1A110291" w14:textId="4C37A732">
          <w:pPr>
            <w:pStyle w:val="TOC2"/>
            <w:tabs>
              <w:tab w:val="left" w:pos="660"/>
              <w:tab w:val="right" w:leader="dot" w:pos="9350"/>
            </w:tabs>
            <w:rPr>
              <w:rFonts w:eastAsiaTheme="minorEastAsia"/>
              <w:noProof/>
            </w:rPr>
          </w:pPr>
          <w:hyperlink w:history="1" w:anchor="_Toc24963891">
            <w:r w:rsidRPr="000A5160" w:rsidR="00592039">
              <w:rPr>
                <w:rStyle w:val="Hyperlink"/>
                <w:noProof/>
              </w:rPr>
              <w:t>E.</w:t>
            </w:r>
            <w:r w:rsidR="00592039">
              <w:rPr>
                <w:rFonts w:eastAsiaTheme="minorEastAsia"/>
                <w:noProof/>
              </w:rPr>
              <w:tab/>
            </w:r>
            <w:r w:rsidRPr="000A5160" w:rsidR="00592039">
              <w:rPr>
                <w:rStyle w:val="Hyperlink"/>
                <w:noProof/>
              </w:rPr>
              <w:t>Bottom Line Burden Hours and Cost Tables</w:t>
            </w:r>
            <w:r w:rsidR="00592039">
              <w:rPr>
                <w:noProof/>
                <w:webHidden/>
              </w:rPr>
              <w:tab/>
            </w:r>
            <w:r w:rsidR="00592039">
              <w:rPr>
                <w:noProof/>
                <w:webHidden/>
              </w:rPr>
              <w:fldChar w:fldCharType="begin"/>
            </w:r>
            <w:r w:rsidR="00592039">
              <w:rPr>
                <w:noProof/>
                <w:webHidden/>
              </w:rPr>
              <w:instrText xml:space="preserve"> PAGEREF _Toc24963891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199C465A" w14:textId="389B8F86">
          <w:pPr>
            <w:pStyle w:val="TOC3"/>
            <w:tabs>
              <w:tab w:val="left" w:pos="880"/>
              <w:tab w:val="right" w:leader="dot" w:pos="9350"/>
            </w:tabs>
            <w:rPr>
              <w:rFonts w:eastAsiaTheme="minorEastAsia"/>
              <w:noProof/>
            </w:rPr>
          </w:pPr>
          <w:hyperlink w:history="1" w:anchor="_Toc24963892">
            <w:r w:rsidRPr="000A5160" w:rsidR="00592039">
              <w:rPr>
                <w:rStyle w:val="Hyperlink"/>
                <w:noProof/>
              </w:rPr>
              <w:t>1.</w:t>
            </w:r>
            <w:r w:rsidR="00592039">
              <w:rPr>
                <w:rFonts w:eastAsiaTheme="minorEastAsia"/>
                <w:noProof/>
              </w:rPr>
              <w:tab/>
            </w:r>
            <w:r w:rsidRPr="000A5160" w:rsidR="00592039">
              <w:rPr>
                <w:rStyle w:val="Hyperlink"/>
                <w:noProof/>
              </w:rPr>
              <w:t>Respondent Tally</w:t>
            </w:r>
            <w:r w:rsidR="00592039">
              <w:rPr>
                <w:noProof/>
                <w:webHidden/>
              </w:rPr>
              <w:tab/>
            </w:r>
            <w:r w:rsidR="00592039">
              <w:rPr>
                <w:noProof/>
                <w:webHidden/>
              </w:rPr>
              <w:fldChar w:fldCharType="begin"/>
            </w:r>
            <w:r w:rsidR="00592039">
              <w:rPr>
                <w:noProof/>
                <w:webHidden/>
              </w:rPr>
              <w:instrText xml:space="preserve"> PAGEREF _Toc24963892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1B439DB9" w14:textId="41F67B8C">
          <w:pPr>
            <w:pStyle w:val="TOC3"/>
            <w:tabs>
              <w:tab w:val="left" w:pos="880"/>
              <w:tab w:val="right" w:leader="dot" w:pos="9350"/>
            </w:tabs>
            <w:rPr>
              <w:rFonts w:eastAsiaTheme="minorEastAsia"/>
              <w:noProof/>
            </w:rPr>
          </w:pPr>
          <w:hyperlink w:history="1" w:anchor="_Toc24963893">
            <w:r w:rsidRPr="000A5160" w:rsidR="00592039">
              <w:rPr>
                <w:rStyle w:val="Hyperlink"/>
                <w:noProof/>
              </w:rPr>
              <w:t>2.</w:t>
            </w:r>
            <w:r w:rsidR="00592039">
              <w:rPr>
                <w:rFonts w:eastAsiaTheme="minorEastAsia"/>
                <w:noProof/>
              </w:rPr>
              <w:tab/>
            </w:r>
            <w:r w:rsidRPr="000A5160" w:rsidR="00592039">
              <w:rPr>
                <w:rStyle w:val="Hyperlink"/>
                <w:noProof/>
              </w:rPr>
              <w:t>The Agency Tally</w:t>
            </w:r>
            <w:r w:rsidR="00592039">
              <w:rPr>
                <w:noProof/>
                <w:webHidden/>
              </w:rPr>
              <w:tab/>
            </w:r>
            <w:r w:rsidR="00592039">
              <w:rPr>
                <w:noProof/>
                <w:webHidden/>
              </w:rPr>
              <w:fldChar w:fldCharType="begin"/>
            </w:r>
            <w:r w:rsidR="00592039">
              <w:rPr>
                <w:noProof/>
                <w:webHidden/>
              </w:rPr>
              <w:instrText xml:space="preserve"> PAGEREF _Toc24963893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0C069070" w14:textId="170C239D">
          <w:pPr>
            <w:pStyle w:val="TOC2"/>
            <w:tabs>
              <w:tab w:val="left" w:pos="660"/>
              <w:tab w:val="right" w:leader="dot" w:pos="9350"/>
            </w:tabs>
            <w:rPr>
              <w:rFonts w:eastAsiaTheme="minorEastAsia"/>
              <w:noProof/>
            </w:rPr>
          </w:pPr>
          <w:hyperlink w:history="1" w:anchor="_Toc24963894">
            <w:r w:rsidRPr="000A5160" w:rsidR="00592039">
              <w:rPr>
                <w:rStyle w:val="Hyperlink"/>
                <w:noProof/>
              </w:rPr>
              <w:t>F.</w:t>
            </w:r>
            <w:r w:rsidR="00592039">
              <w:rPr>
                <w:rFonts w:eastAsiaTheme="minorEastAsia"/>
                <w:noProof/>
              </w:rPr>
              <w:tab/>
            </w:r>
            <w:r w:rsidRPr="000A5160" w:rsidR="00592039">
              <w:rPr>
                <w:rStyle w:val="Hyperlink"/>
                <w:noProof/>
              </w:rPr>
              <w:t>Reasons for Change in Burden</w:t>
            </w:r>
            <w:r w:rsidR="00592039">
              <w:rPr>
                <w:noProof/>
                <w:webHidden/>
              </w:rPr>
              <w:tab/>
            </w:r>
            <w:r w:rsidR="00592039">
              <w:rPr>
                <w:noProof/>
                <w:webHidden/>
              </w:rPr>
              <w:fldChar w:fldCharType="begin"/>
            </w:r>
            <w:r w:rsidR="00592039">
              <w:rPr>
                <w:noProof/>
                <w:webHidden/>
              </w:rPr>
              <w:instrText xml:space="preserve"> PAGEREF _Toc24963894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592039" w:rsidRDefault="0038321E" w14:paraId="72DFBE13" w14:textId="0EE8C003">
          <w:pPr>
            <w:pStyle w:val="TOC2"/>
            <w:tabs>
              <w:tab w:val="left" w:pos="660"/>
              <w:tab w:val="right" w:leader="dot" w:pos="9350"/>
            </w:tabs>
            <w:rPr>
              <w:rFonts w:eastAsiaTheme="minorEastAsia"/>
              <w:noProof/>
            </w:rPr>
          </w:pPr>
          <w:hyperlink w:history="1" w:anchor="_Toc24963895">
            <w:r w:rsidRPr="000A5160" w:rsidR="00592039">
              <w:rPr>
                <w:rStyle w:val="Hyperlink"/>
                <w:noProof/>
              </w:rPr>
              <w:t>G.</w:t>
            </w:r>
            <w:r w:rsidR="00592039">
              <w:rPr>
                <w:rFonts w:eastAsiaTheme="minorEastAsia"/>
                <w:noProof/>
              </w:rPr>
              <w:tab/>
            </w:r>
            <w:r w:rsidRPr="000A5160" w:rsidR="00592039">
              <w:rPr>
                <w:rStyle w:val="Hyperlink"/>
                <w:noProof/>
              </w:rPr>
              <w:t>Burden Statement</w:t>
            </w:r>
            <w:r w:rsidR="00592039">
              <w:rPr>
                <w:noProof/>
                <w:webHidden/>
              </w:rPr>
              <w:tab/>
            </w:r>
            <w:r w:rsidR="00592039">
              <w:rPr>
                <w:noProof/>
                <w:webHidden/>
              </w:rPr>
              <w:fldChar w:fldCharType="begin"/>
            </w:r>
            <w:r w:rsidR="00592039">
              <w:rPr>
                <w:noProof/>
                <w:webHidden/>
              </w:rPr>
              <w:instrText xml:space="preserve"> PAGEREF _Toc24963895 \h </w:instrText>
            </w:r>
            <w:r w:rsidR="00592039">
              <w:rPr>
                <w:noProof/>
                <w:webHidden/>
              </w:rPr>
            </w:r>
            <w:r w:rsidR="00592039">
              <w:rPr>
                <w:noProof/>
                <w:webHidden/>
              </w:rPr>
              <w:fldChar w:fldCharType="separate"/>
            </w:r>
            <w:r w:rsidR="00963C61">
              <w:rPr>
                <w:noProof/>
                <w:webHidden/>
              </w:rPr>
              <w:t>1</w:t>
            </w:r>
            <w:r w:rsidR="00592039">
              <w:rPr>
                <w:noProof/>
                <w:webHidden/>
              </w:rPr>
              <w:fldChar w:fldCharType="end"/>
            </w:r>
          </w:hyperlink>
        </w:p>
        <w:p w:rsidR="00F32E94" w:rsidP="00D37535" w:rsidRDefault="00F32E94" w14:paraId="6CDCAD29" w14:textId="4CE49E14">
          <w:pPr>
            <w:spacing w:after="100" w:afterAutospacing="1"/>
            <w:contextualSpacing/>
          </w:pPr>
          <w:r>
            <w:rPr>
              <w:b/>
              <w:bCs/>
              <w:noProof/>
            </w:rPr>
            <w:fldChar w:fldCharType="end"/>
          </w:r>
        </w:p>
      </w:sdtContent>
    </w:sdt>
    <w:p w:rsidR="00264ABD" w:rsidP="00D37535" w:rsidRDefault="00264ABD" w14:paraId="6E290FDA" w14:textId="77777777">
      <w:pPr>
        <w:spacing w:after="100" w:afterAutospacing="1" w:line="240" w:lineRule="auto"/>
        <w:contextualSpacing/>
        <w:rPr>
          <w:rFonts w:ascii="Calibri" w:hAnsi="Calibri" w:cs="Calibri"/>
          <w:b/>
        </w:rPr>
      </w:pPr>
      <w:r>
        <w:rPr>
          <w:rFonts w:ascii="Calibri" w:hAnsi="Calibri" w:cs="Calibri"/>
          <w:b/>
        </w:rPr>
        <w:br w:type="page"/>
      </w:r>
    </w:p>
    <w:p w:rsidR="00236EE8" w:rsidP="00D37535" w:rsidRDefault="00236EE8" w14:paraId="5BA687D8" w14:textId="77777777">
      <w:pPr>
        <w:spacing w:after="100" w:afterAutospacing="1" w:line="240" w:lineRule="auto"/>
        <w:contextualSpacing/>
        <w:rPr>
          <w:rFonts w:ascii="Calibri" w:hAnsi="Calibri" w:cs="Calibri"/>
          <w:b/>
        </w:rPr>
        <w:sectPr w:rsidR="00236EE8">
          <w:headerReference w:type="default" r:id="rId12"/>
          <w:footerReference w:type="default" r:id="rId13"/>
          <w:pgSz w:w="12240" w:h="15840"/>
          <w:pgMar w:top="1440" w:right="1440" w:bottom="1440" w:left="1440" w:header="720" w:footer="720" w:gutter="0"/>
          <w:cols w:space="720"/>
          <w:docGrid w:linePitch="360"/>
        </w:sectPr>
      </w:pPr>
    </w:p>
    <w:p w:rsidRPr="001E010D" w:rsidR="00E141D4" w:rsidP="00D37535" w:rsidRDefault="00E141D4" w14:paraId="4B048CA2" w14:textId="74257280">
      <w:pPr>
        <w:spacing w:after="100" w:afterAutospacing="1" w:line="240" w:lineRule="auto"/>
        <w:contextualSpacing/>
        <w:rPr>
          <w:rFonts w:ascii="Calibri" w:hAnsi="Calibri" w:cs="Calibri"/>
          <w:b/>
        </w:rPr>
      </w:pPr>
      <w:r w:rsidRPr="001E010D">
        <w:rPr>
          <w:rFonts w:ascii="Calibri" w:hAnsi="Calibri" w:cs="Calibri"/>
          <w:b/>
        </w:rPr>
        <w:lastRenderedPageBreak/>
        <w:t>Part A</w:t>
      </w:r>
    </w:p>
    <w:p w:rsidRPr="001E010D" w:rsidR="00E141D4" w:rsidP="00D37535" w:rsidRDefault="00E141D4" w14:paraId="0893FECB" w14:textId="77777777">
      <w:pPr>
        <w:pStyle w:val="Heading1"/>
        <w:spacing w:before="0" w:after="100" w:afterAutospacing="1" w:line="240" w:lineRule="auto"/>
        <w:contextualSpacing/>
      </w:pPr>
      <w:bookmarkStart w:name="_Toc24963860" w:id="0"/>
      <w:r w:rsidRPr="001E010D">
        <w:t>Identification</w:t>
      </w:r>
      <w:bookmarkEnd w:id="0"/>
      <w:r w:rsidRPr="001E010D">
        <w:t xml:space="preserve"> </w:t>
      </w:r>
    </w:p>
    <w:p w:rsidRPr="001E010D" w:rsidR="00454E33" w:rsidP="00D37535" w:rsidRDefault="00454E33" w14:paraId="30A2605A" w14:textId="3277EEA9">
      <w:pPr>
        <w:pStyle w:val="Style1"/>
        <w:spacing w:before="0" w:after="100" w:afterAutospacing="1" w:line="240" w:lineRule="auto"/>
        <w:contextualSpacing/>
      </w:pPr>
      <w:bookmarkStart w:name="_Toc24963861" w:id="1"/>
      <w:r w:rsidRPr="001E010D">
        <w:t>Title</w:t>
      </w:r>
      <w:bookmarkEnd w:id="1"/>
    </w:p>
    <w:p w:rsidRPr="001E010D" w:rsidR="002C6342" w:rsidP="00D37535" w:rsidRDefault="002C6342" w14:paraId="095ED67A" w14:textId="2B02E323">
      <w:pPr>
        <w:spacing w:after="100" w:afterAutospacing="1" w:line="240" w:lineRule="auto"/>
        <w:contextualSpacing/>
        <w:rPr>
          <w:rFonts w:ascii="Calibri" w:hAnsi="Calibri" w:cs="Calibri"/>
        </w:rPr>
      </w:pPr>
      <w:bookmarkStart w:name="_GoBack" w:id="2"/>
      <w:bookmarkEnd w:id="2"/>
      <w:r w:rsidRPr="001E010D">
        <w:rPr>
          <w:rFonts w:ascii="Calibri" w:hAnsi="Calibri" w:cs="Calibri"/>
        </w:rPr>
        <w:t>Title:</w:t>
      </w:r>
      <w:r w:rsidRPr="001E010D" w:rsidR="002D758A">
        <w:rPr>
          <w:rFonts w:ascii="Calibri" w:hAnsi="Calibri" w:cs="Calibri"/>
        </w:rPr>
        <w:t xml:space="preserve"> </w:t>
      </w:r>
      <w:r w:rsidR="001C220A">
        <w:rPr>
          <w:rFonts w:ascii="Calibri" w:hAnsi="Calibri" w:cs="Calibri"/>
        </w:rPr>
        <w:t>Final</w:t>
      </w:r>
      <w:r w:rsidRPr="001E010D" w:rsidR="001C220A">
        <w:rPr>
          <w:rFonts w:ascii="Calibri" w:hAnsi="Calibri" w:cs="Calibri"/>
        </w:rPr>
        <w:t xml:space="preserve"> </w:t>
      </w:r>
      <w:r w:rsidRPr="001E010D" w:rsidR="002D758A">
        <w:rPr>
          <w:rFonts w:ascii="Calibri" w:hAnsi="Calibri" w:cs="Calibri"/>
        </w:rPr>
        <w:t xml:space="preserve">National </w:t>
      </w:r>
      <w:r w:rsidR="00F367F8">
        <w:rPr>
          <w:rFonts w:ascii="Calibri" w:hAnsi="Calibri" w:cs="Calibri"/>
        </w:rPr>
        <w:t>Pollutant</w:t>
      </w:r>
      <w:r w:rsidRPr="001E010D" w:rsidR="00F367F8">
        <w:rPr>
          <w:rFonts w:ascii="Calibri" w:hAnsi="Calibri" w:cs="Calibri"/>
        </w:rPr>
        <w:t xml:space="preserve"> </w:t>
      </w:r>
      <w:r w:rsidRPr="001E010D" w:rsidR="002D758A">
        <w:rPr>
          <w:rFonts w:ascii="Calibri" w:hAnsi="Calibri" w:cs="Calibri"/>
        </w:rPr>
        <w:t>Discharge Elimination System Multi-Sector General Permit for Industrial Stormwater Discharges</w:t>
      </w:r>
      <w:r w:rsidRPr="001E010D" w:rsidR="002D758A">
        <w:rPr>
          <w:rFonts w:ascii="Calibri" w:hAnsi="Calibri" w:cs="Calibri"/>
          <w:b/>
        </w:rPr>
        <w:br/>
      </w:r>
      <w:r w:rsidRPr="001E010D">
        <w:rPr>
          <w:rFonts w:ascii="Calibri" w:hAnsi="Calibri" w:cs="Calibri"/>
        </w:rPr>
        <w:t xml:space="preserve">OMB Control Number: </w:t>
      </w:r>
      <w:r w:rsidRPr="00001E76" w:rsidR="0028531F">
        <w:rPr>
          <w:rFonts w:ascii="Calibri" w:hAnsi="Calibri" w:cs="Calibri"/>
        </w:rPr>
        <w:t>2040-</w:t>
      </w:r>
      <w:r w:rsidRPr="00001E76" w:rsidR="00773211">
        <w:rPr>
          <w:rFonts w:ascii="Calibri" w:hAnsi="Calibri" w:cs="Calibri"/>
        </w:rPr>
        <w:t>0300</w:t>
      </w:r>
      <w:r w:rsidRPr="00001E76">
        <w:rPr>
          <w:rFonts w:ascii="Calibri" w:hAnsi="Calibri" w:cs="Calibri"/>
        </w:rPr>
        <w:br/>
        <w:t>EPA ICR Number:</w:t>
      </w:r>
      <w:r w:rsidRPr="00001E76" w:rsidR="002D758A">
        <w:rPr>
          <w:rFonts w:ascii="Calibri" w:hAnsi="Calibri" w:cs="Calibri"/>
        </w:rPr>
        <w:t xml:space="preserve"> </w:t>
      </w:r>
      <w:r w:rsidRPr="00001E76" w:rsidR="0028531F">
        <w:rPr>
          <w:rFonts w:ascii="Calibri" w:hAnsi="Calibri" w:cs="Calibri"/>
        </w:rPr>
        <w:t>2612.0</w:t>
      </w:r>
      <w:r w:rsidR="0038321E">
        <w:rPr>
          <w:rFonts w:ascii="Calibri" w:hAnsi="Calibri" w:cs="Calibri"/>
        </w:rPr>
        <w:t>2</w:t>
      </w:r>
    </w:p>
    <w:p w:rsidRPr="001E010D" w:rsidR="00454E33" w:rsidP="00D37535" w:rsidRDefault="00454E33" w14:paraId="605735C9" w14:textId="0F5749E6">
      <w:pPr>
        <w:pStyle w:val="Style1"/>
        <w:spacing w:before="0" w:after="100" w:afterAutospacing="1" w:line="240" w:lineRule="auto"/>
        <w:contextualSpacing/>
      </w:pPr>
      <w:bookmarkStart w:name="_Toc24963862" w:id="3"/>
      <w:r w:rsidRPr="001E010D">
        <w:t>Short Characterization/Abstract</w:t>
      </w:r>
      <w:bookmarkEnd w:id="3"/>
    </w:p>
    <w:p w:rsidRPr="001E010D" w:rsidR="00195C7B" w:rsidP="00D37535" w:rsidRDefault="00FE2E12" w14:paraId="61B6BE19" w14:textId="5DAC080E">
      <w:pPr>
        <w:spacing w:after="100" w:afterAutospacing="1" w:line="240" w:lineRule="auto"/>
        <w:contextualSpacing/>
        <w:rPr>
          <w:rFonts w:ascii="Calibri" w:hAnsi="Calibri" w:cs="Calibri"/>
        </w:rPr>
      </w:pPr>
      <w:r w:rsidRPr="001E010D">
        <w:rPr>
          <w:rFonts w:ascii="Calibri" w:hAnsi="Calibri" w:cs="Calibri"/>
        </w:rPr>
        <w:t xml:space="preserve">This Information Collection Request (ICR) calculates the burden and costs associated </w:t>
      </w:r>
      <w:r w:rsidRPr="001E010D" w:rsidR="00A86641">
        <w:rPr>
          <w:rFonts w:ascii="Calibri" w:hAnsi="Calibri" w:cs="Calibri"/>
        </w:rPr>
        <w:t xml:space="preserve">with information collection and reporting activities from the U.S. Environmental Protection Agency (EPA) National Pollutant </w:t>
      </w:r>
      <w:r w:rsidR="001C220A">
        <w:rPr>
          <w:rFonts w:ascii="Calibri" w:hAnsi="Calibri" w:cs="Calibri"/>
        </w:rPr>
        <w:t xml:space="preserve">Discharge </w:t>
      </w:r>
      <w:r w:rsidRPr="001E010D" w:rsidR="00A86641">
        <w:rPr>
          <w:rFonts w:ascii="Calibri" w:hAnsi="Calibri" w:cs="Calibri"/>
        </w:rPr>
        <w:t>Elimination System (NPDES) Multi-Sector General Permit (MSGP) for stormwater discharges</w:t>
      </w:r>
      <w:r w:rsidR="00F16CC2">
        <w:rPr>
          <w:rFonts w:ascii="Calibri" w:hAnsi="Calibri" w:cs="Calibri"/>
        </w:rPr>
        <w:t xml:space="preserve"> associated with industrial activity</w:t>
      </w:r>
      <w:r w:rsidRPr="001E010D" w:rsidR="00A86641">
        <w:rPr>
          <w:rFonts w:ascii="Calibri" w:hAnsi="Calibri" w:cs="Calibri"/>
        </w:rPr>
        <w:t xml:space="preserve">. </w:t>
      </w:r>
    </w:p>
    <w:p w:rsidR="00A30BEE" w:rsidP="00D37535" w:rsidRDefault="00195C7B" w14:paraId="4881835B" w14:textId="29141DFA">
      <w:pPr>
        <w:pStyle w:val="BodyText"/>
        <w:spacing w:after="100" w:afterAutospacing="1"/>
        <w:contextualSpacing/>
        <w:rPr>
          <w:rFonts w:ascii="Calibri" w:hAnsi="Calibri" w:eastAsia="MS Mincho" w:cs="Calibri"/>
          <w:sz w:val="22"/>
          <w:szCs w:val="22"/>
          <w:lang w:eastAsia="ja-JP"/>
        </w:rPr>
      </w:pPr>
      <w:r w:rsidRPr="00C83F0B">
        <w:rPr>
          <w:rFonts w:ascii="Calibri" w:hAnsi="Calibri" w:eastAsia="MS Mincho" w:cs="Calibri"/>
          <w:sz w:val="22"/>
          <w:szCs w:val="22"/>
          <w:lang w:eastAsia="ja-JP"/>
        </w:rPr>
        <w:t>The burden and costs associated with the entire NPDES program</w:t>
      </w:r>
      <w:r w:rsidR="00C97ED7">
        <w:rPr>
          <w:rFonts w:ascii="Calibri" w:hAnsi="Calibri" w:eastAsia="MS Mincho" w:cs="Calibri"/>
          <w:sz w:val="22"/>
          <w:szCs w:val="22"/>
          <w:lang w:eastAsia="ja-JP"/>
        </w:rPr>
        <w:t xml:space="preserve">, including the administration of the </w:t>
      </w:r>
      <w:r w:rsidR="00083F82">
        <w:rPr>
          <w:rFonts w:ascii="Calibri" w:hAnsi="Calibri" w:eastAsia="MS Mincho" w:cs="Calibri"/>
          <w:sz w:val="22"/>
          <w:szCs w:val="22"/>
          <w:lang w:eastAsia="ja-JP"/>
        </w:rPr>
        <w:t xml:space="preserve">2015 </w:t>
      </w:r>
      <w:r w:rsidR="00C97ED7">
        <w:rPr>
          <w:rFonts w:ascii="Calibri" w:hAnsi="Calibri" w:eastAsia="MS Mincho" w:cs="Calibri"/>
          <w:sz w:val="22"/>
          <w:szCs w:val="22"/>
          <w:lang w:eastAsia="ja-JP"/>
        </w:rPr>
        <w:t>MSGP,</w:t>
      </w:r>
      <w:r w:rsidRPr="00C83F0B">
        <w:rPr>
          <w:rFonts w:ascii="Calibri" w:hAnsi="Calibri" w:eastAsia="MS Mincho" w:cs="Calibri"/>
          <w:sz w:val="22"/>
          <w:szCs w:val="22"/>
          <w:lang w:eastAsia="ja-JP"/>
        </w:rPr>
        <w:t xml:space="preserve"> are accounted </w:t>
      </w:r>
      <w:r w:rsidR="00F506D2">
        <w:rPr>
          <w:rFonts w:ascii="Calibri" w:hAnsi="Calibri" w:eastAsia="MS Mincho" w:cs="Calibri"/>
          <w:sz w:val="22"/>
          <w:szCs w:val="22"/>
          <w:lang w:eastAsia="ja-JP"/>
        </w:rPr>
        <w:t xml:space="preserve">for </w:t>
      </w:r>
      <w:r w:rsidR="00BA0F73">
        <w:rPr>
          <w:rFonts w:ascii="Calibri" w:hAnsi="Calibri" w:eastAsia="MS Mincho" w:cs="Calibri"/>
          <w:sz w:val="22"/>
          <w:szCs w:val="22"/>
          <w:lang w:eastAsia="ja-JP"/>
        </w:rPr>
        <w:t xml:space="preserve">in the </w:t>
      </w:r>
      <w:r w:rsidRPr="00BA0F73" w:rsidR="00BA0F73">
        <w:rPr>
          <w:rFonts w:ascii="Calibri" w:hAnsi="Calibri" w:eastAsia="MS Mincho" w:cs="Calibri"/>
          <w:sz w:val="22"/>
          <w:szCs w:val="22"/>
          <w:lang w:eastAsia="ja-JP"/>
        </w:rPr>
        <w:t>N</w:t>
      </w:r>
      <w:r w:rsidR="00991A06">
        <w:rPr>
          <w:rFonts w:ascii="Calibri" w:hAnsi="Calibri" w:eastAsia="MS Mincho" w:cs="Calibri"/>
          <w:sz w:val="22"/>
          <w:szCs w:val="22"/>
          <w:lang w:eastAsia="ja-JP"/>
        </w:rPr>
        <w:t>PDES</w:t>
      </w:r>
      <w:r w:rsidRPr="00BA0F73" w:rsidR="00BA0F73">
        <w:rPr>
          <w:rFonts w:ascii="Calibri" w:hAnsi="Calibri" w:eastAsia="MS Mincho" w:cs="Calibri"/>
          <w:sz w:val="22"/>
          <w:szCs w:val="22"/>
          <w:lang w:eastAsia="ja-JP"/>
        </w:rPr>
        <w:t xml:space="preserve"> Program ICR</w:t>
      </w:r>
      <w:r w:rsidRPr="00BA0F73" w:rsidDel="00BA0F73" w:rsidR="00BA0F73">
        <w:rPr>
          <w:rFonts w:ascii="Calibri" w:hAnsi="Calibri" w:eastAsia="MS Mincho" w:cs="Calibri"/>
          <w:sz w:val="22"/>
          <w:szCs w:val="22"/>
          <w:lang w:eastAsia="ja-JP"/>
        </w:rPr>
        <w:t xml:space="preserve"> </w:t>
      </w:r>
      <w:r w:rsidRPr="00C83F0B">
        <w:rPr>
          <w:rFonts w:ascii="Calibri" w:hAnsi="Calibri" w:eastAsia="MS Mincho" w:cs="Calibri"/>
          <w:sz w:val="22"/>
          <w:szCs w:val="22"/>
          <w:lang w:eastAsia="ja-JP"/>
        </w:rPr>
        <w:t xml:space="preserve">(EPA ICR number 0229.23, OMB control no. 2040-0004). </w:t>
      </w:r>
      <w:r w:rsidR="00F414E5">
        <w:rPr>
          <w:rFonts w:ascii="Calibri" w:hAnsi="Calibri" w:eastAsia="MS Mincho" w:cs="Calibri"/>
          <w:sz w:val="22"/>
          <w:szCs w:val="22"/>
          <w:lang w:eastAsia="ja-JP"/>
        </w:rPr>
        <w:t>EPA</w:t>
      </w:r>
      <w:r w:rsidRPr="00C83F0B">
        <w:rPr>
          <w:rFonts w:ascii="Calibri" w:hAnsi="Calibri" w:eastAsia="MS Mincho" w:cs="Calibri"/>
          <w:sz w:val="22"/>
          <w:szCs w:val="22"/>
          <w:lang w:eastAsia="ja-JP"/>
        </w:rPr>
        <w:t xml:space="preserve"> is reflecting the paperwork burden and costs</w:t>
      </w:r>
      <w:r w:rsidRPr="001E010D">
        <w:rPr>
          <w:rFonts w:ascii="Calibri" w:hAnsi="Calibri" w:eastAsia="MS Mincho" w:cs="Calibri"/>
          <w:sz w:val="22"/>
          <w:szCs w:val="22"/>
          <w:lang w:eastAsia="ja-JP"/>
        </w:rPr>
        <w:t xml:space="preserve"> associated </w:t>
      </w:r>
      <w:r w:rsidRPr="001E010D" w:rsidDel="00C97ED7">
        <w:rPr>
          <w:rFonts w:ascii="Calibri" w:hAnsi="Calibri" w:eastAsia="MS Mincho" w:cs="Calibri"/>
          <w:sz w:val="22"/>
          <w:szCs w:val="22"/>
          <w:lang w:eastAsia="ja-JP"/>
        </w:rPr>
        <w:t xml:space="preserve">with </w:t>
      </w:r>
      <w:r w:rsidR="00C97ED7">
        <w:rPr>
          <w:rFonts w:ascii="Calibri" w:hAnsi="Calibri" w:eastAsia="MS Mincho" w:cs="Calibri"/>
          <w:sz w:val="22"/>
          <w:szCs w:val="22"/>
          <w:lang w:eastAsia="ja-JP"/>
        </w:rPr>
        <w:t xml:space="preserve">the 2021 MSGP in this </w:t>
      </w:r>
      <w:r w:rsidRPr="001E010D">
        <w:rPr>
          <w:rFonts w:ascii="Calibri" w:hAnsi="Calibri" w:eastAsia="MS Mincho" w:cs="Calibri"/>
          <w:sz w:val="22"/>
          <w:szCs w:val="22"/>
          <w:lang w:eastAsia="ja-JP"/>
        </w:rPr>
        <w:t xml:space="preserve">ICR instead of revising the </w:t>
      </w:r>
      <w:r w:rsidR="00C97ED7">
        <w:rPr>
          <w:rFonts w:ascii="Calibri" w:hAnsi="Calibri" w:eastAsia="MS Mincho" w:cs="Calibri"/>
          <w:sz w:val="22"/>
          <w:szCs w:val="22"/>
          <w:lang w:eastAsia="ja-JP"/>
        </w:rPr>
        <w:t>NPDES Program</w:t>
      </w:r>
      <w:r w:rsidRPr="001E010D" w:rsidR="00C97ED7">
        <w:rPr>
          <w:rFonts w:ascii="Calibri" w:hAnsi="Calibri" w:eastAsia="MS Mincho" w:cs="Calibri"/>
          <w:sz w:val="22"/>
          <w:szCs w:val="22"/>
          <w:lang w:eastAsia="ja-JP"/>
        </w:rPr>
        <w:t xml:space="preserve"> </w:t>
      </w:r>
      <w:r w:rsidRPr="001E010D">
        <w:rPr>
          <w:rFonts w:ascii="Calibri" w:hAnsi="Calibri" w:eastAsia="MS Mincho" w:cs="Calibri"/>
          <w:sz w:val="22"/>
          <w:szCs w:val="22"/>
          <w:lang w:eastAsia="ja-JP"/>
        </w:rPr>
        <w:t xml:space="preserve">ICR </w:t>
      </w:r>
      <w:r w:rsidR="00F05D2B">
        <w:rPr>
          <w:rFonts w:ascii="Calibri" w:hAnsi="Calibri" w:eastAsia="MS Mincho" w:cs="Calibri"/>
          <w:sz w:val="22"/>
          <w:szCs w:val="22"/>
          <w:lang w:eastAsia="ja-JP"/>
        </w:rPr>
        <w:t>and will c</w:t>
      </w:r>
      <w:r w:rsidRPr="001E010D">
        <w:rPr>
          <w:rFonts w:ascii="Calibri" w:hAnsi="Calibri" w:eastAsia="MS Mincho" w:cs="Calibri"/>
          <w:sz w:val="22"/>
          <w:szCs w:val="22"/>
          <w:lang w:eastAsia="ja-JP"/>
        </w:rPr>
        <w:t xml:space="preserve">onsolidate the burden and costs into </w:t>
      </w:r>
      <w:r w:rsidR="00DF1145">
        <w:rPr>
          <w:rFonts w:ascii="Calibri" w:hAnsi="Calibri" w:eastAsia="MS Mincho" w:cs="Calibri"/>
          <w:sz w:val="22"/>
          <w:szCs w:val="22"/>
          <w:lang w:eastAsia="ja-JP"/>
        </w:rPr>
        <w:t xml:space="preserve">the NPDES </w:t>
      </w:r>
      <w:r w:rsidR="00F05D2B">
        <w:rPr>
          <w:rFonts w:ascii="Calibri" w:hAnsi="Calibri" w:eastAsia="MS Mincho" w:cs="Calibri"/>
          <w:sz w:val="22"/>
          <w:szCs w:val="22"/>
          <w:lang w:eastAsia="ja-JP"/>
        </w:rPr>
        <w:t>Program</w:t>
      </w:r>
      <w:r w:rsidR="00DF1145">
        <w:rPr>
          <w:rFonts w:ascii="Calibri" w:hAnsi="Calibri" w:eastAsia="MS Mincho" w:cs="Calibri"/>
          <w:sz w:val="22"/>
          <w:szCs w:val="22"/>
          <w:lang w:eastAsia="ja-JP"/>
        </w:rPr>
        <w:t xml:space="preserve"> ICR</w:t>
      </w:r>
      <w:r w:rsidRPr="001E010D">
        <w:rPr>
          <w:rFonts w:ascii="Calibri" w:hAnsi="Calibri" w:eastAsia="MS Mincho" w:cs="Calibri"/>
          <w:sz w:val="22"/>
          <w:szCs w:val="22"/>
          <w:lang w:eastAsia="ja-JP"/>
        </w:rPr>
        <w:t xml:space="preserve"> </w:t>
      </w:r>
      <w:r w:rsidR="00F05D2B">
        <w:rPr>
          <w:rFonts w:ascii="Calibri" w:hAnsi="Calibri" w:eastAsia="MS Mincho" w:cs="Calibri"/>
          <w:sz w:val="22"/>
          <w:szCs w:val="22"/>
          <w:lang w:eastAsia="ja-JP"/>
        </w:rPr>
        <w:t>in 2022 when that ICR is reissued</w:t>
      </w:r>
      <w:r w:rsidRPr="001E010D">
        <w:rPr>
          <w:rFonts w:ascii="Calibri" w:hAnsi="Calibri" w:eastAsia="MS Mincho" w:cs="Calibri"/>
          <w:sz w:val="22"/>
          <w:szCs w:val="22"/>
          <w:lang w:eastAsia="ja-JP"/>
        </w:rPr>
        <w:t xml:space="preserve">. </w:t>
      </w:r>
    </w:p>
    <w:p w:rsidRPr="001E010D" w:rsidR="0061536D" w:rsidP="00D37535" w:rsidRDefault="00982724" w14:paraId="73F17B9D" w14:textId="1FA63F91">
      <w:pPr>
        <w:pStyle w:val="BodyText"/>
        <w:spacing w:after="100" w:afterAutospacing="1"/>
        <w:contextualSpacing/>
        <w:rPr>
          <w:rFonts w:ascii="Calibri" w:hAnsi="Calibri" w:eastAsia="MS Mincho" w:cs="Calibri"/>
          <w:sz w:val="22"/>
          <w:szCs w:val="22"/>
          <w:lang w:eastAsia="ja-JP"/>
        </w:rPr>
      </w:pPr>
      <w:r>
        <w:rPr>
          <w:rFonts w:ascii="Calibri" w:hAnsi="Calibri" w:eastAsia="MS Mincho" w:cs="Calibri"/>
          <w:sz w:val="22"/>
          <w:szCs w:val="22"/>
          <w:lang w:eastAsia="ja-JP"/>
        </w:rPr>
        <w:br/>
      </w:r>
      <w:r w:rsidRPr="001E010D" w:rsidR="0061536D">
        <w:rPr>
          <w:rFonts w:ascii="Calibri" w:hAnsi="Calibri" w:eastAsia="MS Mincho" w:cs="Calibri"/>
          <w:sz w:val="22"/>
          <w:szCs w:val="22"/>
          <w:lang w:eastAsia="ja-JP"/>
        </w:rPr>
        <w:t xml:space="preserve">The information collection </w:t>
      </w:r>
      <w:r w:rsidR="00B47C6F">
        <w:rPr>
          <w:rFonts w:ascii="Calibri" w:hAnsi="Calibri" w:eastAsia="MS Mincho" w:cs="Calibri"/>
          <w:sz w:val="22"/>
          <w:szCs w:val="22"/>
          <w:lang w:eastAsia="ja-JP"/>
        </w:rPr>
        <w:t>changes</w:t>
      </w:r>
      <w:r w:rsidRPr="001E010D" w:rsidR="00B47C6F">
        <w:rPr>
          <w:rFonts w:ascii="Calibri" w:hAnsi="Calibri" w:eastAsia="MS Mincho" w:cs="Calibri"/>
          <w:sz w:val="22"/>
          <w:szCs w:val="22"/>
          <w:lang w:eastAsia="ja-JP"/>
        </w:rPr>
        <w:t xml:space="preserve"> </w:t>
      </w:r>
      <w:r w:rsidR="00BA1D93">
        <w:rPr>
          <w:rFonts w:ascii="Calibri" w:hAnsi="Calibri" w:eastAsia="MS Mincho" w:cs="Calibri"/>
          <w:sz w:val="22"/>
          <w:szCs w:val="22"/>
          <w:lang w:eastAsia="ja-JP"/>
        </w:rPr>
        <w:t xml:space="preserve">between the 2015 and 2021 MSGP </w:t>
      </w:r>
      <w:r w:rsidR="0088582C">
        <w:rPr>
          <w:rFonts w:ascii="Calibri" w:hAnsi="Calibri" w:eastAsia="MS Mincho" w:cs="Calibri"/>
          <w:sz w:val="22"/>
          <w:szCs w:val="22"/>
          <w:lang w:eastAsia="ja-JP"/>
        </w:rPr>
        <w:t xml:space="preserve">are </w:t>
      </w:r>
      <w:r w:rsidRPr="001E010D" w:rsidR="0061536D">
        <w:rPr>
          <w:rFonts w:ascii="Calibri" w:hAnsi="Calibri" w:eastAsia="MS Mincho" w:cs="Calibri"/>
          <w:sz w:val="22"/>
          <w:szCs w:val="22"/>
          <w:lang w:eastAsia="ja-JP"/>
        </w:rPr>
        <w:t xml:space="preserve">associated with the following: </w:t>
      </w:r>
    </w:p>
    <w:p w:rsidRPr="001E010D" w:rsidR="0061536D" w:rsidP="00D37535" w:rsidRDefault="0061536D" w14:paraId="3BDB2728" w14:textId="2B67F22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Notice of Intent (NOI) </w:t>
      </w:r>
    </w:p>
    <w:p w:rsidRPr="001E010D" w:rsidR="0061536D" w:rsidP="00D37535" w:rsidRDefault="0061536D" w14:paraId="6179F847"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Stormwater Pollution Prevention Plans (SWPPPs);</w:t>
      </w:r>
    </w:p>
    <w:p w:rsidRPr="001E010D" w:rsidR="0061536D" w:rsidP="00D37535" w:rsidRDefault="00855852" w14:paraId="1F36B853" w14:textId="44D0750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Sampling and </w:t>
      </w:r>
      <w:r w:rsidRPr="001E010D" w:rsidR="0061536D">
        <w:rPr>
          <w:rFonts w:ascii="Calibri" w:hAnsi="Calibri" w:cs="Calibri"/>
        </w:rPr>
        <w:t xml:space="preserve">Discharge Monitoring Reports (DMRs); </w:t>
      </w:r>
    </w:p>
    <w:p w:rsidRPr="001E010D" w:rsidR="00F7434B" w:rsidP="00D37535" w:rsidRDefault="00F7434B" w14:paraId="46989FD6" w14:textId="0104333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Corrective Action/</w:t>
      </w:r>
      <w:r w:rsidR="0020707A">
        <w:rPr>
          <w:rFonts w:ascii="Calibri" w:hAnsi="Calibri" w:cs="Calibri"/>
        </w:rPr>
        <w:t>Additional</w:t>
      </w:r>
      <w:r w:rsidRPr="001E010D" w:rsidR="0020707A">
        <w:rPr>
          <w:rFonts w:ascii="Calibri" w:hAnsi="Calibri" w:cs="Calibri"/>
        </w:rPr>
        <w:t xml:space="preserve"> </w:t>
      </w:r>
      <w:r w:rsidRPr="001E010D">
        <w:rPr>
          <w:rFonts w:ascii="Calibri" w:hAnsi="Calibri" w:cs="Calibri"/>
        </w:rPr>
        <w:t>Implementation Measure</w:t>
      </w:r>
      <w:r w:rsidRPr="001E010D" w:rsidR="00BC490A">
        <w:rPr>
          <w:rFonts w:ascii="Calibri" w:hAnsi="Calibri" w:cs="Calibri"/>
        </w:rPr>
        <w:t xml:space="preserve"> (AIM)</w:t>
      </w:r>
      <w:r w:rsidRPr="001E010D">
        <w:rPr>
          <w:rFonts w:ascii="Calibri" w:hAnsi="Calibri" w:cs="Calibri"/>
        </w:rPr>
        <w:t xml:space="preserve"> Documentation;</w:t>
      </w:r>
      <w:r w:rsidR="004309EA">
        <w:rPr>
          <w:rFonts w:ascii="Calibri" w:hAnsi="Calibri" w:cs="Calibri"/>
        </w:rPr>
        <w:t xml:space="preserve"> and</w:t>
      </w:r>
    </w:p>
    <w:p w:rsidRPr="00071899" w:rsidR="0061536D" w:rsidP="00D37535" w:rsidRDefault="0061536D" w14:paraId="1FD675D1"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71899">
        <w:rPr>
          <w:rFonts w:ascii="Calibri" w:hAnsi="Calibri" w:cs="Calibri"/>
        </w:rPr>
        <w:t>Other Information.</w:t>
      </w:r>
    </w:p>
    <w:p w:rsidR="00E75356" w:rsidP="00615675" w:rsidRDefault="00CB2EA2" w14:paraId="07AE25E1" w14:textId="432CAB7B">
      <w:pPr>
        <w:spacing w:after="100" w:afterAutospacing="1" w:line="240" w:lineRule="auto"/>
        <w:contextualSpacing/>
        <w:rPr>
          <w:rFonts w:ascii="Calibri" w:hAnsi="Calibri" w:cs="Calibri"/>
        </w:rPr>
      </w:pPr>
      <w:r>
        <w:rPr>
          <w:rFonts w:ascii="Calibri" w:hAnsi="Calibri" w:cs="Calibri"/>
        </w:rPr>
        <w:t xml:space="preserve">Table 1 summarizes </w:t>
      </w:r>
      <w:r w:rsidR="00160673">
        <w:rPr>
          <w:rFonts w:ascii="Calibri" w:hAnsi="Calibri" w:cs="Calibri"/>
        </w:rPr>
        <w:t xml:space="preserve">the </w:t>
      </w:r>
      <w:r w:rsidR="00C621AE">
        <w:rPr>
          <w:rFonts w:ascii="Calibri" w:hAnsi="Calibri" w:cs="Calibri"/>
        </w:rPr>
        <w:t>ICR burden estimate</w:t>
      </w:r>
      <w:r w:rsidR="00F94A1C">
        <w:rPr>
          <w:rFonts w:ascii="Calibri" w:hAnsi="Calibri" w:cs="Calibri"/>
        </w:rPr>
        <w:t xml:space="preserve"> for the 2021 MSGP.</w:t>
      </w:r>
      <w:r>
        <w:rPr>
          <w:rFonts w:ascii="Calibri" w:hAnsi="Calibri" w:cs="Calibri"/>
        </w:rPr>
        <w:t xml:space="preserve"> </w:t>
      </w:r>
      <w:r w:rsidR="00F94A1C">
        <w:rPr>
          <w:rFonts w:ascii="Calibri" w:hAnsi="Calibri" w:cs="Calibri"/>
        </w:rPr>
        <w:t>T</w:t>
      </w:r>
      <w:r w:rsidRPr="00071899" w:rsidR="00A86641">
        <w:rPr>
          <w:rFonts w:ascii="Calibri" w:hAnsi="Calibri" w:cs="Calibri"/>
        </w:rPr>
        <w:t xml:space="preserve">his ICR </w:t>
      </w:r>
      <w:r w:rsidRPr="00F9285B" w:rsidR="00A86641">
        <w:rPr>
          <w:rFonts w:ascii="Calibri" w:hAnsi="Calibri" w:cs="Calibri"/>
        </w:rPr>
        <w:t>estimates a</w:t>
      </w:r>
      <w:r w:rsidR="00072080">
        <w:rPr>
          <w:rFonts w:ascii="Calibri" w:hAnsi="Calibri" w:cs="Calibri"/>
        </w:rPr>
        <w:t xml:space="preserve"> total </w:t>
      </w:r>
      <w:r w:rsidRPr="00F9285B" w:rsidR="00A86641">
        <w:rPr>
          <w:rFonts w:ascii="Calibri" w:hAnsi="Calibri" w:cs="Calibri"/>
        </w:rPr>
        <w:t xml:space="preserve">annual </w:t>
      </w:r>
      <w:r w:rsidR="002A6CE9">
        <w:rPr>
          <w:rFonts w:ascii="Calibri" w:hAnsi="Calibri" w:cs="Calibri"/>
        </w:rPr>
        <w:t xml:space="preserve">labor </w:t>
      </w:r>
      <w:r w:rsidRPr="00F9285B" w:rsidR="00A86641">
        <w:rPr>
          <w:rFonts w:ascii="Calibri" w:hAnsi="Calibri" w:cs="Calibri"/>
        </w:rPr>
        <w:t xml:space="preserve">burden </w:t>
      </w:r>
      <w:r w:rsidRPr="00255BD8" w:rsidR="00A86641">
        <w:rPr>
          <w:rFonts w:ascii="Calibri" w:hAnsi="Calibri" w:cs="Calibri"/>
        </w:rPr>
        <w:t xml:space="preserve">of </w:t>
      </w:r>
      <w:r w:rsidR="00DC01E4">
        <w:rPr>
          <w:rFonts w:ascii="Calibri" w:hAnsi="Calibri" w:cs="Calibri"/>
        </w:rPr>
        <w:t>68,46</w:t>
      </w:r>
      <w:r w:rsidR="00276A96">
        <w:rPr>
          <w:rFonts w:ascii="Calibri" w:hAnsi="Calibri" w:cs="Calibri"/>
        </w:rPr>
        <w:t>0</w:t>
      </w:r>
      <w:r w:rsidRPr="00F9285B" w:rsidR="00DD2B5B">
        <w:rPr>
          <w:rFonts w:ascii="Calibri" w:hAnsi="Calibri" w:cs="Calibri"/>
        </w:rPr>
        <w:t xml:space="preserve"> </w:t>
      </w:r>
      <w:r w:rsidRPr="00F9285B" w:rsidR="00A86641">
        <w:rPr>
          <w:rFonts w:ascii="Calibri" w:hAnsi="Calibri" w:cs="Calibri"/>
        </w:rPr>
        <w:t xml:space="preserve">hours for </w:t>
      </w:r>
      <w:r w:rsidRPr="00F9285B" w:rsidR="001E7B2B">
        <w:rPr>
          <w:rFonts w:ascii="Calibri" w:hAnsi="Calibri" w:cs="Calibri"/>
        </w:rPr>
        <w:t>2,</w:t>
      </w:r>
      <w:r w:rsidR="006067CF">
        <w:rPr>
          <w:rFonts w:ascii="Calibri" w:hAnsi="Calibri" w:cs="Calibri"/>
        </w:rPr>
        <w:t>508</w:t>
      </w:r>
      <w:r w:rsidRPr="00F9285B" w:rsidR="002F4BFD">
        <w:rPr>
          <w:rFonts w:ascii="Calibri" w:hAnsi="Calibri" w:cs="Calibri"/>
        </w:rPr>
        <w:t xml:space="preserve"> </w:t>
      </w:r>
      <w:r w:rsidRPr="00F9285B" w:rsidR="00A86641">
        <w:rPr>
          <w:rFonts w:ascii="Calibri" w:hAnsi="Calibri" w:cs="Calibri"/>
        </w:rPr>
        <w:t xml:space="preserve">respondents </w:t>
      </w:r>
      <w:r w:rsidR="0019662A">
        <w:rPr>
          <w:rFonts w:ascii="Calibri" w:hAnsi="Calibri" w:cs="Calibri"/>
        </w:rPr>
        <w:t xml:space="preserve">at a </w:t>
      </w:r>
      <w:r w:rsidR="009C047E">
        <w:rPr>
          <w:rFonts w:ascii="Calibri" w:hAnsi="Calibri" w:cs="Calibri"/>
        </w:rPr>
        <w:t xml:space="preserve">total </w:t>
      </w:r>
      <w:r w:rsidR="00F0742E">
        <w:rPr>
          <w:rFonts w:ascii="Calibri" w:hAnsi="Calibri" w:cs="Calibri"/>
        </w:rPr>
        <w:t xml:space="preserve">annual </w:t>
      </w:r>
      <w:r w:rsidR="0019662A">
        <w:rPr>
          <w:rFonts w:ascii="Calibri" w:hAnsi="Calibri" w:cs="Calibri"/>
        </w:rPr>
        <w:t>labor cost of</w:t>
      </w:r>
      <w:r w:rsidRPr="00F9285B" w:rsidR="00A86641">
        <w:rPr>
          <w:rFonts w:ascii="Calibri" w:hAnsi="Calibri" w:cs="Calibri"/>
        </w:rPr>
        <w:t xml:space="preserve"> </w:t>
      </w:r>
      <w:r w:rsidRPr="00F9285B" w:rsidR="009E74A1">
        <w:rPr>
          <w:rFonts w:ascii="Calibri" w:hAnsi="Calibri" w:cs="Calibri"/>
        </w:rPr>
        <w:t>$</w:t>
      </w:r>
      <w:r w:rsidRPr="00255BD8" w:rsidR="003E33E0">
        <w:rPr>
          <w:rFonts w:ascii="Calibri" w:hAnsi="Calibri" w:cs="Calibri"/>
        </w:rPr>
        <w:t>2,</w:t>
      </w:r>
      <w:r w:rsidR="006067CF">
        <w:rPr>
          <w:rFonts w:ascii="Calibri" w:hAnsi="Calibri" w:cs="Calibri"/>
        </w:rPr>
        <w:t>461,922</w:t>
      </w:r>
      <w:r w:rsidRPr="00F9285B" w:rsidR="00A86641">
        <w:rPr>
          <w:rFonts w:ascii="Calibri" w:hAnsi="Calibri" w:cs="Calibri"/>
        </w:rPr>
        <w:t xml:space="preserve">. The Agency </w:t>
      </w:r>
      <w:r w:rsidR="009C047E">
        <w:rPr>
          <w:rFonts w:ascii="Calibri" w:hAnsi="Calibri" w:cs="Calibri"/>
        </w:rPr>
        <w:t xml:space="preserve">total </w:t>
      </w:r>
      <w:r w:rsidR="00213EA0">
        <w:rPr>
          <w:rFonts w:ascii="Calibri" w:hAnsi="Calibri" w:cs="Calibri"/>
        </w:rPr>
        <w:t xml:space="preserve">labor </w:t>
      </w:r>
      <w:r w:rsidRPr="00F9285B" w:rsidR="00A86641">
        <w:rPr>
          <w:rFonts w:ascii="Calibri" w:hAnsi="Calibri" w:cs="Calibri"/>
        </w:rPr>
        <w:t xml:space="preserve">burden is </w:t>
      </w:r>
      <w:r w:rsidRPr="00255BD8" w:rsidR="009E74A1">
        <w:rPr>
          <w:rFonts w:ascii="Calibri" w:hAnsi="Calibri" w:eastAsia="Times New Roman" w:cs="Calibri"/>
          <w:color w:val="000000"/>
        </w:rPr>
        <w:t>3,</w:t>
      </w:r>
      <w:r w:rsidR="008657CD">
        <w:rPr>
          <w:rFonts w:ascii="Calibri" w:hAnsi="Calibri" w:eastAsia="Times New Roman" w:cs="Calibri"/>
          <w:bCs/>
          <w:color w:val="000000"/>
        </w:rPr>
        <w:t>1</w:t>
      </w:r>
      <w:r w:rsidR="007B3B86">
        <w:rPr>
          <w:rFonts w:ascii="Calibri" w:hAnsi="Calibri" w:eastAsia="Times New Roman" w:cs="Calibri"/>
          <w:bCs/>
          <w:color w:val="000000"/>
        </w:rPr>
        <w:t>14</w:t>
      </w:r>
      <w:r w:rsidRPr="00255BD8" w:rsidR="009E74A1">
        <w:rPr>
          <w:rFonts w:ascii="Calibri" w:hAnsi="Calibri" w:eastAsia="Times New Roman" w:cs="Calibri"/>
          <w:color w:val="000000"/>
        </w:rPr>
        <w:t xml:space="preserve"> </w:t>
      </w:r>
      <w:r w:rsidRPr="00255BD8" w:rsidR="00A86641">
        <w:rPr>
          <w:rFonts w:ascii="Calibri" w:hAnsi="Calibri" w:cs="Calibri"/>
        </w:rPr>
        <w:t xml:space="preserve">hours annually at a </w:t>
      </w:r>
      <w:r w:rsidR="009C047E">
        <w:rPr>
          <w:rFonts w:ascii="Calibri" w:hAnsi="Calibri" w:cs="Calibri"/>
        </w:rPr>
        <w:t xml:space="preserve">total </w:t>
      </w:r>
      <w:r w:rsidR="00F0742E">
        <w:rPr>
          <w:rFonts w:ascii="Calibri" w:hAnsi="Calibri" w:cs="Calibri"/>
        </w:rPr>
        <w:t xml:space="preserve">annual </w:t>
      </w:r>
      <w:r w:rsidRPr="00255BD8" w:rsidR="00A86641">
        <w:rPr>
          <w:rFonts w:ascii="Calibri" w:hAnsi="Calibri" w:cs="Calibri"/>
        </w:rPr>
        <w:t>labor cost of $</w:t>
      </w:r>
      <w:r w:rsidRPr="00255BD8" w:rsidR="00D3219B">
        <w:rPr>
          <w:rFonts w:ascii="Calibri" w:hAnsi="Calibri" w:cs="Calibri"/>
        </w:rPr>
        <w:t>1</w:t>
      </w:r>
      <w:r w:rsidR="008657CD">
        <w:rPr>
          <w:rFonts w:ascii="Calibri" w:hAnsi="Calibri" w:cs="Calibri"/>
        </w:rPr>
        <w:t>4</w:t>
      </w:r>
      <w:r w:rsidR="00835366">
        <w:rPr>
          <w:rFonts w:ascii="Calibri" w:hAnsi="Calibri" w:cs="Calibri"/>
        </w:rPr>
        <w:t>2</w:t>
      </w:r>
      <w:r w:rsidR="008657CD">
        <w:rPr>
          <w:rFonts w:ascii="Calibri" w:hAnsi="Calibri" w:cs="Calibri"/>
        </w:rPr>
        <w:t>,</w:t>
      </w:r>
      <w:r w:rsidR="00835366">
        <w:rPr>
          <w:rFonts w:ascii="Calibri" w:hAnsi="Calibri" w:cs="Calibri"/>
        </w:rPr>
        <w:t>108</w:t>
      </w:r>
      <w:r w:rsidRPr="00F9285B" w:rsidR="00A86641">
        <w:rPr>
          <w:rFonts w:ascii="Calibri" w:hAnsi="Calibri" w:cs="Calibri"/>
        </w:rPr>
        <w:t>.</w:t>
      </w:r>
      <w:r w:rsidR="00CD3DB3">
        <w:rPr>
          <w:rFonts w:ascii="Calibri" w:hAnsi="Calibri" w:cs="Calibri"/>
        </w:rPr>
        <w:t xml:space="preserve"> There are no</w:t>
      </w:r>
      <w:r w:rsidR="00576B6D">
        <w:rPr>
          <w:rFonts w:ascii="Calibri" w:hAnsi="Calibri" w:cs="Calibri"/>
        </w:rPr>
        <w:t xml:space="preserve"> capital and operations and maintenance (O&amp;M) costs</w:t>
      </w:r>
      <w:r w:rsidR="00CD3DB3">
        <w:rPr>
          <w:rFonts w:ascii="Calibri" w:hAnsi="Calibri" w:cs="Calibri"/>
        </w:rPr>
        <w:t xml:space="preserve"> </w:t>
      </w:r>
      <w:r w:rsidR="00576B6D">
        <w:rPr>
          <w:rFonts w:ascii="Calibri" w:hAnsi="Calibri" w:cs="Calibri"/>
        </w:rPr>
        <w:t>associated with this ICR.</w:t>
      </w:r>
      <w:r w:rsidR="00904E32">
        <w:rPr>
          <w:rFonts w:ascii="Calibri" w:hAnsi="Calibri" w:cs="Calibri"/>
        </w:rPr>
        <w:t xml:space="preserve"> </w:t>
      </w:r>
    </w:p>
    <w:p w:rsidR="00E75356" w:rsidP="00615675" w:rsidRDefault="00E75356" w14:paraId="154CDFB9" w14:textId="77777777">
      <w:pPr>
        <w:spacing w:after="100" w:afterAutospacing="1" w:line="240" w:lineRule="auto"/>
        <w:contextualSpacing/>
        <w:rPr>
          <w:rFonts w:ascii="Calibri" w:hAnsi="Calibri" w:cs="Calibri"/>
        </w:rPr>
      </w:pPr>
    </w:p>
    <w:p w:rsidRPr="00615675" w:rsidR="00615675" w:rsidP="00615675" w:rsidRDefault="00904E32" w14:paraId="5ED6C716" w14:textId="0E1CDDE4">
      <w:pPr>
        <w:spacing w:after="100" w:afterAutospacing="1" w:line="240" w:lineRule="auto"/>
        <w:contextualSpacing/>
        <w:rPr>
          <w:rFonts w:ascii="Calibri" w:hAnsi="Calibri" w:cs="Calibri"/>
        </w:rPr>
      </w:pPr>
      <w:r>
        <w:rPr>
          <w:rFonts w:ascii="Calibri" w:hAnsi="Calibri" w:cs="Calibri"/>
        </w:rPr>
        <w:t xml:space="preserve">EPA also estimated the change in burden associated with </w:t>
      </w:r>
      <w:r w:rsidR="002915AD">
        <w:rPr>
          <w:rFonts w:ascii="Calibri" w:hAnsi="Calibri" w:cs="Calibri"/>
        </w:rPr>
        <w:t xml:space="preserve">new or changed requirements in the 2021 MSGP compared to the </w:t>
      </w:r>
      <w:r w:rsidR="003B0DB9">
        <w:rPr>
          <w:rFonts w:ascii="Calibri" w:hAnsi="Calibri" w:cs="Calibri"/>
        </w:rPr>
        <w:t xml:space="preserve">NPDES Programmatic </w:t>
      </w:r>
      <w:r w:rsidR="00027918">
        <w:rPr>
          <w:rFonts w:ascii="Calibri" w:hAnsi="Calibri" w:cs="Calibri"/>
        </w:rPr>
        <w:t>ICR (2017)</w:t>
      </w:r>
      <w:r w:rsidR="00263B5D">
        <w:rPr>
          <w:rFonts w:ascii="Calibri" w:hAnsi="Calibri" w:cs="Calibri"/>
        </w:rPr>
        <w:t xml:space="preserve">. </w:t>
      </w:r>
      <w:r w:rsidR="00287451">
        <w:rPr>
          <w:rFonts w:ascii="Calibri" w:hAnsi="Calibri" w:cs="Calibri"/>
        </w:rPr>
        <w:t xml:space="preserve">For comparison purposes, EPA assumes the NPDES Programmatic ICR accounts for 2,400 respondents under the EPA’s MSGP. </w:t>
      </w:r>
      <w:r w:rsidR="00B4057E">
        <w:rPr>
          <w:rFonts w:ascii="Calibri" w:hAnsi="Calibri" w:cs="Calibri"/>
        </w:rPr>
        <w:t>T</w:t>
      </w:r>
      <w:r w:rsidR="004F3245">
        <w:rPr>
          <w:rFonts w:ascii="Calibri" w:hAnsi="Calibri" w:cs="Calibri"/>
        </w:rPr>
        <w:t xml:space="preserve">he incremental change in burden is due to </w:t>
      </w:r>
      <w:r w:rsidR="009733D5">
        <w:rPr>
          <w:rFonts w:ascii="Calibri" w:hAnsi="Calibri" w:cs="Calibri"/>
        </w:rPr>
        <w:t>an increase in the number of respondents</w:t>
      </w:r>
      <w:r w:rsidR="007F1846">
        <w:rPr>
          <w:rFonts w:ascii="Calibri" w:hAnsi="Calibri" w:cs="Calibri"/>
        </w:rPr>
        <w:t xml:space="preserve"> and change in </w:t>
      </w:r>
      <w:r w:rsidR="0019438E">
        <w:rPr>
          <w:rFonts w:ascii="Calibri" w:hAnsi="Calibri" w:cs="Calibri"/>
        </w:rPr>
        <w:t xml:space="preserve">burden for various reporting and recordkeeping activities </w:t>
      </w:r>
      <w:r w:rsidR="003176C2">
        <w:rPr>
          <w:rFonts w:ascii="Calibri" w:hAnsi="Calibri" w:cs="Calibri"/>
        </w:rPr>
        <w:t xml:space="preserve">because of </w:t>
      </w:r>
      <w:r w:rsidR="009F5B52">
        <w:rPr>
          <w:rFonts w:ascii="Calibri" w:hAnsi="Calibri" w:cs="Calibri"/>
        </w:rPr>
        <w:t>updated permit requirements</w:t>
      </w:r>
      <w:r w:rsidR="00B773D9">
        <w:rPr>
          <w:rFonts w:ascii="Calibri" w:hAnsi="Calibri" w:cs="Calibri"/>
        </w:rPr>
        <w:t xml:space="preserve">. </w:t>
      </w:r>
      <w:r w:rsidR="00263B5D">
        <w:rPr>
          <w:rFonts w:ascii="Calibri" w:hAnsi="Calibri" w:cs="Calibri"/>
        </w:rPr>
        <w:t xml:space="preserve">The 2021 MSGP </w:t>
      </w:r>
      <w:r w:rsidR="00F15DD8">
        <w:rPr>
          <w:rFonts w:ascii="Calibri" w:hAnsi="Calibri" w:cs="Calibri"/>
        </w:rPr>
        <w:t xml:space="preserve">has an estimated increase in annual labor </w:t>
      </w:r>
      <w:r w:rsidR="00B509DD">
        <w:rPr>
          <w:rFonts w:ascii="Calibri" w:hAnsi="Calibri" w:cs="Calibri"/>
        </w:rPr>
        <w:t xml:space="preserve">burden of </w:t>
      </w:r>
      <w:r w:rsidR="00E77847">
        <w:rPr>
          <w:rFonts w:ascii="Calibri" w:hAnsi="Calibri" w:cs="Calibri"/>
        </w:rPr>
        <w:t xml:space="preserve">38,210 </w:t>
      </w:r>
      <w:r w:rsidR="00B509DD">
        <w:rPr>
          <w:rFonts w:ascii="Calibri" w:hAnsi="Calibri" w:cs="Calibri"/>
        </w:rPr>
        <w:t xml:space="preserve">hours </w:t>
      </w:r>
      <w:r w:rsidR="00027918">
        <w:rPr>
          <w:rFonts w:ascii="Calibri" w:hAnsi="Calibri" w:cs="Calibri"/>
        </w:rPr>
        <w:t xml:space="preserve">at </w:t>
      </w:r>
      <w:r w:rsidR="00634EB4">
        <w:rPr>
          <w:rFonts w:ascii="Calibri" w:hAnsi="Calibri" w:cs="Calibri"/>
        </w:rPr>
        <w:t xml:space="preserve">a </w:t>
      </w:r>
      <w:r w:rsidR="00587B31">
        <w:rPr>
          <w:rFonts w:ascii="Calibri" w:hAnsi="Calibri" w:cs="Calibri"/>
        </w:rPr>
        <w:t>labor cost of $</w:t>
      </w:r>
      <w:r w:rsidR="007E3CB6">
        <w:rPr>
          <w:rFonts w:ascii="Calibri" w:hAnsi="Calibri" w:cs="Calibri"/>
        </w:rPr>
        <w:t>724,853</w:t>
      </w:r>
      <w:r w:rsidR="00587B31">
        <w:rPr>
          <w:rFonts w:ascii="Calibri" w:hAnsi="Calibri" w:cs="Calibri"/>
        </w:rPr>
        <w:t>.</w:t>
      </w:r>
      <w:r w:rsidR="00852AF2">
        <w:rPr>
          <w:rFonts w:ascii="Calibri" w:hAnsi="Calibri" w:cs="Calibri"/>
        </w:rPr>
        <w:t xml:space="preserve"> The </w:t>
      </w:r>
      <w:r w:rsidR="008C636F">
        <w:rPr>
          <w:rFonts w:ascii="Calibri" w:hAnsi="Calibri" w:cs="Calibri"/>
        </w:rPr>
        <w:t xml:space="preserve">estimated increase in Agency </w:t>
      </w:r>
      <w:r w:rsidR="00121F1B">
        <w:rPr>
          <w:rFonts w:ascii="Calibri" w:hAnsi="Calibri" w:cs="Calibri"/>
        </w:rPr>
        <w:t xml:space="preserve">labor </w:t>
      </w:r>
      <w:r w:rsidR="00B24285">
        <w:rPr>
          <w:rFonts w:ascii="Calibri" w:hAnsi="Calibri" w:cs="Calibri"/>
        </w:rPr>
        <w:t>burden</w:t>
      </w:r>
      <w:r w:rsidR="000D7642">
        <w:rPr>
          <w:rFonts w:ascii="Calibri" w:hAnsi="Calibri" w:cs="Calibri"/>
        </w:rPr>
        <w:t xml:space="preserve"> is </w:t>
      </w:r>
      <w:r w:rsidR="007E3CB6">
        <w:rPr>
          <w:rFonts w:ascii="Calibri" w:hAnsi="Calibri" w:cs="Calibri"/>
        </w:rPr>
        <w:t>1,920</w:t>
      </w:r>
      <w:r w:rsidR="000D7642">
        <w:rPr>
          <w:rFonts w:ascii="Calibri" w:hAnsi="Calibri" w:cs="Calibri"/>
        </w:rPr>
        <w:t xml:space="preserve"> hours annually at a </w:t>
      </w:r>
      <w:r w:rsidR="002C3307">
        <w:rPr>
          <w:rFonts w:ascii="Calibri" w:hAnsi="Calibri" w:cs="Calibri"/>
        </w:rPr>
        <w:t>labor cost of $</w:t>
      </w:r>
      <w:r w:rsidR="007E3CB6">
        <w:rPr>
          <w:rFonts w:ascii="Calibri" w:hAnsi="Calibri" w:cs="Calibri"/>
        </w:rPr>
        <w:t>90,981</w:t>
      </w:r>
      <w:r w:rsidR="00815517">
        <w:rPr>
          <w:rFonts w:ascii="Calibri" w:hAnsi="Calibri" w:cs="Calibri"/>
        </w:rPr>
        <w:t>.</w:t>
      </w:r>
      <w:r w:rsidR="00692534">
        <w:rPr>
          <w:rFonts w:ascii="Calibri" w:hAnsi="Calibri" w:cs="Calibri"/>
        </w:rPr>
        <w:t xml:space="preserve"> </w:t>
      </w:r>
    </w:p>
    <w:p w:rsidRPr="00B77785" w:rsidR="003D7E18" w:rsidP="003D7E18" w:rsidRDefault="003D7E18" w14:paraId="212CB9A5" w14:textId="77777777">
      <w:pPr>
        <w:spacing w:after="100" w:afterAutospacing="1" w:line="240" w:lineRule="auto"/>
        <w:contextualSpacing/>
        <w:rPr>
          <w:rFonts w:ascii="Calibri" w:hAnsi="Calibri" w:cs="Calibri"/>
          <w:b/>
        </w:rPr>
      </w:pPr>
    </w:p>
    <w:p w:rsidR="0014768B" w:rsidP="00B77785" w:rsidRDefault="0014768B" w14:paraId="50DCF702" w14:textId="77777777">
      <w:pPr>
        <w:spacing w:after="100" w:afterAutospacing="1" w:line="240" w:lineRule="auto"/>
        <w:contextualSpacing/>
        <w:jc w:val="center"/>
        <w:rPr>
          <w:rFonts w:ascii="Calibri" w:hAnsi="Calibri" w:cs="Calibri"/>
          <w:b/>
          <w:bCs/>
        </w:rPr>
      </w:pPr>
    </w:p>
    <w:p w:rsidRPr="00B77785" w:rsidR="00FB241C" w:rsidP="00B77785" w:rsidRDefault="00FB241C" w14:paraId="7F634904" w14:textId="11645351">
      <w:pPr>
        <w:spacing w:after="100" w:afterAutospacing="1" w:line="240" w:lineRule="auto"/>
        <w:contextualSpacing/>
        <w:jc w:val="center"/>
        <w:rPr>
          <w:rFonts w:ascii="Calibri" w:hAnsi="Calibri" w:cs="Calibri"/>
          <w:b/>
        </w:rPr>
      </w:pPr>
      <w:r w:rsidRPr="00B77785">
        <w:rPr>
          <w:rFonts w:ascii="Calibri" w:hAnsi="Calibri" w:cs="Calibri"/>
          <w:b/>
          <w:bCs/>
        </w:rPr>
        <w:lastRenderedPageBreak/>
        <w:t>Table 1</w:t>
      </w:r>
      <w:r w:rsidR="006711E9">
        <w:rPr>
          <w:rFonts w:ascii="Calibri" w:hAnsi="Calibri" w:cs="Calibri"/>
          <w:b/>
          <w:bCs/>
        </w:rPr>
        <w:t xml:space="preserve"> – Estimated </w:t>
      </w:r>
      <w:r w:rsidR="001C55BF">
        <w:rPr>
          <w:rFonts w:ascii="Calibri" w:hAnsi="Calibri" w:cs="Calibri"/>
          <w:b/>
          <w:bCs/>
        </w:rPr>
        <w:t>Annual</w:t>
      </w:r>
      <w:r w:rsidR="006711E9">
        <w:rPr>
          <w:rFonts w:ascii="Calibri" w:hAnsi="Calibri" w:cs="Calibri"/>
          <w:b/>
          <w:bCs/>
        </w:rPr>
        <w:t xml:space="preserve"> Burden </w:t>
      </w:r>
      <w:r w:rsidR="00CB2EA2">
        <w:rPr>
          <w:rFonts w:ascii="Calibri" w:hAnsi="Calibri" w:cs="Calibri"/>
          <w:b/>
          <w:bCs/>
        </w:rPr>
        <w:t>for the 2021 MSGP</w:t>
      </w:r>
    </w:p>
    <w:tbl>
      <w:tblPr>
        <w:tblStyle w:val="TableGrid"/>
        <w:tblW w:w="0" w:type="auto"/>
        <w:tblInd w:w="1077" w:type="dxa"/>
        <w:tblLook w:val="04A0" w:firstRow="1" w:lastRow="0" w:firstColumn="1" w:lastColumn="0" w:noHBand="0" w:noVBand="1"/>
      </w:tblPr>
      <w:tblGrid>
        <w:gridCol w:w="2306"/>
        <w:gridCol w:w="1355"/>
        <w:gridCol w:w="1413"/>
        <w:gridCol w:w="1151"/>
        <w:gridCol w:w="1243"/>
      </w:tblGrid>
      <w:tr w:rsidR="0014768B" w:rsidTr="00724F73" w14:paraId="4CD21623" w14:textId="7815D771">
        <w:tc>
          <w:tcPr>
            <w:tcW w:w="2306" w:type="dxa"/>
            <w:vMerge w:val="restart"/>
          </w:tcPr>
          <w:p w:rsidR="0014768B" w:rsidP="00D37535" w:rsidRDefault="0014768B" w14:paraId="05D37F5C" w14:textId="6B730752">
            <w:pPr>
              <w:spacing w:after="100" w:afterAutospacing="1"/>
              <w:contextualSpacing/>
              <w:rPr>
                <w:rFonts w:ascii="Calibri" w:hAnsi="Calibri" w:cs="Calibri"/>
                <w:b/>
              </w:rPr>
            </w:pPr>
            <w:r>
              <w:rPr>
                <w:rFonts w:ascii="Calibri" w:hAnsi="Calibri" w:cs="Calibri"/>
                <w:b/>
              </w:rPr>
              <w:t>Burden Category</w:t>
            </w:r>
          </w:p>
        </w:tc>
        <w:tc>
          <w:tcPr>
            <w:tcW w:w="2768" w:type="dxa"/>
            <w:gridSpan w:val="2"/>
          </w:tcPr>
          <w:p w:rsidR="0014768B" w:rsidP="00D37535" w:rsidRDefault="0014768B" w14:paraId="5C809B49" w14:textId="026699DC">
            <w:pPr>
              <w:spacing w:after="100" w:afterAutospacing="1"/>
              <w:contextualSpacing/>
              <w:rPr>
                <w:rFonts w:ascii="Calibri" w:hAnsi="Calibri" w:cs="Calibri"/>
                <w:b/>
              </w:rPr>
            </w:pPr>
            <w:r>
              <w:rPr>
                <w:rFonts w:ascii="Calibri" w:hAnsi="Calibri" w:cs="Calibri"/>
                <w:b/>
              </w:rPr>
              <w:t>Total MSGP Burden Estimate</w:t>
            </w:r>
          </w:p>
        </w:tc>
        <w:tc>
          <w:tcPr>
            <w:tcW w:w="2394" w:type="dxa"/>
            <w:gridSpan w:val="2"/>
          </w:tcPr>
          <w:p w:rsidR="0014768B" w:rsidP="00D37535" w:rsidRDefault="0014768B" w14:paraId="03289831" w14:textId="5D1CB033">
            <w:pPr>
              <w:spacing w:after="100" w:afterAutospacing="1"/>
              <w:contextualSpacing/>
              <w:rPr>
                <w:rFonts w:ascii="Calibri" w:hAnsi="Calibri" w:cs="Calibri"/>
                <w:b/>
              </w:rPr>
            </w:pPr>
            <w:r>
              <w:rPr>
                <w:rFonts w:ascii="Calibri" w:hAnsi="Calibri" w:cs="Calibri"/>
                <w:b/>
              </w:rPr>
              <w:t>Incremental Increase in Burden from the NPDES Programmatic ICR (2017) to 2021 MSGP</w:t>
            </w:r>
          </w:p>
        </w:tc>
      </w:tr>
      <w:tr w:rsidR="0014768B" w:rsidTr="00724F73" w14:paraId="41FB11D6" w14:textId="77777777">
        <w:tc>
          <w:tcPr>
            <w:tcW w:w="2306" w:type="dxa"/>
            <w:vMerge/>
          </w:tcPr>
          <w:p w:rsidR="0014768B" w:rsidP="00F640DA" w:rsidRDefault="0014768B" w14:paraId="15E4245B" w14:textId="77777777">
            <w:pPr>
              <w:spacing w:after="100" w:afterAutospacing="1"/>
              <w:contextualSpacing/>
              <w:rPr>
                <w:rFonts w:ascii="Calibri" w:hAnsi="Calibri" w:cs="Calibri"/>
                <w:b/>
              </w:rPr>
            </w:pPr>
          </w:p>
        </w:tc>
        <w:tc>
          <w:tcPr>
            <w:tcW w:w="1355" w:type="dxa"/>
          </w:tcPr>
          <w:p w:rsidR="0014768B" w:rsidP="00F640DA" w:rsidRDefault="0014768B" w14:paraId="6C53834C" w14:textId="1ECAC830">
            <w:pPr>
              <w:spacing w:after="100" w:afterAutospacing="1"/>
              <w:contextualSpacing/>
              <w:rPr>
                <w:rFonts w:ascii="Calibri" w:hAnsi="Calibri" w:cs="Calibri"/>
                <w:b/>
              </w:rPr>
            </w:pPr>
            <w:r>
              <w:rPr>
                <w:rFonts w:ascii="Calibri" w:hAnsi="Calibri" w:cs="Calibri"/>
                <w:b/>
              </w:rPr>
              <w:t>Labor Burden (hours)</w:t>
            </w:r>
          </w:p>
        </w:tc>
        <w:tc>
          <w:tcPr>
            <w:tcW w:w="1413" w:type="dxa"/>
          </w:tcPr>
          <w:p w:rsidR="0014768B" w:rsidP="00F640DA" w:rsidRDefault="0014768B" w14:paraId="5AE0E0B3" w14:textId="646E9EAB">
            <w:pPr>
              <w:spacing w:after="100" w:afterAutospacing="1"/>
              <w:contextualSpacing/>
              <w:rPr>
                <w:rFonts w:ascii="Calibri" w:hAnsi="Calibri" w:cs="Calibri"/>
                <w:b/>
              </w:rPr>
            </w:pPr>
            <w:r>
              <w:rPr>
                <w:rFonts w:ascii="Calibri" w:hAnsi="Calibri" w:cs="Calibri"/>
                <w:b/>
              </w:rPr>
              <w:t>Labor Cost ($)</w:t>
            </w:r>
          </w:p>
        </w:tc>
        <w:tc>
          <w:tcPr>
            <w:tcW w:w="1151" w:type="dxa"/>
          </w:tcPr>
          <w:p w:rsidR="0014768B" w:rsidP="00F640DA" w:rsidRDefault="0014768B" w14:paraId="00190C6C" w14:textId="44CABDC8">
            <w:pPr>
              <w:spacing w:after="100" w:afterAutospacing="1"/>
              <w:contextualSpacing/>
              <w:rPr>
                <w:rFonts w:ascii="Calibri" w:hAnsi="Calibri" w:cs="Calibri"/>
                <w:b/>
              </w:rPr>
            </w:pPr>
            <w:r>
              <w:rPr>
                <w:rFonts w:ascii="Calibri" w:hAnsi="Calibri" w:cs="Calibri"/>
                <w:b/>
              </w:rPr>
              <w:t>Labor Burden (hours)</w:t>
            </w:r>
          </w:p>
        </w:tc>
        <w:tc>
          <w:tcPr>
            <w:tcW w:w="1243" w:type="dxa"/>
          </w:tcPr>
          <w:p w:rsidR="0014768B" w:rsidP="00F640DA" w:rsidRDefault="0014768B" w14:paraId="5BFE3318" w14:textId="231479AF">
            <w:pPr>
              <w:spacing w:after="100" w:afterAutospacing="1"/>
              <w:contextualSpacing/>
              <w:rPr>
                <w:rFonts w:ascii="Calibri" w:hAnsi="Calibri" w:cs="Calibri"/>
                <w:b/>
              </w:rPr>
            </w:pPr>
            <w:r>
              <w:rPr>
                <w:rFonts w:ascii="Calibri" w:hAnsi="Calibri" w:cs="Calibri"/>
                <w:b/>
              </w:rPr>
              <w:t>Labor Cost ($)</w:t>
            </w:r>
          </w:p>
        </w:tc>
      </w:tr>
      <w:tr w:rsidR="000D78CF" w:rsidTr="00724F73" w14:paraId="3C8ADA04" w14:textId="56E772BE">
        <w:tc>
          <w:tcPr>
            <w:tcW w:w="2306" w:type="dxa"/>
          </w:tcPr>
          <w:p w:rsidRPr="00C949DA" w:rsidR="000D78CF" w:rsidP="00D37535" w:rsidRDefault="000D78CF" w14:paraId="32A815A8" w14:textId="38537B23">
            <w:pPr>
              <w:spacing w:after="100" w:afterAutospacing="1"/>
              <w:contextualSpacing/>
              <w:rPr>
                <w:rFonts w:ascii="Calibri" w:hAnsi="Calibri" w:cs="Calibri"/>
                <w:bCs/>
              </w:rPr>
            </w:pPr>
            <w:r w:rsidRPr="00C949DA">
              <w:rPr>
                <w:rFonts w:ascii="Calibri" w:hAnsi="Calibri" w:cs="Calibri"/>
                <w:bCs/>
              </w:rPr>
              <w:t>Total</w:t>
            </w:r>
            <w:r>
              <w:rPr>
                <w:rFonts w:ascii="Calibri" w:hAnsi="Calibri" w:cs="Calibri"/>
                <w:bCs/>
              </w:rPr>
              <w:t xml:space="preserve"> for Respondents</w:t>
            </w:r>
          </w:p>
        </w:tc>
        <w:tc>
          <w:tcPr>
            <w:tcW w:w="1355" w:type="dxa"/>
          </w:tcPr>
          <w:p w:rsidR="000D78CF" w:rsidP="00D37535" w:rsidRDefault="000D78CF" w14:paraId="755398CF" w14:textId="04F1E8B7">
            <w:pPr>
              <w:spacing w:after="100" w:afterAutospacing="1"/>
              <w:contextualSpacing/>
              <w:rPr>
                <w:rFonts w:ascii="Calibri" w:hAnsi="Calibri" w:cs="Calibri"/>
                <w:b/>
              </w:rPr>
            </w:pPr>
            <w:r>
              <w:rPr>
                <w:rFonts w:ascii="Calibri" w:hAnsi="Calibri" w:cs="Calibri"/>
              </w:rPr>
              <w:t>68,46</w:t>
            </w:r>
            <w:r w:rsidR="00BF14C5">
              <w:rPr>
                <w:rFonts w:ascii="Calibri" w:hAnsi="Calibri" w:cs="Calibri"/>
              </w:rPr>
              <w:t>0</w:t>
            </w:r>
          </w:p>
        </w:tc>
        <w:tc>
          <w:tcPr>
            <w:tcW w:w="1413" w:type="dxa"/>
          </w:tcPr>
          <w:p w:rsidR="000D78CF" w:rsidP="00D37535" w:rsidRDefault="000D78CF" w14:paraId="231A21AE" w14:textId="0DCADA53">
            <w:pPr>
              <w:spacing w:after="100" w:afterAutospacing="1"/>
              <w:contextualSpacing/>
              <w:rPr>
                <w:rFonts w:ascii="Calibri" w:hAnsi="Calibri" w:cs="Calibri"/>
                <w:b/>
              </w:rPr>
            </w:pPr>
            <w:r w:rsidRPr="00255BD8">
              <w:rPr>
                <w:rFonts w:ascii="Calibri" w:hAnsi="Calibri" w:cs="Calibri"/>
              </w:rPr>
              <w:t>2,</w:t>
            </w:r>
            <w:r>
              <w:rPr>
                <w:rFonts w:ascii="Calibri" w:hAnsi="Calibri" w:cs="Calibri"/>
              </w:rPr>
              <w:t>461,922</w:t>
            </w:r>
          </w:p>
        </w:tc>
        <w:tc>
          <w:tcPr>
            <w:tcW w:w="1151" w:type="dxa"/>
          </w:tcPr>
          <w:p w:rsidRPr="00255BD8" w:rsidR="000D78CF" w:rsidP="00D37535" w:rsidRDefault="000D78CF" w14:paraId="0303B42D" w14:textId="15B570F2">
            <w:pPr>
              <w:spacing w:after="100" w:afterAutospacing="1"/>
              <w:contextualSpacing/>
              <w:rPr>
                <w:rFonts w:ascii="Calibri" w:hAnsi="Calibri" w:cs="Calibri"/>
              </w:rPr>
            </w:pPr>
            <w:r>
              <w:rPr>
                <w:rFonts w:ascii="Calibri" w:hAnsi="Calibri" w:cs="Calibri"/>
              </w:rPr>
              <w:t>38,210</w:t>
            </w:r>
          </w:p>
        </w:tc>
        <w:tc>
          <w:tcPr>
            <w:tcW w:w="1243" w:type="dxa"/>
          </w:tcPr>
          <w:p w:rsidRPr="00255BD8" w:rsidR="000D78CF" w:rsidP="00D37535" w:rsidRDefault="000D78CF" w14:paraId="79ADA323" w14:textId="4A86162E">
            <w:pPr>
              <w:spacing w:after="100" w:afterAutospacing="1"/>
              <w:contextualSpacing/>
              <w:rPr>
                <w:rFonts w:ascii="Calibri" w:hAnsi="Calibri" w:cs="Calibri"/>
              </w:rPr>
            </w:pPr>
            <w:r>
              <w:rPr>
                <w:rFonts w:ascii="Calibri" w:hAnsi="Calibri" w:cs="Calibri"/>
              </w:rPr>
              <w:t>724,853</w:t>
            </w:r>
          </w:p>
        </w:tc>
      </w:tr>
      <w:tr w:rsidR="000D78CF" w:rsidTr="00724F73" w14:paraId="5470C853" w14:textId="7B9B93D2">
        <w:tc>
          <w:tcPr>
            <w:tcW w:w="2306" w:type="dxa"/>
          </w:tcPr>
          <w:p w:rsidR="000D78CF" w:rsidP="00D37535" w:rsidRDefault="000D78CF" w14:paraId="26E6145D" w14:textId="3E14613C">
            <w:pPr>
              <w:spacing w:after="100" w:afterAutospacing="1"/>
              <w:contextualSpacing/>
              <w:rPr>
                <w:rFonts w:ascii="Calibri" w:hAnsi="Calibri" w:cs="Calibri"/>
                <w:bCs/>
              </w:rPr>
            </w:pPr>
            <w:r>
              <w:rPr>
                <w:rFonts w:ascii="Calibri" w:hAnsi="Calibri" w:cs="Calibri"/>
                <w:bCs/>
              </w:rPr>
              <w:t>Total for Agency</w:t>
            </w:r>
          </w:p>
        </w:tc>
        <w:tc>
          <w:tcPr>
            <w:tcW w:w="1355" w:type="dxa"/>
          </w:tcPr>
          <w:p w:rsidR="000D78CF" w:rsidP="00D37535" w:rsidRDefault="000D78CF" w14:paraId="63A7EEE7" w14:textId="6C7A8408">
            <w:pPr>
              <w:spacing w:after="100" w:afterAutospacing="1"/>
              <w:contextualSpacing/>
              <w:rPr>
                <w:rFonts w:ascii="Calibri" w:hAnsi="Calibri" w:cs="Calibri"/>
                <w:b/>
              </w:rPr>
            </w:pPr>
            <w:r w:rsidRPr="00255BD8">
              <w:rPr>
                <w:rFonts w:ascii="Calibri" w:hAnsi="Calibri" w:eastAsia="Times New Roman" w:cs="Calibri"/>
                <w:color w:val="000000"/>
              </w:rPr>
              <w:t>3,</w:t>
            </w:r>
            <w:r>
              <w:rPr>
                <w:rFonts w:ascii="Calibri" w:hAnsi="Calibri" w:eastAsia="Times New Roman" w:cs="Calibri"/>
                <w:color w:val="000000"/>
              </w:rPr>
              <w:t>114</w:t>
            </w:r>
          </w:p>
        </w:tc>
        <w:tc>
          <w:tcPr>
            <w:tcW w:w="1413" w:type="dxa"/>
          </w:tcPr>
          <w:p w:rsidR="000D78CF" w:rsidP="00D37535" w:rsidRDefault="000D78CF" w14:paraId="3C84F9D2" w14:textId="5E7F2430">
            <w:pPr>
              <w:spacing w:after="100" w:afterAutospacing="1"/>
              <w:contextualSpacing/>
              <w:rPr>
                <w:rFonts w:ascii="Calibri" w:hAnsi="Calibri" w:cs="Calibri"/>
                <w:b/>
              </w:rPr>
            </w:pPr>
            <w:r w:rsidRPr="00255BD8">
              <w:rPr>
                <w:rFonts w:ascii="Calibri" w:hAnsi="Calibri" w:cs="Calibri"/>
              </w:rPr>
              <w:t>1</w:t>
            </w:r>
            <w:r>
              <w:rPr>
                <w:rFonts w:ascii="Calibri" w:hAnsi="Calibri" w:cs="Calibri"/>
              </w:rPr>
              <w:t>42,108</w:t>
            </w:r>
          </w:p>
        </w:tc>
        <w:tc>
          <w:tcPr>
            <w:tcW w:w="1151" w:type="dxa"/>
          </w:tcPr>
          <w:p w:rsidRPr="00255BD8" w:rsidR="000D78CF" w:rsidP="00D37535" w:rsidRDefault="000D78CF" w14:paraId="6AF27477" w14:textId="4E0F5164">
            <w:pPr>
              <w:spacing w:after="100" w:afterAutospacing="1"/>
              <w:contextualSpacing/>
              <w:rPr>
                <w:rFonts w:ascii="Calibri" w:hAnsi="Calibri" w:cs="Calibri"/>
              </w:rPr>
            </w:pPr>
            <w:r>
              <w:rPr>
                <w:rFonts w:ascii="Calibri" w:hAnsi="Calibri" w:cs="Calibri"/>
              </w:rPr>
              <w:t>1,920</w:t>
            </w:r>
          </w:p>
        </w:tc>
        <w:tc>
          <w:tcPr>
            <w:tcW w:w="1243" w:type="dxa"/>
          </w:tcPr>
          <w:p w:rsidRPr="00255BD8" w:rsidR="000D78CF" w:rsidP="00D37535" w:rsidRDefault="00717854" w14:paraId="14AA6346" w14:textId="719A60F2">
            <w:pPr>
              <w:spacing w:after="100" w:afterAutospacing="1"/>
              <w:contextualSpacing/>
              <w:rPr>
                <w:rFonts w:ascii="Calibri" w:hAnsi="Calibri" w:cs="Calibri"/>
              </w:rPr>
            </w:pPr>
            <w:r>
              <w:rPr>
                <w:rFonts w:ascii="Calibri" w:hAnsi="Calibri" w:cs="Calibri"/>
              </w:rPr>
              <w:t>90,981</w:t>
            </w:r>
          </w:p>
        </w:tc>
      </w:tr>
    </w:tbl>
    <w:p w:rsidRPr="00237500" w:rsidR="00D33CDD" w:rsidP="00D37535" w:rsidRDefault="00D33CDD" w14:paraId="12C2CE24" w14:textId="77777777">
      <w:pPr>
        <w:spacing w:after="100" w:afterAutospacing="1" w:line="240" w:lineRule="auto"/>
        <w:contextualSpacing/>
        <w:rPr>
          <w:rFonts w:ascii="Calibri" w:hAnsi="Calibri" w:cs="Calibri"/>
          <w:b/>
        </w:rPr>
      </w:pPr>
    </w:p>
    <w:p w:rsidRPr="001E010D" w:rsidR="00E141D4" w:rsidP="00D37535" w:rsidRDefault="00E141D4" w14:paraId="0CB738BD" w14:textId="22B30795">
      <w:pPr>
        <w:pStyle w:val="Heading1"/>
        <w:spacing w:before="0" w:after="100" w:afterAutospacing="1" w:line="240" w:lineRule="auto"/>
        <w:contextualSpacing/>
      </w:pPr>
      <w:bookmarkStart w:name="_Toc24963863" w:id="4"/>
      <w:r w:rsidRPr="001E010D">
        <w:t>Need for and Use of Collection</w:t>
      </w:r>
      <w:bookmarkEnd w:id="4"/>
      <w:r w:rsidRPr="001E010D">
        <w:t xml:space="preserve"> </w:t>
      </w:r>
    </w:p>
    <w:p w:rsidRPr="001E010D" w:rsidR="00454E33" w:rsidP="00D37535" w:rsidRDefault="00454E33" w14:paraId="6C086088" w14:textId="31D7FFDC">
      <w:pPr>
        <w:pStyle w:val="Heading2"/>
        <w:spacing w:before="0" w:after="100" w:afterAutospacing="1" w:line="240" w:lineRule="auto"/>
        <w:ind w:hanging="720"/>
        <w:contextualSpacing/>
      </w:pPr>
      <w:bookmarkStart w:name="_Toc24963864" w:id="5"/>
      <w:r w:rsidRPr="001E010D">
        <w:t>Need/</w:t>
      </w:r>
      <w:r w:rsidRPr="008145EC">
        <w:t>Authority</w:t>
      </w:r>
      <w:r w:rsidRPr="001E010D">
        <w:t xml:space="preserve"> for the Collection</w:t>
      </w:r>
      <w:bookmarkEnd w:id="5"/>
    </w:p>
    <w:p w:rsidRPr="001E010D" w:rsidR="004F15F7" w:rsidP="00D37535" w:rsidRDefault="004F15F7" w14:paraId="63553695" w14:textId="5A838AE6">
      <w:pPr>
        <w:spacing w:after="100" w:afterAutospacing="1" w:line="240" w:lineRule="auto"/>
        <w:contextualSpacing/>
        <w:rPr>
          <w:rFonts w:ascii="Calibri" w:hAnsi="Calibri" w:cs="Calibri"/>
        </w:rPr>
      </w:pPr>
      <w:r w:rsidRPr="001E010D">
        <w:rPr>
          <w:rFonts w:ascii="Calibri" w:hAnsi="Calibri" w:cs="Calibri"/>
        </w:rPr>
        <w:t xml:space="preserve">Congress passed the Federal Water Pollution Control Act of 1972 (Public Law 92-500, October 18, 1972) (hereinafter the Clean Water Act or CWA), 33 U.S.C. 1251 et seq., with the stated objectives to "restore and maintain the chemical, physical, and biological integrity of the Nation's waters." Section 101(a), 33 U.S.C. 1251(a). To achieve this goal, the CWA provides that “the discharge of any pollutant by any person shall be unlawful” except in compliance with other provisions of the statute. CWA section 301(a). 33 U.S.C. 1311. The CWA defines “discharge of a pollutant” broadly to include “any addition of any pollutant to navigable waters from any point source.” CWA section 502(12). 33 U.S.C. 1362(12). </w:t>
      </w:r>
      <w:r w:rsidR="00F414E5">
        <w:rPr>
          <w:rFonts w:ascii="Calibri" w:hAnsi="Calibri" w:cs="Calibri"/>
        </w:rPr>
        <w:t>EPA</w:t>
      </w:r>
      <w:r w:rsidRPr="001E010D">
        <w:rPr>
          <w:rFonts w:ascii="Calibri" w:hAnsi="Calibri" w:cs="Calibri"/>
        </w:rPr>
        <w:t xml:space="preserve"> is authorized under CWA section 402(a) to issue an NPDES permit for the discharge of any pollutant from a point source. These NPDES permits are issued by </w:t>
      </w:r>
      <w:r w:rsidR="00F414E5">
        <w:rPr>
          <w:rFonts w:ascii="Calibri" w:hAnsi="Calibri" w:cs="Calibri"/>
        </w:rPr>
        <w:t>EPA</w:t>
      </w:r>
      <w:r w:rsidRPr="001E010D">
        <w:rPr>
          <w:rFonts w:ascii="Calibri" w:hAnsi="Calibri" w:cs="Calibri"/>
        </w:rPr>
        <w:t xml:space="preserve"> or NPDES-authorized state or tribal agencies. Since 1972, </w:t>
      </w:r>
      <w:r w:rsidR="00F414E5">
        <w:rPr>
          <w:rFonts w:ascii="Calibri" w:hAnsi="Calibri" w:cs="Calibri"/>
        </w:rPr>
        <w:t>EPA</w:t>
      </w:r>
      <w:r w:rsidRPr="001E010D">
        <w:rPr>
          <w:rFonts w:ascii="Calibri" w:hAnsi="Calibri" w:cs="Calibri"/>
        </w:rPr>
        <w:t xml:space="preserve"> and the authorized states have issued NPDES permits to thousands of </w:t>
      </w:r>
      <w:r w:rsidR="004116F6">
        <w:rPr>
          <w:rFonts w:ascii="Calibri" w:hAnsi="Calibri" w:cs="Calibri"/>
        </w:rPr>
        <w:t>permittees</w:t>
      </w:r>
      <w:r w:rsidRPr="001E010D">
        <w:rPr>
          <w:rFonts w:ascii="Calibri" w:hAnsi="Calibri" w:cs="Calibri"/>
        </w:rPr>
        <w:t>, both industrial (e.g., manufacturing, energy</w:t>
      </w:r>
      <w:r w:rsidRPr="001E010D" w:rsidR="007D4E2A">
        <w:rPr>
          <w:rFonts w:ascii="Calibri" w:hAnsi="Calibri" w:cs="Calibri"/>
        </w:rPr>
        <w:t xml:space="preserve">, </w:t>
      </w:r>
      <w:r w:rsidRPr="001E010D">
        <w:rPr>
          <w:rFonts w:ascii="Calibri" w:hAnsi="Calibri" w:cs="Calibri"/>
        </w:rPr>
        <w:t>mining facilities</w:t>
      </w:r>
      <w:r w:rsidR="00F367F8">
        <w:rPr>
          <w:rFonts w:ascii="Calibri" w:hAnsi="Calibri" w:cs="Calibri"/>
        </w:rPr>
        <w:t>, construction sites</w:t>
      </w:r>
      <w:r w:rsidRPr="001E010D">
        <w:rPr>
          <w:rFonts w:ascii="Calibri" w:hAnsi="Calibri" w:cs="Calibri"/>
        </w:rPr>
        <w:t xml:space="preserve">) and municipal (e.g., sewage treatment plants). As required under Title III of the CWA, </w:t>
      </w:r>
      <w:r w:rsidR="00F414E5">
        <w:rPr>
          <w:rFonts w:ascii="Calibri" w:hAnsi="Calibri" w:cs="Calibri"/>
        </w:rPr>
        <w:t>EPA</w:t>
      </w:r>
      <w:r w:rsidRPr="001E010D">
        <w:rPr>
          <w:rFonts w:ascii="Calibri" w:hAnsi="Calibri" w:cs="Calibri"/>
        </w:rPr>
        <w:t xml:space="preserve"> has promulgated Effluent Limitations Guidelines (ELGs) and New Source Performance Standards (NSPS) for many industrial point source categories and these requirements are incorporated into NPDES permits. The Water Quality Act (WQA) of 1987 (Public Law 100-4, February 4, 1987) amended the CWA, adding CWA section 402(p), requiring implementation of a comprehensive program for addressing stormwater discharges. 33 U.S.C. 1342(p). </w:t>
      </w:r>
      <w:r w:rsidR="00F414E5">
        <w:rPr>
          <w:rFonts w:ascii="Calibri" w:hAnsi="Calibri" w:cs="Calibri"/>
        </w:rPr>
        <w:t>EPA</w:t>
      </w:r>
      <w:r w:rsidRPr="001E010D">
        <w:rPr>
          <w:rFonts w:ascii="Calibri" w:hAnsi="Calibri" w:cs="Calibri"/>
        </w:rPr>
        <w:t xml:space="preserve"> published a final regulation on the first phase of this program on November 16, 1990, establishing permit application requirements for “stormwater discharges associated with industrial activity”. See 55 FR 47990. </w:t>
      </w:r>
      <w:r w:rsidR="00F414E5">
        <w:rPr>
          <w:rFonts w:ascii="Calibri" w:hAnsi="Calibri" w:cs="Calibri"/>
        </w:rPr>
        <w:t>EPA</w:t>
      </w:r>
      <w:r w:rsidRPr="001E010D">
        <w:rPr>
          <w:rFonts w:ascii="Calibri" w:hAnsi="Calibri" w:cs="Calibri"/>
        </w:rPr>
        <w:t xml:space="preserve"> defined the term “stormwater discharge associated with industrial activity” in a comprehensive manner to cover a wide variety of facilities. See 40 CFR 122.26(b)(14). </w:t>
      </w:r>
      <w:r w:rsidR="00F414E5">
        <w:rPr>
          <w:rFonts w:ascii="Calibri" w:hAnsi="Calibri" w:cs="Calibri"/>
        </w:rPr>
        <w:t>EPA</w:t>
      </w:r>
      <w:r w:rsidRPr="001E010D">
        <w:rPr>
          <w:rFonts w:ascii="Calibri" w:hAnsi="Calibri" w:cs="Calibri"/>
        </w:rPr>
        <w:t xml:space="preserve"> issues the MSGP under this statutory and regulatory authority.</w:t>
      </w:r>
    </w:p>
    <w:p w:rsidRPr="001E010D" w:rsidR="000E5284" w:rsidP="00D37535" w:rsidRDefault="000E5284" w14:paraId="5DCC54A2" w14:textId="77777777">
      <w:pPr>
        <w:spacing w:after="100" w:afterAutospacing="1" w:line="240" w:lineRule="auto"/>
        <w:contextualSpacing/>
        <w:rPr>
          <w:rFonts w:ascii="Calibri" w:hAnsi="Calibri" w:cs="Calibri"/>
        </w:rPr>
      </w:pPr>
    </w:p>
    <w:p w:rsidRPr="001E010D" w:rsidR="004F15F7" w:rsidP="00D37535" w:rsidRDefault="004F15F7" w14:paraId="54757864" w14:textId="149B491C">
      <w:pPr>
        <w:spacing w:after="100" w:afterAutospacing="1" w:line="240" w:lineRule="auto"/>
        <w:contextualSpacing/>
        <w:rPr>
          <w:rFonts w:ascii="Calibri" w:hAnsi="Calibri" w:cs="Calibri"/>
        </w:rPr>
      </w:pPr>
      <w:r w:rsidRPr="001E010D">
        <w:rPr>
          <w:rFonts w:ascii="Calibri" w:hAnsi="Calibri" w:cs="Calibri"/>
        </w:rPr>
        <w:t xml:space="preserve">While the regulations establish </w:t>
      </w:r>
      <w:r w:rsidR="00F414E5">
        <w:rPr>
          <w:rFonts w:ascii="Calibri" w:hAnsi="Calibri" w:cs="Calibri"/>
        </w:rPr>
        <w:t>EPA</w:t>
      </w:r>
      <w:r w:rsidRPr="001E010D">
        <w:rPr>
          <w:rFonts w:ascii="Calibri" w:hAnsi="Calibri" w:cs="Calibri"/>
        </w:rPr>
        <w:t xml:space="preserve">’s authority and requirement to collect information under the MSGP, </w:t>
      </w:r>
      <w:r w:rsidR="00F414E5">
        <w:rPr>
          <w:rFonts w:ascii="Calibri" w:hAnsi="Calibri" w:cs="Calibri"/>
        </w:rPr>
        <w:t>EPA</w:t>
      </w:r>
      <w:r w:rsidRPr="001E010D">
        <w:rPr>
          <w:rFonts w:ascii="Calibri" w:hAnsi="Calibri" w:cs="Calibri"/>
        </w:rPr>
        <w:t xml:space="preserve"> has specific needs for collecting the data, which include:</w:t>
      </w:r>
    </w:p>
    <w:p w:rsidR="005D0FEF" w:rsidP="00D37535" w:rsidRDefault="005D0FEF" w14:paraId="7DD15104" w14:textId="245081E1">
      <w:pPr>
        <w:pStyle w:val="ListParagraph"/>
        <w:numPr>
          <w:ilvl w:val="0"/>
          <w:numId w:val="5"/>
        </w:numPr>
        <w:spacing w:after="100" w:afterAutospacing="1" w:line="240" w:lineRule="auto"/>
        <w:rPr>
          <w:rFonts w:ascii="Calibri" w:hAnsi="Calibri" w:cs="Calibri"/>
        </w:rPr>
      </w:pPr>
      <w:r>
        <w:rPr>
          <w:rFonts w:ascii="Calibri" w:hAnsi="Calibri" w:cs="Calibri"/>
        </w:rPr>
        <w:t xml:space="preserve">To provide information supporting </w:t>
      </w:r>
      <w:r w:rsidR="000E5284">
        <w:rPr>
          <w:rFonts w:ascii="Calibri" w:hAnsi="Calibri" w:cs="Calibri"/>
        </w:rPr>
        <w:t xml:space="preserve">operator </w:t>
      </w:r>
      <w:r>
        <w:rPr>
          <w:rFonts w:ascii="Calibri" w:hAnsi="Calibri" w:cs="Calibri"/>
        </w:rPr>
        <w:t>eligibility to be covered by the permit;</w:t>
      </w:r>
    </w:p>
    <w:p w:rsidRPr="001E010D" w:rsidR="004F15F7" w:rsidP="00D37535" w:rsidRDefault="004F15F7" w14:paraId="27D2B8C7" w14:textId="75BA0EA9">
      <w:pPr>
        <w:pStyle w:val="ListParagraph"/>
        <w:numPr>
          <w:ilvl w:val="0"/>
          <w:numId w:val="5"/>
        </w:numPr>
        <w:spacing w:after="100" w:afterAutospacing="1" w:line="240" w:lineRule="auto"/>
        <w:rPr>
          <w:rFonts w:ascii="Calibri" w:hAnsi="Calibri" w:cs="Calibri"/>
        </w:rPr>
      </w:pPr>
      <w:r w:rsidRPr="001E010D">
        <w:rPr>
          <w:rFonts w:ascii="Calibri" w:hAnsi="Calibri" w:cs="Calibri"/>
        </w:rPr>
        <w:t>To provide information on pollutant discharge trends for performance measures;</w:t>
      </w:r>
    </w:p>
    <w:p w:rsidRPr="001E010D" w:rsidR="004F15F7" w:rsidP="00D37535" w:rsidRDefault="004F15F7" w14:paraId="4B23D050" w14:textId="10D31152">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provide information to </w:t>
      </w:r>
      <w:r w:rsidR="00F414E5">
        <w:rPr>
          <w:rFonts w:ascii="Calibri" w:hAnsi="Calibri" w:cs="Calibri"/>
        </w:rPr>
        <w:t>EPA</w:t>
      </w:r>
      <w:r w:rsidRPr="001E010D">
        <w:rPr>
          <w:rFonts w:ascii="Calibri" w:hAnsi="Calibri" w:cs="Calibri"/>
        </w:rPr>
        <w:t xml:space="preserve"> and states to prioritize permit activities;</w:t>
      </w:r>
    </w:p>
    <w:p w:rsidRPr="001E010D" w:rsidR="004F15F7" w:rsidP="00D37535" w:rsidRDefault="004F15F7" w14:paraId="4A635139" w14:textId="0C4C1FB4">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determine whether </w:t>
      </w:r>
      <w:r w:rsidR="00B43C13">
        <w:rPr>
          <w:rFonts w:ascii="Calibri" w:hAnsi="Calibri" w:cs="Calibri"/>
        </w:rPr>
        <w:t>operators</w:t>
      </w:r>
      <w:r w:rsidRPr="001E010D" w:rsidR="00B43C13">
        <w:rPr>
          <w:rFonts w:ascii="Calibri" w:hAnsi="Calibri" w:cs="Calibri"/>
        </w:rPr>
        <w:t xml:space="preserve"> </w:t>
      </w:r>
      <w:r w:rsidRPr="001E010D">
        <w:rPr>
          <w:rFonts w:ascii="Calibri" w:hAnsi="Calibri" w:cs="Calibri"/>
        </w:rPr>
        <w:t>are in compliance with permit conditions; and</w:t>
      </w:r>
    </w:p>
    <w:p w:rsidR="004F15F7" w:rsidP="00D37535" w:rsidRDefault="004F15F7" w14:paraId="59BE60F8" w14:textId="4CCE2C26">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provide information to </w:t>
      </w:r>
      <w:r w:rsidR="00F414E5">
        <w:rPr>
          <w:rFonts w:ascii="Calibri" w:hAnsi="Calibri" w:cs="Calibri"/>
        </w:rPr>
        <w:t>EPA</w:t>
      </w:r>
      <w:r w:rsidRPr="001E010D">
        <w:rPr>
          <w:rFonts w:ascii="Calibri" w:hAnsi="Calibri" w:cs="Calibri"/>
        </w:rPr>
        <w:t xml:space="preserve"> to determine the need for and develop permit limits. </w:t>
      </w:r>
    </w:p>
    <w:p w:rsidRPr="00CA334C" w:rsidR="00454E33" w:rsidP="00D37535" w:rsidRDefault="00454E33" w14:paraId="186C3240" w14:textId="46246AE6">
      <w:pPr>
        <w:pStyle w:val="Style1"/>
        <w:spacing w:before="0" w:after="100" w:afterAutospacing="1" w:line="240" w:lineRule="auto"/>
        <w:contextualSpacing/>
      </w:pPr>
      <w:bookmarkStart w:name="_Toc24963865" w:id="6"/>
      <w:r w:rsidRPr="00CA334C">
        <w:lastRenderedPageBreak/>
        <w:t>Practical Utility/Users of the Data</w:t>
      </w:r>
      <w:bookmarkEnd w:id="6"/>
    </w:p>
    <w:p w:rsidRPr="001E010D" w:rsidR="00D640A6" w:rsidP="00D37535" w:rsidRDefault="00D640A6" w14:paraId="7E25D02C" w14:textId="48A0F45A">
      <w:pPr>
        <w:spacing w:after="100" w:afterAutospacing="1" w:line="240" w:lineRule="auto"/>
        <w:contextualSpacing/>
        <w:rPr>
          <w:rFonts w:ascii="Calibri" w:hAnsi="Calibri" w:cs="Calibri"/>
          <w:b/>
        </w:rPr>
      </w:pPr>
      <w:r w:rsidRPr="001E010D">
        <w:rPr>
          <w:rFonts w:ascii="Calibri" w:hAnsi="Calibri" w:cs="Calibri"/>
        </w:rPr>
        <w:t xml:space="preserve">This ICR includes information used primarily by </w:t>
      </w:r>
      <w:r w:rsidR="00376489">
        <w:rPr>
          <w:rFonts w:ascii="Calibri" w:hAnsi="Calibri" w:cs="Calibri"/>
        </w:rPr>
        <w:t>respondents</w:t>
      </w:r>
      <w:r w:rsidRPr="001E010D" w:rsidR="00376489">
        <w:rPr>
          <w:rFonts w:ascii="Calibri" w:hAnsi="Calibri" w:cs="Calibri"/>
        </w:rPr>
        <w:t xml:space="preserve"> </w:t>
      </w:r>
      <w:r w:rsidRPr="001E010D">
        <w:rPr>
          <w:rFonts w:ascii="Calibri" w:hAnsi="Calibri" w:cs="Calibri"/>
        </w:rPr>
        <w:t xml:space="preserve">and </w:t>
      </w:r>
      <w:r w:rsidR="00F414E5">
        <w:rPr>
          <w:rFonts w:ascii="Calibri" w:hAnsi="Calibri" w:cs="Calibri"/>
        </w:rPr>
        <w:t>EPA</w:t>
      </w:r>
      <w:r w:rsidRPr="001E010D">
        <w:rPr>
          <w:rFonts w:ascii="Calibri" w:hAnsi="Calibri" w:cs="Calibri"/>
        </w:rPr>
        <w:t xml:space="preserve">. </w:t>
      </w:r>
      <w:r w:rsidR="00F414E5">
        <w:rPr>
          <w:rFonts w:ascii="Calibri" w:hAnsi="Calibri" w:cs="Calibri"/>
        </w:rPr>
        <w:t>EPA</w:t>
      </w:r>
      <w:r w:rsidRPr="001E010D">
        <w:rPr>
          <w:rFonts w:ascii="Calibri" w:hAnsi="Calibri" w:cs="Calibri"/>
        </w:rPr>
        <w:t xml:space="preserve"> anticipates that other government agencies (both state and federal), as well as public interest groups, private companies, and individuals, will also use the data. Much of these data must be submitted to </w:t>
      </w:r>
      <w:r w:rsidR="00F414E5">
        <w:rPr>
          <w:rFonts w:ascii="Calibri" w:hAnsi="Calibri" w:cs="Calibri"/>
        </w:rPr>
        <w:t>EPA</w:t>
      </w:r>
      <w:r w:rsidRPr="001E010D">
        <w:rPr>
          <w:rFonts w:ascii="Calibri" w:hAnsi="Calibri" w:cs="Calibri"/>
        </w:rPr>
        <w:t xml:space="preserve">, while other information must be maintained on-site by the </w:t>
      </w:r>
      <w:r w:rsidR="000E5284">
        <w:rPr>
          <w:rFonts w:ascii="Calibri" w:hAnsi="Calibri" w:cs="Calibri"/>
        </w:rPr>
        <w:t>operator</w:t>
      </w:r>
      <w:r w:rsidRPr="001E010D">
        <w:rPr>
          <w:rFonts w:ascii="Calibri" w:hAnsi="Calibri" w:cs="Calibri"/>
        </w:rPr>
        <w:t>.</w:t>
      </w:r>
    </w:p>
    <w:p w:rsidRPr="001E010D" w:rsidR="00E141D4" w:rsidP="00D37535" w:rsidRDefault="00E141D4" w14:paraId="09D08A02" w14:textId="77777777">
      <w:pPr>
        <w:pStyle w:val="Heading1"/>
        <w:spacing w:before="0" w:after="100" w:afterAutospacing="1" w:line="240" w:lineRule="auto"/>
        <w:contextualSpacing/>
      </w:pPr>
      <w:bookmarkStart w:name="_Toc24963866" w:id="7"/>
      <w:r w:rsidRPr="001E010D">
        <w:t>Non Duplication, Consultations, &amp; Other Collection Criteria</w:t>
      </w:r>
      <w:bookmarkEnd w:id="7"/>
      <w:r w:rsidRPr="001E010D">
        <w:t xml:space="preserve"> </w:t>
      </w:r>
    </w:p>
    <w:p w:rsidRPr="00CA334C" w:rsidR="00454E33" w:rsidP="00D37535" w:rsidRDefault="00454E33" w14:paraId="204B3084" w14:textId="026A8283">
      <w:pPr>
        <w:pStyle w:val="Style1"/>
        <w:spacing w:before="0" w:after="100" w:afterAutospacing="1" w:line="240" w:lineRule="auto"/>
        <w:contextualSpacing/>
      </w:pPr>
      <w:bookmarkStart w:name="_Toc24963867" w:id="8"/>
      <w:r w:rsidRPr="00CA334C">
        <w:t>Non duplication</w:t>
      </w:r>
      <w:bookmarkEnd w:id="8"/>
    </w:p>
    <w:p w:rsidRPr="001E010D" w:rsidR="0036538F" w:rsidP="00D37535" w:rsidRDefault="00856A3B" w14:paraId="4B1D85A0" w14:textId="75067108">
      <w:pPr>
        <w:spacing w:after="100" w:afterAutospacing="1" w:line="240" w:lineRule="auto"/>
        <w:contextualSpacing/>
        <w:rPr>
          <w:rFonts w:ascii="Calibri" w:hAnsi="Calibri" w:cs="Calibri"/>
          <w:b/>
        </w:rPr>
      </w:pPr>
      <w:r>
        <w:rPr>
          <w:rFonts w:ascii="Calibri" w:hAnsi="Calibri" w:cs="Calibri"/>
        </w:rPr>
        <w:t>All</w:t>
      </w:r>
      <w:r w:rsidRPr="001E010D" w:rsidR="0036538F">
        <w:rPr>
          <w:rFonts w:ascii="Calibri" w:hAnsi="Calibri" w:cs="Calibri"/>
        </w:rPr>
        <w:t xml:space="preserve"> information requested from respondents under this ICR is required </w:t>
      </w:r>
      <w:r w:rsidRPr="001E010D" w:rsidR="00FF5E1B">
        <w:rPr>
          <w:rFonts w:ascii="Calibri" w:hAnsi="Calibri" w:cs="Calibri"/>
        </w:rPr>
        <w:t>in order to comply with the permit</w:t>
      </w:r>
      <w:r w:rsidRPr="001E010D" w:rsidR="0036538F">
        <w:rPr>
          <w:rFonts w:ascii="Calibri" w:hAnsi="Calibri" w:cs="Calibri"/>
        </w:rPr>
        <w:t xml:space="preserve"> and is not available from other sources</w:t>
      </w:r>
      <w:r w:rsidRPr="001E010D" w:rsidR="00C0414D">
        <w:rPr>
          <w:rFonts w:ascii="Calibri" w:hAnsi="Calibri" w:cs="Calibri"/>
        </w:rPr>
        <w:t>.</w:t>
      </w:r>
    </w:p>
    <w:p w:rsidRPr="001E010D" w:rsidR="00454E33" w:rsidP="00D37535" w:rsidRDefault="00454E33" w14:paraId="7F90FDDC" w14:textId="359A0A96">
      <w:pPr>
        <w:pStyle w:val="Style1"/>
        <w:spacing w:before="0" w:after="100" w:afterAutospacing="1" w:line="240" w:lineRule="auto"/>
        <w:contextualSpacing/>
      </w:pPr>
      <w:bookmarkStart w:name="_Toc24963868" w:id="9"/>
      <w:r w:rsidRPr="001E010D">
        <w:t>Public Notice Required Prior to ICR submission to OMB</w:t>
      </w:r>
      <w:bookmarkEnd w:id="9"/>
    </w:p>
    <w:p w:rsidRPr="001E010D" w:rsidR="00F8329C" w:rsidP="00D37535" w:rsidRDefault="00F8329C" w14:paraId="7194EB3D" w14:textId="264C33E2">
      <w:pPr>
        <w:spacing w:after="100" w:afterAutospacing="1" w:line="240" w:lineRule="auto"/>
        <w:contextualSpacing/>
        <w:rPr>
          <w:rFonts w:ascii="Calibri" w:hAnsi="Calibri" w:cs="Calibri"/>
          <w:b/>
        </w:rPr>
      </w:pPr>
      <w:r w:rsidRPr="001E010D">
        <w:rPr>
          <w:rFonts w:ascii="Calibri" w:hAnsi="Calibri" w:cs="Calibri"/>
        </w:rPr>
        <w:t xml:space="preserve">Announcement of </w:t>
      </w:r>
      <w:r w:rsidR="001C220A">
        <w:rPr>
          <w:rFonts w:ascii="Calibri" w:hAnsi="Calibri" w:cs="Calibri"/>
        </w:rPr>
        <w:t xml:space="preserve">the </w:t>
      </w:r>
      <w:r w:rsidR="00825156">
        <w:rPr>
          <w:rFonts w:ascii="Calibri" w:hAnsi="Calibri" w:cs="Calibri"/>
        </w:rPr>
        <w:t>proposed</w:t>
      </w:r>
      <w:r w:rsidR="001C220A">
        <w:rPr>
          <w:rFonts w:ascii="Calibri" w:hAnsi="Calibri" w:cs="Calibri"/>
        </w:rPr>
        <w:t xml:space="preserve"> </w:t>
      </w:r>
      <w:r w:rsidRPr="001E010D">
        <w:rPr>
          <w:rFonts w:ascii="Calibri" w:hAnsi="Calibri" w:cs="Calibri"/>
        </w:rPr>
        <w:t xml:space="preserve">ICR </w:t>
      </w:r>
      <w:r w:rsidR="001C220A">
        <w:rPr>
          <w:rFonts w:ascii="Calibri" w:hAnsi="Calibri" w:cs="Calibri"/>
        </w:rPr>
        <w:t>was</w:t>
      </w:r>
      <w:r w:rsidRPr="001E010D">
        <w:rPr>
          <w:rFonts w:ascii="Calibri" w:hAnsi="Calibri" w:cs="Calibri"/>
        </w:rPr>
        <w:t xml:space="preserve"> published i</w:t>
      </w:r>
      <w:r w:rsidR="00D70BBA">
        <w:rPr>
          <w:rFonts w:ascii="Calibri" w:hAnsi="Calibri" w:cs="Calibri"/>
        </w:rPr>
        <w:t>n</w:t>
      </w:r>
      <w:r w:rsidRPr="001E010D">
        <w:rPr>
          <w:rFonts w:ascii="Calibri" w:hAnsi="Calibri" w:cs="Calibri"/>
        </w:rPr>
        <w:t xml:space="preserve"> the </w:t>
      </w:r>
      <w:r w:rsidRPr="001E010D">
        <w:rPr>
          <w:rFonts w:ascii="Calibri" w:hAnsi="Calibri" w:cs="Calibri"/>
          <w:i/>
          <w:iCs/>
        </w:rPr>
        <w:t>Federal Register</w:t>
      </w:r>
      <w:r w:rsidRPr="001E61E4" w:rsidR="00825156">
        <w:rPr>
          <w:rFonts w:ascii="Calibri" w:hAnsi="Calibri" w:cs="Calibri"/>
        </w:rPr>
        <w:t xml:space="preserve"> </w:t>
      </w:r>
      <w:r w:rsidR="00956D75">
        <w:rPr>
          <w:rFonts w:ascii="Calibri" w:hAnsi="Calibri" w:cs="Calibri"/>
        </w:rPr>
        <w:t>(</w:t>
      </w:r>
      <w:r w:rsidRPr="00575040" w:rsidR="00575040">
        <w:rPr>
          <w:rFonts w:ascii="Calibri" w:hAnsi="Calibri" w:cs="Calibri"/>
        </w:rPr>
        <w:t xml:space="preserve">85 </w:t>
      </w:r>
      <w:r w:rsidRPr="00B641F9" w:rsidR="00575040">
        <w:rPr>
          <w:rFonts w:ascii="Calibri" w:hAnsi="Calibri" w:cs="Calibri"/>
        </w:rPr>
        <w:t>FR</w:t>
      </w:r>
      <w:r w:rsidRPr="00575040" w:rsidR="00575040">
        <w:rPr>
          <w:rFonts w:ascii="Calibri" w:hAnsi="Calibri" w:cs="Calibri"/>
        </w:rPr>
        <w:t xml:space="preserve"> 12288</w:t>
      </w:r>
      <w:r w:rsidR="00575040">
        <w:rPr>
          <w:rFonts w:ascii="Calibri" w:hAnsi="Calibri" w:cs="Calibri"/>
        </w:rPr>
        <w:t>)</w:t>
      </w:r>
      <w:r w:rsidRPr="009F4333" w:rsidR="00575040">
        <w:rPr>
          <w:rFonts w:ascii="Calibri" w:hAnsi="Calibri" w:cs="Calibri"/>
        </w:rPr>
        <w:t xml:space="preserve"> </w:t>
      </w:r>
      <w:r w:rsidRPr="001E61E4" w:rsidR="00825156">
        <w:rPr>
          <w:rFonts w:ascii="Calibri" w:hAnsi="Calibri" w:cs="Calibri"/>
        </w:rPr>
        <w:t xml:space="preserve">on </w:t>
      </w:r>
      <w:r w:rsidR="00575040">
        <w:rPr>
          <w:rFonts w:ascii="Calibri" w:hAnsi="Calibri" w:cs="Calibri"/>
        </w:rPr>
        <w:t xml:space="preserve">March 2, 2020, </w:t>
      </w:r>
      <w:r w:rsidRPr="001E61E4" w:rsidR="00825156">
        <w:rPr>
          <w:rFonts w:ascii="Calibri" w:hAnsi="Calibri" w:cs="Calibri"/>
        </w:rPr>
        <w:t xml:space="preserve">and </w:t>
      </w:r>
      <w:r w:rsidRPr="21CC52BB" w:rsidR="52DD1391">
        <w:rPr>
          <w:rFonts w:ascii="Calibri" w:hAnsi="Calibri" w:cs="Calibri"/>
        </w:rPr>
        <w:t xml:space="preserve">open to </w:t>
      </w:r>
      <w:r w:rsidRPr="21CC52BB" w:rsidR="00825156">
        <w:rPr>
          <w:rFonts w:ascii="Calibri" w:hAnsi="Calibri" w:cs="Calibri"/>
        </w:rPr>
        <w:t>public comment</w:t>
      </w:r>
      <w:r w:rsidRPr="001E010D">
        <w:rPr>
          <w:rFonts w:ascii="Calibri" w:hAnsi="Calibri" w:cs="Calibri"/>
        </w:rPr>
        <w:t>. The notice include</w:t>
      </w:r>
      <w:r w:rsidR="00822F16">
        <w:rPr>
          <w:rFonts w:ascii="Calibri" w:hAnsi="Calibri" w:cs="Calibri"/>
        </w:rPr>
        <w:t>d</w:t>
      </w:r>
      <w:r w:rsidRPr="001E010D">
        <w:rPr>
          <w:rFonts w:ascii="Calibri" w:hAnsi="Calibri" w:cs="Calibri"/>
        </w:rPr>
        <w:t xml:space="preserve"> a request for comments on the content and impact of these information collection requirements on the regulated community.</w:t>
      </w:r>
      <w:r w:rsidR="0028531F">
        <w:rPr>
          <w:rFonts w:ascii="Calibri" w:hAnsi="Calibri" w:cs="Calibri"/>
        </w:rPr>
        <w:t xml:space="preserve"> </w:t>
      </w:r>
      <w:r w:rsidR="009D3343">
        <w:rPr>
          <w:rFonts w:ascii="Calibri" w:hAnsi="Calibri" w:cs="Calibri"/>
        </w:rPr>
        <w:t>EPA did not receive any comments directly on the ICR burden</w:t>
      </w:r>
      <w:r w:rsidR="00B46EFC">
        <w:rPr>
          <w:rFonts w:ascii="Calibri" w:hAnsi="Calibri" w:cs="Calibri"/>
        </w:rPr>
        <w:t>.</w:t>
      </w:r>
      <w:r w:rsidR="00BD050E">
        <w:rPr>
          <w:rFonts w:ascii="Calibri" w:hAnsi="Calibri" w:cs="Calibri"/>
        </w:rPr>
        <w:t xml:space="preserve"> EPA</w:t>
      </w:r>
      <w:r w:rsidR="009D3343">
        <w:rPr>
          <w:rFonts w:ascii="Calibri" w:hAnsi="Calibri" w:cs="Calibri"/>
        </w:rPr>
        <w:t xml:space="preserve"> receive</w:t>
      </w:r>
      <w:r w:rsidR="00BD050E">
        <w:rPr>
          <w:rFonts w:ascii="Calibri" w:hAnsi="Calibri" w:cs="Calibri"/>
        </w:rPr>
        <w:t>d</w:t>
      </w:r>
      <w:r w:rsidR="009D3343">
        <w:rPr>
          <w:rFonts w:ascii="Calibri" w:hAnsi="Calibri" w:cs="Calibri"/>
        </w:rPr>
        <w:t xml:space="preserve"> general comments </w:t>
      </w:r>
      <w:r w:rsidR="00FA11B2">
        <w:rPr>
          <w:rFonts w:ascii="Calibri" w:hAnsi="Calibri" w:cs="Calibri"/>
        </w:rPr>
        <w:t>about</w:t>
      </w:r>
      <w:r w:rsidR="009D3343">
        <w:rPr>
          <w:rFonts w:ascii="Calibri" w:hAnsi="Calibri" w:cs="Calibri"/>
        </w:rPr>
        <w:t xml:space="preserve"> the burden of the MSGP on the regulated community </w:t>
      </w:r>
      <w:r w:rsidR="00A26DF6">
        <w:rPr>
          <w:rFonts w:ascii="Calibri" w:hAnsi="Calibri" w:cs="Calibri"/>
        </w:rPr>
        <w:t xml:space="preserve">and considered these comments when finalizing the permit provisions. The </w:t>
      </w:r>
      <w:r w:rsidR="00A851E2">
        <w:rPr>
          <w:rFonts w:ascii="Calibri" w:hAnsi="Calibri" w:cs="Calibri"/>
        </w:rPr>
        <w:t>changes made to the permit in response to these comments affected the burden estimates in this ICR.</w:t>
      </w:r>
      <w:r w:rsidR="009D3343">
        <w:rPr>
          <w:rFonts w:ascii="Calibri" w:hAnsi="Calibri" w:cs="Calibri"/>
        </w:rPr>
        <w:t xml:space="preserve"> </w:t>
      </w:r>
      <w:r w:rsidR="0028531F">
        <w:rPr>
          <w:rFonts w:ascii="Calibri" w:hAnsi="Calibri" w:cs="Calibri"/>
        </w:rPr>
        <w:t>EPA address</w:t>
      </w:r>
      <w:r w:rsidR="00822F16">
        <w:rPr>
          <w:rFonts w:ascii="Calibri" w:hAnsi="Calibri" w:cs="Calibri"/>
        </w:rPr>
        <w:t>ed</w:t>
      </w:r>
      <w:r w:rsidR="0028531F">
        <w:rPr>
          <w:rFonts w:ascii="Calibri" w:hAnsi="Calibri" w:cs="Calibri"/>
        </w:rPr>
        <w:t xml:space="preserve"> all comments received in </w:t>
      </w:r>
      <w:r w:rsidR="00AF3A52">
        <w:rPr>
          <w:rFonts w:ascii="Calibri" w:hAnsi="Calibri" w:cs="Calibri"/>
        </w:rPr>
        <w:t>the 2021 MSGP Response to Comments documentation</w:t>
      </w:r>
      <w:r w:rsidR="005A034B">
        <w:rPr>
          <w:rFonts w:ascii="Calibri" w:hAnsi="Calibri" w:cs="Calibri"/>
        </w:rPr>
        <w:t xml:space="preserve"> </w:t>
      </w:r>
      <w:r w:rsidRPr="00D7348A" w:rsidR="005A034B">
        <w:rPr>
          <w:rFonts w:ascii="Calibri" w:hAnsi="Calibri" w:cs="Calibri"/>
        </w:rPr>
        <w:t xml:space="preserve">(See </w:t>
      </w:r>
      <w:r w:rsidRPr="00D7348A" w:rsidR="005A034B">
        <w:t>Docket ID No. EPA-HQ-OW-2019-0372)</w:t>
      </w:r>
      <w:r w:rsidRPr="00D7348A" w:rsidR="0028531F">
        <w:rPr>
          <w:rFonts w:ascii="Calibri" w:hAnsi="Calibri" w:cs="Calibri"/>
        </w:rPr>
        <w:t>.</w:t>
      </w:r>
    </w:p>
    <w:p w:rsidRPr="001E010D" w:rsidR="00454E33" w:rsidP="00D37535" w:rsidRDefault="00454E33" w14:paraId="7867CCD1" w14:textId="3455D387">
      <w:pPr>
        <w:pStyle w:val="Style1"/>
        <w:spacing w:before="0" w:after="100" w:afterAutospacing="1" w:line="240" w:lineRule="auto"/>
        <w:contextualSpacing/>
      </w:pPr>
      <w:bookmarkStart w:name="_Toc24963869" w:id="10"/>
      <w:r w:rsidRPr="001E010D">
        <w:t>Consultations</w:t>
      </w:r>
      <w:bookmarkEnd w:id="10"/>
    </w:p>
    <w:p w:rsidRPr="001E010D" w:rsidR="00D71C10" w:rsidP="00D37535" w:rsidRDefault="001776CB" w14:paraId="1D798096" w14:textId="35CA0573">
      <w:pPr>
        <w:spacing w:after="100" w:afterAutospacing="1" w:line="240" w:lineRule="auto"/>
        <w:contextualSpacing/>
        <w:rPr>
          <w:rFonts w:ascii="Calibri" w:hAnsi="Calibri" w:cs="Calibri"/>
          <w:b/>
        </w:rPr>
      </w:pPr>
      <w:r>
        <w:rPr>
          <w:rFonts w:ascii="Calibri" w:hAnsi="Calibri" w:cs="Calibri"/>
        </w:rPr>
        <w:t xml:space="preserve">The most significant </w:t>
      </w:r>
      <w:r w:rsidRPr="00C72928" w:rsidR="00D71C10">
        <w:rPr>
          <w:rFonts w:ascii="Calibri" w:hAnsi="Calibri" w:cs="Calibri"/>
        </w:rPr>
        <w:t>changes to the MSGP</w:t>
      </w:r>
      <w:r w:rsidRPr="00C72928" w:rsidR="00C72928">
        <w:rPr>
          <w:rFonts w:ascii="Calibri" w:hAnsi="Calibri" w:cs="Calibri"/>
        </w:rPr>
        <w:t xml:space="preserve"> </w:t>
      </w:r>
      <w:r w:rsidR="0006164C">
        <w:rPr>
          <w:rFonts w:ascii="Calibri" w:hAnsi="Calibri" w:cs="Calibri"/>
        </w:rPr>
        <w:t>a</w:t>
      </w:r>
      <w:r w:rsidR="00822F16">
        <w:rPr>
          <w:rFonts w:ascii="Calibri" w:hAnsi="Calibri" w:cs="Calibri"/>
        </w:rPr>
        <w:t>re</w:t>
      </w:r>
      <w:r w:rsidRPr="00C72928" w:rsidR="00C72928">
        <w:rPr>
          <w:rFonts w:ascii="Calibri" w:hAnsi="Calibri" w:cs="Calibri"/>
        </w:rPr>
        <w:t xml:space="preserve"> based on terms stipulated in a Settlement Agreement on the 2015 MSGP and based on recommendations </w:t>
      </w:r>
      <w:r w:rsidR="00C72928">
        <w:rPr>
          <w:rFonts w:ascii="Calibri" w:hAnsi="Calibri" w:cs="Calibri"/>
        </w:rPr>
        <w:t>from</w:t>
      </w:r>
      <w:r w:rsidRPr="00C72928" w:rsidR="00C72928">
        <w:rPr>
          <w:rFonts w:ascii="Calibri" w:hAnsi="Calibri" w:cs="Calibri"/>
        </w:rPr>
        <w:t xml:space="preserve"> the </w:t>
      </w:r>
      <w:r w:rsidRPr="00C72928" w:rsidR="00C72928">
        <w:t xml:space="preserve">National Academies of Sciences, Engineering, and Medicine’s National Research Council (NRC) study, </w:t>
      </w:r>
      <w:r w:rsidRPr="00C72928" w:rsidR="00C72928">
        <w:rPr>
          <w:i/>
          <w:shd w:val="clear" w:color="auto" w:fill="FFFFFF"/>
        </w:rPr>
        <w:t xml:space="preserve">Improving </w:t>
      </w:r>
      <w:r w:rsidR="00F414E5">
        <w:rPr>
          <w:i/>
          <w:shd w:val="clear" w:color="auto" w:fill="FFFFFF"/>
        </w:rPr>
        <w:t>EPA</w:t>
      </w:r>
      <w:r w:rsidRPr="00C72928" w:rsidR="00C72928">
        <w:rPr>
          <w:i/>
          <w:shd w:val="clear" w:color="auto" w:fill="FFFFFF"/>
        </w:rPr>
        <w:t xml:space="preserve"> Multi-Sector General Permit for Industrial Stormwater Discharges, </w:t>
      </w:r>
      <w:r w:rsidRPr="00C72928" w:rsidR="00C72928">
        <w:rPr>
          <w:shd w:val="clear" w:color="auto" w:fill="FFFFFF"/>
        </w:rPr>
        <w:t>which was delivered</w:t>
      </w:r>
      <w:r w:rsidRPr="00C72928" w:rsidR="00C72928">
        <w:rPr>
          <w:i/>
          <w:shd w:val="clear" w:color="auto" w:fill="FFFFFF"/>
        </w:rPr>
        <w:t xml:space="preserve"> </w:t>
      </w:r>
      <w:r w:rsidRPr="00C72928" w:rsidR="00C72928">
        <w:rPr>
          <w:shd w:val="clear" w:color="auto" w:fill="FFFFFF"/>
        </w:rPr>
        <w:t xml:space="preserve">in February 2019. </w:t>
      </w:r>
      <w:r w:rsidRPr="00C72928" w:rsidR="00D71C10">
        <w:rPr>
          <w:rFonts w:ascii="Calibri" w:hAnsi="Calibri" w:cs="Calibri"/>
        </w:rPr>
        <w:t>EPA met with the regulated community and environmental group stakeholders during the development of the proposed permit</w:t>
      </w:r>
      <w:r w:rsidRPr="00C72928" w:rsidR="00C72928">
        <w:rPr>
          <w:rFonts w:ascii="Calibri" w:hAnsi="Calibri" w:cs="Calibri"/>
        </w:rPr>
        <w:t xml:space="preserve"> to discuss these proposed changes. </w:t>
      </w:r>
      <w:r w:rsidRPr="00C72928" w:rsidR="00D71C10">
        <w:rPr>
          <w:rFonts w:ascii="Calibri" w:hAnsi="Calibri" w:cs="Calibri"/>
        </w:rPr>
        <w:t xml:space="preserve">Additionally, EPA </w:t>
      </w:r>
      <w:r w:rsidR="00822F16">
        <w:rPr>
          <w:rFonts w:ascii="Calibri" w:hAnsi="Calibri" w:cs="Calibri"/>
        </w:rPr>
        <w:t>engaged</w:t>
      </w:r>
      <w:r w:rsidRPr="00C72928" w:rsidR="00D71C10">
        <w:rPr>
          <w:rFonts w:ascii="Calibri" w:hAnsi="Calibri" w:cs="Calibri"/>
        </w:rPr>
        <w:t xml:space="preserve"> with stakeholders after the proposal of the permit before permit finalization</w:t>
      </w:r>
      <w:r w:rsidR="00822F16">
        <w:rPr>
          <w:rFonts w:ascii="Calibri" w:hAnsi="Calibri" w:cs="Calibri"/>
        </w:rPr>
        <w:t xml:space="preserve"> </w:t>
      </w:r>
      <w:r w:rsidR="000E5284">
        <w:rPr>
          <w:rFonts w:ascii="Calibri" w:hAnsi="Calibri" w:cs="Calibri"/>
        </w:rPr>
        <w:t>by</w:t>
      </w:r>
      <w:r w:rsidR="00822F16">
        <w:rPr>
          <w:rFonts w:ascii="Calibri" w:hAnsi="Calibri" w:cs="Calibri"/>
        </w:rPr>
        <w:t xml:space="preserve"> holding informational webcasts on March 10 and April 9, 2020 and receiving public comments via a public notice process</w:t>
      </w:r>
      <w:r w:rsidRPr="00C72928" w:rsidR="00D71C10">
        <w:rPr>
          <w:rFonts w:ascii="Calibri" w:hAnsi="Calibri" w:cs="Calibri"/>
        </w:rPr>
        <w:t>.</w:t>
      </w:r>
      <w:r w:rsidR="00D71C10">
        <w:rPr>
          <w:rFonts w:ascii="Calibri" w:hAnsi="Calibri" w:cs="Calibri"/>
        </w:rPr>
        <w:t xml:space="preserve"> </w:t>
      </w:r>
    </w:p>
    <w:p w:rsidRPr="001E010D" w:rsidR="00454E33" w:rsidP="00D37535" w:rsidRDefault="00454E33" w14:paraId="41295D58" w14:textId="3950CC8C">
      <w:pPr>
        <w:pStyle w:val="Style1"/>
        <w:spacing w:before="0" w:after="100" w:afterAutospacing="1" w:line="240" w:lineRule="auto"/>
        <w:contextualSpacing/>
      </w:pPr>
      <w:bookmarkStart w:name="_Toc24963870" w:id="11"/>
      <w:r w:rsidRPr="001E010D">
        <w:t>Effects of Less Frequent Collection</w:t>
      </w:r>
      <w:bookmarkEnd w:id="11"/>
    </w:p>
    <w:p w:rsidRPr="001E010D" w:rsidR="004665D1" w:rsidP="662DBE2F" w:rsidRDefault="004665D1" w14:paraId="6BC3DFB0" w14:textId="46FF47AC">
      <w:pPr>
        <w:spacing w:after="100" w:afterAutospacing="1" w:line="240" w:lineRule="auto"/>
        <w:contextualSpacing/>
        <w:rPr>
          <w:rFonts w:ascii="Calibri" w:hAnsi="Calibri" w:cs="Calibri"/>
        </w:rPr>
      </w:pPr>
      <w:r w:rsidRPr="662DBE2F">
        <w:rPr>
          <w:rFonts w:ascii="Calibri" w:hAnsi="Calibri" w:cs="Calibri"/>
        </w:rPr>
        <w:t>EPA recognizes the importance of balancing the need for data collection efforts against respondent burden and costs. From the inception of the NPDES program, cost has been one of the major factors considered in establishing application requirements, monitoring conditions, and report contents and frequencies. EPA regularly seeks new opportunities to reduce burden on the regulated community.</w:t>
      </w:r>
    </w:p>
    <w:p w:rsidRPr="001E010D" w:rsidR="000E5284" w:rsidP="00D37535" w:rsidRDefault="000E5284" w14:paraId="2767B8C6" w14:textId="77777777">
      <w:pPr>
        <w:spacing w:after="100" w:afterAutospacing="1" w:line="240" w:lineRule="auto"/>
        <w:contextualSpacing/>
        <w:rPr>
          <w:rFonts w:ascii="Calibri" w:hAnsi="Calibri" w:cs="Calibri"/>
        </w:rPr>
      </w:pPr>
    </w:p>
    <w:p w:rsidRPr="001E010D" w:rsidR="004665D1" w:rsidP="00D37535" w:rsidRDefault="004665D1" w14:paraId="6FA16B55" w14:textId="2F57DE24">
      <w:pPr>
        <w:spacing w:after="100" w:afterAutospacing="1" w:line="240" w:lineRule="auto"/>
        <w:contextualSpacing/>
        <w:rPr>
          <w:rFonts w:ascii="Calibri" w:hAnsi="Calibri" w:cs="Calibri"/>
        </w:rPr>
      </w:pPr>
      <w:r w:rsidRPr="001E010D">
        <w:rPr>
          <w:rFonts w:ascii="Calibri" w:hAnsi="Calibri" w:cs="Calibri"/>
        </w:rPr>
        <w:t xml:space="preserve">EPA and other stakeholders need current information about </w:t>
      </w:r>
      <w:r w:rsidR="001619D9">
        <w:rPr>
          <w:rFonts w:ascii="Calibri" w:hAnsi="Calibri" w:cs="Calibri"/>
        </w:rPr>
        <w:t>respondents</w:t>
      </w:r>
      <w:r w:rsidRPr="001E010D" w:rsidR="001619D9">
        <w:rPr>
          <w:rFonts w:ascii="Calibri" w:hAnsi="Calibri" w:cs="Calibri"/>
        </w:rPr>
        <w:t xml:space="preserve"> </w:t>
      </w:r>
      <w:r w:rsidRPr="001E010D">
        <w:rPr>
          <w:rFonts w:ascii="Calibri" w:hAnsi="Calibri" w:cs="Calibri"/>
        </w:rPr>
        <w:t xml:space="preserve">and discharge characteristics to fulfill oversight responsibilities. The burden described in this ICR identifies the burden that EPA has </w:t>
      </w:r>
      <w:r w:rsidRPr="001E010D">
        <w:rPr>
          <w:rFonts w:ascii="Calibri" w:hAnsi="Calibri" w:cs="Calibri"/>
        </w:rPr>
        <w:lastRenderedPageBreak/>
        <w:t xml:space="preserve">determined </w:t>
      </w:r>
      <w:r w:rsidR="000E5284">
        <w:rPr>
          <w:rFonts w:ascii="Calibri" w:hAnsi="Calibri" w:cs="Calibri"/>
        </w:rPr>
        <w:t>i</w:t>
      </w:r>
      <w:r w:rsidRPr="001E010D">
        <w:rPr>
          <w:rFonts w:ascii="Calibri" w:hAnsi="Calibri" w:cs="Calibri"/>
        </w:rPr>
        <w:t>s necessary. EPA has determined that the information currently required is the minimum that is necessary to adequately evaluate compliance.</w:t>
      </w:r>
    </w:p>
    <w:p w:rsidRPr="001E010D" w:rsidR="00454E33" w:rsidP="00D37535" w:rsidRDefault="00454E33" w14:paraId="6AEED6B4" w14:textId="631D7AD9">
      <w:pPr>
        <w:pStyle w:val="Style1"/>
        <w:spacing w:before="0" w:after="100" w:afterAutospacing="1" w:line="240" w:lineRule="auto"/>
        <w:contextualSpacing/>
      </w:pPr>
      <w:bookmarkStart w:name="_Toc24963871" w:id="12"/>
      <w:r w:rsidRPr="001E010D">
        <w:t>General Guidelines</w:t>
      </w:r>
      <w:bookmarkEnd w:id="12"/>
    </w:p>
    <w:p w:rsidRPr="001E010D" w:rsidR="00E930FF" w:rsidP="00D37535" w:rsidRDefault="00E930FF" w14:paraId="7CFEB158" w14:textId="41990245">
      <w:pPr>
        <w:spacing w:after="100" w:afterAutospacing="1" w:line="240" w:lineRule="auto"/>
        <w:contextualSpacing/>
        <w:rPr>
          <w:rFonts w:ascii="Calibri" w:hAnsi="Calibri" w:cs="Calibri"/>
          <w:b/>
        </w:rPr>
      </w:pPr>
      <w:r w:rsidRPr="001E010D">
        <w:rPr>
          <w:rFonts w:ascii="Calibri" w:hAnsi="Calibri" w:cs="Calibri"/>
        </w:rPr>
        <w:t>This information collection is consistent with OMB guidelines contained in 5 CFR 1320.5(d)(2). Requests for supplemental information for the purposes of emergency response or enforcement activities are exempt from the Paperwork Reduction Act requirements.</w:t>
      </w:r>
    </w:p>
    <w:p w:rsidRPr="001E010D" w:rsidR="00454E33" w:rsidP="00D37535" w:rsidRDefault="00454E33" w14:paraId="67AF9A25" w14:textId="6F30B758">
      <w:pPr>
        <w:pStyle w:val="Style1"/>
        <w:spacing w:before="0" w:after="100" w:afterAutospacing="1" w:line="240" w:lineRule="auto"/>
        <w:contextualSpacing/>
      </w:pPr>
      <w:bookmarkStart w:name="_Toc24963872" w:id="13"/>
      <w:r w:rsidRPr="001E010D">
        <w:t>Confidentiality</w:t>
      </w:r>
      <w:bookmarkEnd w:id="13"/>
    </w:p>
    <w:p w:rsidRPr="001E010D" w:rsidR="00016E01" w:rsidP="00D37535" w:rsidRDefault="00016E01" w14:paraId="3AF6A0C2" w14:textId="5B157AF0">
      <w:pPr>
        <w:spacing w:after="100" w:afterAutospacing="1" w:line="240" w:lineRule="auto"/>
        <w:contextualSpacing/>
        <w:rPr>
          <w:rFonts w:ascii="Calibri" w:hAnsi="Calibri" w:cs="Calibri"/>
          <w:b/>
        </w:rPr>
      </w:pPr>
      <w:r w:rsidRPr="001E010D">
        <w:rPr>
          <w:rFonts w:ascii="Calibri" w:hAnsi="Calibri" w:cs="Calibri"/>
        </w:rPr>
        <w:t>Respondent reports can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Any claim of confidentiality must be asserted at the time of submission. However, CWA section 308(b) specifically states that effluent data may not be treated as confidential.</w:t>
      </w:r>
    </w:p>
    <w:p w:rsidRPr="001E010D" w:rsidR="00454E33" w:rsidP="00D37535" w:rsidRDefault="00454E33" w14:paraId="56B966DD" w14:textId="621A2BB7">
      <w:pPr>
        <w:pStyle w:val="Style1"/>
        <w:spacing w:before="0" w:after="100" w:afterAutospacing="1" w:line="240" w:lineRule="auto"/>
        <w:contextualSpacing/>
      </w:pPr>
      <w:bookmarkStart w:name="_Toc24963873" w:id="14"/>
      <w:r w:rsidRPr="001E010D">
        <w:t>Sensitive Questions</w:t>
      </w:r>
      <w:bookmarkEnd w:id="14"/>
    </w:p>
    <w:p w:rsidRPr="001E010D" w:rsidR="00016E01" w:rsidP="00D37535" w:rsidRDefault="00016E01" w14:paraId="210C0637" w14:textId="197A01ED">
      <w:pPr>
        <w:spacing w:after="100" w:afterAutospacing="1" w:line="240" w:lineRule="auto"/>
        <w:contextualSpacing/>
        <w:rPr>
          <w:rFonts w:ascii="Calibri" w:hAnsi="Calibri" w:cs="Calibri"/>
          <w:b/>
        </w:rPr>
      </w:pPr>
      <w:r w:rsidRPr="001E010D">
        <w:rPr>
          <w:rFonts w:ascii="Calibri" w:hAnsi="Calibri" w:cs="Calibri"/>
        </w:rPr>
        <w:t>Sensitive questions are defined in EPA’s ICR Handbook, Guide to Writing Information Collection Requests Under the Paperwork Reduction Act of 1995 as “questions concerning sexual behavior or attitudes, religious beliefs, or other matters usually considered private.” The requirements addressed in this ICR do not include sensitive questions.</w:t>
      </w:r>
    </w:p>
    <w:p w:rsidRPr="001E010D" w:rsidR="00454E33" w:rsidP="00D37535" w:rsidRDefault="00E141D4" w14:paraId="21AC1BEE" w14:textId="77777777">
      <w:pPr>
        <w:pStyle w:val="Heading1"/>
        <w:spacing w:before="0" w:after="100" w:afterAutospacing="1" w:line="240" w:lineRule="auto"/>
        <w:contextualSpacing/>
      </w:pPr>
      <w:bookmarkStart w:name="_Toc24963874" w:id="15"/>
      <w:r w:rsidRPr="001E010D">
        <w:t>Respondents and Information Requested</w:t>
      </w:r>
      <w:bookmarkEnd w:id="15"/>
    </w:p>
    <w:p w:rsidRPr="001E010D" w:rsidR="00E141D4" w:rsidP="00D37535" w:rsidRDefault="00E141D4" w14:paraId="62B845A9" w14:textId="6A51CF36">
      <w:pPr>
        <w:pStyle w:val="Style1"/>
        <w:spacing w:before="0" w:after="100" w:afterAutospacing="1" w:line="240" w:lineRule="auto"/>
        <w:contextualSpacing/>
      </w:pPr>
      <w:bookmarkStart w:name="_Toc24963875" w:id="16"/>
      <w:r w:rsidRPr="001E010D">
        <w:t>Respondents/SIC Codes</w:t>
      </w:r>
      <w:bookmarkEnd w:id="16"/>
    </w:p>
    <w:p w:rsidR="00782F00" w:rsidP="00D37535" w:rsidRDefault="00F367F8" w14:paraId="75E1EC50" w14:textId="517C292F">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Coverage under the </w:t>
      </w:r>
      <w:r w:rsidR="00CA090C">
        <w:rPr>
          <w:rFonts w:ascii="Calibri" w:hAnsi="Calibri" w:cs="Calibri"/>
        </w:rPr>
        <w:t>2021</w:t>
      </w:r>
      <w:r>
        <w:rPr>
          <w:rFonts w:ascii="Calibri" w:hAnsi="Calibri" w:cs="Calibri"/>
        </w:rPr>
        <w:t xml:space="preserve"> </w:t>
      </w:r>
      <w:r w:rsidRPr="00A324E8">
        <w:rPr>
          <w:rFonts w:ascii="Calibri" w:hAnsi="Calibri" w:cs="Calibri"/>
        </w:rPr>
        <w:t xml:space="preserve">MSGP is available to operators of eligible facilities located in areas where EPA is the permitting authority and </w:t>
      </w:r>
      <w:r w:rsidR="00FD3D3D">
        <w:rPr>
          <w:rFonts w:ascii="Calibri" w:hAnsi="Calibri" w:cs="Calibri"/>
        </w:rPr>
        <w:t>where</w:t>
      </w:r>
      <w:r w:rsidRPr="00A324E8">
        <w:rPr>
          <w:rFonts w:ascii="Calibri" w:hAnsi="Calibri" w:cs="Calibri"/>
        </w:rPr>
        <w:t xml:space="preserve"> the general </w:t>
      </w:r>
      <w:r w:rsidRPr="00882D8A">
        <w:rPr>
          <w:rFonts w:ascii="Calibri" w:hAnsi="Calibri" w:cs="Calibri"/>
        </w:rPr>
        <w:t xml:space="preserve">permit </w:t>
      </w:r>
      <w:r w:rsidR="00FD3D3D">
        <w:rPr>
          <w:rFonts w:ascii="Calibri" w:hAnsi="Calibri" w:cs="Calibri"/>
        </w:rPr>
        <w:t xml:space="preserve">is </w:t>
      </w:r>
      <w:r w:rsidRPr="00882D8A">
        <w:rPr>
          <w:rFonts w:ascii="Calibri" w:hAnsi="Calibri" w:cs="Calibri"/>
        </w:rPr>
        <w:t xml:space="preserve">available for use. A list of eligible areas is included in Appendix C of the </w:t>
      </w:r>
      <w:r w:rsidR="00CA090C">
        <w:rPr>
          <w:rFonts w:ascii="Calibri" w:hAnsi="Calibri" w:cs="Calibri"/>
        </w:rPr>
        <w:t>2021</w:t>
      </w:r>
      <w:r>
        <w:rPr>
          <w:rFonts w:ascii="Calibri" w:hAnsi="Calibri" w:cs="Calibri"/>
        </w:rPr>
        <w:t xml:space="preserve"> </w:t>
      </w:r>
      <w:r w:rsidRPr="00882D8A">
        <w:rPr>
          <w:rFonts w:ascii="Calibri" w:hAnsi="Calibri" w:cs="Calibri"/>
        </w:rPr>
        <w:t xml:space="preserve">MSGP. Appendix N of the </w:t>
      </w:r>
      <w:r w:rsidR="00542AC4">
        <w:rPr>
          <w:rFonts w:ascii="Calibri" w:hAnsi="Calibri" w:cs="Calibri"/>
        </w:rPr>
        <w:t xml:space="preserve">2021 </w:t>
      </w:r>
      <w:r w:rsidRPr="00882D8A">
        <w:rPr>
          <w:rFonts w:ascii="Calibri" w:hAnsi="Calibri" w:cs="Calibri"/>
        </w:rPr>
        <w:t xml:space="preserve">MSGP also includes </w:t>
      </w:r>
      <w:r w:rsidR="000E5284">
        <w:rPr>
          <w:rFonts w:ascii="Calibri" w:hAnsi="Calibri" w:cs="Calibri"/>
        </w:rPr>
        <w:t>Standard Industrial Classification (</w:t>
      </w:r>
      <w:r w:rsidRPr="00882D8A">
        <w:rPr>
          <w:rFonts w:ascii="Calibri" w:hAnsi="Calibri" w:cs="Calibri"/>
        </w:rPr>
        <w:t>SIC</w:t>
      </w:r>
      <w:r w:rsidR="000E5284">
        <w:rPr>
          <w:rFonts w:ascii="Calibri" w:hAnsi="Calibri" w:cs="Calibri"/>
        </w:rPr>
        <w:t>)</w:t>
      </w:r>
      <w:r w:rsidRPr="00882D8A">
        <w:rPr>
          <w:rFonts w:ascii="Calibri" w:hAnsi="Calibri" w:cs="Calibri"/>
        </w:rPr>
        <w:t xml:space="preserve"> and </w:t>
      </w:r>
      <w:r w:rsidR="000E5284">
        <w:rPr>
          <w:rFonts w:ascii="Calibri" w:hAnsi="Calibri" w:cs="Calibri"/>
        </w:rPr>
        <w:t>North American Industry Classification System (</w:t>
      </w:r>
      <w:r w:rsidRPr="00882D8A">
        <w:rPr>
          <w:rFonts w:ascii="Calibri" w:hAnsi="Calibri" w:cs="Calibri"/>
        </w:rPr>
        <w:t>NAICS</w:t>
      </w:r>
      <w:r w:rsidR="000E5284">
        <w:rPr>
          <w:rFonts w:ascii="Calibri" w:hAnsi="Calibri" w:cs="Calibri"/>
        </w:rPr>
        <w:t>)</w:t>
      </w:r>
      <w:r w:rsidRPr="00882D8A">
        <w:rPr>
          <w:rFonts w:ascii="Calibri" w:hAnsi="Calibri" w:cs="Calibri"/>
        </w:rPr>
        <w:t xml:space="preserve"> codes that fall within each regulated industrial sector</w:t>
      </w:r>
      <w:r w:rsidRPr="001E010D">
        <w:rPr>
          <w:rFonts w:ascii="Calibri" w:hAnsi="Calibri" w:cs="Calibri"/>
        </w:rPr>
        <w:t xml:space="preserve">. </w:t>
      </w:r>
    </w:p>
    <w:p w:rsidRPr="001E010D" w:rsidR="00F367F8" w:rsidP="00D37535" w:rsidRDefault="00F367F8" w14:paraId="5B5F6956" w14:textId="44AB2CC9">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 </w:t>
      </w:r>
    </w:p>
    <w:p w:rsidR="00F367F8" w:rsidRDefault="00F367F8" w14:paraId="7658F124" w14:textId="7901410D">
      <w:pPr>
        <w:numPr>
          <w:ilvl w:val="12"/>
          <w:numId w:val="1"/>
        </w:numPr>
        <w:spacing w:after="100" w:afterAutospacing="1" w:line="240" w:lineRule="auto"/>
        <w:contextualSpacing/>
        <w:rPr>
          <w:rFonts w:ascii="Calibri" w:hAnsi="Calibri" w:cs="Calibri"/>
        </w:rPr>
      </w:pPr>
      <w:r w:rsidRPr="00EC4571">
        <w:rPr>
          <w:rFonts w:ascii="Calibri" w:hAnsi="Calibri" w:cs="Calibri"/>
        </w:rPr>
        <w:t xml:space="preserve">EPA anticipates that approximately </w:t>
      </w:r>
      <w:r w:rsidRPr="00EC4571" w:rsidR="00C81DDE">
        <w:rPr>
          <w:rFonts w:ascii="Calibri" w:hAnsi="Calibri" w:cs="Calibri"/>
        </w:rPr>
        <w:t>2</w:t>
      </w:r>
      <w:r w:rsidR="001C6E95">
        <w:rPr>
          <w:rFonts w:ascii="Calibri" w:hAnsi="Calibri" w:cs="Calibri"/>
        </w:rPr>
        <w:t>,</w:t>
      </w:r>
      <w:r w:rsidRPr="00EC4571" w:rsidR="00C81DDE">
        <w:rPr>
          <w:rFonts w:ascii="Calibri" w:hAnsi="Calibri" w:cs="Calibri"/>
        </w:rPr>
        <w:t xml:space="preserve">270 existing operators </w:t>
      </w:r>
      <w:r w:rsidRPr="00EC4571">
        <w:rPr>
          <w:rFonts w:ascii="Calibri" w:hAnsi="Calibri" w:cs="Calibri"/>
        </w:rPr>
        <w:t xml:space="preserve">will </w:t>
      </w:r>
      <w:r w:rsidRPr="00EC4571" w:rsidR="00724C8A">
        <w:rPr>
          <w:rFonts w:ascii="Calibri" w:hAnsi="Calibri" w:cs="Calibri"/>
        </w:rPr>
        <w:t xml:space="preserve">initially </w:t>
      </w:r>
      <w:r w:rsidRPr="00EC4571">
        <w:rPr>
          <w:rFonts w:ascii="Calibri" w:hAnsi="Calibri" w:cs="Calibri"/>
        </w:rPr>
        <w:t xml:space="preserve">be covered under </w:t>
      </w:r>
      <w:r w:rsidRPr="00EC4571" w:rsidR="00CA090C">
        <w:rPr>
          <w:rFonts w:ascii="Calibri" w:hAnsi="Calibri" w:cs="Calibri"/>
        </w:rPr>
        <w:t>this</w:t>
      </w:r>
      <w:r w:rsidRPr="00EC4571">
        <w:rPr>
          <w:rFonts w:ascii="Calibri" w:hAnsi="Calibri" w:cs="Calibri"/>
        </w:rPr>
        <w:t xml:space="preserve"> </w:t>
      </w:r>
      <w:r w:rsidRPr="00EC4571" w:rsidR="00CA090C">
        <w:rPr>
          <w:rFonts w:ascii="Calibri" w:hAnsi="Calibri" w:cs="Calibri"/>
        </w:rPr>
        <w:t xml:space="preserve">2021 </w:t>
      </w:r>
      <w:r w:rsidRPr="00EC4571">
        <w:rPr>
          <w:rFonts w:ascii="Calibri" w:hAnsi="Calibri" w:cs="Calibri"/>
        </w:rPr>
        <w:t xml:space="preserve">reissuance of the MSGP. </w:t>
      </w:r>
      <w:r w:rsidR="008743CB">
        <w:rPr>
          <w:rFonts w:ascii="Calibri" w:hAnsi="Calibri" w:cs="Calibri"/>
        </w:rPr>
        <w:t>The</w:t>
      </w:r>
      <w:r w:rsidRPr="00EC4571" w:rsidR="001F3E90">
        <w:rPr>
          <w:rFonts w:ascii="Calibri" w:hAnsi="Calibri" w:cs="Calibri"/>
        </w:rPr>
        <w:t xml:space="preserve"> 2015 MSGP NOI data</w:t>
      </w:r>
      <w:r w:rsidR="002B3C88">
        <w:rPr>
          <w:rFonts w:ascii="Calibri" w:hAnsi="Calibri" w:cs="Calibri"/>
        </w:rPr>
        <w:t xml:space="preserve"> indicated that </w:t>
      </w:r>
      <w:r w:rsidR="004A5923">
        <w:rPr>
          <w:rFonts w:ascii="Calibri" w:hAnsi="Calibri" w:cs="Calibri"/>
        </w:rPr>
        <w:t xml:space="preserve">28% </w:t>
      </w:r>
      <w:r w:rsidR="002B3C88">
        <w:rPr>
          <w:rFonts w:ascii="Calibri" w:hAnsi="Calibri" w:cs="Calibri"/>
        </w:rPr>
        <w:t xml:space="preserve">of the total </w:t>
      </w:r>
      <w:r w:rsidR="001B54EA">
        <w:rPr>
          <w:rFonts w:ascii="Calibri" w:hAnsi="Calibri" w:cs="Calibri"/>
        </w:rPr>
        <w:t xml:space="preserve">operator population </w:t>
      </w:r>
      <w:r w:rsidR="005D2731">
        <w:rPr>
          <w:rFonts w:ascii="Calibri" w:hAnsi="Calibri" w:cs="Calibri"/>
        </w:rPr>
        <w:t xml:space="preserve">over the </w:t>
      </w:r>
      <w:r w:rsidR="00BD6A36">
        <w:rPr>
          <w:rFonts w:ascii="Calibri" w:hAnsi="Calibri" w:cs="Calibri"/>
        </w:rPr>
        <w:t>five</w:t>
      </w:r>
      <w:r w:rsidR="004D33F4">
        <w:rPr>
          <w:rFonts w:ascii="Calibri" w:hAnsi="Calibri" w:cs="Calibri"/>
        </w:rPr>
        <w:t xml:space="preserve">-year permit term </w:t>
      </w:r>
      <w:r w:rsidR="002B3C88">
        <w:rPr>
          <w:rFonts w:ascii="Calibri" w:hAnsi="Calibri" w:cs="Calibri"/>
        </w:rPr>
        <w:t xml:space="preserve">were new </w:t>
      </w:r>
      <w:r w:rsidR="001B54EA">
        <w:rPr>
          <w:rFonts w:ascii="Calibri" w:hAnsi="Calibri" w:cs="Calibri"/>
        </w:rPr>
        <w:t>operators</w:t>
      </w:r>
      <w:r w:rsidR="008743CB">
        <w:rPr>
          <w:rFonts w:ascii="Calibri" w:hAnsi="Calibri" w:cs="Calibri"/>
        </w:rPr>
        <w:t xml:space="preserve">. </w:t>
      </w:r>
      <w:r w:rsidRPr="00EC4571" w:rsidR="00CC6A4F">
        <w:rPr>
          <w:rFonts w:ascii="Calibri" w:hAnsi="Calibri" w:cs="Calibri"/>
        </w:rPr>
        <w:t xml:space="preserve">EPA </w:t>
      </w:r>
      <w:r w:rsidRPr="00EC4571" w:rsidR="00DF7D9A">
        <w:rPr>
          <w:rFonts w:ascii="Calibri" w:hAnsi="Calibri" w:cs="Calibri"/>
        </w:rPr>
        <w:t xml:space="preserve">estimates that </w:t>
      </w:r>
      <w:r w:rsidRPr="00EC4571" w:rsidR="0031212F">
        <w:rPr>
          <w:rFonts w:ascii="Calibri" w:hAnsi="Calibri" w:cs="Calibri"/>
        </w:rPr>
        <w:t xml:space="preserve">the </w:t>
      </w:r>
      <w:r w:rsidR="00131C5D">
        <w:rPr>
          <w:rFonts w:ascii="Calibri" w:hAnsi="Calibri" w:cs="Calibri"/>
        </w:rPr>
        <w:t>operator population</w:t>
      </w:r>
      <w:r w:rsidRPr="00EC4571" w:rsidR="0031212F">
        <w:rPr>
          <w:rFonts w:ascii="Calibri" w:hAnsi="Calibri" w:cs="Calibri"/>
        </w:rPr>
        <w:t xml:space="preserve"> </w:t>
      </w:r>
      <w:r w:rsidR="007B6EEE">
        <w:rPr>
          <w:rFonts w:ascii="Calibri" w:hAnsi="Calibri" w:cs="Calibri"/>
        </w:rPr>
        <w:t xml:space="preserve">under the 2021 MSGP </w:t>
      </w:r>
      <w:r w:rsidR="00131C5D">
        <w:rPr>
          <w:rFonts w:ascii="Calibri" w:hAnsi="Calibri" w:cs="Calibri"/>
        </w:rPr>
        <w:t xml:space="preserve">will </w:t>
      </w:r>
      <w:r w:rsidR="00195728">
        <w:rPr>
          <w:rFonts w:ascii="Calibri" w:hAnsi="Calibri" w:cs="Calibri"/>
        </w:rPr>
        <w:t xml:space="preserve">grow </w:t>
      </w:r>
      <w:r w:rsidR="00E60637">
        <w:rPr>
          <w:rFonts w:ascii="Calibri" w:hAnsi="Calibri" w:cs="Calibri"/>
        </w:rPr>
        <w:t xml:space="preserve">by roughly this same amount over the </w:t>
      </w:r>
      <w:r w:rsidR="00BD6A36">
        <w:rPr>
          <w:rFonts w:ascii="Calibri" w:hAnsi="Calibri" w:cs="Calibri"/>
        </w:rPr>
        <w:t>five</w:t>
      </w:r>
      <w:r w:rsidR="004D33F4">
        <w:rPr>
          <w:rFonts w:ascii="Calibri" w:hAnsi="Calibri" w:cs="Calibri"/>
        </w:rPr>
        <w:t>-</w:t>
      </w:r>
      <w:r w:rsidR="00E60637">
        <w:rPr>
          <w:rFonts w:ascii="Calibri" w:hAnsi="Calibri" w:cs="Calibri"/>
        </w:rPr>
        <w:t xml:space="preserve">year </w:t>
      </w:r>
      <w:r w:rsidR="00BD6A36">
        <w:rPr>
          <w:rFonts w:ascii="Calibri" w:hAnsi="Calibri" w:cs="Calibri"/>
        </w:rPr>
        <w:t>permit term</w:t>
      </w:r>
      <w:r w:rsidR="00E60637">
        <w:rPr>
          <w:rFonts w:ascii="Calibri" w:hAnsi="Calibri" w:cs="Calibri"/>
        </w:rPr>
        <w:t xml:space="preserve">, which equates to </w:t>
      </w:r>
      <w:r w:rsidR="00131C5D">
        <w:rPr>
          <w:rFonts w:ascii="Calibri" w:hAnsi="Calibri" w:cs="Calibri"/>
        </w:rPr>
        <w:t>approximately 5%</w:t>
      </w:r>
      <w:r w:rsidR="00E60637">
        <w:rPr>
          <w:rFonts w:ascii="Calibri" w:hAnsi="Calibri" w:cs="Calibri"/>
        </w:rPr>
        <w:t xml:space="preserve"> each year</w:t>
      </w:r>
      <w:r w:rsidR="00195728">
        <w:rPr>
          <w:rFonts w:ascii="Calibri" w:hAnsi="Calibri" w:cs="Calibri"/>
        </w:rPr>
        <w:t>.</w:t>
      </w:r>
      <w:r w:rsidRPr="00EC4571" w:rsidR="00724C8A">
        <w:rPr>
          <w:rFonts w:ascii="Calibri" w:hAnsi="Calibri" w:cs="Calibri"/>
        </w:rPr>
        <w:t xml:space="preserve"> Therefore, </w:t>
      </w:r>
      <w:r w:rsidRPr="00EC4571" w:rsidR="00235F9F">
        <w:rPr>
          <w:rFonts w:ascii="Calibri" w:hAnsi="Calibri" w:cs="Calibri"/>
        </w:rPr>
        <w:t xml:space="preserve">EPA anticipates </w:t>
      </w:r>
      <w:r w:rsidRPr="00EC4571" w:rsidR="007E5B6A">
        <w:rPr>
          <w:rFonts w:ascii="Calibri" w:hAnsi="Calibri" w:cs="Calibri"/>
        </w:rPr>
        <w:t xml:space="preserve">over the </w:t>
      </w:r>
      <w:r w:rsidR="00195728">
        <w:rPr>
          <w:rFonts w:ascii="Calibri" w:hAnsi="Calibri" w:cs="Calibri"/>
        </w:rPr>
        <w:t>three</w:t>
      </w:r>
      <w:r w:rsidRPr="00EC4571" w:rsidR="007E5B6A">
        <w:rPr>
          <w:rFonts w:ascii="Calibri" w:hAnsi="Calibri" w:cs="Calibri"/>
        </w:rPr>
        <w:t xml:space="preserve">-year </w:t>
      </w:r>
      <w:r w:rsidR="00195728">
        <w:rPr>
          <w:rFonts w:ascii="Calibri" w:hAnsi="Calibri" w:cs="Calibri"/>
        </w:rPr>
        <w:t>ICR period</w:t>
      </w:r>
      <w:r w:rsidRPr="00EC4571" w:rsidR="007E5B6A">
        <w:rPr>
          <w:rFonts w:ascii="Calibri" w:hAnsi="Calibri" w:cs="Calibri"/>
        </w:rPr>
        <w:t xml:space="preserve">, </w:t>
      </w:r>
      <w:r w:rsidRPr="00EC4571" w:rsidR="00235F9F">
        <w:rPr>
          <w:rFonts w:ascii="Calibri" w:hAnsi="Calibri" w:cs="Calibri"/>
        </w:rPr>
        <w:t xml:space="preserve">there </w:t>
      </w:r>
      <w:r w:rsidRPr="00EC4571" w:rsidR="00473A57">
        <w:rPr>
          <w:rFonts w:ascii="Calibri" w:hAnsi="Calibri" w:cs="Calibri"/>
        </w:rPr>
        <w:t xml:space="preserve">will be </w:t>
      </w:r>
      <w:r w:rsidRPr="00EC4571" w:rsidR="000C07EF">
        <w:rPr>
          <w:rFonts w:ascii="Calibri" w:hAnsi="Calibri" w:cs="Calibri"/>
        </w:rPr>
        <w:t>a</w:t>
      </w:r>
      <w:r w:rsidR="00CD5832">
        <w:rPr>
          <w:rFonts w:ascii="Calibri" w:hAnsi="Calibri" w:cs="Calibri"/>
        </w:rPr>
        <w:t>n</w:t>
      </w:r>
      <w:r w:rsidRPr="00EC4571" w:rsidR="000C07EF">
        <w:rPr>
          <w:rFonts w:ascii="Calibri" w:hAnsi="Calibri" w:cs="Calibri"/>
        </w:rPr>
        <w:t xml:space="preserve"> </w:t>
      </w:r>
      <w:r w:rsidR="00CD5832">
        <w:rPr>
          <w:rFonts w:ascii="Calibri" w:hAnsi="Calibri" w:cs="Calibri"/>
        </w:rPr>
        <w:t>average</w:t>
      </w:r>
      <w:r w:rsidRPr="00EC4571" w:rsidR="00CD5832">
        <w:rPr>
          <w:rFonts w:ascii="Calibri" w:hAnsi="Calibri" w:cs="Calibri"/>
        </w:rPr>
        <w:t xml:space="preserve"> </w:t>
      </w:r>
      <w:r w:rsidRPr="00EC4571" w:rsidR="000C07EF">
        <w:rPr>
          <w:rFonts w:ascii="Calibri" w:hAnsi="Calibri" w:cs="Calibri"/>
        </w:rPr>
        <w:t xml:space="preserve">of </w:t>
      </w:r>
      <w:r w:rsidRPr="00EC4571" w:rsidR="00473A57">
        <w:rPr>
          <w:rFonts w:ascii="Calibri" w:hAnsi="Calibri" w:cs="Calibri"/>
        </w:rPr>
        <w:t xml:space="preserve">approximately </w:t>
      </w:r>
      <w:r w:rsidRPr="00EC4571" w:rsidR="001B43C9">
        <w:rPr>
          <w:rFonts w:ascii="Calibri" w:hAnsi="Calibri" w:cs="Calibri"/>
        </w:rPr>
        <w:t>2</w:t>
      </w:r>
      <w:r w:rsidR="00CD5832">
        <w:rPr>
          <w:rFonts w:ascii="Calibri" w:hAnsi="Calibri" w:cs="Calibri"/>
        </w:rPr>
        <w:t>,506</w:t>
      </w:r>
      <w:r w:rsidRPr="00EC4571" w:rsidR="00473A57">
        <w:rPr>
          <w:rFonts w:ascii="Calibri" w:hAnsi="Calibri" w:cs="Calibri"/>
        </w:rPr>
        <w:t xml:space="preserve"> </w:t>
      </w:r>
      <w:r w:rsidR="0053793A">
        <w:rPr>
          <w:rFonts w:ascii="Calibri" w:hAnsi="Calibri" w:cs="Calibri"/>
        </w:rPr>
        <w:t>respondents</w:t>
      </w:r>
      <w:r w:rsidRPr="00EC4571" w:rsidR="0053793A">
        <w:rPr>
          <w:rFonts w:ascii="Calibri" w:hAnsi="Calibri" w:cs="Calibri"/>
        </w:rPr>
        <w:t xml:space="preserve"> </w:t>
      </w:r>
      <w:r w:rsidR="0053793A">
        <w:rPr>
          <w:rFonts w:ascii="Calibri" w:hAnsi="Calibri" w:cs="Calibri"/>
        </w:rPr>
        <w:t>subject to the recordkeeping and reporting requirements described in this ICR</w:t>
      </w:r>
      <w:r w:rsidR="00605A74">
        <w:rPr>
          <w:rFonts w:ascii="Calibri" w:hAnsi="Calibri" w:cs="Calibri"/>
        </w:rPr>
        <w:t xml:space="preserve"> (see </w:t>
      </w:r>
      <w:r w:rsidR="00041544">
        <w:rPr>
          <w:rFonts w:ascii="Calibri" w:hAnsi="Calibri" w:cs="Calibri"/>
        </w:rPr>
        <w:fldChar w:fldCharType="begin"/>
      </w:r>
      <w:r w:rsidR="00041544">
        <w:rPr>
          <w:rFonts w:ascii="Calibri" w:hAnsi="Calibri" w:cs="Calibri"/>
        </w:rPr>
        <w:instrText xml:space="preserve"> REF _Ref59270881 \h </w:instrText>
      </w:r>
      <w:r w:rsidR="005F3B95">
        <w:rPr>
          <w:rFonts w:ascii="Calibri" w:hAnsi="Calibri" w:cs="Calibri"/>
        </w:rPr>
        <w:instrText xml:space="preserve"> \* MERGEFORMAT </w:instrText>
      </w:r>
      <w:r w:rsidR="00041544">
        <w:rPr>
          <w:rFonts w:ascii="Calibri" w:hAnsi="Calibri" w:cs="Calibri"/>
        </w:rPr>
      </w:r>
      <w:r w:rsidR="00041544">
        <w:rPr>
          <w:rFonts w:ascii="Calibri" w:hAnsi="Calibri" w:cs="Calibri"/>
        </w:rPr>
        <w:fldChar w:fldCharType="separate"/>
      </w:r>
      <w:r w:rsidRPr="00856A29" w:rsidR="001354F1">
        <w:t>T</w:t>
      </w:r>
      <w:r w:rsidRPr="004661E3" w:rsidR="001354F1">
        <w:t>able</w:t>
      </w:r>
      <w:r w:rsidRPr="00856A29" w:rsidR="001354F1">
        <w:t xml:space="preserve"> 2</w:t>
      </w:r>
      <w:r w:rsidR="00041544">
        <w:rPr>
          <w:rFonts w:ascii="Calibri" w:hAnsi="Calibri" w:cs="Calibri"/>
        </w:rPr>
        <w:fldChar w:fldCharType="end"/>
      </w:r>
      <w:r w:rsidR="00041544">
        <w:rPr>
          <w:rFonts w:ascii="Calibri" w:hAnsi="Calibri" w:cs="Calibri"/>
        </w:rPr>
        <w:t>)</w:t>
      </w:r>
      <w:r w:rsidRPr="00EC4571" w:rsidR="000C07EF">
        <w:rPr>
          <w:rFonts w:ascii="Calibri" w:hAnsi="Calibri" w:cs="Calibri"/>
        </w:rPr>
        <w:t xml:space="preserve">. </w:t>
      </w:r>
      <w:r w:rsidRPr="00EC4571" w:rsidR="009073BE">
        <w:rPr>
          <w:rFonts w:ascii="Calibri" w:hAnsi="Calibri" w:cs="Calibri"/>
        </w:rPr>
        <w:t xml:space="preserve">In addition, EPA estimates that </w:t>
      </w:r>
      <w:r w:rsidR="000526CC">
        <w:rPr>
          <w:rFonts w:ascii="Calibri" w:hAnsi="Calibri" w:cs="Calibri"/>
        </w:rPr>
        <w:t xml:space="preserve">there will be an average of 121 new operators each year, for a total of </w:t>
      </w:r>
      <w:r w:rsidR="00674F2C">
        <w:rPr>
          <w:rFonts w:ascii="Calibri" w:hAnsi="Calibri" w:cs="Calibri"/>
        </w:rPr>
        <w:t xml:space="preserve">363 new operators during </w:t>
      </w:r>
      <w:r w:rsidR="00BD6A36">
        <w:rPr>
          <w:rFonts w:ascii="Calibri" w:hAnsi="Calibri" w:cs="Calibri"/>
        </w:rPr>
        <w:t>the three years covered by this</w:t>
      </w:r>
      <w:r w:rsidR="00674F2C">
        <w:rPr>
          <w:rFonts w:ascii="Calibri" w:hAnsi="Calibri" w:cs="Calibri"/>
        </w:rPr>
        <w:t xml:space="preserve"> ICR and </w:t>
      </w:r>
      <w:r w:rsidR="000526CC">
        <w:rPr>
          <w:rFonts w:ascii="Calibri" w:hAnsi="Calibri" w:cs="Calibri"/>
        </w:rPr>
        <w:t>60</w:t>
      </w:r>
      <w:r w:rsidR="000423A5">
        <w:rPr>
          <w:rFonts w:ascii="Calibri" w:hAnsi="Calibri" w:cs="Calibri"/>
        </w:rPr>
        <w:t>5</w:t>
      </w:r>
      <w:r w:rsidR="000526CC">
        <w:rPr>
          <w:rFonts w:ascii="Calibri" w:hAnsi="Calibri" w:cs="Calibri"/>
        </w:rPr>
        <w:t xml:space="preserve"> new operators over the five-year permit term</w:t>
      </w:r>
      <w:r w:rsidRPr="00EC4571" w:rsidR="00546D50">
        <w:rPr>
          <w:rFonts w:ascii="Calibri" w:hAnsi="Calibri" w:cs="Calibri"/>
        </w:rPr>
        <w:t>.</w:t>
      </w:r>
    </w:p>
    <w:p w:rsidR="00235859" w:rsidRDefault="00235859" w14:paraId="402998EB" w14:textId="16DC3954">
      <w:pPr>
        <w:numPr>
          <w:ilvl w:val="12"/>
          <w:numId w:val="1"/>
        </w:numPr>
        <w:spacing w:after="100" w:afterAutospacing="1" w:line="240" w:lineRule="auto"/>
        <w:contextualSpacing/>
        <w:rPr>
          <w:rFonts w:ascii="Calibri" w:hAnsi="Calibri" w:cs="Calibri"/>
        </w:rPr>
      </w:pPr>
    </w:p>
    <w:p w:rsidRPr="00EC4571" w:rsidR="00235859" w:rsidRDefault="00235859" w14:paraId="199009B5" w14:textId="77777777">
      <w:pPr>
        <w:numPr>
          <w:ilvl w:val="12"/>
          <w:numId w:val="1"/>
        </w:numPr>
        <w:spacing w:after="100" w:afterAutospacing="1" w:line="240" w:lineRule="auto"/>
        <w:contextualSpacing/>
        <w:rPr>
          <w:rFonts w:ascii="Calibri" w:hAnsi="Calibri" w:cs="Calibri"/>
        </w:rPr>
      </w:pPr>
    </w:p>
    <w:p w:rsidR="00FC152C" w:rsidRDefault="00FC152C" w14:paraId="3DCC138B" w14:textId="59169D80">
      <w:pPr>
        <w:numPr>
          <w:ilvl w:val="12"/>
          <w:numId w:val="1"/>
        </w:numPr>
        <w:spacing w:after="100" w:afterAutospacing="1" w:line="240" w:lineRule="auto"/>
        <w:contextualSpacing/>
        <w:rPr>
          <w:rFonts w:ascii="Calibri" w:hAnsi="Calibri" w:cs="Calibri"/>
        </w:rPr>
      </w:pPr>
    </w:p>
    <w:tbl>
      <w:tblPr>
        <w:tblW w:w="0" w:type="auto"/>
        <w:jc w:val="center"/>
        <w:tblLook w:val="04A0" w:firstRow="1" w:lastRow="0" w:firstColumn="1" w:lastColumn="0" w:noHBand="0" w:noVBand="1"/>
      </w:tblPr>
      <w:tblGrid>
        <w:gridCol w:w="977"/>
        <w:gridCol w:w="2157"/>
        <w:gridCol w:w="2286"/>
        <w:gridCol w:w="1920"/>
      </w:tblGrid>
      <w:tr w:rsidRPr="00FC152C" w:rsidR="00906892" w:rsidTr="00F02AE6" w14:paraId="6E5DDD1C" w14:textId="77777777">
        <w:trPr>
          <w:trHeight w:val="300"/>
          <w:jc w:val="center"/>
        </w:trPr>
        <w:tc>
          <w:tcPr>
            <w:tcW w:w="0" w:type="auto"/>
            <w:gridSpan w:val="4"/>
            <w:tcBorders>
              <w:bottom w:val="single" w:color="auto" w:sz="4" w:space="0"/>
            </w:tcBorders>
            <w:shd w:val="clear" w:color="000000" w:fill="auto"/>
            <w:noWrap/>
            <w:vAlign w:val="bottom"/>
          </w:tcPr>
          <w:p w:rsidRPr="00152B2E" w:rsidR="00906892" w:rsidP="00906892" w:rsidRDefault="00906892" w14:paraId="7B43AD57" w14:textId="36C3278E">
            <w:pPr>
              <w:spacing w:after="0" w:line="240" w:lineRule="auto"/>
              <w:jc w:val="center"/>
              <w:rPr>
                <w:rFonts w:ascii="Calibri" w:hAnsi="Calibri" w:eastAsia="Times New Roman" w:cs="Calibri"/>
                <w:b/>
                <w:bCs/>
                <w:color w:val="000000"/>
              </w:rPr>
            </w:pPr>
            <w:bookmarkStart w:name="_Ref59270881" w:id="17"/>
            <w:r w:rsidRPr="00F02AE6">
              <w:rPr>
                <w:b/>
                <w:bCs/>
              </w:rPr>
              <w:lastRenderedPageBreak/>
              <w:t xml:space="preserve">Table </w:t>
            </w:r>
            <w:r w:rsidR="001354F1">
              <w:rPr>
                <w:b/>
                <w:bCs/>
              </w:rPr>
              <w:t>2</w:t>
            </w:r>
            <w:bookmarkEnd w:id="17"/>
            <w:r w:rsidRPr="00F02AE6">
              <w:rPr>
                <w:b/>
                <w:bCs/>
              </w:rPr>
              <w:t xml:space="preserve"> - Projected Number of Respondents</w:t>
            </w:r>
          </w:p>
        </w:tc>
      </w:tr>
      <w:tr w:rsidRPr="00FC152C" w:rsidR="00FC152C" w:rsidTr="00FC152C" w14:paraId="61EE09FA" w14:textId="77777777">
        <w:trPr>
          <w:trHeight w:val="300"/>
          <w:jc w:val="center"/>
        </w:trPr>
        <w:tc>
          <w:tcPr>
            <w:tcW w:w="0" w:type="auto"/>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FC152C" w:rsidR="00FC152C" w:rsidP="00F02AE6" w:rsidRDefault="00906892" w14:paraId="0E6B239A" w14:textId="593A8F9F">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 xml:space="preserve">ICR </w:t>
            </w:r>
            <w:r w:rsidRPr="00FC152C" w:rsidR="00FC152C">
              <w:rPr>
                <w:rFonts w:ascii="Calibri" w:hAnsi="Calibri" w:eastAsia="Times New Roman" w:cs="Calibri"/>
                <w:b/>
                <w:bCs/>
                <w:color w:val="000000"/>
              </w:rPr>
              <w:t>Year</w:t>
            </w:r>
          </w:p>
        </w:tc>
        <w:tc>
          <w:tcPr>
            <w:tcW w:w="0" w:type="auto"/>
            <w:tcBorders>
              <w:top w:val="single" w:color="auto" w:sz="4" w:space="0"/>
              <w:left w:val="nil"/>
              <w:bottom w:val="single" w:color="auto" w:sz="4" w:space="0"/>
              <w:right w:val="single" w:color="auto" w:sz="4" w:space="0"/>
            </w:tcBorders>
            <w:shd w:val="clear" w:color="000000" w:fill="BFBFBF"/>
            <w:noWrap/>
            <w:vAlign w:val="bottom"/>
            <w:hideMark/>
          </w:tcPr>
          <w:p w:rsidR="009D29A3" w:rsidP="00F02AE6" w:rsidRDefault="00FC152C" w14:paraId="1D6805A3"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Existing Respondents</w:t>
            </w:r>
            <w:r w:rsidR="009D29A3">
              <w:rPr>
                <w:rFonts w:ascii="Calibri" w:hAnsi="Calibri" w:eastAsia="Times New Roman" w:cs="Calibri"/>
                <w:b/>
                <w:bCs/>
                <w:color w:val="000000"/>
              </w:rPr>
              <w:t xml:space="preserve"> </w:t>
            </w:r>
          </w:p>
          <w:p w:rsidRPr="00FC152C" w:rsidR="00FC152C" w:rsidP="00F02AE6" w:rsidRDefault="009D29A3" w14:paraId="3F417AD3" w14:textId="0D269D2A">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at Start of ICR Year</w:t>
            </w:r>
          </w:p>
        </w:tc>
        <w:tc>
          <w:tcPr>
            <w:tcW w:w="0" w:type="auto"/>
            <w:tcBorders>
              <w:top w:val="single" w:color="auto" w:sz="4" w:space="0"/>
              <w:left w:val="nil"/>
              <w:bottom w:val="single" w:color="auto" w:sz="4" w:space="0"/>
              <w:right w:val="single" w:color="auto" w:sz="4" w:space="0"/>
            </w:tcBorders>
            <w:shd w:val="clear" w:color="000000" w:fill="BFBFBF"/>
            <w:noWrap/>
            <w:vAlign w:val="bottom"/>
            <w:hideMark/>
          </w:tcPr>
          <w:p w:rsidR="009D29A3" w:rsidP="00F02AE6" w:rsidRDefault="00FC152C" w14:paraId="438D28AF"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New Respondents</w:t>
            </w:r>
            <w:r w:rsidR="009D29A3">
              <w:rPr>
                <w:rFonts w:ascii="Calibri" w:hAnsi="Calibri" w:eastAsia="Times New Roman" w:cs="Calibri"/>
                <w:b/>
                <w:bCs/>
                <w:color w:val="000000"/>
              </w:rPr>
              <w:t xml:space="preserve"> </w:t>
            </w:r>
          </w:p>
          <w:p w:rsidRPr="00FC152C" w:rsidR="00FC152C" w:rsidP="00F02AE6" w:rsidRDefault="009D29A3" w14:paraId="4E11CD1D" w14:textId="3BC9B0B7">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 xml:space="preserve">Added During ICR Year </w:t>
            </w:r>
          </w:p>
        </w:tc>
        <w:tc>
          <w:tcPr>
            <w:tcW w:w="0" w:type="auto"/>
            <w:tcBorders>
              <w:top w:val="single" w:color="auto" w:sz="4" w:space="0"/>
              <w:left w:val="nil"/>
              <w:bottom w:val="single" w:color="auto" w:sz="4" w:space="0"/>
              <w:right w:val="single" w:color="auto" w:sz="4" w:space="0"/>
            </w:tcBorders>
            <w:shd w:val="clear" w:color="000000" w:fill="BFBFBF"/>
            <w:noWrap/>
            <w:vAlign w:val="bottom"/>
            <w:hideMark/>
          </w:tcPr>
          <w:p w:rsidRPr="00FC152C" w:rsidR="00FC152C" w:rsidP="00F02AE6" w:rsidRDefault="00FC152C" w14:paraId="1BF6B0EC" w14:textId="4C595E14">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Total Respondents</w:t>
            </w:r>
          </w:p>
        </w:tc>
      </w:tr>
      <w:tr w:rsidRPr="00FC152C" w:rsidR="00FC152C" w:rsidTr="00F02AE6" w14:paraId="6F07500C"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C152C" w:rsidR="00FC152C" w:rsidP="00F02AE6" w:rsidRDefault="00FC152C" w14:paraId="04019729"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1</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4C10C37B" w14:textId="7A81C990">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270</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3A281961" w14:textId="77777777">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115</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2F6273F5" w14:textId="3F73FF33">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385</w:t>
            </w:r>
          </w:p>
        </w:tc>
      </w:tr>
      <w:tr w:rsidRPr="00FC152C" w:rsidR="00FC152C" w:rsidTr="00F02AE6" w14:paraId="35885A2F"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C152C" w:rsidR="00FC152C" w:rsidP="00F02AE6" w:rsidRDefault="00FC152C" w14:paraId="0696D898"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2</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63FFF8FD" w14:textId="601EA56D">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385</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6DFFDD78" w14:textId="77777777">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121</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0BE04373" w14:textId="6012238A">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506</w:t>
            </w:r>
          </w:p>
        </w:tc>
      </w:tr>
      <w:tr w:rsidRPr="00FC152C" w:rsidR="00FC152C" w:rsidTr="00F02AE6" w14:paraId="7B8C404A"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C152C" w:rsidR="00FC152C" w:rsidP="00F02AE6" w:rsidRDefault="00FC152C" w14:paraId="4AF89AE2"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3</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3E5AB9D3" w14:textId="12BD3A37">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506</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3997B8CE" w14:textId="77777777">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127</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0C9998EC" w14:textId="32EA4C89">
            <w:pPr>
              <w:spacing w:after="0" w:line="240" w:lineRule="auto"/>
              <w:jc w:val="center"/>
              <w:rPr>
                <w:rFonts w:ascii="Calibri" w:hAnsi="Calibri" w:eastAsia="Times New Roman" w:cs="Calibri"/>
                <w:color w:val="000000"/>
              </w:rPr>
            </w:pPr>
            <w:r w:rsidRPr="00FC152C">
              <w:rPr>
                <w:rFonts w:ascii="Calibri" w:hAnsi="Calibri" w:eastAsia="Times New Roman" w:cs="Calibri"/>
                <w:color w:val="000000"/>
              </w:rPr>
              <w:t>2</w:t>
            </w:r>
            <w:r w:rsidR="001C6E95">
              <w:rPr>
                <w:rFonts w:ascii="Calibri" w:hAnsi="Calibri" w:eastAsia="Times New Roman" w:cs="Calibri"/>
                <w:color w:val="000000"/>
              </w:rPr>
              <w:t>,</w:t>
            </w:r>
            <w:r w:rsidRPr="00FC152C">
              <w:rPr>
                <w:rFonts w:ascii="Calibri" w:hAnsi="Calibri" w:eastAsia="Times New Roman" w:cs="Calibri"/>
                <w:color w:val="000000"/>
              </w:rPr>
              <w:t>632</w:t>
            </w:r>
          </w:p>
        </w:tc>
      </w:tr>
      <w:tr w:rsidRPr="00FC152C" w:rsidR="00FC152C" w:rsidTr="00F02AE6" w14:paraId="18769A56" w14:textId="77777777">
        <w:trPr>
          <w:trHeight w:val="287"/>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C152C" w:rsidR="00FC152C" w:rsidP="00F02AE6" w:rsidRDefault="00FC152C" w14:paraId="4E8B5DAE"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Average</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5395AD5B" w14:textId="006F0DE0">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2</w:t>
            </w:r>
            <w:r w:rsidR="001C6E95">
              <w:rPr>
                <w:rFonts w:ascii="Calibri" w:hAnsi="Calibri" w:eastAsia="Times New Roman" w:cs="Calibri"/>
                <w:b/>
                <w:bCs/>
                <w:color w:val="000000"/>
              </w:rPr>
              <w:t>,</w:t>
            </w:r>
            <w:r w:rsidRPr="00FC152C">
              <w:rPr>
                <w:rFonts w:ascii="Calibri" w:hAnsi="Calibri" w:eastAsia="Times New Roman" w:cs="Calibri"/>
                <w:b/>
                <w:bCs/>
                <w:color w:val="000000"/>
              </w:rPr>
              <w:t>387</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30287166" w14:textId="77777777">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121</w:t>
            </w:r>
          </w:p>
        </w:tc>
        <w:tc>
          <w:tcPr>
            <w:tcW w:w="0" w:type="auto"/>
            <w:tcBorders>
              <w:top w:val="nil"/>
              <w:left w:val="nil"/>
              <w:bottom w:val="single" w:color="auto" w:sz="4" w:space="0"/>
              <w:right w:val="single" w:color="auto" w:sz="4" w:space="0"/>
            </w:tcBorders>
            <w:shd w:val="clear" w:color="auto" w:fill="auto"/>
            <w:noWrap/>
            <w:vAlign w:val="bottom"/>
            <w:hideMark/>
          </w:tcPr>
          <w:p w:rsidRPr="00FC152C" w:rsidR="00FC152C" w:rsidP="00F02AE6" w:rsidRDefault="00FC152C" w14:paraId="1A931AC4" w14:textId="6186F0B8">
            <w:pPr>
              <w:spacing w:after="0" w:line="240" w:lineRule="auto"/>
              <w:jc w:val="center"/>
              <w:rPr>
                <w:rFonts w:ascii="Calibri" w:hAnsi="Calibri" w:eastAsia="Times New Roman" w:cs="Calibri"/>
                <w:b/>
                <w:bCs/>
                <w:color w:val="000000"/>
              </w:rPr>
            </w:pPr>
            <w:r w:rsidRPr="00FC152C">
              <w:rPr>
                <w:rFonts w:ascii="Calibri" w:hAnsi="Calibri" w:eastAsia="Times New Roman" w:cs="Calibri"/>
                <w:b/>
                <w:bCs/>
                <w:color w:val="000000"/>
              </w:rPr>
              <w:t>2</w:t>
            </w:r>
            <w:r w:rsidR="001C6E95">
              <w:rPr>
                <w:rFonts w:ascii="Calibri" w:hAnsi="Calibri" w:eastAsia="Times New Roman" w:cs="Calibri"/>
                <w:b/>
                <w:bCs/>
                <w:color w:val="000000"/>
              </w:rPr>
              <w:t>,</w:t>
            </w:r>
            <w:r w:rsidRPr="00FC152C">
              <w:rPr>
                <w:rFonts w:ascii="Calibri" w:hAnsi="Calibri" w:eastAsia="Times New Roman" w:cs="Calibri"/>
                <w:b/>
                <w:bCs/>
                <w:color w:val="000000"/>
              </w:rPr>
              <w:t>508</w:t>
            </w:r>
          </w:p>
        </w:tc>
      </w:tr>
    </w:tbl>
    <w:p w:rsidRPr="00EC4571" w:rsidR="00FC152C" w:rsidRDefault="00FC152C" w14:paraId="53A527D1" w14:textId="77777777">
      <w:pPr>
        <w:numPr>
          <w:ilvl w:val="12"/>
          <w:numId w:val="1"/>
        </w:numPr>
        <w:spacing w:after="100" w:afterAutospacing="1" w:line="240" w:lineRule="auto"/>
        <w:contextualSpacing/>
        <w:rPr>
          <w:rFonts w:ascii="Calibri" w:hAnsi="Calibri" w:cs="Calibri"/>
        </w:rPr>
      </w:pPr>
    </w:p>
    <w:p w:rsidR="00F367F8" w:rsidP="00D37535" w:rsidRDefault="00F367F8" w14:paraId="698AD7E6" w14:textId="77777777">
      <w:pPr>
        <w:numPr>
          <w:ilvl w:val="12"/>
          <w:numId w:val="1"/>
        </w:numPr>
        <w:spacing w:after="100" w:afterAutospacing="1" w:line="240" w:lineRule="auto"/>
        <w:contextualSpacing/>
        <w:rPr>
          <w:rFonts w:ascii="Calibri" w:hAnsi="Calibri" w:cs="Calibri"/>
        </w:rPr>
      </w:pPr>
    </w:p>
    <w:p w:rsidRPr="001E010D" w:rsidR="00B62425" w:rsidP="00D37535" w:rsidRDefault="00B62425" w14:paraId="23EDF6C2" w14:textId="064359B0">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The permit regulates stormwater discharges </w:t>
      </w:r>
      <w:r w:rsidR="00F448FF">
        <w:rPr>
          <w:rFonts w:ascii="Calibri" w:hAnsi="Calibri" w:cs="Calibri"/>
        </w:rPr>
        <w:t xml:space="preserve">located in areas where EPA is the permitting authority that are </w:t>
      </w:r>
      <w:r w:rsidR="00FD3D3D">
        <w:rPr>
          <w:rFonts w:ascii="Calibri" w:hAnsi="Calibri" w:cs="Calibri"/>
        </w:rPr>
        <w:t>associated with</w:t>
      </w:r>
      <w:r w:rsidRPr="001E010D" w:rsidR="00FD3D3D">
        <w:rPr>
          <w:rFonts w:ascii="Calibri" w:hAnsi="Calibri" w:cs="Calibri"/>
        </w:rPr>
        <w:t xml:space="preserve"> </w:t>
      </w:r>
      <w:r w:rsidRPr="001E010D">
        <w:rPr>
          <w:rFonts w:ascii="Calibri" w:hAnsi="Calibri" w:cs="Calibri"/>
        </w:rPr>
        <w:t xml:space="preserve">industrial </w:t>
      </w:r>
      <w:r w:rsidR="00FD3D3D">
        <w:rPr>
          <w:rFonts w:ascii="Calibri" w:hAnsi="Calibri" w:cs="Calibri"/>
        </w:rPr>
        <w:t>activity from facilities</w:t>
      </w:r>
      <w:r w:rsidRPr="001E010D" w:rsidR="00FD3D3D">
        <w:rPr>
          <w:rFonts w:ascii="Calibri" w:hAnsi="Calibri" w:cs="Calibri"/>
        </w:rPr>
        <w:t xml:space="preserve"> </w:t>
      </w:r>
      <w:r w:rsidRPr="001E010D">
        <w:rPr>
          <w:rFonts w:ascii="Calibri" w:hAnsi="Calibri" w:cs="Calibri"/>
        </w:rPr>
        <w:t xml:space="preserve">in the 30 sectors shown below: </w:t>
      </w:r>
    </w:p>
    <w:p w:rsidRPr="001E010D" w:rsidR="00B62425" w:rsidP="00D37535" w:rsidRDefault="00B62425" w14:paraId="7B202D04"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A—Timber Products. </w:t>
      </w:r>
    </w:p>
    <w:p w:rsidRPr="001E010D" w:rsidR="00B62425" w:rsidP="00D37535" w:rsidRDefault="00B62425" w14:paraId="1C6BE9A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B—Paper and Allied Products Manufacturing. </w:t>
      </w:r>
    </w:p>
    <w:p w:rsidRPr="001E010D" w:rsidR="00B62425" w:rsidP="00D37535" w:rsidRDefault="00B62425" w14:paraId="72EFF84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C—Chemical and Allied Products Manufacturing. </w:t>
      </w:r>
    </w:p>
    <w:p w:rsidRPr="001E010D" w:rsidR="00B62425" w:rsidP="00D37535" w:rsidRDefault="00B62425" w14:paraId="7B1557C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D—Asphalt Paving and Roofing Materials Manufactures and Lubricant Manufacturers.</w:t>
      </w:r>
    </w:p>
    <w:p w:rsidRPr="001E010D" w:rsidR="00B62425" w:rsidP="00D37535" w:rsidRDefault="00B62425" w14:paraId="7CD50A96"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E—Glass, Clay, Cement, Concrete, and Gypsum Product Manufacturing. </w:t>
      </w:r>
    </w:p>
    <w:p w:rsidRPr="001E010D" w:rsidR="00B62425" w:rsidP="00D37535" w:rsidRDefault="00B62425" w14:paraId="14041D99"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F—Primary Metals. </w:t>
      </w:r>
    </w:p>
    <w:p w:rsidRPr="001E010D" w:rsidR="00B62425" w:rsidP="00D37535" w:rsidRDefault="00B62425" w14:paraId="7CF028D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G—Metal Mining (Ore Mining and Dressing).</w:t>
      </w:r>
    </w:p>
    <w:p w:rsidRPr="001E010D" w:rsidR="00B62425" w:rsidP="00D37535" w:rsidRDefault="00B62425" w14:paraId="245C5531"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H—Coal Mines and Coal Mining-Related Facilities. </w:t>
      </w:r>
    </w:p>
    <w:p w:rsidRPr="001E010D" w:rsidR="00B62425" w:rsidP="00D37535" w:rsidRDefault="00B62425" w14:paraId="053D078E"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I—Oil and Gas Extraction. </w:t>
      </w:r>
    </w:p>
    <w:p w:rsidRPr="001E010D" w:rsidR="00B62425" w:rsidP="00D37535" w:rsidRDefault="00B62425" w14:paraId="1157826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J—Mineral Mining and Dressing. </w:t>
      </w:r>
    </w:p>
    <w:p w:rsidRPr="001E010D" w:rsidR="00B62425" w:rsidP="00D37535" w:rsidRDefault="00B62425" w14:paraId="65320BD2"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K—Hazardous Waste Treatment Storage or Disposal. </w:t>
      </w:r>
    </w:p>
    <w:p w:rsidRPr="001E010D" w:rsidR="00B62425" w:rsidP="00D37535" w:rsidRDefault="00B62425" w14:paraId="4BFC5AC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L—Landfills and Land Application Sites. </w:t>
      </w:r>
    </w:p>
    <w:p w:rsidRPr="001E010D" w:rsidR="00B62425" w:rsidP="00D37535" w:rsidRDefault="00B62425" w14:paraId="2B33FFF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M—Automobile Salvage Yards. </w:t>
      </w:r>
    </w:p>
    <w:p w:rsidRPr="001E010D" w:rsidR="00B62425" w:rsidP="00D37535" w:rsidRDefault="00B62425" w14:paraId="04EFF8AF"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N—Scrap Recycling Facilities. </w:t>
      </w:r>
    </w:p>
    <w:p w:rsidRPr="001E010D" w:rsidR="00B62425" w:rsidP="00D37535" w:rsidRDefault="00B62425" w14:paraId="05240368"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O—Steam Electric Generating Facilities.</w:t>
      </w:r>
    </w:p>
    <w:p w:rsidRPr="001E010D" w:rsidR="00B62425" w:rsidP="00D37535" w:rsidRDefault="00B62425" w14:paraId="51A3583D"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P—Land Transportation. </w:t>
      </w:r>
    </w:p>
    <w:p w:rsidRPr="001E010D" w:rsidR="00B62425" w:rsidP="00D37535" w:rsidRDefault="00B62425" w14:paraId="027D037E"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Q—Water Transportation. </w:t>
      </w:r>
    </w:p>
    <w:p w:rsidRPr="001E010D" w:rsidR="00B62425" w:rsidP="00D37535" w:rsidRDefault="00B62425" w14:paraId="10FB986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R—Ship and Boat Building or Repairing Yards. </w:t>
      </w:r>
    </w:p>
    <w:p w:rsidRPr="001E010D" w:rsidR="00B62425" w:rsidP="00D37535" w:rsidRDefault="00B62425" w14:paraId="1F122733"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S—Air Transportation Facilities. </w:t>
      </w:r>
    </w:p>
    <w:p w:rsidRPr="001E010D" w:rsidR="00B62425" w:rsidP="00D37535" w:rsidRDefault="00B62425" w14:paraId="1676851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T—Treatment Works. </w:t>
      </w:r>
    </w:p>
    <w:p w:rsidRPr="001E010D" w:rsidR="00B62425" w:rsidP="00D37535" w:rsidRDefault="00B62425" w14:paraId="5BDD0B6A"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U—Food and Kindred Products. </w:t>
      </w:r>
    </w:p>
    <w:p w:rsidRPr="001E010D" w:rsidR="00B62425" w:rsidP="00D37535" w:rsidRDefault="00B62425" w14:paraId="4A0BBA99"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V—Textile Mills, Apparel, and other Fabric Products Manufacturing. </w:t>
      </w:r>
    </w:p>
    <w:p w:rsidRPr="001E010D" w:rsidR="00B62425" w:rsidP="00D37535" w:rsidRDefault="00B62425" w14:paraId="3F02584C"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W—Furniture and Fixtures. </w:t>
      </w:r>
    </w:p>
    <w:p w:rsidRPr="001E010D" w:rsidR="00B62425" w:rsidP="00D37535" w:rsidRDefault="00B62425" w14:paraId="580237D8"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X—Printing and Publishing. </w:t>
      </w:r>
    </w:p>
    <w:p w:rsidRPr="001E010D" w:rsidR="00B62425" w:rsidP="00D37535" w:rsidRDefault="00B62425" w14:paraId="68254A4F"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Y—Rubber, Miscellaneous Plastic Products, and Miscellaneous Manufacturing Industries. </w:t>
      </w:r>
    </w:p>
    <w:p w:rsidRPr="001E010D" w:rsidR="00B62425" w:rsidP="00D37535" w:rsidRDefault="00B62425" w14:paraId="79A0A7AA"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Z—Leather Tanning and Finishing. </w:t>
      </w:r>
    </w:p>
    <w:p w:rsidRPr="001E010D" w:rsidR="00B62425" w:rsidP="00D37535" w:rsidRDefault="00B62425" w14:paraId="234D2556"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AA—Fabricated Metal Products. </w:t>
      </w:r>
    </w:p>
    <w:p w:rsidRPr="001E010D" w:rsidR="00B62425" w:rsidP="00D37535" w:rsidRDefault="00B62425" w14:paraId="619E2264"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AB—Transportation Equipment, Industrial or Commercial Machinery. </w:t>
      </w:r>
    </w:p>
    <w:p w:rsidRPr="001E010D" w:rsidR="00B62425" w:rsidP="00D37535" w:rsidRDefault="00B62425" w14:paraId="0A9A417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AC—Electronic, Electrical, Photographic and Optical Goods. </w:t>
      </w:r>
    </w:p>
    <w:p w:rsidRPr="001E010D" w:rsidR="001903F6" w:rsidP="00D37535" w:rsidRDefault="00B62425" w14:paraId="28CA4AC0"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AD—Reserved for Facilities Not Covered Under Other Sectors and Designated by the Director. </w:t>
      </w:r>
    </w:p>
    <w:p w:rsidRPr="001E010D" w:rsidR="00E141D4" w:rsidP="00D37535" w:rsidRDefault="00E141D4" w14:paraId="52555A2E" w14:textId="71606A65">
      <w:pPr>
        <w:pStyle w:val="Heading2"/>
        <w:spacing w:before="0" w:after="100" w:afterAutospacing="1" w:line="240" w:lineRule="auto"/>
        <w:ind w:hanging="720"/>
        <w:contextualSpacing/>
      </w:pPr>
      <w:bookmarkStart w:name="_Toc24963876" w:id="18"/>
      <w:r w:rsidRPr="001E010D">
        <w:lastRenderedPageBreak/>
        <w:t>Information Requested</w:t>
      </w:r>
      <w:r w:rsidRPr="001E010D" w:rsidR="00C25642">
        <w:t xml:space="preserve"> – Data Items, </w:t>
      </w:r>
      <w:r w:rsidR="000E5284">
        <w:t>I</w:t>
      </w:r>
      <w:r w:rsidRPr="001E010D" w:rsidR="00C25642">
        <w:t xml:space="preserve">ncluding </w:t>
      </w:r>
      <w:r w:rsidR="000E5284">
        <w:t>R</w:t>
      </w:r>
      <w:r w:rsidRPr="001E010D" w:rsidR="00C25642">
        <w:t>ecord</w:t>
      </w:r>
      <w:r w:rsidR="000E5284">
        <w:t>-</w:t>
      </w:r>
      <w:r w:rsidRPr="001E010D" w:rsidR="00C25642">
        <w:t xml:space="preserve">keeping </w:t>
      </w:r>
      <w:r w:rsidR="000E5284">
        <w:t>R</w:t>
      </w:r>
      <w:r w:rsidRPr="001E010D" w:rsidR="00C25642">
        <w:t>equirements, and Respondent Activities</w:t>
      </w:r>
      <w:bookmarkEnd w:id="18"/>
    </w:p>
    <w:p w:rsidR="00DA688F" w:rsidP="00D37535" w:rsidRDefault="004842BA" w14:paraId="08906296" w14:textId="43D27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This section presents the data items, including record-keeping requirements, and required respondent activities involved in preparing and submitting those data items.</w:t>
      </w:r>
    </w:p>
    <w:p w:rsidRPr="001E010D" w:rsidR="00FD3D3D" w:rsidP="00D37535" w:rsidRDefault="00FD3D3D" w14:paraId="7D248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B62425" w:rsidP="00D37535" w:rsidRDefault="00B62425" w14:paraId="5BC8075D" w14:textId="75C7E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Data items related to the MSGP include:</w:t>
      </w:r>
    </w:p>
    <w:p w:rsidRPr="001E010D" w:rsidR="00C872ED" w:rsidP="00D37535" w:rsidRDefault="003274C5" w14:paraId="43AAB5B5" w14:textId="553FD49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N</w:t>
      </w:r>
      <w:r w:rsidRPr="001E010D" w:rsidR="00B62425">
        <w:rPr>
          <w:rFonts w:ascii="Calibri" w:hAnsi="Calibri" w:cs="Calibri"/>
        </w:rPr>
        <w:t>OI</w:t>
      </w:r>
      <w:r w:rsidRPr="001E010D">
        <w:rPr>
          <w:rFonts w:ascii="Calibri" w:hAnsi="Calibri" w:cs="Calibri"/>
        </w:rPr>
        <w:t xml:space="preserve"> and Notice of Termination (NOT) forms</w:t>
      </w:r>
      <w:r w:rsidRPr="001E010D" w:rsidR="00B62425">
        <w:rPr>
          <w:rFonts w:ascii="Calibri" w:hAnsi="Calibri" w:cs="Calibri"/>
        </w:rPr>
        <w:t xml:space="preserve">; </w:t>
      </w:r>
    </w:p>
    <w:p w:rsidRPr="001E010D" w:rsidR="003274C5" w:rsidP="00D37535" w:rsidRDefault="003274C5" w14:paraId="080520D4" w14:textId="07329BC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SWPPPs;</w:t>
      </w:r>
    </w:p>
    <w:p w:rsidRPr="00EB1A1B" w:rsidR="00776FA1" w:rsidP="007E3975" w:rsidRDefault="00B62425" w14:paraId="3D40383D" w14:textId="7A29315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DMRs; </w:t>
      </w:r>
    </w:p>
    <w:p w:rsidRPr="001E010D" w:rsidR="003274C5" w:rsidP="00D37535" w:rsidRDefault="003274C5" w14:paraId="19858357" w14:textId="7482E99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I</w:t>
      </w:r>
      <w:r w:rsidRPr="001E010D" w:rsidR="00B62425">
        <w:rPr>
          <w:rFonts w:ascii="Calibri" w:hAnsi="Calibri" w:cs="Calibri"/>
        </w:rPr>
        <w:t>nspection</w:t>
      </w:r>
      <w:r w:rsidR="006610BE">
        <w:rPr>
          <w:rFonts w:ascii="Calibri" w:hAnsi="Calibri" w:cs="Calibri"/>
        </w:rPr>
        <w:t xml:space="preserve"> Reports</w:t>
      </w:r>
      <w:r w:rsidRPr="001E010D" w:rsidR="00B62425">
        <w:rPr>
          <w:rFonts w:ascii="Calibri" w:hAnsi="Calibri" w:cs="Calibri"/>
        </w:rPr>
        <w:t>;</w:t>
      </w:r>
    </w:p>
    <w:p w:rsidRPr="001E010D" w:rsidR="00F7434B" w:rsidP="00D37535" w:rsidRDefault="001750F1" w14:paraId="2C40ACED" w14:textId="43C64FB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AIM </w:t>
      </w:r>
      <w:r w:rsidRPr="001E010D" w:rsidR="00F7434B">
        <w:rPr>
          <w:rFonts w:ascii="Calibri" w:hAnsi="Calibri" w:cs="Calibri"/>
        </w:rPr>
        <w:t>Documentation;</w:t>
      </w:r>
    </w:p>
    <w:p w:rsidRPr="00A03C3B" w:rsidR="003274C5" w:rsidDel="00776FA1" w:rsidP="007E3975" w:rsidRDefault="003274C5" w14:paraId="280925D8" w14:textId="069705C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A03C3B" w:rsidDel="00776FA1">
        <w:t>Annual Reports;</w:t>
      </w:r>
    </w:p>
    <w:p w:rsidRPr="001E010D" w:rsidR="003274C5" w:rsidDel="00AD79E4" w:rsidP="00A03C3B" w:rsidRDefault="003274C5" w14:paraId="2104D8A5" w14:textId="56AD107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rsidDel="00AD79E4">
        <w:t xml:space="preserve">No Exposure Certifications; </w:t>
      </w:r>
      <w:r w:rsidRPr="001E010D" w:rsidDel="00AD79E4" w:rsidR="00B62425">
        <w:t xml:space="preserve">and </w:t>
      </w:r>
    </w:p>
    <w:p w:rsidRPr="001E010D" w:rsidR="00B62425" w:rsidP="007E3975" w:rsidRDefault="00B62425" w14:paraId="5D188756" w14:textId="4C31DF9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rsidDel="00AD79E4">
        <w:t xml:space="preserve">Other </w:t>
      </w:r>
      <w:r w:rsidRPr="001E010D" w:rsidDel="00AD79E4" w:rsidR="003274C5">
        <w:t>Informati</w:t>
      </w:r>
      <w:r w:rsidRPr="001E010D" w:rsidR="003274C5">
        <w:t>on</w:t>
      </w:r>
      <w:r w:rsidRPr="001E010D">
        <w:t>.</w:t>
      </w:r>
    </w:p>
    <w:p w:rsidR="00683EF8" w:rsidP="00A03C3B" w:rsidRDefault="00C25642" w14:paraId="3031EE57" w14:textId="1F0D7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 xml:space="preserve">Each of these, including respondent activities, are summarized below. </w:t>
      </w:r>
      <w:r w:rsidR="008F7431">
        <w:rPr>
          <w:rFonts w:ascii="Calibri" w:hAnsi="Calibri" w:cs="Calibri"/>
        </w:rPr>
        <w:t>An</w:t>
      </w:r>
      <w:r w:rsidR="00683EF8">
        <w:rPr>
          <w:rFonts w:ascii="Calibri" w:hAnsi="Calibri" w:cs="Calibri"/>
        </w:rPr>
        <w:t xml:space="preserve"> indication of whether EPA is </w:t>
      </w:r>
      <w:r w:rsidR="006511D7">
        <w:rPr>
          <w:rFonts w:ascii="Calibri" w:hAnsi="Calibri" w:cs="Calibri"/>
        </w:rPr>
        <w:t>changing</w:t>
      </w:r>
      <w:r w:rsidR="00683EF8">
        <w:rPr>
          <w:rFonts w:ascii="Calibri" w:hAnsi="Calibri" w:cs="Calibri"/>
        </w:rPr>
        <w:t xml:space="preserve"> the data item</w:t>
      </w:r>
      <w:r w:rsidR="008F7431">
        <w:rPr>
          <w:rFonts w:ascii="Calibri" w:hAnsi="Calibri" w:cs="Calibri"/>
        </w:rPr>
        <w:t xml:space="preserve"> </w:t>
      </w:r>
      <w:r w:rsidR="006511D7">
        <w:rPr>
          <w:rFonts w:ascii="Calibri" w:hAnsi="Calibri" w:cs="Calibri"/>
        </w:rPr>
        <w:t xml:space="preserve">from </w:t>
      </w:r>
      <w:r w:rsidR="00AA7C7F">
        <w:rPr>
          <w:rFonts w:ascii="Calibri" w:hAnsi="Calibri" w:cs="Calibri"/>
        </w:rPr>
        <w:t xml:space="preserve">what was required in the 2015 MSGP </w:t>
      </w:r>
      <w:r w:rsidR="008F7431">
        <w:rPr>
          <w:rFonts w:ascii="Calibri" w:hAnsi="Calibri" w:cs="Calibri"/>
        </w:rPr>
        <w:t>is also included</w:t>
      </w:r>
      <w:r w:rsidR="00683EF8">
        <w:rPr>
          <w:rFonts w:ascii="Calibri" w:hAnsi="Calibri" w:cs="Calibri"/>
        </w:rPr>
        <w:t>.</w:t>
      </w:r>
    </w:p>
    <w:p w:rsidRPr="00EB1A1B" w:rsidR="008145EC" w:rsidP="00A03C3B" w:rsidRDefault="008145EC" w14:paraId="48B403F5" w14:textId="4735C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A03C3B" w:rsidRDefault="00C25642" w14:paraId="461F3DBE" w14:textId="73046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 xml:space="preserve">NOI forms </w:t>
      </w:r>
      <w:r w:rsidR="00C16132">
        <w:t>[</w:t>
      </w:r>
      <w:r w:rsidR="001C4EEA">
        <w:t>Changes</w:t>
      </w:r>
      <w:r w:rsidR="00683EF8">
        <w:t xml:space="preserve"> to the information collection burden</w:t>
      </w:r>
      <w:r w:rsidR="00C16132">
        <w:t>]</w:t>
      </w:r>
    </w:p>
    <w:p w:rsidRPr="001E010D" w:rsidR="00FD3D3D" w:rsidP="00A03C3B" w:rsidRDefault="00FD3D3D" w14:paraId="145EEA7C" w14:textId="4528A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00C25642" w:rsidP="0F1D7B02" w:rsidRDefault="00C16132" w14:paraId="63AB29FC" w14:textId="78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Like the 2015 MSGP, </w:t>
      </w:r>
      <w:r w:rsidR="00C25642">
        <w:t>EPA</w:t>
      </w:r>
      <w:r>
        <w:t xml:space="preserve">’s </w:t>
      </w:r>
      <w:r w:rsidR="0048231A">
        <w:t>2021</w:t>
      </w:r>
      <w:r w:rsidR="00C25642">
        <w:t xml:space="preserve"> MSGP require</w:t>
      </w:r>
      <w:r w:rsidR="0048231A">
        <w:t>s</w:t>
      </w:r>
      <w:r w:rsidR="00C25642">
        <w:t xml:space="preserve"> </w:t>
      </w:r>
      <w:r w:rsidR="001619D9">
        <w:t>respondents</w:t>
      </w:r>
      <w:r w:rsidR="00C25642">
        <w:t xml:space="preserve"> to submit an</w:t>
      </w:r>
      <w:r w:rsidR="00456CC5">
        <w:t xml:space="preserve"> electronic </w:t>
      </w:r>
      <w:r w:rsidR="00C25642">
        <w:t xml:space="preserve">NOI to obtain coverage under the permit. The NOI requests basic </w:t>
      </w:r>
      <w:r w:rsidR="002E0A2D">
        <w:t xml:space="preserve">operator </w:t>
      </w:r>
      <w:r w:rsidR="00C25642">
        <w:t xml:space="preserve">and facility information, as well discharge location(s), receiving water information, whether the facility discharges to a federal </w:t>
      </w:r>
      <w:r w:rsidR="000B2705">
        <w:t>Comprehensive Environmental Response, Compensation, and Liability Act (</w:t>
      </w:r>
      <w:r w:rsidR="00C25642">
        <w:t>CERCLA</w:t>
      </w:r>
      <w:r w:rsidR="000B2705">
        <w:t>)</w:t>
      </w:r>
      <w:r w:rsidR="00C25642">
        <w:t xml:space="preserve"> site listed in Appendix P of the permit</w:t>
      </w:r>
      <w:r w:rsidR="00057A69">
        <w:t xml:space="preserve"> (applies only to EPA Region 10 </w:t>
      </w:r>
      <w:r w:rsidR="001619D9">
        <w:t>respondents</w:t>
      </w:r>
      <w:r w:rsidR="00057A69">
        <w:t>)</w:t>
      </w:r>
      <w:r w:rsidR="00C25642">
        <w:t xml:space="preserve">, information from the SWPPP, </w:t>
      </w:r>
      <w:r w:rsidR="00921F89">
        <w:t xml:space="preserve">a summary of </w:t>
      </w:r>
      <w:r w:rsidR="00C25642">
        <w:t>endangered species eligibility information, historic preservation eligibility</w:t>
      </w:r>
      <w:r w:rsidR="00E15B2F">
        <w:t xml:space="preserve"> information</w:t>
      </w:r>
      <w:r w:rsidR="00A83EC0">
        <w:t>, and other information</w:t>
      </w:r>
      <w:r w:rsidR="00C25642">
        <w:t>.</w:t>
      </w:r>
      <w:r w:rsidR="25585F47">
        <w:t xml:space="preserve"> </w:t>
      </w:r>
    </w:p>
    <w:p w:rsidRPr="001E010D" w:rsidR="00D37535" w:rsidP="00A03C3B" w:rsidRDefault="00D37535" w14:paraId="669B2E6D" w14:textId="449B3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F0CAE" w:rsidP="00FF0CAE" w:rsidRDefault="00FF0CAE" w14:paraId="730D4273" w14:textId="07DA58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 xml:space="preserve">NOT forms </w:t>
      </w:r>
      <w:r>
        <w:t>[No changes to the information collection burden]</w:t>
      </w:r>
    </w:p>
    <w:p w:rsidR="00FF0CAE" w:rsidP="00A03C3B" w:rsidRDefault="00FF0CAE" w14:paraId="40074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C25642" w:rsidP="00A03C3B" w:rsidRDefault="00C25642" w14:paraId="388B5E13" w14:textId="4FD317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t>EPA</w:t>
      </w:r>
      <w:r w:rsidR="00C16132">
        <w:t>’s</w:t>
      </w:r>
      <w:r w:rsidR="00B21F09">
        <w:t xml:space="preserve"> </w:t>
      </w:r>
      <w:r w:rsidR="00C16132">
        <w:t>2015</w:t>
      </w:r>
      <w:r w:rsidRPr="001E010D">
        <w:t xml:space="preserve"> MSGP </w:t>
      </w:r>
      <w:r w:rsidR="00F87D83">
        <w:t xml:space="preserve">NOT form </w:t>
      </w:r>
      <w:r w:rsidR="00C16132">
        <w:t xml:space="preserve">is identical to the </w:t>
      </w:r>
      <w:r w:rsidR="002E0A2D">
        <w:t xml:space="preserve">form in </w:t>
      </w:r>
      <w:r w:rsidR="00C16132">
        <w:t xml:space="preserve">the </w:t>
      </w:r>
      <w:r w:rsidR="00A6568D">
        <w:t>2021</w:t>
      </w:r>
      <w:r w:rsidR="00C16132">
        <w:t xml:space="preserve"> MSGP</w:t>
      </w:r>
      <w:r w:rsidR="00154DDA">
        <w:t>.</w:t>
      </w:r>
      <w:r w:rsidR="00C16132">
        <w:t xml:space="preserve"> </w:t>
      </w:r>
      <w:r w:rsidR="00154DDA">
        <w:t xml:space="preserve">A </w:t>
      </w:r>
      <w:r w:rsidRPr="001E010D" w:rsidR="00E15B2F">
        <w:t>NOT</w:t>
      </w:r>
      <w:r w:rsidRPr="001E010D">
        <w:t xml:space="preserve"> form </w:t>
      </w:r>
      <w:r w:rsidR="00154DDA">
        <w:t xml:space="preserve">must </w:t>
      </w:r>
      <w:r w:rsidRPr="001E010D">
        <w:t>be submitted whe</w:t>
      </w:r>
      <w:r w:rsidRPr="001E010D" w:rsidR="008467D0">
        <w:t>n a new operator has taken over responsibility for the facility; when operations have ceased at the facility; for mining facilities who have met applicable termination requirements; and/or when coverage under an individual</w:t>
      </w:r>
      <w:r w:rsidRPr="001E010D" w:rsidR="009270C5">
        <w:t xml:space="preserve"> or alternative general permit is obtained. </w:t>
      </w:r>
    </w:p>
    <w:p w:rsidRPr="001E010D" w:rsidR="008145EC" w:rsidP="00A03C3B" w:rsidRDefault="008145EC" w14:paraId="0E41907C" w14:textId="12CAF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C25642" w:rsidP="00A03C3B" w:rsidRDefault="00C25642" w14:paraId="37906A8E" w14:textId="3F47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SWPPPs</w:t>
      </w:r>
      <w:r w:rsidR="00C16132">
        <w:rPr>
          <w:b/>
        </w:rPr>
        <w:t xml:space="preserve"> </w:t>
      </w:r>
      <w:r w:rsidR="00C16132">
        <w:t>[</w:t>
      </w:r>
      <w:r w:rsidR="001C4EEA">
        <w:t>Changes</w:t>
      </w:r>
      <w:r w:rsidR="00683EF8">
        <w:t xml:space="preserve"> to the information collection burden</w:t>
      </w:r>
      <w:r w:rsidR="00C16132">
        <w:t>]</w:t>
      </w:r>
    </w:p>
    <w:p w:rsidRPr="001E010D" w:rsidR="0007091A" w:rsidP="00A03C3B" w:rsidRDefault="0007091A" w14:paraId="10B008BE" w14:textId="57F49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Pr="001E010D" w:rsidR="00166555" w:rsidP="00A03C3B" w:rsidRDefault="00166555" w14:paraId="0D45A078" w14:textId="2D38F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t>EPA</w:t>
      </w:r>
      <w:r w:rsidR="00C16132">
        <w:t xml:space="preserve">’s </w:t>
      </w:r>
      <w:r w:rsidR="00DE5080">
        <w:t>2021</w:t>
      </w:r>
      <w:r w:rsidRPr="001E010D">
        <w:t xml:space="preserve"> MSGP require</w:t>
      </w:r>
      <w:r w:rsidR="00154DDA">
        <w:t>s</w:t>
      </w:r>
      <w:r w:rsidRPr="001E010D">
        <w:t xml:space="preserve"> all </w:t>
      </w:r>
      <w:r w:rsidR="001619D9">
        <w:t>respondents</w:t>
      </w:r>
      <w:r w:rsidRPr="001E010D">
        <w:t xml:space="preserve"> to develop and maintain an updated SWPPP that includes the following elements:</w:t>
      </w:r>
    </w:p>
    <w:p w:rsidRPr="001E010D" w:rsidR="00166555" w:rsidP="00A03C3B" w:rsidRDefault="00166555" w14:paraId="1ED0153F" w14:textId="375EA49A">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Stormwater pollution prevention team;</w:t>
      </w:r>
    </w:p>
    <w:p w:rsidRPr="001E010D" w:rsidR="00166555" w:rsidP="00A03C3B" w:rsidRDefault="00166555" w14:paraId="47BF6886" w14:textId="0061525A">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Site description;</w:t>
      </w:r>
    </w:p>
    <w:p w:rsidRPr="001E010D" w:rsidR="00166555" w:rsidP="00A03C3B" w:rsidRDefault="00166555" w14:paraId="7BDBD20C" w14:textId="29D5853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Summary of potential pollutant sources;</w:t>
      </w:r>
    </w:p>
    <w:p w:rsidRPr="001E010D" w:rsidR="00166555" w:rsidP="00A03C3B" w:rsidRDefault="00166555" w14:paraId="43962208" w14:textId="5D21369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Description of control measures;</w:t>
      </w:r>
    </w:p>
    <w:p w:rsidRPr="001E010D" w:rsidR="000279CE" w:rsidP="00A03C3B" w:rsidRDefault="00166555" w14:paraId="03854F9F" w14:textId="418D844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lastRenderedPageBreak/>
        <w:t xml:space="preserve">Schedules and procedures; </w:t>
      </w:r>
    </w:p>
    <w:p w:rsidR="000C25F7" w:rsidP="00A03C3B" w:rsidRDefault="00166555" w14:paraId="32418A63"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 xml:space="preserve">Documentation to support eligibility considerations under other federal laws; </w:t>
      </w:r>
    </w:p>
    <w:p w:rsidRPr="001E010D" w:rsidR="00931EE9" w:rsidP="00A03C3B" w:rsidRDefault="000C25F7" w14:paraId="2F6A7144" w14:textId="743C3A4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Corrective action and AIM related documentation; </w:t>
      </w:r>
      <w:r w:rsidRPr="001E010D" w:rsidR="00166555">
        <w:t xml:space="preserve">and </w:t>
      </w:r>
    </w:p>
    <w:p w:rsidR="00166555" w:rsidP="00A03C3B" w:rsidRDefault="00166555" w14:paraId="65553053" w14:textId="2AA8C98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Signature requirements.</w:t>
      </w:r>
    </w:p>
    <w:p w:rsidR="00C25642" w:rsidP="00A03C3B" w:rsidRDefault="00C25642" w14:paraId="3A549CD5" w14:textId="1B47B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1E010D">
        <w:rPr>
          <w:b/>
        </w:rPr>
        <w:t>DMRs</w:t>
      </w:r>
      <w:r w:rsidR="00825AFC">
        <w:rPr>
          <w:b/>
        </w:rPr>
        <w:t xml:space="preserve"> </w:t>
      </w:r>
      <w:r w:rsidRPr="00825AFC" w:rsidR="00825AFC">
        <w:t>[</w:t>
      </w:r>
      <w:r w:rsidR="001C4EEA">
        <w:t>Changes</w:t>
      </w:r>
      <w:r w:rsidR="00E91F62">
        <w:t xml:space="preserve"> to the information collection burden</w:t>
      </w:r>
      <w:r w:rsidRPr="00825AFC" w:rsidR="00825AFC">
        <w:t>]</w:t>
      </w:r>
    </w:p>
    <w:p w:rsidRPr="001E010D" w:rsidR="0042246F" w:rsidP="00A03C3B" w:rsidRDefault="0042246F" w14:paraId="1493E70B" w14:textId="5271A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Pr="004F7D2F" w:rsidR="00217F04" w:rsidP="00A03C3B" w:rsidRDefault="00D80676" w14:paraId="3805DEC6" w14:textId="1DB1A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t>A</w:t>
      </w:r>
      <w:r w:rsidRPr="001E010D">
        <w:t xml:space="preserve"> </w:t>
      </w:r>
      <w:r w:rsidRPr="001E010D" w:rsidR="006818D7">
        <w:t xml:space="preserve">DMR is used to report the </w:t>
      </w:r>
      <w:r w:rsidRPr="001E010D" w:rsidR="000D1073">
        <w:t>results</w:t>
      </w:r>
      <w:r w:rsidRPr="001E010D" w:rsidR="006818D7">
        <w:t xml:space="preserve"> of </w:t>
      </w:r>
      <w:r w:rsidRPr="001E010D" w:rsidR="000D1073">
        <w:t>applicable</w:t>
      </w:r>
      <w:r w:rsidRPr="001E010D" w:rsidR="006818D7">
        <w:t xml:space="preserve"> monitoring under the permit</w:t>
      </w:r>
      <w:r w:rsidRPr="001E010D" w:rsidR="000D1073">
        <w:t>, including benchmark monitoring,</w:t>
      </w:r>
      <w:r w:rsidR="00DA7D48">
        <w:t xml:space="preserve"> indicator monitoring,</w:t>
      </w:r>
      <w:r w:rsidRPr="001E010D" w:rsidR="000D1073">
        <w:t xml:space="preserve"> impaired waters monitoring, and effluent limit</w:t>
      </w:r>
      <w:r w:rsidR="00E372D2">
        <w:t>at</w:t>
      </w:r>
      <w:r w:rsidR="006C6326">
        <w:t>ions</w:t>
      </w:r>
      <w:r w:rsidRPr="001E010D" w:rsidR="000D1073">
        <w:t xml:space="preserve"> monitoring. </w:t>
      </w:r>
      <w:r w:rsidR="0066699F">
        <w:t xml:space="preserve">It also is used to indicate </w:t>
      </w:r>
      <w:r w:rsidR="0049077B">
        <w:t xml:space="preserve">any applicable </w:t>
      </w:r>
      <w:r w:rsidR="004D3922">
        <w:t xml:space="preserve">exceptions </w:t>
      </w:r>
      <w:r w:rsidR="000A7366">
        <w:t>for benchmark exceedances</w:t>
      </w:r>
      <w:r w:rsidR="00217F04">
        <w:t>.</w:t>
      </w:r>
    </w:p>
    <w:p w:rsidR="000A7366" w:rsidP="00A03C3B" w:rsidRDefault="000A7366" w14:paraId="7E8AB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DC6CD4" w:rsidP="00A03C3B" w:rsidRDefault="00DB3813" w14:paraId="6BC826F5" w14:textId="512B2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4F7D2F">
        <w:rPr>
          <w:rFonts w:ascii="Calibri" w:hAnsi="Calibri" w:cs="Calibri"/>
        </w:rPr>
        <w:t xml:space="preserve">The 2021 MSGP requires </w:t>
      </w:r>
      <w:r>
        <w:rPr>
          <w:rFonts w:ascii="Calibri" w:hAnsi="Calibri" w:cs="Calibri"/>
        </w:rPr>
        <w:t>respondents</w:t>
      </w:r>
      <w:r w:rsidRPr="004F7D2F">
        <w:rPr>
          <w:rFonts w:ascii="Calibri" w:hAnsi="Calibri" w:cs="Calibri"/>
        </w:rPr>
        <w:t xml:space="preserve"> to submit all monitoring data using EPA’s electronic DMR system (NetDMR), unless granted a waiver.</w:t>
      </w:r>
    </w:p>
    <w:p w:rsidRPr="001E010D" w:rsidR="00D37535" w:rsidP="00A03C3B" w:rsidRDefault="00D37535" w14:paraId="178DC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1E010D" w:rsidR="00C25642" w:rsidP="00A03C3B" w:rsidRDefault="00C25642" w14:paraId="5B1169A6" w14:textId="6FBF5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1E010D">
        <w:rPr>
          <w:b/>
        </w:rPr>
        <w:t>Inspection</w:t>
      </w:r>
      <w:r w:rsidR="006610BE">
        <w:rPr>
          <w:b/>
        </w:rPr>
        <w:t xml:space="preserve"> Reports</w:t>
      </w:r>
      <w:r w:rsidR="00AC22CA">
        <w:rPr>
          <w:b/>
        </w:rPr>
        <w:t xml:space="preserve"> </w:t>
      </w:r>
      <w:r w:rsidRPr="00825AFC" w:rsidR="00AC22CA">
        <w:t>[</w:t>
      </w:r>
      <w:r w:rsidR="00AC22CA">
        <w:t xml:space="preserve">No </w:t>
      </w:r>
      <w:r w:rsidR="00E91F62">
        <w:t>changes to the information collection burden</w:t>
      </w:r>
      <w:r w:rsidRPr="00825AFC" w:rsidR="00AC22CA">
        <w:t>]</w:t>
      </w:r>
    </w:p>
    <w:p w:rsidR="00AA27D8" w:rsidP="00A03C3B" w:rsidRDefault="00AA27D8" w14:paraId="55C03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EF3598" w:rsidDel="00B31BCD" w:rsidP="00A03C3B" w:rsidRDefault="00D1492D" w14:paraId="42AFFF62" w14:textId="1F6C1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sidDel="00B31BCD">
        <w:t>Inspection repor</w:t>
      </w:r>
      <w:r w:rsidRPr="001E010D" w:rsidDel="00B31BCD" w:rsidR="00FF5F26">
        <w:t xml:space="preserve">ts </w:t>
      </w:r>
      <w:r w:rsidR="00154DDA">
        <w:t xml:space="preserve">must </w:t>
      </w:r>
      <w:r w:rsidRPr="001E010D" w:rsidDel="00B31BCD">
        <w:t xml:space="preserve">include the inspection date and time; the name and signature of the inspector; weather information; all observations related to the implementation of control measures; </w:t>
      </w:r>
      <w:r w:rsidRPr="001E010D" w:rsidDel="00B31BCD" w:rsidR="00FF5F26">
        <w:t xml:space="preserve">and any incidents of noncompliance. </w:t>
      </w:r>
    </w:p>
    <w:p w:rsidRPr="001E010D" w:rsidR="0042246F" w:rsidDel="00B31BCD" w:rsidP="00A03C3B" w:rsidRDefault="0042246F" w14:paraId="4683C19B" w14:textId="2DB6C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F5F26" w:rsidDel="00B31BCD" w:rsidP="00A03C3B" w:rsidRDefault="00FF5F26" w14:paraId="4722E55B" w14:textId="4A6D4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sidDel="00B31BCD">
        <w:t xml:space="preserve">Quarterly visual assessment </w:t>
      </w:r>
      <w:r w:rsidRPr="001E010D" w:rsidDel="00B31BCD" w:rsidR="00D4328F">
        <w:t>summaries</w:t>
      </w:r>
      <w:r w:rsidRPr="001E010D" w:rsidDel="00B31BCD">
        <w:t xml:space="preserve"> must include </w:t>
      </w:r>
      <w:r w:rsidRPr="001E010D" w:rsidDel="00B31BCD" w:rsidR="00D4328F">
        <w:t xml:space="preserve">sample locations; sample collection date and time; personnel collecting the sample; </w:t>
      </w:r>
      <w:r w:rsidRPr="001E010D" w:rsidDel="00B31BCD" w:rsidR="00124141">
        <w:t xml:space="preserve">nature of the discharge; observations of the discharge; and probable sources of stormwater contamination. </w:t>
      </w:r>
    </w:p>
    <w:p w:rsidRPr="001E010D" w:rsidR="00D37535" w:rsidP="00A03C3B" w:rsidRDefault="00D37535" w14:paraId="430FFC4A" w14:textId="02743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C25642" w:rsidP="00A03C3B" w:rsidRDefault="00AC22CA" w14:paraId="460EF014" w14:textId="5D189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Pr>
          <w:b/>
        </w:rPr>
        <w:t xml:space="preserve">AIM </w:t>
      </w:r>
      <w:r w:rsidRPr="001E010D" w:rsidR="00905271">
        <w:rPr>
          <w:b/>
        </w:rPr>
        <w:t>Documentation</w:t>
      </w:r>
      <w:r>
        <w:rPr>
          <w:b/>
        </w:rPr>
        <w:t xml:space="preserve"> </w:t>
      </w:r>
      <w:r w:rsidRPr="00825AFC">
        <w:t>[</w:t>
      </w:r>
      <w:r w:rsidR="001C4EEA">
        <w:t>Changes</w:t>
      </w:r>
      <w:r w:rsidR="00E91F62">
        <w:t xml:space="preserve"> to the information collection burden</w:t>
      </w:r>
      <w:r w:rsidRPr="00825AFC">
        <w:t>]</w:t>
      </w:r>
    </w:p>
    <w:p w:rsidRPr="001E010D" w:rsidR="0042246F" w:rsidP="00A03C3B" w:rsidRDefault="0042246F" w14:paraId="766B3593" w14:textId="3E729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00BA2452" w:rsidP="00A03C3B" w:rsidRDefault="00BA2452" w14:paraId="457504B4" w14:textId="4527A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t>The</w:t>
      </w:r>
      <w:r w:rsidRPr="001E010D" w:rsidR="00430747">
        <w:t xml:space="preserve"> </w:t>
      </w:r>
      <w:r w:rsidR="009D0434">
        <w:t>2</w:t>
      </w:r>
      <w:r w:rsidR="00FE713F">
        <w:t>021</w:t>
      </w:r>
      <w:r w:rsidR="00AC22CA">
        <w:t xml:space="preserve"> </w:t>
      </w:r>
      <w:r w:rsidR="0042246F">
        <w:t>MSGP</w:t>
      </w:r>
      <w:r w:rsidRPr="001E010D" w:rsidR="0042246F">
        <w:t xml:space="preserve"> </w:t>
      </w:r>
      <w:r w:rsidRPr="001E010D" w:rsidR="00430747">
        <w:t>require</w:t>
      </w:r>
      <w:r w:rsidR="00890A8D">
        <w:t>s</w:t>
      </w:r>
      <w:r w:rsidRPr="001E010D" w:rsidR="00430747">
        <w:t xml:space="preserve"> the documentation of any corrective action conditions</w:t>
      </w:r>
      <w:r w:rsidR="00713461">
        <w:t xml:space="preserve">/AIM </w:t>
      </w:r>
      <w:r w:rsidR="006A1443">
        <w:t>responses</w:t>
      </w:r>
      <w:r w:rsidRPr="001E010D" w:rsidR="0049563F">
        <w:t>, including the condition triggering the corrective action</w:t>
      </w:r>
      <w:r w:rsidR="00713461">
        <w:t>/AIM response</w:t>
      </w:r>
      <w:r w:rsidRPr="001E010D" w:rsidR="0049563F">
        <w:t>, the date of the condition</w:t>
      </w:r>
      <w:r w:rsidR="008661DD">
        <w:t xml:space="preserve">/AIM </w:t>
      </w:r>
      <w:r w:rsidR="006A1443">
        <w:t>response</w:t>
      </w:r>
      <w:r w:rsidRPr="001E010D" w:rsidR="0049563F">
        <w:t>, and actions taken</w:t>
      </w:r>
      <w:r w:rsidRPr="001E010D" w:rsidR="00905271">
        <w:t xml:space="preserve">. This documentation is not required to be submitted to EPA, except in summary form on the Annual Report. </w:t>
      </w:r>
    </w:p>
    <w:p w:rsidRPr="001E010D" w:rsidR="00D37535" w:rsidP="00A03C3B" w:rsidRDefault="00D37535" w14:paraId="76A3D2F1" w14:textId="62EF4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C25642" w:rsidP="00A03C3B" w:rsidRDefault="00C25642" w14:paraId="461D02E3" w14:textId="1DF64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Annual Reports</w:t>
      </w:r>
      <w:r w:rsidR="00CF635A">
        <w:rPr>
          <w:b/>
        </w:rPr>
        <w:t xml:space="preserve"> </w:t>
      </w:r>
      <w:r w:rsidRPr="00825AFC" w:rsidR="00CF635A">
        <w:t>[</w:t>
      </w:r>
      <w:r w:rsidR="00CF635A">
        <w:t xml:space="preserve">No </w:t>
      </w:r>
      <w:r w:rsidR="00E91F62">
        <w:t>changes to the information collection burden</w:t>
      </w:r>
      <w:r w:rsidRPr="00825AFC" w:rsidR="00CF635A">
        <w:t>]</w:t>
      </w:r>
    </w:p>
    <w:p w:rsidRPr="001E010D" w:rsidR="0042246F" w:rsidP="00A03C3B" w:rsidRDefault="0042246F" w14:paraId="4440F517" w14:textId="0FD18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009227A0" w:rsidP="00A03C3B" w:rsidRDefault="00870D0B" w14:paraId="2CFC785B" w14:textId="50465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870D0B">
        <w:t xml:space="preserve">Each operator must submit an Annual Report electronically using the NPDES </w:t>
      </w:r>
      <w:proofErr w:type="spellStart"/>
      <w:r w:rsidRPr="00870D0B">
        <w:t>eReporting</w:t>
      </w:r>
      <w:proofErr w:type="spellEnd"/>
      <w:r w:rsidRPr="00870D0B">
        <w:t xml:space="preserve"> Tool (</w:t>
      </w:r>
      <w:proofErr w:type="spellStart"/>
      <w:r w:rsidRPr="00870D0B">
        <w:t>NeT</w:t>
      </w:r>
      <w:proofErr w:type="spellEnd"/>
      <w:r w:rsidRPr="00870D0B">
        <w:t>-MSGP) to EPA by January 30th for each year of permit coverage, unless a waiver to use a paper form has been granted</w:t>
      </w:r>
      <w:r w:rsidR="006A1443">
        <w:t xml:space="preserve">. </w:t>
      </w:r>
      <w:r w:rsidRPr="001E010D" w:rsidR="00962929">
        <w:t xml:space="preserve">The Annual Report </w:t>
      </w:r>
      <w:r w:rsidR="00981917">
        <w:t xml:space="preserve">must include </w:t>
      </w:r>
      <w:r w:rsidRPr="001E010D" w:rsidR="00962929">
        <w:t>a summary of routine facility inspection documentation</w:t>
      </w:r>
      <w:r w:rsidRPr="001E010D" w:rsidR="001303A9">
        <w:t xml:space="preserve">, a summary of quarterly visual assessment documentation, and information about </w:t>
      </w:r>
      <w:r w:rsidRPr="001E010D" w:rsidR="000A6CD9">
        <w:t xml:space="preserve">corrective actions and/or </w:t>
      </w:r>
      <w:r w:rsidR="00C220FC">
        <w:t>AIM responses</w:t>
      </w:r>
      <w:r w:rsidRPr="001E010D" w:rsidR="000A6CD9">
        <w:t xml:space="preserve">. </w:t>
      </w:r>
    </w:p>
    <w:p w:rsidRPr="001E010D" w:rsidR="00D37535" w:rsidP="00A03C3B" w:rsidRDefault="00D37535" w14:paraId="08F13737" w14:textId="74476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C25642" w:rsidP="00A03C3B" w:rsidRDefault="00C25642" w14:paraId="62048D36" w14:textId="4DC3A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No Exposure Certifications</w:t>
      </w:r>
      <w:r w:rsidR="00CF635A">
        <w:rPr>
          <w:b/>
        </w:rPr>
        <w:t xml:space="preserve"> </w:t>
      </w:r>
      <w:r w:rsidRPr="00825AFC" w:rsidR="00CF635A">
        <w:t>[</w:t>
      </w:r>
      <w:r w:rsidR="00CF635A">
        <w:t xml:space="preserve">No </w:t>
      </w:r>
      <w:r w:rsidR="00E91F62">
        <w:t>changes to the information collection burden</w:t>
      </w:r>
      <w:r w:rsidRPr="00825AFC" w:rsidR="00CF635A">
        <w:t>]</w:t>
      </w:r>
    </w:p>
    <w:p w:rsidRPr="001E010D" w:rsidR="0042246F" w:rsidP="00A03C3B" w:rsidRDefault="0042246F" w14:paraId="67884B32" w14:textId="7C4A7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0064331D" w:rsidDel="00796FB3" w:rsidP="00A03C3B" w:rsidRDefault="00F76389" w14:paraId="3CFCA2BD" w14:textId="656C4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sidDel="00796FB3">
        <w:t>Industrial operators</w:t>
      </w:r>
      <w:r w:rsidRPr="001E010D" w:rsidDel="00796FB3" w:rsidR="00105091">
        <w:t xml:space="preserve"> that are eligible for no exposure certifications </w:t>
      </w:r>
      <w:r w:rsidRPr="001E010D" w:rsidDel="00796FB3">
        <w:t xml:space="preserve">do not need to obtain coverage under the MSGP </w:t>
      </w:r>
      <w:r w:rsidDel="00796FB3" w:rsidR="0042246F">
        <w:t>or</w:t>
      </w:r>
      <w:r w:rsidRPr="001E010D" w:rsidDel="00796FB3" w:rsidR="0042246F">
        <w:t xml:space="preserve"> </w:t>
      </w:r>
      <w:r w:rsidRPr="001E010D" w:rsidDel="00796FB3">
        <w:t xml:space="preserve">comply with any of the other reporting requirements in the permit. To be covered under the exclusion, they must submit </w:t>
      </w:r>
      <w:r w:rsidRPr="001E010D" w:rsidDel="00796FB3" w:rsidR="00412CCA">
        <w:t>a No Exposure Certification to EPA electronically using NeT</w:t>
      </w:r>
      <w:r w:rsidR="00AA27D8">
        <w:t>-MSGP</w:t>
      </w:r>
      <w:r w:rsidRPr="001E010D" w:rsidDel="00796FB3" w:rsidR="00412CCA">
        <w:t xml:space="preserve"> </w:t>
      </w:r>
      <w:r w:rsidRPr="001E010D" w:rsidDel="00796FB3" w:rsidR="00C66D4F">
        <w:t>(</w:t>
      </w:r>
      <w:r w:rsidRPr="001E010D" w:rsidDel="00796FB3" w:rsidR="0031337B">
        <w:t xml:space="preserve">unless a waiver to use a paper form has been granted) </w:t>
      </w:r>
      <w:r w:rsidRPr="001E010D" w:rsidDel="00796FB3" w:rsidR="00412CCA">
        <w:t xml:space="preserve">that certifies </w:t>
      </w:r>
      <w:r w:rsidRPr="001E010D" w:rsidDel="00796FB3" w:rsidR="00C66D4F">
        <w:t>the entire facility meets a condition of no exposure.</w:t>
      </w:r>
    </w:p>
    <w:p w:rsidRPr="001E010D" w:rsidR="00D37535" w:rsidP="00A03C3B" w:rsidRDefault="00D37535" w14:paraId="34AC9194" w14:textId="2CF2B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1E010D" w:rsidR="00C25642" w:rsidP="00835973" w:rsidRDefault="00C25642" w14:paraId="63AA4D25" w14:textId="3DE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1E010D">
        <w:rPr>
          <w:b/>
        </w:rPr>
        <w:lastRenderedPageBreak/>
        <w:t>Other Information</w:t>
      </w:r>
    </w:p>
    <w:p w:rsidRPr="001E010D" w:rsidR="00405BC2" w:rsidP="00A03C3B" w:rsidRDefault="002B027D" w14:paraId="2A2C28AA" w14:textId="29D567D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r>
        <w:rPr>
          <w:b/>
        </w:rPr>
        <w:t>Protection of Endangered Species Act (ESA) Species and Critical Habitat</w:t>
      </w:r>
      <w:r w:rsidR="00CF635A">
        <w:rPr>
          <w:b/>
        </w:rPr>
        <w:t xml:space="preserve"> </w:t>
      </w:r>
      <w:r w:rsidRPr="00825AFC" w:rsidR="00CF635A">
        <w:t>[</w:t>
      </w:r>
      <w:r w:rsidR="001C4EEA">
        <w:t>Changes</w:t>
      </w:r>
      <w:r w:rsidR="00E91F62">
        <w:t xml:space="preserve"> to the information collection burden</w:t>
      </w:r>
      <w:r w:rsidRPr="00825AFC" w:rsidR="00CF635A">
        <w:t>]</w:t>
      </w:r>
    </w:p>
    <w:p w:rsidR="00BD3262" w:rsidP="00A03C3B" w:rsidRDefault="00BD3262" w14:paraId="20E8B238" w14:textId="07E79F8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00C03F3E" w:rsidP="00A03C3B" w:rsidRDefault="00CF635A" w14:paraId="7DE9A246" w14:textId="4E1E34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The </w:t>
      </w:r>
      <w:r w:rsidR="00717102">
        <w:t>2021</w:t>
      </w:r>
      <w:r>
        <w:t xml:space="preserve"> MSGP require</w:t>
      </w:r>
      <w:r w:rsidR="00717102">
        <w:t>s</w:t>
      </w:r>
      <w:r>
        <w:t xml:space="preserve"> </w:t>
      </w:r>
      <w:r w:rsidR="001619D9">
        <w:t>respondents</w:t>
      </w:r>
      <w:r w:rsidRPr="001E010D" w:rsidR="00103160">
        <w:t xml:space="preserve"> </w:t>
      </w:r>
      <w:r w:rsidRPr="001E010D" w:rsidR="00C75872">
        <w:t xml:space="preserve">to </w:t>
      </w:r>
      <w:r w:rsidRPr="00835973" w:rsidR="00167468">
        <w:t xml:space="preserve">complete </w:t>
      </w:r>
      <w:r w:rsidRPr="00D62BF1" w:rsidR="007D4DE2">
        <w:t>the Criterion Selection Worksheet</w:t>
      </w:r>
      <w:r w:rsidRPr="00D62BF1" w:rsidR="00103160">
        <w:t xml:space="preserve"> </w:t>
      </w:r>
      <w:r w:rsidR="007062AF">
        <w:t xml:space="preserve">and, if applicable, </w:t>
      </w:r>
      <w:r w:rsidRPr="00835973" w:rsidR="00D62BF1">
        <w:t xml:space="preserve">the Criterion C </w:t>
      </w:r>
      <w:r w:rsidR="00623D57">
        <w:t>Eligibility F</w:t>
      </w:r>
      <w:r w:rsidRPr="00835973" w:rsidR="00D62BF1">
        <w:t xml:space="preserve">orm </w:t>
      </w:r>
      <w:r w:rsidRPr="00D62BF1" w:rsidR="00103160">
        <w:t xml:space="preserve">in </w:t>
      </w:r>
      <w:r w:rsidRPr="00835973" w:rsidR="00167468">
        <w:t xml:space="preserve">NeT-MSGP </w:t>
      </w:r>
      <w:r w:rsidRPr="00D62BF1" w:rsidR="00103160">
        <w:t xml:space="preserve">with regard </w:t>
      </w:r>
      <w:r w:rsidRPr="00D62BF1" w:rsidR="007B4DD3">
        <w:t xml:space="preserve">to the protection of threatened and endangered species and critical habitat. </w:t>
      </w:r>
      <w:r w:rsidRPr="00D62BF1" w:rsidR="00A06F20">
        <w:t>The eligibility pr</w:t>
      </w:r>
      <w:r w:rsidRPr="001E010D" w:rsidR="00A06F20">
        <w:t xml:space="preserve">ocess requires an evaluation of the facility’s action area and presence of threatened and endangered species and </w:t>
      </w:r>
      <w:r w:rsidRPr="001E010D" w:rsidR="00AA2844">
        <w:t>critical</w:t>
      </w:r>
      <w:r w:rsidRPr="001E010D" w:rsidR="00A06F20">
        <w:t xml:space="preserve"> habitat. If </w:t>
      </w:r>
      <w:r w:rsidRPr="001E010D" w:rsidR="00357135">
        <w:t xml:space="preserve">there are threatened or endangered species or critical habitat in the action area, the permit requires </w:t>
      </w:r>
      <w:r w:rsidR="00BD3262">
        <w:t xml:space="preserve">the operator to complete and submit </w:t>
      </w:r>
      <w:r w:rsidRPr="001E010D" w:rsidR="00357135">
        <w:t xml:space="preserve">an eligibility form </w:t>
      </w:r>
      <w:r w:rsidRPr="001E010D" w:rsidR="00A527FE">
        <w:t xml:space="preserve">to EPA </w:t>
      </w:r>
      <w:r w:rsidR="004F6B6C">
        <w:t xml:space="preserve">via NeT-MSGP </w:t>
      </w:r>
      <w:r w:rsidRPr="001E010D" w:rsidR="00A527FE">
        <w:t>for review</w:t>
      </w:r>
      <w:r w:rsidRPr="001E010D" w:rsidR="006B79E0">
        <w:t xml:space="preserve"> by EPA</w:t>
      </w:r>
      <w:r w:rsidR="00AA27D8">
        <w:t>, the National Marine Fisheries Service (NMFS),</w:t>
      </w:r>
      <w:r w:rsidRPr="001E010D" w:rsidR="006B79E0">
        <w:t xml:space="preserve"> and </w:t>
      </w:r>
      <w:r w:rsidR="00AA27D8">
        <w:t>U.S. Fish and Wildlife Service (USFWS)</w:t>
      </w:r>
      <w:r w:rsidR="000B2705">
        <w:t>.</w:t>
      </w:r>
    </w:p>
    <w:p w:rsidRPr="001E010D" w:rsidR="00D37535" w:rsidP="00A03C3B" w:rsidRDefault="00D37535" w14:paraId="789B543E" w14:textId="5BE08A6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1E010D" w:rsidR="009D4D66" w:rsidP="00A03C3B" w:rsidRDefault="002B027D" w14:paraId="06C0B802" w14:textId="0512062A">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r>
        <w:rPr>
          <w:b/>
        </w:rPr>
        <w:t>Historic Properties Preservation</w:t>
      </w:r>
      <w:r w:rsidR="00CF635A">
        <w:rPr>
          <w:b/>
        </w:rPr>
        <w:t xml:space="preserve"> </w:t>
      </w:r>
      <w:r w:rsidRPr="00825AFC" w:rsidR="00CF635A">
        <w:t>[</w:t>
      </w:r>
      <w:r w:rsidR="001C4EEA">
        <w:t>Changes</w:t>
      </w:r>
      <w:r w:rsidR="00E91F62">
        <w:t xml:space="preserve"> to the information collection burden</w:t>
      </w:r>
      <w:r w:rsidRPr="00825AFC" w:rsidR="00CF635A">
        <w:t>]</w:t>
      </w:r>
    </w:p>
    <w:p w:rsidR="00FD7935" w:rsidP="00A03C3B" w:rsidRDefault="00FD7935" w14:paraId="34AC9BB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009D4D66" w:rsidP="00A03C3B" w:rsidRDefault="00CF635A" w14:paraId="2CB08C2D" w14:textId="47E9462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The </w:t>
      </w:r>
      <w:r w:rsidR="00FA4700">
        <w:t>2021</w:t>
      </w:r>
      <w:r>
        <w:t xml:space="preserve"> MSGP </w:t>
      </w:r>
      <w:r w:rsidRPr="001E010D" w:rsidR="009D4D66">
        <w:t>require</w:t>
      </w:r>
      <w:r w:rsidR="00FA4700">
        <w:t>s</w:t>
      </w:r>
      <w:r w:rsidRPr="001E010D" w:rsidR="009D4D66">
        <w:t xml:space="preserve"> </w:t>
      </w:r>
      <w:r w:rsidR="001619D9">
        <w:t>respondents</w:t>
      </w:r>
      <w:r>
        <w:t xml:space="preserve"> </w:t>
      </w:r>
      <w:r w:rsidRPr="001E010D" w:rsidR="009D4D66">
        <w:t xml:space="preserve">to </w:t>
      </w:r>
      <w:r w:rsidR="004F6B6C">
        <w:t xml:space="preserve">submit </w:t>
      </w:r>
      <w:r w:rsidRPr="001E010D" w:rsidR="006B6CC1">
        <w:t>eligibility</w:t>
      </w:r>
      <w:r w:rsidRPr="001E010D" w:rsidR="009D4D66">
        <w:t xml:space="preserve"> </w:t>
      </w:r>
      <w:r w:rsidR="004F6B6C">
        <w:t xml:space="preserve">information via NeT-MSGP </w:t>
      </w:r>
      <w:r w:rsidRPr="001E010D" w:rsidR="009D4D66">
        <w:t xml:space="preserve">with regard to the protection of historic properties. The permit does not require </w:t>
      </w:r>
      <w:r w:rsidRPr="001E010D" w:rsidR="00441270">
        <w:t xml:space="preserve">any </w:t>
      </w:r>
      <w:r>
        <w:t xml:space="preserve">separate </w:t>
      </w:r>
      <w:r w:rsidRPr="001E010D" w:rsidR="00441270">
        <w:t>information to be submitted</w:t>
      </w:r>
      <w:r w:rsidR="00AE51B2">
        <w:t xml:space="preserve"> to EPA</w:t>
      </w:r>
      <w:r w:rsidRPr="001E010D" w:rsidR="00441270">
        <w:t xml:space="preserve"> </w:t>
      </w:r>
      <w:r>
        <w:t xml:space="preserve">besides indicating their criterion selection on the NOI form </w:t>
      </w:r>
      <w:r w:rsidRPr="001E010D" w:rsidR="00441270">
        <w:t>to EPA. There</w:t>
      </w:r>
      <w:r w:rsidR="00613F7D">
        <w:t xml:space="preserve"> would be</w:t>
      </w:r>
      <w:r w:rsidRPr="001E010D" w:rsidR="00441270">
        <w:t xml:space="preserve"> a requirement for </w:t>
      </w:r>
      <w:r w:rsidR="001619D9">
        <w:t>respondents</w:t>
      </w:r>
      <w:r w:rsidRPr="001E010D" w:rsidR="00441270">
        <w:t xml:space="preserve"> to contact the relevant State or Tribal Historic Preservation Office </w:t>
      </w:r>
      <w:r w:rsidRPr="001E010D" w:rsidR="00216A89">
        <w:t>in writing</w:t>
      </w:r>
      <w:r w:rsidRPr="001E010D" w:rsidR="006B10CA">
        <w:t xml:space="preserve"> only</w:t>
      </w:r>
      <w:r w:rsidRPr="001E010D" w:rsidR="00216A89">
        <w:t xml:space="preserve"> </w:t>
      </w:r>
      <w:r w:rsidRPr="001E010D" w:rsidR="00E46213">
        <w:t xml:space="preserve">where historic properties potentially exist and where there will be installation of </w:t>
      </w:r>
      <w:r w:rsidRPr="001E010D" w:rsidR="00F45CB0">
        <w:t>c</w:t>
      </w:r>
      <w:r w:rsidRPr="001E010D" w:rsidR="00E46213">
        <w:t>ontrol measures associated with the permit</w:t>
      </w:r>
      <w:r w:rsidR="006E24CF">
        <w:t>.</w:t>
      </w:r>
      <w:r w:rsidRPr="001E010D" w:rsidR="006869FB">
        <w:t xml:space="preserve"> </w:t>
      </w:r>
      <w:r w:rsidR="006E24CF">
        <w:t>T</w:t>
      </w:r>
      <w:r w:rsidRPr="001E010D" w:rsidR="006869FB">
        <w:t xml:space="preserve">he letter must describe the facility, the nature and location of </w:t>
      </w:r>
      <w:r w:rsidRPr="001E010D" w:rsidR="00F45CB0">
        <w:t>subsurface</w:t>
      </w:r>
      <w:r w:rsidRPr="001E010D" w:rsidR="006869FB">
        <w:t xml:space="preserve"> disturbance activities</w:t>
      </w:r>
      <w:r w:rsidRPr="001E010D" w:rsidR="00C03F3E">
        <w:t xml:space="preserve">, any known or suspected historic properties, and any anticipated effects on such properties. </w:t>
      </w:r>
    </w:p>
    <w:p w:rsidRPr="007E3975" w:rsidR="00D37535" w:rsidP="00A03C3B" w:rsidRDefault="00D37535" w14:paraId="4A9E59AE" w14:textId="530DC7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1E010D" w:rsidR="00ED7D32" w:rsidP="00A03C3B" w:rsidRDefault="00ED7D32" w14:paraId="0B60607F" w14:textId="0646BAC0">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r w:rsidRPr="001E010D">
        <w:rPr>
          <w:b/>
        </w:rPr>
        <w:t xml:space="preserve">New Discharges and New Sources to Water Quality-Impaired Waters </w:t>
      </w:r>
      <w:r w:rsidRPr="00825AFC" w:rsidR="00BB5473">
        <w:t>[</w:t>
      </w:r>
      <w:r w:rsidR="001C4EEA">
        <w:t>Changes</w:t>
      </w:r>
      <w:r w:rsidR="00E91F62">
        <w:t xml:space="preserve"> to the information collection burden</w:t>
      </w:r>
      <w:r w:rsidRPr="00825AFC" w:rsidR="00BB5473">
        <w:t>]</w:t>
      </w:r>
    </w:p>
    <w:p w:rsidR="00BD3262" w:rsidP="00A03C3B" w:rsidRDefault="00BD3262" w14:paraId="567EC205" w14:textId="7271E18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008E4D95" w:rsidP="00A03C3B" w:rsidRDefault="005D6CD9" w14:paraId="70DBC942" w14:textId="5B35D66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 xml:space="preserve">The </w:t>
      </w:r>
      <w:r w:rsidR="00B740FC">
        <w:t>2021</w:t>
      </w:r>
      <w:r w:rsidR="00BB5473">
        <w:t xml:space="preserve"> </w:t>
      </w:r>
      <w:r w:rsidRPr="001E010D">
        <w:t>MSGP require</w:t>
      </w:r>
      <w:r w:rsidR="00B740FC">
        <w:t>s</w:t>
      </w:r>
      <w:r w:rsidRPr="001E010D">
        <w:t xml:space="preserve"> new dischargers/new sources</w:t>
      </w:r>
      <w:r w:rsidRPr="001E010D" w:rsidR="00405824">
        <w:t xml:space="preserve"> that discharge to impaired waters</w:t>
      </w:r>
      <w:r w:rsidRPr="001E010D">
        <w:t xml:space="preserve"> to </w:t>
      </w:r>
      <w:r w:rsidRPr="001E010D" w:rsidR="00405824">
        <w:t xml:space="preserve">comply with one of three options in order to be eligible for the permit. </w:t>
      </w:r>
      <w:r w:rsidRPr="001E010D" w:rsidR="00F97DC6">
        <w:t>Two</w:t>
      </w:r>
      <w:r w:rsidRPr="001E010D" w:rsidR="00405824">
        <w:t xml:space="preserve"> of the options require submittal of </w:t>
      </w:r>
      <w:r w:rsidRPr="001E010D" w:rsidR="00417A85">
        <w:t xml:space="preserve">information directly to the EPA Regional </w:t>
      </w:r>
      <w:r w:rsidR="00F74EFB">
        <w:t>o</w:t>
      </w:r>
      <w:r w:rsidRPr="001E010D" w:rsidR="00417A85">
        <w:t xml:space="preserve">ffice to support </w:t>
      </w:r>
      <w:r w:rsidRPr="001E010D" w:rsidR="00F97DC6">
        <w:t xml:space="preserve">a claim that the pollutants causing the impairment are not present at the site, or </w:t>
      </w:r>
      <w:r w:rsidRPr="001E010D" w:rsidR="00417A85">
        <w:t xml:space="preserve">a conclusion that the discharge is expected to meet water quality standards. </w:t>
      </w:r>
    </w:p>
    <w:p w:rsidRPr="001E010D" w:rsidR="00D37535" w:rsidP="00A03C3B" w:rsidRDefault="00D37535" w14:paraId="26DC6234" w14:textId="3E8E14F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1E010D" w:rsidR="006E0B02" w:rsidP="00A03C3B" w:rsidRDefault="006E0B02" w14:paraId="6E626DC7" w14:textId="09DA1A0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r w:rsidRPr="001E010D">
        <w:rPr>
          <w:b/>
        </w:rPr>
        <w:t>Discharges to a Federal CERCLA Site</w:t>
      </w:r>
      <w:r w:rsidR="00BB5473">
        <w:rPr>
          <w:b/>
        </w:rPr>
        <w:t xml:space="preserve"> </w:t>
      </w:r>
      <w:r w:rsidRPr="00825AFC" w:rsidR="00BB5473">
        <w:t>[</w:t>
      </w:r>
      <w:r w:rsidR="001C4EEA">
        <w:t>Changes</w:t>
      </w:r>
      <w:r w:rsidR="00E91F62">
        <w:t xml:space="preserve"> to the information collection burden</w:t>
      </w:r>
      <w:r w:rsidRPr="00825AFC" w:rsidR="00BB5473">
        <w:t>]</w:t>
      </w:r>
    </w:p>
    <w:p w:rsidR="00BD3262" w:rsidP="00A03C3B" w:rsidRDefault="00BD3262" w14:paraId="3316887A" w14:textId="2E9FAB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006E0B02" w:rsidP="00A03C3B" w:rsidRDefault="006E0B02" w14:paraId="65B8FEBD" w14:textId="7423BE4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t xml:space="preserve">The </w:t>
      </w:r>
      <w:r w:rsidR="00A154B5">
        <w:t>2021</w:t>
      </w:r>
      <w:r w:rsidR="00BB5473">
        <w:t xml:space="preserve"> </w:t>
      </w:r>
      <w:r w:rsidRPr="001E010D">
        <w:t>MSGP require</w:t>
      </w:r>
      <w:r w:rsidR="00A154B5">
        <w:t>s</w:t>
      </w:r>
      <w:r w:rsidRPr="001E010D">
        <w:t xml:space="preserve"> </w:t>
      </w:r>
      <w:r w:rsidR="001619D9">
        <w:t>respondents</w:t>
      </w:r>
      <w:r w:rsidRPr="001E010D" w:rsidR="00FA6D57">
        <w:t xml:space="preserve"> that discharge to </w:t>
      </w:r>
      <w:r w:rsidR="00C3273A">
        <w:t>specified</w:t>
      </w:r>
      <w:r w:rsidRPr="001E010D" w:rsidR="00C3273A">
        <w:t xml:space="preserve"> </w:t>
      </w:r>
      <w:r w:rsidRPr="001E010D" w:rsidR="00FA6D57">
        <w:t xml:space="preserve">Federal CERCLA sites </w:t>
      </w:r>
      <w:r w:rsidR="00D03A0A">
        <w:t xml:space="preserve">in EPA Region 10 </w:t>
      </w:r>
      <w:r w:rsidR="00BB5473">
        <w:t xml:space="preserve">in Appendix </w:t>
      </w:r>
      <w:r w:rsidR="00371BBB">
        <w:t>P</w:t>
      </w:r>
      <w:r w:rsidR="00BB5473">
        <w:t xml:space="preserve"> </w:t>
      </w:r>
      <w:r w:rsidRPr="001E010D" w:rsidR="00FA6D57">
        <w:t xml:space="preserve">to notify the EPA Regional </w:t>
      </w:r>
      <w:r w:rsidR="00947507">
        <w:t>o</w:t>
      </w:r>
      <w:r w:rsidRPr="001E010D" w:rsidR="00FA6D57">
        <w:t xml:space="preserve">ffice </w:t>
      </w:r>
      <w:r w:rsidRPr="001E010D" w:rsidR="004C6977">
        <w:t xml:space="preserve">to determine if the </w:t>
      </w:r>
      <w:r w:rsidR="00791227">
        <w:t>operator</w:t>
      </w:r>
      <w:r w:rsidRPr="001E010D" w:rsidR="00791227">
        <w:t xml:space="preserve"> </w:t>
      </w:r>
      <w:r w:rsidRPr="001E010D" w:rsidR="004C6977">
        <w:t xml:space="preserve">is implementing adequate controls and/or procedures to ensure the discharge will not lead to recontamination of aquatic media at the CERCLA </w:t>
      </w:r>
      <w:r w:rsidR="00791227">
        <w:t>s</w:t>
      </w:r>
      <w:r w:rsidRPr="001E010D" w:rsidR="004C6977">
        <w:t xml:space="preserve">ite such that the discharge </w:t>
      </w:r>
      <w:r w:rsidRPr="001E010D" w:rsidR="00485506">
        <w:t>will cause or contribute to an exceedance of a water quality standard.</w:t>
      </w:r>
    </w:p>
    <w:p w:rsidRPr="001E010D" w:rsidR="00D37535" w:rsidP="00A03C3B" w:rsidRDefault="00D37535" w14:paraId="54EAFA0E" w14:textId="2F2BE9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00FD7935" w:rsidP="00D36523" w:rsidRDefault="009227A0" w14:paraId="44B65D4E" w14:textId="68FFFD26">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FD7935">
        <w:rPr>
          <w:b/>
        </w:rPr>
        <w:t>Exceedance Report for Numeric Effluent Limitations</w:t>
      </w:r>
      <w:r w:rsidRPr="00FD7935" w:rsidR="00BB5473">
        <w:rPr>
          <w:b/>
        </w:rPr>
        <w:t xml:space="preserve"> </w:t>
      </w:r>
      <w:r w:rsidRPr="00825AFC" w:rsidR="00BB5473">
        <w:t>[</w:t>
      </w:r>
      <w:r w:rsidR="00E91F62">
        <w:t>No changes to the information collection burden</w:t>
      </w:r>
      <w:r w:rsidRPr="00825AFC" w:rsidR="00BB5473">
        <w:t>]</w:t>
      </w:r>
    </w:p>
    <w:p w:rsidR="008E302E" w:rsidDel="00903E18" w:rsidP="00DF3DE8" w:rsidRDefault="00E60F3C" w14:paraId="645F27DD" w14:textId="65BE2A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FD7935">
        <w:rPr>
          <w:b/>
        </w:rPr>
        <w:br/>
      </w:r>
      <w:r w:rsidDel="00903E18" w:rsidR="00BB5473">
        <w:t xml:space="preserve">The </w:t>
      </w:r>
      <w:r w:rsidDel="00903E18" w:rsidR="00D03A0A">
        <w:t>2021</w:t>
      </w:r>
      <w:r w:rsidDel="00903E18" w:rsidR="00BB5473">
        <w:t xml:space="preserve"> MSGP require</w:t>
      </w:r>
      <w:r w:rsidDel="00903E18" w:rsidR="00D03A0A">
        <w:t>s</w:t>
      </w:r>
      <w:r w:rsidDel="00903E18" w:rsidR="00BB5473">
        <w:t xml:space="preserve"> </w:t>
      </w:r>
      <w:r w:rsidR="001619D9">
        <w:t>respondents</w:t>
      </w:r>
      <w:r w:rsidRPr="001E010D" w:rsidDel="00903E18" w:rsidR="008E302E">
        <w:t xml:space="preserve"> to submit </w:t>
      </w:r>
      <w:r w:rsidRPr="001E010D" w:rsidDel="00903E18" w:rsidR="00EF5278">
        <w:t xml:space="preserve">an Exceedance Report if follow-up effluent </w:t>
      </w:r>
      <w:r w:rsidRPr="001E010D" w:rsidDel="00903E18" w:rsidR="00EF5278">
        <w:lastRenderedPageBreak/>
        <w:t>limit</w:t>
      </w:r>
      <w:r w:rsidR="006C6326">
        <w:t>ations</w:t>
      </w:r>
      <w:r w:rsidRPr="001E010D" w:rsidDel="00903E18" w:rsidR="00EF5278">
        <w:t xml:space="preserve"> monitoring exceeds a limit. </w:t>
      </w:r>
      <w:r w:rsidRPr="001E010D" w:rsidDel="00903E18" w:rsidR="00836084">
        <w:t xml:space="preserve">The report must include information about the facility, receiving water, monitoring data, and an explanation of the situation. </w:t>
      </w:r>
    </w:p>
    <w:p w:rsidR="00FD7935" w:rsidP="00DF3DE8" w:rsidRDefault="00FD7935" w14:paraId="3E116C9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p>
    <w:p w:rsidRPr="00DF3DE8" w:rsidR="009227A0" w:rsidP="00A03C3B" w:rsidRDefault="009227A0" w14:paraId="04C31735" w14:textId="35C82642">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r w:rsidRPr="001E010D">
        <w:rPr>
          <w:b/>
        </w:rPr>
        <w:t xml:space="preserve">Additional </w:t>
      </w:r>
      <w:r w:rsidRPr="001E010D" w:rsidR="00482A2F">
        <w:rPr>
          <w:b/>
        </w:rPr>
        <w:t xml:space="preserve">Reporting </w:t>
      </w:r>
      <w:r w:rsidRPr="005125B6" w:rsidR="00E91F62">
        <w:t>[</w:t>
      </w:r>
      <w:r w:rsidR="00E91F62">
        <w:t>No changes to the information collection burden]</w:t>
      </w:r>
    </w:p>
    <w:p w:rsidRPr="001E010D" w:rsidR="00FD7935" w:rsidP="00DF3DE8" w:rsidRDefault="00FD7935" w14:paraId="6460F00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
        </w:rPr>
      </w:pPr>
    </w:p>
    <w:p w:rsidRPr="001E010D" w:rsidR="00482A2F" w:rsidP="00D37535" w:rsidRDefault="00482A2F" w14:paraId="7A8CB43D" w14:textId="7BD7CE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following reports </w:t>
      </w:r>
      <w:r w:rsidR="00BB5473">
        <w:rPr>
          <w:rFonts w:ascii="Calibri" w:hAnsi="Calibri" w:cs="Calibri"/>
        </w:rPr>
        <w:t>are</w:t>
      </w:r>
      <w:r w:rsidRPr="001E010D" w:rsidR="00FD521A">
        <w:rPr>
          <w:rFonts w:ascii="Calibri" w:hAnsi="Calibri" w:cs="Calibri"/>
        </w:rPr>
        <w:t xml:space="preserve"> part of the Standard NPDES Permit Conditions </w:t>
      </w:r>
      <w:r w:rsidR="00BB5473">
        <w:rPr>
          <w:rFonts w:ascii="Calibri" w:hAnsi="Calibri" w:cs="Calibri"/>
        </w:rPr>
        <w:t>that</w:t>
      </w:r>
      <w:r w:rsidR="00A23BB5">
        <w:rPr>
          <w:rFonts w:ascii="Calibri" w:hAnsi="Calibri" w:cs="Calibri"/>
        </w:rPr>
        <w:t>, if applicable,</w:t>
      </w:r>
      <w:r w:rsidR="00BB5473">
        <w:rPr>
          <w:rFonts w:ascii="Calibri" w:hAnsi="Calibri" w:cs="Calibri"/>
        </w:rPr>
        <w:t xml:space="preserve"> </w:t>
      </w:r>
      <w:r w:rsidR="00727255">
        <w:rPr>
          <w:rFonts w:ascii="Calibri" w:hAnsi="Calibri" w:cs="Calibri"/>
        </w:rPr>
        <w:t>are</w:t>
      </w:r>
      <w:r w:rsidR="00BB5473">
        <w:rPr>
          <w:rFonts w:ascii="Calibri" w:hAnsi="Calibri" w:cs="Calibri"/>
        </w:rPr>
        <w:t xml:space="preserve"> required to</w:t>
      </w:r>
      <w:r w:rsidRPr="001E010D">
        <w:rPr>
          <w:rFonts w:ascii="Calibri" w:hAnsi="Calibri" w:cs="Calibri"/>
        </w:rPr>
        <w:t xml:space="preserve"> be submitted directly to the EPA Regional </w:t>
      </w:r>
      <w:r w:rsidR="00141099">
        <w:rPr>
          <w:rFonts w:ascii="Calibri" w:hAnsi="Calibri" w:cs="Calibri"/>
        </w:rPr>
        <w:t>o</w:t>
      </w:r>
      <w:r w:rsidRPr="001E010D">
        <w:rPr>
          <w:rFonts w:ascii="Calibri" w:hAnsi="Calibri" w:cs="Calibri"/>
        </w:rPr>
        <w:t>ffice:</w:t>
      </w:r>
    </w:p>
    <w:p w:rsidRPr="001E010D" w:rsidR="00482A2F" w:rsidP="00D37535" w:rsidRDefault="00482A2F" w14:paraId="3B20D98A" w14:textId="4A392F9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24-hour reporting: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must</w:t>
      </w:r>
      <w:r w:rsidRPr="001E010D" w:rsidR="00F27A55">
        <w:rPr>
          <w:rFonts w:ascii="Calibri" w:hAnsi="Calibri" w:cs="Calibri"/>
        </w:rPr>
        <w:t xml:space="preserve"> </w:t>
      </w:r>
      <w:r w:rsidRPr="001E010D" w:rsidR="00BA4994">
        <w:rPr>
          <w:rFonts w:ascii="Calibri" w:hAnsi="Calibri" w:cs="Calibri"/>
        </w:rPr>
        <w:t xml:space="preserve">report any noncompliance which may endanger </w:t>
      </w:r>
      <w:r w:rsidRPr="001E010D" w:rsidR="00512D6E">
        <w:rPr>
          <w:rFonts w:ascii="Calibri" w:hAnsi="Calibri" w:cs="Calibri"/>
        </w:rPr>
        <w:t xml:space="preserve">human </w:t>
      </w:r>
      <w:r w:rsidRPr="001E010D" w:rsidR="00BA4994">
        <w:rPr>
          <w:rFonts w:ascii="Calibri" w:hAnsi="Calibri" w:cs="Calibri"/>
        </w:rPr>
        <w:t xml:space="preserve">health or the environment. Any information must be provided </w:t>
      </w:r>
      <w:r w:rsidR="00BD3262">
        <w:rPr>
          <w:rFonts w:ascii="Calibri" w:hAnsi="Calibri" w:cs="Calibri"/>
        </w:rPr>
        <w:t>verbally</w:t>
      </w:r>
      <w:r w:rsidRPr="001E010D" w:rsidR="00BD3262">
        <w:rPr>
          <w:rFonts w:ascii="Calibri" w:hAnsi="Calibri" w:cs="Calibri"/>
        </w:rPr>
        <w:t xml:space="preserve"> </w:t>
      </w:r>
      <w:r w:rsidRPr="001E010D" w:rsidR="00BA4994">
        <w:rPr>
          <w:rFonts w:ascii="Calibri" w:hAnsi="Calibri" w:cs="Calibri"/>
        </w:rPr>
        <w:t xml:space="preserve">within 24 hours from the time the </w:t>
      </w:r>
      <w:r w:rsidR="00B7227A">
        <w:rPr>
          <w:rFonts w:ascii="Calibri" w:hAnsi="Calibri" w:cs="Calibri"/>
        </w:rPr>
        <w:t>operator</w:t>
      </w:r>
      <w:r w:rsidRPr="001E010D" w:rsidR="00B7227A">
        <w:rPr>
          <w:rFonts w:ascii="Calibri" w:hAnsi="Calibri" w:cs="Calibri"/>
        </w:rPr>
        <w:t xml:space="preserve"> </w:t>
      </w:r>
      <w:r w:rsidRPr="001E010D" w:rsidR="00BA4994">
        <w:rPr>
          <w:rFonts w:ascii="Calibri" w:hAnsi="Calibri" w:cs="Calibri"/>
        </w:rPr>
        <w:t>is aware of the circumstances.</w:t>
      </w:r>
    </w:p>
    <w:p w:rsidRPr="001E010D" w:rsidR="00BA4994" w:rsidP="00D37535" w:rsidRDefault="00BA4994" w14:paraId="1DB7B71E" w14:textId="58907733">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5-day follow-up reporting to the 24-hour reporting: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 xml:space="preserve">must </w:t>
      </w:r>
      <w:r w:rsidRPr="001E010D">
        <w:rPr>
          <w:rFonts w:ascii="Calibri" w:hAnsi="Calibri" w:cs="Calibri"/>
        </w:rPr>
        <w:t>provide a written submission</w:t>
      </w:r>
      <w:r w:rsidRPr="001E010D" w:rsidR="00483999">
        <w:rPr>
          <w:rFonts w:ascii="Calibri" w:hAnsi="Calibri" w:cs="Calibri"/>
        </w:rPr>
        <w:t xml:space="preserve"> within 5 days from the time the </w:t>
      </w:r>
      <w:r w:rsidR="00B7227A">
        <w:rPr>
          <w:rFonts w:ascii="Calibri" w:hAnsi="Calibri" w:cs="Calibri"/>
        </w:rPr>
        <w:t>operator</w:t>
      </w:r>
      <w:r w:rsidRPr="001E010D" w:rsidR="00B7227A">
        <w:rPr>
          <w:rFonts w:ascii="Calibri" w:hAnsi="Calibri" w:cs="Calibri"/>
        </w:rPr>
        <w:t xml:space="preserve"> </w:t>
      </w:r>
      <w:r w:rsidRPr="001E010D" w:rsidR="00483999">
        <w:rPr>
          <w:rFonts w:ascii="Calibri" w:hAnsi="Calibri" w:cs="Calibri"/>
        </w:rPr>
        <w:t>is aware of the circumstances.</w:t>
      </w:r>
    </w:p>
    <w:p w:rsidRPr="001E010D" w:rsidR="00483999" w:rsidP="00D37535" w:rsidRDefault="00483999" w14:paraId="57CD2404" w14:textId="764CBF88">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Reportable quantity spills: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 xml:space="preserve">must </w:t>
      </w:r>
      <w:r w:rsidRPr="001E010D">
        <w:rPr>
          <w:rFonts w:ascii="Calibri" w:hAnsi="Calibri" w:cs="Calibri"/>
        </w:rPr>
        <w:t xml:space="preserve">provide notification as soon as there is knowledge </w:t>
      </w:r>
      <w:r w:rsidRPr="001E010D" w:rsidR="00960C83">
        <w:rPr>
          <w:rFonts w:ascii="Calibri" w:hAnsi="Calibri" w:cs="Calibri"/>
        </w:rPr>
        <w:t>of a leak, spill, or other release containing a hazardous substance or oil in an amount equal to or in excess of a reportable quantity</w:t>
      </w:r>
      <w:r w:rsidRPr="001E010D" w:rsidR="00C74588">
        <w:rPr>
          <w:rFonts w:ascii="Calibri" w:hAnsi="Calibri" w:cs="Calibri"/>
        </w:rPr>
        <w:t>.</w:t>
      </w:r>
    </w:p>
    <w:p w:rsidRPr="001E010D" w:rsidR="00960C83" w:rsidP="00D37535" w:rsidRDefault="00960C83" w14:paraId="2114DB78" w14:textId="2770FBF1">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Planned changes: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 xml:space="preserve">must </w:t>
      </w:r>
      <w:r w:rsidRPr="001E010D">
        <w:rPr>
          <w:rFonts w:ascii="Calibri" w:hAnsi="Calibri" w:cs="Calibri"/>
        </w:rPr>
        <w:t xml:space="preserve">provide prompt notice no fewer than 30 days </w:t>
      </w:r>
      <w:r w:rsidRPr="001E010D" w:rsidR="00965A00">
        <w:rPr>
          <w:rFonts w:ascii="Calibri" w:hAnsi="Calibri" w:cs="Calibri"/>
        </w:rPr>
        <w:t>prior to making any planned physical alterations or additions to the permitted facility that qualify the facility as a new source or that could significantly change the nature or significantly increase the quantity of pollutants discharged.</w:t>
      </w:r>
    </w:p>
    <w:p w:rsidRPr="001E010D" w:rsidR="00965A00" w:rsidP="00D37535" w:rsidRDefault="00965A00" w14:paraId="56C55C7A" w14:textId="2EE6FBDE">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Anticipated noncompliance: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 xml:space="preserve">must </w:t>
      </w:r>
      <w:r w:rsidRPr="001E010D">
        <w:rPr>
          <w:rFonts w:ascii="Calibri" w:hAnsi="Calibri" w:cs="Calibri"/>
        </w:rPr>
        <w:t xml:space="preserve">give advance notice to EPA of any planned changes in the permitted facility or activity which </w:t>
      </w:r>
      <w:r w:rsidRPr="001E010D" w:rsidR="00F3307D">
        <w:rPr>
          <w:rFonts w:ascii="Calibri" w:hAnsi="Calibri" w:cs="Calibri"/>
        </w:rPr>
        <w:t>is</w:t>
      </w:r>
      <w:r w:rsidRPr="001E010D">
        <w:rPr>
          <w:rFonts w:ascii="Calibri" w:hAnsi="Calibri" w:cs="Calibri"/>
        </w:rPr>
        <w:t xml:space="preserve"> anticipate</w:t>
      </w:r>
      <w:r w:rsidRPr="001E010D" w:rsidR="00F3307D">
        <w:rPr>
          <w:rFonts w:ascii="Calibri" w:hAnsi="Calibri" w:cs="Calibri"/>
        </w:rPr>
        <w:t>d to</w:t>
      </w:r>
      <w:r w:rsidRPr="001E010D">
        <w:rPr>
          <w:rFonts w:ascii="Calibri" w:hAnsi="Calibri" w:cs="Calibri"/>
        </w:rPr>
        <w:t xml:space="preserve"> result in noncompliance with permit requirements</w:t>
      </w:r>
      <w:r w:rsidRPr="001E010D" w:rsidR="00F3307D">
        <w:rPr>
          <w:rFonts w:ascii="Calibri" w:hAnsi="Calibri" w:cs="Calibri"/>
        </w:rPr>
        <w:t xml:space="preserve">. </w:t>
      </w:r>
    </w:p>
    <w:p w:rsidRPr="001E010D" w:rsidR="00F3307D" w:rsidP="00D37535" w:rsidRDefault="00F3307D" w14:paraId="274CF2FF" w14:textId="71551938">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Compliance schedules: </w:t>
      </w:r>
      <w:r w:rsidRPr="001E010D" w:rsidR="00F3171C">
        <w:rPr>
          <w:rFonts w:ascii="Calibri" w:hAnsi="Calibri" w:cs="Calibri"/>
        </w:rPr>
        <w:t xml:space="preserve">Reports of compliance or noncompliance with, or any progress reports on, interim and final requirements contained in any compliance schedule of the permit </w:t>
      </w:r>
      <w:r w:rsidR="00F27A55">
        <w:rPr>
          <w:rFonts w:ascii="Calibri" w:hAnsi="Calibri" w:cs="Calibri"/>
        </w:rPr>
        <w:t xml:space="preserve">must </w:t>
      </w:r>
      <w:r w:rsidRPr="001E010D" w:rsidR="00F3171C">
        <w:rPr>
          <w:rFonts w:ascii="Calibri" w:hAnsi="Calibri" w:cs="Calibri"/>
        </w:rPr>
        <w:t>be submitted no later than 14 days following each schedule date.</w:t>
      </w:r>
    </w:p>
    <w:p w:rsidRPr="001E010D" w:rsidR="00F3171C" w:rsidP="00D37535" w:rsidRDefault="00F3171C" w14:paraId="5B6AF69E" w14:textId="531D0DCA">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Other noncompliance: </w:t>
      </w:r>
      <w:r w:rsidR="001619D9">
        <w:rPr>
          <w:rFonts w:ascii="Calibri" w:hAnsi="Calibri" w:cs="Calibri"/>
        </w:rPr>
        <w:t>Respondents</w:t>
      </w:r>
      <w:r w:rsidRPr="001E010D" w:rsidR="00792739">
        <w:rPr>
          <w:rFonts w:ascii="Calibri" w:hAnsi="Calibri" w:cs="Calibri"/>
        </w:rPr>
        <w:t xml:space="preserve"> </w:t>
      </w:r>
      <w:r w:rsidR="00F27A55">
        <w:rPr>
          <w:rFonts w:ascii="Calibri" w:hAnsi="Calibri" w:cs="Calibri"/>
        </w:rPr>
        <w:t xml:space="preserve">must </w:t>
      </w:r>
      <w:r w:rsidRPr="001E010D" w:rsidR="00792739">
        <w:rPr>
          <w:rFonts w:ascii="Calibri" w:hAnsi="Calibri" w:cs="Calibri"/>
        </w:rPr>
        <w:t>report all instances of noncompliance not reported in the annual report, compliance schedule report, or 24-hour report at the time monitoring reports are submitted.</w:t>
      </w:r>
    </w:p>
    <w:p w:rsidRPr="001E010D" w:rsidR="00630AFF" w:rsidP="00D37535" w:rsidRDefault="00792739" w14:paraId="0E0628E2" w14:textId="6C0A8038">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Other information: </w:t>
      </w:r>
      <w:r w:rsidR="001619D9">
        <w:rPr>
          <w:rFonts w:ascii="Calibri" w:hAnsi="Calibri" w:cs="Calibri"/>
        </w:rPr>
        <w:t>Respondents</w:t>
      </w:r>
      <w:r w:rsidRPr="001E010D">
        <w:rPr>
          <w:rFonts w:ascii="Calibri" w:hAnsi="Calibri" w:cs="Calibri"/>
        </w:rPr>
        <w:t xml:space="preserve"> </w:t>
      </w:r>
      <w:r w:rsidR="00F27A55">
        <w:rPr>
          <w:rFonts w:ascii="Calibri" w:hAnsi="Calibri" w:cs="Calibri"/>
        </w:rPr>
        <w:t xml:space="preserve">must </w:t>
      </w:r>
      <w:r w:rsidRPr="001E010D" w:rsidR="00503B99">
        <w:rPr>
          <w:rFonts w:ascii="Calibri" w:hAnsi="Calibri" w:cs="Calibri"/>
        </w:rPr>
        <w:t xml:space="preserve">promptly submit facts or information if they become aware that they failed to submit relevant facts in the NOI, or incorrect information in the NOI or in any report was submitted. </w:t>
      </w:r>
    </w:p>
    <w:p w:rsidRPr="001E010D" w:rsidR="00E141D4" w:rsidP="00D37535" w:rsidRDefault="00E141D4" w14:paraId="741B2E67" w14:textId="0DD6BD3E">
      <w:pPr>
        <w:pStyle w:val="Heading1"/>
        <w:spacing w:before="0" w:after="100" w:afterAutospacing="1" w:line="240" w:lineRule="auto"/>
        <w:contextualSpacing/>
      </w:pPr>
      <w:bookmarkStart w:name="_Toc24963877" w:id="19"/>
      <w:r w:rsidRPr="001E010D">
        <w:t>Agency Activities, Methods, and Information Management</w:t>
      </w:r>
      <w:bookmarkEnd w:id="19"/>
    </w:p>
    <w:p w:rsidRPr="001E010D" w:rsidR="00E141D4" w:rsidP="00D37535" w:rsidRDefault="00E141D4" w14:paraId="51D00E51" w14:textId="40C07E55">
      <w:pPr>
        <w:pStyle w:val="Style1"/>
        <w:spacing w:before="0" w:after="100" w:afterAutospacing="1" w:line="240" w:lineRule="auto"/>
        <w:contextualSpacing/>
      </w:pPr>
      <w:bookmarkStart w:name="_Toc24963878" w:id="20"/>
      <w:r w:rsidRPr="001E010D">
        <w:t>Agency Activities</w:t>
      </w:r>
      <w:bookmarkEnd w:id="20"/>
    </w:p>
    <w:p w:rsidRPr="001E010D" w:rsidR="00F65C68" w:rsidP="00D37535" w:rsidRDefault="00857149" w14:paraId="7E4A8BE0" w14:textId="69E5E12C">
      <w:pPr>
        <w:spacing w:after="100" w:afterAutospacing="1" w:line="240" w:lineRule="auto"/>
        <w:contextualSpacing/>
        <w:rPr>
          <w:rFonts w:ascii="Calibri" w:hAnsi="Calibri" w:cs="Calibri"/>
        </w:rPr>
      </w:pPr>
      <w:r w:rsidRPr="001E010D">
        <w:rPr>
          <w:rFonts w:ascii="Calibri" w:hAnsi="Calibri" w:cs="Calibri"/>
        </w:rPr>
        <w:t>EPA’s activities as the NPDES permitting authority in charge of administering the MSGP are</w:t>
      </w:r>
      <w:r w:rsidRPr="001E010D" w:rsidR="00F65C68">
        <w:rPr>
          <w:rFonts w:ascii="Calibri" w:hAnsi="Calibri" w:cs="Calibri"/>
        </w:rPr>
        <w:t xml:space="preserve"> to review and process information and reports generated under the permit. </w:t>
      </w:r>
    </w:p>
    <w:p w:rsidRPr="001E010D" w:rsidR="00E141D4" w:rsidP="00D37535" w:rsidRDefault="00E141D4" w14:paraId="35C21EA8" w14:textId="5AF5C773">
      <w:pPr>
        <w:pStyle w:val="Style1"/>
        <w:spacing w:before="0" w:after="100" w:afterAutospacing="1" w:line="240" w:lineRule="auto"/>
        <w:contextualSpacing/>
      </w:pPr>
      <w:bookmarkStart w:name="_Toc24963879" w:id="21"/>
      <w:r w:rsidRPr="001E010D">
        <w:t>Collection Methodology and Management</w:t>
      </w:r>
      <w:bookmarkEnd w:id="21"/>
    </w:p>
    <w:p w:rsidR="007504F0" w:rsidP="007504F0" w:rsidRDefault="001E3CBE" w14:paraId="4809B674" w14:textId="7812F6A9">
      <w:pPr>
        <w:spacing w:after="100" w:afterAutospacing="1" w:line="240" w:lineRule="auto"/>
        <w:contextualSpacing/>
        <w:rPr>
          <w:rFonts w:ascii="Calibri" w:hAnsi="Calibri" w:cs="Calibri"/>
        </w:rPr>
      </w:pPr>
      <w:r w:rsidRPr="001E010D">
        <w:rPr>
          <w:rFonts w:ascii="Calibri" w:hAnsi="Calibri" w:cs="Calibri"/>
        </w:rPr>
        <w:t>EPA collects most information generated under the MSGP through the</w:t>
      </w:r>
      <w:r w:rsidR="000B2705">
        <w:rPr>
          <w:rFonts w:ascii="Calibri" w:hAnsi="Calibri" w:cs="Calibri"/>
        </w:rPr>
        <w:t xml:space="preserve"> Integrated Compliance Information System</w:t>
      </w:r>
      <w:r w:rsidRPr="001E010D">
        <w:rPr>
          <w:rFonts w:ascii="Calibri" w:hAnsi="Calibri" w:cs="Calibri"/>
        </w:rPr>
        <w:t xml:space="preserve"> </w:t>
      </w:r>
      <w:r w:rsidR="000B2705">
        <w:rPr>
          <w:rFonts w:ascii="Calibri" w:hAnsi="Calibri" w:cs="Calibri"/>
        </w:rPr>
        <w:t>(</w:t>
      </w:r>
      <w:r w:rsidRPr="001E010D">
        <w:rPr>
          <w:rFonts w:ascii="Calibri" w:hAnsi="Calibri" w:cs="Calibri"/>
        </w:rPr>
        <w:t>ICIS-NPDES</w:t>
      </w:r>
      <w:r w:rsidR="000B2705">
        <w:rPr>
          <w:rFonts w:ascii="Calibri" w:hAnsi="Calibri" w:cs="Calibri"/>
        </w:rPr>
        <w:t>)</w:t>
      </w:r>
      <w:r w:rsidRPr="001E010D">
        <w:rPr>
          <w:rFonts w:ascii="Calibri" w:hAnsi="Calibri" w:cs="Calibri"/>
        </w:rPr>
        <w:t xml:space="preserve"> database</w:t>
      </w:r>
      <w:r w:rsidR="00BD3262">
        <w:rPr>
          <w:rFonts w:ascii="Calibri" w:hAnsi="Calibri" w:cs="Calibri"/>
        </w:rPr>
        <w:t xml:space="preserve"> via Ne</w:t>
      </w:r>
      <w:r w:rsidR="00791227">
        <w:rPr>
          <w:rFonts w:ascii="Calibri" w:hAnsi="Calibri" w:cs="Calibri"/>
        </w:rPr>
        <w:t>T-MSGP</w:t>
      </w:r>
      <w:r w:rsidRPr="001E010D">
        <w:rPr>
          <w:rFonts w:ascii="Calibri" w:hAnsi="Calibri" w:cs="Calibri"/>
        </w:rPr>
        <w:t xml:space="preserve">. </w:t>
      </w:r>
      <w:r w:rsidRPr="001E010D" w:rsidR="000E7673">
        <w:rPr>
          <w:rFonts w:ascii="Calibri" w:hAnsi="Calibri" w:cs="Calibri"/>
        </w:rPr>
        <w:t>EPA uses this information to assess permit compliance</w:t>
      </w:r>
      <w:r w:rsidRPr="001E010D" w:rsidR="00642502">
        <w:rPr>
          <w:rFonts w:ascii="Calibri" w:hAnsi="Calibri" w:cs="Calibri"/>
        </w:rPr>
        <w:t xml:space="preserve"> and trends</w:t>
      </w:r>
      <w:r w:rsidRPr="001E010D" w:rsidR="000E7673">
        <w:rPr>
          <w:rFonts w:ascii="Calibri" w:hAnsi="Calibri" w:cs="Calibri"/>
        </w:rPr>
        <w:t>. This technology also reduces the burden to EPA and the states for gathering and analyzing national permit and water quality data.</w:t>
      </w:r>
      <w:r w:rsidRPr="007504F0" w:rsidR="007504F0">
        <w:rPr>
          <w:rFonts w:ascii="Calibri" w:hAnsi="Calibri" w:cs="Calibri"/>
        </w:rPr>
        <w:t xml:space="preserve"> </w:t>
      </w:r>
      <w:r w:rsidRPr="001E010D" w:rsidR="007504F0">
        <w:rPr>
          <w:rFonts w:ascii="Calibri" w:hAnsi="Calibri" w:cs="Calibri"/>
        </w:rPr>
        <w:t xml:space="preserve">Minimal other information may be collected and stored on paper-based forms, databases, and computers. </w:t>
      </w:r>
    </w:p>
    <w:p w:rsidR="001E3CBE" w:rsidP="00D37535" w:rsidRDefault="001E3CBE" w14:paraId="21F17DFE" w14:textId="37A961A0">
      <w:pPr>
        <w:spacing w:after="100" w:afterAutospacing="1" w:line="240" w:lineRule="auto"/>
        <w:contextualSpacing/>
        <w:rPr>
          <w:rFonts w:ascii="Calibri" w:hAnsi="Calibri" w:cs="Calibri"/>
        </w:rPr>
      </w:pPr>
    </w:p>
    <w:p w:rsidRPr="001E010D" w:rsidR="00E64390" w:rsidP="00D37535" w:rsidRDefault="00E64390" w14:paraId="63A37DBB" w14:textId="71BB3BCE">
      <w:pPr>
        <w:spacing w:after="100" w:afterAutospacing="1" w:line="240" w:lineRule="auto"/>
        <w:contextualSpacing/>
        <w:rPr>
          <w:rFonts w:ascii="Calibri" w:hAnsi="Calibri" w:cs="Calibri"/>
        </w:rPr>
      </w:pPr>
      <w:r w:rsidRPr="001E010D">
        <w:rPr>
          <w:rFonts w:ascii="Calibri" w:hAnsi="Calibri" w:cs="Calibri"/>
        </w:rPr>
        <w:t xml:space="preserve">The public may access much of the information generated under the permit via </w:t>
      </w:r>
      <w:r w:rsidR="00F414E5">
        <w:rPr>
          <w:rFonts w:ascii="Calibri" w:hAnsi="Calibri" w:cs="Calibri"/>
        </w:rPr>
        <w:t>EPA</w:t>
      </w:r>
      <w:r w:rsidRPr="001E010D" w:rsidR="00B474F9">
        <w:rPr>
          <w:rFonts w:ascii="Calibri" w:hAnsi="Calibri" w:cs="Calibri"/>
        </w:rPr>
        <w:t xml:space="preserve"> tool </w:t>
      </w:r>
      <w:r w:rsidRPr="001E010D">
        <w:rPr>
          <w:rFonts w:ascii="Calibri" w:hAnsi="Calibri" w:cs="Calibri"/>
        </w:rPr>
        <w:t>Enforcement and Compliance History Online (ECHO)</w:t>
      </w:r>
      <w:r w:rsidR="00A776CF">
        <w:rPr>
          <w:rFonts w:ascii="Calibri" w:hAnsi="Calibri" w:cs="Calibri"/>
        </w:rPr>
        <w:t xml:space="preserve"> and through the E-Enterprise Permit Lookup</w:t>
      </w:r>
      <w:r w:rsidRPr="001E010D">
        <w:rPr>
          <w:rFonts w:ascii="Calibri" w:hAnsi="Calibri" w:cs="Calibri"/>
        </w:rPr>
        <w:t xml:space="preserve">. </w:t>
      </w:r>
    </w:p>
    <w:p w:rsidRPr="001E010D" w:rsidR="00E141D4" w:rsidP="00D37535" w:rsidRDefault="00E141D4" w14:paraId="731ED5B7" w14:textId="2E5612DB">
      <w:pPr>
        <w:pStyle w:val="Style1"/>
        <w:spacing w:before="0" w:after="100" w:afterAutospacing="1" w:line="240" w:lineRule="auto"/>
        <w:contextualSpacing/>
      </w:pPr>
      <w:bookmarkStart w:name="_Toc24963880" w:id="22"/>
      <w:r w:rsidRPr="001E010D">
        <w:t>Small Entity Flexibility</w:t>
      </w:r>
      <w:bookmarkEnd w:id="22"/>
    </w:p>
    <w:p w:rsidRPr="001E010D" w:rsidR="00E2506D" w:rsidP="00D37535" w:rsidRDefault="00567ED6" w14:paraId="6A43878F" w14:textId="74B71236">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EPA believes the reporting requirements discussed in this ICR do not place an unreasonable burden on small business. </w:t>
      </w:r>
      <w:r w:rsidR="00F414E5">
        <w:rPr>
          <w:rFonts w:ascii="Calibri" w:hAnsi="Calibri" w:cs="Calibri"/>
          <w:sz w:val="22"/>
          <w:szCs w:val="22"/>
        </w:rPr>
        <w:t>EPA</w:t>
      </w:r>
      <w:r w:rsidRPr="001E010D" w:rsidR="00E2506D">
        <w:rPr>
          <w:rFonts w:ascii="Calibri" w:hAnsi="Calibri" w:cs="Calibri"/>
          <w:sz w:val="22"/>
          <w:szCs w:val="22"/>
        </w:rPr>
        <w:t xml:space="preserve"> and states have made extensive use of general permits</w:t>
      </w:r>
      <w:r w:rsidR="00101DD2">
        <w:rPr>
          <w:rFonts w:ascii="Calibri" w:hAnsi="Calibri" w:cs="Calibri"/>
          <w:sz w:val="22"/>
          <w:szCs w:val="22"/>
        </w:rPr>
        <w:t xml:space="preserve"> to streamline the permitting process for both the </w:t>
      </w:r>
      <w:r w:rsidR="00791227">
        <w:rPr>
          <w:rFonts w:ascii="Calibri" w:hAnsi="Calibri" w:cs="Calibri"/>
          <w:sz w:val="22"/>
          <w:szCs w:val="22"/>
        </w:rPr>
        <w:t xml:space="preserve">operator </w:t>
      </w:r>
      <w:r w:rsidR="00101DD2">
        <w:rPr>
          <w:rFonts w:ascii="Calibri" w:hAnsi="Calibri" w:cs="Calibri"/>
          <w:sz w:val="22"/>
          <w:szCs w:val="22"/>
        </w:rPr>
        <w:t>and EPA.</w:t>
      </w:r>
      <w:r w:rsidRPr="001E010D" w:rsidR="00E2506D">
        <w:rPr>
          <w:rFonts w:ascii="Calibri" w:hAnsi="Calibri" w:cs="Calibri"/>
          <w:sz w:val="22"/>
          <w:szCs w:val="22"/>
        </w:rPr>
        <w:t xml:space="preserve">  </w:t>
      </w:r>
      <w:r w:rsidR="00982657">
        <w:rPr>
          <w:rFonts w:ascii="Calibri" w:hAnsi="Calibri" w:cs="Calibri"/>
          <w:sz w:val="22"/>
          <w:szCs w:val="22"/>
        </w:rPr>
        <w:t>T</w:t>
      </w:r>
      <w:r w:rsidRPr="001E010D" w:rsidR="00E2506D">
        <w:rPr>
          <w:rFonts w:ascii="Calibri" w:hAnsi="Calibri" w:cs="Calibri"/>
          <w:sz w:val="22"/>
          <w:szCs w:val="22"/>
        </w:rPr>
        <w:t xml:space="preserve">he majority of stormwater </w:t>
      </w:r>
      <w:r w:rsidR="00791227">
        <w:rPr>
          <w:rFonts w:ascii="Calibri" w:hAnsi="Calibri" w:cs="Calibri"/>
          <w:sz w:val="22"/>
          <w:szCs w:val="22"/>
        </w:rPr>
        <w:t>operators</w:t>
      </w:r>
      <w:r w:rsidRPr="001E010D" w:rsidR="00E2506D">
        <w:rPr>
          <w:rFonts w:ascii="Calibri" w:hAnsi="Calibri" w:cs="Calibri"/>
          <w:sz w:val="22"/>
          <w:szCs w:val="22"/>
        </w:rPr>
        <w:t>, which compose more than three quarters of all NPDES permittees, are covered under general permits.</w:t>
      </w:r>
      <w:r w:rsidR="002973D3">
        <w:rPr>
          <w:rFonts w:ascii="Calibri" w:hAnsi="Calibri" w:cs="Calibri"/>
          <w:sz w:val="22"/>
          <w:szCs w:val="22"/>
        </w:rPr>
        <w:t xml:space="preserve"> General permit procedures reduce burden</w:t>
      </w:r>
      <w:r w:rsidR="00E30931">
        <w:rPr>
          <w:rFonts w:ascii="Calibri" w:hAnsi="Calibri" w:cs="Calibri"/>
          <w:sz w:val="22"/>
          <w:szCs w:val="22"/>
        </w:rPr>
        <w:t xml:space="preserve"> </w:t>
      </w:r>
      <w:r w:rsidR="00990820">
        <w:rPr>
          <w:rFonts w:ascii="Calibri" w:hAnsi="Calibri" w:cs="Calibri"/>
          <w:sz w:val="22"/>
          <w:szCs w:val="22"/>
        </w:rPr>
        <w:t xml:space="preserve">associated with the application process and information submittals for industrial stormwater facilities. </w:t>
      </w:r>
    </w:p>
    <w:p w:rsidRPr="001E010D" w:rsidR="00E141D4" w:rsidP="00D37535" w:rsidRDefault="00E141D4" w14:paraId="00F9C0A6" w14:textId="51F9988B">
      <w:pPr>
        <w:pStyle w:val="Style1"/>
        <w:spacing w:before="0" w:after="100" w:afterAutospacing="1" w:line="240" w:lineRule="auto"/>
        <w:contextualSpacing/>
      </w:pPr>
      <w:bookmarkStart w:name="_Toc24963881" w:id="23"/>
      <w:r w:rsidRPr="001E010D">
        <w:t>Collection Schedule</w:t>
      </w:r>
      <w:bookmarkEnd w:id="23"/>
    </w:p>
    <w:p w:rsidR="0075652F" w:rsidP="00D37535" w:rsidRDefault="003C3ED6" w14:paraId="13E25C71" w14:textId="4AFDD819">
      <w:pPr>
        <w:spacing w:after="100" w:afterAutospacing="1" w:line="240" w:lineRule="auto"/>
        <w:contextualSpacing/>
        <w:rPr>
          <w:rFonts w:ascii="Calibri" w:hAnsi="Calibri" w:cs="Calibri"/>
        </w:rPr>
      </w:pPr>
      <w:r w:rsidRPr="001E010D">
        <w:rPr>
          <w:rFonts w:ascii="Calibri" w:hAnsi="Calibri" w:cs="Calibri"/>
        </w:rPr>
        <w:t xml:space="preserve">The CWA </w:t>
      </w:r>
      <w:r w:rsidR="00101DD2">
        <w:rPr>
          <w:rFonts w:ascii="Calibri" w:hAnsi="Calibri" w:cs="Calibri"/>
        </w:rPr>
        <w:t>limits</w:t>
      </w:r>
      <w:r w:rsidRPr="001E010D">
        <w:rPr>
          <w:rFonts w:ascii="Calibri" w:hAnsi="Calibri" w:cs="Calibri"/>
        </w:rPr>
        <w:t xml:space="preserve"> NPDES permit </w:t>
      </w:r>
      <w:r w:rsidR="00101DD2">
        <w:rPr>
          <w:rFonts w:ascii="Calibri" w:hAnsi="Calibri" w:cs="Calibri"/>
        </w:rPr>
        <w:t>terms to be no</w:t>
      </w:r>
      <w:r w:rsidRPr="001E010D">
        <w:rPr>
          <w:rFonts w:ascii="Calibri" w:hAnsi="Calibri" w:cs="Calibri"/>
        </w:rPr>
        <w:t xml:space="preserve"> longer than </w:t>
      </w:r>
      <w:r w:rsidR="00791227">
        <w:rPr>
          <w:rFonts w:ascii="Calibri" w:hAnsi="Calibri" w:cs="Calibri"/>
        </w:rPr>
        <w:t>5</w:t>
      </w:r>
      <w:r w:rsidRPr="001E010D" w:rsidR="00791227">
        <w:rPr>
          <w:rFonts w:ascii="Calibri" w:hAnsi="Calibri" w:cs="Calibri"/>
        </w:rPr>
        <w:t xml:space="preserve"> </w:t>
      </w:r>
      <w:r w:rsidRPr="001E010D">
        <w:rPr>
          <w:rFonts w:ascii="Calibri" w:hAnsi="Calibri" w:cs="Calibri"/>
        </w:rPr>
        <w:t>years</w:t>
      </w:r>
      <w:r w:rsidRPr="001E010D" w:rsidR="008B078B">
        <w:rPr>
          <w:rFonts w:ascii="Calibri" w:hAnsi="Calibri" w:cs="Calibri"/>
        </w:rPr>
        <w:t>, at which point permits must be renewed</w:t>
      </w:r>
      <w:r w:rsidRPr="001E010D">
        <w:rPr>
          <w:rFonts w:ascii="Calibri" w:hAnsi="Calibri" w:cs="Calibri"/>
        </w:rPr>
        <w:t>. Thus, permitted facilities must obtain coverage under the new or re-issued NPDES permits</w:t>
      </w:r>
      <w:r w:rsidRPr="001E010D" w:rsidR="0075652F">
        <w:rPr>
          <w:rFonts w:ascii="Calibri" w:hAnsi="Calibri" w:cs="Calibri"/>
        </w:rPr>
        <w:t>, and comply with any information collection requirements,</w:t>
      </w:r>
      <w:r w:rsidRPr="001E010D">
        <w:rPr>
          <w:rFonts w:ascii="Calibri" w:hAnsi="Calibri" w:cs="Calibri"/>
        </w:rPr>
        <w:t xml:space="preserve"> </w:t>
      </w:r>
      <w:r w:rsidRPr="001E010D" w:rsidR="005D3723">
        <w:rPr>
          <w:rFonts w:ascii="Calibri" w:hAnsi="Calibri" w:cs="Calibri"/>
        </w:rPr>
        <w:t>upon permit reissuance</w:t>
      </w:r>
      <w:r w:rsidRPr="001E010D" w:rsidR="00C541FC">
        <w:rPr>
          <w:rFonts w:ascii="Calibri" w:hAnsi="Calibri" w:cs="Calibri"/>
        </w:rPr>
        <w:t xml:space="preserve"> generally every </w:t>
      </w:r>
      <w:r w:rsidR="00791227">
        <w:rPr>
          <w:rFonts w:ascii="Calibri" w:hAnsi="Calibri" w:cs="Calibri"/>
        </w:rPr>
        <w:t>5 </w:t>
      </w:r>
      <w:r w:rsidRPr="001E010D" w:rsidR="00C541FC">
        <w:rPr>
          <w:rFonts w:ascii="Calibri" w:hAnsi="Calibri" w:cs="Calibri"/>
        </w:rPr>
        <w:t>years</w:t>
      </w:r>
      <w:r w:rsidRPr="001E010D">
        <w:rPr>
          <w:rFonts w:ascii="Calibri" w:hAnsi="Calibri" w:cs="Calibri"/>
        </w:rPr>
        <w:t xml:space="preserve">. </w:t>
      </w:r>
    </w:p>
    <w:p w:rsidRPr="001E010D" w:rsidR="002C53EF" w:rsidP="00D37535" w:rsidRDefault="002C53EF" w14:paraId="079EB6FD" w14:textId="77777777">
      <w:pPr>
        <w:spacing w:after="100" w:afterAutospacing="1" w:line="240" w:lineRule="auto"/>
        <w:contextualSpacing/>
        <w:rPr>
          <w:rFonts w:ascii="Calibri" w:hAnsi="Calibri" w:cs="Calibri"/>
        </w:rPr>
      </w:pPr>
    </w:p>
    <w:p w:rsidRPr="001E010D" w:rsidR="0075652F" w:rsidP="00D37535" w:rsidRDefault="0075652F" w14:paraId="25333DF3" w14:textId="60D47839">
      <w:pPr>
        <w:spacing w:after="100" w:afterAutospacing="1" w:line="240" w:lineRule="auto"/>
        <w:contextualSpacing/>
        <w:rPr>
          <w:rFonts w:ascii="Calibri" w:hAnsi="Calibri" w:cs="Calibri"/>
        </w:rPr>
      </w:pPr>
      <w:r w:rsidRPr="001E010D">
        <w:rPr>
          <w:rFonts w:ascii="Calibri" w:hAnsi="Calibri" w:cs="Calibri"/>
        </w:rPr>
        <w:t xml:space="preserve">The following is a summary of the collection schedule for various data items under the MSGP: </w:t>
      </w:r>
    </w:p>
    <w:p w:rsidRPr="001E010D" w:rsidR="00CA612E" w:rsidP="00D37535" w:rsidRDefault="00CA612E" w14:paraId="182C7114" w14:textId="5B1982A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NOI form</w:t>
      </w:r>
      <w:r w:rsidR="00D15596">
        <w:rPr>
          <w:rFonts w:ascii="Calibri" w:hAnsi="Calibri" w:cs="Calibri"/>
          <w:b/>
        </w:rPr>
        <w:t xml:space="preserve"> </w:t>
      </w:r>
      <w:r w:rsidR="00D15596">
        <w:rPr>
          <w:rFonts w:ascii="Calibri" w:hAnsi="Calibri" w:cs="Calibri"/>
        </w:rPr>
        <w:t>[</w:t>
      </w:r>
      <w:r w:rsidR="009D3343">
        <w:rPr>
          <w:rFonts w:ascii="Calibri" w:hAnsi="Calibri" w:cs="Calibri"/>
        </w:rPr>
        <w:t xml:space="preserve">No </w:t>
      </w:r>
      <w:r w:rsidR="00D15596">
        <w:rPr>
          <w:rFonts w:ascii="Calibri" w:hAnsi="Calibri" w:cs="Calibri"/>
        </w:rPr>
        <w:t xml:space="preserve">changes </w:t>
      </w:r>
      <w:r w:rsidR="009D3343">
        <w:rPr>
          <w:rFonts w:ascii="Calibri" w:hAnsi="Calibri" w:cs="Calibri"/>
        </w:rPr>
        <w:t>to the collection schedule</w:t>
      </w:r>
      <w:r w:rsidR="00D15596">
        <w:rPr>
          <w:rFonts w:ascii="Calibri" w:hAnsi="Calibri" w:cs="Calibri"/>
        </w:rPr>
        <w:t>]</w:t>
      </w:r>
    </w:p>
    <w:p w:rsidRPr="001E010D" w:rsidR="00CA612E" w:rsidP="00D37535" w:rsidRDefault="00CA612E" w14:paraId="63F75B74" w14:textId="7CB601C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 NOI is submitted once each permit term. Deadlines vary based on the category of operator, bu</w:t>
      </w:r>
      <w:r w:rsidRPr="001E010D" w:rsidR="00001CF8">
        <w:rPr>
          <w:rFonts w:ascii="Calibri" w:hAnsi="Calibri" w:cs="Calibri"/>
        </w:rPr>
        <w:t xml:space="preserve">t for most </w:t>
      </w:r>
      <w:r w:rsidR="00791227">
        <w:rPr>
          <w:rFonts w:ascii="Calibri" w:hAnsi="Calibri" w:cs="Calibri"/>
        </w:rPr>
        <w:t>operators</w:t>
      </w:r>
      <w:r w:rsidRPr="001E010D" w:rsidR="00791227">
        <w:rPr>
          <w:rFonts w:ascii="Calibri" w:hAnsi="Calibri" w:cs="Calibri"/>
        </w:rPr>
        <w:t xml:space="preserve"> </w:t>
      </w:r>
      <w:r w:rsidRPr="001E010D" w:rsidR="00001CF8">
        <w:rPr>
          <w:rFonts w:ascii="Calibri" w:hAnsi="Calibri" w:cs="Calibri"/>
        </w:rPr>
        <w:t>who are existing dischargers</w:t>
      </w:r>
      <w:r w:rsidR="00101DD2">
        <w:rPr>
          <w:rFonts w:ascii="Calibri" w:hAnsi="Calibri" w:cs="Calibri"/>
        </w:rPr>
        <w:t>,</w:t>
      </w:r>
      <w:r w:rsidRPr="001E010D" w:rsidR="00001CF8">
        <w:rPr>
          <w:rFonts w:ascii="Calibri" w:hAnsi="Calibri" w:cs="Calibri"/>
        </w:rPr>
        <w:t xml:space="preserve"> </w:t>
      </w:r>
      <w:r w:rsidRPr="001E010D" w:rsidR="00EE650D">
        <w:rPr>
          <w:rFonts w:ascii="Calibri" w:hAnsi="Calibri" w:cs="Calibri"/>
        </w:rPr>
        <w:t xml:space="preserve">NOIs </w:t>
      </w:r>
      <w:r w:rsidRPr="001E010D" w:rsidR="00001CF8">
        <w:rPr>
          <w:rFonts w:ascii="Calibri" w:hAnsi="Calibri" w:cs="Calibri"/>
        </w:rPr>
        <w:t xml:space="preserve">are submitted within 90 days of the issuance of the permit. </w:t>
      </w:r>
      <w:r w:rsidR="002C53EF">
        <w:rPr>
          <w:rFonts w:ascii="Calibri" w:hAnsi="Calibri" w:cs="Calibri"/>
        </w:rPr>
        <w:t>The operator may submit a modification or change to update the NOI at any time.</w:t>
      </w:r>
    </w:p>
    <w:p w:rsidR="002C53EF" w:rsidP="00D37535" w:rsidRDefault="002C53EF" w14:paraId="7FC0F4AC" w14:textId="6EF10DB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EE7641" w:rsidP="00EE7641" w:rsidRDefault="00EE7641" w14:paraId="4706913D" w14:textId="3B37ED4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NOT form</w:t>
      </w:r>
      <w:r>
        <w:rPr>
          <w:rFonts w:ascii="Calibri" w:hAnsi="Calibri" w:cs="Calibri"/>
          <w:b/>
        </w:rPr>
        <w:t xml:space="preserve"> </w:t>
      </w:r>
      <w:r>
        <w:rPr>
          <w:rFonts w:ascii="Calibri" w:hAnsi="Calibri" w:cs="Calibri"/>
        </w:rPr>
        <w:t xml:space="preserve">[No changes </w:t>
      </w:r>
      <w:r w:rsidR="009D3343">
        <w:rPr>
          <w:rFonts w:ascii="Calibri" w:hAnsi="Calibri" w:cs="Calibri"/>
        </w:rPr>
        <w:t>to the collection schedule</w:t>
      </w:r>
      <w:r>
        <w:rPr>
          <w:rFonts w:ascii="Calibri" w:hAnsi="Calibri" w:cs="Calibri"/>
        </w:rPr>
        <w:t>]</w:t>
      </w:r>
    </w:p>
    <w:p w:rsidR="00001CF8" w:rsidP="00D37535" w:rsidRDefault="00001CF8" w14:paraId="71E88D2F" w14:textId="1E7D46B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NOT </w:t>
      </w:r>
      <w:r w:rsidRPr="001E010D" w:rsidR="00891269">
        <w:rPr>
          <w:rFonts w:ascii="Calibri" w:hAnsi="Calibri" w:cs="Calibri"/>
        </w:rPr>
        <w:t>is submitted only when permit coverage is no longer needed</w:t>
      </w:r>
      <w:r w:rsidRPr="001E010D" w:rsidR="00EE650D">
        <w:rPr>
          <w:rFonts w:ascii="Calibri" w:hAnsi="Calibri" w:cs="Calibri"/>
        </w:rPr>
        <w:t xml:space="preserve">; because most </w:t>
      </w:r>
      <w:r w:rsidR="001619D9">
        <w:rPr>
          <w:rFonts w:ascii="Calibri" w:hAnsi="Calibri" w:cs="Calibri"/>
        </w:rPr>
        <w:t>respondents</w:t>
      </w:r>
      <w:r w:rsidRPr="001E010D" w:rsidR="00EE650D">
        <w:rPr>
          <w:rFonts w:ascii="Calibri" w:hAnsi="Calibri" w:cs="Calibri"/>
        </w:rPr>
        <w:t xml:space="preserve"> are long-term, </w:t>
      </w:r>
      <w:r w:rsidR="002C53EF">
        <w:rPr>
          <w:rFonts w:ascii="Calibri" w:hAnsi="Calibri" w:cs="Calibri"/>
        </w:rPr>
        <w:t>existing</w:t>
      </w:r>
      <w:r w:rsidRPr="001E010D" w:rsidR="00EE650D">
        <w:rPr>
          <w:rFonts w:ascii="Calibri" w:hAnsi="Calibri" w:cs="Calibri"/>
        </w:rPr>
        <w:t xml:space="preserve"> </w:t>
      </w:r>
      <w:r w:rsidR="00F661DE">
        <w:rPr>
          <w:rFonts w:ascii="Calibri" w:hAnsi="Calibri" w:cs="Calibri"/>
        </w:rPr>
        <w:t>operators</w:t>
      </w:r>
      <w:r w:rsidRPr="001E010D" w:rsidR="00EE650D">
        <w:rPr>
          <w:rFonts w:ascii="Calibri" w:hAnsi="Calibri" w:cs="Calibri"/>
        </w:rPr>
        <w:t>, NOTs are</w:t>
      </w:r>
      <w:r w:rsidRPr="001E010D" w:rsidR="00891269">
        <w:rPr>
          <w:rFonts w:ascii="Calibri" w:hAnsi="Calibri" w:cs="Calibri"/>
        </w:rPr>
        <w:t xml:space="preserve"> not expected to be submitted frequently under this permit. </w:t>
      </w:r>
    </w:p>
    <w:p w:rsidRPr="001E010D" w:rsidR="00D37535" w:rsidP="00D37535" w:rsidRDefault="00D37535" w14:paraId="1E687D1E" w14:textId="6CB2343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7BFADC70" w14:textId="34FCC22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SWPPPs</w:t>
      </w:r>
      <w:r w:rsidR="00D15596">
        <w:rPr>
          <w:rFonts w:ascii="Calibri" w:hAnsi="Calibri" w:cs="Calibri"/>
          <w:b/>
        </w:rPr>
        <w:t xml:space="preserve"> </w:t>
      </w:r>
      <w:r w:rsidR="00D15596">
        <w:rPr>
          <w:rFonts w:ascii="Calibri" w:hAnsi="Calibri" w:cs="Calibri"/>
        </w:rPr>
        <w:t>[</w:t>
      </w:r>
      <w:r w:rsidR="009D3343">
        <w:rPr>
          <w:rFonts w:ascii="Calibri" w:hAnsi="Calibri" w:cs="Calibri"/>
        </w:rPr>
        <w:t>No</w:t>
      </w:r>
      <w:r w:rsidR="00FD7935">
        <w:rPr>
          <w:rFonts w:ascii="Calibri" w:hAnsi="Calibri" w:cs="Calibri"/>
        </w:rPr>
        <w:t xml:space="preserve"> </w:t>
      </w:r>
      <w:r w:rsidR="00D15596">
        <w:rPr>
          <w:rFonts w:ascii="Calibri" w:hAnsi="Calibri" w:cs="Calibri"/>
        </w:rPr>
        <w:t xml:space="preserve">changes </w:t>
      </w:r>
      <w:r w:rsidR="009D3343">
        <w:rPr>
          <w:rFonts w:ascii="Calibri" w:hAnsi="Calibri" w:cs="Calibri"/>
        </w:rPr>
        <w:t>to the collection schedule</w:t>
      </w:r>
      <w:r w:rsidR="00D15596">
        <w:rPr>
          <w:rFonts w:ascii="Calibri" w:hAnsi="Calibri" w:cs="Calibri"/>
        </w:rPr>
        <w:t>]</w:t>
      </w:r>
    </w:p>
    <w:p w:rsidR="005A146C" w:rsidP="00D37535" w:rsidRDefault="00D20B9A" w14:paraId="73C2FBDD" w14:textId="5785E1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An initial SWPPP</w:t>
      </w:r>
      <w:r w:rsidRPr="001E010D" w:rsidR="00F6561C">
        <w:rPr>
          <w:rFonts w:ascii="Calibri" w:hAnsi="Calibri" w:cs="Calibri"/>
        </w:rPr>
        <w:t xml:space="preserve"> must be developed </w:t>
      </w:r>
      <w:r w:rsidR="00BC5617">
        <w:rPr>
          <w:rFonts w:ascii="Calibri" w:hAnsi="Calibri" w:cs="Calibri"/>
        </w:rPr>
        <w:t>prior to</w:t>
      </w:r>
      <w:r w:rsidRPr="001E010D" w:rsidR="00F6561C">
        <w:rPr>
          <w:rFonts w:ascii="Calibri" w:hAnsi="Calibri" w:cs="Calibri"/>
        </w:rPr>
        <w:t xml:space="preserve"> </w:t>
      </w:r>
      <w:r w:rsidR="00BC5617">
        <w:rPr>
          <w:rFonts w:ascii="Calibri" w:hAnsi="Calibri" w:cs="Calibri"/>
        </w:rPr>
        <w:t>submitting</w:t>
      </w:r>
      <w:r w:rsidRPr="001E010D" w:rsidR="00F6561C">
        <w:rPr>
          <w:rFonts w:ascii="Calibri" w:hAnsi="Calibri" w:cs="Calibri"/>
        </w:rPr>
        <w:t xml:space="preserve"> an NOI for permit coverage. </w:t>
      </w:r>
      <w:r w:rsidRPr="001E010D" w:rsidR="00174FC1">
        <w:rPr>
          <w:rFonts w:ascii="Calibri" w:hAnsi="Calibri" w:cs="Calibri"/>
        </w:rPr>
        <w:t>This</w:t>
      </w:r>
      <w:r w:rsidRPr="001E010D" w:rsidR="005A146C">
        <w:rPr>
          <w:rFonts w:ascii="Calibri" w:hAnsi="Calibri" w:cs="Calibri"/>
        </w:rPr>
        <w:t xml:space="preserve"> ICR assumes that every </w:t>
      </w:r>
      <w:r w:rsidR="00F661DE">
        <w:rPr>
          <w:rFonts w:ascii="Calibri" w:hAnsi="Calibri" w:cs="Calibri"/>
        </w:rPr>
        <w:t>5</w:t>
      </w:r>
      <w:r w:rsidRPr="001E010D" w:rsidR="00F661DE">
        <w:rPr>
          <w:rFonts w:ascii="Calibri" w:hAnsi="Calibri" w:cs="Calibri"/>
        </w:rPr>
        <w:t xml:space="preserve"> </w:t>
      </w:r>
      <w:r w:rsidRPr="001E010D" w:rsidR="005A146C">
        <w:rPr>
          <w:rFonts w:ascii="Calibri" w:hAnsi="Calibri" w:cs="Calibri"/>
        </w:rPr>
        <w:t xml:space="preserve">years, </w:t>
      </w:r>
      <w:r w:rsidR="00F661DE">
        <w:rPr>
          <w:rFonts w:ascii="Calibri" w:hAnsi="Calibri" w:cs="Calibri"/>
        </w:rPr>
        <w:t>operators</w:t>
      </w:r>
      <w:r w:rsidRPr="001E010D" w:rsidR="00F661DE">
        <w:rPr>
          <w:rFonts w:ascii="Calibri" w:hAnsi="Calibri" w:cs="Calibri"/>
        </w:rPr>
        <w:t xml:space="preserve"> </w:t>
      </w:r>
      <w:r w:rsidR="00BC5617">
        <w:rPr>
          <w:rFonts w:ascii="Calibri" w:hAnsi="Calibri" w:cs="Calibri"/>
        </w:rPr>
        <w:t xml:space="preserve">who had previous permit coverage under the 2015 MSGP </w:t>
      </w:r>
      <w:r w:rsidRPr="001E010D" w:rsidR="005A146C">
        <w:rPr>
          <w:rFonts w:ascii="Calibri" w:hAnsi="Calibri" w:cs="Calibri"/>
        </w:rPr>
        <w:t xml:space="preserve">will perform a comprehensive reevaluation of the existing SWPPP and modify the plan as appropriate. This reevaluation is anticipated to require less cost and burden than the initial cost and burden of developing the plan. </w:t>
      </w:r>
    </w:p>
    <w:p w:rsidRPr="001E010D" w:rsidR="00D37535" w:rsidP="00D37535" w:rsidRDefault="00D37535" w14:paraId="4694F27A" w14:textId="29FDCF3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E074F1" w:rsidRDefault="00CA612E" w14:paraId="61E79C29" w14:textId="600D35E8">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DMRs</w:t>
      </w:r>
      <w:r w:rsidR="00D15596">
        <w:rPr>
          <w:rFonts w:ascii="Calibri" w:hAnsi="Calibri" w:cs="Calibri"/>
          <w:b/>
        </w:rPr>
        <w:t xml:space="preserve"> </w:t>
      </w:r>
      <w:r w:rsidRPr="00825AFC" w:rsidR="00D15596">
        <w:rPr>
          <w:rFonts w:ascii="Calibri" w:hAnsi="Calibri" w:cs="Calibri"/>
        </w:rPr>
        <w:t>[</w:t>
      </w:r>
      <w:r w:rsidR="001C4EEA">
        <w:rPr>
          <w:rFonts w:ascii="Calibri" w:hAnsi="Calibri" w:cs="Calibri"/>
        </w:rPr>
        <w:t>Changes</w:t>
      </w:r>
      <w:r w:rsidR="00D15596">
        <w:rPr>
          <w:rFonts w:ascii="Calibri" w:hAnsi="Calibri" w:cs="Calibri"/>
        </w:rPr>
        <w:t xml:space="preserve"> </w:t>
      </w:r>
      <w:r w:rsidR="009D3343">
        <w:rPr>
          <w:rFonts w:ascii="Calibri" w:hAnsi="Calibri" w:cs="Calibri"/>
        </w:rPr>
        <w:t>to the collection schedule</w:t>
      </w:r>
      <w:r w:rsidRPr="00825AFC" w:rsidR="00D15596">
        <w:rPr>
          <w:rFonts w:ascii="Calibri" w:hAnsi="Calibri" w:cs="Calibri"/>
        </w:rPr>
        <w:t>]</w:t>
      </w:r>
    </w:p>
    <w:p w:rsidR="008B035C" w:rsidP="008B035C" w:rsidRDefault="008B035C" w14:paraId="678D1F68" w14:textId="0D9127C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The 2021 MSGP includes new or modified requirements for benchmark monitoring, indicator monitoring, and impaired waters monitoring. </w:t>
      </w:r>
      <w:r w:rsidR="00214193">
        <w:rPr>
          <w:rFonts w:ascii="Calibri" w:hAnsi="Calibri" w:cs="Calibri"/>
        </w:rPr>
        <w:t>The effluent limit</w:t>
      </w:r>
      <w:r w:rsidR="006C6326">
        <w:rPr>
          <w:rFonts w:ascii="Calibri" w:hAnsi="Calibri" w:cs="Calibri"/>
        </w:rPr>
        <w:t>ations</w:t>
      </w:r>
      <w:r w:rsidR="00214193">
        <w:rPr>
          <w:rFonts w:ascii="Calibri" w:hAnsi="Calibri" w:cs="Calibri"/>
        </w:rPr>
        <w:t xml:space="preserve"> monitoring requirements in the 2021 MSGP are consistent with the 2015 MSGP.</w:t>
      </w:r>
    </w:p>
    <w:p w:rsidR="008B035C" w:rsidP="008B035C" w:rsidRDefault="008B035C" w14:paraId="2BFABAA4" w14:textId="365BFD18">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412DC">
        <w:rPr>
          <w:rFonts w:ascii="Calibri" w:hAnsi="Calibri" w:cs="Calibri"/>
          <w:b/>
          <w:bCs/>
        </w:rPr>
        <w:t>Benchmark monitoring:</w:t>
      </w:r>
      <w:r>
        <w:rPr>
          <w:rFonts w:ascii="Calibri" w:hAnsi="Calibri" w:cs="Calibri"/>
        </w:rPr>
        <w:t xml:space="preserve"> </w:t>
      </w:r>
      <w:r w:rsidR="00375B7C">
        <w:rPr>
          <w:rFonts w:ascii="Calibri" w:hAnsi="Calibri" w:cs="Calibri"/>
        </w:rPr>
        <w:t xml:space="preserve">For </w:t>
      </w:r>
      <w:r w:rsidR="001619D9">
        <w:rPr>
          <w:rFonts w:ascii="Calibri" w:hAnsi="Calibri" w:cs="Calibri"/>
        </w:rPr>
        <w:t>respondents</w:t>
      </w:r>
      <w:r w:rsidR="00375B7C">
        <w:rPr>
          <w:rFonts w:ascii="Calibri" w:hAnsi="Calibri" w:cs="Calibri"/>
        </w:rPr>
        <w:t xml:space="preserve"> in sectors that have benchmark monitoring requirements, </w:t>
      </w:r>
      <w:r>
        <w:rPr>
          <w:rFonts w:ascii="Calibri" w:hAnsi="Calibri" w:cs="Calibri"/>
        </w:rPr>
        <w:t>the 2021 MSGP requires quarterly benchmark monitoring in</w:t>
      </w:r>
      <w:r w:rsidR="00500C42">
        <w:rPr>
          <w:rFonts w:ascii="Calibri" w:hAnsi="Calibri" w:cs="Calibri"/>
        </w:rPr>
        <w:t xml:space="preserve"> the first year</w:t>
      </w:r>
      <w:r w:rsidR="005F0CE6">
        <w:rPr>
          <w:rFonts w:ascii="Calibri" w:hAnsi="Calibri" w:cs="Calibri"/>
        </w:rPr>
        <w:t xml:space="preserve"> </w:t>
      </w:r>
      <w:r w:rsidR="005F0CE6">
        <w:rPr>
          <w:rFonts w:ascii="Calibri" w:hAnsi="Calibri" w:cs="Calibri"/>
        </w:rPr>
        <w:lastRenderedPageBreak/>
        <w:t>and fourth year</w:t>
      </w:r>
      <w:r w:rsidR="00500C42">
        <w:rPr>
          <w:rFonts w:ascii="Calibri" w:hAnsi="Calibri" w:cs="Calibri"/>
        </w:rPr>
        <w:t xml:space="preserve"> of the</w:t>
      </w:r>
      <w:r>
        <w:rPr>
          <w:rFonts w:ascii="Calibri" w:hAnsi="Calibri" w:cs="Calibri"/>
        </w:rPr>
        <w:t xml:space="preserve"> permit </w:t>
      </w:r>
      <w:r w:rsidR="00500C42">
        <w:rPr>
          <w:rFonts w:ascii="Calibri" w:hAnsi="Calibri" w:cs="Calibri"/>
        </w:rPr>
        <w:t>term</w:t>
      </w:r>
      <w:r>
        <w:rPr>
          <w:rFonts w:ascii="Calibri" w:hAnsi="Calibri" w:cs="Calibri"/>
        </w:rPr>
        <w:t xml:space="preserve">. </w:t>
      </w:r>
      <w:r w:rsidR="00500C42">
        <w:rPr>
          <w:rFonts w:ascii="Calibri" w:hAnsi="Calibri" w:cs="Calibri"/>
        </w:rPr>
        <w:t xml:space="preserve">If </w:t>
      </w:r>
      <w:r w:rsidR="00142C32">
        <w:rPr>
          <w:rFonts w:ascii="Calibri" w:hAnsi="Calibri" w:cs="Calibri"/>
        </w:rPr>
        <w:t xml:space="preserve">the four-quarter </w:t>
      </w:r>
      <w:r w:rsidR="00F661DE">
        <w:rPr>
          <w:rFonts w:ascii="Calibri" w:hAnsi="Calibri" w:cs="Calibri"/>
        </w:rPr>
        <w:t>annual</w:t>
      </w:r>
      <w:r w:rsidR="00142C32">
        <w:rPr>
          <w:rFonts w:ascii="Calibri" w:hAnsi="Calibri" w:cs="Calibri"/>
        </w:rPr>
        <w:t xml:space="preserve"> average </w:t>
      </w:r>
      <w:r w:rsidR="005F0CE6">
        <w:rPr>
          <w:rFonts w:ascii="Calibri" w:hAnsi="Calibri" w:cs="Calibri"/>
        </w:rPr>
        <w:t xml:space="preserve">from the first year of monitoring </w:t>
      </w:r>
      <w:r w:rsidR="00142C32">
        <w:rPr>
          <w:rFonts w:ascii="Calibri" w:hAnsi="Calibri" w:cs="Calibri"/>
        </w:rPr>
        <w:t xml:space="preserve">does not exceed a benchmark threshold, then monitoring can be discontinued until </w:t>
      </w:r>
      <w:r w:rsidR="005F0CE6">
        <w:rPr>
          <w:rFonts w:ascii="Calibri" w:hAnsi="Calibri" w:cs="Calibri"/>
        </w:rPr>
        <w:t xml:space="preserve">the fourth year </w:t>
      </w:r>
      <w:r w:rsidR="00142C32">
        <w:rPr>
          <w:rFonts w:ascii="Calibri" w:hAnsi="Calibri" w:cs="Calibri"/>
        </w:rPr>
        <w:t xml:space="preserve">of the permit term. </w:t>
      </w:r>
      <w:r>
        <w:rPr>
          <w:rFonts w:ascii="Calibri" w:hAnsi="Calibri" w:cs="Calibri"/>
        </w:rPr>
        <w:t xml:space="preserve">If the </w:t>
      </w:r>
      <w:r w:rsidR="00142C32">
        <w:rPr>
          <w:rFonts w:ascii="Calibri" w:hAnsi="Calibri" w:cs="Calibri"/>
        </w:rPr>
        <w:t>four</w:t>
      </w:r>
      <w:r w:rsidR="005F0CE6">
        <w:rPr>
          <w:rFonts w:ascii="Calibri" w:hAnsi="Calibri" w:cs="Calibri"/>
        </w:rPr>
        <w:t>-</w:t>
      </w:r>
      <w:r w:rsidR="00E317A0">
        <w:rPr>
          <w:rFonts w:ascii="Calibri" w:hAnsi="Calibri" w:cs="Calibri"/>
        </w:rPr>
        <w:t>quarter</w:t>
      </w:r>
      <w:r w:rsidR="005F0CE6">
        <w:rPr>
          <w:rFonts w:ascii="Calibri" w:hAnsi="Calibri" w:cs="Calibri"/>
        </w:rPr>
        <w:t xml:space="preserve"> </w:t>
      </w:r>
      <w:r w:rsidR="00F661DE">
        <w:rPr>
          <w:rFonts w:ascii="Calibri" w:hAnsi="Calibri" w:cs="Calibri"/>
        </w:rPr>
        <w:t xml:space="preserve">annual </w:t>
      </w:r>
      <w:r w:rsidR="005F0CE6">
        <w:rPr>
          <w:rFonts w:ascii="Calibri" w:hAnsi="Calibri" w:cs="Calibri"/>
        </w:rPr>
        <w:t xml:space="preserve">average </w:t>
      </w:r>
      <w:r>
        <w:rPr>
          <w:rFonts w:ascii="Calibri" w:hAnsi="Calibri" w:cs="Calibri"/>
        </w:rPr>
        <w:t xml:space="preserve">from </w:t>
      </w:r>
      <w:r w:rsidR="005F0CE6">
        <w:rPr>
          <w:rFonts w:ascii="Calibri" w:hAnsi="Calibri" w:cs="Calibri"/>
        </w:rPr>
        <w:t xml:space="preserve">the first year </w:t>
      </w:r>
      <w:r>
        <w:rPr>
          <w:rFonts w:ascii="Calibri" w:hAnsi="Calibri" w:cs="Calibri"/>
        </w:rPr>
        <w:t xml:space="preserve">exceeds </w:t>
      </w:r>
      <w:r w:rsidR="004B1EB4">
        <w:rPr>
          <w:rFonts w:ascii="Calibri" w:hAnsi="Calibri" w:cs="Calibri"/>
        </w:rPr>
        <w:t xml:space="preserve">a </w:t>
      </w:r>
      <w:r>
        <w:rPr>
          <w:rFonts w:ascii="Calibri" w:hAnsi="Calibri" w:cs="Calibri"/>
        </w:rPr>
        <w:t>benchmark threshold</w:t>
      </w:r>
      <w:r w:rsidR="00CE47BC">
        <w:rPr>
          <w:rFonts w:ascii="Calibri" w:hAnsi="Calibri" w:cs="Calibri"/>
        </w:rPr>
        <w:t xml:space="preserve"> (or fewer than </w:t>
      </w:r>
      <w:r w:rsidRPr="0013648E" w:rsidR="00CE47BC">
        <w:rPr>
          <w:rFonts w:cs="Calibri"/>
          <w:szCs w:val="20"/>
        </w:rPr>
        <w:t>four quarterly samples are collected, but a single sample or the sum of any sample results within the sampling year exceeds the benchmark threshold by more than four times for a parameter</w:t>
      </w:r>
      <w:r w:rsidR="00CE47BC">
        <w:rPr>
          <w:rFonts w:cs="Calibri"/>
          <w:szCs w:val="20"/>
        </w:rPr>
        <w:t>)</w:t>
      </w:r>
      <w:r>
        <w:rPr>
          <w:rFonts w:ascii="Calibri" w:hAnsi="Calibri" w:cs="Calibri"/>
        </w:rPr>
        <w:t xml:space="preserve">, </w:t>
      </w:r>
      <w:r w:rsidR="00142C32">
        <w:rPr>
          <w:rFonts w:ascii="Calibri" w:hAnsi="Calibri" w:cs="Calibri"/>
        </w:rPr>
        <w:t xml:space="preserve">then </w:t>
      </w:r>
      <w:r>
        <w:rPr>
          <w:rFonts w:ascii="Calibri" w:hAnsi="Calibri" w:cs="Calibri"/>
        </w:rPr>
        <w:t xml:space="preserve">monitoring must continue on a quarterly basis until a four-quarter </w:t>
      </w:r>
      <w:r w:rsidR="00F661DE">
        <w:rPr>
          <w:rFonts w:ascii="Calibri" w:hAnsi="Calibri" w:cs="Calibri"/>
        </w:rPr>
        <w:t xml:space="preserve">annual </w:t>
      </w:r>
      <w:r>
        <w:rPr>
          <w:rFonts w:ascii="Calibri" w:hAnsi="Calibri" w:cs="Calibri"/>
        </w:rPr>
        <w:t>average is below the benchmark threshold.</w:t>
      </w:r>
      <w:r w:rsidR="007A066A">
        <w:rPr>
          <w:rFonts w:ascii="Calibri" w:hAnsi="Calibri" w:cs="Calibri"/>
        </w:rPr>
        <w:t xml:space="preserve"> </w:t>
      </w:r>
      <w:r w:rsidRPr="00115920" w:rsidR="007A066A">
        <w:rPr>
          <w:rFonts w:ascii="Calibri" w:hAnsi="Calibri" w:cs="Calibri"/>
        </w:rPr>
        <w:t xml:space="preserve">In the fourth year of permit coverage, </w:t>
      </w:r>
      <w:r w:rsidR="001619D9">
        <w:rPr>
          <w:rFonts w:ascii="Calibri" w:hAnsi="Calibri" w:cs="Calibri"/>
        </w:rPr>
        <w:t>respondents</w:t>
      </w:r>
      <w:r w:rsidRPr="00115920" w:rsidR="007A066A">
        <w:rPr>
          <w:rFonts w:ascii="Calibri" w:hAnsi="Calibri" w:cs="Calibri"/>
        </w:rPr>
        <w:t xml:space="preserve"> would </w:t>
      </w:r>
      <w:r w:rsidR="004B1EB4">
        <w:rPr>
          <w:rFonts w:ascii="Calibri" w:hAnsi="Calibri" w:cs="Calibri"/>
        </w:rPr>
        <w:t xml:space="preserve">again perform </w:t>
      </w:r>
      <w:r w:rsidR="007A066A">
        <w:rPr>
          <w:rFonts w:ascii="Calibri" w:hAnsi="Calibri" w:cs="Calibri"/>
        </w:rPr>
        <w:t xml:space="preserve">quarterly </w:t>
      </w:r>
      <w:r w:rsidR="00821EB4">
        <w:rPr>
          <w:rFonts w:ascii="Calibri" w:hAnsi="Calibri" w:cs="Calibri"/>
        </w:rPr>
        <w:t xml:space="preserve">benchmark </w:t>
      </w:r>
      <w:r w:rsidR="007A066A">
        <w:rPr>
          <w:rFonts w:ascii="Calibri" w:hAnsi="Calibri" w:cs="Calibri"/>
        </w:rPr>
        <w:t xml:space="preserve">monitoring and if </w:t>
      </w:r>
      <w:r w:rsidR="00821EB4">
        <w:rPr>
          <w:rFonts w:ascii="Calibri" w:hAnsi="Calibri" w:cs="Calibri"/>
        </w:rPr>
        <w:t xml:space="preserve">the four-quarter </w:t>
      </w:r>
      <w:r w:rsidR="00F661DE">
        <w:rPr>
          <w:rFonts w:ascii="Calibri" w:hAnsi="Calibri" w:cs="Calibri"/>
        </w:rPr>
        <w:t>annual</w:t>
      </w:r>
      <w:r w:rsidR="00821EB4">
        <w:rPr>
          <w:rFonts w:ascii="Calibri" w:hAnsi="Calibri" w:cs="Calibri"/>
        </w:rPr>
        <w:t xml:space="preserve"> average does not exceed benchmark thresholds, then monitoring can be discontinued for the rest of the permit term. </w:t>
      </w:r>
    </w:p>
    <w:p w:rsidRPr="008B035C" w:rsidR="008B035C" w:rsidP="008B035C" w:rsidRDefault="00181E63" w14:paraId="4CD6E198" w14:textId="7D48601E">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bCs/>
        </w:rPr>
      </w:pPr>
      <w:r>
        <w:rPr>
          <w:rFonts w:ascii="Calibri" w:hAnsi="Calibri" w:cs="Calibri"/>
          <w:b/>
          <w:bCs/>
        </w:rPr>
        <w:t xml:space="preserve">Indicator </w:t>
      </w:r>
      <w:r w:rsidR="000974C7">
        <w:rPr>
          <w:rFonts w:ascii="Calibri" w:hAnsi="Calibri" w:cs="Calibri"/>
          <w:b/>
          <w:bCs/>
        </w:rPr>
        <w:t>m</w:t>
      </w:r>
      <w:r>
        <w:rPr>
          <w:rFonts w:ascii="Calibri" w:hAnsi="Calibri" w:cs="Calibri"/>
          <w:b/>
          <w:bCs/>
        </w:rPr>
        <w:t xml:space="preserve">onitoring for </w:t>
      </w:r>
      <w:r w:rsidRPr="008B035C" w:rsidR="008B035C">
        <w:rPr>
          <w:rFonts w:ascii="Calibri" w:hAnsi="Calibri" w:cs="Calibri"/>
          <w:b/>
          <w:bCs/>
        </w:rPr>
        <w:t xml:space="preserve">pH, </w:t>
      </w:r>
      <w:r w:rsidR="007A49F3">
        <w:rPr>
          <w:rFonts w:ascii="Calibri" w:hAnsi="Calibri" w:cs="Calibri"/>
          <w:b/>
          <w:bCs/>
        </w:rPr>
        <w:t>total suspended solids (</w:t>
      </w:r>
      <w:r w:rsidRPr="008B035C" w:rsidR="008B035C">
        <w:rPr>
          <w:rFonts w:ascii="Calibri" w:hAnsi="Calibri" w:cs="Calibri"/>
          <w:b/>
          <w:bCs/>
        </w:rPr>
        <w:t>TSS</w:t>
      </w:r>
      <w:r w:rsidR="007A49F3">
        <w:rPr>
          <w:rFonts w:ascii="Calibri" w:hAnsi="Calibri" w:cs="Calibri"/>
          <w:b/>
          <w:bCs/>
        </w:rPr>
        <w:t>)</w:t>
      </w:r>
      <w:r w:rsidRPr="008B035C" w:rsidR="008B035C">
        <w:rPr>
          <w:rFonts w:ascii="Calibri" w:hAnsi="Calibri" w:cs="Calibri"/>
          <w:b/>
          <w:bCs/>
        </w:rPr>
        <w:t xml:space="preserve">, </w:t>
      </w:r>
      <w:r>
        <w:rPr>
          <w:rFonts w:ascii="Calibri" w:hAnsi="Calibri" w:cs="Calibri"/>
          <w:b/>
          <w:bCs/>
        </w:rPr>
        <w:t xml:space="preserve">and </w:t>
      </w:r>
      <w:r w:rsidR="007A49F3">
        <w:rPr>
          <w:rFonts w:ascii="Calibri" w:hAnsi="Calibri" w:cs="Calibri"/>
          <w:b/>
          <w:bCs/>
        </w:rPr>
        <w:t>chemical oxygen demand (</w:t>
      </w:r>
      <w:r w:rsidRPr="008B035C" w:rsidR="008B035C">
        <w:rPr>
          <w:rFonts w:ascii="Calibri" w:hAnsi="Calibri" w:cs="Calibri"/>
          <w:b/>
          <w:bCs/>
        </w:rPr>
        <w:t>COD</w:t>
      </w:r>
      <w:r w:rsidR="007A49F3">
        <w:rPr>
          <w:rFonts w:ascii="Calibri" w:hAnsi="Calibri" w:cs="Calibri"/>
          <w:b/>
          <w:bCs/>
        </w:rPr>
        <w:t>)</w:t>
      </w:r>
      <w:r w:rsidRPr="008B035C" w:rsidR="008B035C">
        <w:rPr>
          <w:rFonts w:ascii="Calibri" w:hAnsi="Calibri" w:cs="Calibri"/>
          <w:b/>
          <w:bCs/>
        </w:rPr>
        <w:t>:</w:t>
      </w:r>
      <w:r w:rsidR="00B1611D">
        <w:rPr>
          <w:rFonts w:ascii="Calibri" w:hAnsi="Calibri" w:cs="Calibri"/>
          <w:b/>
          <w:bCs/>
        </w:rPr>
        <w:t xml:space="preserve"> </w:t>
      </w:r>
      <w:r w:rsidR="00C64177">
        <w:rPr>
          <w:rFonts w:ascii="Calibri" w:hAnsi="Calibri" w:cs="Calibri"/>
        </w:rPr>
        <w:t xml:space="preserve">The 2021 MSGP </w:t>
      </w:r>
      <w:r w:rsidR="00B1611D">
        <w:rPr>
          <w:rFonts w:ascii="Calibri" w:hAnsi="Calibri" w:cs="Calibri"/>
        </w:rPr>
        <w:t xml:space="preserve">requires </w:t>
      </w:r>
      <w:r w:rsidR="001619D9">
        <w:rPr>
          <w:rFonts w:ascii="Calibri" w:hAnsi="Calibri" w:cs="Calibri"/>
        </w:rPr>
        <w:t>respondents</w:t>
      </w:r>
      <w:r w:rsidR="00B1611D">
        <w:rPr>
          <w:rFonts w:ascii="Calibri" w:hAnsi="Calibri" w:cs="Calibri"/>
        </w:rPr>
        <w:t xml:space="preserve"> in sectors that do not have benchmark monitoring to conduct quarterly indicator monitoring throughout the permit term for three indicator parameters: pH, TSS, and COD. This monitoring would be “report-only” in nature to </w:t>
      </w:r>
      <w:r w:rsidR="005608F9">
        <w:rPr>
          <w:rFonts w:ascii="Calibri" w:hAnsi="Calibri" w:cs="Calibri"/>
        </w:rPr>
        <w:t xml:space="preserve">provide </w:t>
      </w:r>
      <w:r w:rsidR="000D6633">
        <w:rPr>
          <w:rFonts w:ascii="Calibri" w:hAnsi="Calibri" w:cs="Calibri"/>
        </w:rPr>
        <w:t>respondents and EPA with a baseline o</w:t>
      </w:r>
      <w:r w:rsidR="00F16379">
        <w:rPr>
          <w:rFonts w:ascii="Calibri" w:hAnsi="Calibri" w:cs="Calibri"/>
        </w:rPr>
        <w:t>f</w:t>
      </w:r>
      <w:r w:rsidR="009D275D">
        <w:rPr>
          <w:rFonts w:ascii="Calibri" w:hAnsi="Calibri" w:cs="Calibri"/>
        </w:rPr>
        <w:t xml:space="preserve"> industrial stormwater discharge quality, potential water quality problems, and stormwater control </w:t>
      </w:r>
      <w:r w:rsidR="00E36D9F">
        <w:rPr>
          <w:rFonts w:ascii="Calibri" w:hAnsi="Calibri" w:cs="Calibri"/>
        </w:rPr>
        <w:t xml:space="preserve">measure </w:t>
      </w:r>
      <w:r w:rsidR="009D275D">
        <w:rPr>
          <w:rFonts w:ascii="Calibri" w:hAnsi="Calibri" w:cs="Calibri"/>
        </w:rPr>
        <w:t>effectiveness for these operators</w:t>
      </w:r>
      <w:r w:rsidR="00B1611D">
        <w:rPr>
          <w:rFonts w:ascii="Calibri" w:hAnsi="Calibri" w:cs="Calibri"/>
        </w:rPr>
        <w:t>.</w:t>
      </w:r>
    </w:p>
    <w:p w:rsidRPr="009A6076" w:rsidR="008B035C" w:rsidP="008B035C" w:rsidRDefault="00181E63" w14:paraId="6A997103" w14:textId="73CE7339">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b/>
          <w:bCs/>
        </w:rPr>
        <w:t xml:space="preserve">Indicator </w:t>
      </w:r>
      <w:r w:rsidR="000974C7">
        <w:rPr>
          <w:rFonts w:ascii="Calibri" w:hAnsi="Calibri" w:cs="Calibri"/>
          <w:b/>
          <w:bCs/>
        </w:rPr>
        <w:t>m</w:t>
      </w:r>
      <w:r>
        <w:rPr>
          <w:rFonts w:ascii="Calibri" w:hAnsi="Calibri" w:cs="Calibri"/>
          <w:b/>
          <w:bCs/>
        </w:rPr>
        <w:t xml:space="preserve">onitoring for </w:t>
      </w:r>
      <w:r w:rsidR="005268AA">
        <w:rPr>
          <w:rFonts w:ascii="Calibri" w:hAnsi="Calibri" w:cs="Calibri"/>
          <w:b/>
          <w:bCs/>
        </w:rPr>
        <w:t>p</w:t>
      </w:r>
      <w:r w:rsidR="007A49F3">
        <w:rPr>
          <w:rFonts w:ascii="Calibri" w:hAnsi="Calibri" w:cs="Calibri"/>
          <w:b/>
          <w:bCs/>
        </w:rPr>
        <w:t>olycyclic aromatic hydrocarbon</w:t>
      </w:r>
      <w:r w:rsidR="006430E4">
        <w:rPr>
          <w:rFonts w:ascii="Calibri" w:hAnsi="Calibri" w:cs="Calibri"/>
          <w:b/>
          <w:bCs/>
        </w:rPr>
        <w:t>s</w:t>
      </w:r>
      <w:r w:rsidR="007A49F3">
        <w:rPr>
          <w:rFonts w:ascii="Calibri" w:hAnsi="Calibri" w:cs="Calibri"/>
          <w:b/>
          <w:bCs/>
        </w:rPr>
        <w:t xml:space="preserve"> (</w:t>
      </w:r>
      <w:r w:rsidRPr="008B035C" w:rsidR="008B035C">
        <w:rPr>
          <w:rFonts w:ascii="Calibri" w:hAnsi="Calibri" w:cs="Calibri"/>
          <w:b/>
          <w:bCs/>
        </w:rPr>
        <w:t>PAH</w:t>
      </w:r>
      <w:r w:rsidR="006430E4">
        <w:rPr>
          <w:rFonts w:ascii="Calibri" w:hAnsi="Calibri" w:cs="Calibri"/>
          <w:b/>
          <w:bCs/>
        </w:rPr>
        <w:t>s</w:t>
      </w:r>
      <w:r w:rsidR="007A49F3">
        <w:rPr>
          <w:rFonts w:ascii="Calibri" w:hAnsi="Calibri" w:cs="Calibri"/>
          <w:b/>
          <w:bCs/>
        </w:rPr>
        <w:t>)</w:t>
      </w:r>
      <w:r w:rsidRPr="008B035C" w:rsidR="008B035C">
        <w:rPr>
          <w:rFonts w:ascii="Calibri" w:hAnsi="Calibri" w:cs="Calibri"/>
          <w:b/>
          <w:bCs/>
        </w:rPr>
        <w:t>:</w:t>
      </w:r>
      <w:r w:rsidR="008B035C">
        <w:rPr>
          <w:rFonts w:ascii="Calibri" w:hAnsi="Calibri" w:cs="Calibri"/>
        </w:rPr>
        <w:t xml:space="preserve"> </w:t>
      </w:r>
      <w:r w:rsidR="00C64177">
        <w:rPr>
          <w:rFonts w:ascii="Calibri" w:hAnsi="Calibri" w:cs="Calibri"/>
        </w:rPr>
        <w:t>The 2021 MSGP requir</w:t>
      </w:r>
      <w:r w:rsidRPr="001E010D" w:rsidR="008B035C">
        <w:rPr>
          <w:rFonts w:ascii="Calibri" w:hAnsi="Calibri" w:cs="Calibri"/>
        </w:rPr>
        <w:t>es</w:t>
      </w:r>
      <w:r w:rsidR="00C64177">
        <w:rPr>
          <w:rFonts w:ascii="Calibri" w:hAnsi="Calibri" w:cs="Calibri"/>
        </w:rPr>
        <w:t xml:space="preserve"> </w:t>
      </w:r>
      <w:r w:rsidR="001619D9">
        <w:rPr>
          <w:rFonts w:ascii="Calibri" w:hAnsi="Calibri" w:cs="Calibri"/>
        </w:rPr>
        <w:t xml:space="preserve">respondents </w:t>
      </w:r>
      <w:r w:rsidR="006D04EB">
        <w:rPr>
          <w:rFonts w:ascii="Calibri" w:hAnsi="Calibri" w:cs="Calibri"/>
        </w:rPr>
        <w:t xml:space="preserve">in specific </w:t>
      </w:r>
      <w:r w:rsidR="001619D9">
        <w:rPr>
          <w:rFonts w:ascii="Calibri" w:hAnsi="Calibri" w:cs="Calibri"/>
        </w:rPr>
        <w:t>sectors and that conduct certain industrial activities to conduct biannual (twice a year) indicator monitoring for PAH</w:t>
      </w:r>
      <w:r w:rsidR="007A49F3">
        <w:rPr>
          <w:rFonts w:ascii="Calibri" w:hAnsi="Calibri" w:cs="Calibri"/>
        </w:rPr>
        <w:t>s</w:t>
      </w:r>
      <w:r w:rsidR="001619D9">
        <w:rPr>
          <w:rFonts w:ascii="Calibri" w:hAnsi="Calibri" w:cs="Calibri"/>
        </w:rPr>
        <w:t xml:space="preserve"> in </w:t>
      </w:r>
      <w:r w:rsidR="007A49F3">
        <w:rPr>
          <w:rFonts w:ascii="Calibri" w:hAnsi="Calibri" w:cs="Calibri"/>
        </w:rPr>
        <w:t>Y</w:t>
      </w:r>
      <w:r w:rsidR="008B035C">
        <w:rPr>
          <w:rFonts w:ascii="Calibri" w:hAnsi="Calibri" w:cs="Calibri"/>
        </w:rPr>
        <w:t>ears 1 and 4</w:t>
      </w:r>
      <w:r w:rsidRPr="001E010D" w:rsidR="008B035C">
        <w:rPr>
          <w:rFonts w:ascii="Calibri" w:hAnsi="Calibri" w:cs="Calibri"/>
        </w:rPr>
        <w:t xml:space="preserve">. </w:t>
      </w:r>
      <w:r w:rsidRPr="0088582C" w:rsidR="00DE3FDE">
        <w:rPr>
          <w:rFonts w:cstheme="minorHAnsi"/>
        </w:rPr>
        <w:t>It also requires</w:t>
      </w:r>
      <w:r w:rsidRPr="0088582C" w:rsidR="00333EC6">
        <w:rPr>
          <w:rFonts w:cstheme="minorHAnsi"/>
        </w:rPr>
        <w:t xml:space="preserve"> </w:t>
      </w:r>
      <w:r w:rsidRPr="009A6076" w:rsidR="0000652F">
        <w:rPr>
          <w:rFonts w:cstheme="minorHAnsi"/>
        </w:rPr>
        <w:t>respondents</w:t>
      </w:r>
      <w:r w:rsidRPr="00255BD8" w:rsidR="00333EC6">
        <w:rPr>
          <w:rFonts w:eastAsia="Century Gothic" w:cstheme="minorHAnsi"/>
        </w:rPr>
        <w:t xml:space="preserve"> in all sectors with stormwater discharges from paved surfaces that will be initially sealed or re-sealed with coal-tar sealcoat where industrial activities are located during coverage under this permit</w:t>
      </w:r>
      <w:r w:rsidRPr="00255BD8" w:rsidR="00A1512A">
        <w:rPr>
          <w:rFonts w:eastAsia="Century Gothic" w:cstheme="minorHAnsi"/>
        </w:rPr>
        <w:t xml:space="preserve"> to conduct biannual (twice a year) indicator monitoring</w:t>
      </w:r>
      <w:r w:rsidRPr="00255BD8" w:rsidR="00333EC6">
        <w:rPr>
          <w:rFonts w:eastAsia="Century Gothic" w:cstheme="minorHAnsi"/>
        </w:rPr>
        <w:t>.</w:t>
      </w:r>
      <w:r w:rsidRPr="009A6076" w:rsidR="00DE3FDE">
        <w:rPr>
          <w:rFonts w:ascii="Calibri" w:hAnsi="Calibri" w:cs="Calibri"/>
        </w:rPr>
        <w:t xml:space="preserve"> </w:t>
      </w:r>
    </w:p>
    <w:p w:rsidR="001C1355" w:rsidP="001C1355" w:rsidRDefault="008B035C" w14:paraId="7A65544A"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15920">
        <w:rPr>
          <w:rFonts w:ascii="Calibri" w:hAnsi="Calibri" w:cs="Calibri"/>
          <w:b/>
          <w:bCs/>
        </w:rPr>
        <w:t>Impaired waters monitoring:</w:t>
      </w:r>
      <w:r w:rsidRPr="00115920">
        <w:rPr>
          <w:rFonts w:ascii="Calibri" w:hAnsi="Calibri" w:cs="Calibri"/>
        </w:rPr>
        <w:t xml:space="preserve"> </w:t>
      </w:r>
      <w:r w:rsidRPr="00115920" w:rsidR="00115920">
        <w:rPr>
          <w:rFonts w:ascii="Calibri" w:hAnsi="Calibri" w:cs="Calibri"/>
        </w:rPr>
        <w:t xml:space="preserve">For </w:t>
      </w:r>
      <w:r w:rsidR="001619D9">
        <w:rPr>
          <w:rFonts w:ascii="Calibri" w:hAnsi="Calibri" w:cs="Calibri"/>
        </w:rPr>
        <w:t>respondents</w:t>
      </w:r>
      <w:r w:rsidRPr="00115920" w:rsidR="00115920">
        <w:rPr>
          <w:rFonts w:ascii="Calibri" w:hAnsi="Calibri" w:cs="Calibri"/>
        </w:rPr>
        <w:t xml:space="preserve"> who discharge to impaired waters without an EPA-approved or established TMDL, </w:t>
      </w:r>
      <w:r w:rsidR="004F4045">
        <w:rPr>
          <w:rFonts w:ascii="Calibri" w:hAnsi="Calibri" w:cs="Calibri"/>
        </w:rPr>
        <w:t xml:space="preserve">annual </w:t>
      </w:r>
      <w:r w:rsidRPr="00115920" w:rsidR="00115920">
        <w:rPr>
          <w:rFonts w:ascii="Calibri" w:hAnsi="Calibri" w:cs="Calibri"/>
        </w:rPr>
        <w:t xml:space="preserve">monitoring is required for all pollutants causing impairments in the first year of the permit term. If the pollutants are not detected, then monitoring can be discontinued until </w:t>
      </w:r>
      <w:r w:rsidR="00F91824">
        <w:rPr>
          <w:rFonts w:ascii="Calibri" w:hAnsi="Calibri" w:cs="Calibri"/>
        </w:rPr>
        <w:t xml:space="preserve">the fourth year </w:t>
      </w:r>
      <w:r w:rsidRPr="00115920" w:rsidR="00115920">
        <w:rPr>
          <w:rFonts w:ascii="Calibri" w:hAnsi="Calibri" w:cs="Calibri"/>
        </w:rPr>
        <w:t xml:space="preserve">of the permit term. If pollutants are detected, then annual monitoring </w:t>
      </w:r>
      <w:r w:rsidR="00F91824">
        <w:rPr>
          <w:rFonts w:ascii="Calibri" w:hAnsi="Calibri" w:cs="Calibri"/>
        </w:rPr>
        <w:t xml:space="preserve">must </w:t>
      </w:r>
      <w:r w:rsidRPr="00115920" w:rsidR="00115920">
        <w:rPr>
          <w:rFonts w:ascii="Calibri" w:hAnsi="Calibri" w:cs="Calibri"/>
        </w:rPr>
        <w:t xml:space="preserve">continue until </w:t>
      </w:r>
      <w:r w:rsidR="00F91824">
        <w:rPr>
          <w:rFonts w:ascii="Calibri" w:hAnsi="Calibri" w:cs="Calibri"/>
        </w:rPr>
        <w:t xml:space="preserve">pollutants are </w:t>
      </w:r>
      <w:r w:rsidRPr="00115920" w:rsidR="00115920">
        <w:rPr>
          <w:rFonts w:ascii="Calibri" w:hAnsi="Calibri" w:cs="Calibri"/>
        </w:rPr>
        <w:t xml:space="preserve">no longer detected. In the fourth year of permit coverage, </w:t>
      </w:r>
      <w:r w:rsidR="001619D9">
        <w:rPr>
          <w:rFonts w:ascii="Calibri" w:hAnsi="Calibri" w:cs="Calibri"/>
        </w:rPr>
        <w:t>respondents</w:t>
      </w:r>
      <w:r w:rsidRPr="00115920" w:rsidR="00115920">
        <w:rPr>
          <w:rFonts w:ascii="Calibri" w:hAnsi="Calibri" w:cs="Calibri"/>
        </w:rPr>
        <w:t xml:space="preserve"> would </w:t>
      </w:r>
      <w:r w:rsidR="00B312AB">
        <w:rPr>
          <w:rFonts w:ascii="Calibri" w:hAnsi="Calibri" w:cs="Calibri"/>
        </w:rPr>
        <w:t xml:space="preserve">again perform </w:t>
      </w:r>
      <w:r w:rsidRPr="00115920" w:rsidR="00115920">
        <w:rPr>
          <w:rFonts w:ascii="Calibri" w:hAnsi="Calibri" w:cs="Calibri"/>
        </w:rPr>
        <w:t>monitoring for pollutants causing impairments and that are associated with the industrial activity or that are benchmark parameters. If no pollutants are detected</w:t>
      </w:r>
      <w:r w:rsidR="00214193">
        <w:rPr>
          <w:rFonts w:ascii="Calibri" w:hAnsi="Calibri" w:cs="Calibri"/>
        </w:rPr>
        <w:t xml:space="preserve"> in the fourth year</w:t>
      </w:r>
      <w:r w:rsidRPr="00115920" w:rsidR="00115920">
        <w:rPr>
          <w:rFonts w:ascii="Calibri" w:hAnsi="Calibri" w:cs="Calibri"/>
        </w:rPr>
        <w:t>, monitoring can be discontinued for the remainder of the permit term.</w:t>
      </w:r>
    </w:p>
    <w:p w:rsidRPr="001C1355" w:rsidR="00183D75" w:rsidP="001C1355" w:rsidRDefault="00214193" w14:paraId="208EF733" w14:textId="427E17D6">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C1355">
        <w:rPr>
          <w:rFonts w:ascii="Calibri" w:hAnsi="Calibri" w:cs="Calibri"/>
          <w:b/>
          <w:bCs/>
        </w:rPr>
        <w:t xml:space="preserve">Effluent limitations monitoring: </w:t>
      </w:r>
      <w:r w:rsidRPr="001C1355">
        <w:rPr>
          <w:rFonts w:ascii="Calibri" w:hAnsi="Calibri" w:cs="Calibri"/>
        </w:rPr>
        <w:t>E</w:t>
      </w:r>
      <w:r w:rsidRPr="001C1355" w:rsidR="00413F3E">
        <w:rPr>
          <w:rFonts w:ascii="Calibri" w:hAnsi="Calibri" w:cs="Calibri"/>
        </w:rPr>
        <w:t>ffluent limit</w:t>
      </w:r>
      <w:r w:rsidRPr="001C1355">
        <w:rPr>
          <w:rFonts w:ascii="Calibri" w:hAnsi="Calibri" w:cs="Calibri"/>
        </w:rPr>
        <w:t>ations</w:t>
      </w:r>
      <w:r w:rsidRPr="001C1355" w:rsidR="00413F3E">
        <w:rPr>
          <w:rFonts w:ascii="Calibri" w:hAnsi="Calibri" w:cs="Calibri"/>
        </w:rPr>
        <w:t xml:space="preserve"> monitoring applies to a small subset of </w:t>
      </w:r>
      <w:r w:rsidRPr="001C1355" w:rsidR="001619D9">
        <w:rPr>
          <w:rFonts w:ascii="Calibri" w:hAnsi="Calibri" w:cs="Calibri"/>
        </w:rPr>
        <w:t>respondents</w:t>
      </w:r>
      <w:r w:rsidRPr="001C1355" w:rsidR="00413F3E">
        <w:rPr>
          <w:rFonts w:ascii="Calibri" w:hAnsi="Calibri" w:cs="Calibri"/>
        </w:rPr>
        <w:t xml:space="preserve"> that are subject to</w:t>
      </w:r>
      <w:r w:rsidRPr="001C1355" w:rsidR="00785B13">
        <w:rPr>
          <w:rFonts w:ascii="Calibri" w:hAnsi="Calibri" w:cs="Calibri"/>
        </w:rPr>
        <w:t xml:space="preserve"> an effluent limitation guideline. </w:t>
      </w:r>
      <w:r w:rsidRPr="001C1355">
        <w:rPr>
          <w:rFonts w:ascii="Calibri" w:hAnsi="Calibri" w:cs="Calibri"/>
        </w:rPr>
        <w:t>E</w:t>
      </w:r>
      <w:r w:rsidRPr="001C1355" w:rsidR="00785B13">
        <w:rPr>
          <w:rFonts w:ascii="Calibri" w:hAnsi="Calibri" w:cs="Calibri"/>
        </w:rPr>
        <w:t>ffluent limit</w:t>
      </w:r>
      <w:r w:rsidRPr="001C1355">
        <w:rPr>
          <w:rFonts w:ascii="Calibri" w:hAnsi="Calibri" w:cs="Calibri"/>
        </w:rPr>
        <w:t>ations</w:t>
      </w:r>
      <w:r w:rsidRPr="001C1355" w:rsidR="00785B13">
        <w:rPr>
          <w:rFonts w:ascii="Calibri" w:hAnsi="Calibri" w:cs="Calibri"/>
        </w:rPr>
        <w:t xml:space="preserve"> monitoring </w:t>
      </w:r>
      <w:r w:rsidRPr="001C1355">
        <w:rPr>
          <w:rFonts w:ascii="Calibri" w:hAnsi="Calibri" w:cs="Calibri"/>
        </w:rPr>
        <w:t>is required once</w:t>
      </w:r>
      <w:r w:rsidRPr="001C1355" w:rsidR="00785B13">
        <w:rPr>
          <w:rFonts w:ascii="Calibri" w:hAnsi="Calibri" w:cs="Calibri"/>
        </w:rPr>
        <w:t xml:space="preserve"> per year, unless there is an exceedance, in which case follow-up monitoring must be conducted within 30 calendar days</w:t>
      </w:r>
      <w:r w:rsidRPr="001C1355" w:rsidR="005456A9">
        <w:rPr>
          <w:rFonts w:ascii="Calibri" w:hAnsi="Calibri" w:cs="Calibri"/>
        </w:rPr>
        <w:t xml:space="preserve"> and must continue quarterly until the </w:t>
      </w:r>
      <w:r w:rsidRPr="001C1355" w:rsidR="0072200F">
        <w:rPr>
          <w:rFonts w:ascii="Calibri" w:hAnsi="Calibri" w:cs="Calibri"/>
        </w:rPr>
        <w:t xml:space="preserve">discharge is back in compliance with the effluent limitation. </w:t>
      </w:r>
    </w:p>
    <w:p w:rsidRPr="001E010D" w:rsidR="00D37535" w:rsidP="00D37535" w:rsidRDefault="00D37535" w14:paraId="02F09F3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0D5ECB41" w14:textId="54C7024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 xml:space="preserve">No changes </w:t>
      </w:r>
      <w:r w:rsidR="009D3343">
        <w:rPr>
          <w:rFonts w:ascii="Calibri" w:hAnsi="Calibri" w:cs="Calibri"/>
        </w:rPr>
        <w:t>to the collection schedule</w:t>
      </w:r>
      <w:r w:rsidRPr="00825AFC" w:rsidR="00D15596">
        <w:rPr>
          <w:rFonts w:ascii="Calibri" w:hAnsi="Calibri" w:cs="Calibri"/>
        </w:rPr>
        <w:t>]</w:t>
      </w:r>
    </w:p>
    <w:p w:rsidR="000E5923" w:rsidP="00D37535" w:rsidRDefault="000E5923" w14:paraId="12F2619C" w14:textId="32337F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Inspection reports</w:t>
      </w:r>
      <w:r w:rsidRPr="001E010D" w:rsidR="00F01C02">
        <w:rPr>
          <w:rFonts w:ascii="Calibri" w:hAnsi="Calibri" w:cs="Calibri"/>
        </w:rPr>
        <w:t xml:space="preserve"> and quarterly visual assessment documentation</w:t>
      </w:r>
      <w:r w:rsidRPr="001E010D">
        <w:rPr>
          <w:rFonts w:ascii="Calibri" w:hAnsi="Calibri" w:cs="Calibri"/>
        </w:rPr>
        <w:t xml:space="preserve"> must be completed </w:t>
      </w:r>
      <w:r w:rsidRPr="001E010D" w:rsidR="0053306F">
        <w:rPr>
          <w:rFonts w:ascii="Calibri" w:hAnsi="Calibri" w:cs="Calibri"/>
        </w:rPr>
        <w:t xml:space="preserve">once </w:t>
      </w:r>
      <w:r w:rsidRPr="001E010D" w:rsidR="00F01C02">
        <w:rPr>
          <w:rFonts w:ascii="Calibri" w:hAnsi="Calibri" w:cs="Calibri"/>
        </w:rPr>
        <w:t xml:space="preserve">each quarter throughout the permit term. </w:t>
      </w:r>
    </w:p>
    <w:p w:rsidRPr="001E010D" w:rsidR="00D37535" w:rsidP="00D37535" w:rsidRDefault="00D37535" w14:paraId="0687C0A8" w14:textId="7CAA439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5231CE" w:rsidRDefault="00905271" w14:paraId="08A847D8" w14:textId="6A70642C">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lastRenderedPageBreak/>
        <w:t>Corrective Action/</w:t>
      </w:r>
      <w:r w:rsidR="00BC5617">
        <w:rPr>
          <w:rFonts w:ascii="Calibri" w:hAnsi="Calibri" w:cs="Calibri"/>
          <w:b/>
        </w:rPr>
        <w:t>Additional</w:t>
      </w:r>
      <w:r w:rsidRPr="001E010D">
        <w:rPr>
          <w:rFonts w:ascii="Calibri" w:hAnsi="Calibri" w:cs="Calibri"/>
          <w:b/>
        </w:rPr>
        <w:t xml:space="preserve"> Implementation Measure Documentation</w:t>
      </w:r>
      <w:r w:rsidRPr="001E010D" w:rsidR="00CA612E">
        <w:rPr>
          <w:rFonts w:ascii="Calibri" w:hAnsi="Calibri" w:cs="Calibri"/>
          <w:b/>
        </w:rPr>
        <w:t xml:space="preserve"> </w:t>
      </w:r>
      <w:r w:rsidRPr="00825AFC" w:rsidR="00D15596">
        <w:rPr>
          <w:rFonts w:ascii="Calibri" w:hAnsi="Calibri" w:cs="Calibri"/>
        </w:rPr>
        <w:t>[</w:t>
      </w:r>
      <w:r w:rsidR="003B4687">
        <w:rPr>
          <w:rFonts w:ascii="Calibri" w:hAnsi="Calibri" w:cs="Calibri"/>
        </w:rPr>
        <w:t xml:space="preserve">No </w:t>
      </w:r>
      <w:r w:rsidR="00D15596">
        <w:rPr>
          <w:rFonts w:ascii="Calibri" w:hAnsi="Calibri" w:cs="Calibri"/>
        </w:rPr>
        <w:t xml:space="preserve">changes </w:t>
      </w:r>
      <w:r w:rsidR="009D3343">
        <w:rPr>
          <w:rFonts w:ascii="Calibri" w:hAnsi="Calibri" w:cs="Calibri"/>
        </w:rPr>
        <w:t>to the collection schedule</w:t>
      </w:r>
      <w:r w:rsidRPr="00825AFC" w:rsidR="00D15596">
        <w:rPr>
          <w:rFonts w:ascii="Calibri" w:hAnsi="Calibri" w:cs="Calibri"/>
        </w:rPr>
        <w:t>]</w:t>
      </w:r>
    </w:p>
    <w:p w:rsidR="00F01C02" w:rsidP="00D37535" w:rsidRDefault="00F01C02" w14:paraId="7F07CDD8" w14:textId="7DCD1C6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Corrective action/</w:t>
      </w:r>
      <w:r w:rsidR="00C220FC">
        <w:rPr>
          <w:rFonts w:ascii="Calibri" w:hAnsi="Calibri" w:cs="Calibri"/>
        </w:rPr>
        <w:t>AIM</w:t>
      </w:r>
      <w:r w:rsidRPr="001E010D">
        <w:rPr>
          <w:rFonts w:ascii="Calibri" w:hAnsi="Calibri" w:cs="Calibri"/>
        </w:rPr>
        <w:t xml:space="preserve"> documentation requirements are primarily triggered by benchmark monitoring exceedances</w:t>
      </w:r>
      <w:r w:rsidRPr="001E010D" w:rsidR="00FF09B7">
        <w:rPr>
          <w:rFonts w:ascii="Calibri" w:hAnsi="Calibri" w:cs="Calibri"/>
        </w:rPr>
        <w:t xml:space="preserve">; as such there is no set schedule in the permit. </w:t>
      </w:r>
    </w:p>
    <w:p w:rsidRPr="001E010D" w:rsidR="00D37535" w:rsidP="00D37535" w:rsidRDefault="00D37535" w14:paraId="2F95571E" w14:textId="0904802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5231CE" w:rsidRDefault="00CA612E" w14:paraId="3AD8EB08" w14:textId="714372D3">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 xml:space="preserve">No changes </w:t>
      </w:r>
      <w:r w:rsidR="009D3343">
        <w:rPr>
          <w:rFonts w:ascii="Calibri" w:hAnsi="Calibri" w:cs="Calibri"/>
        </w:rPr>
        <w:t>to the collection schedule</w:t>
      </w:r>
      <w:r w:rsidRPr="00825AFC" w:rsidR="00D15596">
        <w:rPr>
          <w:rFonts w:ascii="Calibri" w:hAnsi="Calibri" w:cs="Calibri"/>
        </w:rPr>
        <w:t>]</w:t>
      </w:r>
    </w:p>
    <w:p w:rsidR="00FF09B7" w:rsidP="00D37535" w:rsidRDefault="00FF09B7" w14:paraId="135C713A" w14:textId="6CE803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Annual Reports must be submitted by January 30</w:t>
      </w:r>
      <w:r w:rsidRPr="001E010D">
        <w:rPr>
          <w:rFonts w:ascii="Calibri" w:hAnsi="Calibri" w:cs="Calibri"/>
          <w:vertAlign w:val="superscript"/>
        </w:rPr>
        <w:t>th</w:t>
      </w:r>
      <w:r w:rsidRPr="001E010D">
        <w:rPr>
          <w:rFonts w:ascii="Calibri" w:hAnsi="Calibri" w:cs="Calibri"/>
        </w:rPr>
        <w:t xml:space="preserve"> of each year of permit coverage. </w:t>
      </w:r>
    </w:p>
    <w:p w:rsidRPr="001E010D" w:rsidR="00D37535" w:rsidP="00D37535" w:rsidRDefault="00D37535" w14:paraId="06FD2E20" w14:textId="1BD6688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105C7" w:rsidP="00D37535" w:rsidRDefault="00CA612E" w14:paraId="79E5905F" w14:textId="5E074D2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 Exposure Certifications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 xml:space="preserve">No changes </w:t>
      </w:r>
      <w:r w:rsidR="009D3343">
        <w:rPr>
          <w:rFonts w:ascii="Calibri" w:hAnsi="Calibri" w:cs="Calibri"/>
        </w:rPr>
        <w:t>to the collection schedule</w:t>
      </w:r>
      <w:r w:rsidRPr="00825AFC" w:rsidR="00D15596">
        <w:rPr>
          <w:rFonts w:ascii="Calibri" w:hAnsi="Calibri" w:cs="Calibri"/>
        </w:rPr>
        <w:t>]</w:t>
      </w:r>
    </w:p>
    <w:p w:rsidR="00CA612E" w:rsidP="00D37535" w:rsidRDefault="007105C7" w14:paraId="2EBD6946" w14:textId="5926FA1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No Exposure Certifications must be submitted once every </w:t>
      </w:r>
      <w:r w:rsidR="00C220FC">
        <w:rPr>
          <w:rFonts w:ascii="Calibri" w:hAnsi="Calibri" w:cs="Calibri"/>
        </w:rPr>
        <w:t>5</w:t>
      </w:r>
      <w:r w:rsidRPr="001E010D" w:rsidR="00C220FC">
        <w:rPr>
          <w:rFonts w:ascii="Calibri" w:hAnsi="Calibri" w:cs="Calibri"/>
        </w:rPr>
        <w:t xml:space="preserve"> </w:t>
      </w:r>
      <w:r w:rsidRPr="001E010D">
        <w:rPr>
          <w:rFonts w:ascii="Calibri" w:hAnsi="Calibri" w:cs="Calibri"/>
        </w:rPr>
        <w:t xml:space="preserve">years. </w:t>
      </w:r>
    </w:p>
    <w:p w:rsidRPr="001E010D" w:rsidR="00D37535" w:rsidP="00D37535" w:rsidRDefault="00D37535" w14:paraId="425B5FBF" w14:textId="040A0CC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337C7454" w14:textId="47558EB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8C7673" w:rsidP="0064042D" w:rsidRDefault="002B027D" w14:paraId="457F0714" w14:textId="3DF4CECA">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b/>
        </w:rPr>
        <w:t>Protection of ESA Species and Critical Habitat</w:t>
      </w:r>
      <w:r w:rsidR="00D15596">
        <w:rPr>
          <w:rFonts w:ascii="Calibri" w:hAnsi="Calibri" w:cs="Calibri"/>
          <w:b/>
        </w:rPr>
        <w:t xml:space="preserve"> </w:t>
      </w:r>
      <w:r w:rsidRPr="00825AFC" w:rsidR="00D15596">
        <w:rPr>
          <w:rFonts w:ascii="Calibri" w:hAnsi="Calibri" w:cs="Calibri"/>
        </w:rPr>
        <w:t>[</w:t>
      </w:r>
      <w:r w:rsidR="009D3343">
        <w:rPr>
          <w:rFonts w:ascii="Calibri" w:hAnsi="Calibri" w:cs="Calibri"/>
        </w:rPr>
        <w:t xml:space="preserve">No </w:t>
      </w:r>
      <w:r w:rsidR="00D15596">
        <w:rPr>
          <w:rFonts w:ascii="Calibri" w:hAnsi="Calibri" w:cs="Calibri"/>
        </w:rPr>
        <w:t xml:space="preserve">changes </w:t>
      </w:r>
      <w:r w:rsidR="004D7570">
        <w:rPr>
          <w:rFonts w:ascii="Calibri" w:hAnsi="Calibri" w:cs="Calibri"/>
        </w:rPr>
        <w:t>to the collection schedule</w:t>
      </w:r>
      <w:r w:rsidRPr="00825AFC" w:rsidR="00D15596">
        <w:rPr>
          <w:rFonts w:ascii="Calibri" w:hAnsi="Calibri" w:cs="Calibri"/>
        </w:rPr>
        <w:t>]</w:t>
      </w:r>
    </w:p>
    <w:p w:rsidR="0064042D" w:rsidP="00D37535" w:rsidRDefault="0064042D" w14:paraId="7493F2A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FB141F" w:rsidP="00D37535" w:rsidRDefault="002B027D" w14:paraId="086D4279" w14:textId="7EF0693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Protection of ESA Species and Critical Habitat</w:t>
      </w:r>
      <w:r w:rsidRPr="001E010D" w:rsidR="00FB141F">
        <w:rPr>
          <w:rFonts w:ascii="Calibri" w:hAnsi="Calibri" w:cs="Calibri"/>
        </w:rPr>
        <w:t xml:space="preserve"> documentation is </w:t>
      </w:r>
      <w:r w:rsidRPr="001E010D" w:rsidR="00632C9B">
        <w:rPr>
          <w:rFonts w:ascii="Calibri" w:hAnsi="Calibri" w:cs="Calibri"/>
        </w:rPr>
        <w:t>required in the process of determining permit eligibility</w:t>
      </w:r>
      <w:r w:rsidRPr="001E010D" w:rsidR="00916234">
        <w:rPr>
          <w:rFonts w:ascii="Calibri" w:hAnsi="Calibri" w:cs="Calibri"/>
        </w:rPr>
        <w:t>.</w:t>
      </w:r>
      <w:r w:rsidR="006C09B4">
        <w:rPr>
          <w:rFonts w:ascii="Calibri" w:hAnsi="Calibri" w:cs="Calibri"/>
        </w:rPr>
        <w:t xml:space="preserve"> M</w:t>
      </w:r>
      <w:r w:rsidRPr="001E010D" w:rsidR="00E02405">
        <w:rPr>
          <w:rFonts w:ascii="Calibri" w:hAnsi="Calibri" w:cs="Calibri"/>
        </w:rPr>
        <w:t>ost</w:t>
      </w:r>
      <w:r w:rsidRPr="001E010D" w:rsidR="003F2389">
        <w:rPr>
          <w:rFonts w:ascii="Calibri" w:hAnsi="Calibri" w:cs="Calibri"/>
        </w:rPr>
        <w:t xml:space="preserve"> information collection requirements related to this provision apply to new </w:t>
      </w:r>
      <w:r w:rsidR="001619D9">
        <w:rPr>
          <w:rFonts w:ascii="Calibri" w:hAnsi="Calibri" w:cs="Calibri"/>
        </w:rPr>
        <w:t>respondents</w:t>
      </w:r>
      <w:r w:rsidRPr="001E010D" w:rsidR="00BA301A">
        <w:rPr>
          <w:rFonts w:ascii="Calibri" w:hAnsi="Calibri" w:cs="Calibri"/>
        </w:rPr>
        <w:t xml:space="preserve">, and much of the information required in the eligibility process is also required as part of the SWPPP development. </w:t>
      </w:r>
    </w:p>
    <w:p w:rsidR="008C7673" w:rsidP="00B4140D" w:rsidRDefault="008C7673" w14:paraId="5BFBB0F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B4140D" w:rsidR="00513794" w:rsidP="00D37535" w:rsidRDefault="002B027D" w14:paraId="15CCC546" w14:textId="18D7E07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b/>
        </w:rPr>
        <w:t>Historic Properties Preservation</w:t>
      </w:r>
      <w:r w:rsidR="00D15596">
        <w:rPr>
          <w:rFonts w:ascii="Calibri" w:hAnsi="Calibri" w:cs="Calibri"/>
          <w:b/>
        </w:rPr>
        <w:t xml:space="preserve"> </w:t>
      </w:r>
      <w:r w:rsidRPr="00825AFC" w:rsidR="00D15596">
        <w:rPr>
          <w:rFonts w:ascii="Calibri" w:hAnsi="Calibri" w:cs="Calibri"/>
        </w:rPr>
        <w:t>[</w:t>
      </w:r>
      <w:r w:rsidR="009D3343">
        <w:rPr>
          <w:rFonts w:ascii="Calibri" w:hAnsi="Calibri" w:cs="Calibri"/>
        </w:rPr>
        <w:t xml:space="preserve">No </w:t>
      </w:r>
      <w:r w:rsidR="00D15596">
        <w:rPr>
          <w:rFonts w:ascii="Calibri" w:hAnsi="Calibri" w:cs="Calibri"/>
        </w:rPr>
        <w:t xml:space="preserve">changes </w:t>
      </w:r>
      <w:r w:rsidR="004D7570">
        <w:rPr>
          <w:rFonts w:ascii="Calibri" w:hAnsi="Calibri" w:cs="Calibri"/>
        </w:rPr>
        <w:t>to the collection schedule</w:t>
      </w:r>
      <w:r w:rsidRPr="00825AFC" w:rsidR="00D15596">
        <w:rPr>
          <w:rFonts w:ascii="Calibri" w:hAnsi="Calibri" w:cs="Calibri"/>
        </w:rPr>
        <w:t>]</w:t>
      </w:r>
    </w:p>
    <w:p w:rsidRPr="001E010D" w:rsidR="008C7673" w:rsidP="00B4140D" w:rsidRDefault="008C7673" w14:paraId="397E5EF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1E010D" w:rsidR="00513794" w:rsidP="00D37535" w:rsidRDefault="00513794" w14:paraId="613F960D" w14:textId="49EC513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r w:rsidRPr="001E010D">
        <w:rPr>
          <w:rFonts w:ascii="Calibri" w:hAnsi="Calibri" w:cs="Calibri"/>
        </w:rPr>
        <w:t xml:space="preserve">Historic properties documentation is required in the process of determining permit eligibility. </w:t>
      </w:r>
      <w:r w:rsidR="00C220FC">
        <w:rPr>
          <w:rFonts w:ascii="Calibri" w:hAnsi="Calibri" w:cs="Calibri"/>
        </w:rPr>
        <w:t>I</w:t>
      </w:r>
      <w:r w:rsidRPr="001E010D">
        <w:rPr>
          <w:rFonts w:ascii="Calibri" w:hAnsi="Calibri" w:cs="Calibri"/>
        </w:rPr>
        <w:t xml:space="preserve">nformation collection requirements related to this provision apply to new </w:t>
      </w:r>
      <w:r w:rsidR="001619D9">
        <w:rPr>
          <w:rFonts w:ascii="Calibri" w:hAnsi="Calibri" w:cs="Calibri"/>
        </w:rPr>
        <w:t>respondents</w:t>
      </w:r>
      <w:r w:rsidR="00C220FC">
        <w:rPr>
          <w:rFonts w:ascii="Calibri" w:hAnsi="Calibri" w:cs="Calibri"/>
        </w:rPr>
        <w:t>.</w:t>
      </w:r>
      <w:r w:rsidRPr="001E010D">
        <w:rPr>
          <w:rFonts w:ascii="Calibri" w:hAnsi="Calibri" w:cs="Calibri"/>
        </w:rPr>
        <w:t xml:space="preserve"> </w:t>
      </w:r>
      <w:r w:rsidR="00C220FC">
        <w:rPr>
          <w:rFonts w:ascii="Calibri" w:hAnsi="Calibri" w:cs="Calibri"/>
        </w:rPr>
        <w:t>O</w:t>
      </w:r>
      <w:r w:rsidRPr="001E010D">
        <w:rPr>
          <w:rFonts w:ascii="Calibri" w:hAnsi="Calibri" w:cs="Calibri"/>
        </w:rPr>
        <w:t xml:space="preserve">nce </w:t>
      </w:r>
      <w:r w:rsidR="00C220FC">
        <w:rPr>
          <w:rFonts w:ascii="Calibri" w:hAnsi="Calibri" w:cs="Calibri"/>
        </w:rPr>
        <w:t>an operator</w:t>
      </w:r>
      <w:r w:rsidRPr="001E010D">
        <w:rPr>
          <w:rFonts w:ascii="Calibri" w:hAnsi="Calibri" w:cs="Calibri"/>
        </w:rPr>
        <w:t xml:space="preserve"> has been deemed eligible with regard to this provision, under subsequent permit reissuances no further documentation is needed unless there have been changes that could impact eligibility. </w:t>
      </w:r>
    </w:p>
    <w:p w:rsidR="008C7673" w:rsidP="00B4140D" w:rsidRDefault="008C7673" w14:paraId="49349E5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B4140D" w:rsidR="00C459CC" w:rsidP="00D37535" w:rsidRDefault="00FF09B7" w14:paraId="2946EC19" w14:textId="59460C61">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New Discharges and New Sources to Water Quality-Impaired Waters </w:t>
      </w:r>
      <w:r w:rsidRPr="00825AFC" w:rsidR="00D15596">
        <w:rPr>
          <w:rFonts w:ascii="Calibri" w:hAnsi="Calibri" w:cs="Calibri"/>
        </w:rPr>
        <w:t>[</w:t>
      </w:r>
      <w:r w:rsidR="009D3343">
        <w:rPr>
          <w:rFonts w:ascii="Calibri" w:hAnsi="Calibri" w:cs="Calibri"/>
        </w:rPr>
        <w:t xml:space="preserve">No </w:t>
      </w:r>
      <w:r w:rsidR="00D15596">
        <w:rPr>
          <w:rFonts w:ascii="Calibri" w:hAnsi="Calibri" w:cs="Calibri"/>
        </w:rPr>
        <w:t xml:space="preserve">changes </w:t>
      </w:r>
      <w:r w:rsidR="004D7570">
        <w:rPr>
          <w:rFonts w:ascii="Calibri" w:hAnsi="Calibri" w:cs="Calibri"/>
        </w:rPr>
        <w:t>to the collection schedule</w:t>
      </w:r>
      <w:r w:rsidRPr="00825AFC" w:rsidR="00D15596">
        <w:rPr>
          <w:rFonts w:ascii="Calibri" w:hAnsi="Calibri" w:cs="Calibri"/>
        </w:rPr>
        <w:t>]</w:t>
      </w:r>
    </w:p>
    <w:p w:rsidRPr="001E010D" w:rsidR="008C7673" w:rsidP="00B4140D" w:rsidRDefault="008C7673" w14:paraId="5EC4FC4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1E010D" w:rsidR="00C02A23" w:rsidP="00D37535" w:rsidRDefault="00C02A23" w14:paraId="585904D3" w14:textId="6F55C7D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Documentation required for new discharges and new sources to water quality-impaired waters is only required once</w:t>
      </w:r>
      <w:r w:rsidRPr="001E010D" w:rsidR="00A95440">
        <w:rPr>
          <w:rFonts w:ascii="Calibri" w:hAnsi="Calibri" w:cs="Calibri"/>
        </w:rPr>
        <w:t xml:space="preserve">. Once </w:t>
      </w:r>
      <w:r w:rsidR="00C220FC">
        <w:rPr>
          <w:rFonts w:ascii="Calibri" w:hAnsi="Calibri" w:cs="Calibri"/>
        </w:rPr>
        <w:t>an operator</w:t>
      </w:r>
      <w:r w:rsidRPr="001E010D" w:rsidR="00A95440">
        <w:rPr>
          <w:rFonts w:ascii="Calibri" w:hAnsi="Calibri" w:cs="Calibri"/>
        </w:rPr>
        <w:t xml:space="preserve"> is an existing discharger, these documentation requirements no longer apply.</w:t>
      </w:r>
    </w:p>
    <w:p w:rsidR="00BA2DCE" w:rsidP="00B4140D" w:rsidRDefault="00BA2DCE" w14:paraId="0D6EB9B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B4140D" w:rsidR="00C459CC" w:rsidP="00D37535" w:rsidRDefault="00FF09B7" w14:paraId="1125C4DA" w14:textId="32F67A83">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D15596">
        <w:rPr>
          <w:rFonts w:ascii="Calibri" w:hAnsi="Calibri" w:cs="Calibri"/>
          <w:b/>
        </w:rPr>
        <w:t xml:space="preserve"> </w:t>
      </w:r>
      <w:r w:rsidRPr="00825AFC" w:rsidR="00D15596">
        <w:rPr>
          <w:rFonts w:ascii="Calibri" w:hAnsi="Calibri" w:cs="Calibri"/>
        </w:rPr>
        <w:t>[</w:t>
      </w:r>
      <w:r w:rsidR="007D6DD7">
        <w:rPr>
          <w:rFonts w:ascii="Calibri" w:hAnsi="Calibri" w:cs="Calibri"/>
        </w:rPr>
        <w:t xml:space="preserve">No </w:t>
      </w:r>
      <w:r w:rsidR="00D15596">
        <w:rPr>
          <w:rFonts w:ascii="Calibri" w:hAnsi="Calibri" w:cs="Calibri"/>
        </w:rPr>
        <w:t xml:space="preserve">changes </w:t>
      </w:r>
      <w:r w:rsidR="004D7570">
        <w:rPr>
          <w:rFonts w:ascii="Calibri" w:hAnsi="Calibri" w:cs="Calibri"/>
        </w:rPr>
        <w:t>to the collection schedule</w:t>
      </w:r>
      <w:r w:rsidRPr="00825AFC" w:rsidR="00D15596">
        <w:rPr>
          <w:rFonts w:ascii="Calibri" w:hAnsi="Calibri" w:cs="Calibri"/>
        </w:rPr>
        <w:t>]</w:t>
      </w:r>
    </w:p>
    <w:p w:rsidRPr="001E010D" w:rsidR="00BA2DCE" w:rsidP="00B4140D" w:rsidRDefault="00BA2DCE" w14:paraId="5225D07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00A95440" w:rsidP="00D37535" w:rsidRDefault="001619D9" w14:paraId="2911EFE0" w14:textId="34C6BAD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Respondents</w:t>
      </w:r>
      <w:r w:rsidRPr="001E010D" w:rsidR="00B33933">
        <w:rPr>
          <w:rFonts w:ascii="Calibri" w:hAnsi="Calibri" w:cs="Calibri"/>
        </w:rPr>
        <w:t xml:space="preserve"> </w:t>
      </w:r>
      <w:r w:rsidR="00145B99">
        <w:rPr>
          <w:rFonts w:ascii="Calibri" w:hAnsi="Calibri" w:cs="Calibri"/>
        </w:rPr>
        <w:t xml:space="preserve">in Region 10 </w:t>
      </w:r>
      <w:r w:rsidRPr="001E010D" w:rsidR="00B33933">
        <w:rPr>
          <w:rFonts w:ascii="Calibri" w:hAnsi="Calibri" w:cs="Calibri"/>
        </w:rPr>
        <w:t xml:space="preserve">that are subject to the Federal CERCLA Site eligibility provisions are only required to contact </w:t>
      </w:r>
      <w:r w:rsidRPr="001E010D" w:rsidDel="00F414E5" w:rsidR="00B33933">
        <w:rPr>
          <w:rFonts w:ascii="Calibri" w:hAnsi="Calibri" w:cs="Calibri"/>
        </w:rPr>
        <w:t>the EPA</w:t>
      </w:r>
      <w:r w:rsidRPr="001E010D" w:rsidR="00B33933">
        <w:rPr>
          <w:rFonts w:ascii="Calibri" w:hAnsi="Calibri" w:cs="Calibri"/>
        </w:rPr>
        <w:t xml:space="preserve"> Regional Office once prior to submitting the NOI for permit coverage. </w:t>
      </w:r>
    </w:p>
    <w:p w:rsidRPr="001E010D" w:rsidR="00BA2DCE" w:rsidP="00D37535" w:rsidRDefault="00BA2DCE" w14:paraId="4AE35BB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614651" w:rsidR="00FF09B7" w:rsidP="00D37535" w:rsidRDefault="00FF09B7" w14:paraId="3E42DF06" w14:textId="2271795C">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changes to the</w:t>
      </w:r>
      <w:r w:rsidR="004D7570">
        <w:rPr>
          <w:rFonts w:ascii="Calibri" w:hAnsi="Calibri" w:cs="Calibri"/>
        </w:rPr>
        <w:t xml:space="preserve"> </w:t>
      </w:r>
      <w:r w:rsidR="00DE2879">
        <w:rPr>
          <w:rFonts w:ascii="Calibri" w:hAnsi="Calibri" w:cs="Calibri"/>
        </w:rPr>
        <w:t>collection schedule</w:t>
      </w:r>
      <w:r w:rsidRPr="00825AFC" w:rsidR="00D15596">
        <w:rPr>
          <w:rFonts w:ascii="Calibri" w:hAnsi="Calibri" w:cs="Calibri"/>
        </w:rPr>
        <w:t>]</w:t>
      </w:r>
    </w:p>
    <w:p w:rsidRPr="001E010D" w:rsidR="00BA2DCE" w:rsidP="00614651" w:rsidRDefault="00BA2DCE" w14:paraId="3920901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1E010D" w:rsidR="008E4FF8" w:rsidP="00D37535" w:rsidRDefault="008E4FF8" w14:paraId="14CC5913" w14:textId="025D20C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Numeric effluent limitation exceedance report requireme</w:t>
      </w:r>
      <w:r w:rsidRPr="001E010D" w:rsidR="009514A3">
        <w:rPr>
          <w:rFonts w:ascii="Calibri" w:hAnsi="Calibri" w:cs="Calibri"/>
        </w:rPr>
        <w:t>nts are triggered by exceedances; as such</w:t>
      </w:r>
      <w:r w:rsidR="00C220FC">
        <w:rPr>
          <w:rFonts w:ascii="Calibri" w:hAnsi="Calibri" w:cs="Calibri"/>
        </w:rPr>
        <w:t>,</w:t>
      </w:r>
      <w:r w:rsidRPr="001E010D" w:rsidR="009514A3">
        <w:rPr>
          <w:rFonts w:ascii="Calibri" w:hAnsi="Calibri" w:cs="Calibri"/>
        </w:rPr>
        <w:t xml:space="preserve"> there is no set schedule in the permit. </w:t>
      </w:r>
    </w:p>
    <w:p w:rsidR="00BA2DCE" w:rsidP="00614651" w:rsidRDefault="00BA2DCE" w14:paraId="2CD3423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614651" w:rsidR="009514A3" w:rsidP="00D37535" w:rsidRDefault="009514A3" w14:paraId="4B8DF809" w14:textId="75A8BCB2">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Additional Reporting </w:t>
      </w:r>
      <w:r w:rsidRPr="00825AFC" w:rsidR="00D15596">
        <w:rPr>
          <w:rFonts w:ascii="Calibri" w:hAnsi="Calibri" w:cs="Calibri"/>
        </w:rPr>
        <w:t>[</w:t>
      </w:r>
      <w:r w:rsidR="00D15596">
        <w:rPr>
          <w:rFonts w:ascii="Calibri" w:hAnsi="Calibri" w:cs="Calibri"/>
        </w:rPr>
        <w:t xml:space="preserve">No changes to the </w:t>
      </w:r>
      <w:r w:rsidR="009B2E7E">
        <w:rPr>
          <w:rFonts w:ascii="Calibri" w:hAnsi="Calibri" w:cs="Calibri"/>
        </w:rPr>
        <w:t>c</w:t>
      </w:r>
      <w:r w:rsidR="00DE2879">
        <w:rPr>
          <w:rFonts w:ascii="Calibri" w:hAnsi="Calibri" w:cs="Calibri"/>
        </w:rPr>
        <w:t>ollection schedule</w:t>
      </w:r>
      <w:r w:rsidRPr="00825AFC" w:rsidR="00D15596">
        <w:rPr>
          <w:rFonts w:ascii="Calibri" w:hAnsi="Calibri" w:cs="Calibri"/>
        </w:rPr>
        <w:t>]</w:t>
      </w:r>
    </w:p>
    <w:p w:rsidRPr="001E010D" w:rsidR="00BA2DCE" w:rsidP="00614651" w:rsidRDefault="00BA2DCE" w14:paraId="12D614E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p>
    <w:p w:rsidRPr="001E010D" w:rsidR="0075652F" w:rsidP="00D37535" w:rsidRDefault="009514A3" w14:paraId="390A490D" w14:textId="0781412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The</w:t>
      </w:r>
      <w:r w:rsidRPr="001E010D" w:rsidR="00573E0D">
        <w:rPr>
          <w:rFonts w:ascii="Calibri" w:hAnsi="Calibri" w:cs="Calibri"/>
        </w:rPr>
        <w:t xml:space="preserve"> additional reporting requirements that are based on </w:t>
      </w:r>
      <w:r w:rsidRPr="001E010D">
        <w:rPr>
          <w:rFonts w:ascii="Calibri" w:hAnsi="Calibri" w:cs="Calibri"/>
        </w:rPr>
        <w:t xml:space="preserve">the Standard NPDES Permit Conditions </w:t>
      </w:r>
      <w:r w:rsidRPr="001E010D" w:rsidR="00573E0D">
        <w:rPr>
          <w:rFonts w:ascii="Calibri" w:hAnsi="Calibri" w:cs="Calibri"/>
        </w:rPr>
        <w:t xml:space="preserve">are triggered </w:t>
      </w:r>
      <w:r w:rsidRPr="001E010D" w:rsidR="000A4093">
        <w:rPr>
          <w:rFonts w:ascii="Calibri" w:hAnsi="Calibri" w:cs="Calibri"/>
        </w:rPr>
        <w:t>based on specific events and actions</w:t>
      </w:r>
      <w:r w:rsidRPr="001E010D" w:rsidR="00606961">
        <w:rPr>
          <w:rFonts w:ascii="Calibri" w:hAnsi="Calibri" w:cs="Calibri"/>
        </w:rPr>
        <w:t xml:space="preserve"> that cannot be anticipated</w:t>
      </w:r>
      <w:r w:rsidRPr="001E010D" w:rsidR="000A4093">
        <w:rPr>
          <w:rFonts w:ascii="Calibri" w:hAnsi="Calibri" w:cs="Calibri"/>
        </w:rPr>
        <w:t xml:space="preserve">; as such, there is no set schedule in the permit. </w:t>
      </w:r>
    </w:p>
    <w:p w:rsidRPr="004730CD" w:rsidR="00630AFF" w:rsidP="00D37535" w:rsidRDefault="00E141D4" w14:paraId="4E18BE32" w14:textId="1BD82D83">
      <w:pPr>
        <w:pStyle w:val="Heading1"/>
        <w:spacing w:before="0" w:after="100" w:afterAutospacing="1" w:line="240" w:lineRule="auto"/>
        <w:contextualSpacing/>
      </w:pPr>
      <w:bookmarkStart w:name="_Toc24963882" w:id="24"/>
      <w:r w:rsidRPr="001E010D">
        <w:t>Estimating Burden and Cost</w:t>
      </w:r>
      <w:bookmarkEnd w:id="24"/>
    </w:p>
    <w:p w:rsidR="00E141D4" w:rsidP="00D37535" w:rsidRDefault="00E141D4" w14:paraId="7389252B" w14:textId="4F05832F">
      <w:pPr>
        <w:pStyle w:val="Style1"/>
        <w:spacing w:before="0" w:after="100" w:afterAutospacing="1" w:line="240" w:lineRule="auto"/>
        <w:contextualSpacing/>
      </w:pPr>
      <w:bookmarkStart w:name="_Toc24963883" w:id="25"/>
      <w:r w:rsidRPr="001E010D">
        <w:t>Estimating Respondent Burden</w:t>
      </w:r>
      <w:bookmarkEnd w:id="25"/>
    </w:p>
    <w:p w:rsidRPr="00AB7EE1" w:rsidR="00AB7EE1" w:rsidP="00D37535" w:rsidRDefault="00AB7EE1" w14:paraId="28BE5307" w14:textId="705ECBF3">
      <w:pPr>
        <w:spacing w:after="100" w:afterAutospacing="1" w:line="240" w:lineRule="auto"/>
        <w:contextualSpacing/>
        <w:rPr>
          <w:rFonts w:ascii="Calibri" w:hAnsi="Calibri" w:cs="Calibri"/>
          <w:bCs/>
        </w:rPr>
      </w:pPr>
      <w:r>
        <w:rPr>
          <w:rFonts w:ascii="Calibri" w:hAnsi="Calibri" w:cs="Calibri"/>
          <w:bCs/>
        </w:rPr>
        <w:t xml:space="preserve">The burdens and costs of the 2015 MSGP were accounted for in the NPDES Programmatic ICR, which was renewed in 2017 </w:t>
      </w:r>
      <w:r>
        <w:t xml:space="preserve">(EPA ICR No. 0229.23, OMB Control No. 2040–0004). </w:t>
      </w:r>
      <w:r>
        <w:rPr>
          <w:rFonts w:ascii="Calibri" w:hAnsi="Calibri" w:cs="Calibri"/>
          <w:bCs/>
        </w:rPr>
        <w:t>As part of this supporting statement, EPA has reviewed and where appropriate, revised the estimated burden for each information request in the 2021 MSGP. Revisions were made to either improve the accuracy of the estimated burden or to reflect changes in the requirements of the MSGP.</w:t>
      </w:r>
    </w:p>
    <w:p w:rsidR="00AB7EE1" w:rsidP="00D37535" w:rsidRDefault="00AB7EE1" w14:paraId="6CB49DC3" w14:textId="77777777">
      <w:pPr>
        <w:spacing w:after="100" w:afterAutospacing="1" w:line="240" w:lineRule="auto"/>
        <w:contextualSpacing/>
        <w:rPr>
          <w:rFonts w:ascii="Calibri" w:hAnsi="Calibri" w:cs="Calibri"/>
          <w:b/>
        </w:rPr>
      </w:pPr>
    </w:p>
    <w:p w:rsidR="00986A1A" w:rsidP="00D37535" w:rsidRDefault="00986A1A" w14:paraId="22820EAD" w14:textId="77777777">
      <w:pPr>
        <w:spacing w:after="100" w:afterAutospacing="1" w:line="240" w:lineRule="auto"/>
        <w:contextualSpacing/>
        <w:rPr>
          <w:rFonts w:ascii="Calibri" w:hAnsi="Calibri" w:cs="Calibri"/>
          <w:b/>
        </w:rPr>
      </w:pPr>
      <w:r w:rsidRPr="008907FC">
        <w:rPr>
          <w:rFonts w:ascii="Calibri" w:hAnsi="Calibri" w:cs="Calibri"/>
          <w:b/>
        </w:rPr>
        <w:t>Key Assumptions</w:t>
      </w:r>
      <w:r>
        <w:rPr>
          <w:rFonts w:ascii="Calibri" w:hAnsi="Calibri" w:cs="Calibri"/>
          <w:b/>
        </w:rPr>
        <w:t>:</w:t>
      </w:r>
    </w:p>
    <w:p w:rsidR="00986A1A" w:rsidP="00D37535" w:rsidRDefault="00986A1A" w14:paraId="43B0302D" w14:textId="2FA8069D">
      <w:pPr>
        <w:pStyle w:val="paragraph"/>
        <w:spacing w:before="0" w:beforeAutospacing="0"/>
        <w:contextualSpacing/>
        <w:textAlignment w:val="baseline"/>
        <w:rPr>
          <w:rStyle w:val="eop"/>
          <w:rFonts w:ascii="Calibri" w:hAnsi="Calibri" w:cs="Calibri"/>
          <w:sz w:val="22"/>
          <w:szCs w:val="22"/>
        </w:rPr>
      </w:pPr>
      <w:r>
        <w:rPr>
          <w:rStyle w:val="normaltextrun"/>
          <w:rFonts w:ascii="Calibri" w:hAnsi="Calibri" w:cs="Calibri"/>
          <w:b/>
          <w:bCs/>
          <w:sz w:val="22"/>
          <w:szCs w:val="22"/>
        </w:rPr>
        <w:t xml:space="preserve">Not all requirements apply to all </w:t>
      </w:r>
      <w:r w:rsidR="001619D9">
        <w:rPr>
          <w:rStyle w:val="normaltextrun"/>
          <w:rFonts w:ascii="Calibri" w:hAnsi="Calibri" w:cs="Calibri"/>
          <w:b/>
          <w:bCs/>
          <w:sz w:val="22"/>
          <w:szCs w:val="22"/>
        </w:rPr>
        <w:t>respondents</w:t>
      </w:r>
      <w:r>
        <w:rPr>
          <w:rStyle w:val="normaltextrun"/>
          <w:rFonts w:ascii="Calibri" w:hAnsi="Calibri" w:cs="Calibri"/>
          <w:b/>
          <w:bCs/>
          <w:sz w:val="22"/>
          <w:szCs w:val="22"/>
        </w:rPr>
        <w:t> all of the time.</w:t>
      </w:r>
      <w:r>
        <w:rPr>
          <w:rStyle w:val="normaltextrun"/>
          <w:rFonts w:ascii="Calibri" w:hAnsi="Calibri" w:cs="Calibri"/>
          <w:sz w:val="22"/>
          <w:szCs w:val="22"/>
        </w:rPr>
        <w:t> For example, certain sectors will have three applicable monitoring requirements (i.e., benchmark monitoring, impaired waters monitoring, and effluent limitation</w:t>
      </w:r>
      <w:r w:rsidR="006C6326">
        <w:rPr>
          <w:rStyle w:val="normaltextrun"/>
          <w:rFonts w:ascii="Calibri" w:hAnsi="Calibri" w:cs="Calibri"/>
          <w:sz w:val="22"/>
          <w:szCs w:val="22"/>
        </w:rPr>
        <w:t>s</w:t>
      </w:r>
      <w:r>
        <w:rPr>
          <w:rStyle w:val="normaltextrun"/>
          <w:rFonts w:ascii="Calibri" w:hAnsi="Calibri" w:cs="Calibri"/>
          <w:sz w:val="22"/>
          <w:szCs w:val="22"/>
        </w:rPr>
        <w:t xml:space="preserve"> monitoring), while others may only have </w:t>
      </w:r>
      <w:r w:rsidR="00A92996">
        <w:rPr>
          <w:rStyle w:val="normaltextrun"/>
          <w:rFonts w:ascii="Calibri" w:hAnsi="Calibri" w:cs="Calibri"/>
          <w:sz w:val="22"/>
          <w:szCs w:val="22"/>
        </w:rPr>
        <w:t xml:space="preserve">indicator </w:t>
      </w:r>
      <w:r>
        <w:rPr>
          <w:rStyle w:val="normaltextrun"/>
          <w:rFonts w:ascii="Calibri" w:hAnsi="Calibri" w:cs="Calibri"/>
          <w:sz w:val="22"/>
          <w:szCs w:val="22"/>
        </w:rPr>
        <w:t xml:space="preserve">monitoring. These nuances for each </w:t>
      </w:r>
      <w:r w:rsidR="00912895">
        <w:rPr>
          <w:rStyle w:val="normaltextrun"/>
          <w:rFonts w:ascii="Calibri" w:hAnsi="Calibri" w:cs="Calibri"/>
          <w:sz w:val="22"/>
          <w:szCs w:val="22"/>
        </w:rPr>
        <w:t>2021 MSGP</w:t>
      </w:r>
      <w:r>
        <w:rPr>
          <w:rStyle w:val="normaltextrun"/>
          <w:rFonts w:ascii="Calibri" w:hAnsi="Calibri" w:cs="Calibri"/>
          <w:sz w:val="22"/>
          <w:szCs w:val="22"/>
        </w:rPr>
        <w:t xml:space="preserve"> requirement are not necessarily clear in an average information collection burden cost estimate.</w:t>
      </w:r>
      <w:r>
        <w:rPr>
          <w:rStyle w:val="eop"/>
          <w:rFonts w:ascii="Calibri" w:hAnsi="Calibri" w:cs="Calibri"/>
          <w:sz w:val="22"/>
          <w:szCs w:val="22"/>
        </w:rPr>
        <w:t> </w:t>
      </w:r>
    </w:p>
    <w:p w:rsidR="00D37535" w:rsidP="00D37535" w:rsidRDefault="00D37535" w14:paraId="0D323D24" w14:textId="77777777">
      <w:pPr>
        <w:pStyle w:val="paragraph"/>
        <w:spacing w:before="0" w:beforeAutospacing="0"/>
        <w:contextualSpacing/>
        <w:textAlignment w:val="baseline"/>
        <w:rPr>
          <w:rFonts w:ascii="Calibri" w:hAnsi="Calibri" w:cs="Calibri"/>
          <w:sz w:val="22"/>
          <w:szCs w:val="22"/>
        </w:rPr>
      </w:pPr>
    </w:p>
    <w:p w:rsidR="00986A1A" w:rsidP="00D37535" w:rsidRDefault="00986A1A" w14:paraId="627C6BA0" w14:textId="6F7D6245">
      <w:pPr>
        <w:pStyle w:val="paragraph"/>
        <w:spacing w:before="0" w:beforeAutospacing="0"/>
        <w:contextualSpacing/>
        <w:textAlignment w:val="baseline"/>
        <w:rPr>
          <w:rFonts w:ascii="Calibri" w:hAnsi="Calibri" w:cs="Calibri"/>
          <w:sz w:val="22"/>
          <w:szCs w:val="22"/>
        </w:rPr>
      </w:pPr>
      <w:r>
        <w:rPr>
          <w:rStyle w:val="normaltextrun"/>
          <w:rFonts w:ascii="Calibri" w:hAnsi="Calibri" w:cs="Calibri"/>
          <w:b/>
          <w:bCs/>
          <w:sz w:val="22"/>
          <w:szCs w:val="22"/>
        </w:rPr>
        <w:t xml:space="preserve">The number of </w:t>
      </w:r>
      <w:r w:rsidR="001A1170">
        <w:rPr>
          <w:rStyle w:val="normaltextrun"/>
          <w:rFonts w:ascii="Calibri" w:hAnsi="Calibri" w:cs="Calibri"/>
          <w:b/>
          <w:bCs/>
          <w:sz w:val="22"/>
          <w:szCs w:val="22"/>
        </w:rPr>
        <w:t xml:space="preserve">discharge points </w:t>
      </w:r>
      <w:r>
        <w:rPr>
          <w:rStyle w:val="normaltextrun"/>
          <w:rFonts w:ascii="Calibri" w:hAnsi="Calibri" w:cs="Calibri"/>
          <w:b/>
          <w:bCs/>
          <w:sz w:val="22"/>
          <w:szCs w:val="22"/>
        </w:rPr>
        <w:t xml:space="preserve">and pollutants varies greatly between </w:t>
      </w:r>
      <w:r w:rsidR="001619D9">
        <w:rPr>
          <w:rStyle w:val="normaltextrun"/>
          <w:rFonts w:ascii="Calibri" w:hAnsi="Calibri" w:cs="Calibri"/>
          <w:b/>
          <w:bCs/>
          <w:sz w:val="22"/>
          <w:szCs w:val="22"/>
        </w:rPr>
        <w:t>respondents</w:t>
      </w:r>
      <w:r>
        <w:rPr>
          <w:rStyle w:val="normaltextrun"/>
          <w:rFonts w:ascii="Calibri" w:hAnsi="Calibri" w:cs="Calibri"/>
          <w:b/>
          <w:bCs/>
          <w:sz w:val="22"/>
          <w:szCs w:val="22"/>
        </w:rPr>
        <w:t>.</w:t>
      </w:r>
      <w:r>
        <w:rPr>
          <w:rStyle w:val="normaltextrun"/>
          <w:rFonts w:ascii="Calibri" w:hAnsi="Calibri" w:cs="Calibri"/>
          <w:sz w:val="22"/>
          <w:szCs w:val="22"/>
        </w:rPr>
        <w:t> EPA assumes an average of 2.</w:t>
      </w:r>
      <w:r w:rsidR="00F4394A">
        <w:rPr>
          <w:rStyle w:val="normaltextrun"/>
          <w:rFonts w:ascii="Calibri" w:hAnsi="Calibri" w:cs="Calibri"/>
          <w:sz w:val="22"/>
          <w:szCs w:val="22"/>
        </w:rPr>
        <w:t>0</w:t>
      </w:r>
      <w:r>
        <w:rPr>
          <w:rStyle w:val="normaltextrun"/>
          <w:rFonts w:ascii="Calibri" w:hAnsi="Calibri" w:cs="Calibri"/>
          <w:sz w:val="22"/>
          <w:szCs w:val="22"/>
        </w:rPr>
        <w:t xml:space="preserve">4 </w:t>
      </w:r>
      <w:r w:rsidR="000B2705">
        <w:rPr>
          <w:rStyle w:val="normaltextrun"/>
          <w:rFonts w:ascii="Calibri" w:hAnsi="Calibri" w:cs="Calibri"/>
          <w:sz w:val="22"/>
          <w:szCs w:val="22"/>
        </w:rPr>
        <w:t xml:space="preserve">discharge points </w:t>
      </w:r>
      <w:r>
        <w:rPr>
          <w:rStyle w:val="normaltextrun"/>
          <w:rFonts w:ascii="Calibri" w:hAnsi="Calibri" w:cs="Calibri"/>
          <w:sz w:val="22"/>
          <w:szCs w:val="22"/>
        </w:rPr>
        <w:t xml:space="preserve">per facility based on analysis of 2015 MSGP NOI data, noting that currently permitted </w:t>
      </w:r>
      <w:r w:rsidR="001619D9">
        <w:rPr>
          <w:rStyle w:val="normaltextrun"/>
          <w:rFonts w:ascii="Calibri" w:hAnsi="Calibri" w:cs="Calibri"/>
          <w:sz w:val="22"/>
          <w:szCs w:val="22"/>
        </w:rPr>
        <w:t>respondents</w:t>
      </w:r>
      <w:r>
        <w:rPr>
          <w:rStyle w:val="normaltextrun"/>
          <w:rFonts w:ascii="Calibri" w:hAnsi="Calibri" w:cs="Calibri"/>
          <w:sz w:val="22"/>
          <w:szCs w:val="22"/>
        </w:rPr>
        <w:t xml:space="preserve"> have a broad range of </w:t>
      </w:r>
      <w:r w:rsidR="000B2705">
        <w:rPr>
          <w:rStyle w:val="normaltextrun"/>
          <w:rFonts w:ascii="Calibri" w:hAnsi="Calibri" w:cs="Calibri"/>
          <w:sz w:val="22"/>
          <w:szCs w:val="22"/>
        </w:rPr>
        <w:t>discharge points</w:t>
      </w:r>
      <w:r>
        <w:rPr>
          <w:rStyle w:val="normaltextrun"/>
          <w:rFonts w:ascii="Calibri" w:hAnsi="Calibri" w:cs="Calibri"/>
          <w:sz w:val="22"/>
          <w:szCs w:val="22"/>
        </w:rPr>
        <w:t xml:space="preserve">, from as few as 1 to as many as </w:t>
      </w:r>
      <w:r w:rsidR="006C6326">
        <w:rPr>
          <w:rStyle w:val="normaltextrun"/>
          <w:rFonts w:ascii="Calibri" w:hAnsi="Calibri" w:cs="Calibri"/>
          <w:sz w:val="22"/>
          <w:szCs w:val="22"/>
        </w:rPr>
        <w:t>37</w:t>
      </w:r>
      <w:r>
        <w:rPr>
          <w:rStyle w:val="normaltextrun"/>
          <w:rFonts w:ascii="Calibri" w:hAnsi="Calibri" w:cs="Calibri"/>
          <w:sz w:val="22"/>
          <w:szCs w:val="22"/>
        </w:rPr>
        <w:t>.</w:t>
      </w:r>
    </w:p>
    <w:p w:rsidR="00931EE9" w:rsidP="00D37535" w:rsidRDefault="00986A1A" w14:paraId="599023FD" w14:textId="12ECEE2B">
      <w:pPr>
        <w:spacing w:after="100" w:afterAutospacing="1" w:line="240" w:lineRule="auto"/>
        <w:contextualSpacing/>
        <w:rPr>
          <w:rFonts w:ascii="Calibri" w:hAnsi="Calibri" w:cs="Calibri"/>
        </w:rPr>
      </w:pPr>
      <w:r>
        <w:rPr>
          <w:rFonts w:ascii="Calibri" w:hAnsi="Calibri" w:cs="Calibri"/>
        </w:rPr>
        <w:t>With these assumptions in mind, t</w:t>
      </w:r>
      <w:r w:rsidRPr="001E010D" w:rsidR="00931EE9">
        <w:rPr>
          <w:rFonts w:ascii="Calibri" w:hAnsi="Calibri" w:cs="Calibri"/>
        </w:rPr>
        <w:t xml:space="preserve">his section presents the estimated respondent burden for each information request. </w:t>
      </w:r>
    </w:p>
    <w:p w:rsidRPr="00614651" w:rsidR="00C872ED" w:rsidP="00614651" w:rsidRDefault="00781ED3" w14:paraId="01BA9F03" w14:textId="5008DD9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NOI </w:t>
      </w:r>
      <w:r w:rsidR="00D7118B">
        <w:rPr>
          <w:rFonts w:ascii="Calibri" w:hAnsi="Calibri" w:cs="Calibri"/>
          <w:b/>
        </w:rPr>
        <w:t>F</w:t>
      </w:r>
      <w:r w:rsidRPr="001E010D">
        <w:rPr>
          <w:rFonts w:ascii="Calibri" w:hAnsi="Calibri" w:cs="Calibri"/>
          <w:b/>
        </w:rPr>
        <w:t>orms</w:t>
      </w:r>
      <w:r w:rsidR="00D15596">
        <w:rPr>
          <w:rFonts w:ascii="Calibri" w:hAnsi="Calibri" w:cs="Calibri"/>
          <w:b/>
        </w:rPr>
        <w:t xml:space="preserve"> </w:t>
      </w:r>
      <w:r w:rsidR="00D15596">
        <w:rPr>
          <w:rFonts w:ascii="Calibri" w:hAnsi="Calibri" w:cs="Calibri"/>
        </w:rPr>
        <w:t>[</w:t>
      </w:r>
      <w:r w:rsidR="001C4EEA">
        <w:rPr>
          <w:rFonts w:ascii="Calibri" w:hAnsi="Calibri" w:cs="Calibri"/>
        </w:rPr>
        <w:t>Changes</w:t>
      </w:r>
      <w:r w:rsidR="00D15596">
        <w:rPr>
          <w:rFonts w:ascii="Calibri" w:hAnsi="Calibri" w:cs="Calibri"/>
        </w:rPr>
        <w:t xml:space="preserve"> to the information collection burden]</w:t>
      </w:r>
    </w:p>
    <w:p w:rsidR="004372DC" w:rsidP="007E3975" w:rsidRDefault="004372DC" w14:paraId="3D0870F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2C5F01" w:rsidRDefault="00B94889" w14:paraId="2B750AF5" w14:textId="68006BE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670F75">
        <w:rPr>
          <w:rFonts w:ascii="Calibri" w:hAnsi="Calibri" w:cs="Calibri"/>
        </w:rPr>
        <w:t>EPA estimates that 2,</w:t>
      </w:r>
      <w:r w:rsidR="0074166C">
        <w:rPr>
          <w:rFonts w:ascii="Calibri" w:hAnsi="Calibri" w:cs="Calibri"/>
        </w:rPr>
        <w:t>508</w:t>
      </w:r>
      <w:r w:rsidRPr="00670F75">
        <w:rPr>
          <w:rFonts w:ascii="Calibri" w:hAnsi="Calibri" w:cs="Calibri"/>
        </w:rPr>
        <w:t xml:space="preserve"> respondents will spend 4.</w:t>
      </w:r>
      <w:r w:rsidR="00683A72">
        <w:rPr>
          <w:rFonts w:ascii="Calibri" w:hAnsi="Calibri" w:cs="Calibri"/>
        </w:rPr>
        <w:t>1</w:t>
      </w:r>
      <w:r w:rsidRPr="00670F75">
        <w:rPr>
          <w:rFonts w:ascii="Calibri" w:hAnsi="Calibri" w:cs="Calibri"/>
        </w:rPr>
        <w:t xml:space="preserve"> hours preparing and submitting an NOI once each permit term.</w:t>
      </w:r>
      <w:r>
        <w:rPr>
          <w:rFonts w:ascii="Calibri" w:hAnsi="Calibri" w:cs="Calibri"/>
        </w:rPr>
        <w:t xml:space="preserve"> </w:t>
      </w:r>
      <w:r w:rsidRPr="003223D9" w:rsidR="00454990">
        <w:rPr>
          <w:rFonts w:ascii="Calibri" w:hAnsi="Calibri" w:cs="Calibri"/>
        </w:rPr>
        <w:t>This MSGP ICR adds an incremental burden of 0.</w:t>
      </w:r>
      <w:r w:rsidR="00683A72">
        <w:rPr>
          <w:rFonts w:ascii="Calibri" w:hAnsi="Calibri" w:cs="Calibri"/>
        </w:rPr>
        <w:t>2</w:t>
      </w:r>
      <w:r w:rsidRPr="003223D9" w:rsidR="00454990">
        <w:rPr>
          <w:rFonts w:ascii="Calibri" w:hAnsi="Calibri" w:cs="Calibri"/>
        </w:rPr>
        <w:t xml:space="preserve"> hours </w:t>
      </w:r>
      <w:r w:rsidR="00454990">
        <w:rPr>
          <w:rFonts w:ascii="Calibri" w:hAnsi="Calibri" w:cs="Calibri"/>
        </w:rPr>
        <w:t xml:space="preserve">to the existing burden </w:t>
      </w:r>
      <w:r w:rsidR="005747C3">
        <w:rPr>
          <w:rFonts w:ascii="Calibri" w:hAnsi="Calibri" w:cs="Calibri"/>
        </w:rPr>
        <w:t>accounted for in the NPDES programmatic ICR</w:t>
      </w:r>
      <w:r w:rsidR="002C5F01">
        <w:rPr>
          <w:rFonts w:ascii="Calibri" w:hAnsi="Calibri" w:cs="Calibri"/>
        </w:rPr>
        <w:t xml:space="preserve"> (3.9 hours)</w:t>
      </w:r>
      <w:r w:rsidR="005747C3">
        <w:rPr>
          <w:rFonts w:ascii="Calibri" w:hAnsi="Calibri" w:cs="Calibri"/>
        </w:rPr>
        <w:t xml:space="preserve">. </w:t>
      </w:r>
    </w:p>
    <w:p w:rsidR="002C5F01" w:rsidP="00454990" w:rsidRDefault="002C5F01" w14:paraId="5296740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3223D9" w:rsidR="00225589" w:rsidRDefault="002C5F01" w14:paraId="5AD3B651" w14:textId="1CD8699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t xml:space="preserve">Basis: </w:t>
      </w:r>
      <w:r w:rsidR="00B94889">
        <w:rPr>
          <w:rFonts w:ascii="Calibri" w:hAnsi="Calibri" w:cs="Calibri"/>
        </w:rPr>
        <w:t xml:space="preserve">There have been changes made to the NOI form in the 2021 MSGP. </w:t>
      </w:r>
      <w:r w:rsidR="000B7D4B">
        <w:rPr>
          <w:rFonts w:ascii="Calibri" w:hAnsi="Calibri" w:cs="Calibri"/>
        </w:rPr>
        <w:t xml:space="preserve">Some of the changes being made will have a negligible impact on </w:t>
      </w:r>
      <w:r w:rsidR="007E427E">
        <w:rPr>
          <w:rFonts w:ascii="Calibri" w:hAnsi="Calibri" w:cs="Calibri"/>
        </w:rPr>
        <w:t xml:space="preserve">the </w:t>
      </w:r>
      <w:r w:rsidR="000B7D4B">
        <w:rPr>
          <w:rFonts w:ascii="Calibri" w:hAnsi="Calibri" w:cs="Calibri"/>
        </w:rPr>
        <w:t xml:space="preserve">information collection burden. </w:t>
      </w:r>
      <w:r w:rsidRPr="003223D9" w:rsidR="00D81CE1">
        <w:rPr>
          <w:rFonts w:ascii="Calibri" w:hAnsi="Calibri" w:cs="Calibri"/>
        </w:rPr>
        <w:t xml:space="preserve">EPA estimates that the addition of </w:t>
      </w:r>
      <w:r w:rsidR="00683A72">
        <w:rPr>
          <w:rFonts w:ascii="Calibri" w:hAnsi="Calibri" w:cs="Calibri"/>
        </w:rPr>
        <w:t xml:space="preserve">several new </w:t>
      </w:r>
      <w:r w:rsidRPr="003223D9" w:rsidR="00D81CE1">
        <w:rPr>
          <w:rFonts w:ascii="Calibri" w:hAnsi="Calibri" w:cs="Calibri"/>
        </w:rPr>
        <w:t xml:space="preserve">questions on the NOI form (e.g., </w:t>
      </w:r>
      <w:r w:rsidRPr="003223D9" w:rsidR="00683A72">
        <w:rPr>
          <w:rFonts w:ascii="Calibri" w:hAnsi="Calibri" w:cs="Calibri"/>
        </w:rPr>
        <w:t>pending enforcement actions</w:t>
      </w:r>
      <w:r w:rsidR="00683A72">
        <w:rPr>
          <w:rFonts w:ascii="Calibri" w:hAnsi="Calibri" w:cs="Calibri"/>
        </w:rPr>
        <w:t xml:space="preserve"> </w:t>
      </w:r>
      <w:r w:rsidR="004C1CEC">
        <w:rPr>
          <w:rFonts w:ascii="Calibri" w:hAnsi="Calibri" w:cs="Calibri"/>
        </w:rPr>
        <w:t>for new dischargers</w:t>
      </w:r>
      <w:r w:rsidR="00644FAB">
        <w:rPr>
          <w:rFonts w:ascii="Calibri" w:hAnsi="Calibri" w:cs="Calibri"/>
        </w:rPr>
        <w:t xml:space="preserve"> only</w:t>
      </w:r>
      <w:r w:rsidR="004C1CEC">
        <w:rPr>
          <w:rFonts w:ascii="Calibri" w:hAnsi="Calibri" w:cs="Calibri"/>
        </w:rPr>
        <w:t xml:space="preserve">, </w:t>
      </w:r>
      <w:r w:rsidRPr="003223D9" w:rsidR="00D81CE1">
        <w:rPr>
          <w:rFonts w:ascii="Calibri" w:hAnsi="Calibri" w:cs="Calibri"/>
        </w:rPr>
        <w:t>PAH</w:t>
      </w:r>
      <w:r w:rsidR="00394DF3">
        <w:rPr>
          <w:rFonts w:ascii="Calibri" w:hAnsi="Calibri" w:cs="Calibri"/>
        </w:rPr>
        <w:t xml:space="preserve"> </w:t>
      </w:r>
      <w:r w:rsidR="007E179B">
        <w:rPr>
          <w:rFonts w:ascii="Calibri" w:hAnsi="Calibri" w:cs="Calibri"/>
        </w:rPr>
        <w:t xml:space="preserve">indicator monitoring applicability, </w:t>
      </w:r>
      <w:r w:rsidR="00C00A33">
        <w:rPr>
          <w:rFonts w:ascii="Calibri" w:hAnsi="Calibri" w:cs="Calibri"/>
        </w:rPr>
        <w:t xml:space="preserve">and </w:t>
      </w:r>
      <w:r w:rsidR="007E179B">
        <w:rPr>
          <w:rFonts w:ascii="Calibri" w:hAnsi="Calibri" w:cs="Calibri"/>
        </w:rPr>
        <w:t>flow regime of the receiving water(s) for Subsector K1 and G2 only</w:t>
      </w:r>
      <w:r w:rsidR="00683A72">
        <w:rPr>
          <w:rFonts w:ascii="Calibri" w:hAnsi="Calibri" w:cs="Calibri"/>
        </w:rPr>
        <w:t>) will add approximately 5 minutes of burden, or 0.1 hours</w:t>
      </w:r>
      <w:r w:rsidR="008527FB">
        <w:rPr>
          <w:rFonts w:ascii="Calibri" w:hAnsi="Calibri" w:cs="Calibri"/>
        </w:rPr>
        <w:t>, for all respondents</w:t>
      </w:r>
      <w:r w:rsidR="00683A72">
        <w:rPr>
          <w:rFonts w:ascii="Calibri" w:hAnsi="Calibri" w:cs="Calibri"/>
        </w:rPr>
        <w:t xml:space="preserve">. In addition, EPA is adding a new question for operators in New Mexico about whether the operator </w:t>
      </w:r>
      <w:r w:rsidRPr="00683A72" w:rsidR="00683A72">
        <w:rPr>
          <w:rFonts w:ascii="Calibri" w:hAnsi="Calibri" w:cs="Calibri"/>
        </w:rPr>
        <w:t>anticipate</w:t>
      </w:r>
      <w:r w:rsidR="00683A72">
        <w:rPr>
          <w:rFonts w:ascii="Calibri" w:hAnsi="Calibri" w:cs="Calibri"/>
        </w:rPr>
        <w:t>s</w:t>
      </w:r>
      <w:r w:rsidRPr="00683A72" w:rsidR="00683A72">
        <w:rPr>
          <w:rFonts w:ascii="Calibri" w:hAnsi="Calibri" w:cs="Calibri"/>
        </w:rPr>
        <w:t xml:space="preserve"> discharg</w:t>
      </w:r>
      <w:r w:rsidR="00683A72">
        <w:rPr>
          <w:rFonts w:ascii="Calibri" w:hAnsi="Calibri" w:cs="Calibri"/>
        </w:rPr>
        <w:t>ing</w:t>
      </w:r>
      <w:r w:rsidRPr="00683A72" w:rsidR="00683A72">
        <w:rPr>
          <w:rFonts w:ascii="Calibri" w:hAnsi="Calibri" w:cs="Calibri"/>
        </w:rPr>
        <w:t xml:space="preserve"> groundwater or spring water from </w:t>
      </w:r>
      <w:r w:rsidR="00683A72">
        <w:rPr>
          <w:rFonts w:ascii="Calibri" w:hAnsi="Calibri" w:cs="Calibri"/>
        </w:rPr>
        <w:t xml:space="preserve">their </w:t>
      </w:r>
      <w:r w:rsidRPr="00683A72" w:rsidR="00683A72">
        <w:rPr>
          <w:rFonts w:ascii="Calibri" w:hAnsi="Calibri" w:cs="Calibri"/>
        </w:rPr>
        <w:t>facility</w:t>
      </w:r>
      <w:r w:rsidR="00683A72">
        <w:rPr>
          <w:rFonts w:ascii="Calibri" w:hAnsi="Calibri" w:cs="Calibri"/>
        </w:rPr>
        <w:t>. If the operator answers yes, then there are a series of follow-up questions. EPA estimates these questions will add a</w:t>
      </w:r>
      <w:r w:rsidR="21142F32">
        <w:rPr>
          <w:rFonts w:ascii="Calibri" w:hAnsi="Calibri" w:cs="Calibri"/>
        </w:rPr>
        <w:t>bout</w:t>
      </w:r>
      <w:r w:rsidR="00683A72">
        <w:rPr>
          <w:rFonts w:ascii="Calibri" w:hAnsi="Calibri" w:cs="Calibri"/>
        </w:rPr>
        <w:t xml:space="preserve"> 30 minutes of burden each for</w:t>
      </w:r>
      <w:r w:rsidR="007A6D55">
        <w:rPr>
          <w:rFonts w:ascii="Calibri" w:hAnsi="Calibri" w:cs="Calibri"/>
        </w:rPr>
        <w:t xml:space="preserve"> </w:t>
      </w:r>
      <w:r w:rsidRPr="4F9111D3" w:rsidR="007A6D55">
        <w:rPr>
          <w:rFonts w:ascii="Calibri" w:hAnsi="Calibri" w:cs="Calibri"/>
        </w:rPr>
        <w:t>approximate</w:t>
      </w:r>
      <w:r w:rsidRPr="4F9111D3" w:rsidR="0D41B3F7">
        <w:rPr>
          <w:rFonts w:ascii="Calibri" w:hAnsi="Calibri" w:cs="Calibri"/>
        </w:rPr>
        <w:t>ly</w:t>
      </w:r>
      <w:r w:rsidR="007A6D55">
        <w:rPr>
          <w:rFonts w:ascii="Calibri" w:hAnsi="Calibri" w:cs="Calibri"/>
        </w:rPr>
        <w:t xml:space="preserve"> </w:t>
      </w:r>
      <w:r w:rsidR="00683A72">
        <w:rPr>
          <w:rFonts w:ascii="Calibri" w:hAnsi="Calibri" w:cs="Calibri"/>
        </w:rPr>
        <w:t xml:space="preserve">500 operators in New Mexico. </w:t>
      </w:r>
      <w:r w:rsidR="000B7D4B">
        <w:rPr>
          <w:rFonts w:ascii="Calibri" w:hAnsi="Calibri" w:cs="Calibri"/>
        </w:rPr>
        <w:t xml:space="preserve">To account for this burden, EPA is adding another 0.1 hours of burden </w:t>
      </w:r>
      <w:r w:rsidR="000B7D4B">
        <w:rPr>
          <w:rFonts w:ascii="Calibri" w:hAnsi="Calibri" w:cs="Calibri"/>
        </w:rPr>
        <w:lastRenderedPageBreak/>
        <w:t>to the total NOI burden</w:t>
      </w:r>
      <w:r w:rsidRPr="003223D9" w:rsidR="00D81CE1">
        <w:rPr>
          <w:rFonts w:ascii="Calibri" w:hAnsi="Calibri" w:cs="Calibri"/>
        </w:rPr>
        <w:t>.</w:t>
      </w:r>
      <w:r w:rsidR="00225EE0">
        <w:rPr>
          <w:rStyle w:val="FootnoteReference"/>
          <w:rFonts w:ascii="Calibri" w:hAnsi="Calibri" w:cs="Calibri"/>
        </w:rPr>
        <w:footnoteReference w:id="2"/>
      </w:r>
      <w:r w:rsidRPr="003223D9" w:rsidR="00D81CE1">
        <w:rPr>
          <w:rFonts w:ascii="Calibri" w:hAnsi="Calibri" w:cs="Calibri"/>
        </w:rPr>
        <w:t xml:space="preserve"> This increases the </w:t>
      </w:r>
      <w:r w:rsidRPr="003223D9" w:rsidR="00A0556F">
        <w:rPr>
          <w:rFonts w:ascii="Calibri" w:hAnsi="Calibri" w:cs="Calibri"/>
        </w:rPr>
        <w:t xml:space="preserve">total </w:t>
      </w:r>
      <w:r w:rsidRPr="003223D9" w:rsidR="00D81CE1">
        <w:rPr>
          <w:rFonts w:ascii="Calibri" w:hAnsi="Calibri" w:cs="Calibri"/>
        </w:rPr>
        <w:t>burden to approximately 4</w:t>
      </w:r>
      <w:r w:rsidR="00683A72">
        <w:rPr>
          <w:rFonts w:ascii="Calibri" w:hAnsi="Calibri" w:cs="Calibri"/>
        </w:rPr>
        <w:t>.</w:t>
      </w:r>
      <w:r w:rsidR="000B7D4B">
        <w:rPr>
          <w:rFonts w:ascii="Calibri" w:hAnsi="Calibri" w:cs="Calibri"/>
        </w:rPr>
        <w:t>1</w:t>
      </w:r>
      <w:r w:rsidRPr="003223D9" w:rsidR="00D81CE1">
        <w:rPr>
          <w:rFonts w:ascii="Calibri" w:hAnsi="Calibri" w:cs="Calibri"/>
        </w:rPr>
        <w:t xml:space="preserve"> hours per response</w:t>
      </w:r>
      <w:r w:rsidRPr="003223D9" w:rsidR="00A6447A">
        <w:rPr>
          <w:rFonts w:ascii="Calibri" w:hAnsi="Calibri" w:cs="Calibri"/>
        </w:rPr>
        <w:t xml:space="preserve">. </w:t>
      </w:r>
      <w:r w:rsidR="000B7D4B">
        <w:rPr>
          <w:rFonts w:ascii="Calibri" w:hAnsi="Calibri" w:cs="Calibri"/>
        </w:rPr>
        <w:t>T</w:t>
      </w:r>
      <w:r w:rsidRPr="003223D9" w:rsidR="00D81CE1">
        <w:rPr>
          <w:rFonts w:ascii="Calibri" w:hAnsi="Calibri" w:cs="Calibri"/>
        </w:rPr>
        <w:t xml:space="preserve">he estimate of how many </w:t>
      </w:r>
      <w:r w:rsidRPr="003223D9" w:rsidR="001619D9">
        <w:rPr>
          <w:rFonts w:ascii="Calibri" w:hAnsi="Calibri" w:cs="Calibri"/>
        </w:rPr>
        <w:t>respondents</w:t>
      </w:r>
      <w:r w:rsidRPr="003223D9" w:rsidR="00D81CE1">
        <w:rPr>
          <w:rFonts w:ascii="Calibri" w:hAnsi="Calibri" w:cs="Calibri"/>
        </w:rPr>
        <w:t xml:space="preserve"> will submit an NOI is </w:t>
      </w:r>
      <w:r w:rsidR="00B73936">
        <w:rPr>
          <w:rFonts w:ascii="Calibri" w:hAnsi="Calibri" w:cs="Calibri"/>
        </w:rPr>
        <w:t xml:space="preserve">a projection </w:t>
      </w:r>
      <w:r w:rsidR="008F4005">
        <w:rPr>
          <w:rFonts w:ascii="Calibri" w:hAnsi="Calibri" w:cs="Calibri"/>
        </w:rPr>
        <w:t xml:space="preserve">based on </w:t>
      </w:r>
      <w:r w:rsidRPr="003223D9" w:rsidR="00D81CE1">
        <w:rPr>
          <w:rFonts w:ascii="Calibri" w:hAnsi="Calibri" w:cs="Calibri"/>
        </w:rPr>
        <w:t xml:space="preserve">2015 MSGP </w:t>
      </w:r>
      <w:r w:rsidR="008F4005">
        <w:rPr>
          <w:rFonts w:ascii="Calibri" w:hAnsi="Calibri" w:cs="Calibri"/>
        </w:rPr>
        <w:t>data</w:t>
      </w:r>
      <w:r w:rsidRPr="003223D9" w:rsidR="00D81CE1">
        <w:rPr>
          <w:rFonts w:ascii="Calibri" w:hAnsi="Calibri" w:cs="Calibri"/>
        </w:rPr>
        <w:t>.</w:t>
      </w:r>
      <w:r w:rsidR="002051ED">
        <w:rPr>
          <w:rFonts w:ascii="Calibri" w:hAnsi="Calibri" w:cs="Calibri"/>
        </w:rPr>
        <w:t xml:space="preserve"> See Section IV.A for further details on how the total number of respondents was calculated. </w:t>
      </w:r>
    </w:p>
    <w:p w:rsidR="00436F1F" w:rsidP="00F414E5" w:rsidRDefault="00436F1F" w14:paraId="450CF88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D81CE1" w:rsidP="00C872ED" w:rsidRDefault="00C872ED" w14:paraId="6C28C141" w14:textId="55BEDAC5">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 xml:space="preserve">NOT </w:t>
      </w:r>
      <w:r>
        <w:rPr>
          <w:rFonts w:ascii="Calibri" w:hAnsi="Calibri" w:cs="Calibri"/>
          <w:b/>
        </w:rPr>
        <w:t>F</w:t>
      </w:r>
      <w:r w:rsidRPr="001E010D">
        <w:rPr>
          <w:rFonts w:ascii="Calibri" w:hAnsi="Calibri" w:cs="Calibri"/>
          <w:b/>
        </w:rPr>
        <w:t>orms</w:t>
      </w:r>
      <w:r w:rsidR="00D81CE1">
        <w:rPr>
          <w:rFonts w:ascii="Calibri" w:hAnsi="Calibri" w:cs="Calibri"/>
          <w:b/>
        </w:rPr>
        <w:t xml:space="preserve"> </w:t>
      </w:r>
      <w:r w:rsidRPr="00825AFC" w:rsidR="00D81CE1">
        <w:rPr>
          <w:rFonts w:ascii="Calibri" w:hAnsi="Calibri" w:cs="Calibri"/>
        </w:rPr>
        <w:t>[</w:t>
      </w:r>
      <w:r w:rsidR="00D81CE1">
        <w:rPr>
          <w:rFonts w:ascii="Calibri" w:hAnsi="Calibri" w:cs="Calibri"/>
        </w:rPr>
        <w:t>No changes to the information collection burden</w:t>
      </w:r>
      <w:r w:rsidRPr="00825AFC" w:rsidR="00D81CE1">
        <w:rPr>
          <w:rFonts w:ascii="Calibri" w:hAnsi="Calibri" w:cs="Calibri"/>
        </w:rPr>
        <w:t>]</w:t>
      </w:r>
    </w:p>
    <w:p w:rsidR="00D81CE1" w:rsidP="00D81CE1" w:rsidRDefault="00D81CE1" w14:paraId="51FF6C6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p>
    <w:p w:rsidR="00E00A16" w:rsidRDefault="00D42A82" w14:paraId="00F70A49" w14:textId="09F8FBD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F86E4E">
        <w:t>EPA estimates that approximately</w:t>
      </w:r>
      <w:r w:rsidRPr="00F414E5">
        <w:t xml:space="preserve"> 1</w:t>
      </w:r>
      <w:r>
        <w:t>5</w:t>
      </w:r>
      <w:r w:rsidRPr="00F414E5">
        <w:t xml:space="preserve">% of </w:t>
      </w:r>
      <w:r>
        <w:t>all respondents</w:t>
      </w:r>
      <w:r w:rsidRPr="00F414E5">
        <w:t xml:space="preserve">, or </w:t>
      </w:r>
      <w:r>
        <w:t xml:space="preserve">approximately </w:t>
      </w:r>
      <w:r w:rsidR="00E65E00">
        <w:t>380</w:t>
      </w:r>
      <w:r w:rsidRPr="00F86E4E">
        <w:t xml:space="preserve"> </w:t>
      </w:r>
      <w:r>
        <w:t>respondents,</w:t>
      </w:r>
      <w:r w:rsidRPr="00F86E4E">
        <w:t xml:space="preserve"> will spend 0.5 hours submitting an NOT once each permit term. </w:t>
      </w:r>
      <w:r w:rsidR="006A43C2">
        <w:rPr>
          <w:rFonts w:ascii="Calibri" w:hAnsi="Calibri" w:cs="Calibri"/>
        </w:rPr>
        <w:t>Th</w:t>
      </w:r>
      <w:r w:rsidR="00323DE7">
        <w:rPr>
          <w:rFonts w:ascii="Calibri" w:hAnsi="Calibri" w:cs="Calibri"/>
        </w:rPr>
        <w:t>e</w:t>
      </w:r>
      <w:r w:rsidR="006A43C2">
        <w:rPr>
          <w:rFonts w:ascii="Calibri" w:hAnsi="Calibri" w:cs="Calibri"/>
        </w:rPr>
        <w:t xml:space="preserve"> </w:t>
      </w:r>
      <w:r w:rsidR="00323DE7">
        <w:rPr>
          <w:rFonts w:ascii="Calibri" w:hAnsi="Calibri" w:cs="Calibri"/>
        </w:rPr>
        <w:t xml:space="preserve">estimated </w:t>
      </w:r>
      <w:r w:rsidR="006A43C2">
        <w:rPr>
          <w:rFonts w:ascii="Calibri" w:hAnsi="Calibri" w:cs="Calibri"/>
        </w:rPr>
        <w:t xml:space="preserve">burden </w:t>
      </w:r>
      <w:r w:rsidR="00323DE7">
        <w:rPr>
          <w:rFonts w:ascii="Calibri" w:hAnsi="Calibri" w:cs="Calibri"/>
        </w:rPr>
        <w:t xml:space="preserve">for this activity </w:t>
      </w:r>
      <w:r w:rsidR="006A43C2">
        <w:rPr>
          <w:rFonts w:ascii="Calibri" w:hAnsi="Calibri" w:cs="Calibri"/>
        </w:rPr>
        <w:t xml:space="preserve">is </w:t>
      </w:r>
      <w:r w:rsidR="009B27AE">
        <w:rPr>
          <w:rFonts w:ascii="Calibri" w:hAnsi="Calibri" w:cs="Calibri"/>
        </w:rPr>
        <w:t xml:space="preserve">already </w:t>
      </w:r>
      <w:r w:rsidR="006A43C2">
        <w:rPr>
          <w:rFonts w:ascii="Calibri" w:hAnsi="Calibri" w:cs="Calibri"/>
        </w:rPr>
        <w:t>accounted for in</w:t>
      </w:r>
      <w:r w:rsidRPr="001E010D" w:rsidR="006A43C2">
        <w:rPr>
          <w:rFonts w:ascii="Calibri" w:hAnsi="Calibri" w:cs="Calibri"/>
        </w:rPr>
        <w:t xml:space="preserve"> </w:t>
      </w:r>
      <w:r w:rsidR="00212402">
        <w:rPr>
          <w:rFonts w:ascii="Calibri" w:hAnsi="Calibri" w:cs="Calibri"/>
        </w:rPr>
        <w:t xml:space="preserve">the </w:t>
      </w:r>
      <w:r w:rsidR="006A43C2">
        <w:rPr>
          <w:rFonts w:ascii="Calibri" w:hAnsi="Calibri" w:cs="Calibri"/>
        </w:rPr>
        <w:t xml:space="preserve">NPDES Program </w:t>
      </w:r>
      <w:r w:rsidRPr="001E010D" w:rsidR="006A43C2">
        <w:rPr>
          <w:rFonts w:ascii="Calibri" w:hAnsi="Calibri" w:cs="Calibri"/>
        </w:rPr>
        <w:t>ICR</w:t>
      </w:r>
      <w:r w:rsidR="005C0D11">
        <w:rPr>
          <w:rFonts w:ascii="Calibri" w:hAnsi="Calibri" w:cs="Calibri"/>
        </w:rPr>
        <w:t xml:space="preserve">, </w:t>
      </w:r>
      <w:r w:rsidR="00323DE7">
        <w:rPr>
          <w:rFonts w:ascii="Calibri" w:hAnsi="Calibri" w:cs="Calibri"/>
        </w:rPr>
        <w:t xml:space="preserve">and </w:t>
      </w:r>
      <w:r w:rsidR="005C0D11">
        <w:rPr>
          <w:rFonts w:ascii="Calibri" w:hAnsi="Calibri" w:cs="Calibri"/>
        </w:rPr>
        <w:t xml:space="preserve">this MSGP ICR adds no incremental burden </w:t>
      </w:r>
      <w:r w:rsidR="00323DE7">
        <w:rPr>
          <w:rFonts w:ascii="Calibri" w:hAnsi="Calibri" w:cs="Calibri"/>
        </w:rPr>
        <w:t xml:space="preserve">to </w:t>
      </w:r>
      <w:r w:rsidR="005C0D11">
        <w:rPr>
          <w:rFonts w:ascii="Calibri" w:hAnsi="Calibri" w:cs="Calibri"/>
        </w:rPr>
        <w:t>this activity.</w:t>
      </w:r>
      <w:r w:rsidR="006A43C2">
        <w:rPr>
          <w:rFonts w:ascii="Calibri" w:hAnsi="Calibri" w:cs="Calibri"/>
        </w:rPr>
        <w:t xml:space="preserve"> </w:t>
      </w:r>
    </w:p>
    <w:p w:rsidRPr="001E010D" w:rsidR="00E00A16" w:rsidP="00E93F58" w:rsidRDefault="00E00A16" w14:paraId="0DECC97B" w14:textId="7BD563E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C40B5" w:rsidRDefault="00E00A16" w14:paraId="05F3F0C0" w14:textId="05AFC3E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t xml:space="preserve">Basis: </w:t>
      </w:r>
      <w:r w:rsidRPr="001E010D" w:rsidR="00DD18EE">
        <w:rPr>
          <w:rFonts w:ascii="Calibri" w:hAnsi="Calibri" w:cs="Calibri"/>
        </w:rPr>
        <w:t xml:space="preserve">The </w:t>
      </w:r>
      <w:r w:rsidRPr="001E010D" w:rsidR="001E1C1D">
        <w:rPr>
          <w:rFonts w:ascii="Calibri" w:hAnsi="Calibri" w:cs="Calibri"/>
        </w:rPr>
        <w:t xml:space="preserve">estimate of how many </w:t>
      </w:r>
      <w:r w:rsidR="001619D9">
        <w:rPr>
          <w:rFonts w:ascii="Calibri" w:hAnsi="Calibri" w:cs="Calibri"/>
        </w:rPr>
        <w:t>respondents</w:t>
      </w:r>
      <w:r w:rsidRPr="001E010D" w:rsidR="001E1C1D">
        <w:rPr>
          <w:rFonts w:ascii="Calibri" w:hAnsi="Calibri" w:cs="Calibri"/>
        </w:rPr>
        <w:t xml:space="preserve"> will </w:t>
      </w:r>
      <w:r w:rsidR="006F36AF">
        <w:rPr>
          <w:rFonts w:ascii="Calibri" w:hAnsi="Calibri" w:cs="Calibri"/>
        </w:rPr>
        <w:t>submit</w:t>
      </w:r>
      <w:r w:rsidRPr="001E010D" w:rsidR="006F36AF">
        <w:rPr>
          <w:rFonts w:ascii="Calibri" w:hAnsi="Calibri" w:cs="Calibri"/>
        </w:rPr>
        <w:t xml:space="preserve"> </w:t>
      </w:r>
      <w:r w:rsidRPr="001E010D" w:rsidR="001E1C1D">
        <w:rPr>
          <w:rFonts w:ascii="Calibri" w:hAnsi="Calibri" w:cs="Calibri"/>
        </w:rPr>
        <w:t>an NOT is based on the number of NOTs submitted during the 2015 MSGP cycle.</w:t>
      </w:r>
    </w:p>
    <w:p w:rsidR="00616FEE" w:rsidP="00D37535" w:rsidRDefault="00616FEE" w14:paraId="15914091" w14:textId="0066AA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212402" w:rsidR="00AD410F" w:rsidP="00212402" w:rsidRDefault="00781ED3" w14:paraId="71D16F71" w14:textId="58D9FD02">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SWPPPs</w:t>
      </w:r>
      <w:r w:rsidR="00D15596">
        <w:rPr>
          <w:rFonts w:ascii="Calibri" w:hAnsi="Calibri" w:cs="Calibri"/>
          <w:b/>
        </w:rPr>
        <w:t xml:space="preserve"> </w:t>
      </w:r>
      <w:r w:rsidR="00D15596">
        <w:rPr>
          <w:rFonts w:ascii="Calibri" w:hAnsi="Calibri" w:cs="Calibri"/>
        </w:rPr>
        <w:t>[</w:t>
      </w:r>
      <w:r w:rsidR="00572FFF">
        <w:rPr>
          <w:rFonts w:ascii="Calibri" w:hAnsi="Calibri" w:cs="Calibri"/>
        </w:rPr>
        <w:t>C</w:t>
      </w:r>
      <w:r w:rsidR="00D15596">
        <w:rPr>
          <w:rFonts w:ascii="Calibri" w:hAnsi="Calibri" w:cs="Calibri"/>
        </w:rPr>
        <w:t xml:space="preserve">hanges to the information collection </w:t>
      </w:r>
      <w:r w:rsidR="00AE441D">
        <w:rPr>
          <w:rFonts w:ascii="Calibri" w:hAnsi="Calibri" w:cs="Calibri"/>
        </w:rPr>
        <w:t>b</w:t>
      </w:r>
      <w:r w:rsidR="00D15596">
        <w:rPr>
          <w:rFonts w:ascii="Calibri" w:hAnsi="Calibri" w:cs="Calibri"/>
        </w:rPr>
        <w:t>urden]</w:t>
      </w:r>
    </w:p>
    <w:p w:rsidR="00AD410F" w:rsidP="00212402" w:rsidRDefault="00AD410F" w14:paraId="7556FDB4" w14:textId="77777777">
      <w:pPr>
        <w:pStyle w:val="ListParagraph"/>
        <w:keepNext/>
      </w:pPr>
    </w:p>
    <w:p w:rsidR="00B13A94" w:rsidP="00B13A94" w:rsidRDefault="009C24A0" w14:paraId="71536C41" w14:textId="3558120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670F75">
        <w:rPr>
          <w:rFonts w:ascii="Calibri" w:hAnsi="Calibri" w:cs="Calibri"/>
        </w:rPr>
        <w:t xml:space="preserve">EPA estimates that </w:t>
      </w:r>
      <w:r>
        <w:rPr>
          <w:rFonts w:ascii="Calibri" w:hAnsi="Calibri" w:cs="Calibri"/>
        </w:rPr>
        <w:t xml:space="preserve">approximately </w:t>
      </w:r>
      <w:r w:rsidR="00E65E00">
        <w:rPr>
          <w:rFonts w:ascii="Calibri" w:hAnsi="Calibri" w:cs="Calibri"/>
        </w:rPr>
        <w:t>604</w:t>
      </w:r>
      <w:r w:rsidRPr="00670F75">
        <w:rPr>
          <w:rFonts w:ascii="Calibri" w:hAnsi="Calibri" w:cs="Calibri"/>
        </w:rPr>
        <w:t xml:space="preserve"> respondents </w:t>
      </w:r>
      <w:r>
        <w:rPr>
          <w:rFonts w:ascii="Calibri" w:hAnsi="Calibri" w:cs="Calibri"/>
        </w:rPr>
        <w:t xml:space="preserve">will be new operators and </w:t>
      </w:r>
      <w:r w:rsidRPr="00670F75">
        <w:rPr>
          <w:rFonts w:ascii="Calibri" w:hAnsi="Calibri" w:cs="Calibri"/>
        </w:rPr>
        <w:t xml:space="preserve">will spend 80 hours preparing a new SWPPP once </w:t>
      </w:r>
      <w:r w:rsidR="002D317C">
        <w:rPr>
          <w:rFonts w:ascii="Calibri" w:hAnsi="Calibri" w:cs="Calibri"/>
        </w:rPr>
        <w:t xml:space="preserve">during </w:t>
      </w:r>
      <w:r w:rsidRPr="00670F75">
        <w:rPr>
          <w:rFonts w:ascii="Calibri" w:hAnsi="Calibri" w:cs="Calibri"/>
        </w:rPr>
        <w:t xml:space="preserve">each permit term. </w:t>
      </w:r>
      <w:r w:rsidRPr="001E58FA" w:rsidR="00882E0A">
        <w:rPr>
          <w:rFonts w:ascii="Calibri" w:hAnsi="Calibri" w:cs="Calibri"/>
        </w:rPr>
        <w:t xml:space="preserve">The estimated burden for this activity is </w:t>
      </w:r>
      <w:r w:rsidR="007D1DC0">
        <w:rPr>
          <w:rFonts w:ascii="Calibri" w:hAnsi="Calibri" w:cs="Calibri"/>
        </w:rPr>
        <w:t xml:space="preserve">not </w:t>
      </w:r>
      <w:r w:rsidR="00483E88">
        <w:rPr>
          <w:rFonts w:ascii="Calibri" w:hAnsi="Calibri" w:cs="Calibri"/>
        </w:rPr>
        <w:t xml:space="preserve">separately </w:t>
      </w:r>
      <w:r w:rsidRPr="001E58FA" w:rsidR="00882E0A">
        <w:rPr>
          <w:rFonts w:ascii="Calibri" w:hAnsi="Calibri" w:cs="Calibri"/>
        </w:rPr>
        <w:t xml:space="preserve">accounted for in </w:t>
      </w:r>
      <w:r w:rsidR="002431E6">
        <w:rPr>
          <w:rFonts w:ascii="Calibri" w:hAnsi="Calibri" w:cs="Calibri"/>
        </w:rPr>
        <w:t xml:space="preserve">the </w:t>
      </w:r>
      <w:r w:rsidR="00174B47">
        <w:rPr>
          <w:rFonts w:ascii="Calibri" w:hAnsi="Calibri" w:cs="Calibri"/>
        </w:rPr>
        <w:t>2017</w:t>
      </w:r>
      <w:r w:rsidR="002431E6">
        <w:rPr>
          <w:rFonts w:ascii="Calibri" w:hAnsi="Calibri" w:cs="Calibri"/>
        </w:rPr>
        <w:t xml:space="preserve"> </w:t>
      </w:r>
      <w:r w:rsidRPr="001E58FA" w:rsidR="00882E0A">
        <w:rPr>
          <w:rFonts w:ascii="Calibri" w:hAnsi="Calibri" w:cs="Calibri"/>
        </w:rPr>
        <w:t xml:space="preserve">NPDES Program ICR, </w:t>
      </w:r>
      <w:r w:rsidR="001A6B49">
        <w:rPr>
          <w:rFonts w:ascii="Calibri" w:hAnsi="Calibri" w:cs="Calibri"/>
        </w:rPr>
        <w:t>so</w:t>
      </w:r>
      <w:r w:rsidRPr="001E58FA" w:rsidR="002431E6">
        <w:rPr>
          <w:rFonts w:ascii="Calibri" w:hAnsi="Calibri" w:cs="Calibri"/>
        </w:rPr>
        <w:t xml:space="preserve"> </w:t>
      </w:r>
      <w:r w:rsidRPr="001E58FA" w:rsidR="00882E0A">
        <w:rPr>
          <w:rFonts w:ascii="Calibri" w:hAnsi="Calibri" w:cs="Calibri"/>
        </w:rPr>
        <w:t xml:space="preserve">this MSGP ICR adds </w:t>
      </w:r>
      <w:r w:rsidR="009B3014">
        <w:rPr>
          <w:rFonts w:ascii="Calibri" w:hAnsi="Calibri" w:cs="Calibri"/>
        </w:rPr>
        <w:t xml:space="preserve">80 hours </w:t>
      </w:r>
      <w:r w:rsidRPr="001E58FA" w:rsidR="00882E0A">
        <w:rPr>
          <w:rFonts w:ascii="Calibri" w:hAnsi="Calibri" w:cs="Calibri"/>
        </w:rPr>
        <w:t xml:space="preserve">to this activity. </w:t>
      </w:r>
      <w:r w:rsidR="00174B47">
        <w:rPr>
          <w:rFonts w:ascii="Calibri" w:hAnsi="Calibri" w:cs="Calibri"/>
        </w:rPr>
        <w:t xml:space="preserve"> </w:t>
      </w:r>
      <w:r w:rsidRPr="00670F75" w:rsidR="00174B47">
        <w:rPr>
          <w:rFonts w:ascii="Calibri" w:hAnsi="Calibri" w:cs="Calibri"/>
        </w:rPr>
        <w:t xml:space="preserve">EPA estimates that </w:t>
      </w:r>
      <w:r w:rsidR="00174B47">
        <w:rPr>
          <w:rFonts w:ascii="Calibri" w:hAnsi="Calibri" w:cs="Calibri"/>
        </w:rPr>
        <w:t xml:space="preserve">all </w:t>
      </w:r>
      <w:r w:rsidRPr="00670F75" w:rsidR="00174B47">
        <w:rPr>
          <w:rFonts w:ascii="Calibri" w:hAnsi="Calibri" w:cs="Calibri"/>
        </w:rPr>
        <w:t>respondents will spend 8 hours throughout the permit term to update an existing SWPPP.</w:t>
      </w:r>
      <w:r w:rsidR="00174B47">
        <w:rPr>
          <w:rFonts w:ascii="Calibri" w:hAnsi="Calibri" w:cs="Calibri"/>
        </w:rPr>
        <w:t xml:space="preserve"> The estimated burden for this activity is already accounted for in the 2017 NPDES Program ICR, so this </w:t>
      </w:r>
      <w:r w:rsidR="00470817">
        <w:rPr>
          <w:rFonts w:ascii="Calibri" w:hAnsi="Calibri" w:cs="Calibri"/>
        </w:rPr>
        <w:t>MSGP ICR</w:t>
      </w:r>
      <w:r w:rsidR="00174B47">
        <w:rPr>
          <w:rFonts w:ascii="Calibri" w:hAnsi="Calibri" w:cs="Calibri"/>
        </w:rPr>
        <w:t xml:space="preserve"> adds no incremental burden</w:t>
      </w:r>
      <w:r w:rsidR="00470817">
        <w:rPr>
          <w:rFonts w:ascii="Calibri" w:hAnsi="Calibri" w:cs="Calibri"/>
        </w:rPr>
        <w:t xml:space="preserve"> to this activity.</w:t>
      </w:r>
    </w:p>
    <w:p w:rsidR="00B13A94" w:rsidP="00B13A94" w:rsidRDefault="00B13A94" w14:paraId="7529362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F932C3" w:rsidP="005C15A9" w:rsidRDefault="00B13A94" w14:paraId="239901B3" w14:textId="49048A2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Basis: </w:t>
      </w:r>
      <w:r w:rsidRPr="001E58FA" w:rsidR="00681598">
        <w:rPr>
          <w:rFonts w:ascii="Calibri" w:hAnsi="Calibri" w:cs="Calibri"/>
        </w:rPr>
        <w:t xml:space="preserve">There have been changes made to the SWPPP requirements in the 2021 MSGP permit, resulting from the new AIM requirements. </w:t>
      </w:r>
      <w:r w:rsidRPr="001E58FA" w:rsidR="001619D9">
        <w:rPr>
          <w:rFonts w:ascii="Calibri" w:hAnsi="Calibri" w:cs="Calibri"/>
        </w:rPr>
        <w:t>Respondents</w:t>
      </w:r>
      <w:r w:rsidRPr="001E58FA" w:rsidR="00681598">
        <w:rPr>
          <w:rFonts w:ascii="Calibri" w:hAnsi="Calibri" w:cs="Calibri"/>
        </w:rPr>
        <w:t xml:space="preserve"> must document in their SWPPP any AIM triggering events, responses taken, rationale for not implementing required control measures, or explanation for why controls cannot be implemented within the required timeframe. </w:t>
      </w:r>
      <w:r w:rsidRPr="001E58FA" w:rsidR="00E13C0E">
        <w:rPr>
          <w:rFonts w:ascii="Calibri" w:hAnsi="Calibri" w:cs="Calibri"/>
        </w:rPr>
        <w:t xml:space="preserve">However, </w:t>
      </w:r>
      <w:r w:rsidR="00234D14">
        <w:t xml:space="preserve">this type of required documentation is </w:t>
      </w:r>
      <w:r w:rsidRPr="00E13C0E" w:rsidR="00E13C0E">
        <w:t xml:space="preserve">substantially similar to </w:t>
      </w:r>
      <w:r w:rsidR="003B6D19">
        <w:t xml:space="preserve">what was required </w:t>
      </w:r>
      <w:r w:rsidRPr="00E13C0E" w:rsidR="00DA6056">
        <w:t>in the 2015 MSGP</w:t>
      </w:r>
      <w:r w:rsidR="00DA6056">
        <w:t xml:space="preserve"> </w:t>
      </w:r>
      <w:r w:rsidR="003B6D19">
        <w:t xml:space="preserve">for </w:t>
      </w:r>
      <w:r w:rsidRPr="00E13C0E" w:rsidR="00DA6056">
        <w:t xml:space="preserve">benchmark exceedance </w:t>
      </w:r>
      <w:r w:rsidRPr="00E13C0E" w:rsidR="00E13C0E">
        <w:t>corrective action</w:t>
      </w:r>
      <w:r w:rsidR="003B6D19">
        <w:t>s</w:t>
      </w:r>
      <w:r w:rsidRPr="00E13C0E" w:rsidR="00E13C0E">
        <w:t xml:space="preserve">. Therefore, </w:t>
      </w:r>
      <w:r w:rsidR="00FF6943">
        <w:t xml:space="preserve">no </w:t>
      </w:r>
      <w:r w:rsidRPr="00E13C0E" w:rsidR="00E13C0E">
        <w:t xml:space="preserve">incremental </w:t>
      </w:r>
      <w:r w:rsidR="00C675E6">
        <w:t>burden</w:t>
      </w:r>
      <w:r w:rsidR="002431E6">
        <w:t xml:space="preserve"> has been added</w:t>
      </w:r>
      <w:r w:rsidRPr="00E13C0E" w:rsidR="00E13C0E">
        <w:t>.</w:t>
      </w:r>
    </w:p>
    <w:p w:rsidR="00F932C3" w:rsidP="005C15A9" w:rsidRDefault="00F932C3" w14:paraId="0063A4D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486A79" w:rsidP="00486A79" w:rsidRDefault="00855852" w14:paraId="63F32DCB" w14:textId="456236A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Sampling </w:t>
      </w:r>
      <w:r w:rsidR="0070752F">
        <w:rPr>
          <w:rFonts w:ascii="Calibri" w:hAnsi="Calibri" w:cs="Calibri"/>
          <w:b/>
        </w:rPr>
        <w:t xml:space="preserve">Collection </w:t>
      </w:r>
      <w:r w:rsidRPr="00825AFC" w:rsidR="00D15596">
        <w:rPr>
          <w:rFonts w:ascii="Calibri" w:hAnsi="Calibri" w:cs="Calibri"/>
        </w:rPr>
        <w:t>[</w:t>
      </w:r>
      <w:r w:rsidR="001C4EEA">
        <w:rPr>
          <w:rFonts w:ascii="Calibri" w:hAnsi="Calibri" w:cs="Calibri"/>
        </w:rPr>
        <w:t>Changes</w:t>
      </w:r>
      <w:r w:rsidR="00D15596">
        <w:rPr>
          <w:rFonts w:ascii="Calibri" w:hAnsi="Calibri" w:cs="Calibri"/>
        </w:rPr>
        <w:t xml:space="preserve"> to the information collection burden</w:t>
      </w:r>
      <w:r w:rsidRPr="00825AFC" w:rsidR="00D15596">
        <w:rPr>
          <w:rFonts w:ascii="Calibri" w:hAnsi="Calibri" w:cs="Calibri"/>
        </w:rPr>
        <w:t>]</w:t>
      </w:r>
      <w:r w:rsidRPr="001E010D" w:rsidR="00781ED3">
        <w:rPr>
          <w:rFonts w:ascii="Calibri" w:hAnsi="Calibri" w:cs="Calibri"/>
          <w:b/>
        </w:rPr>
        <w:t xml:space="preserve"> </w:t>
      </w:r>
    </w:p>
    <w:p w:rsidR="00486A79" w:rsidP="00486A79" w:rsidRDefault="00486A79" w14:paraId="71F146B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p>
    <w:p w:rsidR="00486A79" w:rsidP="00486A79" w:rsidRDefault="00FA7F8B" w14:paraId="77FC1E6D" w14:textId="4E33C0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t xml:space="preserve">EPA assumes that each respondent needs </w:t>
      </w:r>
      <w:r w:rsidR="00FB4E3D">
        <w:t>2.25</w:t>
      </w:r>
      <w:r w:rsidR="00FB5E57">
        <w:t xml:space="preserve"> hour</w:t>
      </w:r>
      <w:r w:rsidR="00FB4E3D">
        <w:t>s</w:t>
      </w:r>
      <w:r w:rsidR="00FB5E57">
        <w:t xml:space="preserve"> </w:t>
      </w:r>
      <w:r>
        <w:t xml:space="preserve">to </w:t>
      </w:r>
      <w:r w:rsidR="00C3716E">
        <w:t xml:space="preserve">prepare for and </w:t>
      </w:r>
      <w:r w:rsidRPr="00486A79" w:rsidR="00C3716E">
        <w:rPr>
          <w:rFonts w:ascii="Calibri" w:hAnsi="Calibri" w:cs="Calibri"/>
        </w:rPr>
        <w:t>conduct sample collection</w:t>
      </w:r>
      <w:r w:rsidR="00482891">
        <w:t xml:space="preserve"> at all outfalls (assuming each respondent has an average of 2.04 </w:t>
      </w:r>
      <w:r w:rsidR="00D46B95">
        <w:t>discharge points</w:t>
      </w:r>
      <w:r w:rsidR="00482891">
        <w:t>)</w:t>
      </w:r>
      <w:r w:rsidR="00FB5E57">
        <w:t xml:space="preserve">. </w:t>
      </w:r>
      <w:r w:rsidRPr="002D5B51" w:rsidR="002D5B51">
        <w:t xml:space="preserve">The estimated burden for this activity is already accounted for in </w:t>
      </w:r>
      <w:r w:rsidR="003E5682">
        <w:t xml:space="preserve">the </w:t>
      </w:r>
      <w:r w:rsidRPr="002D5B51" w:rsidR="002D5B51">
        <w:t>NPDES Program ICR, and this MSGP ICR adds no incremental burden to this activity.</w:t>
      </w:r>
      <w:r w:rsidRPr="00486A79" w:rsidR="00961A4A">
        <w:rPr>
          <w:rFonts w:ascii="Calibri" w:hAnsi="Calibri" w:cs="Calibri"/>
        </w:rPr>
        <w:t xml:space="preserve"> EPA assumes all 2,</w:t>
      </w:r>
      <w:r w:rsidR="00A14807">
        <w:rPr>
          <w:rFonts w:ascii="Calibri" w:hAnsi="Calibri" w:cs="Calibri"/>
        </w:rPr>
        <w:t>508</w:t>
      </w:r>
      <w:r w:rsidRPr="00486A79" w:rsidR="00961A4A">
        <w:rPr>
          <w:rFonts w:ascii="Calibri" w:hAnsi="Calibri" w:cs="Calibri"/>
        </w:rPr>
        <w:t xml:space="preserve"> operators will need to conduct sampling </w:t>
      </w:r>
      <w:r w:rsidRPr="00486A79" w:rsidR="005669BA">
        <w:rPr>
          <w:rFonts w:ascii="Calibri" w:hAnsi="Calibri" w:cs="Calibri"/>
        </w:rPr>
        <w:t xml:space="preserve">four times per year </w:t>
      </w:r>
      <w:r w:rsidRPr="00486A79" w:rsidR="00961A4A">
        <w:rPr>
          <w:rFonts w:ascii="Calibri" w:hAnsi="Calibri" w:cs="Calibri"/>
        </w:rPr>
        <w:t>throughout the permit term (20 sampling events</w:t>
      </w:r>
      <w:r w:rsidRPr="00486A79" w:rsidR="005669BA">
        <w:rPr>
          <w:rFonts w:ascii="Calibri" w:hAnsi="Calibri" w:cs="Calibri"/>
        </w:rPr>
        <w:t xml:space="preserve"> total</w:t>
      </w:r>
      <w:r w:rsidRPr="00486A79" w:rsidR="00961A4A">
        <w:rPr>
          <w:rFonts w:ascii="Calibri" w:hAnsi="Calibri" w:cs="Calibri"/>
        </w:rPr>
        <w:t>).</w:t>
      </w:r>
    </w:p>
    <w:p w:rsidR="00486A79" w:rsidP="00486A79" w:rsidRDefault="00486A79" w14:paraId="09C16B4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Cs/>
        </w:rPr>
      </w:pPr>
    </w:p>
    <w:p w:rsidRPr="00A4725F" w:rsidR="00FB5E57" w:rsidRDefault="00E00A16" w14:paraId="0A114ABA" w14:textId="02242D3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A4725F">
        <w:rPr>
          <w:rFonts w:ascii="Calibri" w:hAnsi="Calibri" w:cs="Calibri"/>
          <w:bCs/>
        </w:rPr>
        <w:t>Basis</w:t>
      </w:r>
      <w:r w:rsidRPr="00A4725F">
        <w:rPr>
          <w:rFonts w:ascii="Calibri" w:hAnsi="Calibri" w:cs="Calibri"/>
        </w:rPr>
        <w:t xml:space="preserve">: </w:t>
      </w:r>
      <w:r w:rsidRPr="00A4725F" w:rsidR="005C6241">
        <w:rPr>
          <w:rFonts w:ascii="Calibri" w:hAnsi="Calibri" w:cs="Calibri"/>
        </w:rPr>
        <w:t xml:space="preserve">EPA’s assumption </w:t>
      </w:r>
      <w:r w:rsidRPr="00A4725F" w:rsidR="00C34D1A">
        <w:rPr>
          <w:rFonts w:ascii="Calibri" w:hAnsi="Calibri" w:cs="Calibri"/>
        </w:rPr>
        <w:t xml:space="preserve">that all operators will </w:t>
      </w:r>
      <w:r w:rsidRPr="00A4725F" w:rsidR="00C324EE">
        <w:rPr>
          <w:rFonts w:ascii="Calibri" w:hAnsi="Calibri" w:cs="Calibri"/>
        </w:rPr>
        <w:t>perform quarterly sampling (</w:t>
      </w:r>
      <w:r w:rsidRPr="00A4725F" w:rsidR="005C6241">
        <w:rPr>
          <w:rFonts w:ascii="Calibri" w:hAnsi="Calibri" w:cs="Calibri"/>
        </w:rPr>
        <w:t>20 total sampling events</w:t>
      </w:r>
      <w:r w:rsidRPr="00A4725F" w:rsidR="00C324EE">
        <w:rPr>
          <w:rFonts w:ascii="Calibri" w:hAnsi="Calibri" w:cs="Calibri"/>
        </w:rPr>
        <w:t>)</w:t>
      </w:r>
      <w:r w:rsidRPr="00A4725F" w:rsidR="005C6241">
        <w:rPr>
          <w:rFonts w:ascii="Calibri" w:hAnsi="Calibri" w:cs="Calibri"/>
        </w:rPr>
        <w:t xml:space="preserve"> is </w:t>
      </w:r>
      <w:r w:rsidRPr="00A4725F" w:rsidR="00626829">
        <w:rPr>
          <w:rFonts w:ascii="Calibri" w:hAnsi="Calibri" w:cs="Calibri"/>
        </w:rPr>
        <w:t>a conservative estimate, because t</w:t>
      </w:r>
      <w:r w:rsidRPr="00486A79" w:rsidR="00FB5E57">
        <w:rPr>
          <w:rFonts w:ascii="Calibri" w:hAnsi="Calibri" w:cs="Calibri"/>
        </w:rPr>
        <w:t xml:space="preserve">he number of sample collection events over the course of a permit term can vary widely among respondents depending on multiple factors such as the overlapping frequencies for various monitoring requirements, sample collection preferences and potential issues (e.g., the need to re-sample </w:t>
      </w:r>
      <w:r w:rsidRPr="00486A79" w:rsidR="00770E3F">
        <w:rPr>
          <w:rFonts w:ascii="Calibri" w:hAnsi="Calibri" w:cs="Calibri"/>
        </w:rPr>
        <w:t>a discharge point</w:t>
      </w:r>
      <w:r w:rsidRPr="00486A79" w:rsidR="00FB5E57">
        <w:rPr>
          <w:rFonts w:ascii="Calibri" w:hAnsi="Calibri" w:cs="Calibri"/>
        </w:rPr>
        <w:t xml:space="preserve">). </w:t>
      </w:r>
      <w:r w:rsidRPr="00486A79" w:rsidR="005F1E1C">
        <w:rPr>
          <w:rFonts w:ascii="Calibri" w:hAnsi="Calibri" w:cs="Calibri"/>
        </w:rPr>
        <w:t>Although some respondents may be subject to four kinds of monitoring requirements under the permit (i.e., benchmark, indicator, impaired waters, effluent limit</w:t>
      </w:r>
      <w:r w:rsidRPr="00486A79" w:rsidR="006C6326">
        <w:rPr>
          <w:rFonts w:ascii="Calibri" w:hAnsi="Calibri" w:cs="Calibri"/>
        </w:rPr>
        <w:t>ations</w:t>
      </w:r>
      <w:r w:rsidRPr="00486A79" w:rsidR="005F1E1C">
        <w:rPr>
          <w:rFonts w:ascii="Calibri" w:hAnsi="Calibri" w:cs="Calibri"/>
        </w:rPr>
        <w:t>), EPA assumes that each quarterly sample can be used to analyze for all applicable monitoring requirements.</w:t>
      </w:r>
    </w:p>
    <w:p w:rsidR="00097C6B" w:rsidP="00D37535" w:rsidRDefault="00097C6B" w14:paraId="086BBBD6" w14:textId="389BF5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621C0A" w:rsidP="00621C0A" w:rsidRDefault="00621C0A" w14:paraId="2A122A0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t>The NPDES Program ICR also assumes that each respondent needs 1.5 hours to perform laboratory analysis, but this labor burden item is not included in the 2021 MSGP ICR because EPA assumes that most respondents do not perform laboratory analysis in-house, but instead send their samples to outside laboratories for analysis</w:t>
      </w:r>
      <w:r>
        <w:rPr>
          <w:rFonts w:ascii="Calibri" w:hAnsi="Calibri" w:cs="Calibri"/>
        </w:rPr>
        <w:t>. The cost of laboratory analysis is accounted for in the 2021 MSGP cost impact analysis.</w:t>
      </w:r>
    </w:p>
    <w:p w:rsidR="00621C0A" w:rsidP="00D37535" w:rsidRDefault="00621C0A" w14:paraId="5233D8D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CB338C" w:rsidR="00486A79" w:rsidP="00486A79" w:rsidRDefault="00486A79" w14:paraId="141DCE66" w14:textId="38B0366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DMRs</w:t>
      </w:r>
      <w:r>
        <w:rPr>
          <w:rFonts w:ascii="Calibri" w:hAnsi="Calibri" w:cs="Calibri"/>
          <w:b/>
        </w:rPr>
        <w:t xml:space="preserve"> Submittal </w:t>
      </w:r>
      <w:r w:rsidRPr="00825AFC">
        <w:rPr>
          <w:rFonts w:ascii="Calibri" w:hAnsi="Calibri" w:cs="Calibri"/>
        </w:rPr>
        <w:t>[</w:t>
      </w:r>
      <w:r w:rsidR="001C4EEA">
        <w:rPr>
          <w:rFonts w:ascii="Calibri" w:hAnsi="Calibri" w:cs="Calibri"/>
        </w:rPr>
        <w:t>Changes</w:t>
      </w:r>
      <w:r>
        <w:rPr>
          <w:rFonts w:ascii="Calibri" w:hAnsi="Calibri" w:cs="Calibri"/>
        </w:rPr>
        <w:t xml:space="preserve"> to the information collection burden</w:t>
      </w:r>
      <w:r w:rsidRPr="00825AFC">
        <w:rPr>
          <w:rFonts w:ascii="Calibri" w:hAnsi="Calibri" w:cs="Calibri"/>
        </w:rPr>
        <w:t>]</w:t>
      </w:r>
      <w:r w:rsidRPr="001E010D">
        <w:rPr>
          <w:rFonts w:ascii="Calibri" w:hAnsi="Calibri" w:cs="Calibri"/>
          <w:b/>
        </w:rPr>
        <w:t xml:space="preserve"> </w:t>
      </w:r>
    </w:p>
    <w:p w:rsidR="00486A79" w:rsidRDefault="00486A79" w14:paraId="5015700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DB3813" w:rsidP="00DB3813" w:rsidRDefault="00D3535F" w14:paraId="00D106FD" w14:textId="33539D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Due to the change</w:t>
      </w:r>
      <w:r w:rsidR="0086453C">
        <w:rPr>
          <w:rFonts w:ascii="Calibri" w:hAnsi="Calibri" w:cs="Calibri"/>
        </w:rPr>
        <w:t>d</w:t>
      </w:r>
      <w:r>
        <w:rPr>
          <w:rFonts w:ascii="Calibri" w:hAnsi="Calibri" w:cs="Calibri"/>
        </w:rPr>
        <w:t xml:space="preserve"> monitoring requirements in the 2021 MSGP, t</w:t>
      </w:r>
      <w:r w:rsidR="00384A71">
        <w:rPr>
          <w:rFonts w:ascii="Calibri" w:hAnsi="Calibri" w:cs="Calibri"/>
        </w:rPr>
        <w:t xml:space="preserve">he </w:t>
      </w:r>
      <w:r>
        <w:rPr>
          <w:rFonts w:ascii="Calibri" w:hAnsi="Calibri" w:cs="Calibri"/>
        </w:rPr>
        <w:t xml:space="preserve">DMR </w:t>
      </w:r>
      <w:r w:rsidR="00384A71">
        <w:rPr>
          <w:rFonts w:ascii="Calibri" w:hAnsi="Calibri" w:cs="Calibri"/>
        </w:rPr>
        <w:t xml:space="preserve">burden </w:t>
      </w:r>
      <w:r>
        <w:rPr>
          <w:rFonts w:ascii="Calibri" w:hAnsi="Calibri" w:cs="Calibri"/>
        </w:rPr>
        <w:t xml:space="preserve">estimated in this 2021 MSGP ICR is distinctly different than how the </w:t>
      </w:r>
      <w:r w:rsidR="00E31D70">
        <w:rPr>
          <w:rFonts w:ascii="Calibri" w:hAnsi="Calibri" w:cs="Calibri"/>
        </w:rPr>
        <w:t xml:space="preserve">NPDES Program ICR accounts </w:t>
      </w:r>
      <w:r w:rsidR="00A35A94">
        <w:rPr>
          <w:rFonts w:ascii="Calibri" w:hAnsi="Calibri" w:cs="Calibri"/>
        </w:rPr>
        <w:t xml:space="preserve">for </w:t>
      </w:r>
      <w:r w:rsidR="00E31D70">
        <w:rPr>
          <w:rFonts w:ascii="Calibri" w:hAnsi="Calibri" w:cs="Calibri"/>
        </w:rPr>
        <w:t xml:space="preserve">DMR </w:t>
      </w:r>
      <w:r>
        <w:rPr>
          <w:rFonts w:ascii="Calibri" w:hAnsi="Calibri" w:cs="Calibri"/>
        </w:rPr>
        <w:t xml:space="preserve">burden. </w:t>
      </w:r>
      <w:r w:rsidR="00E31D70">
        <w:rPr>
          <w:rFonts w:ascii="Calibri" w:hAnsi="Calibri" w:cs="Calibri"/>
        </w:rPr>
        <w:t xml:space="preserve">For the 2021 MSGP, </w:t>
      </w:r>
      <w:r w:rsidR="00DB3813">
        <w:rPr>
          <w:rFonts w:ascii="Calibri" w:hAnsi="Calibri" w:cs="Calibri"/>
        </w:rPr>
        <w:t xml:space="preserve">EPA estimates that it will take each respondent </w:t>
      </w:r>
      <w:r w:rsidR="00DD61E2">
        <w:rPr>
          <w:rFonts w:ascii="Calibri" w:hAnsi="Calibri" w:cs="Calibri"/>
        </w:rPr>
        <w:t xml:space="preserve">an average of </w:t>
      </w:r>
      <w:r w:rsidR="00DB3813">
        <w:rPr>
          <w:rFonts w:ascii="Calibri" w:hAnsi="Calibri" w:cs="Calibri"/>
        </w:rPr>
        <w:t xml:space="preserve">3.6 minutes to fill out the required data for each parameter in NetDMR. This burden estimate is an average of the “Batch” and “Hybrid” methods, as discussed in </w:t>
      </w:r>
      <w:r w:rsidRPr="009D21D1" w:rsidR="00DB3813">
        <w:rPr>
          <w:rFonts w:ascii="Calibri" w:hAnsi="Calibri" w:cs="Calibri"/>
        </w:rPr>
        <w:t xml:space="preserve">the </w:t>
      </w:r>
      <w:r w:rsidR="00DB3813">
        <w:rPr>
          <w:rFonts w:ascii="Calibri" w:hAnsi="Calibri" w:cs="Calibri"/>
        </w:rPr>
        <w:t>September</w:t>
      </w:r>
      <w:r w:rsidR="00770E3F">
        <w:rPr>
          <w:rFonts w:ascii="Calibri" w:hAnsi="Calibri" w:cs="Calibri"/>
        </w:rPr>
        <w:t> </w:t>
      </w:r>
      <w:r w:rsidRPr="009D21D1" w:rsidR="00DB3813">
        <w:rPr>
          <w:rFonts w:ascii="Calibri" w:hAnsi="Calibri" w:cs="Calibri"/>
        </w:rPr>
        <w:t>2015</w:t>
      </w:r>
      <w:r w:rsidR="00DB3813">
        <w:rPr>
          <w:rFonts w:ascii="Calibri" w:hAnsi="Calibri" w:cs="Calibri"/>
        </w:rPr>
        <w:t xml:space="preserve"> </w:t>
      </w:r>
      <w:r w:rsidRPr="009D21D1" w:rsidR="00DB3813">
        <w:rPr>
          <w:rFonts w:ascii="Calibri" w:hAnsi="Calibri" w:cs="Calibri"/>
        </w:rPr>
        <w:t>Economic Analysis of the National Pollutant Discharge Elimination System Electronic Reporting Final Rule (</w:t>
      </w:r>
      <w:r w:rsidR="00DB3813">
        <w:rPr>
          <w:rFonts w:ascii="Calibri" w:hAnsi="Calibri" w:cs="Calibri"/>
        </w:rPr>
        <w:t>Page 4-14 Table 4-9</w:t>
      </w:r>
      <w:r w:rsidRPr="009D21D1" w:rsidR="00DB3813">
        <w:rPr>
          <w:rFonts w:ascii="Calibri" w:hAnsi="Calibri" w:cs="Calibri"/>
        </w:rPr>
        <w:t xml:space="preserve">, </w:t>
      </w:r>
      <w:hyperlink w:history="1" r:id="rId14">
        <w:r w:rsidRPr="00886286" w:rsidR="00DB3813">
          <w:rPr>
            <w:rStyle w:val="Hyperlink"/>
            <w:rFonts w:ascii="Calibri" w:hAnsi="Calibri" w:cs="Calibri"/>
          </w:rPr>
          <w:t>https://www.epa.gov/sites/production/files/2015-09/documents/npdesea.pdf</w:t>
        </w:r>
      </w:hyperlink>
      <w:r w:rsidR="00DB3813">
        <w:rPr>
          <w:rFonts w:ascii="Calibri" w:hAnsi="Calibri" w:cs="Calibri"/>
        </w:rPr>
        <w:t>)</w:t>
      </w:r>
      <w:r w:rsidR="005248A1">
        <w:rPr>
          <w:rFonts w:ascii="Calibri" w:hAnsi="Calibri" w:cs="Calibri"/>
        </w:rPr>
        <w:t>.</w:t>
      </w:r>
      <w:r w:rsidR="00F447FA">
        <w:rPr>
          <w:rFonts w:ascii="Calibri" w:hAnsi="Calibri" w:cs="Calibri"/>
        </w:rPr>
        <w:t xml:space="preserve"> Using this assumption, each type of monitoring has a different data entry burden due to the different number of </w:t>
      </w:r>
      <w:r w:rsidR="00B50C5D">
        <w:rPr>
          <w:rFonts w:ascii="Calibri" w:hAnsi="Calibri" w:cs="Calibri"/>
        </w:rPr>
        <w:t xml:space="preserve">applicable </w:t>
      </w:r>
      <w:r w:rsidR="00F447FA">
        <w:rPr>
          <w:rFonts w:ascii="Calibri" w:hAnsi="Calibri" w:cs="Calibri"/>
        </w:rPr>
        <w:t xml:space="preserve">parameters and affected respondent population: </w:t>
      </w:r>
    </w:p>
    <w:p w:rsidR="0086617B" w:rsidP="001B3043" w:rsidRDefault="0086617B" w14:paraId="4235EF15" w14:textId="0D59A071">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412DC">
        <w:rPr>
          <w:rFonts w:ascii="Calibri" w:hAnsi="Calibri" w:cs="Calibri"/>
          <w:b/>
          <w:bCs/>
        </w:rPr>
        <w:t>Benchmark monitoring:</w:t>
      </w:r>
      <w:r w:rsidR="004412DC">
        <w:rPr>
          <w:rFonts w:ascii="Calibri" w:hAnsi="Calibri" w:cs="Calibri"/>
        </w:rPr>
        <w:t xml:space="preserve"> </w:t>
      </w:r>
      <w:r w:rsidR="005C22C7">
        <w:rPr>
          <w:rFonts w:ascii="Calibri" w:hAnsi="Calibri" w:cs="Calibri"/>
        </w:rPr>
        <w:t>There are approximately 1</w:t>
      </w:r>
      <w:r w:rsidR="00770E3F">
        <w:rPr>
          <w:rFonts w:ascii="Calibri" w:hAnsi="Calibri" w:cs="Calibri"/>
        </w:rPr>
        <w:t>,</w:t>
      </w:r>
      <w:r w:rsidR="005C22C7">
        <w:rPr>
          <w:rFonts w:ascii="Calibri" w:hAnsi="Calibri" w:cs="Calibri"/>
        </w:rPr>
        <w:t xml:space="preserve">231 </w:t>
      </w:r>
      <w:r w:rsidR="00770E3F">
        <w:rPr>
          <w:rFonts w:ascii="Calibri" w:hAnsi="Calibri" w:cs="Calibri"/>
        </w:rPr>
        <w:t>respondents</w:t>
      </w:r>
      <w:r w:rsidR="005C22C7">
        <w:rPr>
          <w:rFonts w:ascii="Calibri" w:hAnsi="Calibri" w:cs="Calibri"/>
        </w:rPr>
        <w:t xml:space="preserve"> across 18</w:t>
      </w:r>
      <w:r w:rsidR="00770E3F">
        <w:rPr>
          <w:rFonts w:ascii="Calibri" w:hAnsi="Calibri" w:cs="Calibri"/>
        </w:rPr>
        <w:t> </w:t>
      </w:r>
      <w:r w:rsidR="005C22C7">
        <w:rPr>
          <w:rFonts w:ascii="Calibri" w:hAnsi="Calibri" w:cs="Calibri"/>
        </w:rPr>
        <w:t xml:space="preserve">sectors that have benchmark monitoring requirements. </w:t>
      </w:r>
      <w:r w:rsidR="0026600C">
        <w:rPr>
          <w:rFonts w:ascii="Calibri" w:hAnsi="Calibri" w:cs="Calibri"/>
        </w:rPr>
        <w:t xml:space="preserve">Based on </w:t>
      </w:r>
      <w:r w:rsidR="003C5B30">
        <w:rPr>
          <w:rFonts w:ascii="Calibri" w:hAnsi="Calibri" w:cs="Calibri"/>
        </w:rPr>
        <w:t xml:space="preserve">benchmark exceedance data from </w:t>
      </w:r>
      <w:r w:rsidR="0026600C">
        <w:rPr>
          <w:rFonts w:ascii="Calibri" w:hAnsi="Calibri" w:cs="Calibri"/>
        </w:rPr>
        <w:t>2015 MSGP</w:t>
      </w:r>
      <w:r w:rsidR="001C7738">
        <w:rPr>
          <w:rFonts w:ascii="Calibri" w:hAnsi="Calibri" w:cs="Calibri"/>
        </w:rPr>
        <w:t xml:space="preserve"> DMR</w:t>
      </w:r>
      <w:r w:rsidR="003C5B30">
        <w:rPr>
          <w:rFonts w:ascii="Calibri" w:hAnsi="Calibri" w:cs="Calibri"/>
        </w:rPr>
        <w:t xml:space="preserve"> </w:t>
      </w:r>
      <w:r w:rsidR="0026600C">
        <w:rPr>
          <w:rFonts w:ascii="Calibri" w:hAnsi="Calibri" w:cs="Calibri"/>
        </w:rPr>
        <w:t xml:space="preserve">data, EPA </w:t>
      </w:r>
      <w:r w:rsidR="00180345">
        <w:rPr>
          <w:rFonts w:ascii="Calibri" w:hAnsi="Calibri" w:cs="Calibri"/>
        </w:rPr>
        <w:t xml:space="preserve">estimates </w:t>
      </w:r>
      <w:r w:rsidR="0026600C">
        <w:rPr>
          <w:rFonts w:ascii="Calibri" w:hAnsi="Calibri" w:cs="Calibri"/>
        </w:rPr>
        <w:t xml:space="preserve">that </w:t>
      </w:r>
      <w:r w:rsidR="003C5B30">
        <w:rPr>
          <w:rFonts w:ascii="Calibri" w:hAnsi="Calibri" w:cs="Calibri"/>
        </w:rPr>
        <w:t>40</w:t>
      </w:r>
      <w:r w:rsidR="0026600C">
        <w:rPr>
          <w:rFonts w:ascii="Calibri" w:hAnsi="Calibri" w:cs="Calibri"/>
        </w:rPr>
        <w:t xml:space="preserve">% of </w:t>
      </w:r>
      <w:r w:rsidR="001619D9">
        <w:rPr>
          <w:rFonts w:ascii="Calibri" w:hAnsi="Calibri" w:cs="Calibri"/>
        </w:rPr>
        <w:t>respondents</w:t>
      </w:r>
      <w:r w:rsidR="0026600C">
        <w:rPr>
          <w:rFonts w:ascii="Calibri" w:hAnsi="Calibri" w:cs="Calibri"/>
        </w:rPr>
        <w:t xml:space="preserve"> </w:t>
      </w:r>
      <w:r w:rsidR="00D2167C">
        <w:rPr>
          <w:rFonts w:ascii="Calibri" w:hAnsi="Calibri" w:cs="Calibri"/>
        </w:rPr>
        <w:t xml:space="preserve">with benchmark monitoring </w:t>
      </w:r>
      <w:r w:rsidR="0026600C">
        <w:rPr>
          <w:rFonts w:ascii="Calibri" w:hAnsi="Calibri" w:cs="Calibri"/>
        </w:rPr>
        <w:t xml:space="preserve">will </w:t>
      </w:r>
      <w:r w:rsidR="00CC0E6A">
        <w:rPr>
          <w:rFonts w:ascii="Calibri" w:hAnsi="Calibri" w:cs="Calibri"/>
        </w:rPr>
        <w:t>exceed a benchmark threshold each year</w:t>
      </w:r>
      <w:r w:rsidR="00B7675A">
        <w:rPr>
          <w:rFonts w:ascii="Calibri" w:hAnsi="Calibri" w:cs="Calibri"/>
        </w:rPr>
        <w:t xml:space="preserve"> and will therefore need </w:t>
      </w:r>
      <w:r w:rsidR="00651A2D">
        <w:rPr>
          <w:rFonts w:ascii="Calibri" w:hAnsi="Calibri" w:cs="Calibri"/>
        </w:rPr>
        <w:t xml:space="preserve">to </w:t>
      </w:r>
      <w:r w:rsidR="00B7675A">
        <w:rPr>
          <w:rFonts w:ascii="Calibri" w:hAnsi="Calibri" w:cs="Calibri"/>
        </w:rPr>
        <w:t xml:space="preserve">perform </w:t>
      </w:r>
      <w:r w:rsidR="000864AA">
        <w:rPr>
          <w:rFonts w:ascii="Calibri" w:hAnsi="Calibri" w:cs="Calibri"/>
        </w:rPr>
        <w:t>quarterly monitoring</w:t>
      </w:r>
      <w:r w:rsidR="007D024C">
        <w:rPr>
          <w:rFonts w:ascii="Calibri" w:hAnsi="Calibri" w:cs="Calibri"/>
        </w:rPr>
        <w:t xml:space="preserve"> </w:t>
      </w:r>
      <w:r w:rsidR="00E0420B">
        <w:rPr>
          <w:rFonts w:ascii="Calibri" w:hAnsi="Calibri" w:cs="Calibri"/>
        </w:rPr>
        <w:t xml:space="preserve">20 times </w:t>
      </w:r>
      <w:r w:rsidR="007D024C">
        <w:rPr>
          <w:rFonts w:ascii="Calibri" w:hAnsi="Calibri" w:cs="Calibri"/>
        </w:rPr>
        <w:t>throughout the permit term</w:t>
      </w:r>
      <w:r w:rsidR="000864AA">
        <w:rPr>
          <w:rFonts w:ascii="Calibri" w:hAnsi="Calibri" w:cs="Calibri"/>
        </w:rPr>
        <w:t xml:space="preserve">. </w:t>
      </w:r>
      <w:r w:rsidR="00627177">
        <w:rPr>
          <w:rFonts w:ascii="Calibri" w:hAnsi="Calibri" w:cs="Calibri"/>
        </w:rPr>
        <w:t>T</w:t>
      </w:r>
      <w:r w:rsidR="000864AA">
        <w:rPr>
          <w:rFonts w:ascii="Calibri" w:hAnsi="Calibri" w:cs="Calibri"/>
        </w:rPr>
        <w:t>he other 6</w:t>
      </w:r>
      <w:r w:rsidR="003C5B30">
        <w:rPr>
          <w:rFonts w:ascii="Calibri" w:hAnsi="Calibri" w:cs="Calibri"/>
        </w:rPr>
        <w:t>0</w:t>
      </w:r>
      <w:r w:rsidR="000864AA">
        <w:rPr>
          <w:rFonts w:ascii="Calibri" w:hAnsi="Calibri" w:cs="Calibri"/>
        </w:rPr>
        <w:t xml:space="preserve">% of respondents will </w:t>
      </w:r>
      <w:r w:rsidR="007D024C">
        <w:rPr>
          <w:rFonts w:ascii="Calibri" w:hAnsi="Calibri" w:cs="Calibri"/>
        </w:rPr>
        <w:t>only need to perform th</w:t>
      </w:r>
      <w:r w:rsidR="00E0420B">
        <w:rPr>
          <w:rFonts w:ascii="Calibri" w:hAnsi="Calibri" w:cs="Calibri"/>
        </w:rPr>
        <w:t>e</w:t>
      </w:r>
      <w:r w:rsidR="007D024C">
        <w:rPr>
          <w:rFonts w:ascii="Calibri" w:hAnsi="Calibri" w:cs="Calibri"/>
        </w:rPr>
        <w:t xml:space="preserve"> quarterly monitoring </w:t>
      </w:r>
      <w:r w:rsidR="00770E3F">
        <w:rPr>
          <w:rFonts w:ascii="Calibri" w:hAnsi="Calibri" w:cs="Calibri"/>
        </w:rPr>
        <w:t>eight</w:t>
      </w:r>
      <w:r w:rsidR="00E0420B">
        <w:rPr>
          <w:rFonts w:ascii="Calibri" w:hAnsi="Calibri" w:cs="Calibri"/>
        </w:rPr>
        <w:t xml:space="preserve"> times, </w:t>
      </w:r>
      <w:r w:rsidR="00E917E9">
        <w:rPr>
          <w:rFonts w:ascii="Calibri" w:hAnsi="Calibri" w:cs="Calibri"/>
        </w:rPr>
        <w:t xml:space="preserve">in </w:t>
      </w:r>
      <w:r w:rsidR="00770E3F">
        <w:rPr>
          <w:rFonts w:ascii="Calibri" w:hAnsi="Calibri" w:cs="Calibri"/>
        </w:rPr>
        <w:t>Y</w:t>
      </w:r>
      <w:r w:rsidR="00E917E9">
        <w:rPr>
          <w:rFonts w:ascii="Calibri" w:hAnsi="Calibri" w:cs="Calibri"/>
        </w:rPr>
        <w:t xml:space="preserve">ear 1 and </w:t>
      </w:r>
      <w:r w:rsidR="00770E3F">
        <w:rPr>
          <w:rFonts w:ascii="Calibri" w:hAnsi="Calibri" w:cs="Calibri"/>
        </w:rPr>
        <w:t>Y</w:t>
      </w:r>
      <w:r w:rsidR="00E917E9">
        <w:rPr>
          <w:rFonts w:ascii="Calibri" w:hAnsi="Calibri" w:cs="Calibri"/>
        </w:rPr>
        <w:t>ear 4.</w:t>
      </w:r>
      <w:r w:rsidR="009F3196">
        <w:rPr>
          <w:rFonts w:ascii="Calibri" w:hAnsi="Calibri" w:cs="Calibri"/>
        </w:rPr>
        <w:t xml:space="preserve"> </w:t>
      </w:r>
      <w:r w:rsidR="005B0BA9">
        <w:rPr>
          <w:rFonts w:ascii="Calibri" w:hAnsi="Calibri" w:cs="Calibri"/>
        </w:rPr>
        <w:t>EPA used this assumption to determine that</w:t>
      </w:r>
      <w:r w:rsidR="00C66B75">
        <w:rPr>
          <w:rFonts w:ascii="Calibri" w:hAnsi="Calibri" w:cs="Calibri"/>
        </w:rPr>
        <w:t xml:space="preserve"> </w:t>
      </w:r>
      <w:r w:rsidR="00EB078F">
        <w:rPr>
          <w:rFonts w:ascii="Calibri" w:hAnsi="Calibri" w:cs="Calibri"/>
        </w:rPr>
        <w:t>respondents will have an average annual reporting frequency of 5.22</w:t>
      </w:r>
      <w:r w:rsidR="00770E3F">
        <w:rPr>
          <w:rFonts w:ascii="Calibri" w:hAnsi="Calibri" w:cs="Calibri"/>
        </w:rPr>
        <w:t> </w:t>
      </w:r>
      <w:r w:rsidR="00EB078F">
        <w:rPr>
          <w:rFonts w:ascii="Calibri" w:hAnsi="Calibri" w:cs="Calibri"/>
        </w:rPr>
        <w:t xml:space="preserve">times. </w:t>
      </w:r>
      <w:r w:rsidR="0097107C">
        <w:rPr>
          <w:rFonts w:ascii="Calibri" w:hAnsi="Calibri" w:cs="Calibri"/>
        </w:rPr>
        <w:t xml:space="preserve">EPA used </w:t>
      </w:r>
      <w:r w:rsidR="00EB078F">
        <w:rPr>
          <w:rFonts w:ascii="Calibri" w:hAnsi="Calibri" w:cs="Calibri"/>
        </w:rPr>
        <w:t xml:space="preserve">this </w:t>
      </w:r>
      <w:r w:rsidR="007A42B8">
        <w:rPr>
          <w:rFonts w:ascii="Calibri" w:hAnsi="Calibri" w:cs="Calibri"/>
        </w:rPr>
        <w:t xml:space="preserve">annual reporting </w:t>
      </w:r>
      <w:r w:rsidR="00EB078F">
        <w:rPr>
          <w:rFonts w:ascii="Calibri" w:hAnsi="Calibri" w:cs="Calibri"/>
        </w:rPr>
        <w:t>frequency</w:t>
      </w:r>
      <w:r w:rsidR="007A42B8">
        <w:rPr>
          <w:rFonts w:ascii="Calibri" w:hAnsi="Calibri" w:cs="Calibri"/>
        </w:rPr>
        <w:t xml:space="preserve">, </w:t>
      </w:r>
      <w:r w:rsidR="001C7738">
        <w:rPr>
          <w:rFonts w:ascii="Calibri" w:hAnsi="Calibri" w:cs="Calibri"/>
        </w:rPr>
        <w:t>the number of benchmark parameters</w:t>
      </w:r>
      <w:r w:rsidR="00770E3F">
        <w:rPr>
          <w:rFonts w:ascii="Calibri" w:hAnsi="Calibri" w:cs="Calibri"/>
        </w:rPr>
        <w:t>,</w:t>
      </w:r>
      <w:r w:rsidR="001C7738">
        <w:rPr>
          <w:rFonts w:ascii="Calibri" w:hAnsi="Calibri" w:cs="Calibri"/>
        </w:rPr>
        <w:t xml:space="preserve"> </w:t>
      </w:r>
      <w:r w:rsidR="00F23094">
        <w:rPr>
          <w:rFonts w:ascii="Calibri" w:hAnsi="Calibri" w:cs="Calibri"/>
        </w:rPr>
        <w:t xml:space="preserve">and number of respondents </w:t>
      </w:r>
      <w:r w:rsidR="001C7738">
        <w:rPr>
          <w:rFonts w:ascii="Calibri" w:hAnsi="Calibri" w:cs="Calibri"/>
        </w:rPr>
        <w:t xml:space="preserve">for each sector to calculate </w:t>
      </w:r>
      <w:r w:rsidR="00731575">
        <w:rPr>
          <w:rFonts w:ascii="Calibri" w:hAnsi="Calibri" w:cs="Calibri"/>
        </w:rPr>
        <w:t xml:space="preserve">an annual burden per sector, and then </w:t>
      </w:r>
      <w:r w:rsidR="0097107C">
        <w:rPr>
          <w:rFonts w:ascii="Calibri" w:hAnsi="Calibri" w:cs="Calibri"/>
        </w:rPr>
        <w:t xml:space="preserve">summed the burden for all sectors </w:t>
      </w:r>
      <w:r w:rsidR="00A717DB">
        <w:rPr>
          <w:rFonts w:ascii="Calibri" w:hAnsi="Calibri" w:cs="Calibri"/>
        </w:rPr>
        <w:t xml:space="preserve">to calculate the total annual burden for benchmark monitoring. </w:t>
      </w:r>
      <w:r w:rsidR="007D4833">
        <w:rPr>
          <w:rFonts w:ascii="Calibri" w:hAnsi="Calibri" w:cs="Calibri"/>
        </w:rPr>
        <w:t xml:space="preserve">EPA assumed that all respondents have an average of 2.04 </w:t>
      </w:r>
      <w:r w:rsidR="00770E3F">
        <w:rPr>
          <w:rFonts w:ascii="Calibri" w:hAnsi="Calibri" w:cs="Calibri"/>
        </w:rPr>
        <w:t>discharge points</w:t>
      </w:r>
      <w:r w:rsidR="007D4833">
        <w:rPr>
          <w:rFonts w:ascii="Calibri" w:hAnsi="Calibri" w:cs="Calibri"/>
        </w:rPr>
        <w:t>.</w:t>
      </w:r>
    </w:p>
    <w:p w:rsidR="00B31BCD" w:rsidP="00773284" w:rsidRDefault="00B31BCD" w14:paraId="77396D5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773284" w:rsidR="0086617B" w:rsidP="007D4833" w:rsidRDefault="0086617B" w14:paraId="10FE170C" w14:textId="426CB783">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bCs/>
        </w:rPr>
      </w:pPr>
      <w:r w:rsidRPr="00773284">
        <w:rPr>
          <w:rFonts w:ascii="Calibri" w:hAnsi="Calibri" w:cs="Calibri"/>
          <w:b/>
          <w:bCs/>
        </w:rPr>
        <w:t>pH, TSS, COD indicator monitoring:</w:t>
      </w:r>
      <w:r w:rsidR="00323A90">
        <w:rPr>
          <w:rFonts w:ascii="Calibri" w:hAnsi="Calibri" w:cs="Calibri"/>
        </w:rPr>
        <w:t xml:space="preserve"> Based on </w:t>
      </w:r>
      <w:r w:rsidR="007518CB">
        <w:rPr>
          <w:rFonts w:ascii="Calibri" w:hAnsi="Calibri" w:cs="Calibri"/>
        </w:rPr>
        <w:t xml:space="preserve">2015 MSGP </w:t>
      </w:r>
      <w:r w:rsidRPr="00773284" w:rsidR="007518CB">
        <w:rPr>
          <w:rFonts w:ascii="Calibri" w:hAnsi="Calibri" w:cs="Calibri"/>
        </w:rPr>
        <w:t xml:space="preserve">data, EPA </w:t>
      </w:r>
      <w:r w:rsidR="00180345">
        <w:rPr>
          <w:rFonts w:ascii="Calibri" w:hAnsi="Calibri" w:cs="Calibri"/>
        </w:rPr>
        <w:t xml:space="preserve">estimates </w:t>
      </w:r>
      <w:r w:rsidRPr="00773284" w:rsidR="007518CB">
        <w:rPr>
          <w:rFonts w:ascii="Calibri" w:hAnsi="Calibri" w:cs="Calibri"/>
        </w:rPr>
        <w:t xml:space="preserve">that </w:t>
      </w:r>
      <w:r w:rsidR="003F73A0">
        <w:rPr>
          <w:rFonts w:ascii="Calibri" w:hAnsi="Calibri" w:cs="Calibri"/>
        </w:rPr>
        <w:t xml:space="preserve">there are approximately 844 respondents across 22 sectors that must perform </w:t>
      </w:r>
      <w:r w:rsidR="00A61374">
        <w:rPr>
          <w:rFonts w:ascii="Calibri" w:hAnsi="Calibri" w:cs="Calibri"/>
        </w:rPr>
        <w:t xml:space="preserve">quarterly </w:t>
      </w:r>
      <w:r w:rsidR="003F73A0">
        <w:rPr>
          <w:rFonts w:ascii="Calibri" w:hAnsi="Calibri" w:cs="Calibri"/>
        </w:rPr>
        <w:t>indicator monitoring</w:t>
      </w:r>
      <w:r w:rsidR="001A07D2">
        <w:rPr>
          <w:rFonts w:ascii="Calibri" w:hAnsi="Calibri" w:cs="Calibri"/>
        </w:rPr>
        <w:t xml:space="preserve"> 20 times throughout the permit term</w:t>
      </w:r>
      <w:r w:rsidR="003F73A0">
        <w:rPr>
          <w:rFonts w:ascii="Calibri" w:hAnsi="Calibri" w:cs="Calibri"/>
        </w:rPr>
        <w:t xml:space="preserve"> for these three parameters</w:t>
      </w:r>
      <w:r w:rsidR="000C0B96">
        <w:rPr>
          <w:rFonts w:ascii="Calibri" w:hAnsi="Calibri" w:cs="Calibri"/>
        </w:rPr>
        <w:t xml:space="preserve"> (</w:t>
      </w:r>
      <w:r w:rsidR="00770E3F">
        <w:rPr>
          <w:rFonts w:ascii="Calibri" w:hAnsi="Calibri" w:cs="Calibri"/>
        </w:rPr>
        <w:t>four</w:t>
      </w:r>
      <w:r w:rsidR="000C0B96">
        <w:rPr>
          <w:rFonts w:ascii="Calibri" w:hAnsi="Calibri" w:cs="Calibri"/>
        </w:rPr>
        <w:t xml:space="preserve"> times per year)</w:t>
      </w:r>
      <w:r w:rsidR="003F73A0">
        <w:rPr>
          <w:rFonts w:ascii="Calibri" w:hAnsi="Calibri" w:cs="Calibri"/>
        </w:rPr>
        <w:t xml:space="preserve">. </w:t>
      </w:r>
      <w:r w:rsidR="00A61374">
        <w:rPr>
          <w:rFonts w:ascii="Calibri" w:hAnsi="Calibri" w:cs="Calibri"/>
        </w:rPr>
        <w:t>E</w:t>
      </w:r>
      <w:r w:rsidR="005909A6">
        <w:rPr>
          <w:rFonts w:ascii="Calibri" w:hAnsi="Calibri" w:cs="Calibri"/>
        </w:rPr>
        <w:t xml:space="preserve">PA </w:t>
      </w:r>
      <w:r w:rsidR="009F50C0">
        <w:rPr>
          <w:rFonts w:ascii="Calibri" w:hAnsi="Calibri" w:cs="Calibri"/>
        </w:rPr>
        <w:t xml:space="preserve">estimates </w:t>
      </w:r>
      <w:r w:rsidR="005909A6">
        <w:rPr>
          <w:rFonts w:ascii="Calibri" w:hAnsi="Calibri" w:cs="Calibri"/>
        </w:rPr>
        <w:t xml:space="preserve">that </w:t>
      </w:r>
      <w:r w:rsidR="009F50C0">
        <w:rPr>
          <w:rFonts w:ascii="Calibri" w:hAnsi="Calibri" w:cs="Calibri"/>
        </w:rPr>
        <w:t xml:space="preserve">each respondent will need </w:t>
      </w:r>
      <w:r w:rsidR="000C0B96">
        <w:rPr>
          <w:rFonts w:ascii="Calibri" w:hAnsi="Calibri" w:cs="Calibri"/>
        </w:rPr>
        <w:t xml:space="preserve">0.36 hours </w:t>
      </w:r>
      <w:r w:rsidR="00BF4FEA">
        <w:rPr>
          <w:rFonts w:ascii="Calibri" w:hAnsi="Calibri" w:cs="Calibri"/>
        </w:rPr>
        <w:t xml:space="preserve">per response </w:t>
      </w:r>
      <w:r w:rsidR="009F50C0">
        <w:rPr>
          <w:rFonts w:ascii="Calibri" w:hAnsi="Calibri" w:cs="Calibri"/>
        </w:rPr>
        <w:t xml:space="preserve">to complete </w:t>
      </w:r>
      <w:r w:rsidR="00BF4FEA">
        <w:rPr>
          <w:rFonts w:ascii="Calibri" w:hAnsi="Calibri" w:cs="Calibri"/>
        </w:rPr>
        <w:t xml:space="preserve">DMR </w:t>
      </w:r>
      <w:r w:rsidR="009F50C0">
        <w:rPr>
          <w:rFonts w:ascii="Calibri" w:hAnsi="Calibri" w:cs="Calibri"/>
        </w:rPr>
        <w:t xml:space="preserve">data entry </w:t>
      </w:r>
      <w:r w:rsidR="00BF4FEA">
        <w:rPr>
          <w:rFonts w:ascii="Calibri" w:hAnsi="Calibri" w:cs="Calibri"/>
        </w:rPr>
        <w:t>for these three parameters</w:t>
      </w:r>
      <w:r w:rsidR="000C4D7D">
        <w:rPr>
          <w:rFonts w:ascii="Calibri" w:hAnsi="Calibri" w:cs="Calibri"/>
        </w:rPr>
        <w:t xml:space="preserve"> for 2.04 </w:t>
      </w:r>
      <w:r w:rsidR="00770E3F">
        <w:rPr>
          <w:rFonts w:ascii="Calibri" w:hAnsi="Calibri" w:cs="Calibri"/>
        </w:rPr>
        <w:t>discharge points</w:t>
      </w:r>
      <w:r w:rsidR="00BF4FEA">
        <w:rPr>
          <w:rFonts w:ascii="Calibri" w:hAnsi="Calibri" w:cs="Calibri"/>
        </w:rPr>
        <w:t>.</w:t>
      </w:r>
    </w:p>
    <w:p w:rsidR="00B31BCD" w:rsidP="00773284" w:rsidRDefault="00B31BCD" w14:paraId="07DF269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FD2BA8" w:rsidP="001B3043" w:rsidRDefault="0086617B" w14:paraId="661082FF" w14:textId="6116E678">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PAH indicator monitoring</w:t>
      </w:r>
      <w:r>
        <w:rPr>
          <w:rFonts w:ascii="Calibri" w:hAnsi="Calibri" w:cs="Calibri"/>
        </w:rPr>
        <w:t xml:space="preserve">: </w:t>
      </w:r>
      <w:r w:rsidR="00180345">
        <w:rPr>
          <w:rFonts w:ascii="Calibri" w:hAnsi="Calibri" w:cs="Calibri"/>
        </w:rPr>
        <w:t>Based on 2015 MSGP data</w:t>
      </w:r>
      <w:r w:rsidR="002D296C">
        <w:rPr>
          <w:rFonts w:ascii="Calibri" w:hAnsi="Calibri" w:cs="Calibri"/>
        </w:rPr>
        <w:t>,</w:t>
      </w:r>
      <w:r w:rsidR="00180345">
        <w:rPr>
          <w:rFonts w:ascii="Calibri" w:hAnsi="Calibri" w:cs="Calibri"/>
        </w:rPr>
        <w:t xml:space="preserve"> </w:t>
      </w:r>
      <w:r w:rsidRPr="001E010D" w:rsidR="000B7D4B">
        <w:rPr>
          <w:rFonts w:ascii="Calibri" w:hAnsi="Calibri" w:cs="Calibri"/>
        </w:rPr>
        <w:t>EPA estimates that</w:t>
      </w:r>
      <w:r w:rsidR="000B7D4B">
        <w:rPr>
          <w:rFonts w:ascii="Calibri" w:hAnsi="Calibri" w:cs="Calibri"/>
        </w:rPr>
        <w:t xml:space="preserve"> a total of 1,022 respondents </w:t>
      </w:r>
      <w:r w:rsidRPr="001E010D" w:rsidR="000B7D4B">
        <w:rPr>
          <w:rFonts w:ascii="Calibri" w:hAnsi="Calibri" w:cs="Calibri"/>
        </w:rPr>
        <w:t xml:space="preserve">will </w:t>
      </w:r>
      <w:r w:rsidR="000B7D4B">
        <w:rPr>
          <w:rFonts w:ascii="Calibri" w:hAnsi="Calibri" w:cs="Calibri"/>
        </w:rPr>
        <w:t>perform PAH indicator monitoring twice a year in permit Years 1 and 4</w:t>
      </w:r>
      <w:r w:rsidRPr="001E010D" w:rsidR="000B7D4B">
        <w:rPr>
          <w:rFonts w:ascii="Calibri" w:hAnsi="Calibri" w:cs="Calibri"/>
        </w:rPr>
        <w:t xml:space="preserve">. </w:t>
      </w:r>
      <w:r w:rsidRPr="00905439" w:rsidR="000B7D4B">
        <w:rPr>
          <w:rFonts w:ascii="Calibri" w:hAnsi="Calibri" w:cs="Calibri"/>
        </w:rPr>
        <w:t>To estimate the total number of operators</w:t>
      </w:r>
      <w:r w:rsidR="000B7D4B">
        <w:rPr>
          <w:rFonts w:ascii="Calibri" w:hAnsi="Calibri" w:cs="Calibri"/>
        </w:rPr>
        <w:t>, EPA assumed 645</w:t>
      </w:r>
      <w:r w:rsidRPr="001E010D" w:rsidR="000B7D4B">
        <w:rPr>
          <w:rFonts w:ascii="Calibri" w:hAnsi="Calibri" w:cs="Calibri"/>
        </w:rPr>
        <w:t xml:space="preserve"> </w:t>
      </w:r>
      <w:r w:rsidR="000B7D4B">
        <w:rPr>
          <w:rFonts w:ascii="Calibri" w:hAnsi="Calibri" w:cs="Calibri"/>
        </w:rPr>
        <w:t>respondents</w:t>
      </w:r>
      <w:r w:rsidRPr="001E010D" w:rsidR="000B7D4B">
        <w:rPr>
          <w:rFonts w:ascii="Calibri" w:hAnsi="Calibri" w:cs="Calibri"/>
        </w:rPr>
        <w:t xml:space="preserve"> </w:t>
      </w:r>
      <w:r w:rsidR="000B7D4B">
        <w:rPr>
          <w:rFonts w:ascii="Calibri" w:hAnsi="Calibri" w:cs="Calibri"/>
        </w:rPr>
        <w:t xml:space="preserve">across 12 sectors need to perform PAH indicator monitoring because their industry activities have the highest risk of generating PAH contaminated stormwater. The remaining </w:t>
      </w:r>
      <w:r w:rsidRPr="00905439" w:rsidR="000B7D4B">
        <w:rPr>
          <w:rFonts w:ascii="Calibri" w:hAnsi="Calibri" w:cs="Calibri"/>
        </w:rPr>
        <w:t xml:space="preserve">377 operators </w:t>
      </w:r>
      <w:r w:rsidR="000B7D4B">
        <w:rPr>
          <w:rFonts w:ascii="Calibri" w:hAnsi="Calibri" w:cs="Calibri"/>
        </w:rPr>
        <w:t>was calculated</w:t>
      </w:r>
      <w:r w:rsidRPr="00905439" w:rsidR="000B7D4B">
        <w:rPr>
          <w:rFonts w:ascii="Calibri" w:hAnsi="Calibri" w:cs="Calibri"/>
        </w:rPr>
        <w:t xml:space="preserve"> by assuming half of all operators on the east co</w:t>
      </w:r>
      <w:r w:rsidR="000B7D4B">
        <w:rPr>
          <w:rFonts w:ascii="Calibri" w:hAnsi="Calibri" w:cs="Calibri"/>
        </w:rPr>
        <w:t>a</w:t>
      </w:r>
      <w:r w:rsidRPr="00905439" w:rsidR="000B7D4B">
        <w:rPr>
          <w:rFonts w:ascii="Calibri" w:hAnsi="Calibri" w:cs="Calibri"/>
        </w:rPr>
        <w:t xml:space="preserve">st </w:t>
      </w:r>
      <w:r w:rsidR="000B7D4B">
        <w:rPr>
          <w:rFonts w:ascii="Calibri" w:hAnsi="Calibri" w:cs="Calibri"/>
        </w:rPr>
        <w:t>use coal-tar sealcoat</w:t>
      </w:r>
      <w:r w:rsidRPr="00905439" w:rsidR="000B7D4B">
        <w:rPr>
          <w:rFonts w:ascii="Calibri" w:hAnsi="Calibri" w:cs="Calibri"/>
        </w:rPr>
        <w:t xml:space="preserve">. </w:t>
      </w:r>
      <w:r w:rsidR="000B7D4B">
        <w:rPr>
          <w:rFonts w:ascii="Calibri" w:hAnsi="Calibri" w:cs="Calibri"/>
        </w:rPr>
        <w:t xml:space="preserve">EPA </w:t>
      </w:r>
      <w:r w:rsidRPr="00905439" w:rsidR="000B7D4B">
        <w:rPr>
          <w:rFonts w:ascii="Calibri" w:hAnsi="Calibri" w:cs="Calibri"/>
        </w:rPr>
        <w:t>assum</w:t>
      </w:r>
      <w:r w:rsidR="000B7D4B">
        <w:rPr>
          <w:rFonts w:ascii="Calibri" w:hAnsi="Calibri" w:cs="Calibri"/>
        </w:rPr>
        <w:t>ed this because they</w:t>
      </w:r>
      <w:r w:rsidRPr="00905439" w:rsidR="000B7D4B">
        <w:rPr>
          <w:rFonts w:ascii="Calibri" w:hAnsi="Calibri" w:cs="Calibri"/>
        </w:rPr>
        <w:t xml:space="preserve"> observ</w:t>
      </w:r>
      <w:r w:rsidR="000B7D4B">
        <w:rPr>
          <w:rFonts w:ascii="Calibri" w:hAnsi="Calibri" w:cs="Calibri"/>
        </w:rPr>
        <w:t>ed</w:t>
      </w:r>
      <w:r w:rsidRPr="00905439" w:rsidR="000B7D4B">
        <w:rPr>
          <w:rFonts w:ascii="Calibri" w:hAnsi="Calibri" w:cs="Calibri"/>
        </w:rPr>
        <w:t xml:space="preserve"> that coal-tar sealcoat is more widely used on the </w:t>
      </w:r>
      <w:r w:rsidR="000B7D4B">
        <w:rPr>
          <w:rFonts w:ascii="Calibri" w:hAnsi="Calibri" w:cs="Calibri"/>
        </w:rPr>
        <w:t>e</w:t>
      </w:r>
      <w:r w:rsidRPr="00905439" w:rsidR="000B7D4B">
        <w:rPr>
          <w:rFonts w:ascii="Calibri" w:hAnsi="Calibri" w:cs="Calibri"/>
        </w:rPr>
        <w:t xml:space="preserve">ast </w:t>
      </w:r>
      <w:r w:rsidR="000B7D4B">
        <w:rPr>
          <w:rFonts w:ascii="Calibri" w:hAnsi="Calibri" w:cs="Calibri"/>
        </w:rPr>
        <w:t>c</w:t>
      </w:r>
      <w:r w:rsidRPr="00905439" w:rsidR="000B7D4B">
        <w:rPr>
          <w:rFonts w:ascii="Calibri" w:hAnsi="Calibri" w:cs="Calibri"/>
        </w:rPr>
        <w:t>oast</w:t>
      </w:r>
      <w:r w:rsidR="000B7D4B">
        <w:rPr>
          <w:rFonts w:ascii="Calibri" w:hAnsi="Calibri" w:cs="Calibri"/>
        </w:rPr>
        <w:t xml:space="preserve"> and</w:t>
      </w:r>
      <w:r w:rsidRPr="00905439" w:rsidR="000B7D4B">
        <w:rPr>
          <w:rFonts w:ascii="Calibri" w:hAnsi="Calibri" w:cs="Calibri"/>
        </w:rPr>
        <w:t xml:space="preserve"> EPA assumed that only 50% of </w:t>
      </w:r>
      <w:r w:rsidR="000B7D4B">
        <w:rPr>
          <w:rFonts w:ascii="Calibri" w:hAnsi="Calibri" w:cs="Calibri"/>
        </w:rPr>
        <w:t>e</w:t>
      </w:r>
      <w:r w:rsidRPr="00905439" w:rsidR="000B7D4B">
        <w:rPr>
          <w:rFonts w:ascii="Calibri" w:hAnsi="Calibri" w:cs="Calibri"/>
        </w:rPr>
        <w:t xml:space="preserve">ast </w:t>
      </w:r>
      <w:r w:rsidR="000B7D4B">
        <w:rPr>
          <w:rFonts w:ascii="Calibri" w:hAnsi="Calibri" w:cs="Calibri"/>
        </w:rPr>
        <w:t>c</w:t>
      </w:r>
      <w:r w:rsidRPr="00905439" w:rsidR="000B7D4B">
        <w:rPr>
          <w:rFonts w:ascii="Calibri" w:hAnsi="Calibri" w:cs="Calibri"/>
        </w:rPr>
        <w:t xml:space="preserve">oast </w:t>
      </w:r>
      <w:r w:rsidR="000B7D4B">
        <w:rPr>
          <w:rFonts w:ascii="Calibri" w:hAnsi="Calibri" w:cs="Calibri"/>
        </w:rPr>
        <w:t xml:space="preserve">respondents would </w:t>
      </w:r>
      <w:r w:rsidRPr="00905439" w:rsidR="000B7D4B">
        <w:rPr>
          <w:rFonts w:ascii="Calibri" w:hAnsi="Calibri" w:cs="Calibri"/>
        </w:rPr>
        <w:t xml:space="preserve">use coal-tar sealcoat </w:t>
      </w:r>
      <w:r w:rsidR="000B7D4B">
        <w:rPr>
          <w:rFonts w:ascii="Calibri" w:hAnsi="Calibri" w:cs="Calibri"/>
        </w:rPr>
        <w:t xml:space="preserve">due to </w:t>
      </w:r>
      <w:r w:rsidRPr="00905439" w:rsidR="000B7D4B">
        <w:rPr>
          <w:rFonts w:ascii="Calibri" w:hAnsi="Calibri" w:cs="Calibri"/>
        </w:rPr>
        <w:t xml:space="preserve">other </w:t>
      </w:r>
      <w:r w:rsidR="000B7D4B">
        <w:rPr>
          <w:rFonts w:ascii="Calibri" w:hAnsi="Calibri" w:cs="Calibri"/>
        </w:rPr>
        <w:t xml:space="preserve">available </w:t>
      </w:r>
      <w:r w:rsidRPr="00905439" w:rsidR="000B7D4B">
        <w:rPr>
          <w:rFonts w:ascii="Calibri" w:hAnsi="Calibri" w:cs="Calibri"/>
        </w:rPr>
        <w:t>alternatives (e.g., asphalt-based sealant or acrylic sealant).</w:t>
      </w:r>
      <w:r w:rsidR="000B7D4B">
        <w:rPr>
          <w:rFonts w:ascii="Calibri" w:hAnsi="Calibri" w:cs="Calibri"/>
        </w:rPr>
        <w:t xml:space="preserve"> Each respondent would need to monitor </w:t>
      </w:r>
      <w:r w:rsidR="0042653E">
        <w:rPr>
          <w:rFonts w:ascii="Calibri" w:hAnsi="Calibri" w:cs="Calibri"/>
        </w:rPr>
        <w:t>for the</w:t>
      </w:r>
      <w:r w:rsidR="004C5809">
        <w:rPr>
          <w:rFonts w:ascii="Calibri" w:hAnsi="Calibri" w:cs="Calibri"/>
        </w:rPr>
        <w:t xml:space="preserve"> 16 </w:t>
      </w:r>
      <w:r w:rsidR="0042653E">
        <w:rPr>
          <w:rFonts w:ascii="Calibri" w:hAnsi="Calibri" w:cs="Calibri"/>
        </w:rPr>
        <w:t>individual</w:t>
      </w:r>
      <w:r w:rsidR="004C5809">
        <w:rPr>
          <w:rFonts w:ascii="Calibri" w:hAnsi="Calibri" w:cs="Calibri"/>
        </w:rPr>
        <w:t xml:space="preserve"> </w:t>
      </w:r>
      <w:r w:rsidR="0042653E">
        <w:rPr>
          <w:rFonts w:ascii="Calibri" w:hAnsi="Calibri" w:cs="Calibri"/>
        </w:rPr>
        <w:t xml:space="preserve">priority pollutant </w:t>
      </w:r>
      <w:r w:rsidR="004C5809">
        <w:rPr>
          <w:rFonts w:ascii="Calibri" w:hAnsi="Calibri" w:cs="Calibri"/>
        </w:rPr>
        <w:t>PAH</w:t>
      </w:r>
      <w:r w:rsidR="0042653E">
        <w:rPr>
          <w:rFonts w:ascii="Calibri" w:hAnsi="Calibri" w:cs="Calibri"/>
        </w:rPr>
        <w:t>s</w:t>
      </w:r>
      <w:r w:rsidR="004C5809">
        <w:rPr>
          <w:rFonts w:ascii="Calibri" w:hAnsi="Calibri" w:cs="Calibri"/>
        </w:rPr>
        <w:t xml:space="preserve">, so EPA estimates that each respondent will need 1.92 hours </w:t>
      </w:r>
      <w:r w:rsidR="002D296C">
        <w:rPr>
          <w:rFonts w:ascii="Calibri" w:hAnsi="Calibri" w:cs="Calibri"/>
        </w:rPr>
        <w:t>per response to complete DMR data entry</w:t>
      </w:r>
      <w:r w:rsidR="000C4D7D">
        <w:rPr>
          <w:rFonts w:ascii="Calibri" w:hAnsi="Calibri" w:cs="Calibri"/>
        </w:rPr>
        <w:t xml:space="preserve"> for 2.04</w:t>
      </w:r>
      <w:r w:rsidR="00770E3F">
        <w:rPr>
          <w:rFonts w:ascii="Calibri" w:hAnsi="Calibri" w:cs="Calibri"/>
        </w:rPr>
        <w:t> discharge points</w:t>
      </w:r>
      <w:r w:rsidR="002D296C">
        <w:rPr>
          <w:rFonts w:ascii="Calibri" w:hAnsi="Calibri" w:cs="Calibri"/>
        </w:rPr>
        <w:t xml:space="preserve">. </w:t>
      </w:r>
    </w:p>
    <w:p w:rsidR="00B31BCD" w:rsidP="00773284" w:rsidRDefault="00B31BCD" w14:paraId="65FB6DC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D13EF" w:rsidRDefault="00382583" w14:paraId="185165D9" w14:textId="54BF230E">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Impaired waters monitoring:</w:t>
      </w:r>
      <w:r>
        <w:rPr>
          <w:rFonts w:ascii="Calibri" w:hAnsi="Calibri" w:cs="Calibri"/>
        </w:rPr>
        <w:t xml:space="preserve"> </w:t>
      </w:r>
      <w:r w:rsidR="002D296C">
        <w:rPr>
          <w:rFonts w:ascii="Calibri" w:hAnsi="Calibri" w:cs="Calibri"/>
        </w:rPr>
        <w:t xml:space="preserve">Based on 2015 MSGP data, </w:t>
      </w:r>
      <w:r w:rsidRPr="00773284" w:rsidR="00F414E5">
        <w:rPr>
          <w:rFonts w:ascii="Calibri" w:hAnsi="Calibri" w:cs="Calibri"/>
        </w:rPr>
        <w:t>EPA</w:t>
      </w:r>
      <w:r w:rsidRPr="00773284" w:rsidR="006454A9">
        <w:rPr>
          <w:rFonts w:ascii="Calibri" w:hAnsi="Calibri" w:cs="Calibri"/>
        </w:rPr>
        <w:t xml:space="preserve"> estimates that </w:t>
      </w:r>
      <w:r w:rsidRPr="00773284" w:rsidR="00006466">
        <w:rPr>
          <w:rFonts w:ascii="Calibri" w:hAnsi="Calibri" w:cs="Calibri"/>
        </w:rPr>
        <w:t>8</w:t>
      </w:r>
      <w:r w:rsidR="002C63F6">
        <w:rPr>
          <w:rFonts w:ascii="Calibri" w:hAnsi="Calibri" w:cs="Calibri"/>
        </w:rPr>
        <w:t>06</w:t>
      </w:r>
      <w:r w:rsidRPr="00773284" w:rsidR="00006466">
        <w:rPr>
          <w:rFonts w:ascii="Calibri" w:hAnsi="Calibri" w:cs="Calibri"/>
        </w:rPr>
        <w:t xml:space="preserve"> </w:t>
      </w:r>
      <w:r w:rsidR="001619D9">
        <w:rPr>
          <w:rFonts w:ascii="Calibri" w:hAnsi="Calibri" w:cs="Calibri"/>
        </w:rPr>
        <w:t>respondents</w:t>
      </w:r>
      <w:r w:rsidRPr="002C63F6" w:rsidR="00006466">
        <w:rPr>
          <w:rFonts w:ascii="Calibri" w:hAnsi="Calibri" w:cs="Calibri"/>
        </w:rPr>
        <w:t xml:space="preserve"> will conduct impaired waters monitoring</w:t>
      </w:r>
      <w:r w:rsidR="00CC0AE2">
        <w:rPr>
          <w:rFonts w:ascii="Calibri" w:hAnsi="Calibri" w:cs="Calibri"/>
        </w:rPr>
        <w:t xml:space="preserve">. EPA assumes that approximately 90% of </w:t>
      </w:r>
      <w:r w:rsidR="00621BC4">
        <w:rPr>
          <w:rFonts w:ascii="Calibri" w:hAnsi="Calibri" w:cs="Calibri"/>
        </w:rPr>
        <w:t>the 8</w:t>
      </w:r>
      <w:r w:rsidR="002C63F6">
        <w:rPr>
          <w:rFonts w:ascii="Calibri" w:hAnsi="Calibri" w:cs="Calibri"/>
        </w:rPr>
        <w:t>06</w:t>
      </w:r>
      <w:r w:rsidR="00621BC4">
        <w:rPr>
          <w:rFonts w:ascii="Calibri" w:hAnsi="Calibri" w:cs="Calibri"/>
        </w:rPr>
        <w:t xml:space="preserve"> respondents will only need to conduct </w:t>
      </w:r>
      <w:r w:rsidR="008A0E62">
        <w:rPr>
          <w:rFonts w:ascii="Calibri" w:hAnsi="Calibri" w:cs="Calibri"/>
        </w:rPr>
        <w:t xml:space="preserve">annual </w:t>
      </w:r>
      <w:r w:rsidR="00621BC4">
        <w:rPr>
          <w:rFonts w:ascii="Calibri" w:hAnsi="Calibri" w:cs="Calibri"/>
        </w:rPr>
        <w:t>impaired waters monitoring</w:t>
      </w:r>
      <w:r w:rsidRPr="002C63F6" w:rsidR="00006466">
        <w:rPr>
          <w:rFonts w:ascii="Calibri" w:hAnsi="Calibri" w:cs="Calibri"/>
        </w:rPr>
        <w:t xml:space="preserve"> in permit </w:t>
      </w:r>
      <w:r w:rsidR="0042653E">
        <w:rPr>
          <w:rFonts w:ascii="Calibri" w:hAnsi="Calibri" w:cs="Calibri"/>
        </w:rPr>
        <w:t>Y</w:t>
      </w:r>
      <w:r w:rsidRPr="002C63F6" w:rsidR="00006466">
        <w:rPr>
          <w:rFonts w:ascii="Calibri" w:hAnsi="Calibri" w:cs="Calibri"/>
        </w:rPr>
        <w:t>ear</w:t>
      </w:r>
      <w:r w:rsidRPr="002C63F6" w:rsidR="00CD13EF">
        <w:rPr>
          <w:rFonts w:ascii="Calibri" w:hAnsi="Calibri" w:cs="Calibri"/>
        </w:rPr>
        <w:t>s</w:t>
      </w:r>
      <w:r w:rsidR="00621BC4">
        <w:rPr>
          <w:rFonts w:ascii="Calibri" w:hAnsi="Calibri" w:cs="Calibri"/>
        </w:rPr>
        <w:t xml:space="preserve"> 1 and 4</w:t>
      </w:r>
      <w:r w:rsidRPr="002C63F6" w:rsidR="00006466">
        <w:rPr>
          <w:rFonts w:ascii="Calibri" w:hAnsi="Calibri" w:cs="Calibri"/>
        </w:rPr>
        <w:t xml:space="preserve">. </w:t>
      </w:r>
      <w:r w:rsidR="008A0E62">
        <w:rPr>
          <w:rFonts w:ascii="Calibri" w:hAnsi="Calibri" w:cs="Calibri"/>
        </w:rPr>
        <w:t xml:space="preserve">The remaining 10% of respondents will need to conduct annual impaired waters monitoring </w:t>
      </w:r>
      <w:r w:rsidR="002811C8">
        <w:rPr>
          <w:rFonts w:ascii="Calibri" w:hAnsi="Calibri" w:cs="Calibri"/>
        </w:rPr>
        <w:t xml:space="preserve">throughout the permit term. </w:t>
      </w:r>
      <w:r w:rsidR="00B45202">
        <w:rPr>
          <w:rFonts w:ascii="Calibri" w:hAnsi="Calibri" w:cs="Calibri"/>
        </w:rPr>
        <w:t xml:space="preserve">Since there is wide variability in </w:t>
      </w:r>
      <w:r w:rsidR="0042653E">
        <w:rPr>
          <w:rFonts w:ascii="Calibri" w:hAnsi="Calibri" w:cs="Calibri"/>
        </w:rPr>
        <w:t>the number of</w:t>
      </w:r>
      <w:r w:rsidR="00B45202">
        <w:rPr>
          <w:rFonts w:ascii="Calibri" w:hAnsi="Calibri" w:cs="Calibri"/>
        </w:rPr>
        <w:t xml:space="preserve"> </w:t>
      </w:r>
      <w:r w:rsidR="00C210A5">
        <w:rPr>
          <w:rFonts w:ascii="Calibri" w:hAnsi="Calibri" w:cs="Calibri"/>
        </w:rPr>
        <w:t>pollutants respondents may be required to monitor, for the purpose of this ICR, EPA assumes that respondents need to monitor for one impaired water pollutant</w:t>
      </w:r>
      <w:r w:rsidR="00AE6566">
        <w:rPr>
          <w:rFonts w:ascii="Calibri" w:hAnsi="Calibri" w:cs="Calibri"/>
        </w:rPr>
        <w:t xml:space="preserve"> at 2.04 </w:t>
      </w:r>
      <w:r w:rsidR="00770E3F">
        <w:rPr>
          <w:rFonts w:ascii="Calibri" w:hAnsi="Calibri" w:cs="Calibri"/>
        </w:rPr>
        <w:t>discharge points</w:t>
      </w:r>
      <w:r w:rsidR="00C210A5">
        <w:rPr>
          <w:rFonts w:ascii="Calibri" w:hAnsi="Calibri" w:cs="Calibri"/>
        </w:rPr>
        <w:t xml:space="preserve">. Thus, EPA estimates each respondent will need 0.12 hours per response to complete DMR data entry. </w:t>
      </w:r>
    </w:p>
    <w:p w:rsidRPr="002C63F6" w:rsidR="007D4833" w:rsidP="002C63F6" w:rsidRDefault="007D4833" w14:paraId="741FE56F" w14:textId="77777777">
      <w:pPr>
        <w:pStyle w:val="ListParagraph"/>
        <w:rPr>
          <w:rFonts w:ascii="Calibri" w:hAnsi="Calibri" w:cs="Calibri"/>
        </w:rPr>
      </w:pPr>
    </w:p>
    <w:p w:rsidR="0050325B" w:rsidP="0050325B" w:rsidRDefault="006C6326" w14:paraId="235DAA04" w14:textId="4694859A">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b/>
          <w:bCs/>
        </w:rPr>
        <w:t>Effluent limitations</w:t>
      </w:r>
      <w:r w:rsidRPr="002C63F6" w:rsidR="007D4833">
        <w:rPr>
          <w:rFonts w:ascii="Calibri" w:hAnsi="Calibri" w:cs="Calibri"/>
          <w:b/>
          <w:bCs/>
        </w:rPr>
        <w:t xml:space="preserve"> monitoring:</w:t>
      </w:r>
      <w:r w:rsidR="007D4833">
        <w:rPr>
          <w:rFonts w:ascii="Calibri" w:hAnsi="Calibri" w:cs="Calibri"/>
        </w:rPr>
        <w:t xml:space="preserve"> </w:t>
      </w:r>
      <w:r w:rsidRPr="004F7D2F" w:rsidR="00055C8B">
        <w:rPr>
          <w:rFonts w:ascii="Calibri" w:hAnsi="Calibri" w:cs="Calibri"/>
        </w:rPr>
        <w:t xml:space="preserve">There are no changes to the </w:t>
      </w:r>
      <w:r w:rsidR="00055C8B">
        <w:rPr>
          <w:rFonts w:ascii="Calibri" w:hAnsi="Calibri" w:cs="Calibri"/>
        </w:rPr>
        <w:t>effluent limitations</w:t>
      </w:r>
      <w:r w:rsidRPr="004F7D2F" w:rsidR="00055C8B">
        <w:rPr>
          <w:rFonts w:ascii="Calibri" w:hAnsi="Calibri" w:cs="Calibri"/>
        </w:rPr>
        <w:t xml:space="preserve"> monitoring requirements in the 2021 MSGP.</w:t>
      </w:r>
      <w:r w:rsidR="00055C8B">
        <w:rPr>
          <w:rFonts w:ascii="Calibri" w:hAnsi="Calibri" w:cs="Calibri"/>
        </w:rPr>
        <w:t xml:space="preserve"> </w:t>
      </w:r>
      <w:r w:rsidR="00CA2D72">
        <w:rPr>
          <w:rFonts w:ascii="Calibri" w:hAnsi="Calibri" w:cs="Calibri"/>
        </w:rPr>
        <w:t xml:space="preserve">Based on 2015 MSGP data, </w:t>
      </w:r>
      <w:r w:rsidRPr="004F7D2F" w:rsidR="00CA2D72">
        <w:rPr>
          <w:rFonts w:ascii="Calibri" w:hAnsi="Calibri" w:cs="Calibri"/>
        </w:rPr>
        <w:t xml:space="preserve">EPA estimates that </w:t>
      </w:r>
      <w:r w:rsidR="00CA2D72">
        <w:rPr>
          <w:rFonts w:ascii="Calibri" w:hAnsi="Calibri" w:cs="Calibri"/>
        </w:rPr>
        <w:t>2</w:t>
      </w:r>
      <w:r w:rsidR="00286091">
        <w:rPr>
          <w:rFonts w:ascii="Calibri" w:hAnsi="Calibri" w:cs="Calibri"/>
        </w:rPr>
        <w:t>60</w:t>
      </w:r>
      <w:r w:rsidRPr="004F7D2F" w:rsidR="00CA2D72">
        <w:rPr>
          <w:rFonts w:ascii="Calibri" w:hAnsi="Calibri" w:cs="Calibri"/>
        </w:rPr>
        <w:t xml:space="preserve"> </w:t>
      </w:r>
      <w:r w:rsidR="00CA2D72">
        <w:rPr>
          <w:rFonts w:ascii="Calibri" w:hAnsi="Calibri" w:cs="Calibri"/>
        </w:rPr>
        <w:t>respondents</w:t>
      </w:r>
      <w:r w:rsidRPr="004F7D2F" w:rsidR="00CA2D72">
        <w:rPr>
          <w:rFonts w:ascii="Calibri" w:hAnsi="Calibri" w:cs="Calibri"/>
        </w:rPr>
        <w:t xml:space="preserve"> </w:t>
      </w:r>
      <w:r w:rsidR="00055C8B">
        <w:rPr>
          <w:rFonts w:ascii="Calibri" w:hAnsi="Calibri" w:cs="Calibri"/>
        </w:rPr>
        <w:t xml:space="preserve">across nine sectors </w:t>
      </w:r>
      <w:r w:rsidR="00ED5CD5">
        <w:rPr>
          <w:rFonts w:ascii="Calibri" w:hAnsi="Calibri" w:cs="Calibri"/>
        </w:rPr>
        <w:t xml:space="preserve">will </w:t>
      </w:r>
      <w:r w:rsidRPr="004F7D2F" w:rsidR="00CA2D72">
        <w:rPr>
          <w:rFonts w:ascii="Calibri" w:hAnsi="Calibri" w:cs="Calibri"/>
        </w:rPr>
        <w:t xml:space="preserve">conduct </w:t>
      </w:r>
      <w:r w:rsidR="00825450">
        <w:rPr>
          <w:rFonts w:ascii="Calibri" w:hAnsi="Calibri" w:cs="Calibri"/>
        </w:rPr>
        <w:t xml:space="preserve">annual </w:t>
      </w:r>
      <w:r w:rsidR="00ED5CD5">
        <w:rPr>
          <w:rFonts w:ascii="Calibri" w:hAnsi="Calibri" w:cs="Calibri"/>
        </w:rPr>
        <w:t>numeric ELG monitoring</w:t>
      </w:r>
      <w:r w:rsidR="00CA2D72">
        <w:rPr>
          <w:rFonts w:ascii="Calibri" w:hAnsi="Calibri" w:cs="Calibri"/>
        </w:rPr>
        <w:t>.</w:t>
      </w:r>
      <w:r w:rsidR="009506BF">
        <w:rPr>
          <w:rFonts w:ascii="Calibri" w:hAnsi="Calibri" w:cs="Calibri"/>
        </w:rPr>
        <w:t xml:space="preserve"> </w:t>
      </w:r>
      <w:r w:rsidRPr="004F7D2F" w:rsidR="007D4833">
        <w:rPr>
          <w:rFonts w:ascii="Calibri" w:hAnsi="Calibri" w:cs="Calibri"/>
        </w:rPr>
        <w:t xml:space="preserve">EPA assumes that </w:t>
      </w:r>
      <w:r w:rsidR="00825450">
        <w:rPr>
          <w:rFonts w:ascii="Calibri" w:hAnsi="Calibri" w:cs="Calibri"/>
        </w:rPr>
        <w:t xml:space="preserve">all </w:t>
      </w:r>
      <w:r w:rsidR="00055C8B">
        <w:rPr>
          <w:rFonts w:ascii="Calibri" w:hAnsi="Calibri" w:cs="Calibri"/>
        </w:rPr>
        <w:t xml:space="preserve">260 </w:t>
      </w:r>
      <w:r w:rsidRPr="004F7D2F" w:rsidR="007D4833">
        <w:rPr>
          <w:rFonts w:ascii="Calibri" w:hAnsi="Calibri" w:cs="Calibri"/>
        </w:rPr>
        <w:t xml:space="preserve">respondents </w:t>
      </w:r>
      <w:r w:rsidR="00825450">
        <w:rPr>
          <w:rFonts w:ascii="Calibri" w:hAnsi="Calibri" w:cs="Calibri"/>
        </w:rPr>
        <w:t xml:space="preserve">will perform </w:t>
      </w:r>
      <w:r w:rsidR="005D3B6E">
        <w:rPr>
          <w:rFonts w:ascii="Calibri" w:hAnsi="Calibri" w:cs="Calibri"/>
        </w:rPr>
        <w:t>effluent limitations</w:t>
      </w:r>
      <w:r w:rsidRPr="004F7D2F" w:rsidR="007D4833">
        <w:rPr>
          <w:rFonts w:ascii="Calibri" w:hAnsi="Calibri" w:cs="Calibri"/>
        </w:rPr>
        <w:t xml:space="preserve"> monitoring </w:t>
      </w:r>
      <w:r w:rsidR="005D3B6E">
        <w:rPr>
          <w:rFonts w:ascii="Calibri" w:hAnsi="Calibri" w:cs="Calibri"/>
        </w:rPr>
        <w:t>five</w:t>
      </w:r>
      <w:r w:rsidR="00825450">
        <w:rPr>
          <w:rFonts w:ascii="Calibri" w:hAnsi="Calibri" w:cs="Calibri"/>
        </w:rPr>
        <w:t xml:space="preserve"> times throughout the permit term. Based on 2015 MSGP data, EPA </w:t>
      </w:r>
      <w:r w:rsidR="0050325B">
        <w:rPr>
          <w:rFonts w:ascii="Calibri" w:hAnsi="Calibri" w:cs="Calibri"/>
        </w:rPr>
        <w:t xml:space="preserve">determined the number of parameters </w:t>
      </w:r>
      <w:r w:rsidR="005D3B6E">
        <w:rPr>
          <w:rFonts w:ascii="Calibri" w:hAnsi="Calibri" w:cs="Calibri"/>
        </w:rPr>
        <w:t xml:space="preserve">with numeric effluent limitations </w:t>
      </w:r>
      <w:r w:rsidR="0050325B">
        <w:rPr>
          <w:rFonts w:ascii="Calibri" w:hAnsi="Calibri" w:cs="Calibri"/>
        </w:rPr>
        <w:t xml:space="preserve">and </w:t>
      </w:r>
      <w:r w:rsidR="005D3B6E">
        <w:rPr>
          <w:rFonts w:ascii="Calibri" w:hAnsi="Calibri" w:cs="Calibri"/>
        </w:rPr>
        <w:t>the</w:t>
      </w:r>
      <w:r w:rsidR="0050325B">
        <w:rPr>
          <w:rFonts w:ascii="Calibri" w:hAnsi="Calibri" w:cs="Calibri"/>
        </w:rPr>
        <w:t xml:space="preserve"> number of respondents for each sector to calculate an annual burden per sector</w:t>
      </w:r>
      <w:r w:rsidR="001E6FB4">
        <w:rPr>
          <w:rFonts w:ascii="Calibri" w:hAnsi="Calibri" w:cs="Calibri"/>
        </w:rPr>
        <w:t>.</w:t>
      </w:r>
      <w:r w:rsidR="0050325B">
        <w:rPr>
          <w:rFonts w:ascii="Calibri" w:hAnsi="Calibri" w:cs="Calibri"/>
        </w:rPr>
        <w:t xml:space="preserve"> </w:t>
      </w:r>
      <w:r w:rsidR="001E6FB4">
        <w:rPr>
          <w:rFonts w:ascii="Calibri" w:hAnsi="Calibri" w:cs="Calibri"/>
        </w:rPr>
        <w:t xml:space="preserve">EPA </w:t>
      </w:r>
      <w:r w:rsidR="0050325B">
        <w:rPr>
          <w:rFonts w:ascii="Calibri" w:hAnsi="Calibri" w:cs="Calibri"/>
        </w:rPr>
        <w:t xml:space="preserve">then summed the burden for all sectors to calculate the total annual burden for </w:t>
      </w:r>
      <w:r w:rsidR="005D3B6E">
        <w:rPr>
          <w:rFonts w:ascii="Calibri" w:hAnsi="Calibri" w:cs="Calibri"/>
        </w:rPr>
        <w:t>effluent limitations</w:t>
      </w:r>
      <w:r w:rsidR="001E6FB4">
        <w:rPr>
          <w:rFonts w:ascii="Calibri" w:hAnsi="Calibri" w:cs="Calibri"/>
        </w:rPr>
        <w:t xml:space="preserve"> monitoring</w:t>
      </w:r>
      <w:r w:rsidR="0050325B">
        <w:rPr>
          <w:rFonts w:ascii="Calibri" w:hAnsi="Calibri" w:cs="Calibri"/>
        </w:rPr>
        <w:t xml:space="preserve">. EPA assumed that all respondents have an average of 2.04 </w:t>
      </w:r>
      <w:r w:rsidR="00770E3F">
        <w:rPr>
          <w:rFonts w:ascii="Calibri" w:hAnsi="Calibri" w:cs="Calibri"/>
        </w:rPr>
        <w:t>discharge points</w:t>
      </w:r>
      <w:r w:rsidR="0050325B">
        <w:rPr>
          <w:rFonts w:ascii="Calibri" w:hAnsi="Calibri" w:cs="Calibri"/>
        </w:rPr>
        <w:t>.</w:t>
      </w:r>
    </w:p>
    <w:p w:rsidR="006C6326" w:rsidP="007E3975" w:rsidRDefault="006C6326" w14:paraId="5B592EF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9F3196" w:rsidP="007E3975" w:rsidRDefault="00B77DB6" w14:paraId="232343EC" w14:textId="0EB8BB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T</w:t>
      </w:r>
      <w:r w:rsidR="009F3196">
        <w:rPr>
          <w:rFonts w:ascii="Calibri" w:hAnsi="Calibri" w:cs="Calibri"/>
        </w:rPr>
        <w:t xml:space="preserve">he </w:t>
      </w:r>
      <w:r w:rsidR="00D83958">
        <w:rPr>
          <w:rFonts w:ascii="Calibri" w:hAnsi="Calibri" w:cs="Calibri"/>
        </w:rPr>
        <w:t xml:space="preserve">baseline burden for preparing and submitting a DMR, as recorded in the 2017 </w:t>
      </w:r>
      <w:r w:rsidR="009F3196">
        <w:rPr>
          <w:rFonts w:ascii="Calibri" w:hAnsi="Calibri" w:cs="Calibri"/>
        </w:rPr>
        <w:t>NPDES Program ICR</w:t>
      </w:r>
      <w:r w:rsidR="00D83958">
        <w:rPr>
          <w:rFonts w:ascii="Calibri" w:hAnsi="Calibri" w:cs="Calibri"/>
        </w:rPr>
        <w:t xml:space="preserve">, is </w:t>
      </w:r>
      <w:r w:rsidR="009A14AD">
        <w:rPr>
          <w:rFonts w:ascii="Calibri" w:hAnsi="Calibri" w:cs="Calibri"/>
        </w:rPr>
        <w:t>2 hours per respondent</w:t>
      </w:r>
      <w:r w:rsidR="001413F0">
        <w:rPr>
          <w:rFonts w:ascii="Calibri" w:hAnsi="Calibri" w:cs="Calibri"/>
        </w:rPr>
        <w:t>.</w:t>
      </w:r>
      <w:r w:rsidR="009A14AD">
        <w:rPr>
          <w:rFonts w:ascii="Calibri" w:hAnsi="Calibri" w:cs="Calibri"/>
        </w:rPr>
        <w:t xml:space="preserve"> </w:t>
      </w:r>
      <w:r w:rsidR="001413F0">
        <w:rPr>
          <w:rFonts w:ascii="Calibri" w:hAnsi="Calibri" w:cs="Calibri"/>
        </w:rPr>
        <w:t xml:space="preserve">The 2021 MSGP requires several types of monitoring </w:t>
      </w:r>
      <w:r w:rsidR="00D83958">
        <w:rPr>
          <w:rFonts w:ascii="Calibri" w:hAnsi="Calibri" w:cs="Calibri"/>
        </w:rPr>
        <w:t xml:space="preserve">and estimates </w:t>
      </w:r>
      <w:r w:rsidR="001413F0">
        <w:rPr>
          <w:rFonts w:ascii="Calibri" w:hAnsi="Calibri" w:cs="Calibri"/>
        </w:rPr>
        <w:t xml:space="preserve">that </w:t>
      </w:r>
      <w:r w:rsidR="00D83958">
        <w:rPr>
          <w:rFonts w:ascii="Calibri" w:hAnsi="Calibri" w:cs="Calibri"/>
        </w:rPr>
        <w:t xml:space="preserve">the burden to prepare and submit a DMR </w:t>
      </w:r>
      <w:r w:rsidR="001413F0">
        <w:rPr>
          <w:rFonts w:ascii="Calibri" w:hAnsi="Calibri" w:cs="Calibri"/>
        </w:rPr>
        <w:t>ranges between</w:t>
      </w:r>
      <w:r w:rsidR="00D83958">
        <w:rPr>
          <w:rFonts w:ascii="Calibri" w:hAnsi="Calibri" w:cs="Calibri"/>
        </w:rPr>
        <w:t xml:space="preserve"> approximately 0.25 hours to 2.25 hours per respondent. In addition, this MSGP ICR is updating the number of respondents required to submit DMRs. </w:t>
      </w:r>
      <w:r w:rsidR="002E646B">
        <w:rPr>
          <w:rFonts w:ascii="Calibri" w:hAnsi="Calibri" w:cs="Calibri"/>
        </w:rPr>
        <w:t>T</w:t>
      </w:r>
      <w:r w:rsidR="00024D8A">
        <w:rPr>
          <w:rFonts w:ascii="Calibri" w:hAnsi="Calibri" w:cs="Calibri"/>
        </w:rPr>
        <w:t xml:space="preserve">he </w:t>
      </w:r>
      <w:r w:rsidR="00D83958">
        <w:rPr>
          <w:rFonts w:ascii="Calibri" w:hAnsi="Calibri" w:cs="Calibri"/>
        </w:rPr>
        <w:t xml:space="preserve">2017 </w:t>
      </w:r>
      <w:r w:rsidR="00024D8A">
        <w:rPr>
          <w:rFonts w:ascii="Calibri" w:hAnsi="Calibri" w:cs="Calibri"/>
        </w:rPr>
        <w:t xml:space="preserve">NPDES Program ICR </w:t>
      </w:r>
      <w:r w:rsidR="002E646B">
        <w:rPr>
          <w:rFonts w:ascii="Calibri" w:hAnsi="Calibri" w:cs="Calibri"/>
        </w:rPr>
        <w:t xml:space="preserve">estimates that </w:t>
      </w:r>
      <w:r w:rsidRPr="009A14AD" w:rsidR="00DC4480">
        <w:rPr>
          <w:rFonts w:ascii="Calibri" w:hAnsi="Calibri" w:cs="Calibri"/>
        </w:rPr>
        <w:t xml:space="preserve">25% of </w:t>
      </w:r>
      <w:r w:rsidR="00DC4480">
        <w:rPr>
          <w:rFonts w:ascii="Calibri" w:hAnsi="Calibri" w:cs="Calibri"/>
        </w:rPr>
        <w:t xml:space="preserve">respondents submit DMRs </w:t>
      </w:r>
      <w:r w:rsidR="005D3B6E">
        <w:rPr>
          <w:rFonts w:ascii="Calibri" w:hAnsi="Calibri" w:cs="Calibri"/>
        </w:rPr>
        <w:t>four</w:t>
      </w:r>
      <w:r w:rsidRPr="009A14AD" w:rsidR="009A14AD">
        <w:rPr>
          <w:rFonts w:ascii="Calibri" w:hAnsi="Calibri" w:cs="Calibri"/>
        </w:rPr>
        <w:t xml:space="preserve"> times every 5 years and </w:t>
      </w:r>
      <w:r w:rsidRPr="009A14AD" w:rsidR="00DC4480">
        <w:rPr>
          <w:rFonts w:ascii="Calibri" w:hAnsi="Calibri" w:cs="Calibri"/>
        </w:rPr>
        <w:t xml:space="preserve">the other 75% of </w:t>
      </w:r>
      <w:r w:rsidR="00DC4480">
        <w:rPr>
          <w:rFonts w:ascii="Calibri" w:hAnsi="Calibri" w:cs="Calibri"/>
        </w:rPr>
        <w:t xml:space="preserve">respondents </w:t>
      </w:r>
      <w:r w:rsidR="005D3B6E">
        <w:rPr>
          <w:rFonts w:ascii="Calibri" w:hAnsi="Calibri" w:cs="Calibri"/>
        </w:rPr>
        <w:t xml:space="preserve">would </w:t>
      </w:r>
      <w:r w:rsidR="00DC4480">
        <w:rPr>
          <w:rFonts w:ascii="Calibri" w:hAnsi="Calibri" w:cs="Calibri"/>
        </w:rPr>
        <w:t xml:space="preserve">submit DMRs </w:t>
      </w:r>
      <w:r w:rsidR="005D3B6E">
        <w:rPr>
          <w:rFonts w:ascii="Calibri" w:hAnsi="Calibri" w:cs="Calibri"/>
        </w:rPr>
        <w:t>eight</w:t>
      </w:r>
      <w:r w:rsidRPr="009A14AD" w:rsidR="009A14AD">
        <w:rPr>
          <w:rFonts w:ascii="Calibri" w:hAnsi="Calibri" w:cs="Calibri"/>
        </w:rPr>
        <w:t xml:space="preserve"> times every 5 years.</w:t>
      </w:r>
      <w:r w:rsidR="002E646B">
        <w:rPr>
          <w:rFonts w:ascii="Calibri" w:hAnsi="Calibri" w:cs="Calibri"/>
        </w:rPr>
        <w:t xml:space="preserve"> </w:t>
      </w:r>
      <w:r w:rsidR="00D83958">
        <w:rPr>
          <w:rFonts w:ascii="Calibri" w:hAnsi="Calibri" w:cs="Calibri"/>
        </w:rPr>
        <w:t xml:space="preserve">The 2021 MSGP ICR uses NOI data from the 2015 MSGP to estimate a specific respondent population </w:t>
      </w:r>
      <w:r w:rsidR="002B027D">
        <w:rPr>
          <w:rFonts w:ascii="Calibri" w:hAnsi="Calibri" w:cs="Calibri"/>
        </w:rPr>
        <w:t xml:space="preserve">and annual response frequency </w:t>
      </w:r>
      <w:r w:rsidR="00D83958">
        <w:rPr>
          <w:rFonts w:ascii="Calibri" w:hAnsi="Calibri" w:cs="Calibri"/>
        </w:rPr>
        <w:t>for each type of monitoring</w:t>
      </w:r>
      <w:r w:rsidR="002B027D">
        <w:rPr>
          <w:rFonts w:ascii="Calibri" w:hAnsi="Calibri" w:cs="Calibri"/>
        </w:rPr>
        <w:t xml:space="preserve"> (see </w:t>
      </w:r>
      <w:r w:rsidR="000C4F4F">
        <w:rPr>
          <w:rFonts w:ascii="Calibri" w:hAnsi="Calibri" w:cs="Calibri"/>
          <w:highlight w:val="yellow"/>
        </w:rPr>
        <w:fldChar w:fldCharType="begin"/>
      </w:r>
      <w:r w:rsidR="000C4F4F">
        <w:rPr>
          <w:rFonts w:ascii="Calibri" w:hAnsi="Calibri" w:cs="Calibri"/>
        </w:rPr>
        <w:instrText xml:space="preserve"> REF _Ref58837651 \h </w:instrText>
      </w:r>
      <w:r w:rsidR="00AE0A0E">
        <w:rPr>
          <w:rFonts w:ascii="Calibri" w:hAnsi="Calibri" w:cs="Calibri"/>
          <w:highlight w:val="yellow"/>
        </w:rPr>
        <w:instrText xml:space="preserve"> \* MERGEFORMAT </w:instrText>
      </w:r>
      <w:r w:rsidR="000C4F4F">
        <w:rPr>
          <w:rFonts w:ascii="Calibri" w:hAnsi="Calibri" w:cs="Calibri"/>
          <w:highlight w:val="yellow"/>
        </w:rPr>
      </w:r>
      <w:r w:rsidR="000C4F4F">
        <w:rPr>
          <w:rFonts w:ascii="Calibri" w:hAnsi="Calibri" w:cs="Calibri"/>
          <w:highlight w:val="yellow"/>
        </w:rPr>
        <w:fldChar w:fldCharType="separate"/>
      </w:r>
      <w:r w:rsidRPr="00255BD8" w:rsidR="0033680B">
        <w:rPr>
          <w:b/>
          <w:bCs/>
        </w:rPr>
        <w:t>Ta</w:t>
      </w:r>
      <w:r w:rsidRPr="007518D9" w:rsidR="0033680B">
        <w:t>ble 3</w:t>
      </w:r>
      <w:r w:rsidR="000C4F4F">
        <w:rPr>
          <w:rFonts w:ascii="Calibri" w:hAnsi="Calibri" w:cs="Calibri"/>
          <w:highlight w:val="yellow"/>
        </w:rPr>
        <w:fldChar w:fldCharType="end"/>
      </w:r>
      <w:r w:rsidR="002B027D">
        <w:rPr>
          <w:rFonts w:ascii="Calibri" w:hAnsi="Calibri" w:cs="Calibri"/>
        </w:rPr>
        <w:t>)</w:t>
      </w:r>
      <w:r w:rsidR="00D83958">
        <w:rPr>
          <w:rFonts w:ascii="Calibri" w:hAnsi="Calibri" w:cs="Calibri"/>
        </w:rPr>
        <w:t xml:space="preserve">. </w:t>
      </w:r>
    </w:p>
    <w:tbl>
      <w:tblPr>
        <w:tblW w:w="5000" w:type="pct"/>
        <w:jc w:val="center"/>
        <w:tblLook w:val="04A0" w:firstRow="1" w:lastRow="0" w:firstColumn="1" w:lastColumn="0" w:noHBand="0" w:noVBand="1"/>
      </w:tblPr>
      <w:tblGrid>
        <w:gridCol w:w="4905"/>
        <w:gridCol w:w="1486"/>
        <w:gridCol w:w="1486"/>
        <w:gridCol w:w="1483"/>
      </w:tblGrid>
      <w:tr w:rsidRPr="00D83958" w:rsidR="002B027D" w:rsidTr="00255BD8" w14:paraId="2223F5DF" w14:textId="77777777">
        <w:trPr>
          <w:trHeight w:val="80"/>
          <w:jc w:val="center"/>
        </w:trPr>
        <w:tc>
          <w:tcPr>
            <w:tcW w:w="5000" w:type="pct"/>
            <w:gridSpan w:val="4"/>
            <w:tcBorders>
              <w:bottom w:val="single" w:color="auto" w:sz="4" w:space="0"/>
            </w:tcBorders>
            <w:shd w:val="clear" w:color="auto" w:fill="auto"/>
            <w:vAlign w:val="bottom"/>
          </w:tcPr>
          <w:p w:rsidRPr="00D83958" w:rsidR="002B027D" w:rsidP="005A79AF" w:rsidRDefault="003668E2" w14:paraId="4D67CCAD" w14:textId="2AE9861C">
            <w:pPr>
              <w:keepNext/>
              <w:keepLines/>
              <w:spacing w:after="0" w:line="240" w:lineRule="auto"/>
              <w:jc w:val="center"/>
              <w:rPr>
                <w:rFonts w:ascii="Calibri" w:hAnsi="Calibri" w:eastAsia="Times New Roman" w:cs="Calibri"/>
                <w:b/>
                <w:bCs/>
                <w:color w:val="000000"/>
              </w:rPr>
            </w:pPr>
            <w:bookmarkStart w:name="_Ref58837651" w:id="26"/>
            <w:r w:rsidRPr="00255BD8">
              <w:rPr>
                <w:b/>
                <w:bCs/>
              </w:rPr>
              <w:lastRenderedPageBreak/>
              <w:t xml:space="preserve">Table </w:t>
            </w:r>
            <w:r w:rsidR="0033680B">
              <w:rPr>
                <w:b/>
                <w:bCs/>
              </w:rPr>
              <w:t>3</w:t>
            </w:r>
            <w:bookmarkEnd w:id="26"/>
            <w:r w:rsidRPr="00255BD8">
              <w:rPr>
                <w:b/>
                <w:bCs/>
              </w:rPr>
              <w:t xml:space="preserve"> -</w:t>
            </w:r>
            <w:r w:rsidRPr="003668E2" w:rsidR="002B027D">
              <w:rPr>
                <w:rFonts w:ascii="Calibri" w:hAnsi="Calibri" w:eastAsia="Times New Roman" w:cs="Calibri"/>
                <w:b/>
                <w:bCs/>
                <w:color w:val="000000"/>
              </w:rPr>
              <w:t xml:space="preserve">DMR </w:t>
            </w:r>
            <w:r w:rsidR="002B027D">
              <w:rPr>
                <w:rFonts w:ascii="Calibri" w:hAnsi="Calibri" w:eastAsia="Times New Roman" w:cs="Calibri"/>
                <w:b/>
                <w:bCs/>
                <w:color w:val="000000"/>
              </w:rPr>
              <w:t>Submittal Burden by Monitoring Activity</w:t>
            </w:r>
          </w:p>
        </w:tc>
      </w:tr>
      <w:tr w:rsidRPr="00D83958" w:rsidR="002B027D" w:rsidTr="00255BD8" w14:paraId="0A66DEED" w14:textId="77777777">
        <w:trPr>
          <w:trHeight w:val="900"/>
          <w:jc w:val="center"/>
        </w:trPr>
        <w:tc>
          <w:tcPr>
            <w:tcW w:w="2620" w:type="pct"/>
            <w:tcBorders>
              <w:top w:val="single" w:color="auto" w:sz="4" w:space="0"/>
              <w:left w:val="single" w:color="auto" w:sz="4" w:space="0"/>
              <w:bottom w:val="single" w:color="auto" w:sz="4" w:space="0"/>
              <w:right w:val="single" w:color="auto" w:sz="4" w:space="0"/>
            </w:tcBorders>
            <w:shd w:val="clear" w:color="000000" w:fill="BFBFBF"/>
            <w:vAlign w:val="bottom"/>
            <w:hideMark/>
          </w:tcPr>
          <w:p w:rsidRPr="00D83958" w:rsidR="00D83958" w:rsidP="00255BD8" w:rsidRDefault="00D83958" w14:paraId="51DAC787"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Activity</w:t>
            </w:r>
          </w:p>
        </w:tc>
        <w:tc>
          <w:tcPr>
            <w:tcW w:w="794" w:type="pct"/>
            <w:tcBorders>
              <w:top w:val="single" w:color="auto" w:sz="4" w:space="0"/>
              <w:left w:val="nil"/>
              <w:bottom w:val="single" w:color="auto" w:sz="4" w:space="0"/>
              <w:right w:val="single" w:color="auto" w:sz="4" w:space="0"/>
            </w:tcBorders>
            <w:shd w:val="clear" w:color="000000" w:fill="BFBFBF"/>
            <w:vAlign w:val="bottom"/>
            <w:hideMark/>
          </w:tcPr>
          <w:p w:rsidRPr="00D83958" w:rsidR="00D83958" w:rsidP="00255BD8" w:rsidRDefault="00D83958" w14:paraId="51257310"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Hours Per Response</w:t>
            </w:r>
          </w:p>
        </w:tc>
        <w:tc>
          <w:tcPr>
            <w:tcW w:w="794" w:type="pct"/>
            <w:tcBorders>
              <w:top w:val="single" w:color="auto" w:sz="4" w:space="0"/>
              <w:left w:val="nil"/>
              <w:bottom w:val="single" w:color="auto" w:sz="4" w:space="0"/>
              <w:right w:val="single" w:color="auto" w:sz="4" w:space="0"/>
            </w:tcBorders>
            <w:shd w:val="clear" w:color="000000" w:fill="BFBFBF"/>
            <w:vAlign w:val="bottom"/>
            <w:hideMark/>
          </w:tcPr>
          <w:p w:rsidRPr="00D83958" w:rsidR="00D83958" w:rsidP="00255BD8" w:rsidRDefault="00D83958" w14:paraId="24BC11AB"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Number of Respondents</w:t>
            </w:r>
          </w:p>
        </w:tc>
        <w:tc>
          <w:tcPr>
            <w:tcW w:w="792" w:type="pct"/>
            <w:tcBorders>
              <w:top w:val="single" w:color="auto" w:sz="4" w:space="0"/>
              <w:left w:val="nil"/>
              <w:bottom w:val="single" w:color="auto" w:sz="4" w:space="0"/>
              <w:right w:val="single" w:color="auto" w:sz="4" w:space="0"/>
            </w:tcBorders>
            <w:shd w:val="clear" w:color="000000" w:fill="BFBFBF"/>
            <w:vAlign w:val="bottom"/>
            <w:hideMark/>
          </w:tcPr>
          <w:p w:rsidRPr="00D83958" w:rsidR="00D83958" w:rsidP="00255BD8" w:rsidRDefault="00D83958" w14:paraId="5DFE9354" w14:textId="2681CAEB">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Number of Occurrences Per Year</w:t>
            </w:r>
          </w:p>
        </w:tc>
      </w:tr>
      <w:tr w:rsidRPr="00D83958" w:rsidR="00D83958" w:rsidTr="00255BD8" w14:paraId="0FEA8DCE" w14:textId="77777777">
        <w:trPr>
          <w:trHeight w:val="300"/>
          <w:jc w:val="center"/>
        </w:trPr>
        <w:tc>
          <w:tcPr>
            <w:tcW w:w="2620" w:type="pct"/>
            <w:tcBorders>
              <w:top w:val="nil"/>
              <w:left w:val="single" w:color="auto" w:sz="4" w:space="0"/>
              <w:bottom w:val="single" w:color="auto" w:sz="4" w:space="0"/>
              <w:right w:val="single" w:color="auto" w:sz="4" w:space="0"/>
            </w:tcBorders>
            <w:shd w:val="clear" w:color="auto" w:fill="auto"/>
            <w:noWrap/>
            <w:vAlign w:val="center"/>
            <w:hideMark/>
          </w:tcPr>
          <w:p w:rsidRPr="00D83958" w:rsidR="00D83958" w:rsidP="00255BD8" w:rsidRDefault="00D83958" w14:paraId="2782E2AC" w14:textId="77777777">
            <w:pPr>
              <w:keepNext/>
              <w:keepLines/>
              <w:spacing w:after="0" w:line="240" w:lineRule="auto"/>
              <w:rPr>
                <w:rFonts w:ascii="Calibri" w:hAnsi="Calibri" w:eastAsia="Times New Roman" w:cs="Calibri"/>
                <w:color w:val="000000"/>
              </w:rPr>
            </w:pPr>
            <w:r w:rsidRPr="00D83958">
              <w:rPr>
                <w:rFonts w:ascii="Calibri" w:hAnsi="Calibri" w:eastAsia="Times New Roman" w:cs="Calibri"/>
                <w:color w:val="000000"/>
              </w:rPr>
              <w:t>DMR submittal - PAH indicator monitoring</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633E9947"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1.92</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738B2CDB"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1022</w:t>
            </w:r>
          </w:p>
        </w:tc>
        <w:tc>
          <w:tcPr>
            <w:tcW w:w="792"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3D44B543"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0.8</w:t>
            </w:r>
          </w:p>
        </w:tc>
      </w:tr>
      <w:tr w:rsidRPr="00D83958" w:rsidR="00D83958" w:rsidTr="00255BD8" w14:paraId="21871DC9" w14:textId="77777777">
        <w:trPr>
          <w:trHeight w:val="300"/>
          <w:jc w:val="center"/>
        </w:trPr>
        <w:tc>
          <w:tcPr>
            <w:tcW w:w="2620" w:type="pct"/>
            <w:tcBorders>
              <w:top w:val="nil"/>
              <w:left w:val="single" w:color="auto" w:sz="4" w:space="0"/>
              <w:bottom w:val="single" w:color="auto" w:sz="4" w:space="0"/>
              <w:right w:val="single" w:color="auto" w:sz="4" w:space="0"/>
            </w:tcBorders>
            <w:shd w:val="clear" w:color="auto" w:fill="auto"/>
            <w:noWrap/>
            <w:vAlign w:val="center"/>
            <w:hideMark/>
          </w:tcPr>
          <w:p w:rsidRPr="00D83958" w:rsidR="00D83958" w:rsidP="00255BD8" w:rsidRDefault="00D83958" w14:paraId="344ECFBC" w14:textId="77777777">
            <w:pPr>
              <w:keepNext/>
              <w:keepLines/>
              <w:spacing w:after="0" w:line="240" w:lineRule="auto"/>
              <w:rPr>
                <w:rFonts w:ascii="Calibri" w:hAnsi="Calibri" w:eastAsia="Times New Roman" w:cs="Calibri"/>
                <w:color w:val="000000"/>
              </w:rPr>
            </w:pPr>
            <w:r w:rsidRPr="00D83958">
              <w:rPr>
                <w:rFonts w:ascii="Calibri" w:hAnsi="Calibri" w:eastAsia="Times New Roman" w:cs="Calibri"/>
                <w:color w:val="000000"/>
              </w:rPr>
              <w:t>DMR submittal - pH, TSS, COD Indicator Monitoring</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4E84261B"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0.36</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3EB6A63C"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844</w:t>
            </w:r>
          </w:p>
        </w:tc>
        <w:tc>
          <w:tcPr>
            <w:tcW w:w="792"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00143021"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4</w:t>
            </w:r>
          </w:p>
        </w:tc>
      </w:tr>
      <w:tr w:rsidRPr="00D83958" w:rsidR="00D83958" w:rsidTr="00255BD8" w14:paraId="25A83FB1" w14:textId="77777777">
        <w:trPr>
          <w:trHeight w:val="300"/>
          <w:jc w:val="center"/>
        </w:trPr>
        <w:tc>
          <w:tcPr>
            <w:tcW w:w="2620" w:type="pct"/>
            <w:tcBorders>
              <w:top w:val="nil"/>
              <w:left w:val="single" w:color="auto" w:sz="4" w:space="0"/>
              <w:bottom w:val="single" w:color="auto" w:sz="4" w:space="0"/>
              <w:right w:val="single" w:color="auto" w:sz="4" w:space="0"/>
            </w:tcBorders>
            <w:shd w:val="clear" w:color="auto" w:fill="auto"/>
            <w:noWrap/>
            <w:vAlign w:val="center"/>
            <w:hideMark/>
          </w:tcPr>
          <w:p w:rsidRPr="00D83958" w:rsidR="00D83958" w:rsidP="00255BD8" w:rsidRDefault="00D83958" w14:paraId="578E598C" w14:textId="77777777">
            <w:pPr>
              <w:keepNext/>
              <w:keepLines/>
              <w:spacing w:after="0" w:line="240" w:lineRule="auto"/>
              <w:rPr>
                <w:rFonts w:ascii="Calibri" w:hAnsi="Calibri" w:eastAsia="Times New Roman" w:cs="Calibri"/>
                <w:color w:val="000000"/>
              </w:rPr>
            </w:pPr>
            <w:r w:rsidRPr="00D83958">
              <w:rPr>
                <w:rFonts w:ascii="Calibri" w:hAnsi="Calibri" w:eastAsia="Times New Roman" w:cs="Calibri"/>
                <w:color w:val="000000"/>
              </w:rPr>
              <w:t>DMR submittal - Impaired Waters</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0B0E39D0"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0.12</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3BCC8DE5"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806</w:t>
            </w:r>
          </w:p>
        </w:tc>
        <w:tc>
          <w:tcPr>
            <w:tcW w:w="792"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316C5FE9"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0.46</w:t>
            </w:r>
          </w:p>
        </w:tc>
      </w:tr>
      <w:tr w:rsidRPr="00D83958" w:rsidR="00D83958" w:rsidTr="00255BD8" w14:paraId="2FA2108F" w14:textId="77777777">
        <w:trPr>
          <w:trHeight w:val="300"/>
          <w:jc w:val="center"/>
        </w:trPr>
        <w:tc>
          <w:tcPr>
            <w:tcW w:w="2620" w:type="pct"/>
            <w:tcBorders>
              <w:top w:val="nil"/>
              <w:left w:val="single" w:color="auto" w:sz="4" w:space="0"/>
              <w:bottom w:val="single" w:color="auto" w:sz="4" w:space="0"/>
              <w:right w:val="single" w:color="auto" w:sz="4" w:space="0"/>
            </w:tcBorders>
            <w:shd w:val="clear" w:color="auto" w:fill="auto"/>
            <w:noWrap/>
            <w:vAlign w:val="center"/>
            <w:hideMark/>
          </w:tcPr>
          <w:p w:rsidRPr="00D83958" w:rsidR="00D83958" w:rsidP="00255BD8" w:rsidRDefault="00D83958" w14:paraId="42A03F2B" w14:textId="77777777">
            <w:pPr>
              <w:keepNext/>
              <w:keepLines/>
              <w:spacing w:after="0" w:line="240" w:lineRule="auto"/>
              <w:rPr>
                <w:rFonts w:ascii="Calibri" w:hAnsi="Calibri" w:eastAsia="Times New Roman" w:cs="Calibri"/>
                <w:color w:val="000000"/>
              </w:rPr>
            </w:pPr>
            <w:r w:rsidRPr="00D83958">
              <w:rPr>
                <w:rFonts w:ascii="Calibri" w:hAnsi="Calibri" w:eastAsia="Times New Roman" w:cs="Calibri"/>
                <w:color w:val="000000"/>
              </w:rPr>
              <w:t>DMR submittal - Sector Specific Benchmarks</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18A4349B"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0.36</w:t>
            </w:r>
          </w:p>
        </w:tc>
        <w:tc>
          <w:tcPr>
            <w:tcW w:w="1586"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D83958" w:rsidR="00D83958" w:rsidP="00255BD8" w:rsidRDefault="00D83958" w14:paraId="6E82EBEF"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Varies by sector</w:t>
            </w:r>
          </w:p>
        </w:tc>
      </w:tr>
      <w:tr w:rsidRPr="00D83958" w:rsidR="00D83958" w:rsidTr="00255BD8" w14:paraId="14E10E62" w14:textId="77777777">
        <w:trPr>
          <w:trHeight w:val="300"/>
          <w:jc w:val="center"/>
        </w:trPr>
        <w:tc>
          <w:tcPr>
            <w:tcW w:w="2620" w:type="pct"/>
            <w:tcBorders>
              <w:top w:val="nil"/>
              <w:left w:val="single" w:color="auto" w:sz="4" w:space="0"/>
              <w:bottom w:val="single" w:color="auto" w:sz="4" w:space="0"/>
              <w:right w:val="single" w:color="auto" w:sz="4" w:space="0"/>
            </w:tcBorders>
            <w:shd w:val="clear" w:color="auto" w:fill="auto"/>
            <w:noWrap/>
            <w:vAlign w:val="center"/>
            <w:hideMark/>
          </w:tcPr>
          <w:p w:rsidRPr="00D83958" w:rsidR="00D83958" w:rsidP="00255BD8" w:rsidRDefault="00D83958" w14:paraId="7762049B" w14:textId="77777777">
            <w:pPr>
              <w:keepNext/>
              <w:keepLines/>
              <w:spacing w:after="0" w:line="240" w:lineRule="auto"/>
              <w:rPr>
                <w:rFonts w:ascii="Calibri" w:hAnsi="Calibri" w:eastAsia="Times New Roman" w:cs="Calibri"/>
                <w:color w:val="000000"/>
              </w:rPr>
            </w:pPr>
            <w:r w:rsidRPr="00D83958">
              <w:rPr>
                <w:rFonts w:ascii="Calibri" w:hAnsi="Calibri" w:eastAsia="Times New Roman" w:cs="Calibri"/>
                <w:color w:val="000000"/>
              </w:rPr>
              <w:t>DMR submittal - ELGs</w:t>
            </w:r>
          </w:p>
        </w:tc>
        <w:tc>
          <w:tcPr>
            <w:tcW w:w="794" w:type="pct"/>
            <w:tcBorders>
              <w:top w:val="nil"/>
              <w:left w:val="nil"/>
              <w:bottom w:val="single" w:color="auto" w:sz="4" w:space="0"/>
              <w:right w:val="single" w:color="auto" w:sz="4" w:space="0"/>
            </w:tcBorders>
            <w:shd w:val="clear" w:color="auto" w:fill="auto"/>
            <w:noWrap/>
            <w:vAlign w:val="bottom"/>
            <w:hideMark/>
          </w:tcPr>
          <w:p w:rsidRPr="00D83958" w:rsidR="00D83958" w:rsidP="00255BD8" w:rsidRDefault="00D83958" w14:paraId="0657932A"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0.26</w:t>
            </w:r>
          </w:p>
        </w:tc>
        <w:tc>
          <w:tcPr>
            <w:tcW w:w="1586"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D83958" w:rsidR="00D83958" w:rsidP="00255BD8" w:rsidRDefault="00D83958" w14:paraId="68B5789D" w14:textId="77777777">
            <w:pPr>
              <w:keepNext/>
              <w:keepLines/>
              <w:spacing w:after="0" w:line="240" w:lineRule="auto"/>
              <w:jc w:val="center"/>
              <w:rPr>
                <w:rFonts w:ascii="Calibri" w:hAnsi="Calibri" w:eastAsia="Times New Roman" w:cs="Calibri"/>
                <w:color w:val="000000"/>
              </w:rPr>
            </w:pPr>
            <w:r w:rsidRPr="00D83958">
              <w:rPr>
                <w:rFonts w:ascii="Calibri" w:hAnsi="Calibri" w:eastAsia="Times New Roman" w:cs="Calibri"/>
                <w:color w:val="000000"/>
              </w:rPr>
              <w:t>Varies by sector</w:t>
            </w:r>
          </w:p>
        </w:tc>
      </w:tr>
    </w:tbl>
    <w:p w:rsidR="00607BF9" w:rsidP="000A3604" w:rsidRDefault="00607BF9" w14:paraId="7BF77C7A" w14:textId="606F3C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402979" w:rsidP="00A125BD" w:rsidRDefault="00781ED3" w14:paraId="6B932C7E" w14:textId="0AF36E8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E010D">
        <w:rPr>
          <w:rFonts w:ascii="Calibri" w:hAnsi="Calibri" w:cs="Calibri"/>
          <w:b/>
        </w:rPr>
        <w:t>Inspection</w:t>
      </w:r>
      <w:r w:rsidR="006610BE">
        <w:rPr>
          <w:rFonts w:ascii="Calibri" w:hAnsi="Calibri" w:cs="Calibri"/>
          <w:b/>
        </w:rPr>
        <w:t xml:space="preserve">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changes to the information collection burden</w:t>
      </w:r>
      <w:r w:rsidRPr="00825AFC" w:rsidR="00D15596">
        <w:rPr>
          <w:rFonts w:ascii="Calibri" w:hAnsi="Calibri" w:cs="Calibri"/>
        </w:rPr>
        <w:t>]</w:t>
      </w:r>
    </w:p>
    <w:p w:rsidRPr="001E010D" w:rsidR="00476A1A" w:rsidP="00476A1A" w:rsidRDefault="00F414E5" w14:paraId="7ECB7C1E" w14:textId="66AA9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Pr>
          <w:rFonts w:ascii="Calibri" w:hAnsi="Calibri" w:cs="Calibri"/>
        </w:rPr>
        <w:t>EPA</w:t>
      </w:r>
      <w:r w:rsidRPr="001E010D" w:rsidR="00A8544A">
        <w:rPr>
          <w:rFonts w:ascii="Calibri" w:hAnsi="Calibri" w:cs="Calibri"/>
        </w:rPr>
        <w:t xml:space="preserve"> estimates </w:t>
      </w:r>
      <w:r w:rsidRPr="001E010D" w:rsidR="00D54603">
        <w:rPr>
          <w:rFonts w:ascii="Calibri" w:hAnsi="Calibri" w:cs="Calibri"/>
        </w:rPr>
        <w:t xml:space="preserve">that </w:t>
      </w:r>
      <w:r w:rsidRPr="00670F75" w:rsidR="00FF0B93">
        <w:rPr>
          <w:rFonts w:ascii="Calibri" w:hAnsi="Calibri" w:cs="Calibri"/>
        </w:rPr>
        <w:t>2,</w:t>
      </w:r>
      <w:r w:rsidR="00041544">
        <w:rPr>
          <w:rFonts w:ascii="Calibri" w:hAnsi="Calibri" w:cs="Calibri"/>
        </w:rPr>
        <w:t>508</w:t>
      </w:r>
      <w:r w:rsidRPr="001E010D" w:rsidR="00F84B3F">
        <w:rPr>
          <w:rFonts w:ascii="Calibri" w:hAnsi="Calibri" w:cs="Calibri"/>
        </w:rPr>
        <w:t xml:space="preserve"> </w:t>
      </w:r>
      <w:r w:rsidR="001619D9">
        <w:rPr>
          <w:rFonts w:ascii="Calibri" w:hAnsi="Calibri" w:cs="Calibri"/>
        </w:rPr>
        <w:t>respondents</w:t>
      </w:r>
      <w:r w:rsidRPr="001E010D" w:rsidR="00D54603">
        <w:rPr>
          <w:rFonts w:ascii="Calibri" w:hAnsi="Calibri" w:cs="Calibri"/>
        </w:rPr>
        <w:t xml:space="preserve"> will spend</w:t>
      </w:r>
      <w:r w:rsidRPr="001E010D" w:rsidR="002B035B">
        <w:rPr>
          <w:rFonts w:ascii="Calibri" w:hAnsi="Calibri" w:cs="Calibri"/>
        </w:rPr>
        <w:t xml:space="preserve"> an average of</w:t>
      </w:r>
      <w:r w:rsidRPr="001E010D" w:rsidR="00D54603">
        <w:rPr>
          <w:rFonts w:ascii="Calibri" w:hAnsi="Calibri" w:cs="Calibri"/>
        </w:rPr>
        <w:t xml:space="preserve"> </w:t>
      </w:r>
      <w:r w:rsidR="00B43C13">
        <w:rPr>
          <w:rFonts w:ascii="Calibri" w:hAnsi="Calibri" w:cs="Calibri"/>
        </w:rPr>
        <w:t>1</w:t>
      </w:r>
      <w:r w:rsidRPr="001E010D" w:rsidR="00B43C13">
        <w:rPr>
          <w:rFonts w:ascii="Calibri" w:hAnsi="Calibri" w:cs="Calibri"/>
        </w:rPr>
        <w:t xml:space="preserve"> </w:t>
      </w:r>
      <w:r w:rsidRPr="001E010D" w:rsidR="00D54603">
        <w:rPr>
          <w:rFonts w:ascii="Calibri" w:hAnsi="Calibri" w:cs="Calibri"/>
        </w:rPr>
        <w:t xml:space="preserve">hour conducting </w:t>
      </w:r>
      <w:r w:rsidRPr="001E010D" w:rsidR="009A20D0">
        <w:rPr>
          <w:rFonts w:ascii="Calibri" w:hAnsi="Calibri" w:cs="Calibri"/>
        </w:rPr>
        <w:t xml:space="preserve">quarterly </w:t>
      </w:r>
      <w:r w:rsidRPr="001E010D" w:rsidR="00D54603">
        <w:rPr>
          <w:rFonts w:ascii="Calibri" w:hAnsi="Calibri" w:cs="Calibri"/>
        </w:rPr>
        <w:t>site inspections</w:t>
      </w:r>
      <w:r w:rsidRPr="001E010D" w:rsidR="002B035B">
        <w:rPr>
          <w:rFonts w:ascii="Calibri" w:hAnsi="Calibri" w:cs="Calibri"/>
        </w:rPr>
        <w:t xml:space="preserve"> </w:t>
      </w:r>
      <w:r w:rsidR="00C353F3">
        <w:rPr>
          <w:rFonts w:ascii="Calibri" w:hAnsi="Calibri" w:cs="Calibri"/>
        </w:rPr>
        <w:t xml:space="preserve">and </w:t>
      </w:r>
      <w:r w:rsidRPr="001E010D" w:rsidR="002B035B">
        <w:rPr>
          <w:rFonts w:ascii="Calibri" w:hAnsi="Calibri" w:cs="Calibri"/>
        </w:rPr>
        <w:t xml:space="preserve">completing inspection reports 20 times </w:t>
      </w:r>
      <w:r w:rsidRPr="001E010D" w:rsidR="005C1D12">
        <w:rPr>
          <w:rFonts w:ascii="Calibri" w:hAnsi="Calibri" w:cs="Calibri"/>
        </w:rPr>
        <w:t>throughout the permit term</w:t>
      </w:r>
      <w:r w:rsidR="00CD53E0">
        <w:rPr>
          <w:rFonts w:ascii="Calibri" w:hAnsi="Calibri" w:cs="Calibri"/>
        </w:rPr>
        <w:t xml:space="preserve"> (once per quarter)</w:t>
      </w:r>
      <w:r w:rsidRPr="001E010D" w:rsidR="002B035B">
        <w:rPr>
          <w:rFonts w:ascii="Calibri" w:hAnsi="Calibri" w:cs="Calibri"/>
        </w:rPr>
        <w:t>.</w:t>
      </w:r>
      <w:r w:rsidR="00D72D2B">
        <w:rPr>
          <w:rFonts w:ascii="Calibri" w:hAnsi="Calibri" w:cs="Calibri"/>
        </w:rPr>
        <w:t xml:space="preserve"> </w:t>
      </w:r>
      <w:r w:rsidRPr="0064730C">
        <w:t>EPA</w:t>
      </w:r>
      <w:r w:rsidRPr="0064730C" w:rsidR="002B035B">
        <w:t xml:space="preserve"> estimates that </w:t>
      </w:r>
      <w:r w:rsidRPr="0064730C" w:rsidR="00FF0B93">
        <w:t>2,</w:t>
      </w:r>
      <w:r w:rsidR="00A71D65">
        <w:t>508</w:t>
      </w:r>
      <w:r w:rsidRPr="0064730C" w:rsidR="00F84B3F">
        <w:t xml:space="preserve"> </w:t>
      </w:r>
      <w:r w:rsidRPr="0064730C" w:rsidR="001619D9">
        <w:t>respondents</w:t>
      </w:r>
      <w:r w:rsidRPr="0064730C" w:rsidR="002B035B">
        <w:t xml:space="preserve"> will spend an average of </w:t>
      </w:r>
      <w:r w:rsidRPr="0064730C" w:rsidR="00B43C13">
        <w:t xml:space="preserve">1 </w:t>
      </w:r>
      <w:r w:rsidRPr="0064730C" w:rsidR="00E94ACE">
        <w:t>hour</w:t>
      </w:r>
      <w:r w:rsidRPr="0064730C" w:rsidR="002B035B">
        <w:t xml:space="preserve"> conducting quarterly visual assessments and completing </w:t>
      </w:r>
      <w:r w:rsidRPr="0064730C" w:rsidR="00C353F3">
        <w:t xml:space="preserve">associated </w:t>
      </w:r>
      <w:r w:rsidRPr="0064730C" w:rsidR="002B035B">
        <w:t xml:space="preserve">documentation requirements 20 times </w:t>
      </w:r>
      <w:r w:rsidRPr="0064730C" w:rsidR="005C1D12">
        <w:t>throughout the permit term</w:t>
      </w:r>
      <w:r w:rsidRPr="00402979" w:rsidR="002B035B">
        <w:t>.</w:t>
      </w:r>
      <w:r w:rsidRPr="00A125BD" w:rsidR="00476A1A">
        <w:rPr>
          <w:rFonts w:ascii="Calibri" w:hAnsi="Calibri" w:cs="Calibri"/>
        </w:rPr>
        <w:t xml:space="preserve"> These reports are not required to be submitted to EPA, except in summary form in the Annual Report. </w:t>
      </w:r>
      <w:r w:rsidRPr="00476A1A" w:rsidR="00476A1A">
        <w:rPr>
          <w:rFonts w:ascii="Calibri" w:hAnsi="Calibri" w:cs="Calibri"/>
        </w:rPr>
        <w:t xml:space="preserve"> </w:t>
      </w:r>
      <w:r w:rsidR="00476A1A">
        <w:rPr>
          <w:rFonts w:ascii="Calibri" w:hAnsi="Calibri" w:cs="Calibri"/>
        </w:rPr>
        <w:t>For t</w:t>
      </w:r>
      <w:r w:rsidRPr="00670F75" w:rsidR="00476A1A">
        <w:rPr>
          <w:rFonts w:ascii="Calibri" w:hAnsi="Calibri" w:cs="Calibri"/>
        </w:rPr>
        <w:t>h</w:t>
      </w:r>
      <w:r w:rsidR="00476A1A">
        <w:rPr>
          <w:rFonts w:ascii="Calibri" w:hAnsi="Calibri" w:cs="Calibri"/>
        </w:rPr>
        <w:t>ese two inspection activities, the MSGP ICR collectively</w:t>
      </w:r>
      <w:r w:rsidRPr="00670F75" w:rsidR="00476A1A">
        <w:rPr>
          <w:rFonts w:ascii="Calibri" w:hAnsi="Calibri" w:cs="Calibri"/>
        </w:rPr>
        <w:t xml:space="preserve"> add</w:t>
      </w:r>
      <w:r w:rsidR="00476A1A">
        <w:rPr>
          <w:rFonts w:ascii="Calibri" w:hAnsi="Calibri" w:cs="Calibri"/>
        </w:rPr>
        <w:t>s</w:t>
      </w:r>
      <w:r w:rsidRPr="00670F75" w:rsidR="00476A1A">
        <w:rPr>
          <w:rFonts w:ascii="Calibri" w:hAnsi="Calibri" w:cs="Calibri"/>
        </w:rPr>
        <w:t xml:space="preserve"> an incremental burden of </w:t>
      </w:r>
      <w:r w:rsidR="00476A1A">
        <w:rPr>
          <w:rFonts w:ascii="Calibri" w:hAnsi="Calibri" w:cs="Calibri"/>
        </w:rPr>
        <w:t xml:space="preserve">4 </w:t>
      </w:r>
      <w:r w:rsidRPr="00670F75" w:rsidR="00476A1A">
        <w:rPr>
          <w:rFonts w:ascii="Calibri" w:hAnsi="Calibri" w:cs="Calibri"/>
        </w:rPr>
        <w:t xml:space="preserve">hours </w:t>
      </w:r>
      <w:r w:rsidR="00476A1A">
        <w:rPr>
          <w:rFonts w:ascii="Calibri" w:hAnsi="Calibri" w:cs="Calibri"/>
        </w:rPr>
        <w:t>to the burden accounted for in the NPDES programmatic ICR (4 hours). The NPDES Programmatic ICR assumes 4 hours for one annual inspection</w:t>
      </w:r>
      <w:r w:rsidR="000F0628">
        <w:rPr>
          <w:rFonts w:ascii="Calibri" w:hAnsi="Calibri" w:cs="Calibri"/>
        </w:rPr>
        <w:t xml:space="preserve"> equating to a total of 20 hours</w:t>
      </w:r>
      <w:r w:rsidR="00476A1A">
        <w:rPr>
          <w:rFonts w:ascii="Calibri" w:hAnsi="Calibri" w:cs="Calibri"/>
        </w:rPr>
        <w:t>.</w:t>
      </w:r>
    </w:p>
    <w:p w:rsidR="004F6A74" w:rsidP="00D37535" w:rsidRDefault="007969AA" w14:paraId="5330F204" w14:textId="69AF5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90447">
        <w:rPr>
          <w:rFonts w:ascii="Calibri" w:hAnsi="Calibri" w:cs="Calibri"/>
        </w:rPr>
        <w:t xml:space="preserve"> The estimate that </w:t>
      </w:r>
      <w:r w:rsidRPr="00670F75" w:rsidR="00FF0B93">
        <w:rPr>
          <w:rFonts w:ascii="Calibri" w:hAnsi="Calibri" w:cs="Calibri"/>
        </w:rPr>
        <w:t>2,</w:t>
      </w:r>
      <w:r w:rsidR="00A71D65">
        <w:rPr>
          <w:rFonts w:ascii="Calibri" w:hAnsi="Calibri" w:cs="Calibri"/>
        </w:rPr>
        <w:t>508</w:t>
      </w:r>
      <w:r w:rsidRPr="00670F75" w:rsidR="00FF0B93">
        <w:rPr>
          <w:rFonts w:ascii="Calibri" w:hAnsi="Calibri" w:cs="Calibri"/>
        </w:rPr>
        <w:t xml:space="preserve"> </w:t>
      </w:r>
      <w:r w:rsidR="001619D9">
        <w:rPr>
          <w:rFonts w:ascii="Calibri" w:hAnsi="Calibri" w:cs="Calibri"/>
        </w:rPr>
        <w:t>respondents</w:t>
      </w:r>
      <w:r w:rsidRPr="001E010D" w:rsidR="00B90447">
        <w:rPr>
          <w:rFonts w:ascii="Calibri" w:hAnsi="Calibri" w:cs="Calibri"/>
        </w:rPr>
        <w:t xml:space="preserve"> will be</w:t>
      </w:r>
      <w:r w:rsidRPr="001E010D" w:rsidR="001A4CED">
        <w:rPr>
          <w:rFonts w:ascii="Calibri" w:hAnsi="Calibri" w:cs="Calibri"/>
        </w:rPr>
        <w:t xml:space="preserve"> conducting inspections</w:t>
      </w:r>
      <w:r w:rsidR="00C353F3">
        <w:rPr>
          <w:rFonts w:ascii="Calibri" w:hAnsi="Calibri" w:cs="Calibri"/>
        </w:rPr>
        <w:t xml:space="preserve"> and quarterly visual assessments</w:t>
      </w:r>
      <w:r w:rsidRPr="001E010D" w:rsidR="001A4CED">
        <w:rPr>
          <w:rFonts w:ascii="Calibri" w:hAnsi="Calibri" w:cs="Calibri"/>
        </w:rPr>
        <w:t xml:space="preserve"> </w:t>
      </w:r>
      <w:r w:rsidRPr="001E010D" w:rsidR="00B90447">
        <w:rPr>
          <w:rFonts w:ascii="Calibri" w:hAnsi="Calibri" w:cs="Calibri"/>
        </w:rPr>
        <w:t xml:space="preserve">is based on the requirement that all </w:t>
      </w:r>
      <w:r w:rsidR="001619D9">
        <w:rPr>
          <w:rFonts w:ascii="Calibri" w:hAnsi="Calibri" w:cs="Calibri"/>
        </w:rPr>
        <w:t>respondents</w:t>
      </w:r>
      <w:r w:rsidRPr="001E010D" w:rsidR="00B90447">
        <w:rPr>
          <w:rFonts w:ascii="Calibri" w:hAnsi="Calibri" w:cs="Calibri"/>
        </w:rPr>
        <w:t xml:space="preserve"> will at a minimum be conducting</w:t>
      </w:r>
      <w:r w:rsidRPr="001E010D" w:rsidR="001A4CED">
        <w:rPr>
          <w:rFonts w:ascii="Calibri" w:hAnsi="Calibri" w:cs="Calibri"/>
        </w:rPr>
        <w:t xml:space="preserve"> quarterly inspections </w:t>
      </w:r>
      <w:r w:rsidRPr="001E010D" w:rsidR="009E166C">
        <w:rPr>
          <w:rFonts w:ascii="Calibri" w:hAnsi="Calibri" w:cs="Calibri"/>
        </w:rPr>
        <w:t xml:space="preserve">and quarterly visual assessments </w:t>
      </w:r>
      <w:r w:rsidRPr="001E010D" w:rsidR="001A4CED">
        <w:rPr>
          <w:rFonts w:ascii="Calibri" w:hAnsi="Calibri" w:cs="Calibri"/>
        </w:rPr>
        <w:t>throughout the permit term</w:t>
      </w:r>
      <w:r w:rsidRPr="001E010D" w:rsidR="00B90447">
        <w:rPr>
          <w:rFonts w:ascii="Calibri" w:hAnsi="Calibri" w:cs="Calibri"/>
        </w:rPr>
        <w:t>.</w:t>
      </w:r>
      <w:r w:rsidRPr="001E010D" w:rsidR="009E166C">
        <w:rPr>
          <w:rFonts w:ascii="Calibri" w:hAnsi="Calibri" w:cs="Calibri"/>
        </w:rPr>
        <w:t xml:space="preserve"> </w:t>
      </w:r>
      <w:r w:rsidR="00F414E5">
        <w:rPr>
          <w:rFonts w:ascii="Calibri" w:hAnsi="Calibri" w:cs="Calibri"/>
        </w:rPr>
        <w:t>EPA</w:t>
      </w:r>
      <w:r w:rsidRPr="001E010D" w:rsidR="009E166C">
        <w:rPr>
          <w:rFonts w:ascii="Calibri" w:hAnsi="Calibri" w:cs="Calibri"/>
        </w:rPr>
        <w:t xml:space="preserve"> assumes each</w:t>
      </w:r>
      <w:r w:rsidRPr="001E010D" w:rsidR="00527054">
        <w:rPr>
          <w:rFonts w:ascii="Calibri" w:hAnsi="Calibri" w:cs="Calibri"/>
        </w:rPr>
        <w:t xml:space="preserve"> quarterly</w:t>
      </w:r>
      <w:r w:rsidRPr="001E010D" w:rsidR="009E166C">
        <w:rPr>
          <w:rFonts w:ascii="Calibri" w:hAnsi="Calibri" w:cs="Calibri"/>
        </w:rPr>
        <w:t xml:space="preserve"> inspection</w:t>
      </w:r>
      <w:r w:rsidR="0052758C">
        <w:rPr>
          <w:rFonts w:ascii="Calibri" w:hAnsi="Calibri" w:cs="Calibri"/>
        </w:rPr>
        <w:t xml:space="preserve"> and visual assessment</w:t>
      </w:r>
      <w:r w:rsidRPr="001E010D" w:rsidR="009E166C">
        <w:rPr>
          <w:rFonts w:ascii="Calibri" w:hAnsi="Calibri" w:cs="Calibri"/>
        </w:rPr>
        <w:t xml:space="preserve"> will take approximately </w:t>
      </w:r>
      <w:r w:rsidR="00B43C13">
        <w:rPr>
          <w:rFonts w:ascii="Calibri" w:hAnsi="Calibri" w:cs="Calibri"/>
        </w:rPr>
        <w:t>1</w:t>
      </w:r>
      <w:r w:rsidRPr="001E010D" w:rsidR="00B43C13">
        <w:rPr>
          <w:rFonts w:ascii="Calibri" w:hAnsi="Calibri" w:cs="Calibri"/>
        </w:rPr>
        <w:t xml:space="preserve"> </w:t>
      </w:r>
      <w:r w:rsidRPr="001E010D" w:rsidR="009E166C">
        <w:rPr>
          <w:rFonts w:ascii="Calibri" w:hAnsi="Calibri" w:cs="Calibri"/>
        </w:rPr>
        <w:t>hour</w:t>
      </w:r>
      <w:r w:rsidR="00476A1A">
        <w:rPr>
          <w:rFonts w:ascii="Calibri" w:hAnsi="Calibri" w:cs="Calibri"/>
        </w:rPr>
        <w:t>.</w:t>
      </w:r>
    </w:p>
    <w:p w:rsidRPr="001E010D" w:rsidR="00D37535" w:rsidP="00D37535" w:rsidRDefault="00D37535" w14:paraId="48A4CD25" w14:textId="4B092A6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66730D" w:rsidR="00781ED3" w:rsidP="00D37535" w:rsidRDefault="00781ED3" w14:paraId="30E2C69A" w14:textId="7315B7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Corrective Action/</w:t>
      </w:r>
      <w:r w:rsidR="008B4295">
        <w:rPr>
          <w:rFonts w:ascii="Calibri" w:hAnsi="Calibri" w:cs="Calibri"/>
          <w:b/>
        </w:rPr>
        <w:t>Additional</w:t>
      </w:r>
      <w:r w:rsidRPr="001E010D" w:rsidR="008B4295">
        <w:rPr>
          <w:rFonts w:ascii="Calibri" w:hAnsi="Calibri" w:cs="Calibri"/>
          <w:b/>
        </w:rPr>
        <w:t xml:space="preserve"> </w:t>
      </w:r>
      <w:r w:rsidRPr="001E010D">
        <w:rPr>
          <w:rFonts w:ascii="Calibri" w:hAnsi="Calibri" w:cs="Calibri"/>
          <w:b/>
        </w:rPr>
        <w:t>Implementation Measure Documentation</w:t>
      </w:r>
      <w:r w:rsidR="00D15596">
        <w:rPr>
          <w:rFonts w:ascii="Calibri" w:hAnsi="Calibri" w:cs="Calibri"/>
          <w:b/>
        </w:rPr>
        <w:t xml:space="preserve"> </w:t>
      </w:r>
      <w:r w:rsidRPr="00825AFC" w:rsidR="00D15596">
        <w:rPr>
          <w:rFonts w:ascii="Calibri" w:hAnsi="Calibri" w:cs="Calibri"/>
        </w:rPr>
        <w:t>[</w:t>
      </w:r>
      <w:r w:rsidR="001C4EEA">
        <w:rPr>
          <w:rFonts w:ascii="Calibri" w:hAnsi="Calibri" w:cs="Calibri"/>
        </w:rPr>
        <w:t>Changes</w:t>
      </w:r>
      <w:r w:rsidR="00D15596">
        <w:rPr>
          <w:rFonts w:ascii="Calibri" w:hAnsi="Calibri" w:cs="Calibri"/>
        </w:rPr>
        <w:t xml:space="preserve"> to the information collection burden</w:t>
      </w:r>
      <w:r w:rsidRPr="00825AFC" w:rsidR="00D15596">
        <w:rPr>
          <w:rFonts w:ascii="Calibri" w:hAnsi="Calibri" w:cs="Calibri"/>
        </w:rPr>
        <w:t>]</w:t>
      </w:r>
    </w:p>
    <w:p w:rsidR="00B31BCD" w:rsidP="00D37535" w:rsidRDefault="00B31BCD" w14:paraId="5D9DE9D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927D0F" w:rsidP="00D37535" w:rsidRDefault="00F414E5" w14:paraId="0E45E8DC" w14:textId="7C3AA14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EPA</w:t>
      </w:r>
      <w:r w:rsidR="003241C3">
        <w:rPr>
          <w:rFonts w:ascii="Calibri" w:hAnsi="Calibri" w:cs="Calibri"/>
        </w:rPr>
        <w:t xml:space="preserve"> estimates that approximately </w:t>
      </w:r>
      <w:r w:rsidR="003D6542">
        <w:rPr>
          <w:rFonts w:ascii="Calibri" w:hAnsi="Calibri" w:cs="Calibri"/>
        </w:rPr>
        <w:t>4</w:t>
      </w:r>
      <w:r w:rsidR="003241C3">
        <w:rPr>
          <w:rFonts w:ascii="Calibri" w:hAnsi="Calibri" w:cs="Calibri"/>
        </w:rPr>
        <w:t xml:space="preserve">0 percent of </w:t>
      </w:r>
      <w:r w:rsidR="001619D9">
        <w:rPr>
          <w:rFonts w:ascii="Calibri" w:hAnsi="Calibri" w:cs="Calibri"/>
        </w:rPr>
        <w:t>respondents</w:t>
      </w:r>
      <w:r w:rsidR="00CC2905">
        <w:rPr>
          <w:rFonts w:ascii="Calibri" w:hAnsi="Calibri" w:cs="Calibri"/>
        </w:rPr>
        <w:t xml:space="preserve">, or </w:t>
      </w:r>
      <w:r w:rsidR="00C3236A">
        <w:rPr>
          <w:rFonts w:ascii="Calibri" w:hAnsi="Calibri" w:cs="Calibri"/>
        </w:rPr>
        <w:t>1,00</w:t>
      </w:r>
      <w:r w:rsidR="001575C7">
        <w:rPr>
          <w:rFonts w:ascii="Calibri" w:hAnsi="Calibri" w:cs="Calibri"/>
        </w:rPr>
        <w:t>0</w:t>
      </w:r>
      <w:r w:rsidR="00CC2905">
        <w:rPr>
          <w:rFonts w:ascii="Calibri" w:hAnsi="Calibri" w:cs="Calibri"/>
        </w:rPr>
        <w:t xml:space="preserve"> </w:t>
      </w:r>
      <w:r w:rsidR="001619D9">
        <w:rPr>
          <w:rFonts w:ascii="Calibri" w:hAnsi="Calibri" w:cs="Calibri"/>
        </w:rPr>
        <w:t>respondents</w:t>
      </w:r>
      <w:r w:rsidR="00CC2905">
        <w:rPr>
          <w:rFonts w:ascii="Calibri" w:hAnsi="Calibri" w:cs="Calibri"/>
        </w:rPr>
        <w:t>,</w:t>
      </w:r>
      <w:r w:rsidR="003241C3">
        <w:rPr>
          <w:rFonts w:ascii="Calibri" w:hAnsi="Calibri" w:cs="Calibri"/>
        </w:rPr>
        <w:t xml:space="preserve"> </w:t>
      </w:r>
      <w:r w:rsidR="002F7988">
        <w:rPr>
          <w:rFonts w:ascii="Calibri" w:hAnsi="Calibri" w:cs="Calibri"/>
        </w:rPr>
        <w:t xml:space="preserve">will </w:t>
      </w:r>
      <w:r w:rsidR="00855697">
        <w:rPr>
          <w:rFonts w:ascii="Calibri" w:hAnsi="Calibri" w:cs="Calibri"/>
        </w:rPr>
        <w:t xml:space="preserve">need to document </w:t>
      </w:r>
      <w:r w:rsidR="002F7988">
        <w:rPr>
          <w:rFonts w:ascii="Calibri" w:hAnsi="Calibri" w:cs="Calibri"/>
        </w:rPr>
        <w:t>corrective action</w:t>
      </w:r>
      <w:r w:rsidR="00855697">
        <w:rPr>
          <w:rFonts w:ascii="Calibri" w:hAnsi="Calibri" w:cs="Calibri"/>
        </w:rPr>
        <w:t>s</w:t>
      </w:r>
      <w:r w:rsidR="002F7988">
        <w:rPr>
          <w:rFonts w:ascii="Calibri" w:hAnsi="Calibri" w:cs="Calibri"/>
        </w:rPr>
        <w:t xml:space="preserve"> </w:t>
      </w:r>
      <w:r w:rsidR="002B3D96">
        <w:rPr>
          <w:rFonts w:ascii="Calibri" w:hAnsi="Calibri" w:cs="Calibri"/>
        </w:rPr>
        <w:t xml:space="preserve">and/or AIM </w:t>
      </w:r>
      <w:r w:rsidR="00F70C79">
        <w:rPr>
          <w:rFonts w:ascii="Calibri" w:hAnsi="Calibri" w:cs="Calibri"/>
        </w:rPr>
        <w:t xml:space="preserve">related information </w:t>
      </w:r>
      <w:r w:rsidR="00434B21">
        <w:rPr>
          <w:rFonts w:ascii="Calibri" w:hAnsi="Calibri" w:cs="Calibri"/>
        </w:rPr>
        <w:t>each year of permit coverage</w:t>
      </w:r>
      <w:r w:rsidR="002F7988">
        <w:rPr>
          <w:rFonts w:ascii="Calibri" w:hAnsi="Calibri" w:cs="Calibri"/>
        </w:rPr>
        <w:t>.</w:t>
      </w:r>
      <w:r w:rsidR="00137E3D">
        <w:rPr>
          <w:rFonts w:ascii="Calibri" w:hAnsi="Calibri" w:cs="Calibri"/>
        </w:rPr>
        <w:t xml:space="preserve"> </w:t>
      </w:r>
      <w:r>
        <w:rPr>
          <w:rFonts w:ascii="Calibri" w:hAnsi="Calibri" w:cs="Calibri"/>
        </w:rPr>
        <w:t>EPA</w:t>
      </w:r>
      <w:r w:rsidR="002F7988">
        <w:rPr>
          <w:rFonts w:ascii="Calibri" w:hAnsi="Calibri" w:cs="Calibri"/>
        </w:rPr>
        <w:t xml:space="preserve"> assumes that the </w:t>
      </w:r>
      <w:r w:rsidR="00C3236A">
        <w:rPr>
          <w:rFonts w:ascii="Calibri" w:hAnsi="Calibri" w:cs="Calibri"/>
        </w:rPr>
        <w:t>1,00</w:t>
      </w:r>
      <w:r w:rsidR="001575C7">
        <w:rPr>
          <w:rFonts w:ascii="Calibri" w:hAnsi="Calibri" w:cs="Calibri"/>
        </w:rPr>
        <w:t xml:space="preserve">0 </w:t>
      </w:r>
      <w:r w:rsidR="001619D9">
        <w:rPr>
          <w:rFonts w:ascii="Calibri" w:hAnsi="Calibri" w:cs="Calibri"/>
        </w:rPr>
        <w:t>respondents</w:t>
      </w:r>
      <w:r w:rsidR="002F7988">
        <w:rPr>
          <w:rFonts w:ascii="Calibri" w:hAnsi="Calibri" w:cs="Calibri"/>
        </w:rPr>
        <w:t xml:space="preserve"> who have corrective action</w:t>
      </w:r>
      <w:r w:rsidR="00FF4197">
        <w:rPr>
          <w:rFonts w:ascii="Calibri" w:hAnsi="Calibri" w:cs="Calibri"/>
        </w:rPr>
        <w:t xml:space="preserve"> and/or AIM</w:t>
      </w:r>
      <w:r w:rsidR="002F7988">
        <w:rPr>
          <w:rFonts w:ascii="Calibri" w:hAnsi="Calibri" w:cs="Calibri"/>
        </w:rPr>
        <w:t xml:space="preserve"> documentation </w:t>
      </w:r>
      <w:r w:rsidR="002B3D96">
        <w:rPr>
          <w:rFonts w:ascii="Calibri" w:hAnsi="Calibri" w:cs="Calibri"/>
        </w:rPr>
        <w:t xml:space="preserve">will each spend an average of </w:t>
      </w:r>
      <w:r w:rsidR="00B43C13">
        <w:rPr>
          <w:rFonts w:ascii="Calibri" w:hAnsi="Calibri" w:cs="Calibri"/>
        </w:rPr>
        <w:t xml:space="preserve">1 </w:t>
      </w:r>
      <w:r w:rsidR="002B3D96">
        <w:rPr>
          <w:rFonts w:ascii="Calibri" w:hAnsi="Calibri" w:cs="Calibri"/>
        </w:rPr>
        <w:t>hour documenting their corrective actions</w:t>
      </w:r>
      <w:r w:rsidR="00FF4197">
        <w:rPr>
          <w:rFonts w:ascii="Calibri" w:hAnsi="Calibri" w:cs="Calibri"/>
        </w:rPr>
        <w:t>/AIM responses</w:t>
      </w:r>
      <w:r w:rsidR="002B3D96">
        <w:rPr>
          <w:rFonts w:ascii="Calibri" w:hAnsi="Calibri" w:cs="Calibri"/>
        </w:rPr>
        <w:t xml:space="preserve"> each year of the permit.</w:t>
      </w:r>
      <w:r w:rsidR="00927D0F">
        <w:rPr>
          <w:rFonts w:ascii="Calibri" w:hAnsi="Calibri" w:cs="Calibri"/>
        </w:rPr>
        <w:t xml:space="preserve"> </w:t>
      </w:r>
      <w:r w:rsidRPr="00B31BCD" w:rsidR="00927D0F">
        <w:rPr>
          <w:rFonts w:ascii="Calibri" w:hAnsi="Calibri" w:cs="Calibri"/>
        </w:rPr>
        <w:t>This documentation is not required to be submitted to EPA, except in summary form on the Annual Report.</w:t>
      </w:r>
      <w:r w:rsidR="001B2FF4">
        <w:rPr>
          <w:rFonts w:ascii="Calibri" w:hAnsi="Calibri" w:cs="Calibri"/>
        </w:rPr>
        <w:t xml:space="preserve"> Although documenting corrective actions is not a new activity under the MSGP, t</w:t>
      </w:r>
      <w:r w:rsidR="002860CF">
        <w:rPr>
          <w:rFonts w:ascii="Calibri" w:hAnsi="Calibri" w:cs="Calibri"/>
        </w:rPr>
        <w:t>his activity is not currently accounted for in the NPDES Program ICR</w:t>
      </w:r>
      <w:r w:rsidR="00B018DA">
        <w:rPr>
          <w:rFonts w:ascii="Calibri" w:hAnsi="Calibri" w:cs="Calibri"/>
        </w:rPr>
        <w:t xml:space="preserve">, so this MSGP ICR </w:t>
      </w:r>
      <w:r w:rsidR="001B2FF4">
        <w:rPr>
          <w:rFonts w:ascii="Calibri" w:hAnsi="Calibri" w:cs="Calibri"/>
        </w:rPr>
        <w:t xml:space="preserve">effectively </w:t>
      </w:r>
      <w:r w:rsidR="00B018DA">
        <w:rPr>
          <w:rFonts w:ascii="Calibri" w:hAnsi="Calibri" w:cs="Calibri"/>
        </w:rPr>
        <w:t xml:space="preserve">adds an incremental burden of </w:t>
      </w:r>
      <w:r w:rsidR="00B12869">
        <w:rPr>
          <w:rFonts w:ascii="Calibri" w:hAnsi="Calibri" w:cs="Calibri"/>
        </w:rPr>
        <w:t xml:space="preserve">1 hour. </w:t>
      </w:r>
    </w:p>
    <w:p w:rsidRPr="001E010D" w:rsidR="001D78E4" w:rsidP="00D37535" w:rsidRDefault="001D78E4" w14:paraId="29266C68" w14:textId="36439F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8D512D" w:rsidR="00A02433" w:rsidRDefault="007969AA" w14:paraId="0D7CC671" w14:textId="675058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F04E2A">
        <w:rPr>
          <w:rFonts w:ascii="Calibri" w:hAnsi="Calibri" w:cs="Calibri"/>
        </w:rPr>
        <w:t xml:space="preserve"> </w:t>
      </w:r>
      <w:r w:rsidRPr="00670F75" w:rsidR="00751F74">
        <w:rPr>
          <w:rFonts w:ascii="Calibri" w:hAnsi="Calibri" w:cs="Calibri"/>
        </w:rPr>
        <w:t xml:space="preserve">There have been </w:t>
      </w:r>
      <w:r w:rsidR="004B143A">
        <w:rPr>
          <w:rFonts w:ascii="Calibri" w:hAnsi="Calibri" w:cs="Calibri"/>
        </w:rPr>
        <w:t>c</w:t>
      </w:r>
      <w:r w:rsidR="001C4EEA">
        <w:rPr>
          <w:rFonts w:ascii="Calibri" w:hAnsi="Calibri" w:cs="Calibri"/>
        </w:rPr>
        <w:t>hanges</w:t>
      </w:r>
      <w:r w:rsidRPr="00670F75" w:rsidR="00751F74">
        <w:rPr>
          <w:rFonts w:ascii="Calibri" w:hAnsi="Calibri" w:cs="Calibri"/>
        </w:rPr>
        <w:t xml:space="preserve"> made to the </w:t>
      </w:r>
      <w:r w:rsidR="00751F74">
        <w:rPr>
          <w:rFonts w:ascii="Calibri" w:hAnsi="Calibri" w:cs="Calibri"/>
        </w:rPr>
        <w:t xml:space="preserve">corrective action documentation </w:t>
      </w:r>
      <w:r w:rsidRPr="00670F75" w:rsidR="00751F74">
        <w:rPr>
          <w:rFonts w:ascii="Calibri" w:hAnsi="Calibri" w:cs="Calibri"/>
        </w:rPr>
        <w:t xml:space="preserve">requirements in the 2021 MSGP permit, resulting from the new AIM requirements. </w:t>
      </w:r>
      <w:r w:rsidRPr="00B31BCD" w:rsidR="00751F74">
        <w:rPr>
          <w:rFonts w:ascii="Calibri" w:hAnsi="Calibri" w:cs="Calibri"/>
        </w:rPr>
        <w:t xml:space="preserve">The 2021 MSGP requires the documentation of any corrective action conditions/AIM responses, including the condition triggering the corrective action/AIM response, the date of the condition/AIM response, and actions taken. </w:t>
      </w:r>
      <w:r w:rsidR="001B2FF4">
        <w:rPr>
          <w:rFonts w:ascii="Calibri" w:hAnsi="Calibri" w:cs="Calibri"/>
        </w:rPr>
        <w:t>However,</w:t>
      </w:r>
      <w:r w:rsidR="00211D56">
        <w:rPr>
          <w:rFonts w:ascii="Calibri" w:hAnsi="Calibri" w:cs="Calibri"/>
        </w:rPr>
        <w:t xml:space="preserve"> the corrective action documentation required in the 2015 MSGP is substantially similar to the required AIM documentation. </w:t>
      </w:r>
      <w:r w:rsidR="00AE5396">
        <w:rPr>
          <w:rFonts w:ascii="Calibri" w:hAnsi="Calibri" w:cs="Calibri"/>
        </w:rPr>
        <w:t>Thus,</w:t>
      </w:r>
      <w:r w:rsidR="00211D56">
        <w:rPr>
          <w:rFonts w:ascii="Calibri" w:hAnsi="Calibri" w:cs="Calibri"/>
        </w:rPr>
        <w:t xml:space="preserve"> </w:t>
      </w:r>
      <w:r w:rsidR="00D5761D">
        <w:rPr>
          <w:rFonts w:ascii="Calibri" w:hAnsi="Calibri" w:cs="Calibri"/>
        </w:rPr>
        <w:t xml:space="preserve">EPA assumes the </w:t>
      </w:r>
      <w:r w:rsidR="00910366">
        <w:rPr>
          <w:rFonts w:ascii="Calibri" w:hAnsi="Calibri" w:cs="Calibri"/>
        </w:rPr>
        <w:t xml:space="preserve">previously </w:t>
      </w:r>
      <w:r w:rsidR="00910366">
        <w:rPr>
          <w:rFonts w:ascii="Calibri" w:hAnsi="Calibri" w:cs="Calibri"/>
        </w:rPr>
        <w:lastRenderedPageBreak/>
        <w:t xml:space="preserve">estimated </w:t>
      </w:r>
      <w:r w:rsidR="00D5761D">
        <w:rPr>
          <w:rFonts w:ascii="Calibri" w:hAnsi="Calibri" w:cs="Calibri"/>
        </w:rPr>
        <w:t>1 hour</w:t>
      </w:r>
      <w:r w:rsidR="00910366">
        <w:rPr>
          <w:rFonts w:ascii="Calibri" w:hAnsi="Calibri" w:cs="Calibri"/>
        </w:rPr>
        <w:t xml:space="preserve"> for corrective action documentation is sufficient.</w:t>
      </w:r>
      <w:r w:rsidR="0049658A">
        <w:rPr>
          <w:rFonts w:ascii="Calibri" w:hAnsi="Calibri" w:cs="Calibri"/>
        </w:rPr>
        <w:t xml:space="preserve"> </w:t>
      </w:r>
      <w:r w:rsidRPr="008D512D" w:rsidR="00927D0F">
        <w:rPr>
          <w:rFonts w:ascii="Calibri" w:hAnsi="Calibri" w:cs="Calibri"/>
        </w:rPr>
        <w:t xml:space="preserve">EPA’s estimate that 40 percent of respondents will have corrective action and/or AIM documentation is based on an analysis of benchmark exceedances from 2015 MSGP DMR data. </w:t>
      </w:r>
    </w:p>
    <w:p w:rsidR="00B43C13" w:rsidP="00D37535" w:rsidRDefault="00B43C13" w14:paraId="50E638F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06E9CE00" w14:textId="477BAC7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D15596">
        <w:rPr>
          <w:rFonts w:ascii="Calibri" w:hAnsi="Calibri" w:cs="Calibri"/>
          <w:b/>
        </w:rPr>
        <w:t xml:space="preserve"> </w:t>
      </w:r>
      <w:r w:rsidRPr="00825AFC" w:rsidR="00D15596">
        <w:rPr>
          <w:rFonts w:ascii="Calibri" w:hAnsi="Calibri" w:cs="Calibri"/>
        </w:rPr>
        <w:t>[</w:t>
      </w:r>
      <w:r w:rsidR="00796FB3">
        <w:rPr>
          <w:rFonts w:ascii="Calibri" w:hAnsi="Calibri" w:cs="Calibri"/>
        </w:rPr>
        <w:t>No</w:t>
      </w:r>
      <w:r w:rsidR="00AD789C">
        <w:rPr>
          <w:rFonts w:ascii="Calibri" w:hAnsi="Calibri" w:cs="Calibri"/>
        </w:rPr>
        <w:t xml:space="preserve"> </w:t>
      </w:r>
      <w:r w:rsidR="00D15596">
        <w:rPr>
          <w:rFonts w:ascii="Calibri" w:hAnsi="Calibri" w:cs="Calibri"/>
        </w:rPr>
        <w:t>changes to the information collection burden</w:t>
      </w:r>
      <w:r w:rsidRPr="00825AFC" w:rsidR="00D15596">
        <w:rPr>
          <w:rFonts w:ascii="Calibri" w:hAnsi="Calibri" w:cs="Calibri"/>
        </w:rPr>
        <w:t>]</w:t>
      </w:r>
    </w:p>
    <w:p w:rsidR="00796FB3" w:rsidP="00185613" w:rsidRDefault="00796FB3" w14:paraId="5C73D64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056B06" w:rsidP="00056B06" w:rsidRDefault="00F414E5" w14:paraId="783731A3" w14:textId="704B4FA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Pr>
          <w:rFonts w:ascii="Calibri" w:hAnsi="Calibri" w:cs="Calibri"/>
        </w:rPr>
        <w:t>EPA</w:t>
      </w:r>
      <w:r w:rsidRPr="001E010D" w:rsidR="00CF5DCB">
        <w:rPr>
          <w:rFonts w:ascii="Calibri" w:hAnsi="Calibri" w:cs="Calibri"/>
        </w:rPr>
        <w:t xml:space="preserve"> estimates </w:t>
      </w:r>
      <w:r w:rsidRPr="001E010D" w:rsidR="001E6C8C">
        <w:rPr>
          <w:rFonts w:ascii="Calibri" w:hAnsi="Calibri" w:cs="Calibri"/>
        </w:rPr>
        <w:t xml:space="preserve">that </w:t>
      </w:r>
      <w:r w:rsidRPr="001E010D" w:rsidR="00892B3F">
        <w:rPr>
          <w:rFonts w:ascii="Calibri" w:hAnsi="Calibri" w:cs="Calibri"/>
        </w:rPr>
        <w:t>2,</w:t>
      </w:r>
      <w:r w:rsidR="00A137F4">
        <w:rPr>
          <w:rFonts w:ascii="Calibri" w:hAnsi="Calibri" w:cs="Calibri"/>
        </w:rPr>
        <w:t>508</w:t>
      </w:r>
      <w:r w:rsidRPr="001E010D" w:rsidR="00EE5236">
        <w:rPr>
          <w:rFonts w:ascii="Calibri" w:hAnsi="Calibri" w:cs="Calibri"/>
        </w:rPr>
        <w:t xml:space="preserve"> </w:t>
      </w:r>
      <w:r w:rsidR="001619D9">
        <w:rPr>
          <w:rFonts w:ascii="Calibri" w:hAnsi="Calibri" w:cs="Calibri"/>
        </w:rPr>
        <w:t>respondents</w:t>
      </w:r>
      <w:r w:rsidRPr="001E010D" w:rsidR="001E6C8C">
        <w:rPr>
          <w:rFonts w:ascii="Calibri" w:hAnsi="Calibri" w:cs="Calibri"/>
        </w:rPr>
        <w:t xml:space="preserve"> </w:t>
      </w:r>
      <w:r w:rsidR="00953E41">
        <w:rPr>
          <w:rFonts w:ascii="Calibri" w:hAnsi="Calibri" w:cs="Calibri"/>
        </w:rPr>
        <w:t xml:space="preserve">would </w:t>
      </w:r>
      <w:r w:rsidRPr="001E010D" w:rsidR="001E6C8C">
        <w:rPr>
          <w:rFonts w:ascii="Calibri" w:hAnsi="Calibri" w:cs="Calibri"/>
        </w:rPr>
        <w:t xml:space="preserve">spend an average of </w:t>
      </w:r>
      <w:r w:rsidR="00B43C13">
        <w:rPr>
          <w:rFonts w:ascii="Calibri" w:hAnsi="Calibri" w:cs="Calibri"/>
        </w:rPr>
        <w:t>1 </w:t>
      </w:r>
      <w:r w:rsidRPr="001E010D" w:rsidR="001E6C8C">
        <w:rPr>
          <w:rFonts w:ascii="Calibri" w:hAnsi="Calibri" w:cs="Calibri"/>
        </w:rPr>
        <w:t xml:space="preserve">hour completing </w:t>
      </w:r>
      <w:r w:rsidRPr="001E010D" w:rsidR="00A670A6">
        <w:rPr>
          <w:rFonts w:ascii="Calibri" w:hAnsi="Calibri" w:cs="Calibri"/>
        </w:rPr>
        <w:t xml:space="preserve">and submitting </w:t>
      </w:r>
      <w:r w:rsidRPr="001E010D" w:rsidR="001E6C8C">
        <w:rPr>
          <w:rFonts w:ascii="Calibri" w:hAnsi="Calibri" w:cs="Calibri"/>
        </w:rPr>
        <w:t xml:space="preserve">the Annual Report </w:t>
      </w:r>
      <w:r w:rsidR="00EE5236">
        <w:rPr>
          <w:rFonts w:ascii="Calibri" w:hAnsi="Calibri" w:cs="Calibri"/>
        </w:rPr>
        <w:t>five</w:t>
      </w:r>
      <w:r w:rsidRPr="001E010D" w:rsidR="001E6C8C">
        <w:rPr>
          <w:rFonts w:ascii="Calibri" w:hAnsi="Calibri" w:cs="Calibri"/>
        </w:rPr>
        <w:t xml:space="preserve"> times throughout the permit term. </w:t>
      </w:r>
      <w:r w:rsidRPr="00670F75" w:rsidR="00056B06">
        <w:rPr>
          <w:rFonts w:ascii="Calibri" w:hAnsi="Calibri" w:cs="Calibri"/>
        </w:rPr>
        <w:t>This MSGP ICR adds an incremental burden of 0.</w:t>
      </w:r>
      <w:r w:rsidR="00056B06">
        <w:rPr>
          <w:rFonts w:ascii="Calibri" w:hAnsi="Calibri" w:cs="Calibri"/>
        </w:rPr>
        <w:t>75</w:t>
      </w:r>
      <w:r w:rsidRPr="00670F75" w:rsidR="00056B06">
        <w:rPr>
          <w:rFonts w:ascii="Calibri" w:hAnsi="Calibri" w:cs="Calibri"/>
        </w:rPr>
        <w:t xml:space="preserve"> hours </w:t>
      </w:r>
      <w:r w:rsidR="00056B06">
        <w:rPr>
          <w:rFonts w:ascii="Calibri" w:hAnsi="Calibri" w:cs="Calibri"/>
        </w:rPr>
        <w:t>to the existing burden accounted for in the NPDES programmatic ICR (0.25</w:t>
      </w:r>
      <w:r w:rsidR="00FB11BF">
        <w:rPr>
          <w:rFonts w:ascii="Calibri" w:hAnsi="Calibri" w:cs="Calibri"/>
        </w:rPr>
        <w:t xml:space="preserve"> </w:t>
      </w:r>
      <w:r w:rsidR="00056B06">
        <w:rPr>
          <w:rFonts w:ascii="Calibri" w:hAnsi="Calibri" w:cs="Calibri"/>
        </w:rPr>
        <w:t xml:space="preserve">hours). </w:t>
      </w:r>
    </w:p>
    <w:p w:rsidRPr="001E010D" w:rsidR="00807E3B" w:rsidP="00D37535" w:rsidRDefault="00807E3B" w14:paraId="1FF826B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C40B5" w:rsidP="00D37535" w:rsidRDefault="007969AA" w14:paraId="36358D2C" w14:textId="078622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BB5CD2">
        <w:rPr>
          <w:rFonts w:ascii="Calibri" w:hAnsi="Calibri" w:cs="Calibri"/>
        </w:rPr>
        <w:t xml:space="preserve">: The estimate that </w:t>
      </w:r>
      <w:r w:rsidR="006E78E2">
        <w:rPr>
          <w:rFonts w:ascii="Calibri" w:hAnsi="Calibri" w:cs="Calibri"/>
        </w:rPr>
        <w:t>2,</w:t>
      </w:r>
      <w:r w:rsidR="00A137F4">
        <w:rPr>
          <w:rFonts w:ascii="Calibri" w:hAnsi="Calibri" w:cs="Calibri"/>
        </w:rPr>
        <w:t>508</w:t>
      </w:r>
      <w:r w:rsidRPr="001E010D" w:rsidR="006E78E2">
        <w:rPr>
          <w:rFonts w:ascii="Calibri" w:hAnsi="Calibri" w:cs="Calibri"/>
        </w:rPr>
        <w:t xml:space="preserve"> </w:t>
      </w:r>
      <w:r w:rsidR="001619D9">
        <w:rPr>
          <w:rFonts w:ascii="Calibri" w:hAnsi="Calibri" w:cs="Calibri"/>
        </w:rPr>
        <w:t>respondents</w:t>
      </w:r>
      <w:r w:rsidRPr="001E010D" w:rsidR="00BB5CD2">
        <w:rPr>
          <w:rFonts w:ascii="Calibri" w:hAnsi="Calibri" w:cs="Calibri"/>
        </w:rPr>
        <w:t xml:space="preserve"> will be </w:t>
      </w:r>
      <w:r w:rsidRPr="001E010D" w:rsidR="00217989">
        <w:rPr>
          <w:rFonts w:ascii="Calibri" w:hAnsi="Calibri" w:cs="Calibri"/>
        </w:rPr>
        <w:t>filling out Annual Reports is based</w:t>
      </w:r>
      <w:r w:rsidRPr="001E010D" w:rsidR="00317EFE">
        <w:rPr>
          <w:rFonts w:ascii="Calibri" w:hAnsi="Calibri" w:cs="Calibri"/>
        </w:rPr>
        <w:t xml:space="preserve"> on the requirement that all </w:t>
      </w:r>
      <w:r w:rsidR="001619D9">
        <w:rPr>
          <w:rFonts w:ascii="Calibri" w:hAnsi="Calibri" w:cs="Calibri"/>
        </w:rPr>
        <w:t>respondents</w:t>
      </w:r>
      <w:r w:rsidRPr="001E010D" w:rsidR="00317EFE">
        <w:rPr>
          <w:rFonts w:ascii="Calibri" w:hAnsi="Calibri" w:cs="Calibri"/>
        </w:rPr>
        <w:t xml:space="preserve"> conduct an Annual Report once a year.</w:t>
      </w:r>
      <w:r w:rsidRPr="001E010D" w:rsidR="00310201">
        <w:rPr>
          <w:rFonts w:ascii="Calibri" w:hAnsi="Calibri" w:cs="Calibri"/>
        </w:rPr>
        <w:t xml:space="preserve"> The estimate that it will take </w:t>
      </w:r>
      <w:r w:rsidR="00B7227A">
        <w:rPr>
          <w:rFonts w:ascii="Calibri" w:hAnsi="Calibri" w:cs="Calibri"/>
        </w:rPr>
        <w:t>1</w:t>
      </w:r>
      <w:r w:rsidRPr="001E010D" w:rsidR="00B7227A">
        <w:rPr>
          <w:rFonts w:ascii="Calibri" w:hAnsi="Calibri" w:cs="Calibri"/>
        </w:rPr>
        <w:t xml:space="preserve"> </w:t>
      </w:r>
      <w:r w:rsidRPr="001E010D" w:rsidR="00310201">
        <w:rPr>
          <w:rFonts w:ascii="Calibri" w:hAnsi="Calibri" w:cs="Calibri"/>
        </w:rPr>
        <w:t xml:space="preserve">hour to complete and submit the Annual Report form is based on </w:t>
      </w:r>
      <w:r w:rsidR="00F414E5">
        <w:rPr>
          <w:rFonts w:ascii="Calibri" w:hAnsi="Calibri" w:cs="Calibri"/>
        </w:rPr>
        <w:t>EPA</w:t>
      </w:r>
      <w:r w:rsidRPr="001E010D" w:rsidR="00310201">
        <w:rPr>
          <w:rFonts w:ascii="Calibri" w:hAnsi="Calibri" w:cs="Calibri"/>
        </w:rPr>
        <w:t xml:space="preserve">’s </w:t>
      </w:r>
      <w:r w:rsidR="00FB2D38">
        <w:rPr>
          <w:rFonts w:ascii="Calibri" w:hAnsi="Calibri" w:cs="Calibri"/>
        </w:rPr>
        <w:t>experience administering the MSGP</w:t>
      </w:r>
      <w:r w:rsidRPr="001E010D" w:rsidR="00310201">
        <w:rPr>
          <w:rFonts w:ascii="Calibri" w:hAnsi="Calibri" w:cs="Calibri"/>
        </w:rPr>
        <w:t xml:space="preserve">; </w:t>
      </w:r>
      <w:r w:rsidR="00F414E5">
        <w:rPr>
          <w:rFonts w:ascii="Calibri" w:hAnsi="Calibri" w:cs="Calibri"/>
        </w:rPr>
        <w:t>EPA</w:t>
      </w:r>
      <w:r w:rsidRPr="001E010D" w:rsidR="00310201">
        <w:rPr>
          <w:rFonts w:ascii="Calibri" w:hAnsi="Calibri" w:cs="Calibri"/>
        </w:rPr>
        <w:t xml:space="preserve"> expects that because the Annual Report summarizes information</w:t>
      </w:r>
      <w:r w:rsidR="00112F9D">
        <w:rPr>
          <w:rFonts w:ascii="Calibri" w:hAnsi="Calibri" w:cs="Calibri"/>
        </w:rPr>
        <w:t xml:space="preserve"> already documented by the </w:t>
      </w:r>
      <w:r w:rsidR="00B7227A">
        <w:rPr>
          <w:rFonts w:ascii="Calibri" w:hAnsi="Calibri" w:cs="Calibri"/>
        </w:rPr>
        <w:t>operator</w:t>
      </w:r>
      <w:r w:rsidRPr="001E010D" w:rsidR="00310201">
        <w:rPr>
          <w:rFonts w:ascii="Calibri" w:hAnsi="Calibri" w:cs="Calibri"/>
        </w:rPr>
        <w:t xml:space="preserve">, it should not take very long to </w:t>
      </w:r>
      <w:r w:rsidRPr="001E010D" w:rsidR="00B423B1">
        <w:rPr>
          <w:rFonts w:ascii="Calibri" w:hAnsi="Calibri" w:cs="Calibri"/>
        </w:rPr>
        <w:t xml:space="preserve">fill out the form and submit it electronically. </w:t>
      </w:r>
    </w:p>
    <w:p w:rsidRPr="001E010D" w:rsidR="00D37535" w:rsidP="00D37535" w:rsidRDefault="00D37535" w14:paraId="2EF0F857" w14:textId="6DDCF8A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5290977D" w14:textId="40E8E03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No Exposure Certifications </w:t>
      </w:r>
      <w:r w:rsidRPr="001E010D" w:rsidR="00E5210F">
        <w:rPr>
          <w:rFonts w:ascii="Calibri" w:hAnsi="Calibri" w:cs="Calibri"/>
          <w:b/>
        </w:rPr>
        <w:t>(N</w:t>
      </w:r>
      <w:r w:rsidR="00D15596">
        <w:rPr>
          <w:rFonts w:ascii="Calibri" w:hAnsi="Calibri" w:cs="Calibri"/>
          <w:b/>
        </w:rPr>
        <w:t>E</w:t>
      </w:r>
      <w:r w:rsidRPr="001E010D" w:rsidR="00E5210F">
        <w:rPr>
          <w:rFonts w:ascii="Calibri" w:hAnsi="Calibri" w:cs="Calibri"/>
          <w:b/>
        </w:rPr>
        <w:t>C)</w:t>
      </w:r>
      <w:r w:rsidR="00D5044B">
        <w:rPr>
          <w:rFonts w:ascii="Calibri" w:hAnsi="Calibri" w:cs="Calibri"/>
          <w:b/>
        </w:rPr>
        <w:t xml:space="preserve"> (form</w:t>
      </w:r>
      <w:r w:rsidR="004001E0">
        <w:rPr>
          <w:rFonts w:ascii="Calibri" w:hAnsi="Calibri" w:cs="Calibri"/>
          <w:b/>
        </w:rPr>
        <w:t>erly</w:t>
      </w:r>
      <w:r w:rsidR="00D5044B">
        <w:rPr>
          <w:rFonts w:ascii="Calibri" w:hAnsi="Calibri" w:cs="Calibri"/>
          <w:b/>
        </w:rPr>
        <w:t xml:space="preserve"> known as NOE)</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changes to the information collection burden</w:t>
      </w:r>
      <w:r w:rsidRPr="00825AFC" w:rsidR="00D15596">
        <w:rPr>
          <w:rFonts w:ascii="Calibri" w:hAnsi="Calibri" w:cs="Calibri"/>
        </w:rPr>
        <w:t>]</w:t>
      </w:r>
    </w:p>
    <w:p w:rsidR="00796FB3" w:rsidP="00D37535" w:rsidRDefault="00796FB3" w14:paraId="6F273F1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B1A37" w:rsidP="00D37535" w:rsidRDefault="00F414E5" w14:paraId="41D01565" w14:textId="2C9C244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EPA</w:t>
      </w:r>
      <w:r w:rsidRPr="001E010D" w:rsidR="00B4390F">
        <w:rPr>
          <w:rFonts w:ascii="Calibri" w:hAnsi="Calibri" w:cs="Calibri"/>
        </w:rPr>
        <w:t xml:space="preserve"> estimates th</w:t>
      </w:r>
      <w:r w:rsidRPr="001E010D" w:rsidR="001E6C8C">
        <w:rPr>
          <w:rFonts w:ascii="Calibri" w:hAnsi="Calibri" w:cs="Calibri"/>
        </w:rPr>
        <w:t xml:space="preserve">at </w:t>
      </w:r>
      <w:r w:rsidRPr="001E010D" w:rsidR="005239CE">
        <w:rPr>
          <w:rFonts w:ascii="Calibri" w:hAnsi="Calibri" w:cs="Calibri"/>
        </w:rPr>
        <w:t>1,</w:t>
      </w:r>
      <w:r w:rsidR="005F5682">
        <w:rPr>
          <w:rFonts w:ascii="Calibri" w:hAnsi="Calibri" w:cs="Calibri"/>
        </w:rPr>
        <w:t>000</w:t>
      </w:r>
      <w:r w:rsidRPr="001E010D" w:rsidR="005F5682">
        <w:rPr>
          <w:rFonts w:ascii="Calibri" w:hAnsi="Calibri" w:cs="Calibri"/>
        </w:rPr>
        <w:t xml:space="preserve"> </w:t>
      </w:r>
      <w:r w:rsidRPr="001E010D" w:rsidR="001E6C8C">
        <w:rPr>
          <w:rFonts w:ascii="Calibri" w:hAnsi="Calibri" w:cs="Calibri"/>
        </w:rPr>
        <w:t xml:space="preserve">industrial facility operators will spend an average of </w:t>
      </w:r>
      <w:r w:rsidRPr="001E010D" w:rsidR="007962EF">
        <w:rPr>
          <w:rFonts w:ascii="Calibri" w:hAnsi="Calibri" w:cs="Calibri"/>
        </w:rPr>
        <w:t>0.75 hours</w:t>
      </w:r>
      <w:r w:rsidRPr="001E010D" w:rsidR="001E6C8C">
        <w:rPr>
          <w:rFonts w:ascii="Calibri" w:hAnsi="Calibri" w:cs="Calibri"/>
        </w:rPr>
        <w:t xml:space="preserve"> </w:t>
      </w:r>
      <w:r w:rsidRPr="001E010D" w:rsidR="00C6066F">
        <w:rPr>
          <w:rFonts w:ascii="Calibri" w:hAnsi="Calibri" w:cs="Calibri"/>
        </w:rPr>
        <w:t>submitting an N</w:t>
      </w:r>
      <w:r w:rsidR="00CC25DD">
        <w:rPr>
          <w:rFonts w:ascii="Calibri" w:hAnsi="Calibri" w:cs="Calibri"/>
        </w:rPr>
        <w:t>E</w:t>
      </w:r>
      <w:r w:rsidRPr="001E010D" w:rsidR="00C6066F">
        <w:rPr>
          <w:rFonts w:ascii="Calibri" w:hAnsi="Calibri" w:cs="Calibri"/>
        </w:rPr>
        <w:t xml:space="preserve">C every </w:t>
      </w:r>
      <w:r w:rsidR="00B7227A">
        <w:rPr>
          <w:rFonts w:ascii="Calibri" w:hAnsi="Calibri" w:cs="Calibri"/>
        </w:rPr>
        <w:t>5</w:t>
      </w:r>
      <w:r w:rsidRPr="001E010D" w:rsidR="00B7227A">
        <w:rPr>
          <w:rFonts w:ascii="Calibri" w:hAnsi="Calibri" w:cs="Calibri"/>
        </w:rPr>
        <w:t xml:space="preserve"> </w:t>
      </w:r>
      <w:r w:rsidRPr="001E010D" w:rsidR="00C6066F">
        <w:rPr>
          <w:rFonts w:ascii="Calibri" w:hAnsi="Calibri" w:cs="Calibri"/>
        </w:rPr>
        <w:t>years.</w:t>
      </w:r>
      <w:r w:rsidRPr="0083297B" w:rsidR="0083297B">
        <w:rPr>
          <w:rFonts w:ascii="Calibri" w:hAnsi="Calibri" w:cs="Calibri"/>
        </w:rPr>
        <w:t xml:space="preserve"> </w:t>
      </w:r>
      <w:r w:rsidR="0083297B">
        <w:rPr>
          <w:rFonts w:ascii="Calibri" w:hAnsi="Calibri" w:cs="Calibri"/>
        </w:rPr>
        <w:t xml:space="preserve">This activity is not </w:t>
      </w:r>
      <w:r w:rsidR="003F66E4">
        <w:rPr>
          <w:rFonts w:ascii="Calibri" w:hAnsi="Calibri" w:cs="Calibri"/>
        </w:rPr>
        <w:t xml:space="preserve">separately </w:t>
      </w:r>
      <w:r w:rsidR="0083297B">
        <w:rPr>
          <w:rFonts w:ascii="Calibri" w:hAnsi="Calibri" w:cs="Calibri"/>
        </w:rPr>
        <w:t xml:space="preserve">accounted for in the </w:t>
      </w:r>
      <w:r w:rsidR="00932903">
        <w:rPr>
          <w:rFonts w:ascii="Calibri" w:hAnsi="Calibri" w:cs="Calibri"/>
        </w:rPr>
        <w:t xml:space="preserve">2017 </w:t>
      </w:r>
      <w:r w:rsidR="0083297B">
        <w:rPr>
          <w:rFonts w:ascii="Calibri" w:hAnsi="Calibri" w:cs="Calibri"/>
        </w:rPr>
        <w:t>NPDES Program ICR, so this MSGP ICR effectively adds an incremental burden of 0.75 hour</w:t>
      </w:r>
      <w:r w:rsidR="00FB11BF">
        <w:rPr>
          <w:rFonts w:ascii="Calibri" w:hAnsi="Calibri" w:cs="Calibri"/>
        </w:rPr>
        <w:t>s</w:t>
      </w:r>
      <w:r w:rsidR="0083297B">
        <w:rPr>
          <w:rFonts w:ascii="Calibri" w:hAnsi="Calibri" w:cs="Calibri"/>
        </w:rPr>
        <w:t>.</w:t>
      </w:r>
    </w:p>
    <w:p w:rsidR="00FB11BF" w:rsidP="00D37535" w:rsidRDefault="00FB11BF" w14:paraId="50E6BD0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6066F" w:rsidP="00D37535" w:rsidRDefault="007969AA" w14:paraId="18E69249" w14:textId="4307DCA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63E27">
        <w:rPr>
          <w:rFonts w:ascii="Calibri" w:hAnsi="Calibri" w:cs="Calibri"/>
        </w:rPr>
        <w:t xml:space="preserve"> The estimate that </w:t>
      </w:r>
      <w:r w:rsidR="00C56571">
        <w:rPr>
          <w:rFonts w:ascii="Calibri" w:hAnsi="Calibri" w:cs="Calibri"/>
        </w:rPr>
        <w:t>1,00</w:t>
      </w:r>
      <w:r w:rsidR="002837D4">
        <w:rPr>
          <w:rFonts w:ascii="Calibri" w:hAnsi="Calibri" w:cs="Calibri"/>
        </w:rPr>
        <w:t>0</w:t>
      </w:r>
      <w:r w:rsidRPr="001E010D" w:rsidR="005F5682">
        <w:rPr>
          <w:rFonts w:ascii="Calibri" w:hAnsi="Calibri" w:cs="Calibri"/>
        </w:rPr>
        <w:t xml:space="preserve"> </w:t>
      </w:r>
      <w:r w:rsidRPr="001E010D" w:rsidR="00B63E27">
        <w:rPr>
          <w:rFonts w:ascii="Calibri" w:hAnsi="Calibri" w:cs="Calibri"/>
        </w:rPr>
        <w:t xml:space="preserve">operators will be filing an </w:t>
      </w:r>
      <w:r w:rsidRPr="001E010D" w:rsidR="00E5210F">
        <w:rPr>
          <w:rFonts w:ascii="Calibri" w:hAnsi="Calibri" w:cs="Calibri"/>
        </w:rPr>
        <w:t>N</w:t>
      </w:r>
      <w:r w:rsidR="00777628">
        <w:rPr>
          <w:rFonts w:ascii="Calibri" w:hAnsi="Calibri" w:cs="Calibri"/>
        </w:rPr>
        <w:t>E</w:t>
      </w:r>
      <w:r w:rsidRPr="001E010D" w:rsidR="00E5210F">
        <w:rPr>
          <w:rFonts w:ascii="Calibri" w:hAnsi="Calibri" w:cs="Calibri"/>
        </w:rPr>
        <w:t xml:space="preserve">C once every </w:t>
      </w:r>
      <w:r w:rsidR="00B7227A">
        <w:rPr>
          <w:rFonts w:ascii="Calibri" w:hAnsi="Calibri" w:cs="Calibri"/>
        </w:rPr>
        <w:t>5</w:t>
      </w:r>
      <w:r w:rsidRPr="001E010D" w:rsidR="00B7227A">
        <w:rPr>
          <w:rFonts w:ascii="Calibri" w:hAnsi="Calibri" w:cs="Calibri"/>
        </w:rPr>
        <w:t xml:space="preserve"> </w:t>
      </w:r>
      <w:r w:rsidRPr="001E010D" w:rsidR="00E5210F">
        <w:rPr>
          <w:rFonts w:ascii="Calibri" w:hAnsi="Calibri" w:cs="Calibri"/>
        </w:rPr>
        <w:t xml:space="preserve">years is based on </w:t>
      </w:r>
      <w:r w:rsidR="00F414E5">
        <w:rPr>
          <w:rFonts w:ascii="Calibri" w:hAnsi="Calibri" w:cs="Calibri"/>
        </w:rPr>
        <w:t>EPA</w:t>
      </w:r>
      <w:r w:rsidRPr="001E010D" w:rsidR="00E5210F">
        <w:rPr>
          <w:rFonts w:ascii="Calibri" w:hAnsi="Calibri" w:cs="Calibri"/>
        </w:rPr>
        <w:t>’s current estimate of operators that have filed an N</w:t>
      </w:r>
      <w:r w:rsidR="00777628">
        <w:rPr>
          <w:rFonts w:ascii="Calibri" w:hAnsi="Calibri" w:cs="Calibri"/>
        </w:rPr>
        <w:t>E</w:t>
      </w:r>
      <w:r w:rsidRPr="001E010D" w:rsidR="00E5210F">
        <w:rPr>
          <w:rFonts w:ascii="Calibri" w:hAnsi="Calibri" w:cs="Calibri"/>
        </w:rPr>
        <w:t>C</w:t>
      </w:r>
      <w:r w:rsidR="005B7902">
        <w:rPr>
          <w:rFonts w:ascii="Calibri" w:hAnsi="Calibri" w:cs="Calibri"/>
        </w:rPr>
        <w:t xml:space="preserve"> for the 2015 MSGP</w:t>
      </w:r>
      <w:r w:rsidRPr="001E010D" w:rsidR="00E5210F">
        <w:rPr>
          <w:rFonts w:ascii="Calibri" w:hAnsi="Calibri" w:cs="Calibri"/>
        </w:rPr>
        <w:t xml:space="preserve">. </w:t>
      </w:r>
      <w:r w:rsidR="002837D4">
        <w:rPr>
          <w:rFonts w:ascii="Calibri" w:hAnsi="Calibri" w:cs="Calibri"/>
        </w:rPr>
        <w:t xml:space="preserve">The burden estimate of </w:t>
      </w:r>
      <w:r w:rsidRPr="001E010D" w:rsidR="00E5210F">
        <w:rPr>
          <w:rFonts w:ascii="Calibri" w:hAnsi="Calibri" w:cs="Calibri"/>
        </w:rPr>
        <w:t xml:space="preserve">0.75 hours is the estimate from the previous </w:t>
      </w:r>
      <w:r w:rsidR="005B7902">
        <w:rPr>
          <w:rFonts w:ascii="Calibri" w:hAnsi="Calibri" w:cs="Calibri"/>
        </w:rPr>
        <w:t xml:space="preserve">MSGP </w:t>
      </w:r>
      <w:r w:rsidRPr="001E010D" w:rsidR="00E5210F">
        <w:rPr>
          <w:rFonts w:ascii="Calibri" w:hAnsi="Calibri" w:cs="Calibri"/>
        </w:rPr>
        <w:t xml:space="preserve">ICR. </w:t>
      </w:r>
    </w:p>
    <w:p w:rsidRPr="001E010D" w:rsidR="00D37535" w:rsidP="00D37535" w:rsidRDefault="00D37535" w14:paraId="12127DAA" w14:textId="102B09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101066D0" w14:textId="1FA83AC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796FB3" w:rsidP="00DE479D" w:rsidRDefault="002B027D" w14:paraId="6CB0919C" w14:textId="741BBD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r>
        <w:rPr>
          <w:rFonts w:ascii="Calibri" w:hAnsi="Calibri" w:cs="Calibri"/>
          <w:b/>
        </w:rPr>
        <w:t>Protection of ESA Species and Critical Habitat</w:t>
      </w:r>
      <w:r w:rsidR="00CC25DD">
        <w:rPr>
          <w:rFonts w:ascii="Calibri" w:hAnsi="Calibri" w:cs="Calibri"/>
          <w:b/>
        </w:rPr>
        <w:t xml:space="preserve"> </w:t>
      </w:r>
      <w:r w:rsidRPr="00825AFC" w:rsidR="00CC25DD">
        <w:rPr>
          <w:rFonts w:ascii="Calibri" w:hAnsi="Calibri" w:cs="Calibri"/>
        </w:rPr>
        <w:t>[</w:t>
      </w:r>
      <w:r w:rsidR="001C4EEA">
        <w:rPr>
          <w:rFonts w:ascii="Calibri" w:hAnsi="Calibri" w:cs="Calibri"/>
        </w:rPr>
        <w:t>Changes</w:t>
      </w:r>
      <w:r w:rsidR="00CC25DD">
        <w:rPr>
          <w:rFonts w:ascii="Calibri" w:hAnsi="Calibri" w:cs="Calibri"/>
        </w:rPr>
        <w:t xml:space="preserve"> to the information collection burden</w:t>
      </w:r>
      <w:r w:rsidRPr="00825AFC" w:rsidR="00CC25DD">
        <w:rPr>
          <w:rFonts w:ascii="Calibri" w:hAnsi="Calibri" w:cs="Calibri"/>
        </w:rPr>
        <w:t>]</w:t>
      </w:r>
    </w:p>
    <w:p w:rsidRPr="007E0572" w:rsidR="00796FB3" w:rsidP="00DE479D" w:rsidRDefault="001E166E" w14:paraId="0A149AF5" w14:textId="6066629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For t</w:t>
      </w:r>
      <w:r w:rsidRPr="00DE479D" w:rsidR="00796FB3">
        <w:rPr>
          <w:rFonts w:ascii="Calibri" w:hAnsi="Calibri" w:cs="Calibri"/>
        </w:rPr>
        <w:t>he 2021 MSGP</w:t>
      </w:r>
      <w:r>
        <w:rPr>
          <w:rFonts w:ascii="Calibri" w:hAnsi="Calibri" w:cs="Calibri"/>
        </w:rPr>
        <w:t xml:space="preserve">, </w:t>
      </w:r>
      <w:r w:rsidR="00EB308F">
        <w:rPr>
          <w:rFonts w:ascii="Calibri" w:hAnsi="Calibri" w:cs="Calibri"/>
        </w:rPr>
        <w:t>EPA is integrating the MSGP’s instructions and procedures for determining ESA eligibility criterion into Net-MSGP</w:t>
      </w:r>
      <w:r w:rsidR="00861987">
        <w:rPr>
          <w:rFonts w:ascii="Calibri" w:hAnsi="Calibri" w:cs="Calibri"/>
        </w:rPr>
        <w:t xml:space="preserve"> through a series of “smart” questions that are based on Appendix E, but would be presented in a dynamic way that helps the operator narrow down their correct criterion selection. This change</w:t>
      </w:r>
      <w:r w:rsidR="00377F15">
        <w:rPr>
          <w:rFonts w:ascii="Calibri" w:hAnsi="Calibri" w:cs="Calibri"/>
        </w:rPr>
        <w:t xml:space="preserve"> will streamline the application proces</w:t>
      </w:r>
      <w:r w:rsidR="00B81E80">
        <w:rPr>
          <w:rFonts w:ascii="Calibri" w:hAnsi="Calibri" w:cs="Calibri"/>
        </w:rPr>
        <w:t xml:space="preserve">s and reduce the number of documents and processes operators need to consult. </w:t>
      </w:r>
      <w:r w:rsidR="00A10DC5">
        <w:rPr>
          <w:rFonts w:ascii="Calibri" w:hAnsi="Calibri" w:cs="Calibri"/>
        </w:rPr>
        <w:t xml:space="preserve">EPA estimates that this will reduce the burden </w:t>
      </w:r>
      <w:r w:rsidR="00861987">
        <w:rPr>
          <w:rFonts w:ascii="Calibri" w:hAnsi="Calibri" w:cs="Calibri"/>
        </w:rPr>
        <w:t xml:space="preserve">to determine endangered species eligibility criterion </w:t>
      </w:r>
      <w:r w:rsidR="00A10DC5">
        <w:rPr>
          <w:rFonts w:ascii="Calibri" w:hAnsi="Calibri" w:cs="Calibri"/>
        </w:rPr>
        <w:t xml:space="preserve">by </w:t>
      </w:r>
      <w:r w:rsidR="002F0969">
        <w:rPr>
          <w:rFonts w:ascii="Calibri" w:hAnsi="Calibri" w:cs="Calibri"/>
        </w:rPr>
        <w:t>0.5 hours</w:t>
      </w:r>
      <w:r w:rsidR="00403F31">
        <w:rPr>
          <w:rFonts w:ascii="Calibri" w:hAnsi="Calibri" w:cs="Calibri"/>
        </w:rPr>
        <w:t xml:space="preserve"> for each form</w:t>
      </w:r>
      <w:r w:rsidR="00A10DC5">
        <w:rPr>
          <w:rFonts w:ascii="Calibri" w:hAnsi="Calibri" w:cs="Calibri"/>
        </w:rPr>
        <w:t xml:space="preserve">. </w:t>
      </w:r>
    </w:p>
    <w:p w:rsidR="00796FB3" w:rsidP="00D37535" w:rsidRDefault="00796FB3" w14:paraId="34A070D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5065F3" w:rsidR="00D71B3F" w:rsidRDefault="001A0FDA" w14:paraId="4E917BAF" w14:textId="44815F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EPA</w:t>
      </w:r>
      <w:r w:rsidRPr="001E010D">
        <w:rPr>
          <w:rFonts w:ascii="Calibri" w:hAnsi="Calibri" w:cs="Calibri"/>
        </w:rPr>
        <w:t xml:space="preserve"> estimates that</w:t>
      </w:r>
      <w:r>
        <w:rPr>
          <w:rFonts w:ascii="Calibri" w:hAnsi="Calibri" w:cs="Calibri"/>
        </w:rPr>
        <w:t xml:space="preserve"> all 2</w:t>
      </w:r>
      <w:r w:rsidR="00A137F4">
        <w:rPr>
          <w:rFonts w:ascii="Calibri" w:hAnsi="Calibri" w:cs="Calibri"/>
        </w:rPr>
        <w:t>,508</w:t>
      </w:r>
      <w:r>
        <w:rPr>
          <w:rFonts w:ascii="Calibri" w:hAnsi="Calibri" w:cs="Calibri"/>
        </w:rPr>
        <w:t xml:space="preserve"> respondents</w:t>
      </w:r>
      <w:r w:rsidRPr="00670F75">
        <w:rPr>
          <w:rFonts w:ascii="Calibri" w:hAnsi="Calibri" w:cs="Calibri"/>
        </w:rPr>
        <w:t xml:space="preserve"> will spend an average of </w:t>
      </w:r>
      <w:r>
        <w:rPr>
          <w:rFonts w:ascii="Calibri" w:hAnsi="Calibri" w:cs="Calibri"/>
        </w:rPr>
        <w:t>0.</w:t>
      </w:r>
      <w:r w:rsidR="00D3640C">
        <w:rPr>
          <w:rFonts w:ascii="Calibri" w:hAnsi="Calibri" w:cs="Calibri"/>
        </w:rPr>
        <w:t>5</w:t>
      </w:r>
      <w:r>
        <w:rPr>
          <w:rFonts w:ascii="Calibri" w:hAnsi="Calibri" w:cs="Calibri"/>
        </w:rPr>
        <w:t xml:space="preserve"> hours</w:t>
      </w:r>
      <w:r w:rsidRPr="007E0572">
        <w:rPr>
          <w:rFonts w:ascii="Calibri" w:hAnsi="Calibri" w:cs="Calibri"/>
        </w:rPr>
        <w:t xml:space="preserve"> </w:t>
      </w:r>
      <w:r w:rsidR="00D3640C">
        <w:rPr>
          <w:rFonts w:ascii="Calibri" w:hAnsi="Calibri" w:cs="Calibri"/>
        </w:rPr>
        <w:t xml:space="preserve">to </w:t>
      </w:r>
      <w:r w:rsidRPr="007E0572">
        <w:rPr>
          <w:rFonts w:ascii="Calibri" w:hAnsi="Calibri" w:cs="Calibri"/>
        </w:rPr>
        <w:t>complet</w:t>
      </w:r>
      <w:r w:rsidR="00D3640C">
        <w:rPr>
          <w:rFonts w:ascii="Calibri" w:hAnsi="Calibri" w:cs="Calibri"/>
        </w:rPr>
        <w:t>e</w:t>
      </w:r>
      <w:r w:rsidRPr="007E0572">
        <w:rPr>
          <w:rFonts w:ascii="Calibri" w:hAnsi="Calibri" w:cs="Calibri"/>
        </w:rPr>
        <w:t xml:space="preserve"> the Criterion Selection Worksheet in </w:t>
      </w:r>
      <w:r>
        <w:rPr>
          <w:rFonts w:ascii="Calibri" w:hAnsi="Calibri" w:cs="Calibri"/>
        </w:rPr>
        <w:t xml:space="preserve">the NOI </w:t>
      </w:r>
      <w:r w:rsidRPr="007E0572">
        <w:rPr>
          <w:rFonts w:ascii="Calibri" w:hAnsi="Calibri" w:cs="Calibri"/>
        </w:rPr>
        <w:t>once each permit term.</w:t>
      </w:r>
      <w:r w:rsidR="00403F31">
        <w:rPr>
          <w:rFonts w:ascii="Calibri" w:hAnsi="Calibri" w:cs="Calibri"/>
        </w:rPr>
        <w:t xml:space="preserve"> </w:t>
      </w:r>
      <w:r w:rsidRPr="00297D00" w:rsidR="00F414E5">
        <w:rPr>
          <w:rFonts w:ascii="Calibri" w:hAnsi="Calibri" w:cs="Calibri"/>
        </w:rPr>
        <w:t>EPA</w:t>
      </w:r>
      <w:r w:rsidRPr="00297D00" w:rsidR="00D71B3F">
        <w:rPr>
          <w:rFonts w:ascii="Calibri" w:hAnsi="Calibri" w:cs="Calibri"/>
        </w:rPr>
        <w:t xml:space="preserve"> estimates that</w:t>
      </w:r>
      <w:r w:rsidRPr="00297D00" w:rsidR="00992069">
        <w:rPr>
          <w:rFonts w:ascii="Calibri" w:hAnsi="Calibri" w:cs="Calibri"/>
        </w:rPr>
        <w:t xml:space="preserve"> </w:t>
      </w:r>
      <w:r w:rsidRPr="00297D00" w:rsidR="006B5401">
        <w:rPr>
          <w:rFonts w:ascii="Calibri" w:hAnsi="Calibri" w:cs="Calibri"/>
        </w:rPr>
        <w:t xml:space="preserve">250 </w:t>
      </w:r>
      <w:r w:rsidRPr="00297D00" w:rsidR="001619D9">
        <w:rPr>
          <w:rFonts w:ascii="Calibri" w:hAnsi="Calibri" w:cs="Calibri"/>
        </w:rPr>
        <w:t>respondents</w:t>
      </w:r>
      <w:r w:rsidRPr="00297D00" w:rsidR="00E57261">
        <w:rPr>
          <w:rFonts w:ascii="Calibri" w:hAnsi="Calibri" w:cs="Calibri"/>
        </w:rPr>
        <w:t xml:space="preserve"> will have potential adverse effects to species and/or critical habitat and will</w:t>
      </w:r>
      <w:r w:rsidRPr="00297D00" w:rsidR="00D71B3F">
        <w:rPr>
          <w:rFonts w:ascii="Calibri" w:hAnsi="Calibri" w:cs="Calibri"/>
        </w:rPr>
        <w:t xml:space="preserve"> spend an average of </w:t>
      </w:r>
      <w:r w:rsidRPr="00297D00" w:rsidR="00403F31">
        <w:rPr>
          <w:rFonts w:ascii="Calibri" w:hAnsi="Calibri" w:cs="Calibri"/>
        </w:rPr>
        <w:t>2.5</w:t>
      </w:r>
      <w:r w:rsidRPr="00297D00" w:rsidR="00566D77">
        <w:rPr>
          <w:rFonts w:ascii="Calibri" w:hAnsi="Calibri" w:cs="Calibri"/>
        </w:rPr>
        <w:t xml:space="preserve"> </w:t>
      </w:r>
      <w:r w:rsidRPr="00297D00" w:rsidR="007962EF">
        <w:rPr>
          <w:rFonts w:ascii="Calibri" w:hAnsi="Calibri" w:cs="Calibri"/>
        </w:rPr>
        <w:t>hours</w:t>
      </w:r>
      <w:r w:rsidRPr="00297D00" w:rsidR="00D71B3F">
        <w:rPr>
          <w:rFonts w:ascii="Calibri" w:hAnsi="Calibri" w:cs="Calibri"/>
        </w:rPr>
        <w:t xml:space="preserve"> completing</w:t>
      </w:r>
      <w:r w:rsidRPr="00297D00" w:rsidR="00E23AFB">
        <w:rPr>
          <w:rFonts w:ascii="Calibri" w:hAnsi="Calibri" w:cs="Calibri"/>
        </w:rPr>
        <w:t xml:space="preserve"> and submitting</w:t>
      </w:r>
      <w:r w:rsidRPr="00297D00" w:rsidR="00D71B3F">
        <w:rPr>
          <w:rFonts w:ascii="Calibri" w:hAnsi="Calibri" w:cs="Calibri"/>
        </w:rPr>
        <w:t xml:space="preserve"> the </w:t>
      </w:r>
      <w:r w:rsidRPr="00297D00" w:rsidR="006865C7">
        <w:rPr>
          <w:rFonts w:ascii="Calibri" w:hAnsi="Calibri" w:cs="Calibri"/>
        </w:rPr>
        <w:t xml:space="preserve">Criterion </w:t>
      </w:r>
      <w:r w:rsidRPr="00297D00" w:rsidR="000B582F">
        <w:rPr>
          <w:rFonts w:ascii="Calibri" w:hAnsi="Calibri" w:cs="Calibri"/>
        </w:rPr>
        <w:t xml:space="preserve">C </w:t>
      </w:r>
      <w:r w:rsidRPr="00297D00" w:rsidR="009A4FC7">
        <w:rPr>
          <w:rFonts w:ascii="Calibri" w:hAnsi="Calibri" w:cs="Calibri"/>
        </w:rPr>
        <w:t>form</w:t>
      </w:r>
      <w:r w:rsidRPr="00297D00" w:rsidR="00004732">
        <w:rPr>
          <w:rFonts w:ascii="Calibri" w:hAnsi="Calibri" w:cs="Calibri"/>
        </w:rPr>
        <w:t xml:space="preserve"> con</w:t>
      </w:r>
      <w:r w:rsidRPr="00297D00" w:rsidR="00DA1575">
        <w:rPr>
          <w:rFonts w:ascii="Calibri" w:hAnsi="Calibri" w:cs="Calibri"/>
        </w:rPr>
        <w:t>tent into the NOI</w:t>
      </w:r>
      <w:r w:rsidRPr="00297D00" w:rsidR="000B582F">
        <w:rPr>
          <w:rFonts w:ascii="Calibri" w:hAnsi="Calibri" w:cs="Calibri"/>
        </w:rPr>
        <w:t xml:space="preserve"> </w:t>
      </w:r>
      <w:r w:rsidRPr="00297D00" w:rsidR="006865C7">
        <w:rPr>
          <w:rFonts w:ascii="Calibri" w:hAnsi="Calibri" w:cs="Calibri"/>
        </w:rPr>
        <w:t>on</w:t>
      </w:r>
      <w:r w:rsidRPr="00297D00" w:rsidR="001130BF">
        <w:rPr>
          <w:rFonts w:ascii="Calibri" w:hAnsi="Calibri" w:cs="Calibri"/>
        </w:rPr>
        <w:t>ce each permit term</w:t>
      </w:r>
      <w:r w:rsidRPr="00297D00" w:rsidR="006865C7">
        <w:rPr>
          <w:rFonts w:ascii="Calibri" w:hAnsi="Calibri" w:cs="Calibri"/>
        </w:rPr>
        <w:t>.</w:t>
      </w:r>
      <w:r w:rsidRPr="00297D00" w:rsidR="00E23AFB">
        <w:rPr>
          <w:rFonts w:ascii="Calibri" w:hAnsi="Calibri" w:cs="Calibri"/>
        </w:rPr>
        <w:t xml:space="preserve"> </w:t>
      </w:r>
      <w:r w:rsidR="00AC783C">
        <w:rPr>
          <w:rFonts w:ascii="Calibri" w:hAnsi="Calibri" w:cs="Calibri"/>
        </w:rPr>
        <w:t xml:space="preserve">This activity is not accounted for </w:t>
      </w:r>
      <w:r w:rsidR="007F7E30">
        <w:rPr>
          <w:rFonts w:ascii="Calibri" w:hAnsi="Calibri" w:cs="Calibri"/>
        </w:rPr>
        <w:t xml:space="preserve">separately </w:t>
      </w:r>
      <w:r w:rsidR="00AC783C">
        <w:rPr>
          <w:rFonts w:ascii="Calibri" w:hAnsi="Calibri" w:cs="Calibri"/>
        </w:rPr>
        <w:t xml:space="preserve">in the </w:t>
      </w:r>
      <w:r w:rsidR="00932903">
        <w:rPr>
          <w:rFonts w:ascii="Calibri" w:hAnsi="Calibri" w:cs="Calibri"/>
        </w:rPr>
        <w:t>2017</w:t>
      </w:r>
      <w:r w:rsidR="00AC783C">
        <w:rPr>
          <w:rFonts w:ascii="Calibri" w:hAnsi="Calibri" w:cs="Calibri"/>
        </w:rPr>
        <w:t xml:space="preserve"> NPDES Program ICR, so this MSGP ICR effectively adds an incremental </w:t>
      </w:r>
      <w:r w:rsidR="00AC783C">
        <w:rPr>
          <w:rFonts w:ascii="Calibri" w:hAnsi="Calibri" w:cs="Calibri"/>
        </w:rPr>
        <w:lastRenderedPageBreak/>
        <w:t xml:space="preserve">burden of </w:t>
      </w:r>
      <w:r w:rsidR="00D61F30">
        <w:rPr>
          <w:rFonts w:ascii="Calibri" w:hAnsi="Calibri" w:cs="Calibri"/>
        </w:rPr>
        <w:t xml:space="preserve">2.5 </w:t>
      </w:r>
      <w:r w:rsidR="00847A68">
        <w:rPr>
          <w:rFonts w:ascii="Calibri" w:hAnsi="Calibri" w:cs="Calibri"/>
        </w:rPr>
        <w:t xml:space="preserve">for the Criterion C </w:t>
      </w:r>
      <w:r w:rsidR="00FF4686">
        <w:rPr>
          <w:rFonts w:ascii="Calibri" w:hAnsi="Calibri" w:cs="Calibri"/>
        </w:rPr>
        <w:t>Eligibility F</w:t>
      </w:r>
      <w:r w:rsidR="00847A68">
        <w:rPr>
          <w:rFonts w:ascii="Calibri" w:hAnsi="Calibri" w:cs="Calibri"/>
        </w:rPr>
        <w:t xml:space="preserve">orm </w:t>
      </w:r>
      <w:r w:rsidR="00D61F30">
        <w:rPr>
          <w:rFonts w:ascii="Calibri" w:hAnsi="Calibri" w:cs="Calibri"/>
        </w:rPr>
        <w:t>and 0.5</w:t>
      </w:r>
      <w:r w:rsidR="00AC783C">
        <w:rPr>
          <w:rFonts w:ascii="Calibri" w:hAnsi="Calibri" w:cs="Calibri"/>
        </w:rPr>
        <w:t xml:space="preserve"> hours</w:t>
      </w:r>
      <w:r w:rsidR="00D61F30">
        <w:rPr>
          <w:rFonts w:ascii="Calibri" w:hAnsi="Calibri" w:cs="Calibri"/>
        </w:rPr>
        <w:t xml:space="preserve"> for the Criteri</w:t>
      </w:r>
      <w:r w:rsidR="00DE3AF2">
        <w:rPr>
          <w:rFonts w:ascii="Calibri" w:hAnsi="Calibri" w:cs="Calibri"/>
        </w:rPr>
        <w:t>on</w:t>
      </w:r>
      <w:r w:rsidR="00D61F30">
        <w:rPr>
          <w:rFonts w:ascii="Calibri" w:hAnsi="Calibri" w:cs="Calibri"/>
        </w:rPr>
        <w:t xml:space="preserve"> </w:t>
      </w:r>
      <w:r w:rsidR="001E4696">
        <w:rPr>
          <w:rFonts w:ascii="Calibri" w:hAnsi="Calibri" w:cs="Calibri"/>
        </w:rPr>
        <w:t>S</w:t>
      </w:r>
      <w:r w:rsidR="00D61F30">
        <w:rPr>
          <w:rFonts w:ascii="Calibri" w:hAnsi="Calibri" w:cs="Calibri"/>
        </w:rPr>
        <w:t xml:space="preserve">election </w:t>
      </w:r>
      <w:r w:rsidR="001E4696">
        <w:rPr>
          <w:rFonts w:ascii="Calibri" w:hAnsi="Calibri" w:cs="Calibri"/>
        </w:rPr>
        <w:t>W</w:t>
      </w:r>
      <w:r w:rsidR="00D61F30">
        <w:rPr>
          <w:rFonts w:ascii="Calibri" w:hAnsi="Calibri" w:cs="Calibri"/>
        </w:rPr>
        <w:t>orksheet</w:t>
      </w:r>
      <w:r w:rsidR="00AC783C">
        <w:rPr>
          <w:rFonts w:ascii="Calibri" w:hAnsi="Calibri" w:cs="Calibri"/>
        </w:rPr>
        <w:t>.</w:t>
      </w:r>
    </w:p>
    <w:p w:rsidRPr="001E010D" w:rsidR="00112F9D" w:rsidP="00D37535" w:rsidRDefault="00112F9D" w14:paraId="3C5133F3" w14:textId="72D4FF7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65518335" w14:textId="37DB04D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933965">
        <w:rPr>
          <w:rFonts w:ascii="Calibri" w:hAnsi="Calibri" w:cs="Calibri"/>
        </w:rPr>
        <w:t xml:space="preserve"> </w:t>
      </w:r>
      <w:r w:rsidRPr="001E010D" w:rsidR="001B1883">
        <w:rPr>
          <w:rFonts w:ascii="Calibri" w:hAnsi="Calibri" w:cs="Calibri"/>
        </w:rPr>
        <w:t xml:space="preserve">The estimate that </w:t>
      </w:r>
      <w:r w:rsidR="008737E3">
        <w:rPr>
          <w:rFonts w:ascii="Calibri" w:hAnsi="Calibri" w:cs="Calibri"/>
        </w:rPr>
        <w:t xml:space="preserve">250 </w:t>
      </w:r>
      <w:r w:rsidR="001619D9">
        <w:rPr>
          <w:rFonts w:ascii="Calibri" w:hAnsi="Calibri" w:cs="Calibri"/>
        </w:rPr>
        <w:t>respondents</w:t>
      </w:r>
      <w:r w:rsidRPr="001E010D" w:rsidR="00164958">
        <w:rPr>
          <w:rFonts w:ascii="Calibri" w:hAnsi="Calibri" w:cs="Calibri"/>
        </w:rPr>
        <w:t xml:space="preserve"> will </w:t>
      </w:r>
      <w:r w:rsidRPr="001E010D" w:rsidR="000B582F">
        <w:rPr>
          <w:rFonts w:ascii="Calibri" w:hAnsi="Calibri" w:cs="Calibri"/>
        </w:rPr>
        <w:t>complete</w:t>
      </w:r>
      <w:r w:rsidRPr="001E010D" w:rsidR="00B92364">
        <w:rPr>
          <w:rFonts w:ascii="Calibri" w:hAnsi="Calibri" w:cs="Calibri"/>
        </w:rPr>
        <w:t xml:space="preserve"> and submit</w:t>
      </w:r>
      <w:r w:rsidRPr="001E010D" w:rsidR="000B582F">
        <w:rPr>
          <w:rFonts w:ascii="Calibri" w:hAnsi="Calibri" w:cs="Calibri"/>
        </w:rPr>
        <w:t xml:space="preserve"> </w:t>
      </w:r>
      <w:r w:rsidRPr="001E010D" w:rsidR="001E5F1B">
        <w:rPr>
          <w:rFonts w:ascii="Calibri" w:hAnsi="Calibri" w:cs="Calibri"/>
        </w:rPr>
        <w:t xml:space="preserve">Criterion C forms is based on the number of new </w:t>
      </w:r>
      <w:r w:rsidR="001619D9">
        <w:rPr>
          <w:rFonts w:ascii="Calibri" w:hAnsi="Calibri" w:cs="Calibri"/>
        </w:rPr>
        <w:t>respondents</w:t>
      </w:r>
      <w:r w:rsidRPr="001E010D" w:rsidR="001E5F1B">
        <w:rPr>
          <w:rFonts w:ascii="Calibri" w:hAnsi="Calibri" w:cs="Calibri"/>
        </w:rPr>
        <w:t xml:space="preserve"> </w:t>
      </w:r>
      <w:r w:rsidR="00D91CF0">
        <w:rPr>
          <w:rFonts w:ascii="Calibri" w:hAnsi="Calibri" w:cs="Calibri"/>
        </w:rPr>
        <w:t xml:space="preserve">that submitted </w:t>
      </w:r>
      <w:r w:rsidR="008737E3">
        <w:rPr>
          <w:rFonts w:ascii="Calibri" w:hAnsi="Calibri" w:cs="Calibri"/>
        </w:rPr>
        <w:t xml:space="preserve">Criterion C </w:t>
      </w:r>
      <w:r w:rsidR="00D91CF0">
        <w:rPr>
          <w:rFonts w:ascii="Calibri" w:hAnsi="Calibri" w:cs="Calibri"/>
        </w:rPr>
        <w:t xml:space="preserve">eligibility information under the 2015 MSGP. </w:t>
      </w:r>
      <w:r w:rsidRPr="001E010D" w:rsidR="009C3DBE">
        <w:rPr>
          <w:rFonts w:ascii="Calibri" w:hAnsi="Calibri" w:cs="Calibri"/>
        </w:rPr>
        <w:t xml:space="preserve">The estimate that it will take these </w:t>
      </w:r>
      <w:r w:rsidR="001619D9">
        <w:rPr>
          <w:rFonts w:ascii="Calibri" w:hAnsi="Calibri" w:cs="Calibri"/>
        </w:rPr>
        <w:t>respondents</w:t>
      </w:r>
      <w:r w:rsidRPr="001E010D" w:rsidR="009C3DBE">
        <w:rPr>
          <w:rFonts w:ascii="Calibri" w:hAnsi="Calibri" w:cs="Calibri"/>
        </w:rPr>
        <w:t xml:space="preserve"> </w:t>
      </w:r>
      <w:r w:rsidR="00BE1FCC">
        <w:rPr>
          <w:rFonts w:ascii="Calibri" w:hAnsi="Calibri" w:cs="Calibri"/>
        </w:rPr>
        <w:t>2.</w:t>
      </w:r>
      <w:r w:rsidR="00D91CF0">
        <w:rPr>
          <w:rFonts w:ascii="Calibri" w:hAnsi="Calibri" w:cs="Calibri"/>
        </w:rPr>
        <w:t>5</w:t>
      </w:r>
      <w:r w:rsidRPr="001E010D" w:rsidR="00BE1FCC">
        <w:rPr>
          <w:rFonts w:ascii="Calibri" w:hAnsi="Calibri" w:cs="Calibri"/>
        </w:rPr>
        <w:t xml:space="preserve"> </w:t>
      </w:r>
      <w:r w:rsidRPr="001E010D" w:rsidR="009C3DBE">
        <w:rPr>
          <w:rFonts w:ascii="Calibri" w:hAnsi="Calibri" w:cs="Calibri"/>
        </w:rPr>
        <w:t xml:space="preserve">hours to complete and submit the Criterion C </w:t>
      </w:r>
      <w:r w:rsidR="003A35B8">
        <w:rPr>
          <w:rFonts w:ascii="Calibri" w:hAnsi="Calibri" w:cs="Calibri"/>
        </w:rPr>
        <w:t>Eligibility F</w:t>
      </w:r>
      <w:r w:rsidRPr="001E010D" w:rsidR="009C3DBE">
        <w:rPr>
          <w:rFonts w:ascii="Calibri" w:hAnsi="Calibri" w:cs="Calibri"/>
        </w:rPr>
        <w:t xml:space="preserve">orm </w:t>
      </w:r>
      <w:r w:rsidR="00BF56E7">
        <w:rPr>
          <w:rFonts w:ascii="Calibri" w:hAnsi="Calibri" w:cs="Calibri"/>
        </w:rPr>
        <w:t xml:space="preserve">via the NeT-MSGP form </w:t>
      </w:r>
      <w:r w:rsidRPr="001E010D" w:rsidR="009C3DBE">
        <w:rPr>
          <w:rFonts w:ascii="Calibri" w:hAnsi="Calibri" w:cs="Calibri"/>
        </w:rPr>
        <w:t xml:space="preserve">is based on </w:t>
      </w:r>
      <w:r w:rsidR="00F414E5">
        <w:rPr>
          <w:rFonts w:ascii="Calibri" w:hAnsi="Calibri" w:cs="Calibri"/>
        </w:rPr>
        <w:t>EPA</w:t>
      </w:r>
      <w:r w:rsidRPr="001E010D" w:rsidR="009C3DBE">
        <w:rPr>
          <w:rFonts w:ascii="Calibri" w:hAnsi="Calibri" w:cs="Calibri"/>
        </w:rPr>
        <w:t xml:space="preserve">’s judgement. The estimate that </w:t>
      </w:r>
      <w:r w:rsidR="004E75D8">
        <w:rPr>
          <w:rFonts w:ascii="Calibri" w:hAnsi="Calibri" w:cs="Calibri"/>
        </w:rPr>
        <w:t>all 2</w:t>
      </w:r>
      <w:r w:rsidRPr="001E010D" w:rsidR="00D20A2D">
        <w:rPr>
          <w:rFonts w:ascii="Calibri" w:hAnsi="Calibri" w:cs="Calibri"/>
        </w:rPr>
        <w:t>,</w:t>
      </w:r>
      <w:r w:rsidR="00A137F4">
        <w:rPr>
          <w:rFonts w:ascii="Calibri" w:hAnsi="Calibri" w:cs="Calibri"/>
        </w:rPr>
        <w:t>508</w:t>
      </w:r>
      <w:r w:rsidRPr="001E010D" w:rsidR="005F5682">
        <w:rPr>
          <w:rFonts w:ascii="Calibri" w:hAnsi="Calibri" w:cs="Calibri"/>
        </w:rPr>
        <w:t xml:space="preserve"> </w:t>
      </w:r>
      <w:r w:rsidR="001619D9">
        <w:rPr>
          <w:rFonts w:ascii="Calibri" w:hAnsi="Calibri" w:cs="Calibri"/>
        </w:rPr>
        <w:t>respondents</w:t>
      </w:r>
      <w:r w:rsidRPr="001E010D" w:rsidR="00B92364">
        <w:rPr>
          <w:rFonts w:ascii="Calibri" w:hAnsi="Calibri" w:cs="Calibri"/>
        </w:rPr>
        <w:t xml:space="preserve"> will complete the Criterion Selection Worksheet is based </w:t>
      </w:r>
      <w:r w:rsidRPr="001E010D" w:rsidR="00B3247F">
        <w:rPr>
          <w:rFonts w:ascii="Calibri" w:hAnsi="Calibri" w:cs="Calibri"/>
        </w:rPr>
        <w:t>on the</w:t>
      </w:r>
      <w:r w:rsidRPr="001E010D" w:rsidR="00B92364">
        <w:rPr>
          <w:rFonts w:ascii="Calibri" w:hAnsi="Calibri" w:cs="Calibri"/>
        </w:rPr>
        <w:t xml:space="preserve"> assumption that all </w:t>
      </w:r>
      <w:r w:rsidR="001619D9">
        <w:rPr>
          <w:rFonts w:ascii="Calibri" w:hAnsi="Calibri" w:cs="Calibri"/>
        </w:rPr>
        <w:t>respondents</w:t>
      </w:r>
      <w:r w:rsidRPr="001E010D" w:rsidR="00B92364">
        <w:rPr>
          <w:rFonts w:ascii="Calibri" w:hAnsi="Calibri" w:cs="Calibri"/>
        </w:rPr>
        <w:t xml:space="preserve"> will have to </w:t>
      </w:r>
      <w:r w:rsidRPr="001E010D" w:rsidR="00B3247F">
        <w:rPr>
          <w:rFonts w:ascii="Calibri" w:hAnsi="Calibri" w:cs="Calibri"/>
        </w:rPr>
        <w:t xml:space="preserve">fill out the worksheet as part of establishing their eligibility under the new permit. However, since existing </w:t>
      </w:r>
      <w:r w:rsidR="001619D9">
        <w:rPr>
          <w:rFonts w:ascii="Calibri" w:hAnsi="Calibri" w:cs="Calibri"/>
        </w:rPr>
        <w:t>respondents</w:t>
      </w:r>
      <w:r w:rsidRPr="001E010D" w:rsidR="00B3247F">
        <w:rPr>
          <w:rFonts w:ascii="Calibri" w:hAnsi="Calibri" w:cs="Calibri"/>
        </w:rPr>
        <w:t xml:space="preserve"> are presumed to have already previously established their eligibility with regard to the protection of threatened and endangered species</w:t>
      </w:r>
      <w:r w:rsidRPr="001E010D" w:rsidR="00D70C92">
        <w:rPr>
          <w:rFonts w:ascii="Calibri" w:hAnsi="Calibri" w:cs="Calibri"/>
        </w:rPr>
        <w:t xml:space="preserve"> and have the required information readily available to them</w:t>
      </w:r>
      <w:r w:rsidRPr="001E010D" w:rsidR="00B3247F">
        <w:rPr>
          <w:rFonts w:ascii="Calibri" w:hAnsi="Calibri" w:cs="Calibri"/>
        </w:rPr>
        <w:t xml:space="preserve">, </w:t>
      </w:r>
      <w:r w:rsidR="00F414E5">
        <w:rPr>
          <w:rFonts w:ascii="Calibri" w:hAnsi="Calibri" w:cs="Calibri"/>
        </w:rPr>
        <w:t>EPA</w:t>
      </w:r>
      <w:r w:rsidRPr="001E010D" w:rsidR="00B3247F">
        <w:rPr>
          <w:rFonts w:ascii="Calibri" w:hAnsi="Calibri" w:cs="Calibri"/>
        </w:rPr>
        <w:t xml:space="preserve"> assumes conservatively it will take on average </w:t>
      </w:r>
      <w:r w:rsidR="007E7B75">
        <w:rPr>
          <w:rFonts w:ascii="Calibri" w:hAnsi="Calibri" w:cs="Calibri"/>
        </w:rPr>
        <w:t>0.</w:t>
      </w:r>
      <w:r w:rsidR="00AC783C">
        <w:rPr>
          <w:rFonts w:ascii="Calibri" w:hAnsi="Calibri" w:cs="Calibri"/>
        </w:rPr>
        <w:t>5</w:t>
      </w:r>
      <w:r w:rsidR="007E7B75">
        <w:rPr>
          <w:rFonts w:ascii="Calibri" w:hAnsi="Calibri" w:cs="Calibri"/>
        </w:rPr>
        <w:t xml:space="preserve"> hours</w:t>
      </w:r>
      <w:r w:rsidRPr="001E010D" w:rsidR="00B3247F">
        <w:rPr>
          <w:rFonts w:ascii="Calibri" w:hAnsi="Calibri" w:cs="Calibri"/>
        </w:rPr>
        <w:t xml:space="preserve"> for them to complete the worksheet.</w:t>
      </w:r>
      <w:r w:rsidRPr="001E010D" w:rsidR="00B92364">
        <w:rPr>
          <w:rFonts w:ascii="Calibri" w:hAnsi="Calibri" w:cs="Calibri"/>
        </w:rPr>
        <w:t xml:space="preserve"> </w:t>
      </w:r>
      <w:r w:rsidRPr="001E010D" w:rsidR="000B582F">
        <w:rPr>
          <w:rFonts w:ascii="Calibri" w:hAnsi="Calibri" w:cs="Calibri"/>
        </w:rPr>
        <w:t xml:space="preserve"> </w:t>
      </w:r>
    </w:p>
    <w:p w:rsidRPr="001E010D" w:rsidR="00112F9D" w:rsidP="00D37535" w:rsidRDefault="00112F9D" w14:paraId="28E9DEE4" w14:textId="6CED4E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394B2F" w:rsidP="00D37535" w:rsidRDefault="002B027D" w14:paraId="48C9188C" w14:textId="30B79011">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b/>
        </w:rPr>
        <w:t>Historic Properties Preservation</w:t>
      </w:r>
      <w:r w:rsidR="00CC25DD">
        <w:rPr>
          <w:rFonts w:ascii="Calibri" w:hAnsi="Calibri" w:cs="Calibri"/>
          <w:b/>
        </w:rPr>
        <w:t xml:space="preserve"> </w:t>
      </w:r>
      <w:r w:rsidRPr="00825AFC" w:rsidR="00CC25DD">
        <w:rPr>
          <w:rFonts w:ascii="Calibri" w:hAnsi="Calibri" w:cs="Calibri"/>
        </w:rPr>
        <w:t>[</w:t>
      </w:r>
      <w:r w:rsidR="001C4EEA">
        <w:rPr>
          <w:rFonts w:ascii="Calibri" w:hAnsi="Calibri" w:cs="Calibri"/>
        </w:rPr>
        <w:t>Changes</w:t>
      </w:r>
      <w:r w:rsidR="00CC25DD">
        <w:rPr>
          <w:rFonts w:ascii="Calibri" w:hAnsi="Calibri" w:cs="Calibri"/>
        </w:rPr>
        <w:t xml:space="preserve"> to the information collection burden</w:t>
      </w:r>
      <w:r w:rsidRPr="00825AFC" w:rsidR="00CC25DD">
        <w:rPr>
          <w:rFonts w:ascii="Calibri" w:hAnsi="Calibri" w:cs="Calibri"/>
        </w:rPr>
        <w:t>]</w:t>
      </w:r>
    </w:p>
    <w:p w:rsidR="00903E18" w:rsidP="00D37535" w:rsidRDefault="00903E18" w14:paraId="48C3FAF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796FB3" w:rsidP="00D37535" w:rsidRDefault="00796FB3" w14:paraId="590E3CD9" w14:textId="6E86E1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 xml:space="preserve">The 2021 MSGP </w:t>
      </w:r>
      <w:r w:rsidRPr="001E010D">
        <w:rPr>
          <w:rFonts w:ascii="Calibri" w:hAnsi="Calibri" w:cs="Calibri"/>
        </w:rPr>
        <w:t>require</w:t>
      </w:r>
      <w:r>
        <w:rPr>
          <w:rFonts w:ascii="Calibri" w:hAnsi="Calibri" w:cs="Calibri"/>
        </w:rPr>
        <w:t>s</w:t>
      </w:r>
      <w:r w:rsidRPr="001E010D">
        <w:rPr>
          <w:rFonts w:ascii="Calibri" w:hAnsi="Calibri" w:cs="Calibri"/>
        </w:rPr>
        <w:t xml:space="preserve"> </w:t>
      </w:r>
      <w:r w:rsidR="001619D9">
        <w:rPr>
          <w:rFonts w:ascii="Calibri" w:hAnsi="Calibri" w:cs="Calibri"/>
        </w:rPr>
        <w:t>respondents</w:t>
      </w:r>
      <w:r>
        <w:rPr>
          <w:rFonts w:ascii="Calibri" w:hAnsi="Calibri" w:cs="Calibri"/>
        </w:rPr>
        <w:t xml:space="preserve"> </w:t>
      </w:r>
      <w:r w:rsidRPr="001E010D">
        <w:rPr>
          <w:rFonts w:ascii="Calibri" w:hAnsi="Calibri" w:cs="Calibri"/>
        </w:rPr>
        <w:t xml:space="preserve">to follow the eligibility procedures in Appendix </w:t>
      </w:r>
      <w:r w:rsidRPr="006F73C0">
        <w:rPr>
          <w:rFonts w:ascii="Calibri" w:hAnsi="Calibri" w:cs="Calibri"/>
        </w:rPr>
        <w:t>F</w:t>
      </w:r>
      <w:r w:rsidRPr="001E010D">
        <w:rPr>
          <w:rFonts w:ascii="Calibri" w:hAnsi="Calibri" w:cs="Calibri"/>
        </w:rPr>
        <w:t xml:space="preserve"> with regard to the protection of historic properties. </w:t>
      </w:r>
      <w:r w:rsidR="00600DEB">
        <w:rPr>
          <w:rFonts w:ascii="Calibri" w:hAnsi="Calibri" w:cs="Calibri"/>
        </w:rPr>
        <w:t>Similar to the procedures for Endangered Species, EPA is also integrating the MSGP’s instructions and procedures for historic properties into NeT-MSGP</w:t>
      </w:r>
      <w:r w:rsidR="00FB0228">
        <w:rPr>
          <w:rFonts w:ascii="Calibri" w:hAnsi="Calibri" w:cs="Calibri"/>
        </w:rPr>
        <w:t xml:space="preserve"> through a series of “smart” questions that are based on Appendix F, but would be presented in a dynamic way that helps the operator narrow down their correct criterion selection, just as with the endangered species selection process</w:t>
      </w:r>
      <w:r w:rsidR="00600DEB">
        <w:rPr>
          <w:rFonts w:ascii="Calibri" w:hAnsi="Calibri" w:cs="Calibri"/>
        </w:rPr>
        <w:t xml:space="preserve">. </w:t>
      </w:r>
      <w:r w:rsidR="000F48B6">
        <w:rPr>
          <w:rFonts w:ascii="Calibri" w:hAnsi="Calibri" w:cs="Calibri"/>
        </w:rPr>
        <w:t xml:space="preserve">EPA estimates that this will reduce the burden to determine </w:t>
      </w:r>
      <w:r w:rsidR="002B027D">
        <w:rPr>
          <w:rFonts w:ascii="Calibri" w:hAnsi="Calibri" w:cs="Calibri"/>
        </w:rPr>
        <w:t>Historic Properties Preservation</w:t>
      </w:r>
      <w:r w:rsidR="00450D4F">
        <w:rPr>
          <w:rFonts w:ascii="Calibri" w:hAnsi="Calibri" w:cs="Calibri"/>
        </w:rPr>
        <w:t xml:space="preserve"> </w:t>
      </w:r>
      <w:r w:rsidR="000F48B6">
        <w:rPr>
          <w:rFonts w:ascii="Calibri" w:hAnsi="Calibri" w:cs="Calibri"/>
        </w:rPr>
        <w:t xml:space="preserve">eligibility </w:t>
      </w:r>
      <w:r w:rsidR="0010424F">
        <w:rPr>
          <w:rFonts w:ascii="Calibri" w:hAnsi="Calibri" w:cs="Calibri"/>
        </w:rPr>
        <w:t>by 0.5 hours</w:t>
      </w:r>
      <w:r w:rsidR="00AC783C">
        <w:rPr>
          <w:rFonts w:ascii="Calibri" w:hAnsi="Calibri" w:cs="Calibri"/>
        </w:rPr>
        <w:t xml:space="preserve"> per form</w:t>
      </w:r>
      <w:r w:rsidR="000F48B6">
        <w:rPr>
          <w:rFonts w:ascii="Calibri" w:hAnsi="Calibri" w:cs="Calibri"/>
        </w:rPr>
        <w:t>.</w:t>
      </w:r>
      <w:r w:rsidR="00D61F30">
        <w:rPr>
          <w:rFonts w:ascii="Calibri" w:hAnsi="Calibri" w:cs="Calibri"/>
        </w:rPr>
        <w:t xml:space="preserve"> </w:t>
      </w:r>
    </w:p>
    <w:p w:rsidR="00796FB3" w:rsidP="00D37535" w:rsidRDefault="00796FB3" w14:paraId="7A426DF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7962EF" w:rsidP="00D37535" w:rsidRDefault="00F414E5" w14:paraId="296CE81C" w14:textId="6855B06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EPA</w:t>
      </w:r>
      <w:r w:rsidRPr="001E010D" w:rsidR="007962EF">
        <w:rPr>
          <w:rFonts w:ascii="Calibri" w:hAnsi="Calibri" w:cs="Calibri"/>
        </w:rPr>
        <w:t xml:space="preserve"> estimates that</w:t>
      </w:r>
      <w:r w:rsidR="00450D4F">
        <w:rPr>
          <w:rFonts w:ascii="Calibri" w:hAnsi="Calibri" w:cs="Calibri"/>
        </w:rPr>
        <w:t xml:space="preserve"> </w:t>
      </w:r>
      <w:r w:rsidR="001901A2">
        <w:rPr>
          <w:rFonts w:ascii="Calibri" w:hAnsi="Calibri" w:cs="Calibri"/>
        </w:rPr>
        <w:t>3</w:t>
      </w:r>
      <w:r w:rsidR="00450D4F">
        <w:rPr>
          <w:rFonts w:ascii="Calibri" w:hAnsi="Calibri" w:cs="Calibri"/>
        </w:rPr>
        <w:t>% or</w:t>
      </w:r>
      <w:r w:rsidRPr="001E010D" w:rsidR="007962EF">
        <w:rPr>
          <w:rFonts w:ascii="Calibri" w:hAnsi="Calibri" w:cs="Calibri"/>
        </w:rPr>
        <w:t xml:space="preserve"> </w:t>
      </w:r>
      <w:r w:rsidR="00545339">
        <w:rPr>
          <w:rFonts w:ascii="Calibri" w:hAnsi="Calibri" w:cs="Calibri"/>
        </w:rPr>
        <w:t>6</w:t>
      </w:r>
      <w:r w:rsidR="001901A2">
        <w:rPr>
          <w:rFonts w:ascii="Calibri" w:hAnsi="Calibri" w:cs="Calibri"/>
        </w:rPr>
        <w:t>0</w:t>
      </w:r>
      <w:r w:rsidRPr="001E010D" w:rsidR="007962EF">
        <w:rPr>
          <w:rFonts w:ascii="Calibri" w:hAnsi="Calibri" w:cs="Calibri"/>
        </w:rPr>
        <w:t xml:space="preserve"> </w:t>
      </w:r>
      <w:r w:rsidR="001619D9">
        <w:rPr>
          <w:rFonts w:ascii="Calibri" w:hAnsi="Calibri" w:cs="Calibri"/>
        </w:rPr>
        <w:t>respondents</w:t>
      </w:r>
      <w:r w:rsidRPr="001E010D" w:rsidR="007962EF">
        <w:rPr>
          <w:rFonts w:ascii="Calibri" w:hAnsi="Calibri" w:cs="Calibri"/>
        </w:rPr>
        <w:t xml:space="preserve"> will spend an average of </w:t>
      </w:r>
      <w:r w:rsidR="001901A2">
        <w:rPr>
          <w:rFonts w:ascii="Calibri" w:hAnsi="Calibri" w:cs="Calibri"/>
        </w:rPr>
        <w:t>4</w:t>
      </w:r>
      <w:r w:rsidR="00391FEE">
        <w:rPr>
          <w:rFonts w:ascii="Calibri" w:hAnsi="Calibri" w:cs="Calibri"/>
        </w:rPr>
        <w:t xml:space="preserve">.5 </w:t>
      </w:r>
      <w:r w:rsidRPr="001E010D" w:rsidR="007962EF">
        <w:rPr>
          <w:rFonts w:ascii="Calibri" w:hAnsi="Calibri" w:cs="Calibri"/>
        </w:rPr>
        <w:t xml:space="preserve">hours </w:t>
      </w:r>
      <w:r w:rsidRPr="001E010D" w:rsidR="006B10CA">
        <w:rPr>
          <w:rFonts w:ascii="Calibri" w:hAnsi="Calibri" w:cs="Calibri"/>
        </w:rPr>
        <w:t xml:space="preserve">contacting the relevant State or Tribal Historic Preservation Office </w:t>
      </w:r>
      <w:r w:rsidRPr="001E010D" w:rsidR="00D460AD">
        <w:rPr>
          <w:rFonts w:ascii="Calibri" w:hAnsi="Calibri" w:cs="Calibri"/>
        </w:rPr>
        <w:t xml:space="preserve">(SHPO/THPO) </w:t>
      </w:r>
      <w:r w:rsidRPr="001E010D" w:rsidR="006B10CA">
        <w:rPr>
          <w:rFonts w:ascii="Calibri" w:hAnsi="Calibri" w:cs="Calibri"/>
        </w:rPr>
        <w:t>in writing</w:t>
      </w:r>
      <w:r w:rsidRPr="001E010D" w:rsidR="007962EF">
        <w:rPr>
          <w:rFonts w:ascii="Calibri" w:hAnsi="Calibri" w:cs="Calibri"/>
        </w:rPr>
        <w:t xml:space="preserve"> once each permit term. </w:t>
      </w:r>
      <w:r w:rsidR="001901A2">
        <w:rPr>
          <w:rFonts w:ascii="Calibri" w:hAnsi="Calibri" w:cs="Calibri"/>
        </w:rPr>
        <w:t>This activity is not currently accounted for in the NPDES Program ICR, so this MSGP ICR effectively adds an incremental burden of 4.5 hours.</w:t>
      </w:r>
    </w:p>
    <w:p w:rsidRPr="001E010D" w:rsidR="00112F9D" w:rsidP="00D37535" w:rsidRDefault="00112F9D" w14:paraId="2EBB5214" w14:textId="28ACB04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4B6643" w:rsidP="00D37535" w:rsidRDefault="007969AA" w14:paraId="12F69670" w14:textId="3A5E3D4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3E6762">
        <w:rPr>
          <w:rFonts w:ascii="Calibri" w:hAnsi="Calibri" w:cs="Calibri"/>
        </w:rPr>
        <w:t xml:space="preserve"> The estimate that </w:t>
      </w:r>
      <w:r w:rsidR="00545339">
        <w:rPr>
          <w:rFonts w:ascii="Calibri" w:hAnsi="Calibri" w:cs="Calibri"/>
        </w:rPr>
        <w:t>6</w:t>
      </w:r>
      <w:r w:rsidR="00051D90">
        <w:rPr>
          <w:rFonts w:ascii="Calibri" w:hAnsi="Calibri" w:cs="Calibri"/>
        </w:rPr>
        <w:t>0</w:t>
      </w:r>
      <w:r w:rsidRPr="001E010D" w:rsidR="003E6762">
        <w:rPr>
          <w:rFonts w:ascii="Calibri" w:hAnsi="Calibri" w:cs="Calibri"/>
        </w:rPr>
        <w:t xml:space="preserve"> </w:t>
      </w:r>
      <w:r w:rsidR="001619D9">
        <w:rPr>
          <w:rFonts w:ascii="Calibri" w:hAnsi="Calibri" w:cs="Calibri"/>
        </w:rPr>
        <w:t>respondents</w:t>
      </w:r>
      <w:r w:rsidRPr="001E010D" w:rsidR="00D460AD">
        <w:rPr>
          <w:rFonts w:ascii="Calibri" w:hAnsi="Calibri" w:cs="Calibri"/>
        </w:rPr>
        <w:t xml:space="preserve"> will be required to contact the SHPO/</w:t>
      </w:r>
      <w:r w:rsidR="004E1D72">
        <w:rPr>
          <w:rFonts w:ascii="Calibri" w:hAnsi="Calibri" w:cs="Calibri"/>
        </w:rPr>
        <w:t>THPO</w:t>
      </w:r>
      <w:r w:rsidRPr="001E010D" w:rsidR="00D460AD">
        <w:rPr>
          <w:rFonts w:ascii="Calibri" w:hAnsi="Calibri" w:cs="Calibri"/>
        </w:rPr>
        <w:t xml:space="preserve"> in writing is based on the number of </w:t>
      </w:r>
      <w:r w:rsidR="001619D9">
        <w:rPr>
          <w:rFonts w:ascii="Calibri" w:hAnsi="Calibri" w:cs="Calibri"/>
        </w:rPr>
        <w:t>respondents</w:t>
      </w:r>
      <w:r w:rsidRPr="001E010D" w:rsidR="00D460AD">
        <w:rPr>
          <w:rFonts w:ascii="Calibri" w:hAnsi="Calibri" w:cs="Calibri"/>
        </w:rPr>
        <w:t xml:space="preserve"> who had to do this during the </w:t>
      </w:r>
      <w:r w:rsidR="001D4DE3">
        <w:rPr>
          <w:rFonts w:ascii="Calibri" w:hAnsi="Calibri" w:cs="Calibri"/>
        </w:rPr>
        <w:t>2015 MSGP</w:t>
      </w:r>
      <w:r w:rsidRPr="001E010D" w:rsidR="00D460AD">
        <w:rPr>
          <w:rFonts w:ascii="Calibri" w:hAnsi="Calibri" w:cs="Calibri"/>
        </w:rPr>
        <w:t xml:space="preserve"> term. </w:t>
      </w:r>
      <w:r w:rsidR="00F414E5">
        <w:rPr>
          <w:rFonts w:ascii="Calibri" w:hAnsi="Calibri" w:cs="Calibri"/>
        </w:rPr>
        <w:t>EPA</w:t>
      </w:r>
      <w:r w:rsidRPr="001E010D" w:rsidR="004B6643">
        <w:rPr>
          <w:rFonts w:ascii="Calibri" w:hAnsi="Calibri" w:cs="Calibri"/>
        </w:rPr>
        <w:t xml:space="preserve"> estimates that this will continue to be a rare </w:t>
      </w:r>
      <w:r w:rsidR="005F1F9F">
        <w:rPr>
          <w:rFonts w:ascii="Calibri" w:hAnsi="Calibri" w:cs="Calibri"/>
        </w:rPr>
        <w:t>occurrence</w:t>
      </w:r>
      <w:r w:rsidRPr="001E010D" w:rsidR="004B6643">
        <w:rPr>
          <w:rFonts w:ascii="Calibri" w:hAnsi="Calibri" w:cs="Calibri"/>
        </w:rPr>
        <w:t xml:space="preserve"> under the new permit as the vast majority of </w:t>
      </w:r>
      <w:r w:rsidR="001619D9">
        <w:rPr>
          <w:rFonts w:ascii="Calibri" w:hAnsi="Calibri" w:cs="Calibri"/>
        </w:rPr>
        <w:t>respondents</w:t>
      </w:r>
      <w:r w:rsidRPr="001E010D" w:rsidR="004B6643">
        <w:rPr>
          <w:rFonts w:ascii="Calibri" w:hAnsi="Calibri" w:cs="Calibri"/>
        </w:rPr>
        <w:t xml:space="preserve"> under the MSGP are existing </w:t>
      </w:r>
      <w:r w:rsidR="001619D9">
        <w:rPr>
          <w:rFonts w:ascii="Calibri" w:hAnsi="Calibri" w:cs="Calibri"/>
        </w:rPr>
        <w:t>respondents</w:t>
      </w:r>
      <w:r w:rsidRPr="001E010D" w:rsidR="004B6643">
        <w:rPr>
          <w:rFonts w:ascii="Calibri" w:hAnsi="Calibri" w:cs="Calibri"/>
        </w:rPr>
        <w:t xml:space="preserve"> that will not have new subsurface controls </w:t>
      </w:r>
      <w:r w:rsidRPr="001E010D" w:rsidR="00A15372">
        <w:rPr>
          <w:rFonts w:ascii="Calibri" w:hAnsi="Calibri" w:cs="Calibri"/>
        </w:rPr>
        <w:t>installed and</w:t>
      </w:r>
      <w:r w:rsidRPr="001E010D" w:rsidR="004B6643">
        <w:rPr>
          <w:rFonts w:ascii="Calibri" w:hAnsi="Calibri" w:cs="Calibri"/>
        </w:rPr>
        <w:t xml:space="preserve"> are not expected to be located in areas where there are historic properties. </w:t>
      </w:r>
    </w:p>
    <w:p w:rsidRPr="001E010D" w:rsidR="00112F9D" w:rsidP="00D37535" w:rsidRDefault="00112F9D" w14:paraId="71561AA1" w14:textId="374ED4E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903E18" w:rsidP="00D37535" w:rsidRDefault="00394B2F" w14:paraId="69B9E06B" w14:textId="6A935327">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C92D20">
        <w:rPr>
          <w:rFonts w:ascii="Calibri" w:hAnsi="Calibri" w:cs="Calibri"/>
          <w:b/>
        </w:rPr>
        <w:t>New Discharges and New Sources to Water Quality-Impaired Waters</w:t>
      </w:r>
      <w:r w:rsidRPr="00C92D20" w:rsidR="00CC25DD">
        <w:rPr>
          <w:rFonts w:ascii="Calibri" w:hAnsi="Calibri" w:cs="Calibri"/>
          <w:b/>
        </w:rPr>
        <w:t xml:space="preserve"> </w:t>
      </w:r>
      <w:r w:rsidRPr="00C92D20" w:rsidR="00CC25DD">
        <w:rPr>
          <w:rFonts w:ascii="Calibri" w:hAnsi="Calibri" w:cs="Calibri"/>
        </w:rPr>
        <w:t>[</w:t>
      </w:r>
      <w:r w:rsidR="001C4EEA">
        <w:rPr>
          <w:rFonts w:ascii="Calibri" w:hAnsi="Calibri" w:cs="Calibri"/>
        </w:rPr>
        <w:t>Changes</w:t>
      </w:r>
      <w:r w:rsidRPr="00C92D20" w:rsidR="00CC25DD">
        <w:rPr>
          <w:rFonts w:ascii="Calibri" w:hAnsi="Calibri" w:cs="Calibri"/>
        </w:rPr>
        <w:t xml:space="preserve"> to the information collection burden]</w:t>
      </w:r>
    </w:p>
    <w:p w:rsidR="00903E18" w:rsidP="00903E18" w:rsidRDefault="00903E18" w14:paraId="0852297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4E43DF" w:rsidP="004E43DF" w:rsidRDefault="00903E18" w14:paraId="3BA193AD" w14:textId="6DD617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C92D20">
        <w:rPr>
          <w:rFonts w:ascii="Calibri" w:hAnsi="Calibri" w:cs="Calibri"/>
        </w:rPr>
        <w:t>The 2021 MSGP requires new dischargers/new sources that discharge to impaired waters to comply with one of three options in order to be eligible for the permit. Two of the options require submittal of information directly to</w:t>
      </w:r>
      <w:r>
        <w:rPr>
          <w:rFonts w:ascii="Calibri" w:hAnsi="Calibri" w:cs="Calibri"/>
        </w:rPr>
        <w:t xml:space="preserve"> </w:t>
      </w:r>
      <w:r w:rsidR="002E0A2D">
        <w:rPr>
          <w:rFonts w:ascii="Calibri" w:hAnsi="Calibri" w:cs="Calibri"/>
        </w:rPr>
        <w:t>the</w:t>
      </w:r>
      <w:r w:rsidRPr="00C92D20">
        <w:rPr>
          <w:rFonts w:ascii="Calibri" w:hAnsi="Calibri" w:cs="Calibri"/>
        </w:rPr>
        <w:t xml:space="preserve"> EPA Regional Office to support a claim that the pollutants causing the impairment are not present at the site, or a conclusion that the discharge is expected to meet water quality standards. </w:t>
      </w:r>
      <w:r w:rsidR="00676EF9">
        <w:t xml:space="preserve">To reduce burden, for the 2021 MSGP, an operator may now choose to submit that </w:t>
      </w:r>
      <w:r w:rsidR="00676EF9">
        <w:lastRenderedPageBreak/>
        <w:t>information electronically in NeT-MSGP with the NOI submission package.</w:t>
      </w:r>
      <w:r w:rsidRPr="004E43DF" w:rsidR="004E43DF">
        <w:rPr>
          <w:rFonts w:ascii="Calibri" w:hAnsi="Calibri" w:cs="Calibri"/>
        </w:rPr>
        <w:t xml:space="preserve"> </w:t>
      </w:r>
      <w:r w:rsidR="004E43DF">
        <w:rPr>
          <w:rFonts w:ascii="Calibri" w:hAnsi="Calibri" w:cs="Calibri"/>
        </w:rPr>
        <w:t xml:space="preserve">EPA estimates that this will reduce the burden by </w:t>
      </w:r>
      <w:r w:rsidR="0010424F">
        <w:rPr>
          <w:rFonts w:ascii="Calibri" w:hAnsi="Calibri" w:cs="Calibri"/>
        </w:rPr>
        <w:t>0.5 hours</w:t>
      </w:r>
      <w:r w:rsidR="00051D90">
        <w:rPr>
          <w:rFonts w:ascii="Calibri" w:hAnsi="Calibri" w:cs="Calibri"/>
        </w:rPr>
        <w:t xml:space="preserve"> per form</w:t>
      </w:r>
      <w:r w:rsidR="004E43DF">
        <w:rPr>
          <w:rFonts w:ascii="Calibri" w:hAnsi="Calibri" w:cs="Calibri"/>
        </w:rPr>
        <w:t>.</w:t>
      </w:r>
    </w:p>
    <w:p w:rsidR="00903E18" w:rsidP="00D37535" w:rsidRDefault="00903E18" w14:paraId="5DAD3E5A" w14:textId="5A3DF0C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394B2F" w:rsidP="00D37535" w:rsidRDefault="00F414E5" w14:paraId="5A49745E" w14:textId="4C88097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EPA</w:t>
      </w:r>
      <w:r w:rsidRPr="001E010D" w:rsidR="0070583C">
        <w:rPr>
          <w:rFonts w:ascii="Calibri" w:hAnsi="Calibri" w:cs="Calibri"/>
        </w:rPr>
        <w:t xml:space="preserve"> estimates that</w:t>
      </w:r>
      <w:r w:rsidR="004E43DF">
        <w:rPr>
          <w:rFonts w:ascii="Calibri" w:hAnsi="Calibri" w:cs="Calibri"/>
        </w:rPr>
        <w:t xml:space="preserve"> </w:t>
      </w:r>
      <w:r w:rsidR="00545339">
        <w:rPr>
          <w:rFonts w:ascii="Calibri" w:hAnsi="Calibri" w:cs="Calibri"/>
        </w:rPr>
        <w:t>45</w:t>
      </w:r>
      <w:r w:rsidRPr="001E010D" w:rsidR="0070583C">
        <w:rPr>
          <w:rFonts w:ascii="Calibri" w:hAnsi="Calibri" w:cs="Calibri"/>
        </w:rPr>
        <w:t xml:space="preserve"> </w:t>
      </w:r>
      <w:r w:rsidR="001619D9">
        <w:rPr>
          <w:rFonts w:ascii="Calibri" w:hAnsi="Calibri" w:cs="Calibri"/>
        </w:rPr>
        <w:t>respondents</w:t>
      </w:r>
      <w:r w:rsidR="004E43DF">
        <w:rPr>
          <w:rFonts w:ascii="Calibri" w:hAnsi="Calibri" w:cs="Calibri"/>
        </w:rPr>
        <w:t>,</w:t>
      </w:r>
      <w:r w:rsidRPr="001E010D" w:rsidR="0070583C">
        <w:rPr>
          <w:rFonts w:ascii="Calibri" w:hAnsi="Calibri" w:cs="Calibri"/>
        </w:rPr>
        <w:t xml:space="preserve"> will spend an average of </w:t>
      </w:r>
      <w:r w:rsidR="004E43DF">
        <w:rPr>
          <w:rFonts w:ascii="Calibri" w:hAnsi="Calibri" w:cs="Calibri"/>
        </w:rPr>
        <w:t>1.</w:t>
      </w:r>
      <w:r w:rsidR="00051D90">
        <w:rPr>
          <w:rFonts w:ascii="Calibri" w:hAnsi="Calibri" w:cs="Calibri"/>
        </w:rPr>
        <w:t>5</w:t>
      </w:r>
      <w:r w:rsidRPr="001E010D" w:rsidR="004E43DF">
        <w:rPr>
          <w:rFonts w:ascii="Calibri" w:hAnsi="Calibri" w:cs="Calibri"/>
        </w:rPr>
        <w:t xml:space="preserve"> </w:t>
      </w:r>
      <w:r w:rsidRPr="001E010D" w:rsidR="0070583C">
        <w:rPr>
          <w:rFonts w:ascii="Calibri" w:hAnsi="Calibri" w:cs="Calibri"/>
        </w:rPr>
        <w:t>hours</w:t>
      </w:r>
      <w:r w:rsidRPr="001E010D" w:rsidR="004603BB">
        <w:rPr>
          <w:rFonts w:ascii="Calibri" w:hAnsi="Calibri" w:cs="Calibri"/>
        </w:rPr>
        <w:t xml:space="preserve"> </w:t>
      </w:r>
      <w:r w:rsidRPr="001E010D" w:rsidR="00FB1200">
        <w:rPr>
          <w:rFonts w:ascii="Calibri" w:hAnsi="Calibri" w:cs="Calibri"/>
        </w:rPr>
        <w:t>meeting</w:t>
      </w:r>
      <w:r w:rsidRPr="001E010D" w:rsidR="004603BB">
        <w:rPr>
          <w:rFonts w:ascii="Calibri" w:hAnsi="Calibri" w:cs="Calibri"/>
        </w:rPr>
        <w:t xml:space="preserve"> the information collection and submittal requirements applicable to new discharges and new sources to water quality-impaired waters</w:t>
      </w:r>
      <w:r w:rsidRPr="001E010D" w:rsidR="00B10F8B">
        <w:rPr>
          <w:rFonts w:ascii="Calibri" w:hAnsi="Calibri" w:cs="Calibri"/>
        </w:rPr>
        <w:t xml:space="preserve"> once each permit term</w:t>
      </w:r>
      <w:r w:rsidRPr="001E010D" w:rsidR="004603BB">
        <w:rPr>
          <w:rFonts w:ascii="Calibri" w:hAnsi="Calibri" w:cs="Calibri"/>
        </w:rPr>
        <w:t xml:space="preserve">. </w:t>
      </w:r>
      <w:r w:rsidR="00051D90">
        <w:rPr>
          <w:rFonts w:ascii="Calibri" w:hAnsi="Calibri" w:cs="Calibri"/>
        </w:rPr>
        <w:t xml:space="preserve">This activity is not </w:t>
      </w:r>
      <w:r w:rsidR="005106E8">
        <w:rPr>
          <w:rFonts w:ascii="Calibri" w:hAnsi="Calibri" w:cs="Calibri"/>
        </w:rPr>
        <w:t xml:space="preserve">separately </w:t>
      </w:r>
      <w:r w:rsidR="00051D90">
        <w:rPr>
          <w:rFonts w:ascii="Calibri" w:hAnsi="Calibri" w:cs="Calibri"/>
        </w:rPr>
        <w:t xml:space="preserve">accounted for in the </w:t>
      </w:r>
      <w:r w:rsidR="00932903">
        <w:rPr>
          <w:rFonts w:ascii="Calibri" w:hAnsi="Calibri" w:cs="Calibri"/>
        </w:rPr>
        <w:t xml:space="preserve">2017 </w:t>
      </w:r>
      <w:r w:rsidR="00051D90">
        <w:rPr>
          <w:rFonts w:ascii="Calibri" w:hAnsi="Calibri" w:cs="Calibri"/>
        </w:rPr>
        <w:t>NPDES Program ICR, so this MSGP ICR effectively adds an incremental burden of 1.5 hours.</w:t>
      </w:r>
    </w:p>
    <w:p w:rsidRPr="001E010D" w:rsidR="00112F9D" w:rsidP="00D37535" w:rsidRDefault="00112F9D" w14:paraId="45728388" w14:textId="000AF23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716DE265" w14:textId="65CB9AC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5274F9">
        <w:rPr>
          <w:rFonts w:ascii="Calibri" w:hAnsi="Calibri" w:cs="Calibri"/>
        </w:rPr>
        <w:t xml:space="preserve"> </w:t>
      </w:r>
      <w:r w:rsidR="001D4DE3">
        <w:rPr>
          <w:rFonts w:ascii="Calibri" w:hAnsi="Calibri" w:cs="Calibri"/>
        </w:rPr>
        <w:t xml:space="preserve">The </w:t>
      </w:r>
      <w:r w:rsidR="007550CF">
        <w:rPr>
          <w:rFonts w:ascii="Calibri" w:hAnsi="Calibri" w:cs="Calibri"/>
        </w:rPr>
        <w:t xml:space="preserve">estimate that 45 respondents </w:t>
      </w:r>
      <w:r w:rsidR="00D20860">
        <w:rPr>
          <w:rFonts w:ascii="Calibri" w:hAnsi="Calibri" w:cs="Calibri"/>
        </w:rPr>
        <w:t xml:space="preserve">will be required to comply with this activity is based on the number of respondents who had to do this during the 2015 MSGP term. EPA estimates that </w:t>
      </w:r>
      <w:r w:rsidR="002A16C4">
        <w:rPr>
          <w:rFonts w:ascii="Calibri" w:hAnsi="Calibri" w:cs="Calibri"/>
        </w:rPr>
        <w:t>a</w:t>
      </w:r>
      <w:r w:rsidR="00D20860">
        <w:rPr>
          <w:rFonts w:ascii="Calibri" w:hAnsi="Calibri" w:cs="Calibri"/>
        </w:rPr>
        <w:t xml:space="preserve">pproximately </w:t>
      </w:r>
      <w:r w:rsidR="002A16C4">
        <w:rPr>
          <w:rFonts w:ascii="Calibri" w:hAnsi="Calibri" w:cs="Calibri"/>
        </w:rPr>
        <w:t xml:space="preserve">7%, or 180 </w:t>
      </w:r>
      <w:r w:rsidR="001619D9">
        <w:rPr>
          <w:rFonts w:ascii="Calibri" w:hAnsi="Calibri" w:cs="Calibri"/>
        </w:rPr>
        <w:t>respondents</w:t>
      </w:r>
      <w:r w:rsidR="002A16C4">
        <w:rPr>
          <w:rFonts w:ascii="Calibri" w:hAnsi="Calibri" w:cs="Calibri"/>
        </w:rPr>
        <w:t>,</w:t>
      </w:r>
      <w:r w:rsidRPr="001E010D" w:rsidR="00FB4030">
        <w:rPr>
          <w:rFonts w:ascii="Calibri" w:hAnsi="Calibri" w:cs="Calibri"/>
        </w:rPr>
        <w:t xml:space="preserve"> </w:t>
      </w:r>
      <w:r w:rsidR="002A16C4">
        <w:rPr>
          <w:rFonts w:ascii="Calibri" w:hAnsi="Calibri" w:cs="Calibri"/>
        </w:rPr>
        <w:t xml:space="preserve">will be </w:t>
      </w:r>
      <w:r w:rsidRPr="001E010D" w:rsidR="00FB4030">
        <w:rPr>
          <w:rFonts w:ascii="Calibri" w:hAnsi="Calibri" w:cs="Calibri"/>
        </w:rPr>
        <w:t>both new dischargers and discharge</w:t>
      </w:r>
      <w:r w:rsidR="001D4DE3">
        <w:rPr>
          <w:rFonts w:ascii="Calibri" w:hAnsi="Calibri" w:cs="Calibri"/>
        </w:rPr>
        <w:t>d</w:t>
      </w:r>
      <w:r w:rsidRPr="001E010D" w:rsidR="00FB4030">
        <w:rPr>
          <w:rFonts w:ascii="Calibri" w:hAnsi="Calibri" w:cs="Calibri"/>
        </w:rPr>
        <w:t xml:space="preserve"> to impaired waters. </w:t>
      </w:r>
      <w:r w:rsidRPr="001E010D" w:rsidR="004B6643">
        <w:rPr>
          <w:rFonts w:ascii="Calibri" w:hAnsi="Calibri" w:cs="Calibri"/>
        </w:rPr>
        <w:t xml:space="preserve">Because the vast majority of </w:t>
      </w:r>
      <w:r w:rsidR="001619D9">
        <w:rPr>
          <w:rFonts w:ascii="Calibri" w:hAnsi="Calibri" w:cs="Calibri"/>
        </w:rPr>
        <w:t>respondents</w:t>
      </w:r>
      <w:r w:rsidRPr="001E010D" w:rsidR="004B6643">
        <w:rPr>
          <w:rFonts w:ascii="Calibri" w:hAnsi="Calibri" w:cs="Calibri"/>
        </w:rPr>
        <w:t xml:space="preserve"> under the MSGP are existing </w:t>
      </w:r>
      <w:r w:rsidR="001619D9">
        <w:rPr>
          <w:rFonts w:ascii="Calibri" w:hAnsi="Calibri" w:cs="Calibri"/>
        </w:rPr>
        <w:t>respondents</w:t>
      </w:r>
      <w:r w:rsidRPr="001E010D" w:rsidR="004B6643">
        <w:rPr>
          <w:rFonts w:ascii="Calibri" w:hAnsi="Calibri" w:cs="Calibri"/>
        </w:rPr>
        <w:t xml:space="preserve">, and because there is another option for meeting this eligibility requirement that does not require submittals to </w:t>
      </w:r>
      <w:r w:rsidR="00F414E5">
        <w:rPr>
          <w:rFonts w:ascii="Calibri" w:hAnsi="Calibri" w:cs="Calibri"/>
        </w:rPr>
        <w:t>EPA</w:t>
      </w:r>
      <w:r w:rsidRPr="001E010D" w:rsidR="004B6643">
        <w:rPr>
          <w:rFonts w:ascii="Calibri" w:hAnsi="Calibri" w:cs="Calibri"/>
        </w:rPr>
        <w:t xml:space="preserve"> (i.e., by preventing all exposure to stormwater of the pollutant(s) for which the waterbody is impaired), </w:t>
      </w:r>
      <w:r w:rsidR="00F414E5">
        <w:rPr>
          <w:rFonts w:ascii="Calibri" w:hAnsi="Calibri" w:cs="Calibri"/>
        </w:rPr>
        <w:t>EPA</w:t>
      </w:r>
      <w:r w:rsidRPr="001E010D" w:rsidR="004B6643">
        <w:rPr>
          <w:rFonts w:ascii="Calibri" w:hAnsi="Calibri" w:cs="Calibri"/>
        </w:rPr>
        <w:t xml:space="preserve"> anticipates the burden on this requirement to be minimal. </w:t>
      </w:r>
      <w:r w:rsidR="00F414E5">
        <w:rPr>
          <w:rFonts w:ascii="Calibri" w:hAnsi="Calibri" w:cs="Calibri"/>
        </w:rPr>
        <w:t>EPA</w:t>
      </w:r>
      <w:r w:rsidRPr="001E010D" w:rsidR="00FB4030">
        <w:rPr>
          <w:rFonts w:ascii="Calibri" w:hAnsi="Calibri" w:cs="Calibri"/>
        </w:rPr>
        <w:t xml:space="preserve"> anticipates that only </w:t>
      </w:r>
      <w:r w:rsidRPr="001E010D" w:rsidR="00F44F57">
        <w:rPr>
          <w:rFonts w:ascii="Calibri" w:hAnsi="Calibri" w:cs="Calibri"/>
        </w:rPr>
        <w:t>25</w:t>
      </w:r>
      <w:r w:rsidR="0052732A">
        <w:rPr>
          <w:rFonts w:ascii="Calibri" w:hAnsi="Calibri" w:cs="Calibri"/>
        </w:rPr>
        <w:t xml:space="preserve"> percent</w:t>
      </w:r>
      <w:r w:rsidRPr="001E010D" w:rsidR="00F44F57">
        <w:rPr>
          <w:rFonts w:ascii="Calibri" w:hAnsi="Calibri" w:cs="Calibri"/>
        </w:rPr>
        <w:t xml:space="preserve"> of these </w:t>
      </w:r>
      <w:r w:rsidR="001619D9">
        <w:rPr>
          <w:rFonts w:ascii="Calibri" w:hAnsi="Calibri" w:cs="Calibri"/>
        </w:rPr>
        <w:t>respondents</w:t>
      </w:r>
      <w:r w:rsidR="002A16C4">
        <w:rPr>
          <w:rFonts w:ascii="Calibri" w:hAnsi="Calibri" w:cs="Calibri"/>
        </w:rPr>
        <w:t>, or 45 respondents,</w:t>
      </w:r>
      <w:r w:rsidRPr="001E010D" w:rsidR="00F44F57">
        <w:rPr>
          <w:rFonts w:ascii="Calibri" w:hAnsi="Calibri" w:cs="Calibri"/>
        </w:rPr>
        <w:t xml:space="preserve"> will choose the option that requires </w:t>
      </w:r>
      <w:r w:rsidRPr="001E010D" w:rsidR="004672E5">
        <w:rPr>
          <w:rFonts w:ascii="Calibri" w:hAnsi="Calibri" w:cs="Calibri"/>
        </w:rPr>
        <w:t>information to be submitted to the</w:t>
      </w:r>
      <w:r w:rsidR="00CB226E">
        <w:rPr>
          <w:rFonts w:ascii="Calibri" w:hAnsi="Calibri" w:cs="Calibri"/>
        </w:rPr>
        <w:t xml:space="preserve"> applicable</w:t>
      </w:r>
      <w:r w:rsidR="001D4DE3">
        <w:rPr>
          <w:rFonts w:ascii="Calibri" w:hAnsi="Calibri" w:cs="Calibri"/>
        </w:rPr>
        <w:t xml:space="preserve"> </w:t>
      </w:r>
      <w:r w:rsidRPr="001E010D" w:rsidR="004672E5">
        <w:rPr>
          <w:rFonts w:ascii="Calibri" w:hAnsi="Calibri" w:cs="Calibri"/>
        </w:rPr>
        <w:t>EPA Regional Office; the other 75</w:t>
      </w:r>
      <w:r w:rsidR="0052732A">
        <w:rPr>
          <w:rFonts w:ascii="Calibri" w:hAnsi="Calibri" w:cs="Calibri"/>
        </w:rPr>
        <w:t xml:space="preserve"> percent</w:t>
      </w:r>
      <w:r w:rsidRPr="001E010D" w:rsidR="004672E5">
        <w:rPr>
          <w:rFonts w:ascii="Calibri" w:hAnsi="Calibri" w:cs="Calibri"/>
        </w:rPr>
        <w:t xml:space="preserve"> are anticipated to meet the requirement by preventing exposure. </w:t>
      </w:r>
    </w:p>
    <w:p w:rsidRPr="000F2443" w:rsidR="00112F9D" w:rsidP="00D37535" w:rsidRDefault="00112F9D" w14:paraId="6C561775" w14:textId="446353D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903E18" w:rsidP="00D37535" w:rsidRDefault="00394B2F" w14:paraId="0582693A" w14:textId="1B6417C8">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CC25DD">
        <w:rPr>
          <w:rFonts w:ascii="Calibri" w:hAnsi="Calibri" w:cs="Calibri"/>
          <w:b/>
        </w:rPr>
        <w:t xml:space="preserve"> </w:t>
      </w:r>
      <w:r w:rsidRPr="00825AFC" w:rsidR="00CC25DD">
        <w:rPr>
          <w:rFonts w:ascii="Calibri" w:hAnsi="Calibri" w:cs="Calibri"/>
        </w:rPr>
        <w:t>[</w:t>
      </w:r>
      <w:r w:rsidR="001C4EEA">
        <w:rPr>
          <w:rFonts w:ascii="Calibri" w:hAnsi="Calibri" w:cs="Calibri"/>
        </w:rPr>
        <w:t>Changes</w:t>
      </w:r>
      <w:r w:rsidR="00CC25DD">
        <w:rPr>
          <w:rFonts w:ascii="Calibri" w:hAnsi="Calibri" w:cs="Calibri"/>
        </w:rPr>
        <w:t xml:space="preserve"> to the information collection burden</w:t>
      </w:r>
      <w:r w:rsidRPr="00825AFC" w:rsidR="00CC25DD">
        <w:rPr>
          <w:rFonts w:ascii="Calibri" w:hAnsi="Calibri" w:cs="Calibri"/>
        </w:rPr>
        <w:t>]</w:t>
      </w:r>
    </w:p>
    <w:p w:rsidR="00903E18" w:rsidP="00903E18" w:rsidRDefault="00903E18" w14:paraId="0E752AE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756C9F" w:rsidP="00756C9F" w:rsidRDefault="00903E18" w14:paraId="5DBE5FB5" w14:textId="08A7B8D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C63B93">
        <w:rPr>
          <w:rFonts w:ascii="Calibri" w:hAnsi="Calibri" w:cs="Calibri"/>
        </w:rPr>
        <w:t xml:space="preserve">The 2021 MSGP requires </w:t>
      </w:r>
      <w:r w:rsidR="001619D9">
        <w:rPr>
          <w:rFonts w:ascii="Calibri" w:hAnsi="Calibri" w:cs="Calibri"/>
        </w:rPr>
        <w:t>respondents</w:t>
      </w:r>
      <w:r w:rsidRPr="00C63B93">
        <w:rPr>
          <w:rFonts w:ascii="Calibri" w:hAnsi="Calibri" w:cs="Calibri"/>
        </w:rPr>
        <w:t xml:space="preserve"> </w:t>
      </w:r>
      <w:r w:rsidRPr="004F7D2F" w:rsidR="00A47B9E">
        <w:rPr>
          <w:rFonts w:ascii="Calibri" w:hAnsi="Calibri" w:cs="Calibri"/>
        </w:rPr>
        <w:t>in EPA Region 10</w:t>
      </w:r>
      <w:r w:rsidR="00A47B9E">
        <w:rPr>
          <w:rFonts w:ascii="Calibri" w:hAnsi="Calibri" w:cs="Calibri"/>
        </w:rPr>
        <w:t xml:space="preserve"> </w:t>
      </w:r>
      <w:r w:rsidRPr="00C63B93">
        <w:rPr>
          <w:rFonts w:ascii="Calibri" w:hAnsi="Calibri" w:cs="Calibri"/>
        </w:rPr>
        <w:t xml:space="preserve">that discharge to specified Federal CERCLA sites in Appendix P to notify </w:t>
      </w:r>
      <w:r w:rsidR="002E0A2D">
        <w:rPr>
          <w:rFonts w:ascii="Calibri" w:hAnsi="Calibri" w:cs="Calibri"/>
        </w:rPr>
        <w:t xml:space="preserve">the </w:t>
      </w:r>
      <w:r w:rsidRPr="00C63B93">
        <w:rPr>
          <w:rFonts w:ascii="Calibri" w:hAnsi="Calibri" w:cs="Calibri"/>
        </w:rPr>
        <w:t xml:space="preserve">EPA Regional Office to determine if the </w:t>
      </w:r>
      <w:r w:rsidR="00B7227A">
        <w:rPr>
          <w:rFonts w:ascii="Calibri" w:hAnsi="Calibri" w:cs="Calibri"/>
        </w:rPr>
        <w:t>operator</w:t>
      </w:r>
      <w:r w:rsidRPr="00C63B93">
        <w:rPr>
          <w:rFonts w:ascii="Calibri" w:hAnsi="Calibri" w:cs="Calibri"/>
        </w:rPr>
        <w:t xml:space="preserve"> is implementing adequate controls and/or procedures to ensure the discharge will not lead to recontamination of aquatic media at the CERCLA </w:t>
      </w:r>
      <w:r w:rsidR="00C85DC2">
        <w:rPr>
          <w:rFonts w:ascii="Calibri" w:hAnsi="Calibri" w:cs="Calibri"/>
        </w:rPr>
        <w:t>s</w:t>
      </w:r>
      <w:r w:rsidRPr="00C63B93">
        <w:rPr>
          <w:rFonts w:ascii="Calibri" w:hAnsi="Calibri" w:cs="Calibri"/>
        </w:rPr>
        <w:t>ite such that the discharge will cause or contribute to an exceedance of a water quality standard.</w:t>
      </w:r>
      <w:r w:rsidR="00756C9F">
        <w:rPr>
          <w:rFonts w:ascii="Calibri" w:hAnsi="Calibri" w:cs="Calibri"/>
        </w:rPr>
        <w:t xml:space="preserve"> </w:t>
      </w:r>
      <w:r w:rsidR="00756C9F">
        <w:t>To reduce burden, for the 2021 MSGP, an operator may now choose to submit that information electronically in NeT-MSGP with the NOI submission package.</w:t>
      </w:r>
      <w:r w:rsidRPr="004E43DF" w:rsidR="00756C9F">
        <w:rPr>
          <w:rFonts w:ascii="Calibri" w:hAnsi="Calibri" w:cs="Calibri"/>
        </w:rPr>
        <w:t xml:space="preserve"> </w:t>
      </w:r>
      <w:r w:rsidR="00756C9F">
        <w:rPr>
          <w:rFonts w:ascii="Calibri" w:hAnsi="Calibri" w:cs="Calibri"/>
        </w:rPr>
        <w:t xml:space="preserve">EPA estimates that this will reduce the burden </w:t>
      </w:r>
      <w:r w:rsidR="003E0C1F">
        <w:rPr>
          <w:rFonts w:ascii="Calibri" w:hAnsi="Calibri" w:cs="Calibri"/>
        </w:rPr>
        <w:t>by 0.5 hour</w:t>
      </w:r>
      <w:r w:rsidR="009C05A3">
        <w:rPr>
          <w:rFonts w:ascii="Calibri" w:hAnsi="Calibri" w:cs="Calibri"/>
        </w:rPr>
        <w:t xml:space="preserve"> per form</w:t>
      </w:r>
      <w:r w:rsidR="00756C9F">
        <w:rPr>
          <w:rFonts w:ascii="Calibri" w:hAnsi="Calibri" w:cs="Calibri"/>
        </w:rPr>
        <w:t>.</w:t>
      </w:r>
    </w:p>
    <w:p w:rsidR="00903E18" w:rsidP="00D37535" w:rsidRDefault="00903E18" w14:paraId="49422F1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4603BB" w:rsidP="00D37535" w:rsidRDefault="00F414E5" w14:paraId="3BCA581A" w14:textId="4EFEE89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EPA</w:t>
      </w:r>
      <w:r w:rsidRPr="001E010D" w:rsidR="00C41969">
        <w:rPr>
          <w:rFonts w:ascii="Calibri" w:hAnsi="Calibri" w:cs="Calibri"/>
        </w:rPr>
        <w:t xml:space="preserve"> estimates that </w:t>
      </w:r>
      <w:r w:rsidR="00C615CA">
        <w:rPr>
          <w:rFonts w:ascii="Calibri" w:hAnsi="Calibri" w:cs="Calibri"/>
        </w:rPr>
        <w:t>10</w:t>
      </w:r>
      <w:r w:rsidRPr="001E010D" w:rsidR="00AF3FC0">
        <w:rPr>
          <w:rFonts w:ascii="Calibri" w:hAnsi="Calibri" w:cs="Calibri"/>
        </w:rPr>
        <w:t xml:space="preserve"> </w:t>
      </w:r>
      <w:r w:rsidRPr="001E010D" w:rsidR="00C41969">
        <w:rPr>
          <w:rFonts w:ascii="Calibri" w:hAnsi="Calibri" w:cs="Calibri"/>
        </w:rPr>
        <w:t xml:space="preserve">industrial facility </w:t>
      </w:r>
      <w:r w:rsidR="001619D9">
        <w:rPr>
          <w:rFonts w:ascii="Calibri" w:hAnsi="Calibri" w:cs="Calibri"/>
        </w:rPr>
        <w:t>respondents</w:t>
      </w:r>
      <w:r w:rsidRPr="001E010D" w:rsidR="00C41969">
        <w:rPr>
          <w:rFonts w:ascii="Calibri" w:hAnsi="Calibri" w:cs="Calibri"/>
        </w:rPr>
        <w:t xml:space="preserve"> will spend an average of </w:t>
      </w:r>
      <w:r w:rsidR="00AD5F2C">
        <w:rPr>
          <w:rFonts w:ascii="Calibri" w:hAnsi="Calibri" w:cs="Calibri"/>
        </w:rPr>
        <w:t>1.</w:t>
      </w:r>
      <w:r w:rsidR="009C05A3">
        <w:rPr>
          <w:rFonts w:ascii="Calibri" w:hAnsi="Calibri" w:cs="Calibri"/>
        </w:rPr>
        <w:t>5</w:t>
      </w:r>
      <w:r w:rsidRPr="001E010D" w:rsidR="00C41969">
        <w:rPr>
          <w:rFonts w:ascii="Calibri" w:hAnsi="Calibri" w:cs="Calibri"/>
        </w:rPr>
        <w:t xml:space="preserve"> hours </w:t>
      </w:r>
      <w:r w:rsidR="005040D7">
        <w:rPr>
          <w:rFonts w:ascii="Calibri" w:hAnsi="Calibri" w:cs="Calibri"/>
        </w:rPr>
        <w:t>meeting</w:t>
      </w:r>
      <w:r w:rsidRPr="001E010D" w:rsidR="00C41969">
        <w:rPr>
          <w:rFonts w:ascii="Calibri" w:hAnsi="Calibri" w:cs="Calibri"/>
        </w:rPr>
        <w:t xml:space="preserve"> the notification requirements applicable to new discharges to federal CERCLA sites</w:t>
      </w:r>
      <w:r w:rsidRPr="001E010D" w:rsidR="00B10F8B">
        <w:rPr>
          <w:rFonts w:ascii="Calibri" w:hAnsi="Calibri" w:cs="Calibri"/>
        </w:rPr>
        <w:t xml:space="preserve"> once each permit term</w:t>
      </w:r>
      <w:r w:rsidRPr="001E010D" w:rsidR="00C41969">
        <w:rPr>
          <w:rFonts w:ascii="Calibri" w:hAnsi="Calibri" w:cs="Calibri"/>
        </w:rPr>
        <w:t xml:space="preserve">. </w:t>
      </w:r>
      <w:r w:rsidR="009C05A3">
        <w:rPr>
          <w:rFonts w:ascii="Calibri" w:hAnsi="Calibri" w:cs="Calibri"/>
        </w:rPr>
        <w:t xml:space="preserve">This activity is not </w:t>
      </w:r>
      <w:r w:rsidR="0067345C">
        <w:rPr>
          <w:rFonts w:ascii="Calibri" w:hAnsi="Calibri" w:cs="Calibri"/>
        </w:rPr>
        <w:t xml:space="preserve">separately </w:t>
      </w:r>
      <w:r w:rsidR="009C05A3">
        <w:rPr>
          <w:rFonts w:ascii="Calibri" w:hAnsi="Calibri" w:cs="Calibri"/>
        </w:rPr>
        <w:t xml:space="preserve">accounted for in the </w:t>
      </w:r>
      <w:r w:rsidR="00932903">
        <w:rPr>
          <w:rFonts w:ascii="Calibri" w:hAnsi="Calibri" w:cs="Calibri"/>
        </w:rPr>
        <w:t xml:space="preserve">2017 </w:t>
      </w:r>
      <w:r w:rsidR="009C05A3">
        <w:rPr>
          <w:rFonts w:ascii="Calibri" w:hAnsi="Calibri" w:cs="Calibri"/>
        </w:rPr>
        <w:t>NPDES Program ICR, so this MSGP ICR effectively adds an incremental burden of 1.5 hours.</w:t>
      </w:r>
    </w:p>
    <w:p w:rsidRPr="001E010D" w:rsidR="00112F9D" w:rsidP="00D37535" w:rsidRDefault="00112F9D" w14:paraId="347921D3" w14:textId="5E21B3B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1203619E" w14:textId="159574D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350D95">
        <w:rPr>
          <w:rFonts w:ascii="Calibri" w:hAnsi="Calibri" w:cs="Calibri"/>
        </w:rPr>
        <w:t xml:space="preserve"> </w:t>
      </w:r>
      <w:r w:rsidR="00FC2876">
        <w:rPr>
          <w:rFonts w:ascii="Calibri" w:hAnsi="Calibri" w:cs="Calibri"/>
        </w:rPr>
        <w:t>T</w:t>
      </w:r>
      <w:r w:rsidRPr="001E010D" w:rsidR="00010291">
        <w:rPr>
          <w:rFonts w:ascii="Calibri" w:hAnsi="Calibri" w:cs="Calibri"/>
        </w:rPr>
        <w:t xml:space="preserve">he Federal CERCLA site eligibility </w:t>
      </w:r>
      <w:r w:rsidRPr="001E010D" w:rsidR="002A6669">
        <w:rPr>
          <w:rFonts w:ascii="Calibri" w:hAnsi="Calibri" w:cs="Calibri"/>
        </w:rPr>
        <w:t>requirements</w:t>
      </w:r>
      <w:r w:rsidRPr="001E010D" w:rsidR="00010291">
        <w:rPr>
          <w:rFonts w:ascii="Calibri" w:hAnsi="Calibri" w:cs="Calibri"/>
        </w:rPr>
        <w:t xml:space="preserve"> </w:t>
      </w:r>
      <w:r w:rsidR="00FC2876">
        <w:rPr>
          <w:rFonts w:ascii="Calibri" w:hAnsi="Calibri" w:cs="Calibri"/>
        </w:rPr>
        <w:t xml:space="preserve">only applies to </w:t>
      </w:r>
      <w:r w:rsidRPr="001E010D" w:rsidR="00010291">
        <w:rPr>
          <w:rFonts w:ascii="Calibri" w:hAnsi="Calibri" w:cs="Calibri"/>
        </w:rPr>
        <w:t>EPA Region</w:t>
      </w:r>
      <w:r w:rsidR="00FC2876">
        <w:rPr>
          <w:rFonts w:ascii="Calibri" w:hAnsi="Calibri" w:cs="Calibri"/>
        </w:rPr>
        <w:t xml:space="preserve"> 10</w:t>
      </w:r>
      <w:r w:rsidRPr="001E010D" w:rsidR="00010291">
        <w:rPr>
          <w:rFonts w:ascii="Calibri" w:hAnsi="Calibri" w:cs="Calibri"/>
        </w:rPr>
        <w:t xml:space="preserve">. </w:t>
      </w:r>
      <w:r w:rsidR="00FC2876">
        <w:rPr>
          <w:rFonts w:ascii="Calibri" w:hAnsi="Calibri" w:cs="Calibri"/>
        </w:rPr>
        <w:t xml:space="preserve">Based on 2015 MSGP data, 10 </w:t>
      </w:r>
      <w:r w:rsidR="001619D9">
        <w:rPr>
          <w:rFonts w:ascii="Calibri" w:hAnsi="Calibri" w:cs="Calibri"/>
        </w:rPr>
        <w:t>respondents</w:t>
      </w:r>
      <w:r w:rsidRPr="001E010D" w:rsidR="00962596">
        <w:rPr>
          <w:rFonts w:ascii="Calibri" w:hAnsi="Calibri" w:cs="Calibri"/>
        </w:rPr>
        <w:t xml:space="preserve"> </w:t>
      </w:r>
      <w:r w:rsidR="00FC2876">
        <w:rPr>
          <w:rFonts w:ascii="Calibri" w:hAnsi="Calibri" w:cs="Calibri"/>
        </w:rPr>
        <w:t xml:space="preserve">in EPA Region 10 </w:t>
      </w:r>
      <w:r w:rsidRPr="001E010D" w:rsidR="00962596">
        <w:rPr>
          <w:rFonts w:ascii="Calibri" w:hAnsi="Calibri" w:cs="Calibri"/>
        </w:rPr>
        <w:t xml:space="preserve">are subject to the existing requirement. </w:t>
      </w:r>
      <w:r w:rsidRPr="001E010D" w:rsidR="00363223">
        <w:rPr>
          <w:rFonts w:ascii="Calibri" w:hAnsi="Calibri" w:cs="Calibri"/>
        </w:rPr>
        <w:t xml:space="preserve">The estimate that these </w:t>
      </w:r>
      <w:r w:rsidR="001619D9">
        <w:rPr>
          <w:rFonts w:ascii="Calibri" w:hAnsi="Calibri" w:cs="Calibri"/>
        </w:rPr>
        <w:t>respondents</w:t>
      </w:r>
      <w:r w:rsidRPr="001E010D" w:rsidR="00363223">
        <w:rPr>
          <w:rFonts w:ascii="Calibri" w:hAnsi="Calibri" w:cs="Calibri"/>
        </w:rPr>
        <w:t xml:space="preserve"> will each spend </w:t>
      </w:r>
      <w:r w:rsidR="00715461">
        <w:rPr>
          <w:rFonts w:ascii="Calibri" w:hAnsi="Calibri" w:cs="Calibri"/>
        </w:rPr>
        <w:t>1.</w:t>
      </w:r>
      <w:r w:rsidR="008B712B">
        <w:rPr>
          <w:rFonts w:ascii="Calibri" w:hAnsi="Calibri" w:cs="Calibri"/>
        </w:rPr>
        <w:t>5</w:t>
      </w:r>
      <w:r w:rsidR="00715461">
        <w:rPr>
          <w:rFonts w:ascii="Calibri" w:hAnsi="Calibri" w:cs="Calibri"/>
        </w:rPr>
        <w:t xml:space="preserve"> </w:t>
      </w:r>
      <w:r w:rsidRPr="001E010D" w:rsidR="00363223">
        <w:rPr>
          <w:rFonts w:ascii="Calibri" w:hAnsi="Calibri" w:cs="Calibri"/>
        </w:rPr>
        <w:t xml:space="preserve">hours </w:t>
      </w:r>
      <w:r w:rsidRPr="001E010D" w:rsidR="002A6CFE">
        <w:rPr>
          <w:rFonts w:ascii="Calibri" w:hAnsi="Calibri" w:cs="Calibri"/>
        </w:rPr>
        <w:t>meeting the notification requirements is based on</w:t>
      </w:r>
      <w:r w:rsidRPr="001E010D" w:rsidR="00BD0121">
        <w:rPr>
          <w:rFonts w:ascii="Calibri" w:hAnsi="Calibri" w:cs="Calibri"/>
        </w:rPr>
        <w:t xml:space="preserve"> EPA’s experience implementing this provision in </w:t>
      </w:r>
      <w:r w:rsidR="00C85DC2">
        <w:rPr>
          <w:rFonts w:ascii="Calibri" w:hAnsi="Calibri" w:cs="Calibri"/>
        </w:rPr>
        <w:t xml:space="preserve">EPA </w:t>
      </w:r>
      <w:r w:rsidRPr="001E010D" w:rsidR="00BD0121">
        <w:rPr>
          <w:rFonts w:ascii="Calibri" w:hAnsi="Calibri" w:cs="Calibri"/>
        </w:rPr>
        <w:t xml:space="preserve">Region 10 under the 2015 MSGP. </w:t>
      </w:r>
      <w:r w:rsidRPr="001E010D" w:rsidR="002A6CFE">
        <w:rPr>
          <w:rFonts w:ascii="Calibri" w:hAnsi="Calibri" w:cs="Calibri"/>
        </w:rPr>
        <w:t xml:space="preserve"> </w:t>
      </w:r>
    </w:p>
    <w:p w:rsidRPr="001E010D" w:rsidR="00112F9D" w:rsidP="00D37535" w:rsidRDefault="00112F9D" w14:paraId="53F98FA9" w14:textId="696C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903E18" w:rsidP="00D37535" w:rsidRDefault="00394B2F" w14:paraId="4E701FEC" w14:textId="06BB08A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No changes to the information collection burden</w:t>
      </w:r>
      <w:r w:rsidRPr="00825AFC" w:rsidR="00CC25DD">
        <w:rPr>
          <w:rFonts w:ascii="Calibri" w:hAnsi="Calibri" w:cs="Calibri"/>
        </w:rPr>
        <w:t>]</w:t>
      </w:r>
    </w:p>
    <w:p w:rsidR="00903E18" w:rsidP="00D37535" w:rsidRDefault="00E6582F" w14:paraId="32EA6E06" w14:textId="75DAC3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 xml:space="preserve"> </w:t>
      </w:r>
    </w:p>
    <w:p w:rsidRPr="001E010D" w:rsidR="00C41969" w:rsidP="00D37535" w:rsidRDefault="00F414E5" w14:paraId="1BAB644B" w14:textId="242CD5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lastRenderedPageBreak/>
        <w:t>EPA</w:t>
      </w:r>
      <w:r w:rsidRPr="001E010D" w:rsidR="00C41969">
        <w:rPr>
          <w:rFonts w:ascii="Calibri" w:hAnsi="Calibri" w:cs="Calibri"/>
        </w:rPr>
        <w:t xml:space="preserve"> estimates that </w:t>
      </w:r>
      <w:r w:rsidRPr="001E010D" w:rsidR="00166617">
        <w:rPr>
          <w:rFonts w:ascii="Calibri" w:hAnsi="Calibri" w:cs="Calibri"/>
        </w:rPr>
        <w:t>20</w:t>
      </w:r>
      <w:r w:rsidRPr="001E010D" w:rsidR="00C41969">
        <w:rPr>
          <w:rFonts w:ascii="Calibri" w:hAnsi="Calibri" w:cs="Calibri"/>
        </w:rPr>
        <w:t xml:space="preserve"> industrial facility </w:t>
      </w:r>
      <w:r w:rsidR="001619D9">
        <w:rPr>
          <w:rFonts w:ascii="Calibri" w:hAnsi="Calibri" w:cs="Calibri"/>
        </w:rPr>
        <w:t>respondents</w:t>
      </w:r>
      <w:r w:rsidRPr="001E010D" w:rsidR="00C41969">
        <w:rPr>
          <w:rFonts w:ascii="Calibri" w:hAnsi="Calibri" w:cs="Calibri"/>
        </w:rPr>
        <w:t xml:space="preserve"> will spend an average of </w:t>
      </w:r>
      <w:r w:rsidR="00B7227A">
        <w:rPr>
          <w:rFonts w:ascii="Calibri" w:hAnsi="Calibri" w:cs="Calibri"/>
        </w:rPr>
        <w:t>1</w:t>
      </w:r>
      <w:r w:rsidRPr="001E010D" w:rsidR="00B7227A">
        <w:rPr>
          <w:rFonts w:ascii="Calibri" w:hAnsi="Calibri" w:cs="Calibri"/>
        </w:rPr>
        <w:t xml:space="preserve"> </w:t>
      </w:r>
      <w:r w:rsidRPr="001E010D" w:rsidR="00C41969">
        <w:rPr>
          <w:rFonts w:ascii="Calibri" w:hAnsi="Calibri" w:cs="Calibri"/>
        </w:rPr>
        <w:t>hour to meet the</w:t>
      </w:r>
      <w:r w:rsidRPr="001E010D" w:rsidR="00B10F8B">
        <w:rPr>
          <w:rFonts w:ascii="Calibri" w:hAnsi="Calibri" w:cs="Calibri"/>
        </w:rPr>
        <w:t xml:space="preserve"> numeric effluent limit exceedance report</w:t>
      </w:r>
      <w:r w:rsidRPr="001E010D" w:rsidR="00C53E67">
        <w:rPr>
          <w:rFonts w:ascii="Calibri" w:hAnsi="Calibri" w:cs="Calibri"/>
        </w:rPr>
        <w:t xml:space="preserve"> submittal requirements </w:t>
      </w:r>
      <w:r w:rsidR="00C41872">
        <w:rPr>
          <w:rFonts w:ascii="Calibri" w:hAnsi="Calibri" w:cs="Calibri"/>
        </w:rPr>
        <w:t>one</w:t>
      </w:r>
      <w:r w:rsidRPr="001E010D" w:rsidR="00BD0121">
        <w:rPr>
          <w:rFonts w:ascii="Calibri" w:hAnsi="Calibri" w:cs="Calibri"/>
        </w:rPr>
        <w:t xml:space="preserve"> </w:t>
      </w:r>
      <w:r w:rsidRPr="001E010D" w:rsidR="00C53E67">
        <w:rPr>
          <w:rFonts w:ascii="Calibri" w:hAnsi="Calibri" w:cs="Calibri"/>
        </w:rPr>
        <w:t xml:space="preserve">time throughout the permit term. </w:t>
      </w:r>
      <w:r w:rsidR="001619D9">
        <w:rPr>
          <w:rFonts w:ascii="Calibri" w:hAnsi="Calibri" w:cs="Calibri"/>
        </w:rPr>
        <w:t>Respondents</w:t>
      </w:r>
      <w:r w:rsidR="001D4DE3">
        <w:rPr>
          <w:rFonts w:ascii="Calibri" w:hAnsi="Calibri" w:cs="Calibri"/>
        </w:rPr>
        <w:t xml:space="preserve"> would submit t</w:t>
      </w:r>
      <w:r w:rsidRPr="001E010D" w:rsidR="00886CCF">
        <w:rPr>
          <w:rFonts w:ascii="Calibri" w:hAnsi="Calibri" w:cs="Calibri"/>
        </w:rPr>
        <w:t xml:space="preserve">his information directly to the </w:t>
      </w:r>
      <w:r w:rsidR="00C6468B">
        <w:rPr>
          <w:rFonts w:ascii="Calibri" w:hAnsi="Calibri" w:cs="Calibri"/>
        </w:rPr>
        <w:t>applicable</w:t>
      </w:r>
      <w:r w:rsidR="001D4DE3">
        <w:rPr>
          <w:rFonts w:ascii="Calibri" w:hAnsi="Calibri" w:cs="Calibri"/>
        </w:rPr>
        <w:t xml:space="preserve"> </w:t>
      </w:r>
      <w:r w:rsidRPr="001E010D" w:rsidR="00886CCF">
        <w:rPr>
          <w:rFonts w:ascii="Calibri" w:hAnsi="Calibri" w:cs="Calibri"/>
        </w:rPr>
        <w:t>EPA Regional Office.</w:t>
      </w:r>
      <w:r w:rsidR="008B712B">
        <w:rPr>
          <w:rFonts w:ascii="Calibri" w:hAnsi="Calibri" w:cs="Calibri"/>
        </w:rPr>
        <w:t xml:space="preserve"> This activity is not currently accounted for in the NPDES Program ICR, so this MSGP ICR effectively adds an incremental burden of 1 hour.</w:t>
      </w:r>
    </w:p>
    <w:p w:rsidR="00112F9D" w:rsidP="00D37535" w:rsidRDefault="00112F9D" w14:paraId="6E8DBEDB" w14:textId="2472952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5FC93A2F" w14:textId="3DBD6AF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D0121">
        <w:rPr>
          <w:rFonts w:ascii="Calibri" w:hAnsi="Calibri" w:cs="Calibri"/>
        </w:rPr>
        <w:t xml:space="preserve"> These estimates are based on </w:t>
      </w:r>
      <w:r w:rsidR="00F414E5">
        <w:rPr>
          <w:rFonts w:ascii="Calibri" w:hAnsi="Calibri" w:cs="Calibri"/>
        </w:rPr>
        <w:t>EPA</w:t>
      </w:r>
      <w:r w:rsidRPr="001E010D" w:rsidR="00BD0121">
        <w:rPr>
          <w:rFonts w:ascii="Calibri" w:hAnsi="Calibri" w:cs="Calibri"/>
        </w:rPr>
        <w:t xml:space="preserve">’s experience implementing this provision under the 2015 MSGP. </w:t>
      </w:r>
    </w:p>
    <w:p w:rsidRPr="001E010D" w:rsidR="00112F9D" w:rsidP="00D37535" w:rsidRDefault="00112F9D" w14:paraId="5CA623B5" w14:textId="324E06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F2602C" w:rsidP="00D37535" w:rsidRDefault="00F2602C" w14:paraId="67396654" w14:textId="26BD870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Additional Reporting</w:t>
      </w:r>
      <w:r w:rsidR="00CC25DD">
        <w:rPr>
          <w:rFonts w:ascii="Calibri" w:hAnsi="Calibri" w:cs="Calibri"/>
          <w:b/>
        </w:rPr>
        <w:t xml:space="preserve"> </w:t>
      </w:r>
      <w:r w:rsidRPr="003E3751" w:rsidR="00CC25DD">
        <w:rPr>
          <w:rFonts w:ascii="Calibri" w:hAnsi="Calibri" w:cs="Calibri"/>
        </w:rPr>
        <w:t>[</w:t>
      </w:r>
      <w:r w:rsidR="00CC25DD">
        <w:rPr>
          <w:rFonts w:ascii="Calibri" w:hAnsi="Calibri" w:cs="Calibri"/>
        </w:rPr>
        <w:t>No changes to the information collection burden]</w:t>
      </w:r>
    </w:p>
    <w:p w:rsidRPr="001E010D" w:rsidR="005D2206" w:rsidP="00D37535" w:rsidRDefault="00886CCF" w14:paraId="09A918EB" w14:textId="5317BFE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following reports </w:t>
      </w:r>
      <w:r w:rsidR="001D4DE3">
        <w:rPr>
          <w:rFonts w:ascii="Calibri" w:hAnsi="Calibri" w:cs="Calibri"/>
        </w:rPr>
        <w:t>are</w:t>
      </w:r>
      <w:r w:rsidRPr="001E010D">
        <w:rPr>
          <w:rFonts w:ascii="Calibri" w:hAnsi="Calibri" w:cs="Calibri"/>
        </w:rPr>
        <w:t xml:space="preserve"> part of the Standard NPDES Permit Conditions </w:t>
      </w:r>
      <w:r w:rsidR="001D4DE3">
        <w:rPr>
          <w:rFonts w:ascii="Calibri" w:hAnsi="Calibri" w:cs="Calibri"/>
        </w:rPr>
        <w:t xml:space="preserve">and would </w:t>
      </w:r>
      <w:r w:rsidRPr="001E010D">
        <w:rPr>
          <w:rFonts w:ascii="Calibri" w:hAnsi="Calibri" w:cs="Calibri"/>
        </w:rPr>
        <w:t xml:space="preserve">be submitted directly to the </w:t>
      </w:r>
      <w:r w:rsidR="001D4DE3">
        <w:rPr>
          <w:rFonts w:ascii="Calibri" w:hAnsi="Calibri" w:cs="Calibri"/>
        </w:rPr>
        <w:t xml:space="preserve">appropriate </w:t>
      </w:r>
      <w:r w:rsidRPr="001E010D">
        <w:rPr>
          <w:rFonts w:ascii="Calibri" w:hAnsi="Calibri" w:cs="Calibri"/>
        </w:rPr>
        <w:t>EPA Regional Office:</w:t>
      </w:r>
      <w:r w:rsidR="005F2AA8">
        <w:rPr>
          <w:rFonts w:ascii="Calibri" w:hAnsi="Calibri" w:cs="Calibri"/>
          <w:b/>
        </w:rPr>
        <w:t xml:space="preserve"> </w:t>
      </w:r>
    </w:p>
    <w:p w:rsidRPr="001E010D" w:rsidR="00F2602C" w:rsidP="00D37535" w:rsidRDefault="00F2602C" w14:paraId="4733035F" w14:textId="7178D7A9">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 xml:space="preserve">Planned changes: </w:t>
      </w:r>
    </w:p>
    <w:p w:rsidR="00CC40B5" w:rsidP="00D37535" w:rsidRDefault="00F414E5" w14:paraId="73DAF518" w14:textId="670EF16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Pr>
          <w:rFonts w:ascii="Calibri" w:hAnsi="Calibri" w:cs="Calibri"/>
        </w:rPr>
        <w:t>EPA</w:t>
      </w:r>
      <w:r w:rsidRPr="001E010D" w:rsidR="006F47DD">
        <w:rPr>
          <w:rFonts w:ascii="Calibri" w:hAnsi="Calibri" w:cs="Calibri"/>
        </w:rPr>
        <w:t xml:space="preserve"> estimates that</w:t>
      </w:r>
      <w:r w:rsidRPr="001E010D" w:rsidR="00352AF6">
        <w:rPr>
          <w:rFonts w:ascii="Calibri" w:hAnsi="Calibri" w:cs="Calibri"/>
        </w:rPr>
        <w:t xml:space="preserve"> </w:t>
      </w:r>
      <w:r w:rsidRPr="001E010D" w:rsidR="00463F7C">
        <w:rPr>
          <w:rFonts w:ascii="Calibri" w:hAnsi="Calibri" w:cs="Calibri"/>
        </w:rPr>
        <w:t>2</w:t>
      </w:r>
      <w:r w:rsidR="004A4620">
        <w:rPr>
          <w:rFonts w:ascii="Calibri" w:hAnsi="Calibri" w:cs="Calibri"/>
        </w:rPr>
        <w:t>5</w:t>
      </w:r>
      <w:r w:rsidRPr="001E010D" w:rsidR="00463F7C">
        <w:rPr>
          <w:rFonts w:ascii="Calibri" w:hAnsi="Calibri" w:cs="Calibri"/>
        </w:rPr>
        <w:t xml:space="preserve"> </w:t>
      </w:r>
      <w:r w:rsidR="001619D9">
        <w:rPr>
          <w:rFonts w:ascii="Calibri" w:hAnsi="Calibri" w:cs="Calibri"/>
        </w:rPr>
        <w:t>respondents</w:t>
      </w:r>
      <w:r w:rsidRPr="001E010D" w:rsidR="00352AF6">
        <w:rPr>
          <w:rFonts w:ascii="Calibri" w:hAnsi="Calibri" w:cs="Calibri"/>
        </w:rPr>
        <w:t xml:space="preserve"> </w:t>
      </w:r>
      <w:r w:rsidRPr="001E010D" w:rsidR="000449DA">
        <w:rPr>
          <w:rFonts w:ascii="Calibri" w:hAnsi="Calibri" w:cs="Calibri"/>
        </w:rPr>
        <w:t xml:space="preserve">will spend an average of </w:t>
      </w:r>
      <w:r w:rsidR="00B7227A">
        <w:rPr>
          <w:rFonts w:ascii="Calibri" w:hAnsi="Calibri" w:cs="Calibri"/>
        </w:rPr>
        <w:t>4</w:t>
      </w:r>
      <w:r w:rsidRPr="001E010D" w:rsidR="00B7227A">
        <w:rPr>
          <w:rFonts w:ascii="Calibri" w:hAnsi="Calibri" w:cs="Calibri"/>
        </w:rPr>
        <w:t xml:space="preserve"> </w:t>
      </w:r>
      <w:r w:rsidRPr="001E010D" w:rsidR="000449DA">
        <w:rPr>
          <w:rFonts w:ascii="Calibri" w:hAnsi="Calibri" w:cs="Calibri"/>
        </w:rPr>
        <w:t>hours to meet the planned changes standard permit condition</w:t>
      </w:r>
      <w:r w:rsidRPr="001E010D" w:rsidR="00890590">
        <w:rPr>
          <w:rFonts w:ascii="Calibri" w:hAnsi="Calibri" w:cs="Calibri"/>
        </w:rPr>
        <w:t xml:space="preserve"> throughout the permit term</w:t>
      </w:r>
      <w:r w:rsidRPr="001E010D" w:rsidR="000449DA">
        <w:rPr>
          <w:rFonts w:ascii="Calibri" w:hAnsi="Calibri" w:cs="Calibri"/>
        </w:rPr>
        <w:t xml:space="preserve">. </w:t>
      </w:r>
      <w:r w:rsidRPr="0035587C" w:rsidR="0035587C">
        <w:rPr>
          <w:rFonts w:ascii="Calibri" w:hAnsi="Calibri" w:cs="Calibri"/>
        </w:rPr>
        <w:t>The estimated burden for this activity is already accounted for in NPDES Program ICR, and this MSGP ICR adds no incremental burden to this activity.</w:t>
      </w:r>
    </w:p>
    <w:p w:rsidRPr="001E010D" w:rsidR="00C834DF" w:rsidP="00D37535" w:rsidRDefault="00C834DF" w14:paraId="0FF0B53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p>
    <w:p w:rsidR="006F47DD" w:rsidP="00D37535" w:rsidRDefault="007969AA" w14:paraId="205BADF9" w14:textId="308F4EA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D0121">
        <w:rPr>
          <w:rFonts w:ascii="Calibri" w:hAnsi="Calibri" w:cs="Calibri"/>
        </w:rPr>
        <w:t xml:space="preserve"> These estimates are based on estimates from a previous ICR,</w:t>
      </w:r>
      <w:r w:rsidRPr="001E010D" w:rsidR="00C74712">
        <w:rPr>
          <w:rFonts w:ascii="Calibri" w:hAnsi="Calibri" w:cs="Calibri"/>
        </w:rPr>
        <w:t xml:space="preserve"> which assumed this requirement would apply to 1</w:t>
      </w:r>
      <w:r w:rsidR="007E28BA">
        <w:rPr>
          <w:rFonts w:ascii="Calibri" w:hAnsi="Calibri" w:cs="Calibri"/>
        </w:rPr>
        <w:t xml:space="preserve"> percent</w:t>
      </w:r>
      <w:r w:rsidRPr="001E010D" w:rsidR="00C74712">
        <w:rPr>
          <w:rFonts w:ascii="Calibri" w:hAnsi="Calibri" w:cs="Calibri"/>
        </w:rPr>
        <w:t xml:space="preserve"> of </w:t>
      </w:r>
      <w:r w:rsidR="001619D9">
        <w:rPr>
          <w:rFonts w:ascii="Calibri" w:hAnsi="Calibri" w:cs="Calibri"/>
        </w:rPr>
        <w:t>respondents</w:t>
      </w:r>
      <w:r w:rsidRPr="001E010D" w:rsidR="00C74712">
        <w:rPr>
          <w:rFonts w:ascii="Calibri" w:hAnsi="Calibri" w:cs="Calibri"/>
        </w:rPr>
        <w:t xml:space="preserve">. </w:t>
      </w:r>
    </w:p>
    <w:p w:rsidRPr="00071899" w:rsidR="00C834DF" w:rsidP="00D37535" w:rsidRDefault="00C834DF" w14:paraId="62196C2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pPr>
    </w:p>
    <w:p w:rsidRPr="001E010D" w:rsidR="00F2602C" w:rsidP="00D37535" w:rsidRDefault="00F2602C" w14:paraId="0B152FC1" w14:textId="53DF94A5">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 xml:space="preserve">Anticipated noncompliance: </w:t>
      </w:r>
    </w:p>
    <w:p w:rsidR="009277A9" w:rsidP="00D37535" w:rsidRDefault="00F414E5" w14:paraId="07B7A3AD" w14:textId="56E47CB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Pr>
          <w:rFonts w:ascii="Calibri" w:hAnsi="Calibri" w:cs="Calibri"/>
        </w:rPr>
        <w:t>EPA</w:t>
      </w:r>
      <w:r w:rsidRPr="001E010D" w:rsidR="009277A9">
        <w:rPr>
          <w:rFonts w:ascii="Calibri" w:hAnsi="Calibri" w:cs="Calibri"/>
        </w:rPr>
        <w:t xml:space="preserve"> estimates that </w:t>
      </w:r>
      <w:r w:rsidR="004456A9">
        <w:rPr>
          <w:rFonts w:ascii="Calibri" w:hAnsi="Calibri" w:cs="Calibri"/>
        </w:rPr>
        <w:t>three</w:t>
      </w:r>
      <w:r w:rsidRPr="001E010D" w:rsidR="004456A9">
        <w:rPr>
          <w:rFonts w:ascii="Calibri" w:hAnsi="Calibri" w:cs="Calibri"/>
        </w:rPr>
        <w:t xml:space="preserve"> </w:t>
      </w:r>
      <w:r w:rsidR="001619D9">
        <w:rPr>
          <w:rFonts w:ascii="Calibri" w:hAnsi="Calibri" w:cs="Calibri"/>
        </w:rPr>
        <w:t>respondents</w:t>
      </w:r>
      <w:r w:rsidRPr="001E010D" w:rsidR="009277A9">
        <w:rPr>
          <w:rFonts w:ascii="Calibri" w:hAnsi="Calibri" w:cs="Calibri"/>
        </w:rPr>
        <w:t xml:space="preserve"> will spend an average of </w:t>
      </w:r>
      <w:r w:rsidR="00B7227A">
        <w:rPr>
          <w:rFonts w:ascii="Calibri" w:hAnsi="Calibri" w:cs="Calibri"/>
        </w:rPr>
        <w:t>5</w:t>
      </w:r>
      <w:r w:rsidRPr="001E010D" w:rsidR="00B7227A">
        <w:rPr>
          <w:rFonts w:ascii="Calibri" w:hAnsi="Calibri" w:cs="Calibri"/>
        </w:rPr>
        <w:t xml:space="preserve"> </w:t>
      </w:r>
      <w:r w:rsidRPr="001E010D" w:rsidR="009277A9">
        <w:rPr>
          <w:rFonts w:ascii="Calibri" w:hAnsi="Calibri" w:cs="Calibri"/>
        </w:rPr>
        <w:t xml:space="preserve">hours </w:t>
      </w:r>
      <w:r w:rsidR="004A7E0A">
        <w:rPr>
          <w:rFonts w:ascii="Calibri" w:hAnsi="Calibri" w:cs="Calibri"/>
        </w:rPr>
        <w:t>meeting</w:t>
      </w:r>
      <w:r w:rsidRPr="001E010D" w:rsidR="007B5F47">
        <w:rPr>
          <w:rFonts w:ascii="Calibri" w:hAnsi="Calibri" w:cs="Calibri"/>
        </w:rPr>
        <w:t xml:space="preserve"> the anticipated noncompliance standard permit condition throughout the permit term. </w:t>
      </w:r>
      <w:r w:rsidRPr="00AE52FA" w:rsidR="00AE52FA">
        <w:rPr>
          <w:rFonts w:ascii="Calibri" w:hAnsi="Calibri" w:cs="Calibri"/>
        </w:rPr>
        <w:t>The estimated burden for this activity is already accounted for in NPDES Program ICR, and this MSGP ICR adds no incremental burden to this activity.</w:t>
      </w:r>
    </w:p>
    <w:p w:rsidRPr="001E010D" w:rsidR="000B4825" w:rsidP="00D37535" w:rsidRDefault="000B4825" w14:paraId="0A1E492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p>
    <w:p w:rsidR="00CC40B5" w:rsidP="00D37535" w:rsidRDefault="007969AA" w14:paraId="61A5D98E" w14:textId="1691A33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this requirement would apply to 0.1</w:t>
      </w:r>
      <w:r w:rsidR="007E28BA">
        <w:rPr>
          <w:rFonts w:ascii="Calibri" w:hAnsi="Calibri" w:cs="Calibri"/>
        </w:rPr>
        <w:t xml:space="preserve"> percent</w:t>
      </w:r>
      <w:r w:rsidRPr="001E010D" w:rsidR="008832B7">
        <w:rPr>
          <w:rFonts w:ascii="Calibri" w:hAnsi="Calibri" w:cs="Calibri"/>
        </w:rPr>
        <w:t xml:space="preserve"> of </w:t>
      </w:r>
      <w:r w:rsidR="001619D9">
        <w:rPr>
          <w:rFonts w:ascii="Calibri" w:hAnsi="Calibri" w:cs="Calibri"/>
        </w:rPr>
        <w:t>respondents</w:t>
      </w:r>
      <w:r w:rsidRPr="001E010D" w:rsidR="008832B7">
        <w:rPr>
          <w:rFonts w:ascii="Calibri" w:hAnsi="Calibri" w:cs="Calibri"/>
        </w:rPr>
        <w:t>.</w:t>
      </w:r>
    </w:p>
    <w:p w:rsidRPr="001E010D" w:rsidR="000B4825" w:rsidP="00D37535" w:rsidRDefault="000B4825" w14:paraId="77A60AC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p>
    <w:p w:rsidRPr="001E010D" w:rsidR="00433C2E" w:rsidP="00FC2ED9" w:rsidRDefault="00F2602C" w14:paraId="403CDB9F" w14:textId="1B585719">
      <w:pPr>
        <w:pStyle w:val="ListParagraph"/>
        <w:keepNext/>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Other information:</w:t>
      </w:r>
    </w:p>
    <w:p w:rsidR="00940BA2" w:rsidP="00112F9D" w:rsidRDefault="00F414E5" w14:paraId="60C0BE68" w14:textId="1EE6F80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Pr>
          <w:rFonts w:ascii="Calibri" w:hAnsi="Calibri" w:cs="Calibri"/>
        </w:rPr>
        <w:t>EPA</w:t>
      </w:r>
      <w:r w:rsidRPr="001E010D" w:rsidR="00433C2E">
        <w:rPr>
          <w:rFonts w:ascii="Calibri" w:hAnsi="Calibri" w:cs="Calibri"/>
        </w:rPr>
        <w:t xml:space="preserve"> estimates that </w:t>
      </w:r>
      <w:r w:rsidR="00663867">
        <w:rPr>
          <w:rFonts w:ascii="Calibri" w:hAnsi="Calibri" w:cs="Calibri"/>
        </w:rPr>
        <w:t>one</w:t>
      </w:r>
      <w:r w:rsidRPr="001E010D" w:rsidR="00433C2E">
        <w:rPr>
          <w:rFonts w:ascii="Calibri" w:hAnsi="Calibri" w:cs="Calibri"/>
        </w:rPr>
        <w:t xml:space="preserve"> </w:t>
      </w:r>
      <w:r w:rsidR="00B7227A">
        <w:rPr>
          <w:rFonts w:ascii="Calibri" w:hAnsi="Calibri" w:cs="Calibri"/>
        </w:rPr>
        <w:t>operator</w:t>
      </w:r>
      <w:r w:rsidRPr="001E010D" w:rsidR="00B7227A">
        <w:rPr>
          <w:rFonts w:ascii="Calibri" w:hAnsi="Calibri" w:cs="Calibri"/>
        </w:rPr>
        <w:t xml:space="preserve"> </w:t>
      </w:r>
      <w:r w:rsidRPr="001E010D" w:rsidR="00433C2E">
        <w:rPr>
          <w:rFonts w:ascii="Calibri" w:hAnsi="Calibri" w:cs="Calibri"/>
        </w:rPr>
        <w:t xml:space="preserve">will spend an average of </w:t>
      </w:r>
      <w:r w:rsidR="00B7227A">
        <w:rPr>
          <w:rFonts w:ascii="Calibri" w:hAnsi="Calibri" w:cs="Calibri"/>
        </w:rPr>
        <w:t>2</w:t>
      </w:r>
      <w:r w:rsidRPr="001E010D" w:rsidR="00B7227A">
        <w:rPr>
          <w:rFonts w:ascii="Calibri" w:hAnsi="Calibri" w:cs="Calibri"/>
        </w:rPr>
        <w:t xml:space="preserve"> </w:t>
      </w:r>
      <w:r w:rsidRPr="001E010D" w:rsidR="00433C2E">
        <w:rPr>
          <w:rFonts w:ascii="Calibri" w:hAnsi="Calibri" w:cs="Calibri"/>
        </w:rPr>
        <w:t>hours report</w:t>
      </w:r>
      <w:r w:rsidR="001D0B99">
        <w:rPr>
          <w:rFonts w:ascii="Calibri" w:hAnsi="Calibri" w:cs="Calibri"/>
        </w:rPr>
        <w:t>ing</w:t>
      </w:r>
      <w:r w:rsidRPr="001E010D" w:rsidR="00433C2E">
        <w:rPr>
          <w:rFonts w:ascii="Calibri" w:hAnsi="Calibri" w:cs="Calibri"/>
        </w:rPr>
        <w:t xml:space="preserve"> </w:t>
      </w:r>
      <w:r w:rsidRPr="001E010D" w:rsidR="00903C6A">
        <w:rPr>
          <w:rFonts w:ascii="Calibri" w:hAnsi="Calibri" w:cs="Calibri"/>
        </w:rPr>
        <w:t xml:space="preserve">previously provided inaccurate information. </w:t>
      </w:r>
      <w:r w:rsidRPr="00A656E8" w:rsidR="00A656E8">
        <w:rPr>
          <w:rFonts w:ascii="Calibri" w:hAnsi="Calibri" w:cs="Calibri"/>
        </w:rPr>
        <w:t>The estimated burden for this activity is already accounted for in NPDES Program ICR, and this MSGP ICR adds no incremental burden to this activity.</w:t>
      </w:r>
    </w:p>
    <w:p w:rsidRPr="00112F9D" w:rsidR="006B5CC2" w:rsidP="00112F9D" w:rsidRDefault="006B5CC2" w14:paraId="520727E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p>
    <w:p w:rsidR="008832B7" w:rsidP="00D37535" w:rsidRDefault="007969AA" w14:paraId="2E97C9F4" w14:textId="1DC60F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this requirement would apply to 0.05</w:t>
      </w:r>
      <w:r w:rsidR="007E28BA">
        <w:rPr>
          <w:rFonts w:ascii="Calibri" w:hAnsi="Calibri" w:cs="Calibri"/>
        </w:rPr>
        <w:t xml:space="preserve"> percent</w:t>
      </w:r>
      <w:r w:rsidRPr="001E010D" w:rsidR="008832B7">
        <w:rPr>
          <w:rFonts w:ascii="Calibri" w:hAnsi="Calibri" w:cs="Calibri"/>
        </w:rPr>
        <w:t xml:space="preserve"> of </w:t>
      </w:r>
      <w:r w:rsidR="001619D9">
        <w:rPr>
          <w:rFonts w:ascii="Calibri" w:hAnsi="Calibri" w:cs="Calibri"/>
        </w:rPr>
        <w:t>respondents</w:t>
      </w:r>
      <w:r w:rsidRPr="001E010D" w:rsidR="008832B7">
        <w:rPr>
          <w:rFonts w:ascii="Calibri" w:hAnsi="Calibri" w:cs="Calibri"/>
        </w:rPr>
        <w:t>.</w:t>
      </w:r>
    </w:p>
    <w:p w:rsidRPr="001E010D" w:rsidR="006B5CC2" w:rsidP="00D37535" w:rsidRDefault="006B5CC2" w14:paraId="51F6019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p>
    <w:p w:rsidRPr="001E010D" w:rsidR="00072BE2" w:rsidP="00D37535" w:rsidRDefault="00072BE2" w14:paraId="3FC2F725" w14:textId="49609019">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Other Additional Reporting:</w:t>
      </w:r>
    </w:p>
    <w:p w:rsidRPr="001E010D" w:rsidR="00072BE2" w:rsidP="00D37535" w:rsidRDefault="00F414E5" w14:paraId="0E3E2B21" w14:textId="434F80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Pr>
          <w:rFonts w:ascii="Calibri" w:hAnsi="Calibri" w:cs="Calibri"/>
        </w:rPr>
        <w:t>EPA</w:t>
      </w:r>
      <w:r w:rsidRPr="001E010D" w:rsidR="00072BE2">
        <w:rPr>
          <w:rFonts w:ascii="Calibri" w:hAnsi="Calibri" w:cs="Calibri"/>
        </w:rPr>
        <w:t xml:space="preserve"> estimates that </w:t>
      </w:r>
      <w:r w:rsidR="004A4620">
        <w:rPr>
          <w:rFonts w:ascii="Calibri" w:hAnsi="Calibri" w:cs="Calibri"/>
        </w:rPr>
        <w:t>18</w:t>
      </w:r>
      <w:r w:rsidR="00FD1EED">
        <w:rPr>
          <w:rFonts w:ascii="Calibri" w:hAnsi="Calibri" w:cs="Calibri"/>
        </w:rPr>
        <w:t>0</w:t>
      </w:r>
      <w:r w:rsidRPr="001E010D" w:rsidR="003D59DD">
        <w:rPr>
          <w:rFonts w:ascii="Calibri" w:hAnsi="Calibri" w:cs="Calibri"/>
        </w:rPr>
        <w:t xml:space="preserve"> </w:t>
      </w:r>
      <w:r w:rsidR="001619D9">
        <w:rPr>
          <w:rFonts w:ascii="Calibri" w:hAnsi="Calibri" w:cs="Calibri"/>
        </w:rPr>
        <w:t>respondents</w:t>
      </w:r>
      <w:r w:rsidRPr="001E010D" w:rsidR="00072BE2">
        <w:rPr>
          <w:rFonts w:ascii="Calibri" w:hAnsi="Calibri" w:cs="Calibri"/>
        </w:rPr>
        <w:t xml:space="preserve"> will spend an average of </w:t>
      </w:r>
      <w:r w:rsidRPr="001E010D" w:rsidR="009949BA">
        <w:rPr>
          <w:rFonts w:ascii="Calibri" w:hAnsi="Calibri" w:cs="Calibri"/>
        </w:rPr>
        <w:t xml:space="preserve">20 hours </w:t>
      </w:r>
      <w:r w:rsidR="00A84E0E">
        <w:rPr>
          <w:rFonts w:ascii="Calibri" w:hAnsi="Calibri" w:cs="Calibri"/>
        </w:rPr>
        <w:t xml:space="preserve">on </w:t>
      </w:r>
      <w:r w:rsidRPr="001E010D" w:rsidR="007670C0">
        <w:rPr>
          <w:rFonts w:ascii="Calibri" w:hAnsi="Calibri" w:cs="Calibri"/>
        </w:rPr>
        <w:t xml:space="preserve">reporting related to other NPDES standard permit conditions. </w:t>
      </w:r>
      <w:r w:rsidR="00A656E8">
        <w:rPr>
          <w:rFonts w:ascii="Calibri" w:hAnsi="Calibri" w:cs="Calibri"/>
        </w:rPr>
        <w:t>This activity is not currently accounted for in the NPDES Program ICR, so this MSGP ICR effectively adds an incremental burden of 20 hours.</w:t>
      </w:r>
    </w:p>
    <w:p w:rsidRPr="001E010D" w:rsidR="00931EE9" w:rsidP="00D37535" w:rsidRDefault="007969AA" w14:paraId="110AF9E4" w14:textId="3E90A3A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lastRenderedPageBreak/>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additional standard permit condition reporting would apply to approximately 7</w:t>
      </w:r>
      <w:r w:rsidR="007E28BA">
        <w:rPr>
          <w:rFonts w:ascii="Calibri" w:hAnsi="Calibri" w:cs="Calibri"/>
        </w:rPr>
        <w:t xml:space="preserve"> percent</w:t>
      </w:r>
      <w:r w:rsidR="003D59DD">
        <w:rPr>
          <w:rFonts w:ascii="Calibri" w:hAnsi="Calibri" w:cs="Calibri"/>
        </w:rPr>
        <w:t xml:space="preserve"> </w:t>
      </w:r>
      <w:r w:rsidRPr="001E010D" w:rsidR="008832B7">
        <w:rPr>
          <w:rFonts w:ascii="Calibri" w:hAnsi="Calibri" w:cs="Calibri"/>
        </w:rPr>
        <w:t xml:space="preserve">of </w:t>
      </w:r>
      <w:r w:rsidR="001619D9">
        <w:rPr>
          <w:rFonts w:ascii="Calibri" w:hAnsi="Calibri" w:cs="Calibri"/>
        </w:rPr>
        <w:t>respondents</w:t>
      </w:r>
      <w:r w:rsidRPr="001E010D" w:rsidR="008832B7">
        <w:rPr>
          <w:rFonts w:ascii="Calibri" w:hAnsi="Calibri" w:cs="Calibri"/>
        </w:rPr>
        <w:t>.</w:t>
      </w:r>
    </w:p>
    <w:p w:rsidRPr="001E010D" w:rsidR="00E141D4" w:rsidP="00D37535" w:rsidRDefault="00E141D4" w14:paraId="6F63EA20" w14:textId="327DD6B6">
      <w:pPr>
        <w:pStyle w:val="Style1"/>
        <w:spacing w:before="0" w:after="100" w:afterAutospacing="1" w:line="240" w:lineRule="auto"/>
        <w:contextualSpacing/>
      </w:pPr>
      <w:bookmarkStart w:name="_Toc24963884" w:id="27"/>
      <w:r w:rsidRPr="001E010D">
        <w:t>Estimating Respondent Costs</w:t>
      </w:r>
      <w:bookmarkEnd w:id="27"/>
    </w:p>
    <w:p w:rsidRPr="001E010D" w:rsidR="007B2272" w:rsidP="00D37535" w:rsidRDefault="007B2272" w14:paraId="62BF0FED" w14:textId="4DE2FF9B">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With burden hour estimates </w:t>
      </w:r>
      <w:r w:rsidR="00EB5772">
        <w:rPr>
          <w:rFonts w:ascii="Calibri" w:hAnsi="Calibri" w:cs="Calibri"/>
          <w:sz w:val="22"/>
          <w:szCs w:val="22"/>
        </w:rPr>
        <w:t xml:space="preserve">included in </w:t>
      </w:r>
      <w:r w:rsidRPr="001E010D">
        <w:rPr>
          <w:rFonts w:ascii="Calibri" w:hAnsi="Calibri" w:cs="Calibri"/>
          <w:sz w:val="22"/>
          <w:szCs w:val="22"/>
        </w:rPr>
        <w:t>Section</w:t>
      </w:r>
      <w:r w:rsidR="00A81C43">
        <w:rPr>
          <w:rFonts w:ascii="Calibri" w:hAnsi="Calibri" w:cs="Calibri"/>
          <w:sz w:val="22"/>
          <w:szCs w:val="22"/>
        </w:rPr>
        <w:t xml:space="preserve"> VI.A</w:t>
      </w:r>
      <w:r w:rsidRPr="001E010D">
        <w:rPr>
          <w:rFonts w:ascii="Calibri" w:hAnsi="Calibri" w:cs="Calibri"/>
          <w:sz w:val="22"/>
          <w:szCs w:val="22"/>
        </w:rPr>
        <w:t>, the next step is to estimate the labor cost per respondent and the capital costs required to complete each activity</w:t>
      </w:r>
      <w:r w:rsidR="00EB5772">
        <w:rPr>
          <w:rFonts w:ascii="Calibri" w:hAnsi="Calibri" w:cs="Calibri"/>
          <w:sz w:val="22"/>
          <w:szCs w:val="22"/>
        </w:rPr>
        <w:t xml:space="preserve"> that would be required under the </w:t>
      </w:r>
      <w:r w:rsidR="00412E55">
        <w:rPr>
          <w:rFonts w:ascii="Calibri" w:hAnsi="Calibri" w:cs="Calibri"/>
          <w:sz w:val="22"/>
          <w:szCs w:val="22"/>
        </w:rPr>
        <w:t>2021</w:t>
      </w:r>
      <w:r w:rsidR="00EB5772">
        <w:rPr>
          <w:rFonts w:ascii="Calibri" w:hAnsi="Calibri" w:cs="Calibri"/>
          <w:sz w:val="22"/>
          <w:szCs w:val="22"/>
        </w:rPr>
        <w:t xml:space="preserve"> MSGP</w:t>
      </w:r>
      <w:r w:rsidRPr="001E010D">
        <w:rPr>
          <w:rFonts w:ascii="Calibri" w:hAnsi="Calibri" w:cs="Calibri"/>
          <w:sz w:val="22"/>
          <w:szCs w:val="22"/>
        </w:rPr>
        <w:t xml:space="preserve">. The total cost for each respondent activity is composed of the following: </w:t>
      </w:r>
    </w:p>
    <w:p w:rsidRPr="001E010D" w:rsidR="007B2272" w:rsidP="00D37535" w:rsidRDefault="007B2272" w14:paraId="2DC5AD93" w14:textId="1874B128">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Labor </w:t>
      </w:r>
      <w:r w:rsidR="00C85DC2">
        <w:rPr>
          <w:rFonts w:ascii="Calibri" w:hAnsi="Calibri" w:cs="Calibri"/>
          <w:sz w:val="22"/>
          <w:szCs w:val="22"/>
        </w:rPr>
        <w:t>c</w:t>
      </w:r>
      <w:r w:rsidRPr="001E010D">
        <w:rPr>
          <w:rFonts w:ascii="Calibri" w:hAnsi="Calibri" w:cs="Calibri"/>
          <w:sz w:val="22"/>
          <w:szCs w:val="22"/>
        </w:rPr>
        <w:t xml:space="preserve">ost; </w:t>
      </w:r>
      <w:r w:rsidRPr="001E010D" w:rsidR="006C27C8">
        <w:rPr>
          <w:rFonts w:ascii="Calibri" w:hAnsi="Calibri" w:cs="Calibri"/>
          <w:sz w:val="22"/>
          <w:szCs w:val="22"/>
        </w:rPr>
        <w:t xml:space="preserve"> </w:t>
      </w:r>
    </w:p>
    <w:p w:rsidRPr="001E010D" w:rsidR="007B2272" w:rsidP="00D37535" w:rsidRDefault="007B2272" w14:paraId="52C57A9F" w14:textId="22085075">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Operating and </w:t>
      </w:r>
      <w:r w:rsidR="00C85DC2">
        <w:rPr>
          <w:rFonts w:ascii="Calibri" w:hAnsi="Calibri" w:cs="Calibri"/>
          <w:sz w:val="22"/>
          <w:szCs w:val="22"/>
        </w:rPr>
        <w:t>m</w:t>
      </w:r>
      <w:r w:rsidRPr="001E010D">
        <w:rPr>
          <w:rFonts w:ascii="Calibri" w:hAnsi="Calibri" w:cs="Calibri"/>
          <w:sz w:val="22"/>
          <w:szCs w:val="22"/>
        </w:rPr>
        <w:t xml:space="preserve">aintenance (O&amp;M) </w:t>
      </w:r>
      <w:r w:rsidR="00C85DC2">
        <w:rPr>
          <w:rFonts w:ascii="Calibri" w:hAnsi="Calibri" w:cs="Calibri"/>
          <w:sz w:val="22"/>
          <w:szCs w:val="22"/>
        </w:rPr>
        <w:t>c</w:t>
      </w:r>
      <w:r w:rsidRPr="001E010D">
        <w:rPr>
          <w:rFonts w:ascii="Calibri" w:hAnsi="Calibri" w:cs="Calibri"/>
          <w:sz w:val="22"/>
          <w:szCs w:val="22"/>
        </w:rPr>
        <w:t xml:space="preserve">ost; and </w:t>
      </w:r>
    </w:p>
    <w:p w:rsidRPr="001E010D" w:rsidR="007B2272" w:rsidP="00D37535" w:rsidRDefault="007B2272" w14:paraId="37460AD1" w14:textId="02CAD135">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Capital/</w:t>
      </w:r>
      <w:r w:rsidR="00C85DC2">
        <w:rPr>
          <w:rFonts w:ascii="Calibri" w:hAnsi="Calibri" w:cs="Calibri"/>
          <w:sz w:val="22"/>
          <w:szCs w:val="22"/>
        </w:rPr>
        <w:t>s</w:t>
      </w:r>
      <w:r w:rsidRPr="001E010D">
        <w:rPr>
          <w:rFonts w:ascii="Calibri" w:hAnsi="Calibri" w:cs="Calibri"/>
          <w:sz w:val="22"/>
          <w:szCs w:val="22"/>
        </w:rPr>
        <w:t xml:space="preserve">tart-up </w:t>
      </w:r>
      <w:r w:rsidR="00C85DC2">
        <w:rPr>
          <w:rFonts w:ascii="Calibri" w:hAnsi="Calibri" w:cs="Calibri"/>
          <w:sz w:val="22"/>
          <w:szCs w:val="22"/>
        </w:rPr>
        <w:t>c</w:t>
      </w:r>
      <w:r w:rsidRPr="001E010D">
        <w:rPr>
          <w:rFonts w:ascii="Calibri" w:hAnsi="Calibri" w:cs="Calibri"/>
          <w:sz w:val="22"/>
          <w:szCs w:val="22"/>
        </w:rPr>
        <w:t xml:space="preserve">ost. </w:t>
      </w:r>
    </w:p>
    <w:p w:rsidRPr="001E010D" w:rsidR="00E141D4" w:rsidP="00D37535" w:rsidRDefault="00E141D4" w14:paraId="6719CDD3" w14:textId="4D85A1EF">
      <w:pPr>
        <w:pStyle w:val="Style2"/>
        <w:spacing w:before="0" w:after="100" w:afterAutospacing="1" w:line="240" w:lineRule="auto"/>
        <w:ind w:left="720" w:hanging="720"/>
        <w:contextualSpacing/>
      </w:pPr>
      <w:bookmarkStart w:name="_Toc24963885" w:id="28"/>
      <w:r w:rsidRPr="001E010D">
        <w:t>Estimating Labor Costs</w:t>
      </w:r>
      <w:bookmarkEnd w:id="28"/>
    </w:p>
    <w:p w:rsidR="00155A30" w:rsidP="00D37535" w:rsidRDefault="00324E35" w14:paraId="199251E0" w14:textId="50927A9D">
      <w:pPr>
        <w:spacing w:after="100" w:afterAutospacing="1" w:line="240" w:lineRule="auto"/>
        <w:contextualSpacing/>
        <w:rPr>
          <w:rFonts w:ascii="Calibri" w:hAnsi="Calibri" w:cs="Calibri"/>
        </w:rPr>
      </w:pPr>
      <w:r w:rsidRPr="001E010D">
        <w:rPr>
          <w:rFonts w:ascii="Calibri" w:hAnsi="Calibri" w:cs="Calibri"/>
        </w:rPr>
        <w:t xml:space="preserve">When calculating respondent labor costs, </w:t>
      </w:r>
      <w:r w:rsidR="00F414E5">
        <w:rPr>
          <w:rFonts w:ascii="Calibri" w:hAnsi="Calibri" w:cs="Calibri"/>
        </w:rPr>
        <w:t>EPA</w:t>
      </w:r>
      <w:r w:rsidRPr="001E010D" w:rsidR="00CA007A">
        <w:rPr>
          <w:rFonts w:ascii="Calibri" w:hAnsi="Calibri" w:cs="Calibri"/>
        </w:rPr>
        <w:t xml:space="preserve"> </w:t>
      </w:r>
      <w:r w:rsidRPr="001E010D">
        <w:rPr>
          <w:rFonts w:ascii="Calibri" w:hAnsi="Calibri" w:cs="Calibri"/>
        </w:rPr>
        <w:t xml:space="preserve">assumes the average </w:t>
      </w:r>
      <w:r w:rsidR="00502777">
        <w:rPr>
          <w:rFonts w:ascii="Calibri" w:hAnsi="Calibri" w:cs="Calibri"/>
        </w:rPr>
        <w:t xml:space="preserve">loaded </w:t>
      </w:r>
      <w:r w:rsidRPr="001E010D">
        <w:rPr>
          <w:rFonts w:ascii="Calibri" w:hAnsi="Calibri" w:cs="Calibri"/>
        </w:rPr>
        <w:t xml:space="preserve">hourly rate in the private sector is </w:t>
      </w:r>
      <w:r w:rsidRPr="001E010D" w:rsidR="00F849A4">
        <w:rPr>
          <w:rFonts w:ascii="Calibri" w:hAnsi="Calibri" w:cs="Calibri"/>
        </w:rPr>
        <w:t>$3</w:t>
      </w:r>
      <w:r w:rsidR="009D195F">
        <w:rPr>
          <w:rFonts w:ascii="Calibri" w:hAnsi="Calibri" w:cs="Calibri"/>
        </w:rPr>
        <w:t>5</w:t>
      </w:r>
      <w:r w:rsidRPr="001E010D" w:rsidR="00F849A4">
        <w:rPr>
          <w:rFonts w:ascii="Calibri" w:hAnsi="Calibri" w:cs="Calibri"/>
        </w:rPr>
        <w:t>.9</w:t>
      </w:r>
      <w:r w:rsidR="009D195F">
        <w:rPr>
          <w:rFonts w:ascii="Calibri" w:hAnsi="Calibri" w:cs="Calibri"/>
        </w:rPr>
        <w:t>6</w:t>
      </w:r>
      <w:r w:rsidR="006D5346">
        <w:rPr>
          <w:rFonts w:ascii="Calibri" w:hAnsi="Calibri" w:cs="Calibri"/>
        </w:rPr>
        <w:t xml:space="preserve"> </w:t>
      </w:r>
      <w:r w:rsidRPr="001E010D" w:rsidR="00F849A4">
        <w:rPr>
          <w:rFonts w:ascii="Calibri" w:hAnsi="Calibri" w:cs="Calibri"/>
        </w:rPr>
        <w:t>(source</w:t>
      </w:r>
      <w:r w:rsidRPr="001E010D" w:rsidR="00C5202A">
        <w:rPr>
          <w:rFonts w:ascii="Calibri" w:hAnsi="Calibri" w:cs="Calibri"/>
        </w:rPr>
        <w:t xml:space="preserve">: </w:t>
      </w:r>
      <w:hyperlink w:history="1" r:id="rId15">
        <w:r w:rsidRPr="001E010D" w:rsidR="00C5202A">
          <w:rPr>
            <w:rStyle w:val="Hyperlink"/>
            <w:rFonts w:ascii="Calibri" w:hAnsi="Calibri" w:cs="Calibri"/>
          </w:rPr>
          <w:t>https://www.bls.gov/news.release/pdf/ecec.pdf</w:t>
        </w:r>
      </w:hyperlink>
      <w:r w:rsidR="00CA3F0E">
        <w:rPr>
          <w:rFonts w:ascii="Calibri" w:hAnsi="Calibri" w:cs="Calibri"/>
        </w:rPr>
        <w:t xml:space="preserve"> accessed </w:t>
      </w:r>
      <w:r w:rsidR="009D195F">
        <w:rPr>
          <w:rFonts w:ascii="Calibri" w:hAnsi="Calibri" w:cs="Calibri"/>
        </w:rPr>
        <w:t xml:space="preserve">November </w:t>
      </w:r>
      <w:r w:rsidR="00056D10">
        <w:rPr>
          <w:rFonts w:ascii="Calibri" w:hAnsi="Calibri" w:cs="Calibri"/>
        </w:rPr>
        <w:t>23</w:t>
      </w:r>
      <w:r w:rsidR="00CA3F0E">
        <w:rPr>
          <w:rFonts w:ascii="Calibri" w:hAnsi="Calibri" w:cs="Calibri"/>
        </w:rPr>
        <w:t>, 20</w:t>
      </w:r>
      <w:r w:rsidR="009D195F">
        <w:rPr>
          <w:rFonts w:ascii="Calibri" w:hAnsi="Calibri" w:cs="Calibri"/>
        </w:rPr>
        <w:t>20</w:t>
      </w:r>
      <w:r w:rsidR="00CA3F0E">
        <w:rPr>
          <w:rFonts w:ascii="Calibri" w:hAnsi="Calibri" w:cs="Calibri"/>
        </w:rPr>
        <w:t>)</w:t>
      </w:r>
      <w:r w:rsidRPr="001E010D" w:rsidR="00C5202A">
        <w:rPr>
          <w:rFonts w:ascii="Calibri" w:hAnsi="Calibri" w:cs="Calibri"/>
        </w:rPr>
        <w:t xml:space="preserve">. </w:t>
      </w:r>
    </w:p>
    <w:p w:rsidRPr="001E010D" w:rsidR="00502777" w:rsidP="00D37535" w:rsidRDefault="00502777" w14:paraId="30249CD2" w14:textId="77777777">
      <w:pPr>
        <w:spacing w:after="100" w:afterAutospacing="1" w:line="240" w:lineRule="auto"/>
        <w:contextualSpacing/>
        <w:rPr>
          <w:rFonts w:ascii="Calibri" w:hAnsi="Calibri" w:cs="Calibri"/>
          <w:b/>
        </w:rPr>
      </w:pPr>
    </w:p>
    <w:p w:rsidRPr="001E010D" w:rsidR="00FB0591" w:rsidP="00D37535" w:rsidRDefault="009763D8" w14:paraId="315ACBD7" w14:textId="0D00E3E3">
      <w:pPr>
        <w:spacing w:after="100" w:afterAutospacing="1" w:line="240" w:lineRule="auto"/>
        <w:contextualSpacing/>
        <w:rPr>
          <w:rFonts w:ascii="Calibri" w:hAnsi="Calibri" w:cs="Calibri"/>
          <w:b/>
        </w:rPr>
      </w:pPr>
      <w:r w:rsidRPr="001E010D">
        <w:rPr>
          <w:rFonts w:ascii="Calibri" w:hAnsi="Calibri" w:cs="Calibri"/>
        </w:rPr>
        <w:t>At</w:t>
      </w:r>
      <w:r w:rsidRPr="001E010D" w:rsidR="00930556">
        <w:rPr>
          <w:rFonts w:ascii="Calibri" w:hAnsi="Calibri" w:cs="Calibri"/>
        </w:rPr>
        <w:t xml:space="preserve"> </w:t>
      </w:r>
      <w:r w:rsidR="000321EB">
        <w:rPr>
          <w:rFonts w:ascii="Calibri" w:hAnsi="Calibri" w:cs="Calibri"/>
        </w:rPr>
        <w:t>68,460</w:t>
      </w:r>
      <w:r w:rsidRPr="001E010D">
        <w:rPr>
          <w:rFonts w:ascii="Calibri" w:hAnsi="Calibri" w:cs="Calibri"/>
        </w:rPr>
        <w:t xml:space="preserve"> hours per year, </w:t>
      </w:r>
      <w:r w:rsidRPr="00770D51">
        <w:rPr>
          <w:rFonts w:ascii="Calibri" w:hAnsi="Calibri" w:cs="Calibri"/>
        </w:rPr>
        <w:t xml:space="preserve">this equates to </w:t>
      </w:r>
      <w:r w:rsidRPr="00C857B3" w:rsidR="00F8258F">
        <w:rPr>
          <w:rFonts w:ascii="Calibri" w:hAnsi="Calibri" w:eastAsia="Times New Roman" w:cs="Calibri"/>
          <w:color w:val="000000"/>
        </w:rPr>
        <w:t>$</w:t>
      </w:r>
      <w:r w:rsidRPr="00FB0591" w:rsidR="00FB0591">
        <w:rPr>
          <w:rFonts w:ascii="Calibri" w:hAnsi="Calibri" w:eastAsia="Times New Roman" w:cs="Calibri"/>
          <w:bCs/>
          <w:color w:val="000000"/>
        </w:rPr>
        <w:t>2,</w:t>
      </w:r>
      <w:r w:rsidR="000321EB">
        <w:rPr>
          <w:rFonts w:ascii="Calibri" w:hAnsi="Calibri" w:eastAsia="Times New Roman" w:cs="Calibri"/>
          <w:bCs/>
          <w:color w:val="000000"/>
        </w:rPr>
        <w:t>461,813</w:t>
      </w:r>
      <w:r w:rsidRPr="00FB0591" w:rsidR="004C1FD1">
        <w:rPr>
          <w:rFonts w:ascii="Calibri" w:hAnsi="Calibri" w:eastAsia="Times New Roman" w:cs="Calibri"/>
          <w:bCs/>
          <w:color w:val="000000"/>
        </w:rPr>
        <w:t xml:space="preserve"> </w:t>
      </w:r>
      <w:r w:rsidRPr="00FB0591">
        <w:rPr>
          <w:rFonts w:ascii="Calibri" w:hAnsi="Calibri" w:cs="Calibri"/>
        </w:rPr>
        <w:t>annually</w:t>
      </w:r>
      <w:r w:rsidRPr="001E010D">
        <w:rPr>
          <w:rFonts w:ascii="Calibri" w:hAnsi="Calibri" w:cs="Calibri"/>
        </w:rPr>
        <w:t xml:space="preserve"> in labor costs associated with respondent burden.</w:t>
      </w:r>
    </w:p>
    <w:p w:rsidRPr="001E010D" w:rsidR="00E141D4" w:rsidP="00D37535" w:rsidRDefault="00E141D4" w14:paraId="63FA0FC3" w14:textId="398433E9">
      <w:pPr>
        <w:pStyle w:val="Style2"/>
        <w:spacing w:before="0" w:after="100" w:afterAutospacing="1" w:line="240" w:lineRule="auto"/>
        <w:ind w:left="720" w:hanging="720"/>
        <w:contextualSpacing/>
      </w:pPr>
      <w:bookmarkStart w:name="_Toc24963886" w:id="29"/>
      <w:r w:rsidRPr="001E010D">
        <w:t>Estimating Capital and Operations and Maintenance Costs</w:t>
      </w:r>
      <w:bookmarkEnd w:id="29"/>
    </w:p>
    <w:p w:rsidRPr="001E010D" w:rsidR="00965FD1" w:rsidP="00D37535" w:rsidRDefault="00986C6F" w14:paraId="42E848A9" w14:textId="4B6942DC">
      <w:pPr>
        <w:spacing w:after="100" w:afterAutospacing="1" w:line="240" w:lineRule="auto"/>
        <w:contextualSpacing/>
        <w:rPr>
          <w:rFonts w:ascii="Calibri" w:hAnsi="Calibri" w:cs="Calibri"/>
        </w:rPr>
      </w:pPr>
      <w:r>
        <w:rPr>
          <w:rFonts w:ascii="Calibri" w:hAnsi="Calibri" w:cs="Calibri"/>
        </w:rPr>
        <w:t>No</w:t>
      </w:r>
      <w:r w:rsidRPr="001E010D" w:rsidR="000A65C1">
        <w:rPr>
          <w:rFonts w:ascii="Calibri" w:hAnsi="Calibri" w:cs="Calibri"/>
        </w:rPr>
        <w:t xml:space="preserve"> O&amp;M cost</w:t>
      </w:r>
      <w:r w:rsidRPr="001E010D" w:rsidR="00F71973">
        <w:rPr>
          <w:rFonts w:ascii="Calibri" w:hAnsi="Calibri" w:cs="Calibri"/>
        </w:rPr>
        <w:t>s</w:t>
      </w:r>
      <w:r w:rsidRPr="001E010D" w:rsidR="000A65C1">
        <w:rPr>
          <w:rFonts w:ascii="Calibri" w:hAnsi="Calibri" w:cs="Calibri"/>
        </w:rPr>
        <w:t xml:space="preserve"> </w:t>
      </w:r>
      <w:r>
        <w:rPr>
          <w:rFonts w:ascii="Calibri" w:hAnsi="Calibri" w:cs="Calibri"/>
        </w:rPr>
        <w:t>are anticipated for this ICR.</w:t>
      </w:r>
    </w:p>
    <w:p w:rsidRPr="001E010D" w:rsidR="00E141D4" w:rsidP="00D37535" w:rsidRDefault="00E141D4" w14:paraId="0B3B8C34" w14:textId="608CE7FE">
      <w:pPr>
        <w:pStyle w:val="Style2"/>
        <w:spacing w:before="0" w:after="100" w:afterAutospacing="1" w:line="240" w:lineRule="auto"/>
        <w:ind w:left="720" w:hanging="720"/>
        <w:contextualSpacing/>
      </w:pPr>
      <w:bookmarkStart w:name="_Toc17726042" w:id="30"/>
      <w:bookmarkStart w:name="_Toc24963887" w:id="31"/>
      <w:bookmarkEnd w:id="30"/>
      <w:r w:rsidRPr="001E010D">
        <w:t>Capital/Start-up Operating and Maintenance (O&amp;M) Costs</w:t>
      </w:r>
      <w:bookmarkEnd w:id="31"/>
    </w:p>
    <w:p w:rsidRPr="001E010D" w:rsidR="00E16FE2" w:rsidP="00D37535" w:rsidRDefault="00E30642" w14:paraId="6FBD8FEB" w14:textId="6AD8D1F0">
      <w:pPr>
        <w:spacing w:after="100" w:afterAutospacing="1" w:line="240" w:lineRule="auto"/>
        <w:contextualSpacing/>
        <w:rPr>
          <w:rFonts w:ascii="Calibri" w:hAnsi="Calibri" w:cs="Calibri"/>
        </w:rPr>
      </w:pPr>
      <w:r w:rsidRPr="001E010D">
        <w:rPr>
          <w:rFonts w:ascii="Calibri" w:hAnsi="Calibri" w:cs="Calibri"/>
        </w:rPr>
        <w:t xml:space="preserve">No capital/start-up O&amp;M costs </w:t>
      </w:r>
      <w:r w:rsidRPr="001E010D" w:rsidR="00661F85">
        <w:rPr>
          <w:rFonts w:ascii="Calibri" w:hAnsi="Calibri" w:cs="Calibri"/>
        </w:rPr>
        <w:t xml:space="preserve">are </w:t>
      </w:r>
      <w:r w:rsidRPr="001E010D">
        <w:rPr>
          <w:rFonts w:ascii="Calibri" w:hAnsi="Calibri" w:cs="Calibri"/>
        </w:rPr>
        <w:t xml:space="preserve">anticipated for this ICR. </w:t>
      </w:r>
    </w:p>
    <w:p w:rsidRPr="001E010D" w:rsidR="00E141D4" w:rsidP="00D37535" w:rsidRDefault="00E141D4" w14:paraId="067E4AA3" w14:textId="514672FF">
      <w:pPr>
        <w:pStyle w:val="Style2"/>
        <w:spacing w:before="0" w:after="100" w:afterAutospacing="1" w:line="240" w:lineRule="auto"/>
        <w:ind w:left="720" w:hanging="720"/>
        <w:contextualSpacing/>
      </w:pPr>
      <w:bookmarkStart w:name="_Toc24963888" w:id="32"/>
      <w:r w:rsidRPr="001E010D">
        <w:t>Annualizing Capital Costs</w:t>
      </w:r>
      <w:bookmarkEnd w:id="32"/>
    </w:p>
    <w:p w:rsidRPr="001E010D" w:rsidR="003A37FF" w:rsidP="00D37535" w:rsidRDefault="00912467" w14:paraId="16B6900F" w14:textId="3FD6592D">
      <w:pPr>
        <w:spacing w:after="100" w:afterAutospacing="1" w:line="240" w:lineRule="auto"/>
        <w:contextualSpacing/>
        <w:rPr>
          <w:rFonts w:ascii="Calibri" w:hAnsi="Calibri" w:cs="Calibri"/>
        </w:rPr>
      </w:pPr>
      <w:r w:rsidRPr="001E010D">
        <w:rPr>
          <w:rFonts w:ascii="Calibri" w:hAnsi="Calibri" w:cs="Calibri"/>
        </w:rPr>
        <w:t xml:space="preserve">No capital costs </w:t>
      </w:r>
      <w:r w:rsidRPr="001E010D" w:rsidR="00661F85">
        <w:rPr>
          <w:rFonts w:ascii="Calibri" w:hAnsi="Calibri" w:cs="Calibri"/>
        </w:rPr>
        <w:t xml:space="preserve">are </w:t>
      </w:r>
      <w:r w:rsidRPr="001E010D">
        <w:rPr>
          <w:rFonts w:ascii="Calibri" w:hAnsi="Calibri" w:cs="Calibri"/>
        </w:rPr>
        <w:t xml:space="preserve">anticipated for this ICR. </w:t>
      </w:r>
    </w:p>
    <w:p w:rsidRPr="001E010D" w:rsidR="00E141D4" w:rsidP="00D37535" w:rsidRDefault="00E141D4" w14:paraId="3601F4FB" w14:textId="3E980FAC">
      <w:pPr>
        <w:pStyle w:val="Style1"/>
        <w:spacing w:before="0" w:after="100" w:afterAutospacing="1" w:line="240" w:lineRule="auto"/>
        <w:contextualSpacing/>
      </w:pPr>
      <w:bookmarkStart w:name="_Toc24963889" w:id="33"/>
      <w:r w:rsidRPr="001E010D">
        <w:t>Estimating Agency Burden and Cost</w:t>
      </w:r>
      <w:bookmarkEnd w:id="33"/>
    </w:p>
    <w:p w:rsidRPr="001E010D" w:rsidR="004B1711" w:rsidP="00D37535" w:rsidRDefault="0089727A" w14:paraId="7BE1A54E" w14:textId="2FD4119A">
      <w:pPr>
        <w:spacing w:after="100" w:afterAutospacing="1" w:line="240" w:lineRule="auto"/>
        <w:contextualSpacing/>
        <w:rPr>
          <w:rFonts w:ascii="Calibri" w:hAnsi="Calibri" w:cs="Calibri"/>
        </w:rPr>
      </w:pPr>
      <w:r w:rsidRPr="001E010D">
        <w:rPr>
          <w:rFonts w:ascii="Calibri" w:hAnsi="Calibri" w:cs="Calibri"/>
        </w:rPr>
        <w:t>This section presents the estimated agency burden for each information request and the associated agency cost. A summary of the burden and cost is provided at the end of this section.</w:t>
      </w:r>
    </w:p>
    <w:p w:rsidRPr="001E010D" w:rsidR="00222642" w:rsidP="00D37535" w:rsidRDefault="00222642" w14:paraId="2BCEB41B" w14:textId="0C26251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NOT forms</w:t>
      </w:r>
      <w:r w:rsidR="00B9760A">
        <w:rPr>
          <w:rFonts w:ascii="Calibri" w:hAnsi="Calibri" w:cs="Calibri"/>
          <w:b/>
        </w:rPr>
        <w:t xml:space="preserve"> </w:t>
      </w:r>
      <w:r w:rsidR="00B9760A">
        <w:rPr>
          <w:rFonts w:ascii="Calibri" w:hAnsi="Calibri" w:cs="Calibri"/>
        </w:rPr>
        <w:t>[No changes to the Agency burden]</w:t>
      </w:r>
    </w:p>
    <w:p w:rsidR="00A55A2C" w:rsidP="00D37535" w:rsidRDefault="00B708D2" w14:paraId="0DB2A35D" w14:textId="2E695CC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w:t>
      </w:r>
      <w:r w:rsidRPr="001E010D" w:rsidR="00DB28B0">
        <w:rPr>
          <w:rFonts w:ascii="Calibri" w:hAnsi="Calibri" w:cs="Calibri"/>
        </w:rPr>
        <w:t xml:space="preserve"> estimate</w:t>
      </w:r>
      <w:r w:rsidRPr="001E010D">
        <w:rPr>
          <w:rFonts w:ascii="Calibri" w:hAnsi="Calibri" w:cs="Calibri"/>
        </w:rPr>
        <w:t>d</w:t>
      </w:r>
      <w:r w:rsidRPr="001E010D" w:rsidR="00DB28B0">
        <w:rPr>
          <w:rFonts w:ascii="Calibri" w:hAnsi="Calibri" w:cs="Calibri"/>
        </w:rPr>
        <w:t xml:space="preserve"> average time for </w:t>
      </w:r>
      <w:r w:rsidR="00F414E5">
        <w:rPr>
          <w:rFonts w:ascii="Calibri" w:hAnsi="Calibri" w:cs="Calibri"/>
        </w:rPr>
        <w:t>EPA</w:t>
      </w:r>
      <w:r w:rsidRPr="001E010D" w:rsidR="00DB28B0">
        <w:rPr>
          <w:rFonts w:ascii="Calibri" w:hAnsi="Calibri" w:cs="Calibri"/>
        </w:rPr>
        <w:t xml:space="preserve"> to process NOIs </w:t>
      </w:r>
      <w:r w:rsidRPr="001E010D" w:rsidR="002440AF">
        <w:rPr>
          <w:rFonts w:ascii="Calibri" w:hAnsi="Calibri" w:cs="Calibri"/>
        </w:rPr>
        <w:t>is</w:t>
      </w:r>
      <w:r w:rsidRPr="001E010D" w:rsidR="00DB28B0">
        <w:rPr>
          <w:rFonts w:ascii="Calibri" w:hAnsi="Calibri" w:cs="Calibri"/>
        </w:rPr>
        <w:t xml:space="preserve"> 0.25 hours per NOI. </w:t>
      </w:r>
      <w:r w:rsidRPr="00A656E8" w:rsidR="00486678">
        <w:rPr>
          <w:rFonts w:ascii="Calibri" w:hAnsi="Calibri" w:cs="Calibri"/>
        </w:rPr>
        <w:t>The estimated burden for this activity is already accounted for in NPDES Program ICR, and this MSGP ICR adds no incremental burden to this activity.</w:t>
      </w:r>
      <w:r w:rsidR="00486678">
        <w:rPr>
          <w:rFonts w:ascii="Calibri" w:hAnsi="Calibri" w:cs="Calibri"/>
        </w:rPr>
        <w:t xml:space="preserve"> </w:t>
      </w:r>
      <w:r w:rsidRPr="001E010D">
        <w:rPr>
          <w:rFonts w:ascii="Calibri" w:hAnsi="Calibri" w:cs="Calibri"/>
        </w:rPr>
        <w:t>The estimated</w:t>
      </w:r>
      <w:r w:rsidRPr="001E010D" w:rsidR="00E91756">
        <w:rPr>
          <w:rFonts w:ascii="Calibri" w:hAnsi="Calibri" w:cs="Calibri"/>
        </w:rPr>
        <w:t xml:space="preserve"> time to process NOTs is negli</w:t>
      </w:r>
      <w:r w:rsidRPr="001E010D">
        <w:rPr>
          <w:rFonts w:ascii="Calibri" w:hAnsi="Calibri" w:cs="Calibri"/>
        </w:rPr>
        <w:t>gible due to the electronic processing of these forms.</w:t>
      </w:r>
      <w:r w:rsidR="00486678">
        <w:rPr>
          <w:rFonts w:ascii="Calibri" w:hAnsi="Calibri" w:cs="Calibri"/>
        </w:rPr>
        <w:t xml:space="preserve"> </w:t>
      </w:r>
      <w:r w:rsidRPr="00A656E8" w:rsidR="00486678">
        <w:rPr>
          <w:rFonts w:ascii="Calibri" w:hAnsi="Calibri" w:cs="Calibri"/>
        </w:rPr>
        <w:t>The NPDES Program ICR</w:t>
      </w:r>
      <w:r w:rsidR="00486678">
        <w:rPr>
          <w:rFonts w:ascii="Calibri" w:hAnsi="Calibri" w:cs="Calibri"/>
        </w:rPr>
        <w:t xml:space="preserve"> accounted for 0.25 hours for NOT processing</w:t>
      </w:r>
      <w:r w:rsidRPr="00A656E8" w:rsidR="00486678">
        <w:rPr>
          <w:rFonts w:ascii="Calibri" w:hAnsi="Calibri" w:cs="Calibri"/>
        </w:rPr>
        <w:t xml:space="preserve">, </w:t>
      </w:r>
      <w:r w:rsidR="00486678">
        <w:rPr>
          <w:rFonts w:ascii="Calibri" w:hAnsi="Calibri" w:cs="Calibri"/>
        </w:rPr>
        <w:t xml:space="preserve">so </w:t>
      </w:r>
      <w:r w:rsidRPr="00A656E8" w:rsidR="00486678">
        <w:rPr>
          <w:rFonts w:ascii="Calibri" w:hAnsi="Calibri" w:cs="Calibri"/>
        </w:rPr>
        <w:t xml:space="preserve">this MSGP ICR </w:t>
      </w:r>
      <w:r w:rsidR="00486678">
        <w:rPr>
          <w:rFonts w:ascii="Calibri" w:hAnsi="Calibri" w:cs="Calibri"/>
        </w:rPr>
        <w:t xml:space="preserve">reduces the </w:t>
      </w:r>
      <w:r w:rsidRPr="00A656E8" w:rsidR="00486678">
        <w:rPr>
          <w:rFonts w:ascii="Calibri" w:hAnsi="Calibri" w:cs="Calibri"/>
        </w:rPr>
        <w:t xml:space="preserve">burden </w:t>
      </w:r>
      <w:r w:rsidR="00486678">
        <w:rPr>
          <w:rFonts w:ascii="Calibri" w:hAnsi="Calibri" w:cs="Calibri"/>
        </w:rPr>
        <w:t xml:space="preserve">by </w:t>
      </w:r>
      <w:r w:rsidR="00DC63B3">
        <w:rPr>
          <w:rFonts w:ascii="Calibri" w:hAnsi="Calibri" w:cs="Calibri"/>
        </w:rPr>
        <w:t xml:space="preserve">0.25. </w:t>
      </w:r>
    </w:p>
    <w:p w:rsidRPr="001E010D" w:rsidR="00D37535" w:rsidP="00D37535" w:rsidRDefault="00D37535" w14:paraId="3BA056C8" w14:textId="24E3D46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737EC1" w:rsidRDefault="00222642" w14:paraId="1E0CAF58" w14:textId="0D9BC89F">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lastRenderedPageBreak/>
        <w:t>SWPPPs</w:t>
      </w:r>
      <w:r w:rsidR="00B9760A">
        <w:rPr>
          <w:rFonts w:ascii="Calibri" w:hAnsi="Calibri" w:cs="Calibri"/>
          <w:b/>
        </w:rPr>
        <w:t xml:space="preserve"> </w:t>
      </w:r>
      <w:r w:rsidR="00B9760A">
        <w:rPr>
          <w:rFonts w:ascii="Calibri" w:hAnsi="Calibri" w:cs="Calibri"/>
        </w:rPr>
        <w:t>[No changes to the Agency burden]</w:t>
      </w:r>
    </w:p>
    <w:p w:rsidR="000A4AE7" w:rsidP="00D37535" w:rsidRDefault="000A4AE7" w14:paraId="69E4726B" w14:textId="37F544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w:t>
      </w:r>
      <w:r w:rsidRPr="001E010D" w:rsidR="003D42A9">
        <w:rPr>
          <w:rFonts w:ascii="Calibri" w:hAnsi="Calibri" w:cs="Calibri"/>
        </w:rPr>
        <w:t xml:space="preserve">SWPPP is only required to be submitted in summary form on the NOI or as an </w:t>
      </w:r>
      <w:r w:rsidR="00DE5EFE">
        <w:rPr>
          <w:rFonts w:ascii="Calibri" w:hAnsi="Calibri" w:cs="Calibri"/>
        </w:rPr>
        <w:t>i</w:t>
      </w:r>
      <w:r w:rsidRPr="001E010D" w:rsidR="003D42A9">
        <w:rPr>
          <w:rFonts w:ascii="Calibri" w:hAnsi="Calibri" w:cs="Calibri"/>
        </w:rPr>
        <w:t xml:space="preserve">nternet link. Therefore, review of the SWPPP </w:t>
      </w:r>
      <w:r w:rsidRPr="001E010D" w:rsidR="00C75D82">
        <w:rPr>
          <w:rFonts w:ascii="Calibri" w:hAnsi="Calibri" w:cs="Calibri"/>
        </w:rPr>
        <w:t>should not cause significant Agency burden. Additionally, the Agency does not expect to review 100</w:t>
      </w:r>
      <w:r w:rsidR="0052732A">
        <w:rPr>
          <w:rFonts w:ascii="Calibri" w:hAnsi="Calibri" w:cs="Calibri"/>
        </w:rPr>
        <w:t xml:space="preserve"> percent</w:t>
      </w:r>
      <w:r w:rsidRPr="001E010D" w:rsidR="00C75D82">
        <w:rPr>
          <w:rFonts w:ascii="Calibri" w:hAnsi="Calibri" w:cs="Calibri"/>
        </w:rPr>
        <w:t xml:space="preserve"> of SWPPPs that are submitted</w:t>
      </w:r>
      <w:r w:rsidRPr="001E010D" w:rsidR="005635D2">
        <w:rPr>
          <w:rFonts w:ascii="Calibri" w:hAnsi="Calibri" w:cs="Calibri"/>
        </w:rPr>
        <w:t xml:space="preserve"> (the SWPPPs are made publicly available for public</w:t>
      </w:r>
      <w:r w:rsidRPr="001E010D" w:rsidR="00714399">
        <w:rPr>
          <w:rFonts w:ascii="Calibri" w:hAnsi="Calibri" w:cs="Calibri"/>
        </w:rPr>
        <w:t>, states, and other stakeholders</w:t>
      </w:r>
      <w:r w:rsidRPr="001E010D" w:rsidR="00F429E6">
        <w:rPr>
          <w:rFonts w:ascii="Calibri" w:hAnsi="Calibri" w:cs="Calibri"/>
        </w:rPr>
        <w:t xml:space="preserve"> and</w:t>
      </w:r>
      <w:r w:rsidRPr="001E010D" w:rsidR="005635D2">
        <w:rPr>
          <w:rFonts w:ascii="Calibri" w:hAnsi="Calibri" w:cs="Calibri"/>
        </w:rPr>
        <w:t xml:space="preserve"> are also reviewed by </w:t>
      </w:r>
      <w:r w:rsidR="00AA27D8">
        <w:rPr>
          <w:rFonts w:ascii="Calibri" w:hAnsi="Calibri" w:cs="Calibri"/>
        </w:rPr>
        <w:t>NMFS and USFWS</w:t>
      </w:r>
      <w:r w:rsidRPr="001E010D" w:rsidR="00EF2A80">
        <w:rPr>
          <w:rFonts w:ascii="Calibri" w:hAnsi="Calibri" w:cs="Calibri"/>
        </w:rPr>
        <w:t>)</w:t>
      </w:r>
      <w:r w:rsidRPr="001E010D" w:rsidR="00C75D82">
        <w:rPr>
          <w:rFonts w:ascii="Calibri" w:hAnsi="Calibri" w:cs="Calibri"/>
        </w:rPr>
        <w:t xml:space="preserve">. </w:t>
      </w:r>
      <w:r w:rsidR="00F414E5">
        <w:rPr>
          <w:rFonts w:ascii="Calibri" w:hAnsi="Calibri" w:cs="Calibri"/>
        </w:rPr>
        <w:t>EPA</w:t>
      </w:r>
      <w:r w:rsidRPr="001E010D" w:rsidR="00C75D82">
        <w:rPr>
          <w:rFonts w:ascii="Calibri" w:hAnsi="Calibri" w:cs="Calibri"/>
        </w:rPr>
        <w:t xml:space="preserve"> estimates, based on its </w:t>
      </w:r>
      <w:r w:rsidR="00C85DC2">
        <w:rPr>
          <w:rFonts w:ascii="Calibri" w:hAnsi="Calibri" w:cs="Calibri"/>
        </w:rPr>
        <w:t>experience administering the MSGP</w:t>
      </w:r>
      <w:r w:rsidRPr="001E010D" w:rsidR="00C75D82">
        <w:rPr>
          <w:rFonts w:ascii="Calibri" w:hAnsi="Calibri" w:cs="Calibri"/>
        </w:rPr>
        <w:t xml:space="preserve">, that </w:t>
      </w:r>
      <w:r w:rsidR="0061615A">
        <w:rPr>
          <w:rFonts w:ascii="Calibri" w:hAnsi="Calibri" w:cs="Calibri"/>
        </w:rPr>
        <w:t xml:space="preserve">each of the </w:t>
      </w:r>
      <w:r w:rsidRPr="001E010D" w:rsidR="00C75D82">
        <w:rPr>
          <w:rFonts w:ascii="Calibri" w:hAnsi="Calibri" w:cs="Calibri"/>
        </w:rPr>
        <w:t>approximately</w:t>
      </w:r>
      <w:r w:rsidRPr="001E010D" w:rsidR="001B044C">
        <w:rPr>
          <w:rFonts w:ascii="Calibri" w:hAnsi="Calibri" w:cs="Calibri"/>
        </w:rPr>
        <w:t xml:space="preserve"> 25</w:t>
      </w:r>
      <w:r w:rsidR="007E28BA">
        <w:rPr>
          <w:rFonts w:ascii="Calibri" w:hAnsi="Calibri" w:cs="Calibri"/>
        </w:rPr>
        <w:t xml:space="preserve"> percent</w:t>
      </w:r>
      <w:r w:rsidRPr="001E010D" w:rsidR="001B044C">
        <w:rPr>
          <w:rFonts w:ascii="Calibri" w:hAnsi="Calibri" w:cs="Calibri"/>
        </w:rPr>
        <w:t xml:space="preserve"> </w:t>
      </w:r>
      <w:r w:rsidR="0061615A">
        <w:rPr>
          <w:rFonts w:ascii="Calibri" w:hAnsi="Calibri" w:cs="Calibri"/>
        </w:rPr>
        <w:t>of submitted</w:t>
      </w:r>
      <w:r w:rsidRPr="001E010D" w:rsidR="001B044C">
        <w:rPr>
          <w:rFonts w:ascii="Calibri" w:hAnsi="Calibri" w:cs="Calibri"/>
        </w:rPr>
        <w:t xml:space="preserve"> SWPPPs will require </w:t>
      </w:r>
      <w:r w:rsidR="00C85DC2">
        <w:rPr>
          <w:rFonts w:ascii="Calibri" w:hAnsi="Calibri" w:cs="Calibri"/>
        </w:rPr>
        <w:t>1</w:t>
      </w:r>
      <w:r w:rsidRPr="001E010D" w:rsidR="00C85DC2">
        <w:rPr>
          <w:rFonts w:ascii="Calibri" w:hAnsi="Calibri" w:cs="Calibri"/>
        </w:rPr>
        <w:t xml:space="preserve"> </w:t>
      </w:r>
      <w:r w:rsidRPr="001E010D" w:rsidR="001B044C">
        <w:rPr>
          <w:rFonts w:ascii="Calibri" w:hAnsi="Calibri" w:cs="Calibri"/>
        </w:rPr>
        <w:t xml:space="preserve">hour of EPA review. </w:t>
      </w:r>
      <w:r w:rsidR="00DC63B3">
        <w:rPr>
          <w:rFonts w:ascii="Calibri" w:hAnsi="Calibri" w:cs="Calibri"/>
        </w:rPr>
        <w:t xml:space="preserve">This activity is not </w:t>
      </w:r>
      <w:r w:rsidR="003C587A">
        <w:rPr>
          <w:rFonts w:ascii="Calibri" w:hAnsi="Calibri" w:cs="Calibri"/>
        </w:rPr>
        <w:t xml:space="preserve">separately </w:t>
      </w:r>
      <w:r w:rsidR="00DC63B3">
        <w:rPr>
          <w:rFonts w:ascii="Calibri" w:hAnsi="Calibri" w:cs="Calibri"/>
        </w:rPr>
        <w:t xml:space="preserve">accounted for in the </w:t>
      </w:r>
      <w:r w:rsidR="00932903">
        <w:rPr>
          <w:rFonts w:ascii="Calibri" w:hAnsi="Calibri" w:cs="Calibri"/>
        </w:rPr>
        <w:t xml:space="preserve">2017 </w:t>
      </w:r>
      <w:r w:rsidR="00DC63B3">
        <w:rPr>
          <w:rFonts w:ascii="Calibri" w:hAnsi="Calibri" w:cs="Calibri"/>
        </w:rPr>
        <w:t xml:space="preserve">NPDES Program ICR, so this MSGP ICR effectively adds an incremental burden of </w:t>
      </w:r>
      <w:r w:rsidR="008F4519">
        <w:rPr>
          <w:rFonts w:ascii="Calibri" w:hAnsi="Calibri" w:cs="Calibri"/>
        </w:rPr>
        <w:t>1</w:t>
      </w:r>
      <w:r w:rsidR="00DC63B3">
        <w:rPr>
          <w:rFonts w:ascii="Calibri" w:hAnsi="Calibri" w:cs="Calibri"/>
        </w:rPr>
        <w:t xml:space="preserve"> hour.</w:t>
      </w:r>
    </w:p>
    <w:p w:rsidRPr="001E010D" w:rsidR="00D37535" w:rsidP="00D37535" w:rsidRDefault="00D37535" w14:paraId="2DA37C2D" w14:textId="7ADFDE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0A9F5624" w14:textId="56A6472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DMRs</w:t>
      </w:r>
      <w:r w:rsidR="00B9760A">
        <w:rPr>
          <w:rFonts w:ascii="Calibri" w:hAnsi="Calibri" w:cs="Calibri"/>
          <w:b/>
        </w:rPr>
        <w:t xml:space="preserve"> </w:t>
      </w:r>
      <w:r w:rsidR="00B9760A">
        <w:rPr>
          <w:rFonts w:ascii="Calibri" w:hAnsi="Calibri" w:cs="Calibri"/>
        </w:rPr>
        <w:t>[</w:t>
      </w:r>
      <w:r w:rsidR="001C4EEA">
        <w:rPr>
          <w:rFonts w:ascii="Calibri" w:hAnsi="Calibri" w:cs="Calibri"/>
        </w:rPr>
        <w:t>Changes</w:t>
      </w:r>
      <w:r w:rsidR="00B9760A">
        <w:rPr>
          <w:rFonts w:ascii="Calibri" w:hAnsi="Calibri" w:cs="Calibri"/>
        </w:rPr>
        <w:t xml:space="preserve"> to the Agency burden]</w:t>
      </w:r>
    </w:p>
    <w:p w:rsidR="002359B7" w:rsidP="00D37535" w:rsidRDefault="00D828F6" w14:paraId="040300B3" w14:textId="40EDAB3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Based on the previous ICR, t</w:t>
      </w:r>
      <w:r w:rsidRPr="001E010D" w:rsidR="002359B7">
        <w:rPr>
          <w:rFonts w:ascii="Calibri" w:hAnsi="Calibri" w:cs="Calibri"/>
        </w:rPr>
        <w:t xml:space="preserve">he estimated time </w:t>
      </w:r>
      <w:r w:rsidRPr="001E010D">
        <w:rPr>
          <w:rFonts w:ascii="Calibri" w:hAnsi="Calibri" w:cs="Calibri"/>
        </w:rPr>
        <w:t xml:space="preserve">for </w:t>
      </w:r>
      <w:r w:rsidR="00F414E5">
        <w:rPr>
          <w:rFonts w:ascii="Calibri" w:hAnsi="Calibri" w:cs="Calibri"/>
        </w:rPr>
        <w:t>EPA</w:t>
      </w:r>
      <w:r w:rsidRPr="001E010D" w:rsidR="002359B7">
        <w:rPr>
          <w:rFonts w:ascii="Calibri" w:hAnsi="Calibri" w:cs="Calibri"/>
        </w:rPr>
        <w:t xml:space="preserve"> to process DMRs is 0.16 hours per DMR plus 0.5 hours for follow-up of 20</w:t>
      </w:r>
      <w:r w:rsidR="007E28BA">
        <w:rPr>
          <w:rFonts w:ascii="Calibri" w:hAnsi="Calibri" w:cs="Calibri"/>
        </w:rPr>
        <w:t xml:space="preserve"> percent</w:t>
      </w:r>
      <w:r w:rsidRPr="001E010D">
        <w:rPr>
          <w:rFonts w:ascii="Calibri" w:hAnsi="Calibri" w:cs="Calibri"/>
        </w:rPr>
        <w:t xml:space="preserve"> </w:t>
      </w:r>
      <w:r w:rsidRPr="001E010D" w:rsidR="002359B7">
        <w:rPr>
          <w:rFonts w:ascii="Calibri" w:hAnsi="Calibri" w:cs="Calibri"/>
        </w:rPr>
        <w:t>of submissions.</w:t>
      </w:r>
      <w:r w:rsidR="008F4519">
        <w:rPr>
          <w:rFonts w:ascii="Calibri" w:hAnsi="Calibri" w:cs="Calibri"/>
        </w:rPr>
        <w:t xml:space="preserve"> </w:t>
      </w:r>
      <w:r w:rsidRPr="00A656E8" w:rsidR="008F4519">
        <w:rPr>
          <w:rFonts w:ascii="Calibri" w:hAnsi="Calibri" w:cs="Calibri"/>
        </w:rPr>
        <w:t>The estimated burden for this activity is already accounted for in NPDES Program ICR, and this MSGP ICR adds no incremental burden to this activity.</w:t>
      </w:r>
      <w:r w:rsidR="008F4519">
        <w:rPr>
          <w:rFonts w:ascii="Calibri" w:hAnsi="Calibri" w:cs="Calibri"/>
        </w:rPr>
        <w:t xml:space="preserve"> </w:t>
      </w:r>
      <w:r w:rsidR="00634DA1">
        <w:rPr>
          <w:rFonts w:ascii="Calibri" w:hAnsi="Calibri" w:cs="Calibri"/>
        </w:rPr>
        <w:t xml:space="preserve">The major change will be the number of DMRs requiring EPA review, follow-up, and processing. </w:t>
      </w:r>
      <w:r w:rsidR="00D5746C">
        <w:rPr>
          <w:rFonts w:ascii="Calibri" w:hAnsi="Calibri" w:cs="Calibri"/>
        </w:rPr>
        <w:t xml:space="preserve">The </w:t>
      </w:r>
      <w:r w:rsidRPr="00670F75" w:rsidR="00D5746C">
        <w:rPr>
          <w:rFonts w:ascii="Calibri" w:hAnsi="Calibri" w:cs="Calibri"/>
        </w:rPr>
        <w:t>sample collection</w:t>
      </w:r>
      <w:r w:rsidR="00F52D08">
        <w:rPr>
          <w:rFonts w:ascii="Calibri" w:hAnsi="Calibri" w:cs="Calibri"/>
        </w:rPr>
        <w:t xml:space="preserve"> and reporting</w:t>
      </w:r>
      <w:r w:rsidRPr="00670F75" w:rsidR="00D5746C">
        <w:rPr>
          <w:rFonts w:ascii="Calibri" w:hAnsi="Calibri" w:cs="Calibri"/>
        </w:rPr>
        <w:t xml:space="preserve"> </w:t>
      </w:r>
      <w:r w:rsidR="00D5746C">
        <w:rPr>
          <w:rFonts w:ascii="Calibri" w:hAnsi="Calibri" w:cs="Calibri"/>
        </w:rPr>
        <w:t xml:space="preserve">frequency </w:t>
      </w:r>
      <w:r w:rsidR="00F52D08">
        <w:rPr>
          <w:rFonts w:ascii="Calibri" w:hAnsi="Calibri" w:cs="Calibri"/>
        </w:rPr>
        <w:t xml:space="preserve">for each respondent can vary greatly due to </w:t>
      </w:r>
      <w:r w:rsidRPr="00670F75" w:rsidR="00D5746C">
        <w:rPr>
          <w:rFonts w:ascii="Calibri" w:hAnsi="Calibri" w:cs="Calibri"/>
        </w:rPr>
        <w:t>the overlapping frequencies for various monitoring requirements</w:t>
      </w:r>
      <w:r w:rsidR="00F52D08">
        <w:rPr>
          <w:rFonts w:ascii="Calibri" w:hAnsi="Calibri" w:cs="Calibri"/>
        </w:rPr>
        <w:t>. Due to this complexity, EPA is conservatively assuming that operators will submit a DMR on a quarterly basis</w:t>
      </w:r>
      <w:r w:rsidR="00F84EDF">
        <w:rPr>
          <w:rFonts w:ascii="Calibri" w:hAnsi="Calibri" w:cs="Calibri"/>
        </w:rPr>
        <w:t xml:space="preserve"> (20 times total over the permit term)</w:t>
      </w:r>
      <w:r w:rsidR="00F52D08">
        <w:rPr>
          <w:rFonts w:ascii="Calibri" w:hAnsi="Calibri" w:cs="Calibri"/>
        </w:rPr>
        <w:t xml:space="preserve">, which </w:t>
      </w:r>
      <w:r w:rsidR="00F84EDF">
        <w:rPr>
          <w:rFonts w:ascii="Calibri" w:hAnsi="Calibri" w:cs="Calibri"/>
        </w:rPr>
        <w:t>aligns with EPA’s assumption that permittees will conduct sample collection on a quarterly basis.</w:t>
      </w:r>
      <w:r w:rsidR="008F4519">
        <w:rPr>
          <w:rFonts w:ascii="Calibri" w:hAnsi="Calibri" w:cs="Calibri"/>
        </w:rPr>
        <w:t xml:space="preserve"> </w:t>
      </w:r>
    </w:p>
    <w:p w:rsidRPr="001E010D" w:rsidR="00D37535" w:rsidP="00D37535" w:rsidRDefault="00D37535" w14:paraId="614F494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018A464D" w14:textId="5E20F1D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B9760A">
        <w:rPr>
          <w:rFonts w:ascii="Calibri" w:hAnsi="Calibri" w:cs="Calibri"/>
          <w:b/>
        </w:rPr>
        <w:t xml:space="preserve"> </w:t>
      </w:r>
      <w:r w:rsidR="00B9760A">
        <w:rPr>
          <w:rFonts w:ascii="Calibri" w:hAnsi="Calibri" w:cs="Calibri"/>
        </w:rPr>
        <w:t>[No changes to the Agency burden]</w:t>
      </w:r>
    </w:p>
    <w:p w:rsidR="001B044C" w:rsidP="00D37535" w:rsidRDefault="001B044C" w14:paraId="1ECDE377" w14:textId="30EB263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Because inspection reports are not submitted to </w:t>
      </w:r>
      <w:r w:rsidR="00F414E5">
        <w:rPr>
          <w:rFonts w:ascii="Calibri" w:hAnsi="Calibri" w:cs="Calibri"/>
        </w:rPr>
        <w:t>EPA</w:t>
      </w:r>
      <w:r w:rsidRPr="001E010D">
        <w:rPr>
          <w:rFonts w:ascii="Calibri" w:hAnsi="Calibri" w:cs="Calibri"/>
        </w:rPr>
        <w:t xml:space="preserve"> (except in summary form as part of the Annual Report form), the Agency </w:t>
      </w:r>
      <w:r w:rsidR="0080363F">
        <w:rPr>
          <w:rFonts w:ascii="Calibri" w:hAnsi="Calibri" w:cs="Calibri"/>
        </w:rPr>
        <w:t xml:space="preserve">is </w:t>
      </w:r>
      <w:r w:rsidRPr="001E010D">
        <w:rPr>
          <w:rFonts w:ascii="Calibri" w:hAnsi="Calibri" w:cs="Calibri"/>
        </w:rPr>
        <w:t xml:space="preserve">not </w:t>
      </w:r>
      <w:r w:rsidR="0080363F">
        <w:rPr>
          <w:rFonts w:ascii="Calibri" w:hAnsi="Calibri" w:cs="Calibri"/>
        </w:rPr>
        <w:t>expecting</w:t>
      </w:r>
      <w:r w:rsidRPr="001E010D">
        <w:rPr>
          <w:rFonts w:ascii="Calibri" w:hAnsi="Calibri" w:cs="Calibri"/>
        </w:rPr>
        <w:t xml:space="preserve"> any Agency burden associated with this requirement</w:t>
      </w:r>
      <w:r w:rsidR="0080363F">
        <w:rPr>
          <w:rFonts w:ascii="Calibri" w:hAnsi="Calibri" w:cs="Calibri"/>
        </w:rPr>
        <w:t xml:space="preserve"> and therefore estimates 0 hours</w:t>
      </w:r>
      <w:r w:rsidRPr="001E010D">
        <w:rPr>
          <w:rFonts w:ascii="Calibri" w:hAnsi="Calibri" w:cs="Calibri"/>
        </w:rPr>
        <w:t xml:space="preserve">. </w:t>
      </w:r>
    </w:p>
    <w:p w:rsidR="00D37535" w:rsidP="00D37535" w:rsidRDefault="00D37535" w14:paraId="65BD219B" w14:textId="4CBD4A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60C1A5D1" w14:textId="4C6A9F8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Corrective Action/</w:t>
      </w:r>
      <w:r w:rsidR="0080363F">
        <w:rPr>
          <w:rFonts w:ascii="Calibri" w:hAnsi="Calibri" w:cs="Calibri"/>
          <w:b/>
        </w:rPr>
        <w:t>Additional</w:t>
      </w:r>
      <w:r w:rsidRPr="001E010D" w:rsidR="0080363F">
        <w:rPr>
          <w:rFonts w:ascii="Calibri" w:hAnsi="Calibri" w:cs="Calibri"/>
          <w:b/>
        </w:rPr>
        <w:t xml:space="preserve"> </w:t>
      </w:r>
      <w:r w:rsidRPr="001E010D">
        <w:rPr>
          <w:rFonts w:ascii="Calibri" w:hAnsi="Calibri" w:cs="Calibri"/>
          <w:b/>
        </w:rPr>
        <w:t xml:space="preserve">Implementation Measure Documentation </w:t>
      </w:r>
      <w:r w:rsidR="00EC2E2D">
        <w:rPr>
          <w:rFonts w:ascii="Calibri" w:hAnsi="Calibri" w:cs="Calibri"/>
          <w:b/>
        </w:rPr>
        <w:t>[</w:t>
      </w:r>
      <w:r w:rsidR="002948D3">
        <w:rPr>
          <w:rFonts w:ascii="Calibri" w:hAnsi="Calibri" w:cs="Calibri"/>
        </w:rPr>
        <w:t>No</w:t>
      </w:r>
      <w:r w:rsidR="000F0E8D">
        <w:rPr>
          <w:rFonts w:ascii="Calibri" w:hAnsi="Calibri" w:cs="Calibri"/>
        </w:rPr>
        <w:t xml:space="preserve"> changes to the Agency burden]</w:t>
      </w:r>
    </w:p>
    <w:p w:rsidR="001B044C" w:rsidP="00D37535" w:rsidRDefault="001B044C" w14:paraId="30EAB165" w14:textId="3176E45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Because corrective action/AIM documentation is not submitted to </w:t>
      </w:r>
      <w:r w:rsidR="00F414E5">
        <w:rPr>
          <w:rFonts w:ascii="Calibri" w:hAnsi="Calibri" w:cs="Calibri"/>
        </w:rPr>
        <w:t>EPA</w:t>
      </w:r>
      <w:r w:rsidRPr="001E010D">
        <w:rPr>
          <w:rFonts w:ascii="Calibri" w:hAnsi="Calibri" w:cs="Calibri"/>
        </w:rPr>
        <w:t xml:space="preserve"> (except in summary form as part of the Annual Report form), the Agency does not estimate any Agency burden associated with this requirement. </w:t>
      </w:r>
    </w:p>
    <w:p w:rsidRPr="001E010D" w:rsidR="00D37535" w:rsidP="00D37535" w:rsidRDefault="00D37535" w14:paraId="74356E2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50F17E2F" w14:textId="3921F54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0F0E8D">
        <w:rPr>
          <w:rFonts w:ascii="Calibri" w:hAnsi="Calibri" w:cs="Calibri"/>
          <w:b/>
        </w:rPr>
        <w:t xml:space="preserve"> </w:t>
      </w:r>
      <w:r w:rsidR="000F0E8D">
        <w:rPr>
          <w:rFonts w:ascii="Calibri" w:hAnsi="Calibri" w:cs="Calibri"/>
        </w:rPr>
        <w:t>[No changes to the Agency burden]</w:t>
      </w:r>
    </w:p>
    <w:p w:rsidR="001B044C" w:rsidP="00D37535" w:rsidRDefault="001B044C" w14:paraId="3D706187" w14:textId="7069EA1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Because Annual Reports are submitted electronically, </w:t>
      </w:r>
      <w:r w:rsidR="00F414E5">
        <w:rPr>
          <w:rFonts w:ascii="Calibri" w:hAnsi="Calibri" w:cs="Calibri"/>
        </w:rPr>
        <w:t>EPA</w:t>
      </w:r>
      <w:r w:rsidRPr="001E010D">
        <w:rPr>
          <w:rFonts w:ascii="Calibri" w:hAnsi="Calibri" w:cs="Calibri"/>
        </w:rPr>
        <w:t xml:space="preserve"> does not anticipate significant Agency burden associated with submittals</w:t>
      </w:r>
      <w:r w:rsidRPr="001E010D" w:rsidR="007D4BE1">
        <w:rPr>
          <w:rFonts w:ascii="Calibri" w:hAnsi="Calibri" w:cs="Calibri"/>
        </w:rPr>
        <w:t>. B</w:t>
      </w:r>
      <w:r w:rsidRPr="001E010D">
        <w:rPr>
          <w:rFonts w:ascii="Calibri" w:hAnsi="Calibri" w:cs="Calibri"/>
        </w:rPr>
        <w:t xml:space="preserve">ased on its </w:t>
      </w:r>
      <w:r w:rsidR="00EC2E2D">
        <w:rPr>
          <w:rFonts w:ascii="Calibri" w:hAnsi="Calibri" w:cs="Calibri"/>
        </w:rPr>
        <w:t xml:space="preserve">experience administering the </w:t>
      </w:r>
      <w:r w:rsidR="00647512">
        <w:rPr>
          <w:rFonts w:ascii="Calibri" w:hAnsi="Calibri" w:cs="Calibri"/>
        </w:rPr>
        <w:t xml:space="preserve">2015 </w:t>
      </w:r>
      <w:r w:rsidR="00EC2E2D">
        <w:rPr>
          <w:rFonts w:ascii="Calibri" w:hAnsi="Calibri" w:cs="Calibri"/>
        </w:rPr>
        <w:t>MSGP</w:t>
      </w:r>
      <w:r w:rsidRPr="001E010D">
        <w:rPr>
          <w:rFonts w:ascii="Calibri" w:hAnsi="Calibri" w:cs="Calibri"/>
        </w:rPr>
        <w:t xml:space="preserve">, </w:t>
      </w:r>
      <w:r w:rsidR="00F414E5">
        <w:rPr>
          <w:rFonts w:ascii="Calibri" w:hAnsi="Calibri" w:cs="Calibri"/>
        </w:rPr>
        <w:t>EPA</w:t>
      </w:r>
      <w:r w:rsidRPr="001E010D" w:rsidR="007D4BE1">
        <w:rPr>
          <w:rFonts w:ascii="Calibri" w:hAnsi="Calibri" w:cs="Calibri"/>
        </w:rPr>
        <w:t xml:space="preserve"> estimates that</w:t>
      </w:r>
      <w:r w:rsidRPr="001E010D">
        <w:rPr>
          <w:rFonts w:ascii="Calibri" w:hAnsi="Calibri" w:cs="Calibri"/>
        </w:rPr>
        <w:t xml:space="preserve"> approximately 5</w:t>
      </w:r>
      <w:r w:rsidR="007E28BA">
        <w:rPr>
          <w:rFonts w:ascii="Calibri" w:hAnsi="Calibri" w:cs="Calibri"/>
        </w:rPr>
        <w:t xml:space="preserve"> percent</w:t>
      </w:r>
      <w:r w:rsidRPr="001E010D">
        <w:rPr>
          <w:rFonts w:ascii="Calibri" w:hAnsi="Calibri" w:cs="Calibri"/>
        </w:rPr>
        <w:t xml:space="preserve"> of </w:t>
      </w:r>
      <w:r w:rsidRPr="001E010D" w:rsidR="003B30E9">
        <w:rPr>
          <w:rFonts w:ascii="Calibri" w:hAnsi="Calibri" w:cs="Calibri"/>
        </w:rPr>
        <w:t>Annual Reports</w:t>
      </w:r>
      <w:r w:rsidRPr="001E010D">
        <w:rPr>
          <w:rFonts w:ascii="Calibri" w:hAnsi="Calibri" w:cs="Calibri"/>
        </w:rPr>
        <w:t xml:space="preserve"> will require </w:t>
      </w:r>
      <w:r w:rsidR="00B7227A">
        <w:rPr>
          <w:rFonts w:ascii="Calibri" w:hAnsi="Calibri" w:cs="Calibri"/>
        </w:rPr>
        <w:t>1</w:t>
      </w:r>
      <w:r w:rsidRPr="001E010D" w:rsidR="00B7227A">
        <w:rPr>
          <w:rFonts w:ascii="Calibri" w:hAnsi="Calibri" w:cs="Calibri"/>
        </w:rPr>
        <w:t xml:space="preserve"> </w:t>
      </w:r>
      <w:r w:rsidRPr="001E010D">
        <w:rPr>
          <w:rFonts w:ascii="Calibri" w:hAnsi="Calibri" w:cs="Calibri"/>
        </w:rPr>
        <w:t xml:space="preserve">hour of EPA </w:t>
      </w:r>
      <w:r w:rsidRPr="001E010D" w:rsidR="007D4BE1">
        <w:rPr>
          <w:rFonts w:ascii="Calibri" w:hAnsi="Calibri" w:cs="Calibri"/>
        </w:rPr>
        <w:t>follow-up</w:t>
      </w:r>
      <w:r w:rsidRPr="001E010D">
        <w:rPr>
          <w:rFonts w:ascii="Calibri" w:hAnsi="Calibri" w:cs="Calibri"/>
        </w:rPr>
        <w:t xml:space="preserve">. </w:t>
      </w:r>
      <w:bookmarkStart w:name="_Hlk57938488" w:id="34"/>
      <w:r w:rsidR="00AE6681">
        <w:rPr>
          <w:rFonts w:ascii="Calibri" w:hAnsi="Calibri" w:cs="Calibri"/>
        </w:rPr>
        <w:t xml:space="preserve">This activity is not </w:t>
      </w:r>
      <w:r w:rsidR="00A90188">
        <w:rPr>
          <w:rFonts w:ascii="Calibri" w:hAnsi="Calibri" w:cs="Calibri"/>
        </w:rPr>
        <w:t xml:space="preserve">separately </w:t>
      </w:r>
      <w:r w:rsidR="00AE6681">
        <w:rPr>
          <w:rFonts w:ascii="Calibri" w:hAnsi="Calibri" w:cs="Calibri"/>
        </w:rPr>
        <w:t xml:space="preserve">accounted for in the </w:t>
      </w:r>
      <w:r w:rsidR="00932903">
        <w:rPr>
          <w:rFonts w:ascii="Calibri" w:hAnsi="Calibri" w:cs="Calibri"/>
        </w:rPr>
        <w:t xml:space="preserve">2017 </w:t>
      </w:r>
      <w:r w:rsidR="00AE6681">
        <w:rPr>
          <w:rFonts w:ascii="Calibri" w:hAnsi="Calibri" w:cs="Calibri"/>
        </w:rPr>
        <w:t>NPDES Program ICR, so this MSGP ICR effectively adds an incremental burden of 1 hour.</w:t>
      </w:r>
    </w:p>
    <w:bookmarkEnd w:id="34"/>
    <w:p w:rsidRPr="001E010D" w:rsidR="00D37535" w:rsidP="00D37535" w:rsidRDefault="00D37535" w14:paraId="73FDE510" w14:textId="648CDE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03A79" w:rsidP="00D37535" w:rsidRDefault="00403A79" w14:paraId="5C8C18A8" w14:textId="7448A18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 Exposure Certifications</w:t>
      </w:r>
      <w:r w:rsidR="000F0E8D">
        <w:rPr>
          <w:rFonts w:ascii="Calibri" w:hAnsi="Calibri" w:cs="Calibri"/>
          <w:b/>
        </w:rPr>
        <w:t xml:space="preserve"> </w:t>
      </w:r>
      <w:r w:rsidR="00EC2E2D">
        <w:rPr>
          <w:rFonts w:ascii="Calibri" w:hAnsi="Calibri" w:cs="Calibri"/>
          <w:b/>
        </w:rPr>
        <w:t>(NECs)</w:t>
      </w:r>
      <w:r w:rsidR="000F0E8D">
        <w:rPr>
          <w:rFonts w:ascii="Calibri" w:hAnsi="Calibri" w:cs="Calibri"/>
          <w:b/>
        </w:rPr>
        <w:t xml:space="preserve"> </w:t>
      </w:r>
      <w:r w:rsidR="000F0E8D">
        <w:rPr>
          <w:rFonts w:ascii="Calibri" w:hAnsi="Calibri" w:cs="Calibri"/>
        </w:rPr>
        <w:t>[No changes to the Agency burden]</w:t>
      </w:r>
    </w:p>
    <w:p w:rsidR="00E956E7" w:rsidP="00D37535" w:rsidRDefault="00E956E7" w14:paraId="60BF86AA" w14:textId="7D3920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Because N</w:t>
      </w:r>
      <w:r w:rsidR="000F0E8D">
        <w:rPr>
          <w:rFonts w:ascii="Calibri" w:hAnsi="Calibri" w:cs="Calibri"/>
        </w:rPr>
        <w:t>E</w:t>
      </w:r>
      <w:r w:rsidRPr="001E010D">
        <w:rPr>
          <w:rFonts w:ascii="Calibri" w:hAnsi="Calibri" w:cs="Calibri"/>
        </w:rPr>
        <w:t xml:space="preserve">Cs are submitted electronically, </w:t>
      </w:r>
      <w:r w:rsidR="00F414E5">
        <w:rPr>
          <w:rFonts w:ascii="Calibri" w:hAnsi="Calibri" w:cs="Calibri"/>
        </w:rPr>
        <w:t>EPA</w:t>
      </w:r>
      <w:r w:rsidRPr="001E010D">
        <w:rPr>
          <w:rFonts w:ascii="Calibri" w:hAnsi="Calibri" w:cs="Calibri"/>
        </w:rPr>
        <w:t xml:space="preserve"> does not anticipate significant Agency burden associated with their submittal. </w:t>
      </w:r>
      <w:r w:rsidR="00F414E5">
        <w:rPr>
          <w:rFonts w:ascii="Calibri" w:hAnsi="Calibri" w:cs="Calibri"/>
        </w:rPr>
        <w:t>EPA</w:t>
      </w:r>
      <w:r w:rsidRPr="001E010D">
        <w:rPr>
          <w:rFonts w:ascii="Calibri" w:hAnsi="Calibri" w:cs="Calibri"/>
        </w:rPr>
        <w:t xml:space="preserve"> estimates 0 </w:t>
      </w:r>
      <w:r w:rsidR="00E734B9">
        <w:rPr>
          <w:rFonts w:ascii="Calibri" w:hAnsi="Calibri" w:cs="Calibri"/>
        </w:rPr>
        <w:t>hours of A</w:t>
      </w:r>
      <w:r w:rsidRPr="001E010D">
        <w:rPr>
          <w:rFonts w:ascii="Calibri" w:hAnsi="Calibri" w:cs="Calibri"/>
        </w:rPr>
        <w:t xml:space="preserve">gency burden.  </w:t>
      </w:r>
    </w:p>
    <w:p w:rsidRPr="001E010D" w:rsidR="00D37535" w:rsidP="00D37535" w:rsidRDefault="00D37535" w14:paraId="1921DB8B" w14:textId="4FE7471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03A79" w:rsidP="00D37535" w:rsidRDefault="00403A79" w14:paraId="21F818C0" w14:textId="1393C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403A79" w:rsidP="00D37535" w:rsidRDefault="002B027D" w14:paraId="45DA3F9D" w14:textId="62D65544">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b/>
        </w:rPr>
        <w:t>Protection of ESA Species and Critical Habitat</w:t>
      </w:r>
      <w:r w:rsidR="000F0E8D">
        <w:rPr>
          <w:rFonts w:ascii="Calibri" w:hAnsi="Calibri" w:cs="Calibri"/>
          <w:b/>
        </w:rPr>
        <w:t xml:space="preserve"> </w:t>
      </w:r>
      <w:r w:rsidR="000F0E8D">
        <w:rPr>
          <w:rFonts w:ascii="Calibri" w:hAnsi="Calibri" w:cs="Calibri"/>
        </w:rPr>
        <w:t>[No changes to the Agency burden]</w:t>
      </w:r>
    </w:p>
    <w:p w:rsidR="00481924" w:rsidP="00D37535" w:rsidRDefault="002D18A6" w14:paraId="158645C7" w14:textId="44222C4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implementation of the 2015 MSGP, </w:t>
      </w:r>
      <w:r w:rsidRPr="001E010D" w:rsidR="00822F3A">
        <w:rPr>
          <w:rFonts w:ascii="Calibri" w:hAnsi="Calibri" w:cs="Calibri"/>
        </w:rPr>
        <w:t>the Agency</w:t>
      </w:r>
      <w:r w:rsidRPr="001E010D">
        <w:rPr>
          <w:rFonts w:ascii="Calibri" w:hAnsi="Calibri" w:cs="Calibri"/>
        </w:rPr>
        <w:t xml:space="preserve"> anticipates spending on average </w:t>
      </w:r>
      <w:r w:rsidRPr="001E010D" w:rsidR="003A7048">
        <w:rPr>
          <w:rFonts w:ascii="Calibri" w:hAnsi="Calibri" w:cs="Calibri"/>
        </w:rPr>
        <w:t>0.25</w:t>
      </w:r>
      <w:r w:rsidRPr="001E010D">
        <w:rPr>
          <w:rFonts w:ascii="Calibri" w:hAnsi="Calibri" w:cs="Calibri"/>
        </w:rPr>
        <w:t xml:space="preserve"> </w:t>
      </w:r>
      <w:r w:rsidRPr="001E010D" w:rsidR="003A7048">
        <w:rPr>
          <w:rFonts w:ascii="Calibri" w:hAnsi="Calibri" w:cs="Calibri"/>
        </w:rPr>
        <w:t>hour</w:t>
      </w:r>
      <w:r w:rsidRPr="001E010D">
        <w:rPr>
          <w:rFonts w:ascii="Calibri" w:hAnsi="Calibri" w:cs="Calibri"/>
        </w:rPr>
        <w:t xml:space="preserve"> reviewing and following</w:t>
      </w:r>
      <w:r w:rsidR="00B7227A">
        <w:rPr>
          <w:rFonts w:ascii="Calibri" w:hAnsi="Calibri" w:cs="Calibri"/>
        </w:rPr>
        <w:t xml:space="preserve"> </w:t>
      </w:r>
      <w:r w:rsidRPr="001E010D">
        <w:rPr>
          <w:rFonts w:ascii="Calibri" w:hAnsi="Calibri" w:cs="Calibri"/>
        </w:rPr>
        <w:t xml:space="preserve">up, as necessary, on </w:t>
      </w:r>
      <w:r w:rsidRPr="001E010D">
        <w:rPr>
          <w:rFonts w:ascii="Calibri" w:hAnsi="Calibri" w:cs="Calibri"/>
        </w:rPr>
        <w:lastRenderedPageBreak/>
        <w:t>each of the Criterion C forms submitted.</w:t>
      </w:r>
      <w:r w:rsidR="005B18D0">
        <w:rPr>
          <w:rFonts w:ascii="Calibri" w:hAnsi="Calibri" w:cs="Calibri"/>
        </w:rPr>
        <w:t xml:space="preserve"> </w:t>
      </w:r>
      <w:r w:rsidR="00F414E5">
        <w:rPr>
          <w:rFonts w:ascii="Calibri" w:hAnsi="Calibri" w:cs="Calibri"/>
        </w:rPr>
        <w:t>EPA</w:t>
      </w:r>
      <w:r w:rsidRPr="001E010D" w:rsidR="004334B0">
        <w:rPr>
          <w:rFonts w:ascii="Calibri" w:hAnsi="Calibri" w:cs="Calibri"/>
        </w:rPr>
        <w:t xml:space="preserve"> estimates spending an additional </w:t>
      </w:r>
      <w:r w:rsidRPr="001E010D" w:rsidR="003A7048">
        <w:rPr>
          <w:rFonts w:ascii="Calibri" w:hAnsi="Calibri" w:cs="Calibri"/>
        </w:rPr>
        <w:t>0.5 hour</w:t>
      </w:r>
      <w:r w:rsidRPr="001E010D" w:rsidR="004334B0">
        <w:rPr>
          <w:rFonts w:ascii="Calibri" w:hAnsi="Calibri" w:cs="Calibri"/>
        </w:rPr>
        <w:t xml:space="preserve"> resolving ESA </w:t>
      </w:r>
      <w:r w:rsidRPr="001E010D" w:rsidR="00780114">
        <w:rPr>
          <w:rFonts w:ascii="Calibri" w:hAnsi="Calibri" w:cs="Calibri"/>
        </w:rPr>
        <w:t>issues for 5</w:t>
      </w:r>
      <w:r w:rsidR="007E28BA">
        <w:rPr>
          <w:rFonts w:ascii="Calibri" w:hAnsi="Calibri" w:cs="Calibri"/>
        </w:rPr>
        <w:t xml:space="preserve"> percent</w:t>
      </w:r>
      <w:r w:rsidRPr="001E010D" w:rsidR="00780114">
        <w:rPr>
          <w:rFonts w:ascii="Calibri" w:hAnsi="Calibri" w:cs="Calibri"/>
        </w:rPr>
        <w:t xml:space="preserve"> of </w:t>
      </w:r>
      <w:r w:rsidR="001619D9">
        <w:rPr>
          <w:rFonts w:ascii="Calibri" w:hAnsi="Calibri" w:cs="Calibri"/>
        </w:rPr>
        <w:t>respondents</w:t>
      </w:r>
      <w:r w:rsidRPr="001E010D" w:rsidR="009D3BE5">
        <w:rPr>
          <w:rFonts w:ascii="Calibri" w:hAnsi="Calibri" w:cs="Calibri"/>
        </w:rPr>
        <w:t xml:space="preserve"> throughout the permit term</w:t>
      </w:r>
      <w:r w:rsidRPr="001E010D" w:rsidR="00780114">
        <w:rPr>
          <w:rFonts w:ascii="Calibri" w:hAnsi="Calibri" w:cs="Calibri"/>
        </w:rPr>
        <w:t xml:space="preserve">. </w:t>
      </w:r>
      <w:r w:rsidR="007A6C68">
        <w:rPr>
          <w:rFonts w:ascii="Calibri" w:hAnsi="Calibri" w:cs="Calibri"/>
        </w:rPr>
        <w:t xml:space="preserve">This activity is not </w:t>
      </w:r>
      <w:r w:rsidR="00B744D4">
        <w:rPr>
          <w:rFonts w:ascii="Calibri" w:hAnsi="Calibri" w:cs="Calibri"/>
        </w:rPr>
        <w:t xml:space="preserve">separately </w:t>
      </w:r>
      <w:r w:rsidR="007A6C68">
        <w:rPr>
          <w:rFonts w:ascii="Calibri" w:hAnsi="Calibri" w:cs="Calibri"/>
        </w:rPr>
        <w:t xml:space="preserve">accounted for in the </w:t>
      </w:r>
      <w:r w:rsidR="001A6B49">
        <w:rPr>
          <w:rFonts w:ascii="Calibri" w:hAnsi="Calibri" w:cs="Calibri"/>
        </w:rPr>
        <w:t xml:space="preserve">2017 </w:t>
      </w:r>
      <w:r w:rsidR="007A6C68">
        <w:rPr>
          <w:rFonts w:ascii="Calibri" w:hAnsi="Calibri" w:cs="Calibri"/>
        </w:rPr>
        <w:t>NPDES Program ICR, so this MSGP ICR effectively adds incremental burden</w:t>
      </w:r>
      <w:r w:rsidR="006B09E0">
        <w:rPr>
          <w:rFonts w:ascii="Calibri" w:hAnsi="Calibri" w:cs="Calibri"/>
        </w:rPr>
        <w:t>s</w:t>
      </w:r>
      <w:r w:rsidR="007A6C68">
        <w:rPr>
          <w:rFonts w:ascii="Calibri" w:hAnsi="Calibri" w:cs="Calibri"/>
        </w:rPr>
        <w:t xml:space="preserve"> of 0.25 and 0.5 hours.</w:t>
      </w:r>
    </w:p>
    <w:p w:rsidRPr="001E010D" w:rsidR="00FB684A" w:rsidP="00D37535" w:rsidRDefault="00FB684A" w14:paraId="7C9CE4E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403A79" w:rsidP="009419EA" w:rsidRDefault="002B027D" w14:paraId="7BDC96D7" w14:textId="49F83B5C">
      <w:pPr>
        <w:pStyle w:val="ListParagraph"/>
        <w:keepNext/>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b/>
        </w:rPr>
        <w:t>Historic Properties Preservation</w:t>
      </w:r>
      <w:r w:rsidR="000F0E8D">
        <w:rPr>
          <w:rFonts w:ascii="Calibri" w:hAnsi="Calibri" w:cs="Calibri"/>
          <w:b/>
        </w:rPr>
        <w:t xml:space="preserve"> </w:t>
      </w:r>
      <w:r w:rsidR="000F0E8D">
        <w:rPr>
          <w:rFonts w:ascii="Calibri" w:hAnsi="Calibri" w:cs="Calibri"/>
        </w:rPr>
        <w:t>[No changes to the Agency burden]</w:t>
      </w:r>
    </w:p>
    <w:p w:rsidR="000A53CF" w:rsidP="00D37535" w:rsidRDefault="000A53CF" w14:paraId="6479C3AD" w14:textId="1C897D1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the 2015 MSGP, </w:t>
      </w:r>
      <w:r w:rsidR="00F414E5">
        <w:rPr>
          <w:rFonts w:ascii="Calibri" w:hAnsi="Calibri" w:cs="Calibri"/>
        </w:rPr>
        <w:t>EPA</w:t>
      </w:r>
      <w:r w:rsidRPr="001E010D">
        <w:rPr>
          <w:rFonts w:ascii="Calibri" w:hAnsi="Calibri" w:cs="Calibri"/>
        </w:rPr>
        <w:t xml:space="preserve"> anticipates spending approximately </w:t>
      </w:r>
      <w:r w:rsidR="00B7227A">
        <w:rPr>
          <w:rFonts w:ascii="Calibri" w:hAnsi="Calibri" w:cs="Calibri"/>
        </w:rPr>
        <w:t>1</w:t>
      </w:r>
      <w:r w:rsidRPr="001E010D" w:rsidR="00B7227A">
        <w:rPr>
          <w:rFonts w:ascii="Calibri" w:hAnsi="Calibri" w:cs="Calibri"/>
        </w:rPr>
        <w:t xml:space="preserve"> </w:t>
      </w:r>
      <w:r w:rsidRPr="001E010D" w:rsidR="00401034">
        <w:rPr>
          <w:rFonts w:ascii="Calibri" w:hAnsi="Calibri" w:cs="Calibri"/>
        </w:rPr>
        <w:t xml:space="preserve">hour assisting the small subset of </w:t>
      </w:r>
      <w:r w:rsidRPr="001E010D" w:rsidR="00AD3048">
        <w:rPr>
          <w:rFonts w:ascii="Calibri" w:hAnsi="Calibri" w:cs="Calibri"/>
        </w:rPr>
        <w:t xml:space="preserve">estimated </w:t>
      </w:r>
      <w:r w:rsidR="0091765A">
        <w:rPr>
          <w:rFonts w:ascii="Calibri" w:hAnsi="Calibri" w:cs="Calibri"/>
        </w:rPr>
        <w:t>6</w:t>
      </w:r>
      <w:r w:rsidR="00F914FD">
        <w:rPr>
          <w:rFonts w:ascii="Calibri" w:hAnsi="Calibri" w:cs="Calibri"/>
        </w:rPr>
        <w:t>0</w:t>
      </w:r>
      <w:r w:rsidRPr="001E010D" w:rsidR="00E734B9">
        <w:rPr>
          <w:rFonts w:ascii="Calibri" w:hAnsi="Calibri" w:cs="Calibri"/>
        </w:rPr>
        <w:t xml:space="preserve"> </w:t>
      </w:r>
      <w:r w:rsidR="001619D9">
        <w:rPr>
          <w:rFonts w:ascii="Calibri" w:hAnsi="Calibri" w:cs="Calibri"/>
        </w:rPr>
        <w:t>respondents</w:t>
      </w:r>
      <w:r w:rsidRPr="001E010D" w:rsidR="00401034">
        <w:rPr>
          <w:rFonts w:ascii="Calibri" w:hAnsi="Calibri" w:cs="Calibri"/>
        </w:rPr>
        <w:t xml:space="preserve"> that have to </w:t>
      </w:r>
      <w:r w:rsidRPr="001E010D" w:rsidR="00822F3A">
        <w:rPr>
          <w:rFonts w:ascii="Calibri" w:hAnsi="Calibri" w:cs="Calibri"/>
        </w:rPr>
        <w:t>contact the SHPO/THP</w:t>
      </w:r>
      <w:r w:rsidR="00882EC7">
        <w:rPr>
          <w:rFonts w:ascii="Calibri" w:hAnsi="Calibri" w:cs="Calibri"/>
        </w:rPr>
        <w:t>O</w:t>
      </w:r>
      <w:r w:rsidRPr="001E010D" w:rsidR="00822F3A">
        <w:rPr>
          <w:rFonts w:ascii="Calibri" w:hAnsi="Calibri" w:cs="Calibri"/>
        </w:rPr>
        <w:t xml:space="preserve"> with regard to historic properties eligibility. </w:t>
      </w:r>
      <w:r w:rsidRPr="00F914FD" w:rsidR="00F914FD">
        <w:rPr>
          <w:rFonts w:ascii="Calibri" w:hAnsi="Calibri" w:cs="Calibri"/>
        </w:rPr>
        <w:t xml:space="preserve">This activity is not </w:t>
      </w:r>
      <w:r w:rsidR="00B744D4">
        <w:rPr>
          <w:rFonts w:ascii="Calibri" w:hAnsi="Calibri" w:cs="Calibri"/>
        </w:rPr>
        <w:t xml:space="preserve">separately </w:t>
      </w:r>
      <w:r w:rsidRPr="00F914FD" w:rsidR="00F914FD">
        <w:rPr>
          <w:rFonts w:ascii="Calibri" w:hAnsi="Calibri" w:cs="Calibri"/>
        </w:rPr>
        <w:t xml:space="preserve">accounted for in the </w:t>
      </w:r>
      <w:r w:rsidR="001A6B49">
        <w:rPr>
          <w:rFonts w:ascii="Calibri" w:hAnsi="Calibri" w:cs="Calibri"/>
        </w:rPr>
        <w:t xml:space="preserve">2017 </w:t>
      </w:r>
      <w:r w:rsidRPr="00F914FD" w:rsidR="00F914FD">
        <w:rPr>
          <w:rFonts w:ascii="Calibri" w:hAnsi="Calibri" w:cs="Calibri"/>
        </w:rPr>
        <w:t>NPDES Program ICR, so this MSGP ICR effectively adds an incremental burden of 1 hour.</w:t>
      </w:r>
    </w:p>
    <w:p w:rsidRPr="001E010D" w:rsidR="00FB684A" w:rsidP="00D37535" w:rsidRDefault="00FB684A" w14:paraId="706FBD6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403A79" w:rsidP="00D37535" w:rsidRDefault="00403A79" w14:paraId="521AFD5B" w14:textId="7A3D9BF7">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New Discharges and New Sources to Water Quality-Impaired Waters </w:t>
      </w:r>
      <w:r w:rsidR="000F0E8D">
        <w:rPr>
          <w:rFonts w:ascii="Calibri" w:hAnsi="Calibri" w:cs="Calibri"/>
        </w:rPr>
        <w:t>[No changes to the Agency burden]</w:t>
      </w:r>
    </w:p>
    <w:p w:rsidR="00BD1B17" w:rsidP="00D37535" w:rsidRDefault="00BD1B17" w14:paraId="36021E8B" w14:textId="2D84061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the 2015 MSGP, </w:t>
      </w:r>
      <w:r w:rsidR="00F414E5">
        <w:rPr>
          <w:rFonts w:ascii="Calibri" w:hAnsi="Calibri" w:cs="Calibri"/>
        </w:rPr>
        <w:t>EPA</w:t>
      </w:r>
      <w:r w:rsidRPr="001E010D">
        <w:rPr>
          <w:rFonts w:ascii="Calibri" w:hAnsi="Calibri" w:cs="Calibri"/>
        </w:rPr>
        <w:t xml:space="preserve"> anticipates spending approximately </w:t>
      </w:r>
      <w:r w:rsidR="00B7227A">
        <w:rPr>
          <w:rFonts w:ascii="Calibri" w:hAnsi="Calibri" w:cs="Calibri"/>
        </w:rPr>
        <w:t>1</w:t>
      </w:r>
      <w:r w:rsidRPr="001E010D" w:rsidR="00B7227A">
        <w:rPr>
          <w:rFonts w:ascii="Calibri" w:hAnsi="Calibri" w:cs="Calibri"/>
        </w:rPr>
        <w:t xml:space="preserve"> </w:t>
      </w:r>
      <w:r w:rsidRPr="001E010D">
        <w:rPr>
          <w:rFonts w:ascii="Calibri" w:hAnsi="Calibri" w:cs="Calibri"/>
        </w:rPr>
        <w:t>hour assisting the small subset of</w:t>
      </w:r>
      <w:r w:rsidR="006A05C8">
        <w:rPr>
          <w:rFonts w:ascii="Calibri" w:hAnsi="Calibri" w:cs="Calibri"/>
        </w:rPr>
        <w:t xml:space="preserve"> the</w:t>
      </w:r>
      <w:r w:rsidRPr="001E010D">
        <w:rPr>
          <w:rFonts w:ascii="Calibri" w:hAnsi="Calibri" w:cs="Calibri"/>
        </w:rPr>
        <w:t xml:space="preserve"> estimated </w:t>
      </w:r>
      <w:r w:rsidR="0091765A">
        <w:rPr>
          <w:rFonts w:ascii="Calibri" w:hAnsi="Calibri" w:cs="Calibri"/>
        </w:rPr>
        <w:t>45</w:t>
      </w:r>
      <w:r w:rsidRPr="001E010D" w:rsidR="00A8619C">
        <w:rPr>
          <w:rFonts w:ascii="Calibri" w:hAnsi="Calibri" w:cs="Calibri"/>
        </w:rPr>
        <w:t xml:space="preserve"> </w:t>
      </w:r>
      <w:r w:rsidR="001619D9">
        <w:rPr>
          <w:rFonts w:ascii="Calibri" w:hAnsi="Calibri" w:cs="Calibri"/>
        </w:rPr>
        <w:t>respondents</w:t>
      </w:r>
      <w:r w:rsidRPr="001E010D">
        <w:rPr>
          <w:rFonts w:ascii="Calibri" w:hAnsi="Calibri" w:cs="Calibri"/>
        </w:rPr>
        <w:t xml:space="preserve"> that </w:t>
      </w:r>
      <w:r w:rsidRPr="001E010D" w:rsidR="00A83CE0">
        <w:rPr>
          <w:rFonts w:ascii="Calibri" w:hAnsi="Calibri" w:cs="Calibri"/>
        </w:rPr>
        <w:t>are subject to the new discharges and new sources to water quality-impaired waters</w:t>
      </w:r>
      <w:r w:rsidRPr="001E010D">
        <w:rPr>
          <w:rFonts w:ascii="Calibri" w:hAnsi="Calibri" w:cs="Calibri"/>
        </w:rPr>
        <w:t xml:space="preserve">. </w:t>
      </w:r>
      <w:r w:rsidRPr="00F914FD" w:rsidR="00F914FD">
        <w:rPr>
          <w:rFonts w:ascii="Calibri" w:hAnsi="Calibri" w:cs="Calibri"/>
        </w:rPr>
        <w:t xml:space="preserve">This activity is not </w:t>
      </w:r>
      <w:r w:rsidR="00B744D4">
        <w:rPr>
          <w:rFonts w:ascii="Calibri" w:hAnsi="Calibri" w:cs="Calibri"/>
        </w:rPr>
        <w:t xml:space="preserve">separately </w:t>
      </w:r>
      <w:r w:rsidRPr="00F914FD" w:rsidR="00F914FD">
        <w:rPr>
          <w:rFonts w:ascii="Calibri" w:hAnsi="Calibri" w:cs="Calibri"/>
        </w:rPr>
        <w:t xml:space="preserve">accounted for in the </w:t>
      </w:r>
      <w:r w:rsidR="001A6B49">
        <w:rPr>
          <w:rFonts w:ascii="Calibri" w:hAnsi="Calibri" w:cs="Calibri"/>
        </w:rPr>
        <w:t xml:space="preserve">2017 </w:t>
      </w:r>
      <w:r w:rsidRPr="00F914FD" w:rsidR="00F914FD">
        <w:rPr>
          <w:rFonts w:ascii="Calibri" w:hAnsi="Calibri" w:cs="Calibri"/>
        </w:rPr>
        <w:t>NPDES Program ICR, so this MSGP ICR effectively adds an incremental burden of 1 hour.</w:t>
      </w:r>
    </w:p>
    <w:p w:rsidRPr="001E010D" w:rsidR="00C049EB" w:rsidP="00D37535" w:rsidRDefault="00C049EB" w14:paraId="3C6D295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403A79" w:rsidP="00D37535" w:rsidRDefault="00403A79" w14:paraId="64D432C5" w14:textId="615A761D">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0F0E8D">
        <w:rPr>
          <w:rFonts w:ascii="Calibri" w:hAnsi="Calibri" w:cs="Calibri"/>
          <w:b/>
        </w:rPr>
        <w:t xml:space="preserve"> </w:t>
      </w:r>
      <w:r w:rsidR="000F0E8D">
        <w:rPr>
          <w:rFonts w:ascii="Calibri" w:hAnsi="Calibri" w:cs="Calibri"/>
        </w:rPr>
        <w:t>[</w:t>
      </w:r>
      <w:r w:rsidR="001C4EEA">
        <w:rPr>
          <w:rFonts w:ascii="Calibri" w:hAnsi="Calibri" w:cs="Calibri"/>
        </w:rPr>
        <w:t>Changes</w:t>
      </w:r>
      <w:r w:rsidR="000F0E8D">
        <w:rPr>
          <w:rFonts w:ascii="Calibri" w:hAnsi="Calibri" w:cs="Calibri"/>
        </w:rPr>
        <w:t xml:space="preserve"> to the Agency burden]</w:t>
      </w:r>
    </w:p>
    <w:p w:rsidR="00D3772D" w:rsidP="00D37535" w:rsidRDefault="00D3772D" w14:paraId="10829876" w14:textId="3CEB70B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the 2015 MSGP, </w:t>
      </w:r>
      <w:r w:rsidR="00F414E5">
        <w:rPr>
          <w:rFonts w:ascii="Calibri" w:hAnsi="Calibri" w:cs="Calibri"/>
        </w:rPr>
        <w:t>EPA</w:t>
      </w:r>
      <w:r w:rsidRPr="001E010D">
        <w:rPr>
          <w:rFonts w:ascii="Calibri" w:hAnsi="Calibri" w:cs="Calibri"/>
        </w:rPr>
        <w:t xml:space="preserve"> anticipates spending approximately </w:t>
      </w:r>
      <w:r w:rsidR="00B7227A">
        <w:rPr>
          <w:rFonts w:ascii="Calibri" w:hAnsi="Calibri" w:cs="Calibri"/>
        </w:rPr>
        <w:t>2</w:t>
      </w:r>
      <w:r w:rsidRPr="001E010D" w:rsidR="00B7227A">
        <w:rPr>
          <w:rFonts w:ascii="Calibri" w:hAnsi="Calibri" w:cs="Calibri"/>
        </w:rPr>
        <w:t xml:space="preserve"> </w:t>
      </w:r>
      <w:r w:rsidRPr="001E010D">
        <w:rPr>
          <w:rFonts w:ascii="Calibri" w:hAnsi="Calibri" w:cs="Calibri"/>
        </w:rPr>
        <w:t xml:space="preserve">hours assisting the small subset of </w:t>
      </w:r>
      <w:r w:rsidR="006A05C8">
        <w:rPr>
          <w:rFonts w:ascii="Calibri" w:hAnsi="Calibri" w:cs="Calibri"/>
        </w:rPr>
        <w:t xml:space="preserve">the </w:t>
      </w:r>
      <w:r w:rsidRPr="001E010D">
        <w:rPr>
          <w:rFonts w:ascii="Calibri" w:hAnsi="Calibri" w:cs="Calibri"/>
        </w:rPr>
        <w:t xml:space="preserve">estimated </w:t>
      </w:r>
      <w:r w:rsidR="00856F70">
        <w:rPr>
          <w:rFonts w:ascii="Calibri" w:hAnsi="Calibri" w:cs="Calibri"/>
        </w:rPr>
        <w:t>10</w:t>
      </w:r>
      <w:r w:rsidRPr="001E010D" w:rsidR="00E734B9">
        <w:rPr>
          <w:rFonts w:ascii="Calibri" w:hAnsi="Calibri" w:cs="Calibri"/>
        </w:rPr>
        <w:t xml:space="preserve"> </w:t>
      </w:r>
      <w:r w:rsidR="001619D9">
        <w:rPr>
          <w:rFonts w:ascii="Calibri" w:hAnsi="Calibri" w:cs="Calibri"/>
        </w:rPr>
        <w:t>respondents</w:t>
      </w:r>
      <w:r w:rsidRPr="001E010D">
        <w:rPr>
          <w:rFonts w:ascii="Calibri" w:hAnsi="Calibri" w:cs="Calibri"/>
        </w:rPr>
        <w:t xml:space="preserve"> that may be subject to Federal CERCLA site discharge eligibility requirements. </w:t>
      </w:r>
      <w:r w:rsidRPr="00F914FD" w:rsidR="00F914FD">
        <w:rPr>
          <w:rFonts w:ascii="Calibri" w:hAnsi="Calibri" w:cs="Calibri"/>
        </w:rPr>
        <w:t xml:space="preserve">This activity is not </w:t>
      </w:r>
      <w:r w:rsidR="00B744D4">
        <w:rPr>
          <w:rFonts w:ascii="Calibri" w:hAnsi="Calibri" w:cs="Calibri"/>
        </w:rPr>
        <w:t xml:space="preserve">separately </w:t>
      </w:r>
      <w:r w:rsidRPr="00F914FD" w:rsidR="00F914FD">
        <w:rPr>
          <w:rFonts w:ascii="Calibri" w:hAnsi="Calibri" w:cs="Calibri"/>
        </w:rPr>
        <w:t xml:space="preserve">accounted for in the </w:t>
      </w:r>
      <w:r w:rsidR="001A6B49">
        <w:rPr>
          <w:rFonts w:ascii="Calibri" w:hAnsi="Calibri" w:cs="Calibri"/>
        </w:rPr>
        <w:t xml:space="preserve">2017 </w:t>
      </w:r>
      <w:r w:rsidRPr="00F914FD" w:rsidR="00F914FD">
        <w:rPr>
          <w:rFonts w:ascii="Calibri" w:hAnsi="Calibri" w:cs="Calibri"/>
        </w:rPr>
        <w:t xml:space="preserve">NPDES Program ICR, so this MSGP ICR effectively adds an incremental burden of </w:t>
      </w:r>
      <w:r w:rsidR="00F914FD">
        <w:rPr>
          <w:rFonts w:ascii="Calibri" w:hAnsi="Calibri" w:cs="Calibri"/>
        </w:rPr>
        <w:t>2</w:t>
      </w:r>
      <w:r w:rsidRPr="00F914FD" w:rsidR="00F914FD">
        <w:rPr>
          <w:rFonts w:ascii="Calibri" w:hAnsi="Calibri" w:cs="Calibri"/>
        </w:rPr>
        <w:t xml:space="preserve"> hour</w:t>
      </w:r>
      <w:r w:rsidR="00F914FD">
        <w:rPr>
          <w:rFonts w:ascii="Calibri" w:hAnsi="Calibri" w:cs="Calibri"/>
        </w:rPr>
        <w:t>s</w:t>
      </w:r>
      <w:r w:rsidRPr="00F914FD" w:rsidR="00F914FD">
        <w:rPr>
          <w:rFonts w:ascii="Calibri" w:hAnsi="Calibri" w:cs="Calibri"/>
        </w:rPr>
        <w:t>.</w:t>
      </w:r>
    </w:p>
    <w:p w:rsidRPr="001E010D" w:rsidR="00DC02FB" w:rsidP="00D37535" w:rsidRDefault="00DC02FB" w14:paraId="6E67659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403A79" w:rsidP="00D37535" w:rsidRDefault="00403A79" w14:paraId="51907A62" w14:textId="10A7CE48">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0F0E8D">
        <w:rPr>
          <w:rFonts w:ascii="Calibri" w:hAnsi="Calibri" w:cs="Calibri"/>
          <w:b/>
        </w:rPr>
        <w:t xml:space="preserve"> </w:t>
      </w:r>
      <w:r w:rsidR="000F0E8D">
        <w:rPr>
          <w:rFonts w:ascii="Calibri" w:hAnsi="Calibri" w:cs="Calibri"/>
        </w:rPr>
        <w:t>[No changes to the Agency burden]</w:t>
      </w:r>
    </w:p>
    <w:p w:rsidR="00D3772D" w:rsidP="00D37535" w:rsidRDefault="00D3772D" w14:paraId="08616683" w14:textId="2F4FB8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the 2015 MSGP, </w:t>
      </w:r>
      <w:r w:rsidR="00F414E5">
        <w:rPr>
          <w:rFonts w:ascii="Calibri" w:hAnsi="Calibri" w:cs="Calibri"/>
        </w:rPr>
        <w:t>EPA</w:t>
      </w:r>
      <w:r w:rsidRPr="001E010D">
        <w:rPr>
          <w:rFonts w:ascii="Calibri" w:hAnsi="Calibri" w:cs="Calibri"/>
        </w:rPr>
        <w:t xml:space="preserve"> anticipates spending approximately </w:t>
      </w:r>
      <w:r w:rsidR="00B7227A">
        <w:rPr>
          <w:rFonts w:ascii="Calibri" w:hAnsi="Calibri" w:cs="Calibri"/>
        </w:rPr>
        <w:t>2</w:t>
      </w:r>
      <w:r w:rsidRPr="001E010D" w:rsidR="00B7227A">
        <w:rPr>
          <w:rFonts w:ascii="Calibri" w:hAnsi="Calibri" w:cs="Calibri"/>
        </w:rPr>
        <w:t xml:space="preserve"> </w:t>
      </w:r>
      <w:r w:rsidRPr="001E010D">
        <w:rPr>
          <w:rFonts w:ascii="Calibri" w:hAnsi="Calibri" w:cs="Calibri"/>
        </w:rPr>
        <w:t xml:space="preserve">hours assisting the small subset of estimated </w:t>
      </w:r>
      <w:r w:rsidRPr="001E010D" w:rsidR="00736FBB">
        <w:rPr>
          <w:rFonts w:ascii="Calibri" w:hAnsi="Calibri" w:cs="Calibri"/>
        </w:rPr>
        <w:t>20</w:t>
      </w:r>
      <w:r w:rsidRPr="001E010D">
        <w:rPr>
          <w:rFonts w:ascii="Calibri" w:hAnsi="Calibri" w:cs="Calibri"/>
        </w:rPr>
        <w:t xml:space="preserve"> </w:t>
      </w:r>
      <w:r w:rsidR="001619D9">
        <w:rPr>
          <w:rFonts w:ascii="Calibri" w:hAnsi="Calibri" w:cs="Calibri"/>
        </w:rPr>
        <w:t>respondents</w:t>
      </w:r>
      <w:r w:rsidRPr="001E010D">
        <w:rPr>
          <w:rFonts w:ascii="Calibri" w:hAnsi="Calibri" w:cs="Calibri"/>
        </w:rPr>
        <w:t xml:space="preserve"> that may be required to submit Numeric Effluent Limit exceedance reports. </w:t>
      </w:r>
      <w:r w:rsidRPr="00F914FD" w:rsidR="00F914FD">
        <w:rPr>
          <w:rFonts w:ascii="Calibri" w:hAnsi="Calibri" w:cs="Calibri"/>
        </w:rPr>
        <w:t xml:space="preserve">This activity is not </w:t>
      </w:r>
      <w:r w:rsidR="00B744D4">
        <w:rPr>
          <w:rFonts w:ascii="Calibri" w:hAnsi="Calibri" w:cs="Calibri"/>
        </w:rPr>
        <w:t xml:space="preserve">separately </w:t>
      </w:r>
      <w:r w:rsidRPr="00F914FD" w:rsidR="00F914FD">
        <w:rPr>
          <w:rFonts w:ascii="Calibri" w:hAnsi="Calibri" w:cs="Calibri"/>
        </w:rPr>
        <w:t xml:space="preserve">accounted for in the </w:t>
      </w:r>
      <w:r w:rsidR="001A6B49">
        <w:rPr>
          <w:rFonts w:ascii="Calibri" w:hAnsi="Calibri" w:cs="Calibri"/>
        </w:rPr>
        <w:t xml:space="preserve">2017 </w:t>
      </w:r>
      <w:r w:rsidRPr="00F914FD" w:rsidR="00F914FD">
        <w:rPr>
          <w:rFonts w:ascii="Calibri" w:hAnsi="Calibri" w:cs="Calibri"/>
        </w:rPr>
        <w:t xml:space="preserve">NPDES Program ICR, so this MSGP ICR effectively adds an incremental burden of </w:t>
      </w:r>
      <w:r w:rsidR="00F914FD">
        <w:rPr>
          <w:rFonts w:ascii="Calibri" w:hAnsi="Calibri" w:cs="Calibri"/>
        </w:rPr>
        <w:t>2</w:t>
      </w:r>
      <w:r w:rsidRPr="00F914FD" w:rsidR="00F914FD">
        <w:rPr>
          <w:rFonts w:ascii="Calibri" w:hAnsi="Calibri" w:cs="Calibri"/>
        </w:rPr>
        <w:t xml:space="preserve"> hour</w:t>
      </w:r>
      <w:r w:rsidR="00F914FD">
        <w:rPr>
          <w:rFonts w:ascii="Calibri" w:hAnsi="Calibri" w:cs="Calibri"/>
        </w:rPr>
        <w:t>s</w:t>
      </w:r>
      <w:r w:rsidRPr="00F914FD" w:rsidR="00F914FD">
        <w:rPr>
          <w:rFonts w:ascii="Calibri" w:hAnsi="Calibri" w:cs="Calibri"/>
        </w:rPr>
        <w:t>.</w:t>
      </w:r>
    </w:p>
    <w:p w:rsidRPr="001E010D" w:rsidR="001E3CF8" w:rsidP="00D37535" w:rsidRDefault="001E3CF8" w14:paraId="2EC8B4E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403A79" w:rsidP="00D37535" w:rsidRDefault="00403A79" w14:paraId="2803396C" w14:textId="797392AD">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Additional Reporting </w:t>
      </w:r>
      <w:r w:rsidR="000F0E8D">
        <w:rPr>
          <w:rFonts w:ascii="Calibri" w:hAnsi="Calibri" w:cs="Calibri"/>
        </w:rPr>
        <w:t>[No changes to the Agency burden]</w:t>
      </w:r>
    </w:p>
    <w:p w:rsidRPr="001E010D" w:rsidR="00D3772D" w:rsidP="00D37535" w:rsidRDefault="00D3772D" w14:paraId="3B6416EF" w14:textId="2060446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w:t>
      </w:r>
      <w:r w:rsidR="00F414E5">
        <w:rPr>
          <w:rFonts w:ascii="Calibri" w:hAnsi="Calibri" w:cs="Calibri"/>
        </w:rPr>
        <w:t>EPA</w:t>
      </w:r>
      <w:r w:rsidRPr="001E010D">
        <w:rPr>
          <w:rFonts w:ascii="Calibri" w:hAnsi="Calibri" w:cs="Calibri"/>
        </w:rPr>
        <w:t xml:space="preserve">’s experience with the 2015 MSGP, </w:t>
      </w:r>
      <w:r w:rsidR="00F414E5">
        <w:rPr>
          <w:rFonts w:ascii="Calibri" w:hAnsi="Calibri" w:cs="Calibri"/>
        </w:rPr>
        <w:t>EPA</w:t>
      </w:r>
      <w:r w:rsidRPr="001E010D">
        <w:rPr>
          <w:rFonts w:ascii="Calibri" w:hAnsi="Calibri" w:cs="Calibri"/>
        </w:rPr>
        <w:t xml:space="preserve"> anticipates spending approximately </w:t>
      </w:r>
      <w:r w:rsidR="00B7227A">
        <w:rPr>
          <w:rFonts w:ascii="Calibri" w:hAnsi="Calibri" w:cs="Calibri"/>
        </w:rPr>
        <w:t>2</w:t>
      </w:r>
      <w:r w:rsidRPr="001E010D" w:rsidR="00B7227A">
        <w:rPr>
          <w:rFonts w:ascii="Calibri" w:hAnsi="Calibri" w:cs="Calibri"/>
        </w:rPr>
        <w:t xml:space="preserve"> </w:t>
      </w:r>
      <w:r w:rsidRPr="001E010D">
        <w:rPr>
          <w:rFonts w:ascii="Calibri" w:hAnsi="Calibri" w:cs="Calibri"/>
        </w:rPr>
        <w:t xml:space="preserve">hours </w:t>
      </w:r>
      <w:r w:rsidRPr="001E010D" w:rsidR="00496EF6">
        <w:rPr>
          <w:rFonts w:ascii="Calibri" w:hAnsi="Calibri" w:cs="Calibri"/>
        </w:rPr>
        <w:t>on</w:t>
      </w:r>
      <w:r w:rsidRPr="001E010D">
        <w:rPr>
          <w:rFonts w:ascii="Calibri" w:hAnsi="Calibri" w:cs="Calibri"/>
        </w:rPr>
        <w:t xml:space="preserve"> the small subset of estimated </w:t>
      </w:r>
      <w:r w:rsidR="005158A9">
        <w:rPr>
          <w:rFonts w:ascii="Calibri" w:hAnsi="Calibri" w:cs="Calibri"/>
        </w:rPr>
        <w:t>180</w:t>
      </w:r>
      <w:r w:rsidRPr="001E010D" w:rsidR="0039721E">
        <w:rPr>
          <w:rFonts w:ascii="Calibri" w:hAnsi="Calibri" w:cs="Calibri"/>
        </w:rPr>
        <w:t xml:space="preserve"> </w:t>
      </w:r>
      <w:r w:rsidRPr="001E010D" w:rsidR="00496EF6">
        <w:rPr>
          <w:rFonts w:ascii="Calibri" w:hAnsi="Calibri" w:cs="Calibri"/>
        </w:rPr>
        <w:t xml:space="preserve">additional reports. </w:t>
      </w:r>
      <w:r w:rsidRPr="00A656E8" w:rsidR="00771990">
        <w:rPr>
          <w:rFonts w:ascii="Calibri" w:hAnsi="Calibri" w:cs="Calibri"/>
        </w:rPr>
        <w:t>The NPDES Program ICR</w:t>
      </w:r>
      <w:r w:rsidR="00771990">
        <w:rPr>
          <w:rFonts w:ascii="Calibri" w:hAnsi="Calibri" w:cs="Calibri"/>
        </w:rPr>
        <w:t xml:space="preserve"> accounts for 4 to 20 hours of burden for this activity</w:t>
      </w:r>
      <w:r w:rsidRPr="00A656E8" w:rsidR="00771990">
        <w:rPr>
          <w:rFonts w:ascii="Calibri" w:hAnsi="Calibri" w:cs="Calibri"/>
        </w:rPr>
        <w:t>,</w:t>
      </w:r>
      <w:r w:rsidR="00771990">
        <w:rPr>
          <w:rFonts w:ascii="Calibri" w:hAnsi="Calibri" w:cs="Calibri"/>
        </w:rPr>
        <w:t xml:space="preserve"> which covers the estimated burden for this activity under the 2021 MSGP, thus</w:t>
      </w:r>
      <w:r w:rsidRPr="00A656E8" w:rsidR="00771990">
        <w:rPr>
          <w:rFonts w:ascii="Calibri" w:hAnsi="Calibri" w:cs="Calibri"/>
        </w:rPr>
        <w:t xml:space="preserve"> this MSGP ICR adds no incremental burden to this activity</w:t>
      </w:r>
      <w:r w:rsidR="00771990">
        <w:rPr>
          <w:rFonts w:ascii="Calibri" w:hAnsi="Calibri" w:cs="Calibri"/>
        </w:rPr>
        <w:t>.</w:t>
      </w:r>
    </w:p>
    <w:p w:rsidR="002B027D" w:rsidP="00D37535" w:rsidRDefault="00F414E5" w14:paraId="4854CFA8" w14:textId="2E772EB7">
      <w:pPr>
        <w:spacing w:after="100" w:afterAutospacing="1" w:line="240" w:lineRule="auto"/>
        <w:contextualSpacing/>
        <w:rPr>
          <w:i/>
          <w:color w:val="44546A" w:themeColor="text2"/>
          <w:sz w:val="18"/>
          <w:szCs w:val="18"/>
        </w:rPr>
        <w:sectPr w:rsidR="002B027D" w:rsidSect="001C1132">
          <w:footerReference w:type="default" r:id="rId16"/>
          <w:type w:val="continuous"/>
          <w:pgSz w:w="12240" w:h="15840"/>
          <w:pgMar w:top="1440" w:right="1440" w:bottom="1350" w:left="1440" w:header="720" w:footer="720" w:gutter="0"/>
          <w:pgNumType w:start="1"/>
          <w:cols w:space="720"/>
          <w:docGrid w:linePitch="360"/>
        </w:sectPr>
      </w:pPr>
      <w:r>
        <w:rPr>
          <w:rFonts w:ascii="Calibri" w:hAnsi="Calibri" w:cs="Calibri"/>
        </w:rPr>
        <w:t>EPA</w:t>
      </w:r>
      <w:r w:rsidRPr="001E010D" w:rsidR="006F7602">
        <w:rPr>
          <w:rFonts w:ascii="Calibri" w:hAnsi="Calibri" w:cs="Calibri"/>
        </w:rPr>
        <w:t xml:space="preserve"> determined the hourly employment cost of federal employees using methodology established in previous ICRs. According to the U.S. Office of Personnel Management, 20</w:t>
      </w:r>
      <w:r w:rsidR="00F171CD">
        <w:rPr>
          <w:rFonts w:ascii="Calibri" w:hAnsi="Calibri" w:cs="Calibri"/>
        </w:rPr>
        <w:t>20</w:t>
      </w:r>
      <w:r w:rsidRPr="001E010D" w:rsidR="006F7602">
        <w:rPr>
          <w:rFonts w:ascii="Calibri" w:hAnsi="Calibri" w:cs="Calibri"/>
        </w:rPr>
        <w:t xml:space="preserve"> General Schedule (20</w:t>
      </w:r>
      <w:r w:rsidR="00F171CD">
        <w:rPr>
          <w:rFonts w:ascii="Calibri" w:hAnsi="Calibri" w:cs="Calibri"/>
        </w:rPr>
        <w:t>20</w:t>
      </w:r>
      <w:r w:rsidRPr="001E010D" w:rsidR="006F7602">
        <w:rPr>
          <w:rFonts w:ascii="Calibri" w:hAnsi="Calibri" w:cs="Calibri"/>
        </w:rPr>
        <w:t>-GS)</w:t>
      </w:r>
      <w:r w:rsidR="00BE7AC1">
        <w:rPr>
          <w:rFonts w:ascii="Calibri" w:hAnsi="Calibri" w:cs="Calibri"/>
        </w:rPr>
        <w:t xml:space="preserve"> (link: </w:t>
      </w:r>
      <w:hyperlink w:history="1" r:id="rId17">
        <w:r w:rsidR="00F171CD">
          <w:rPr>
            <w:rStyle w:val="Hyperlink"/>
          </w:rPr>
          <w:t>https://www.opm.gov/policy-data-oversight/pay-leave/salaries-wages/salary-tables/pdf/2020/GS.pdf</w:t>
        </w:r>
      </w:hyperlink>
      <w:r w:rsidR="00BE7AC1">
        <w:t xml:space="preserve"> accessed </w:t>
      </w:r>
      <w:r w:rsidR="00F171CD">
        <w:t>December 2, 2020</w:t>
      </w:r>
      <w:r w:rsidR="00BE7AC1">
        <w:t>)</w:t>
      </w:r>
      <w:r w:rsidRPr="001E010D" w:rsidR="006F7602">
        <w:rPr>
          <w:rFonts w:ascii="Calibri" w:hAnsi="Calibri" w:cs="Calibri"/>
        </w:rPr>
        <w:t>, the average annual salary of a government employee at the GS-9, Step 10 level is $</w:t>
      </w:r>
      <w:r w:rsidR="00F171CD">
        <w:rPr>
          <w:rFonts w:ascii="Calibri" w:hAnsi="Calibri" w:cs="Calibri"/>
        </w:rPr>
        <w:t>59,316</w:t>
      </w:r>
      <w:r w:rsidRPr="001E010D" w:rsidR="006F7602">
        <w:rPr>
          <w:rFonts w:ascii="Calibri" w:hAnsi="Calibri" w:cs="Calibri"/>
        </w:rPr>
        <w:t>. At 2,080 hours per year, the hourly wage is $</w:t>
      </w:r>
      <w:r w:rsidR="00F171CD">
        <w:rPr>
          <w:rFonts w:ascii="Calibri" w:hAnsi="Calibri" w:cs="Calibri"/>
        </w:rPr>
        <w:t>28.52</w:t>
      </w:r>
      <w:r w:rsidRPr="001E010D" w:rsidR="006F7602">
        <w:rPr>
          <w:rFonts w:ascii="Calibri" w:hAnsi="Calibri" w:cs="Calibri"/>
        </w:rPr>
        <w:t xml:space="preserve">. </w:t>
      </w:r>
      <w:r w:rsidRPr="001E010D" w:rsidR="006F7602">
        <w:rPr>
          <w:rFonts w:ascii="Calibri" w:hAnsi="Calibri" w:cs="Calibri"/>
        </w:rPr>
        <w:lastRenderedPageBreak/>
        <w:t>Assuming overhead costs of 60 percent, or $</w:t>
      </w:r>
      <w:r w:rsidR="00F171CD">
        <w:rPr>
          <w:rFonts w:ascii="Calibri" w:hAnsi="Calibri" w:cs="Calibri"/>
        </w:rPr>
        <w:t>17.11</w:t>
      </w:r>
      <w:r w:rsidRPr="001E010D" w:rsidR="006F7602">
        <w:rPr>
          <w:rFonts w:ascii="Calibri" w:hAnsi="Calibri" w:cs="Calibri"/>
        </w:rPr>
        <w:t xml:space="preserve"> per hour, the fully loaded cost of employment for a federal employee is $</w:t>
      </w:r>
      <w:r w:rsidR="00F171CD">
        <w:rPr>
          <w:rFonts w:ascii="Calibri" w:hAnsi="Calibri" w:cs="Calibri"/>
        </w:rPr>
        <w:t>45.63</w:t>
      </w:r>
      <w:r w:rsidRPr="001E010D" w:rsidR="006F7602">
        <w:rPr>
          <w:rFonts w:ascii="Calibri" w:hAnsi="Calibri" w:cs="Calibri"/>
        </w:rPr>
        <w:t>.</w:t>
      </w:r>
      <w:r w:rsidR="00D37535">
        <w:rPr>
          <w:rFonts w:ascii="Calibri" w:hAnsi="Calibri" w:cs="Calibri"/>
        </w:rPr>
        <w:br/>
      </w:r>
      <w:r w:rsidR="000F2443">
        <w:rPr>
          <w:rFonts w:ascii="Calibri" w:hAnsi="Calibri" w:cs="Calibri"/>
        </w:rPr>
        <w:br/>
      </w:r>
    </w:p>
    <w:p w:rsidRPr="00255BD8" w:rsidR="00D0316E" w:rsidP="000A33DF" w:rsidRDefault="00D0316E" w14:paraId="7BFAC44C" w14:textId="46F28120">
      <w:pPr>
        <w:spacing w:after="100" w:afterAutospacing="1" w:line="240" w:lineRule="auto"/>
        <w:contextualSpacing/>
        <w:jc w:val="center"/>
        <w:rPr>
          <w:rFonts w:ascii="Calibri" w:hAnsi="Calibri" w:eastAsia="Times New Roman" w:cs="Calibri"/>
          <w:b/>
          <w:bCs/>
          <w:iCs/>
        </w:rPr>
      </w:pPr>
      <w:r w:rsidRPr="00255BD8">
        <w:rPr>
          <w:b/>
          <w:bCs/>
          <w:iCs/>
        </w:rPr>
        <w:lastRenderedPageBreak/>
        <w:t xml:space="preserve">Table </w:t>
      </w:r>
      <w:r w:rsidR="00862FB0">
        <w:rPr>
          <w:b/>
          <w:bCs/>
          <w:iCs/>
        </w:rPr>
        <w:t>4</w:t>
      </w:r>
      <w:r w:rsidRPr="00255BD8">
        <w:rPr>
          <w:b/>
          <w:bCs/>
          <w:iCs/>
        </w:rPr>
        <w:t xml:space="preserve"> </w:t>
      </w:r>
      <w:r w:rsidR="00E7299B">
        <w:rPr>
          <w:b/>
          <w:bCs/>
          <w:iCs/>
        </w:rPr>
        <w:t xml:space="preserve">- </w:t>
      </w:r>
      <w:r w:rsidRPr="00255BD8">
        <w:rPr>
          <w:b/>
          <w:bCs/>
          <w:iCs/>
        </w:rPr>
        <w:t xml:space="preserve">Estimated </w:t>
      </w:r>
      <w:r w:rsidRPr="00255BD8" w:rsidR="00B25B4F">
        <w:rPr>
          <w:b/>
          <w:bCs/>
          <w:iCs/>
        </w:rPr>
        <w:t xml:space="preserve">Agency </w:t>
      </w:r>
      <w:r w:rsidRPr="00255BD8" w:rsidR="003668E2">
        <w:rPr>
          <w:b/>
          <w:bCs/>
          <w:iCs/>
        </w:rPr>
        <w:t>B</w:t>
      </w:r>
      <w:r w:rsidRPr="00255BD8" w:rsidR="00B25B4F">
        <w:rPr>
          <w:b/>
          <w:bCs/>
          <w:iCs/>
        </w:rPr>
        <w:t xml:space="preserve">urden and </w:t>
      </w:r>
      <w:r w:rsidRPr="00255BD8" w:rsidR="003668E2">
        <w:rPr>
          <w:b/>
          <w:bCs/>
          <w:iCs/>
        </w:rPr>
        <w:t>C</w:t>
      </w:r>
      <w:r w:rsidRPr="00255BD8" w:rsidR="00B25B4F">
        <w:rPr>
          <w:b/>
          <w:bCs/>
          <w:iCs/>
        </w:rPr>
        <w:t>ost</w:t>
      </w:r>
      <w:r w:rsidRPr="00144A8E" w:rsidR="00144A8E">
        <w:rPr>
          <w:b/>
          <w:bCs/>
          <w:iCs/>
          <w:vertAlign w:val="superscript"/>
        </w:rPr>
        <w:t>1</w:t>
      </w:r>
    </w:p>
    <w:tbl>
      <w:tblPr>
        <w:tblW w:w="12174" w:type="dxa"/>
        <w:tblInd w:w="-5" w:type="dxa"/>
        <w:tblLook w:val="04A0" w:firstRow="1" w:lastRow="0" w:firstColumn="1" w:lastColumn="0" w:noHBand="0" w:noVBand="1"/>
      </w:tblPr>
      <w:tblGrid>
        <w:gridCol w:w="2418"/>
        <w:gridCol w:w="1362"/>
        <w:gridCol w:w="1362"/>
        <w:gridCol w:w="1362"/>
        <w:gridCol w:w="1620"/>
        <w:gridCol w:w="1620"/>
        <w:gridCol w:w="2430"/>
      </w:tblGrid>
      <w:tr w:rsidRPr="00BB4E4E" w:rsidR="005A2657" w:rsidTr="003668E2" w14:paraId="4B2A25C8" w14:textId="77777777">
        <w:trPr>
          <w:trHeight w:val="144"/>
          <w:tblHeader/>
        </w:trPr>
        <w:tc>
          <w:tcPr>
            <w:tcW w:w="24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B4E4E" w:rsidR="003668E2" w:rsidP="00255BD8" w:rsidRDefault="003668E2" w14:paraId="6471ADD6" w14:textId="77777777">
            <w:pPr>
              <w:spacing w:after="100" w:afterAutospacing="1" w:line="240" w:lineRule="auto"/>
              <w:contextualSpacing/>
              <w:jc w:val="center"/>
              <w:rPr>
                <w:rFonts w:ascii="Calibri" w:hAnsi="Calibri" w:eastAsia="Times New Roman" w:cs="Calibri"/>
                <w:b/>
                <w:bCs/>
                <w:color w:val="000000"/>
              </w:rPr>
            </w:pPr>
            <w:r w:rsidRPr="00BB4E4E">
              <w:rPr>
                <w:rFonts w:ascii="Calibri" w:hAnsi="Calibri" w:eastAsia="Times New Roman" w:cs="Calibri"/>
                <w:b/>
                <w:bCs/>
                <w:color w:val="000000"/>
              </w:rPr>
              <w:t>Activity</w:t>
            </w:r>
          </w:p>
        </w:tc>
        <w:tc>
          <w:tcPr>
            <w:tcW w:w="1362" w:type="dxa"/>
            <w:tcBorders>
              <w:top w:val="single" w:color="auto" w:sz="4" w:space="0"/>
              <w:left w:val="nil"/>
              <w:bottom w:val="single" w:color="auto" w:sz="4" w:space="0"/>
              <w:right w:val="single" w:color="auto" w:sz="4" w:space="0"/>
            </w:tcBorders>
            <w:shd w:val="clear" w:color="auto" w:fill="D9D9D9" w:themeFill="background1" w:themeFillShade="D9"/>
          </w:tcPr>
          <w:p w:rsidRPr="00BB4E4E" w:rsidR="003668E2" w:rsidP="00255BD8" w:rsidRDefault="003668E2" w14:paraId="3D2F5AC0" w14:textId="0DC368B9">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2017 NPDES Program ICR Burden</w:t>
            </w:r>
            <w:r w:rsidR="00144A8E">
              <w:rPr>
                <w:rFonts w:ascii="Calibri" w:hAnsi="Calibri" w:eastAsia="Times New Roman" w:cs="Calibri"/>
                <w:b/>
                <w:bCs/>
                <w:color w:val="000000"/>
                <w:vertAlign w:val="superscript"/>
              </w:rPr>
              <w:t>2</w:t>
            </w:r>
          </w:p>
        </w:tc>
        <w:tc>
          <w:tcPr>
            <w:tcW w:w="136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B4E4E" w:rsidR="003668E2" w:rsidP="00255BD8" w:rsidRDefault="003668E2" w14:paraId="6FFE94D2" w14:textId="1AB85E4B">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2021 MSGP Incremental Change</w:t>
            </w:r>
          </w:p>
        </w:tc>
        <w:tc>
          <w:tcPr>
            <w:tcW w:w="136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B4E4E" w:rsidR="003668E2" w:rsidP="00255BD8" w:rsidRDefault="003668E2" w14:paraId="7826D4EA" w14:textId="1C9530DD">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 xml:space="preserve">Total </w:t>
            </w:r>
            <w:r w:rsidRPr="00BB4E4E">
              <w:rPr>
                <w:rFonts w:ascii="Calibri" w:hAnsi="Calibri" w:eastAsia="Times New Roman" w:cs="Calibri"/>
                <w:b/>
                <w:bCs/>
                <w:color w:val="000000"/>
              </w:rPr>
              <w:t>Hours per Response</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B4E4E" w:rsidR="003668E2" w:rsidP="00255BD8" w:rsidRDefault="003668E2" w14:paraId="04C2FD9D" w14:textId="228055D8">
            <w:pPr>
              <w:spacing w:after="100" w:afterAutospacing="1" w:line="240" w:lineRule="auto"/>
              <w:contextualSpacing/>
              <w:jc w:val="center"/>
              <w:rPr>
                <w:rFonts w:ascii="Calibri" w:hAnsi="Calibri" w:eastAsia="Times New Roman" w:cs="Calibri"/>
                <w:b/>
                <w:bCs/>
                <w:color w:val="000000"/>
              </w:rPr>
            </w:pPr>
            <w:r w:rsidRPr="00BB4E4E">
              <w:rPr>
                <w:rFonts w:ascii="Calibri" w:hAnsi="Calibri" w:eastAsia="Times New Roman" w:cs="Calibri"/>
                <w:b/>
                <w:bCs/>
                <w:color w:val="000000"/>
              </w:rPr>
              <w:t>No. Annual Responses</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B4E4E" w:rsidR="003668E2" w:rsidP="00255BD8" w:rsidRDefault="003668E2" w14:paraId="47881307" w14:textId="306A04DB">
            <w:pPr>
              <w:spacing w:after="100" w:afterAutospacing="1" w:line="240" w:lineRule="auto"/>
              <w:contextualSpacing/>
              <w:jc w:val="center"/>
              <w:rPr>
                <w:rFonts w:ascii="Calibri" w:hAnsi="Calibri" w:eastAsia="Times New Roman" w:cs="Calibri"/>
                <w:b/>
                <w:bCs/>
                <w:color w:val="000000"/>
              </w:rPr>
            </w:pPr>
            <w:r w:rsidRPr="00BB4E4E">
              <w:rPr>
                <w:rFonts w:ascii="Calibri" w:hAnsi="Calibri" w:eastAsia="Times New Roman" w:cs="Calibri"/>
                <w:b/>
                <w:bCs/>
                <w:color w:val="000000"/>
              </w:rPr>
              <w:t>Total Annual Burden (</w:t>
            </w:r>
            <w:proofErr w:type="spellStart"/>
            <w:r w:rsidRPr="00BB4E4E">
              <w:rPr>
                <w:rFonts w:ascii="Calibri" w:hAnsi="Calibri" w:eastAsia="Times New Roman" w:cs="Calibri"/>
                <w:b/>
                <w:bCs/>
                <w:color w:val="000000"/>
              </w:rPr>
              <w:t>hrs</w:t>
            </w:r>
            <w:proofErr w:type="spellEnd"/>
            <w:r w:rsidRPr="00BB4E4E">
              <w:rPr>
                <w:rFonts w:ascii="Calibri" w:hAnsi="Calibri" w:eastAsia="Times New Roman" w:cs="Calibri"/>
                <w:b/>
                <w:bCs/>
                <w:color w:val="000000"/>
              </w:rPr>
              <w:t>)</w:t>
            </w:r>
          </w:p>
        </w:tc>
        <w:tc>
          <w:tcPr>
            <w:tcW w:w="24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BB4E4E" w:rsidR="003668E2" w:rsidP="00255BD8" w:rsidRDefault="003668E2" w14:paraId="4A4EC6B7" w14:textId="6E4900AD">
            <w:pPr>
              <w:spacing w:after="100" w:afterAutospacing="1" w:line="240" w:lineRule="auto"/>
              <w:contextualSpacing/>
              <w:jc w:val="center"/>
              <w:rPr>
                <w:rFonts w:ascii="Calibri" w:hAnsi="Calibri" w:eastAsia="Times New Roman" w:cs="Calibri"/>
                <w:b/>
                <w:bCs/>
                <w:color w:val="000000"/>
              </w:rPr>
            </w:pPr>
            <w:r w:rsidRPr="00BB4E4E">
              <w:rPr>
                <w:rFonts w:ascii="Calibri" w:hAnsi="Calibri" w:eastAsia="Times New Roman" w:cs="Calibri"/>
                <w:b/>
                <w:bCs/>
                <w:color w:val="000000"/>
              </w:rPr>
              <w:t>Total Annual Cost</w:t>
            </w:r>
          </w:p>
        </w:tc>
      </w:tr>
      <w:tr w:rsidRPr="00BB4E4E" w:rsidR="005A2657" w:rsidTr="003668E2" w14:paraId="24FBD54B"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5BD8" w:rsidR="003668E2" w:rsidP="00255BD8" w:rsidRDefault="003668E2" w14:paraId="4BDCE43F" w14:textId="77777777">
            <w:pPr>
              <w:spacing w:after="100" w:afterAutospacing="1" w:line="240" w:lineRule="auto"/>
              <w:contextualSpacing/>
              <w:jc w:val="center"/>
              <w:rPr>
                <w:rFonts w:ascii="Calibri" w:hAnsi="Calibri" w:eastAsia="Times New Roman" w:cs="Calibri"/>
                <w:b/>
                <w:bCs/>
                <w:i/>
                <w:iCs/>
                <w:color w:val="000000"/>
              </w:rPr>
            </w:pPr>
          </w:p>
        </w:tc>
        <w:tc>
          <w:tcPr>
            <w:tcW w:w="1362" w:type="dxa"/>
            <w:tcBorders>
              <w:top w:val="single" w:color="auto" w:sz="4" w:space="0"/>
              <w:left w:val="nil"/>
              <w:bottom w:val="single" w:color="auto" w:sz="4" w:space="0"/>
              <w:right w:val="single" w:color="auto" w:sz="4" w:space="0"/>
            </w:tcBorders>
            <w:shd w:val="clear" w:color="auto" w:fill="D9D9D9" w:themeFill="background1" w:themeFillShade="D9"/>
          </w:tcPr>
          <w:p w:rsidRPr="00255BD8" w:rsidR="003668E2" w:rsidP="00255BD8" w:rsidRDefault="003668E2" w14:paraId="742D2D69" w14:textId="0AEB840C">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(A)</w:t>
            </w:r>
          </w:p>
        </w:tc>
        <w:tc>
          <w:tcPr>
            <w:tcW w:w="136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55BD8" w:rsidR="003668E2" w:rsidP="00255BD8" w:rsidRDefault="003668E2" w14:paraId="0433FDE6" w14:textId="0F28EC34">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(B)</w:t>
            </w:r>
          </w:p>
        </w:tc>
        <w:tc>
          <w:tcPr>
            <w:tcW w:w="136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55BD8" w:rsidR="003668E2" w:rsidP="00255BD8" w:rsidRDefault="003668E2" w14:paraId="59A011A2" w14:textId="2191A991">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(C = A + B)</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55BD8" w:rsidR="003668E2" w:rsidP="00255BD8" w:rsidRDefault="003668E2" w14:paraId="6CD14CB7" w14:textId="3D3AF68A">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(D)</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55BD8" w:rsidR="003668E2" w:rsidP="00255BD8" w:rsidRDefault="003668E2" w14:paraId="3478F2A8" w14:textId="4EA8E586">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(E = C x D)</w:t>
            </w:r>
          </w:p>
        </w:tc>
        <w:tc>
          <w:tcPr>
            <w:tcW w:w="243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55BD8" w:rsidR="003668E2" w:rsidP="00255BD8" w:rsidRDefault="003668E2" w14:paraId="1F01D958" w14:textId="61219831">
            <w:pPr>
              <w:spacing w:after="100" w:afterAutospacing="1" w:line="240" w:lineRule="auto"/>
              <w:contextualSpacing/>
              <w:jc w:val="center"/>
              <w:rPr>
                <w:rFonts w:ascii="Calibri" w:hAnsi="Calibri" w:cs="Calibri"/>
                <w:i/>
                <w:iCs/>
                <w:color w:val="000000"/>
              </w:rPr>
            </w:pPr>
            <w:r w:rsidRPr="00255BD8">
              <w:rPr>
                <w:rFonts w:ascii="Calibri" w:hAnsi="Calibri" w:cs="Calibri"/>
                <w:i/>
                <w:iCs/>
                <w:color w:val="000000"/>
              </w:rPr>
              <w:t>(F = E x $45.63)</w:t>
            </w:r>
          </w:p>
        </w:tc>
      </w:tr>
      <w:tr w:rsidRPr="00BB4E4E" w:rsidR="003668E2" w:rsidTr="00255BD8" w14:paraId="0E55264B"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2AF8588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NOI form review</w:t>
            </w:r>
          </w:p>
        </w:tc>
        <w:tc>
          <w:tcPr>
            <w:tcW w:w="1362" w:type="dxa"/>
            <w:tcBorders>
              <w:top w:val="single" w:color="auto" w:sz="4" w:space="0"/>
              <w:left w:val="nil"/>
              <w:bottom w:val="single" w:color="auto" w:sz="4" w:space="0"/>
              <w:right w:val="single" w:color="auto" w:sz="4" w:space="0"/>
            </w:tcBorders>
          </w:tcPr>
          <w:p w:rsidR="003668E2" w:rsidP="00255BD8" w:rsidRDefault="003668E2" w14:paraId="4E47CAD6" w14:textId="3C746131">
            <w:pPr>
              <w:spacing w:after="100" w:afterAutospacing="1" w:line="240" w:lineRule="auto"/>
              <w:contextualSpacing/>
              <w:jc w:val="center"/>
              <w:rPr>
                <w:rFonts w:ascii="Calibri" w:hAnsi="Calibri" w:cs="Calibri"/>
                <w:color w:val="000000"/>
              </w:rPr>
            </w:pPr>
            <w:r>
              <w:rPr>
                <w:rFonts w:ascii="Calibri" w:hAnsi="Calibri" w:cs="Calibri"/>
                <w:color w:val="000000"/>
              </w:rPr>
              <w:t>0.25</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6001792E" w14:textId="57C17C20">
            <w:pPr>
              <w:spacing w:after="100" w:afterAutospacing="1" w:line="240" w:lineRule="auto"/>
              <w:contextualSpacing/>
              <w:jc w:val="center"/>
              <w:rPr>
                <w:rFonts w:ascii="Calibri" w:hAnsi="Calibri" w:cs="Calibri"/>
                <w:color w:val="000000"/>
              </w:rPr>
            </w:pPr>
            <w:r>
              <w:rPr>
                <w:rFonts w:ascii="Calibri" w:hAnsi="Calibri" w:cs="Calibri"/>
                <w:color w:val="000000"/>
              </w:rPr>
              <w:t>0</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1469EC79" w14:textId="34C3C3F9">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0.25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6774E" w14:paraId="3EA189DE" w14:textId="5541F3F5">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502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6774E" w14:paraId="5632CE0F" w14:textId="5E38E94D">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125</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6774E" w14:paraId="7617E911" w14:textId="485B0D02">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$5,721 </w:t>
            </w:r>
          </w:p>
        </w:tc>
      </w:tr>
      <w:tr w:rsidRPr="00BB4E4E" w:rsidR="003668E2" w:rsidTr="00255BD8" w14:paraId="52F1C0EE"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73AABB1F"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SWPPP review</w:t>
            </w:r>
          </w:p>
        </w:tc>
        <w:tc>
          <w:tcPr>
            <w:tcW w:w="1362" w:type="dxa"/>
            <w:tcBorders>
              <w:top w:val="single" w:color="auto" w:sz="4" w:space="0"/>
              <w:left w:val="nil"/>
              <w:bottom w:val="single" w:color="auto" w:sz="4" w:space="0"/>
              <w:right w:val="single" w:color="auto" w:sz="4" w:space="0"/>
            </w:tcBorders>
          </w:tcPr>
          <w:p w:rsidR="003668E2" w:rsidP="00255BD8" w:rsidRDefault="003668E2" w14:paraId="50B0EBFE" w14:textId="372C108C">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201881B6" w14:textId="680EDDFD">
            <w:pPr>
              <w:spacing w:after="100" w:afterAutospacing="1" w:line="240" w:lineRule="auto"/>
              <w:contextualSpacing/>
              <w:jc w:val="center"/>
              <w:rPr>
                <w:rFonts w:ascii="Calibri" w:hAnsi="Calibri" w:cs="Calibri"/>
                <w:color w:val="000000"/>
              </w:rPr>
            </w:pPr>
            <w:r>
              <w:rPr>
                <w:rFonts w:ascii="Calibri" w:hAnsi="Calibri" w:cs="Calibri"/>
                <w:color w:val="000000"/>
              </w:rPr>
              <w:t>1</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77D99715" w14:textId="1D673211">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953878" w14:paraId="71860686" w14:textId="1AF87305">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125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953878" w14:paraId="3DB5334C" w14:textId="48614D2D">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125</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953878" w14:paraId="6B7DC4BF" w14:textId="57DA8054">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$5,721 </w:t>
            </w:r>
          </w:p>
        </w:tc>
      </w:tr>
      <w:tr w:rsidRPr="00BB4E4E" w:rsidR="003668E2" w:rsidTr="00ED2FBB" w14:paraId="2DD78822"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tcPr>
          <w:p w:rsidRPr="00BB4E4E" w:rsidR="003668E2" w:rsidP="003668E2" w:rsidRDefault="003668E2" w14:paraId="55C82FB4" w14:textId="4F0683A0">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NOT Form Review</w:t>
            </w:r>
          </w:p>
        </w:tc>
        <w:tc>
          <w:tcPr>
            <w:tcW w:w="1362" w:type="dxa"/>
            <w:tcBorders>
              <w:top w:val="single" w:color="auto" w:sz="4" w:space="0"/>
              <w:left w:val="nil"/>
              <w:bottom w:val="single" w:color="auto" w:sz="4" w:space="0"/>
              <w:right w:val="single" w:color="auto" w:sz="4" w:space="0"/>
            </w:tcBorders>
          </w:tcPr>
          <w:p w:rsidRPr="00FB7013" w:rsidR="003668E2" w:rsidP="003668E2" w:rsidRDefault="003668E2" w14:paraId="7BDAE4A7" w14:textId="7479ED34">
            <w:pPr>
              <w:spacing w:after="100" w:afterAutospacing="1" w:line="240" w:lineRule="auto"/>
              <w:contextualSpacing/>
              <w:jc w:val="center"/>
            </w:pPr>
            <w:r>
              <w:rPr>
                <w:rFonts w:ascii="Calibri" w:hAnsi="Calibri" w:cs="Calibri"/>
                <w:color w:val="000000"/>
              </w:rPr>
              <w:t>0.25</w:t>
            </w:r>
          </w:p>
        </w:tc>
        <w:tc>
          <w:tcPr>
            <w:tcW w:w="1362" w:type="dxa"/>
            <w:tcBorders>
              <w:top w:val="single" w:color="auto" w:sz="4" w:space="0"/>
              <w:left w:val="single" w:color="auto" w:sz="4" w:space="0"/>
              <w:bottom w:val="single" w:color="auto" w:sz="4" w:space="0"/>
              <w:right w:val="single" w:color="auto" w:sz="4" w:space="0"/>
            </w:tcBorders>
          </w:tcPr>
          <w:p w:rsidRPr="00FB7013" w:rsidR="003668E2" w:rsidP="003668E2" w:rsidRDefault="003668E2" w14:paraId="1782D9D3" w14:textId="048DEA2B">
            <w:pPr>
              <w:spacing w:after="100" w:afterAutospacing="1" w:line="240" w:lineRule="auto"/>
              <w:contextualSpacing/>
              <w:jc w:val="center"/>
            </w:pPr>
            <w:r>
              <w:rPr>
                <w:rFonts w:ascii="Calibri" w:hAnsi="Calibri" w:cs="Calibri"/>
                <w:color w:val="000000"/>
              </w:rPr>
              <w:t>-0.25</w:t>
            </w:r>
          </w:p>
        </w:tc>
        <w:tc>
          <w:tcPr>
            <w:tcW w:w="1362" w:type="dxa"/>
            <w:tcBorders>
              <w:top w:val="single" w:color="auto" w:sz="4" w:space="0"/>
              <w:left w:val="single" w:color="auto" w:sz="4" w:space="0"/>
              <w:bottom w:val="single" w:color="auto" w:sz="4" w:space="0"/>
              <w:right w:val="single" w:color="auto" w:sz="4" w:space="0"/>
            </w:tcBorders>
            <w:shd w:val="clear" w:color="auto" w:fill="auto"/>
          </w:tcPr>
          <w:p w:rsidRPr="00FB7013" w:rsidR="003668E2" w:rsidP="003668E2" w:rsidRDefault="003668E2" w14:paraId="11EB3092" w14:textId="535D13EA">
            <w:pPr>
              <w:spacing w:after="100" w:afterAutospacing="1" w:line="240" w:lineRule="auto"/>
              <w:contextualSpacing/>
              <w:jc w:val="center"/>
            </w:pPr>
            <w:r>
              <w:rPr>
                <w:rFonts w:ascii="Calibri" w:hAnsi="Calibri" w:cs="Calibri"/>
                <w:color w:val="000000"/>
              </w:rPr>
              <w:t>0</w:t>
            </w:r>
          </w:p>
        </w:tc>
        <w:tc>
          <w:tcPr>
            <w:tcW w:w="1620" w:type="dxa"/>
            <w:tcBorders>
              <w:top w:val="single" w:color="auto" w:sz="4" w:space="0"/>
              <w:left w:val="nil"/>
              <w:bottom w:val="single" w:color="auto" w:sz="4" w:space="0"/>
              <w:right w:val="single" w:color="auto" w:sz="4" w:space="0"/>
            </w:tcBorders>
            <w:shd w:val="clear" w:color="auto" w:fill="auto"/>
          </w:tcPr>
          <w:p w:rsidRPr="00FB7013" w:rsidR="003668E2" w:rsidP="003668E2" w:rsidRDefault="003668E2" w14:paraId="06B31E5E" w14:textId="3E88C073">
            <w:pPr>
              <w:spacing w:after="100" w:afterAutospacing="1" w:line="240" w:lineRule="auto"/>
              <w:contextualSpacing/>
              <w:jc w:val="center"/>
            </w:pPr>
            <w:r>
              <w:t>--</w:t>
            </w:r>
          </w:p>
        </w:tc>
        <w:tc>
          <w:tcPr>
            <w:tcW w:w="1620" w:type="dxa"/>
            <w:tcBorders>
              <w:top w:val="single" w:color="auto" w:sz="4" w:space="0"/>
              <w:left w:val="nil"/>
              <w:bottom w:val="single" w:color="auto" w:sz="4" w:space="0"/>
              <w:right w:val="single" w:color="auto" w:sz="4" w:space="0"/>
            </w:tcBorders>
            <w:shd w:val="clear" w:color="auto" w:fill="auto"/>
          </w:tcPr>
          <w:p w:rsidRPr="00FB7013" w:rsidR="003668E2" w:rsidP="003668E2" w:rsidRDefault="003668E2" w14:paraId="20A0C103" w14:textId="699B0433">
            <w:pPr>
              <w:spacing w:after="100" w:afterAutospacing="1" w:line="240" w:lineRule="auto"/>
              <w:contextualSpacing/>
              <w:jc w:val="center"/>
            </w:pPr>
            <w:r>
              <w:t>--</w:t>
            </w:r>
          </w:p>
        </w:tc>
        <w:tc>
          <w:tcPr>
            <w:tcW w:w="2430" w:type="dxa"/>
            <w:tcBorders>
              <w:top w:val="single" w:color="auto" w:sz="4" w:space="0"/>
              <w:left w:val="nil"/>
              <w:bottom w:val="single" w:color="auto" w:sz="4" w:space="0"/>
              <w:right w:val="single" w:color="auto" w:sz="4" w:space="0"/>
            </w:tcBorders>
            <w:shd w:val="clear" w:color="auto" w:fill="auto"/>
          </w:tcPr>
          <w:p w:rsidRPr="00727AD2" w:rsidR="003668E2" w:rsidP="003668E2" w:rsidRDefault="003668E2" w14:paraId="521940CB" w14:textId="22A99007">
            <w:pPr>
              <w:spacing w:after="100" w:afterAutospacing="1" w:line="240" w:lineRule="auto"/>
              <w:contextualSpacing/>
              <w:jc w:val="center"/>
            </w:pPr>
            <w:r>
              <w:t>--</w:t>
            </w:r>
          </w:p>
        </w:tc>
      </w:tr>
      <w:tr w:rsidRPr="00BB4E4E" w:rsidR="003668E2" w:rsidTr="00255BD8" w14:paraId="5C6C1859"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1F8359E2"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DMR submittal</w:t>
            </w:r>
          </w:p>
        </w:tc>
        <w:tc>
          <w:tcPr>
            <w:tcW w:w="1362" w:type="dxa"/>
            <w:tcBorders>
              <w:top w:val="single" w:color="auto" w:sz="4" w:space="0"/>
              <w:left w:val="nil"/>
              <w:bottom w:val="single" w:color="auto" w:sz="4" w:space="0"/>
              <w:right w:val="single" w:color="auto" w:sz="4" w:space="0"/>
            </w:tcBorders>
          </w:tcPr>
          <w:p w:rsidR="003668E2" w:rsidP="00255BD8" w:rsidRDefault="003668E2" w14:paraId="586332D4" w14:textId="34D1DCDD">
            <w:pPr>
              <w:spacing w:after="100" w:afterAutospacing="1" w:line="240" w:lineRule="auto"/>
              <w:contextualSpacing/>
              <w:jc w:val="center"/>
              <w:rPr>
                <w:rFonts w:ascii="Calibri" w:hAnsi="Calibri" w:cs="Calibri"/>
              </w:rPr>
            </w:pPr>
            <w:r>
              <w:rPr>
                <w:rFonts w:ascii="Calibri" w:hAnsi="Calibri" w:cs="Calibri"/>
                <w:color w:val="000000"/>
              </w:rPr>
              <w:t>0.16</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76467B45" w14:textId="7212D07E">
            <w:pPr>
              <w:spacing w:after="100" w:afterAutospacing="1" w:line="240" w:lineRule="auto"/>
              <w:contextualSpacing/>
              <w:jc w:val="center"/>
              <w:rPr>
                <w:rFonts w:ascii="Calibri" w:hAnsi="Calibri" w:cs="Calibri"/>
              </w:rPr>
            </w:pPr>
            <w:r>
              <w:rPr>
                <w:rFonts w:ascii="Calibri" w:hAnsi="Calibri" w:cs="Calibri"/>
                <w:color w:val="000000"/>
              </w:rPr>
              <w:t>0</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0D1BEA67" w14:textId="56D5532E">
            <w:pPr>
              <w:spacing w:after="100" w:afterAutospacing="1" w:line="240" w:lineRule="auto"/>
              <w:contextualSpacing/>
              <w:jc w:val="center"/>
              <w:rPr>
                <w:rFonts w:ascii="Calibri" w:hAnsi="Calibri" w:eastAsia="Times New Roman" w:cs="Calibri"/>
                <w:b/>
                <w:bCs/>
                <w:color w:val="000000"/>
              </w:rPr>
            </w:pPr>
            <w:r>
              <w:rPr>
                <w:rFonts w:ascii="Calibri" w:hAnsi="Calibri" w:cs="Calibri"/>
              </w:rPr>
              <w:t>0.16</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02FC26D9" w14:textId="50E4EAA5">
            <w:pPr>
              <w:spacing w:after="100" w:afterAutospacing="1" w:line="240" w:lineRule="auto"/>
              <w:contextualSpacing/>
              <w:jc w:val="center"/>
              <w:rPr>
                <w:rFonts w:ascii="Calibri" w:hAnsi="Calibri" w:eastAsia="Times New Roman" w:cs="Calibri"/>
                <w:b/>
                <w:bCs/>
                <w:color w:val="000000"/>
              </w:rPr>
            </w:pPr>
            <w:r>
              <w:rPr>
                <w:rFonts w:ascii="Calibri" w:hAnsi="Calibri" w:cs="Calibri"/>
              </w:rPr>
              <w:t>10,031</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1E6AF381" w14:textId="6D782D37">
            <w:pPr>
              <w:spacing w:after="100" w:afterAutospacing="1" w:line="240" w:lineRule="auto"/>
              <w:contextualSpacing/>
              <w:jc w:val="center"/>
              <w:rPr>
                <w:rFonts w:ascii="Calibri" w:hAnsi="Calibri" w:eastAsia="Times New Roman" w:cs="Calibri"/>
                <w:b/>
                <w:bCs/>
                <w:color w:val="000000"/>
              </w:rPr>
            </w:pPr>
            <w:r>
              <w:rPr>
                <w:rFonts w:ascii="Calibri" w:hAnsi="Calibri" w:cs="Calibri"/>
              </w:rPr>
              <w:t>1605</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080C56D7" w14:textId="366B86C6">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$73,231 </w:t>
            </w:r>
          </w:p>
        </w:tc>
      </w:tr>
      <w:tr w:rsidRPr="00BB4E4E" w:rsidR="003668E2" w:rsidTr="00255BD8" w14:paraId="55F36424"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39EEE88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DMR follow-up</w:t>
            </w:r>
          </w:p>
        </w:tc>
        <w:tc>
          <w:tcPr>
            <w:tcW w:w="1362" w:type="dxa"/>
            <w:tcBorders>
              <w:top w:val="single" w:color="auto" w:sz="4" w:space="0"/>
              <w:left w:val="nil"/>
              <w:bottom w:val="single" w:color="auto" w:sz="4" w:space="0"/>
              <w:right w:val="single" w:color="auto" w:sz="4" w:space="0"/>
            </w:tcBorders>
          </w:tcPr>
          <w:p w:rsidR="003668E2" w:rsidP="00255BD8" w:rsidRDefault="003668E2" w14:paraId="099D8B7E" w14:textId="561E3411">
            <w:pPr>
              <w:spacing w:after="100" w:afterAutospacing="1" w:line="240" w:lineRule="auto"/>
              <w:contextualSpacing/>
              <w:jc w:val="center"/>
              <w:rPr>
                <w:rFonts w:ascii="Calibri" w:hAnsi="Calibri" w:cs="Calibri"/>
              </w:rPr>
            </w:pPr>
            <w:r>
              <w:rPr>
                <w:rFonts w:ascii="Calibri" w:hAnsi="Calibri" w:cs="Calibri"/>
                <w:color w:val="000000"/>
              </w:rPr>
              <w:t>0.5</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11909A32" w14:textId="5FC05DB8">
            <w:pPr>
              <w:spacing w:after="100" w:afterAutospacing="1" w:line="240" w:lineRule="auto"/>
              <w:contextualSpacing/>
              <w:jc w:val="center"/>
              <w:rPr>
                <w:rFonts w:ascii="Calibri" w:hAnsi="Calibri" w:cs="Calibri"/>
              </w:rPr>
            </w:pPr>
            <w:r>
              <w:rPr>
                <w:rFonts w:ascii="Calibri" w:hAnsi="Calibri" w:cs="Calibri"/>
                <w:color w:val="000000"/>
              </w:rPr>
              <w:t>0</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1D5C1103" w14:textId="71D84B1C">
            <w:pPr>
              <w:spacing w:after="100" w:afterAutospacing="1" w:line="240" w:lineRule="auto"/>
              <w:contextualSpacing/>
              <w:jc w:val="center"/>
              <w:rPr>
                <w:rFonts w:ascii="Calibri" w:hAnsi="Calibri" w:eastAsia="Times New Roman" w:cs="Calibri"/>
                <w:b/>
                <w:bCs/>
                <w:color w:val="000000"/>
              </w:rPr>
            </w:pPr>
            <w:r>
              <w:rPr>
                <w:rFonts w:ascii="Calibri" w:hAnsi="Calibri" w:cs="Calibri"/>
              </w:rPr>
              <w:t>0.5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700564DF" w14:textId="11C66743">
            <w:pPr>
              <w:spacing w:after="100" w:afterAutospacing="1" w:line="240" w:lineRule="auto"/>
              <w:contextualSpacing/>
              <w:jc w:val="center"/>
              <w:rPr>
                <w:rFonts w:ascii="Calibri" w:hAnsi="Calibri" w:eastAsia="Times New Roman" w:cs="Calibri"/>
                <w:b/>
                <w:bCs/>
                <w:color w:val="000000"/>
              </w:rPr>
            </w:pPr>
            <w:r>
              <w:rPr>
                <w:rFonts w:ascii="Calibri" w:hAnsi="Calibri" w:cs="Calibri"/>
              </w:rPr>
              <w:t>2,006</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19FBB57A" w14:textId="6C822719">
            <w:pPr>
              <w:spacing w:after="100" w:afterAutospacing="1" w:line="240" w:lineRule="auto"/>
              <w:contextualSpacing/>
              <w:jc w:val="center"/>
              <w:rPr>
                <w:rFonts w:ascii="Calibri" w:hAnsi="Calibri" w:eastAsia="Times New Roman" w:cs="Calibri"/>
                <w:b/>
                <w:bCs/>
                <w:color w:val="000000"/>
              </w:rPr>
            </w:pPr>
            <w:r>
              <w:rPr>
                <w:rFonts w:ascii="Calibri" w:hAnsi="Calibri" w:cs="Calibri"/>
              </w:rPr>
              <w:t>1003</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686DC38A" w14:textId="5822EB42">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$45,769 </w:t>
            </w:r>
          </w:p>
        </w:tc>
      </w:tr>
      <w:tr w:rsidRPr="00BB4E4E" w:rsidR="003668E2" w:rsidTr="00255BD8" w14:paraId="32985363"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75559F3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Annual Report</w:t>
            </w:r>
          </w:p>
        </w:tc>
        <w:tc>
          <w:tcPr>
            <w:tcW w:w="1362" w:type="dxa"/>
            <w:tcBorders>
              <w:top w:val="single" w:color="auto" w:sz="4" w:space="0"/>
              <w:left w:val="nil"/>
              <w:bottom w:val="single" w:color="auto" w:sz="4" w:space="0"/>
              <w:right w:val="single" w:color="auto" w:sz="4" w:space="0"/>
            </w:tcBorders>
          </w:tcPr>
          <w:p w:rsidR="003668E2" w:rsidP="00255BD8" w:rsidRDefault="003668E2" w14:paraId="38299F79" w14:textId="461B6FA5">
            <w:pPr>
              <w:spacing w:after="100" w:afterAutospacing="1" w:line="240" w:lineRule="auto"/>
              <w:contextualSpacing/>
              <w:jc w:val="center"/>
              <w:rPr>
                <w:rFonts w:ascii="Calibri" w:hAnsi="Calibri" w:cs="Calibri"/>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66E18F5F" w14:textId="4EA82282">
            <w:pPr>
              <w:spacing w:after="100" w:afterAutospacing="1" w:line="240" w:lineRule="auto"/>
              <w:contextualSpacing/>
              <w:jc w:val="center"/>
              <w:rPr>
                <w:rFonts w:ascii="Calibri" w:hAnsi="Calibri" w:cs="Calibri"/>
              </w:rPr>
            </w:pPr>
            <w:r>
              <w:rPr>
                <w:rFonts w:ascii="Calibri" w:hAnsi="Calibri" w:cs="Calibri"/>
                <w:color w:val="000000"/>
              </w:rPr>
              <w:t>1</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70C97DD5" w14:textId="2340C5C5">
            <w:pPr>
              <w:spacing w:after="100" w:afterAutospacing="1" w:line="240" w:lineRule="auto"/>
              <w:contextualSpacing/>
              <w:jc w:val="center"/>
              <w:rPr>
                <w:rFonts w:ascii="Calibri" w:hAnsi="Calibri" w:eastAsia="Times New Roman" w:cs="Calibri"/>
                <w:b/>
                <w:bCs/>
                <w:color w:val="000000"/>
              </w:rPr>
            </w:pPr>
            <w:r>
              <w:rPr>
                <w:rFonts w:ascii="Calibri" w:hAnsi="Calibri" w:cs="Calibri"/>
              </w:rPr>
              <w:t>1</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7CED3C9A" w14:textId="06EFE9AA">
            <w:pPr>
              <w:spacing w:after="100" w:afterAutospacing="1" w:line="240" w:lineRule="auto"/>
              <w:contextualSpacing/>
              <w:jc w:val="center"/>
              <w:rPr>
                <w:rFonts w:ascii="Calibri" w:hAnsi="Calibri" w:eastAsia="Times New Roman" w:cs="Calibri"/>
                <w:b/>
                <w:bCs/>
                <w:color w:val="000000"/>
              </w:rPr>
            </w:pPr>
            <w:r>
              <w:rPr>
                <w:rFonts w:ascii="Calibri" w:hAnsi="Calibri" w:cs="Calibri"/>
              </w:rPr>
              <w:t>125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343AD343" w14:textId="3CE3E318">
            <w:pPr>
              <w:spacing w:after="100" w:afterAutospacing="1" w:line="240" w:lineRule="auto"/>
              <w:contextualSpacing/>
              <w:jc w:val="center"/>
              <w:rPr>
                <w:rFonts w:ascii="Calibri" w:hAnsi="Calibri" w:eastAsia="Times New Roman" w:cs="Calibri"/>
                <w:b/>
                <w:bCs/>
                <w:color w:val="000000"/>
              </w:rPr>
            </w:pPr>
            <w:r>
              <w:rPr>
                <w:rFonts w:ascii="Calibri" w:hAnsi="Calibri" w:cs="Calibri"/>
              </w:rPr>
              <w:t>125</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4FC779CB" w14:textId="0D8BDC60">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$5,721 </w:t>
            </w:r>
          </w:p>
        </w:tc>
      </w:tr>
      <w:tr w:rsidRPr="00BB4E4E" w:rsidR="003668E2" w:rsidTr="00255BD8" w14:paraId="680D1418"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18C3D35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ESA Criteria C form review</w:t>
            </w:r>
          </w:p>
        </w:tc>
        <w:tc>
          <w:tcPr>
            <w:tcW w:w="1362" w:type="dxa"/>
            <w:tcBorders>
              <w:top w:val="single" w:color="auto" w:sz="4" w:space="0"/>
              <w:left w:val="nil"/>
              <w:bottom w:val="single" w:color="auto" w:sz="4" w:space="0"/>
              <w:right w:val="single" w:color="auto" w:sz="4" w:space="0"/>
            </w:tcBorders>
          </w:tcPr>
          <w:p w:rsidR="003668E2" w:rsidP="00255BD8" w:rsidRDefault="003668E2" w14:paraId="01B6F5AF" w14:textId="4A53D26E">
            <w:pPr>
              <w:spacing w:after="100" w:afterAutospacing="1" w:line="240" w:lineRule="auto"/>
              <w:contextualSpacing/>
              <w:jc w:val="center"/>
              <w:rPr>
                <w:rFonts w:ascii="Calibri" w:hAnsi="Calibri" w:cs="Calibri"/>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7BFDA408" w14:textId="4991FB62">
            <w:pPr>
              <w:spacing w:after="100" w:afterAutospacing="1" w:line="240" w:lineRule="auto"/>
              <w:contextualSpacing/>
              <w:jc w:val="center"/>
              <w:rPr>
                <w:rFonts w:ascii="Calibri" w:hAnsi="Calibri" w:cs="Calibri"/>
              </w:rPr>
            </w:pPr>
            <w:r>
              <w:rPr>
                <w:rFonts w:ascii="Calibri" w:hAnsi="Calibri" w:cs="Calibri"/>
              </w:rPr>
              <w:t>0.25</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2B903475" w14:textId="0065B466">
            <w:pPr>
              <w:spacing w:after="100" w:afterAutospacing="1" w:line="240" w:lineRule="auto"/>
              <w:contextualSpacing/>
              <w:jc w:val="center"/>
              <w:rPr>
                <w:rFonts w:ascii="Calibri" w:hAnsi="Calibri" w:eastAsia="Times New Roman" w:cs="Calibri"/>
                <w:b/>
                <w:bCs/>
                <w:color w:val="000000"/>
              </w:rPr>
            </w:pPr>
            <w:r>
              <w:rPr>
                <w:rFonts w:ascii="Calibri" w:hAnsi="Calibri" w:cs="Calibri"/>
              </w:rPr>
              <w:t>0.25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563943A5" w14:textId="58C65FB4">
            <w:pPr>
              <w:spacing w:after="100" w:afterAutospacing="1" w:line="240" w:lineRule="auto"/>
              <w:contextualSpacing/>
              <w:jc w:val="center"/>
              <w:rPr>
                <w:rFonts w:ascii="Calibri" w:hAnsi="Calibri" w:eastAsia="Times New Roman" w:cs="Calibri"/>
                <w:b/>
                <w:bCs/>
                <w:color w:val="000000"/>
              </w:rPr>
            </w:pPr>
            <w:r>
              <w:rPr>
                <w:rFonts w:ascii="Calibri" w:hAnsi="Calibri" w:cs="Calibri"/>
              </w:rPr>
              <w:t>50</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6DE4F44B" w14:textId="4D527480">
            <w:pPr>
              <w:spacing w:after="100" w:afterAutospacing="1" w:line="240" w:lineRule="auto"/>
              <w:contextualSpacing/>
              <w:jc w:val="center"/>
              <w:rPr>
                <w:rFonts w:ascii="Calibri" w:hAnsi="Calibri" w:eastAsia="Times New Roman" w:cs="Calibri"/>
                <w:b/>
                <w:bCs/>
                <w:color w:val="000000"/>
              </w:rPr>
            </w:pPr>
            <w:r>
              <w:rPr>
                <w:rFonts w:ascii="Calibri" w:hAnsi="Calibri" w:cs="Calibri"/>
              </w:rPr>
              <w:t>13</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037CDBE8" w14:textId="6F4C413E">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$570 </w:t>
            </w:r>
          </w:p>
        </w:tc>
      </w:tr>
      <w:tr w:rsidRPr="00BB4E4E" w:rsidR="003668E2" w:rsidTr="00255BD8" w14:paraId="19CDF827"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58C8BB21"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Other ESA issues</w:t>
            </w:r>
          </w:p>
        </w:tc>
        <w:tc>
          <w:tcPr>
            <w:tcW w:w="1362" w:type="dxa"/>
            <w:tcBorders>
              <w:top w:val="single" w:color="auto" w:sz="4" w:space="0"/>
              <w:left w:val="nil"/>
              <w:bottom w:val="single" w:color="auto" w:sz="4" w:space="0"/>
              <w:right w:val="single" w:color="auto" w:sz="4" w:space="0"/>
            </w:tcBorders>
          </w:tcPr>
          <w:p w:rsidR="003668E2" w:rsidP="00255BD8" w:rsidRDefault="003668E2" w14:paraId="752A82EE" w14:textId="14162C86">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012264A6" w14:textId="5B6FD332">
            <w:pPr>
              <w:spacing w:after="100" w:afterAutospacing="1" w:line="240" w:lineRule="auto"/>
              <w:contextualSpacing/>
              <w:jc w:val="center"/>
              <w:rPr>
                <w:rFonts w:ascii="Calibri" w:hAnsi="Calibri" w:cs="Calibri"/>
                <w:color w:val="000000"/>
              </w:rPr>
            </w:pPr>
            <w:r>
              <w:rPr>
                <w:rFonts w:ascii="Calibri" w:hAnsi="Calibri" w:cs="Calibri"/>
                <w:color w:val="000000"/>
              </w:rPr>
              <w:t>0.5</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27BFB5BC" w14:textId="6C05FFC0">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0.5</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00ABB17C" w14:textId="3D3159BE">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3</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55C4A0C3" w14:textId="294CA491">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735833F3" w14:textId="7C5220A5">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$57 </w:t>
            </w:r>
          </w:p>
        </w:tc>
      </w:tr>
      <w:tr w:rsidRPr="00BB4E4E" w:rsidR="003668E2" w:rsidTr="00255BD8" w14:paraId="48415B01"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0DB5A1D9"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Historic Properties Eligibility</w:t>
            </w:r>
          </w:p>
        </w:tc>
        <w:tc>
          <w:tcPr>
            <w:tcW w:w="1362" w:type="dxa"/>
            <w:tcBorders>
              <w:top w:val="single" w:color="auto" w:sz="4" w:space="0"/>
              <w:left w:val="nil"/>
              <w:bottom w:val="single" w:color="auto" w:sz="4" w:space="0"/>
              <w:right w:val="single" w:color="auto" w:sz="4" w:space="0"/>
            </w:tcBorders>
          </w:tcPr>
          <w:p w:rsidR="003668E2" w:rsidP="00255BD8" w:rsidRDefault="003668E2" w14:paraId="118FD4EC" w14:textId="2F726EC6">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70B6C6F9" w14:textId="75BB4F34">
            <w:pPr>
              <w:spacing w:after="100" w:afterAutospacing="1" w:line="240" w:lineRule="auto"/>
              <w:contextualSpacing/>
              <w:jc w:val="center"/>
              <w:rPr>
                <w:rFonts w:ascii="Calibri" w:hAnsi="Calibri" w:cs="Calibri"/>
                <w:color w:val="000000"/>
              </w:rPr>
            </w:pPr>
            <w:r>
              <w:rPr>
                <w:rFonts w:ascii="Calibri" w:hAnsi="Calibri" w:cs="Calibri"/>
                <w:color w:val="000000"/>
              </w:rPr>
              <w:t>1</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0C0EC5B8" w14:textId="2DDA6212">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2DC3ED0D" w14:textId="2DF120D6">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5069D0F5" w14:textId="1685727C">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12</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06821A8E" w14:textId="1885B021">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$548 </w:t>
            </w:r>
          </w:p>
        </w:tc>
      </w:tr>
      <w:tr w:rsidRPr="00BB4E4E" w:rsidR="003668E2" w:rsidTr="00255BD8" w14:paraId="6D9AC995"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0E4D0FA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New Dischargers/Sources to Impaired Waters Eligibility</w:t>
            </w:r>
          </w:p>
        </w:tc>
        <w:tc>
          <w:tcPr>
            <w:tcW w:w="1362" w:type="dxa"/>
            <w:tcBorders>
              <w:top w:val="single" w:color="auto" w:sz="4" w:space="0"/>
              <w:left w:val="nil"/>
              <w:bottom w:val="single" w:color="auto" w:sz="4" w:space="0"/>
              <w:right w:val="single" w:color="auto" w:sz="4" w:space="0"/>
            </w:tcBorders>
          </w:tcPr>
          <w:p w:rsidR="003668E2" w:rsidP="00255BD8" w:rsidRDefault="003668E2" w14:paraId="43F5851E" w14:textId="3466E397">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1A550534" w14:textId="5BC2947D">
            <w:pPr>
              <w:spacing w:after="100" w:afterAutospacing="1" w:line="240" w:lineRule="auto"/>
              <w:contextualSpacing/>
              <w:jc w:val="center"/>
              <w:rPr>
                <w:rFonts w:ascii="Calibri" w:hAnsi="Calibri" w:cs="Calibri"/>
                <w:color w:val="000000"/>
              </w:rPr>
            </w:pPr>
            <w:r>
              <w:rPr>
                <w:rFonts w:ascii="Calibri" w:hAnsi="Calibri" w:cs="Calibri"/>
                <w:color w:val="000000"/>
              </w:rPr>
              <w:t>1</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3D5E4EC9" w14:textId="52C76995">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1</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66015C0B" w14:textId="472A61BB">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9</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5D3508D5" w14:textId="3FF40C4A">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9</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56A0B05D" w14:textId="1088460E">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$411 </w:t>
            </w:r>
          </w:p>
        </w:tc>
      </w:tr>
      <w:tr w:rsidRPr="00BB4E4E" w:rsidR="003668E2" w:rsidTr="00255BD8" w14:paraId="5252B4EB"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66344540"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Discharges to a Federal CERCLA Site Eligibility</w:t>
            </w:r>
          </w:p>
        </w:tc>
        <w:tc>
          <w:tcPr>
            <w:tcW w:w="1362" w:type="dxa"/>
            <w:tcBorders>
              <w:top w:val="single" w:color="auto" w:sz="4" w:space="0"/>
              <w:left w:val="nil"/>
              <w:bottom w:val="single" w:color="auto" w:sz="4" w:space="0"/>
              <w:right w:val="single" w:color="auto" w:sz="4" w:space="0"/>
            </w:tcBorders>
          </w:tcPr>
          <w:p w:rsidR="003668E2" w:rsidP="00255BD8" w:rsidRDefault="003668E2" w14:paraId="5BB65DC4" w14:textId="546AEE88">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28F4B7D9" w14:textId="56F45263">
            <w:pPr>
              <w:spacing w:after="100" w:afterAutospacing="1" w:line="240" w:lineRule="auto"/>
              <w:contextualSpacing/>
              <w:jc w:val="center"/>
              <w:rPr>
                <w:rFonts w:ascii="Calibri" w:hAnsi="Calibri" w:cs="Calibri"/>
                <w:color w:val="000000"/>
              </w:rPr>
            </w:pPr>
            <w:r>
              <w:rPr>
                <w:rFonts w:ascii="Calibri" w:hAnsi="Calibri" w:cs="Calibri"/>
                <w:color w:val="000000"/>
              </w:rPr>
              <w:t>2</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7E518648" w14:textId="76098EDB">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189976CA" w14:textId="67BA612A">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526ED5F5" w14:textId="742E80F7">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4</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01130926" w14:textId="37167579">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$183 </w:t>
            </w:r>
          </w:p>
        </w:tc>
      </w:tr>
      <w:tr w:rsidRPr="00BB4E4E" w:rsidR="003668E2" w:rsidTr="00255BD8" w14:paraId="734B76AA"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49F38B77"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Exceedance Report for Numeric Effluent Limitations</w:t>
            </w:r>
          </w:p>
        </w:tc>
        <w:tc>
          <w:tcPr>
            <w:tcW w:w="1362" w:type="dxa"/>
            <w:tcBorders>
              <w:top w:val="single" w:color="auto" w:sz="4" w:space="0"/>
              <w:left w:val="nil"/>
              <w:bottom w:val="single" w:color="auto" w:sz="4" w:space="0"/>
              <w:right w:val="single" w:color="auto" w:sz="4" w:space="0"/>
            </w:tcBorders>
          </w:tcPr>
          <w:p w:rsidR="003668E2" w:rsidP="00255BD8" w:rsidRDefault="003668E2" w14:paraId="4579B441" w14:textId="56C683DB">
            <w:pPr>
              <w:spacing w:after="100" w:afterAutospacing="1" w:line="240" w:lineRule="auto"/>
              <w:contextualSpacing/>
              <w:jc w:val="center"/>
              <w:rPr>
                <w:rFonts w:ascii="Calibri" w:hAnsi="Calibri" w:cs="Calibri"/>
                <w:color w:val="000000"/>
              </w:rPr>
            </w:pPr>
            <w:r>
              <w:rPr>
                <w:rFonts w:ascii="Calibri" w:hAnsi="Calibri" w:cs="Calibri"/>
                <w:color w:val="000000"/>
              </w:rPr>
              <w:t>NA</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100E6D1A" w14:textId="73A5729A">
            <w:pPr>
              <w:spacing w:after="100" w:afterAutospacing="1" w:line="240" w:lineRule="auto"/>
              <w:contextualSpacing/>
              <w:jc w:val="center"/>
              <w:rPr>
                <w:rFonts w:ascii="Calibri" w:hAnsi="Calibri" w:cs="Calibri"/>
                <w:color w:val="000000"/>
              </w:rPr>
            </w:pPr>
            <w:r>
              <w:rPr>
                <w:rFonts w:ascii="Calibri" w:hAnsi="Calibri" w:cs="Calibri"/>
                <w:color w:val="000000"/>
              </w:rPr>
              <w:t>2</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1F3A2F58" w14:textId="2D2A815F">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16371804" w14:textId="52B1E411">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4</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5AA10B26" w14:textId="0D872FC1">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8</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3668E2" w14:paraId="6F358565" w14:textId="163FAED8">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$365 </w:t>
            </w:r>
          </w:p>
        </w:tc>
      </w:tr>
      <w:tr w:rsidRPr="00BB4E4E" w:rsidR="003668E2" w:rsidTr="00255BD8" w14:paraId="1B81DA7A"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3114451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Additional Reporting:</w:t>
            </w:r>
          </w:p>
        </w:tc>
        <w:tc>
          <w:tcPr>
            <w:tcW w:w="1362" w:type="dxa"/>
            <w:tcBorders>
              <w:top w:val="single" w:color="auto" w:sz="4" w:space="0"/>
              <w:left w:val="nil"/>
              <w:bottom w:val="single" w:color="auto" w:sz="4" w:space="0"/>
              <w:right w:val="single" w:color="auto" w:sz="4" w:space="0"/>
            </w:tcBorders>
          </w:tcPr>
          <w:p w:rsidR="003668E2" w:rsidP="00255BD8" w:rsidRDefault="003668E2" w14:paraId="7FFE597F" w14:textId="242362FF">
            <w:pPr>
              <w:spacing w:after="100" w:afterAutospacing="1" w:line="240" w:lineRule="auto"/>
              <w:contextualSpacing/>
              <w:jc w:val="center"/>
              <w:rPr>
                <w:rFonts w:ascii="Calibri" w:hAnsi="Calibri" w:cs="Calibri"/>
                <w:color w:val="000000"/>
              </w:rPr>
            </w:pPr>
            <w:r>
              <w:rPr>
                <w:rFonts w:ascii="Calibri" w:hAnsi="Calibri" w:cs="Calibri"/>
                <w:color w:val="000000"/>
              </w:rPr>
              <w:t>4 to 20</w:t>
            </w:r>
          </w:p>
        </w:tc>
        <w:tc>
          <w:tcPr>
            <w:tcW w:w="1362" w:type="dxa"/>
            <w:tcBorders>
              <w:top w:val="single" w:color="auto" w:sz="4" w:space="0"/>
              <w:left w:val="single" w:color="auto" w:sz="4" w:space="0"/>
              <w:bottom w:val="single" w:color="auto" w:sz="4" w:space="0"/>
              <w:right w:val="single" w:color="auto" w:sz="4" w:space="0"/>
            </w:tcBorders>
          </w:tcPr>
          <w:p w:rsidR="003668E2" w:rsidP="00255BD8" w:rsidRDefault="003668E2" w14:paraId="7E9379DF" w14:textId="7C9991E5">
            <w:pPr>
              <w:spacing w:after="100" w:afterAutospacing="1" w:line="240" w:lineRule="auto"/>
              <w:contextualSpacing/>
              <w:jc w:val="center"/>
              <w:rPr>
                <w:rFonts w:ascii="Calibri" w:hAnsi="Calibri" w:cs="Calibri"/>
                <w:color w:val="000000"/>
              </w:rPr>
            </w:pPr>
            <w:r>
              <w:rPr>
                <w:rFonts w:ascii="Calibri" w:hAnsi="Calibri" w:cs="Calibri"/>
                <w:color w:val="000000"/>
              </w:rPr>
              <w:t>0</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BB4E4E" w:rsidR="003668E2" w:rsidP="00255BD8" w:rsidRDefault="003668E2" w14:paraId="71AAEAB4" w14:textId="2A7F066A">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2</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44FADE72" w14:textId="6625CCAC">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36</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67349A59" w14:textId="5329DD37">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72</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6812277D" w14:textId="0818750E">
            <w:pPr>
              <w:spacing w:after="100" w:afterAutospacing="1" w:line="240" w:lineRule="auto"/>
              <w:contextualSpacing/>
              <w:jc w:val="center"/>
              <w:rPr>
                <w:rFonts w:ascii="Calibri" w:hAnsi="Calibri" w:eastAsia="Times New Roman" w:cs="Calibri"/>
                <w:b/>
                <w:bCs/>
                <w:color w:val="000000"/>
              </w:rPr>
            </w:pPr>
            <w:r>
              <w:rPr>
                <w:rFonts w:ascii="Calibri" w:hAnsi="Calibri" w:cs="Calibri"/>
                <w:color w:val="000000"/>
              </w:rPr>
              <w:t xml:space="preserve">$3,285 </w:t>
            </w:r>
          </w:p>
        </w:tc>
      </w:tr>
      <w:tr w:rsidRPr="00BB4E4E" w:rsidR="005A2657" w:rsidTr="00ED2FBB" w14:paraId="6F51848E"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3668E2" w:rsidP="003668E2" w:rsidRDefault="003668E2" w14:paraId="5FA73BA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Total Agency Activities</w:t>
            </w:r>
          </w:p>
        </w:tc>
        <w:tc>
          <w:tcPr>
            <w:tcW w:w="1362" w:type="dxa"/>
            <w:tcBorders>
              <w:top w:val="single" w:color="auto" w:sz="4" w:space="0"/>
              <w:left w:val="nil"/>
              <w:bottom w:val="single" w:color="auto" w:sz="4" w:space="0"/>
              <w:right w:val="nil"/>
              <w:tr2bl w:val="single" w:color="auto" w:sz="4" w:space="0"/>
            </w:tcBorders>
          </w:tcPr>
          <w:p w:rsidRPr="00BB4E4E" w:rsidR="003668E2" w:rsidP="00255BD8" w:rsidRDefault="003668E2" w14:paraId="65CB538A" w14:textId="77777777">
            <w:pPr>
              <w:spacing w:after="100" w:afterAutospacing="1" w:line="240" w:lineRule="auto"/>
              <w:contextualSpacing/>
              <w:jc w:val="center"/>
              <w:rPr>
                <w:rFonts w:ascii="Calibri" w:hAnsi="Calibri" w:eastAsia="Times New Roman" w:cs="Calibri"/>
                <w:b/>
                <w:bCs/>
                <w:color w:val="000000"/>
              </w:rPr>
            </w:pPr>
          </w:p>
        </w:tc>
        <w:tc>
          <w:tcPr>
            <w:tcW w:w="1362" w:type="dxa"/>
            <w:tcBorders>
              <w:top w:val="single" w:color="auto" w:sz="4" w:space="0"/>
              <w:left w:val="nil"/>
              <w:bottom w:val="single" w:color="auto" w:sz="4" w:space="0"/>
              <w:right w:val="nil"/>
              <w:tr2bl w:val="single" w:color="auto" w:sz="4" w:space="0"/>
            </w:tcBorders>
          </w:tcPr>
          <w:p w:rsidRPr="00BB4E4E" w:rsidR="003668E2" w:rsidP="00255BD8" w:rsidRDefault="003668E2" w14:paraId="69B63B59" w14:textId="5BBC6714">
            <w:pPr>
              <w:spacing w:after="100" w:afterAutospacing="1" w:line="240" w:lineRule="auto"/>
              <w:contextualSpacing/>
              <w:jc w:val="center"/>
              <w:rPr>
                <w:rFonts w:ascii="Calibri" w:hAnsi="Calibri" w:eastAsia="Times New Roman" w:cs="Calibri"/>
                <w:b/>
                <w:bCs/>
                <w:color w:val="000000"/>
              </w:rPr>
            </w:pPr>
          </w:p>
        </w:tc>
        <w:tc>
          <w:tcPr>
            <w:tcW w:w="1362" w:type="dxa"/>
            <w:tcBorders>
              <w:top w:val="single" w:color="auto" w:sz="4" w:space="0"/>
              <w:left w:val="nil"/>
              <w:bottom w:val="single" w:color="auto" w:sz="4" w:space="0"/>
              <w:right w:val="single" w:color="auto" w:sz="4" w:space="0"/>
              <w:tr2bl w:val="single" w:color="auto" w:sz="4" w:space="0"/>
            </w:tcBorders>
            <w:shd w:val="clear" w:color="auto" w:fill="auto"/>
            <w:vAlign w:val="center"/>
            <w:hideMark/>
          </w:tcPr>
          <w:p w:rsidRPr="00BB4E4E" w:rsidR="003668E2" w:rsidP="00255BD8" w:rsidRDefault="003668E2" w14:paraId="2DA884DB" w14:textId="4E3CA5EE">
            <w:pPr>
              <w:spacing w:after="100" w:afterAutospacing="1" w:line="240" w:lineRule="auto"/>
              <w:contextualSpacing/>
              <w:jc w:val="center"/>
              <w:rPr>
                <w:rFonts w:ascii="Calibri" w:hAnsi="Calibri" w:eastAsia="Times New Roman" w:cs="Calibri"/>
                <w:b/>
                <w:bCs/>
                <w:color w:val="000000"/>
              </w:rPr>
            </w:pP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34FDA3D2" w14:textId="2D4F470B">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12,904</w:t>
            </w:r>
          </w:p>
        </w:tc>
        <w:tc>
          <w:tcPr>
            <w:tcW w:w="162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0182761A" w14:textId="7626A6B9">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3,</w:t>
            </w:r>
            <w:r w:rsidR="004E39AD">
              <w:rPr>
                <w:rFonts w:ascii="Calibri" w:hAnsi="Calibri" w:cs="Calibri"/>
                <w:b/>
                <w:bCs/>
                <w:color w:val="000000"/>
              </w:rPr>
              <w:t>114</w:t>
            </w:r>
          </w:p>
        </w:tc>
        <w:tc>
          <w:tcPr>
            <w:tcW w:w="2430" w:type="dxa"/>
            <w:tcBorders>
              <w:top w:val="single" w:color="auto" w:sz="4" w:space="0"/>
              <w:left w:val="nil"/>
              <w:bottom w:val="single" w:color="auto" w:sz="4" w:space="0"/>
              <w:right w:val="single" w:color="auto" w:sz="4" w:space="0"/>
            </w:tcBorders>
            <w:shd w:val="clear" w:color="auto" w:fill="auto"/>
            <w:hideMark/>
          </w:tcPr>
          <w:p w:rsidRPr="00BB4E4E" w:rsidR="003668E2" w:rsidP="00255BD8" w:rsidRDefault="00D13FCB" w14:paraId="04F96983" w14:textId="7AB03EF0">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$14</w:t>
            </w:r>
            <w:r w:rsidR="004E39AD">
              <w:rPr>
                <w:rFonts w:ascii="Calibri" w:hAnsi="Calibri" w:cs="Calibri"/>
                <w:b/>
                <w:bCs/>
                <w:color w:val="000000"/>
              </w:rPr>
              <w:t>2</w:t>
            </w:r>
            <w:r>
              <w:rPr>
                <w:rFonts w:ascii="Calibri" w:hAnsi="Calibri" w:cs="Calibri"/>
                <w:b/>
                <w:bCs/>
                <w:color w:val="000000"/>
              </w:rPr>
              <w:t>,</w:t>
            </w:r>
            <w:r w:rsidR="004E39AD">
              <w:rPr>
                <w:rFonts w:ascii="Calibri" w:hAnsi="Calibri" w:cs="Calibri"/>
                <w:b/>
                <w:bCs/>
                <w:color w:val="000000"/>
              </w:rPr>
              <w:t>108</w:t>
            </w:r>
            <w:r>
              <w:rPr>
                <w:rFonts w:ascii="Calibri" w:hAnsi="Calibri" w:cs="Calibri"/>
                <w:b/>
                <w:bCs/>
                <w:color w:val="000000"/>
              </w:rPr>
              <w:t xml:space="preserve"> </w:t>
            </w:r>
          </w:p>
        </w:tc>
      </w:tr>
    </w:tbl>
    <w:p w:rsidR="002B027D" w:rsidP="00D37535" w:rsidRDefault="002B027D" w14:paraId="6741FA65" w14:textId="77777777">
      <w:pPr>
        <w:spacing w:after="100" w:afterAutospacing="1" w:line="240" w:lineRule="auto"/>
        <w:contextualSpacing/>
        <w:rPr>
          <w:rFonts w:ascii="Calibri" w:hAnsi="Calibri" w:cs="Calibri"/>
          <w:b/>
        </w:rPr>
      </w:pPr>
    </w:p>
    <w:p w:rsidR="00144A8E" w:rsidP="00144A8E" w:rsidRDefault="00144A8E" w14:paraId="1673DABC" w14:textId="73B5A85F">
      <w:pPr>
        <w:spacing w:after="100" w:afterAutospacing="1" w:line="240" w:lineRule="auto"/>
        <w:ind w:left="90" w:hanging="90"/>
        <w:contextualSpacing/>
        <w:rPr>
          <w:rFonts w:ascii="Calibri" w:hAnsi="Calibri" w:cs="Calibri"/>
          <w:bCs/>
          <w:vertAlign w:val="superscript"/>
        </w:rPr>
      </w:pPr>
      <w:r>
        <w:rPr>
          <w:rFonts w:ascii="Calibri" w:hAnsi="Calibri" w:cs="Calibri"/>
          <w:bCs/>
          <w:vertAlign w:val="superscript"/>
        </w:rPr>
        <w:t>1</w:t>
      </w:r>
      <w:r w:rsidR="00B66723">
        <w:rPr>
          <w:rFonts w:ascii="Calibri" w:hAnsi="Calibri" w:cs="Calibri"/>
          <w:bCs/>
          <w:vertAlign w:val="superscript"/>
        </w:rPr>
        <w:t xml:space="preserve"> </w:t>
      </w:r>
      <w:r w:rsidR="00FD5815">
        <w:rPr>
          <w:rFonts w:ascii="Calibri" w:hAnsi="Calibri" w:cs="Calibri"/>
          <w:bCs/>
        </w:rPr>
        <w:t>The numbers in this table have been rounded</w:t>
      </w:r>
      <w:r w:rsidR="00465E10">
        <w:rPr>
          <w:rFonts w:ascii="Calibri" w:hAnsi="Calibri" w:cs="Calibri"/>
          <w:bCs/>
        </w:rPr>
        <w:t xml:space="preserve">. </w:t>
      </w:r>
      <w:r w:rsidR="00594148">
        <w:rPr>
          <w:rFonts w:ascii="Calibri" w:hAnsi="Calibri" w:cs="Calibri"/>
          <w:bCs/>
        </w:rPr>
        <w:t>Unrounded</w:t>
      </w:r>
      <w:r w:rsidR="00465E10">
        <w:rPr>
          <w:rFonts w:ascii="Calibri" w:hAnsi="Calibri" w:cs="Calibri"/>
          <w:bCs/>
        </w:rPr>
        <w:t xml:space="preserve"> values used for calculations in this table</w:t>
      </w:r>
      <w:r>
        <w:rPr>
          <w:rFonts w:ascii="Calibri" w:hAnsi="Calibri" w:cs="Calibri"/>
          <w:bCs/>
        </w:rPr>
        <w:t xml:space="preserve"> can be found in</w:t>
      </w:r>
      <w:r w:rsidR="00465E10">
        <w:rPr>
          <w:rFonts w:ascii="Calibri" w:hAnsi="Calibri" w:cs="Calibri"/>
          <w:bCs/>
        </w:rPr>
        <w:t xml:space="preserve"> the 2021 MSGP ICR analysis spreadsheet.</w:t>
      </w:r>
      <w:r w:rsidRPr="00144A8E">
        <w:rPr>
          <w:rFonts w:ascii="Calibri" w:hAnsi="Calibri" w:cs="Calibri"/>
          <w:bCs/>
          <w:vertAlign w:val="superscript"/>
        </w:rPr>
        <w:t xml:space="preserve"> </w:t>
      </w:r>
    </w:p>
    <w:p w:rsidR="00144A8E" w:rsidP="00144A8E" w:rsidRDefault="00144A8E" w14:paraId="2AB02683" w14:textId="585C123B">
      <w:pPr>
        <w:spacing w:after="100" w:afterAutospacing="1" w:line="240" w:lineRule="auto"/>
        <w:contextualSpacing/>
        <w:rPr>
          <w:rFonts w:ascii="Calibri" w:hAnsi="Calibri" w:cs="Calibri"/>
          <w:bCs/>
        </w:rPr>
      </w:pPr>
      <w:r>
        <w:rPr>
          <w:rFonts w:ascii="Calibri" w:hAnsi="Calibri" w:cs="Calibri"/>
          <w:bCs/>
          <w:vertAlign w:val="superscript"/>
        </w:rPr>
        <w:t>2</w:t>
      </w:r>
      <w:r w:rsidRPr="00255BD8">
        <w:rPr>
          <w:rFonts w:ascii="Calibri" w:hAnsi="Calibri" w:cs="Calibri"/>
          <w:bCs/>
          <w:vertAlign w:val="superscript"/>
        </w:rPr>
        <w:t xml:space="preserve"> </w:t>
      </w:r>
      <w:r w:rsidRPr="00255BD8">
        <w:rPr>
          <w:rFonts w:ascii="Calibri" w:hAnsi="Calibri" w:cs="Calibri"/>
          <w:bCs/>
        </w:rPr>
        <w:t xml:space="preserve">NA indicates that the 2017 NPDES </w:t>
      </w:r>
      <w:r>
        <w:rPr>
          <w:rFonts w:ascii="Calibri" w:hAnsi="Calibri" w:cs="Calibri"/>
          <w:bCs/>
        </w:rPr>
        <w:t>Program</w:t>
      </w:r>
      <w:r w:rsidRPr="00255BD8">
        <w:rPr>
          <w:rFonts w:ascii="Calibri" w:hAnsi="Calibri" w:cs="Calibri"/>
          <w:bCs/>
        </w:rPr>
        <w:t xml:space="preserve"> ICR did not </w:t>
      </w:r>
      <w:r>
        <w:rPr>
          <w:rFonts w:ascii="Calibri" w:hAnsi="Calibri" w:cs="Calibri"/>
        </w:rPr>
        <w:t xml:space="preserve">separately </w:t>
      </w:r>
      <w:r w:rsidRPr="00255BD8">
        <w:rPr>
          <w:rFonts w:ascii="Calibri" w:hAnsi="Calibri" w:cs="Calibri"/>
          <w:bCs/>
        </w:rPr>
        <w:t>account for this burden item.</w:t>
      </w:r>
    </w:p>
    <w:p w:rsidRPr="00255BD8" w:rsidR="00B66723" w:rsidP="00D37535" w:rsidRDefault="00B66723" w14:paraId="75715000" w14:textId="42C24382">
      <w:pPr>
        <w:spacing w:after="100" w:afterAutospacing="1" w:line="240" w:lineRule="auto"/>
        <w:contextualSpacing/>
        <w:rPr>
          <w:rFonts w:ascii="Calibri" w:hAnsi="Calibri" w:cs="Calibri"/>
          <w:bCs/>
        </w:rPr>
        <w:sectPr w:rsidRPr="00255BD8" w:rsidR="00B66723" w:rsidSect="00094326">
          <w:pgSz w:w="15840" w:h="12240" w:orient="landscape"/>
          <w:pgMar w:top="1440" w:right="1440" w:bottom="1440" w:left="1350" w:header="720" w:footer="720" w:gutter="0"/>
          <w:cols w:space="720"/>
          <w:docGrid w:linePitch="360"/>
        </w:sectPr>
      </w:pPr>
    </w:p>
    <w:p w:rsidRPr="00C21202" w:rsidR="00E141D4" w:rsidP="00D37535" w:rsidRDefault="00E141D4" w14:paraId="042009A5" w14:textId="599781F2">
      <w:pPr>
        <w:pStyle w:val="Style1"/>
        <w:spacing w:before="0" w:after="100" w:afterAutospacing="1" w:line="240" w:lineRule="auto"/>
        <w:contextualSpacing/>
      </w:pPr>
      <w:bookmarkStart w:name="_Toc24963890" w:id="35"/>
      <w:r w:rsidRPr="00C21202">
        <w:lastRenderedPageBreak/>
        <w:t>Estimating the Respondent Universe and Total Burden and Costs</w:t>
      </w:r>
      <w:bookmarkEnd w:id="35"/>
    </w:p>
    <w:p w:rsidR="00D7112B" w:rsidP="00D37535" w:rsidRDefault="00D7112B" w14:paraId="2461010D" w14:textId="2B1E78FC">
      <w:pPr>
        <w:spacing w:after="100" w:afterAutospacing="1" w:line="240" w:lineRule="auto"/>
        <w:contextualSpacing/>
        <w:rPr>
          <w:rFonts w:ascii="Calibri" w:hAnsi="Calibri" w:cs="Calibri"/>
        </w:rPr>
      </w:pPr>
      <w:r w:rsidRPr="00C21202">
        <w:rPr>
          <w:rFonts w:ascii="Calibri" w:hAnsi="Calibri" w:cs="Calibri"/>
        </w:rPr>
        <w:t xml:space="preserve">Detailed information describing the universe and basis for burden and costs is provided in Section </w:t>
      </w:r>
      <w:r w:rsidR="00080AC2">
        <w:rPr>
          <w:rFonts w:ascii="Calibri" w:hAnsi="Calibri" w:cs="Calibri"/>
        </w:rPr>
        <w:t>VI.A</w:t>
      </w:r>
      <w:r w:rsidRPr="00C21202">
        <w:rPr>
          <w:rFonts w:ascii="Calibri" w:hAnsi="Calibri" w:cs="Calibri"/>
        </w:rPr>
        <w:t>. Results are presented below.</w:t>
      </w:r>
    </w:p>
    <w:p w:rsidRPr="00255BD8" w:rsidR="00A50ABD" w:rsidP="000A33DF" w:rsidRDefault="00A50ABD" w14:paraId="27336A87" w14:textId="02B4528E">
      <w:pPr>
        <w:pStyle w:val="Caption"/>
        <w:spacing w:after="0"/>
        <w:jc w:val="center"/>
        <w:rPr>
          <w:rFonts w:ascii="Calibri" w:hAnsi="Calibri" w:cs="Calibri"/>
          <w:b/>
          <w:bCs/>
          <w:i w:val="0"/>
          <w:iCs w:val="0"/>
          <w:color w:val="auto"/>
          <w:sz w:val="22"/>
          <w:szCs w:val="22"/>
        </w:rPr>
      </w:pPr>
      <w:r w:rsidRPr="00255BD8">
        <w:rPr>
          <w:b/>
          <w:bCs/>
          <w:i w:val="0"/>
          <w:iCs w:val="0"/>
          <w:color w:val="auto"/>
          <w:sz w:val="22"/>
          <w:szCs w:val="22"/>
        </w:rPr>
        <w:t xml:space="preserve">Table </w:t>
      </w:r>
      <w:r w:rsidR="00186320">
        <w:rPr>
          <w:b/>
          <w:bCs/>
          <w:i w:val="0"/>
          <w:iCs w:val="0"/>
          <w:color w:val="auto"/>
          <w:sz w:val="22"/>
          <w:szCs w:val="22"/>
        </w:rPr>
        <w:t>5</w:t>
      </w:r>
      <w:r w:rsidR="00E7299B">
        <w:rPr>
          <w:b/>
          <w:bCs/>
          <w:i w:val="0"/>
          <w:iCs w:val="0"/>
          <w:noProof/>
          <w:color w:val="auto"/>
          <w:sz w:val="22"/>
          <w:szCs w:val="22"/>
        </w:rPr>
        <w:t xml:space="preserve"> -</w:t>
      </w:r>
      <w:r w:rsidRPr="00255BD8">
        <w:rPr>
          <w:b/>
          <w:bCs/>
          <w:i w:val="0"/>
          <w:iCs w:val="0"/>
          <w:color w:val="auto"/>
          <w:sz w:val="22"/>
          <w:szCs w:val="22"/>
        </w:rPr>
        <w:t xml:space="preserve"> Estimated Respondent </w:t>
      </w:r>
      <w:r w:rsidR="00E7299B">
        <w:rPr>
          <w:b/>
          <w:bCs/>
          <w:i w:val="0"/>
          <w:iCs w:val="0"/>
          <w:color w:val="auto"/>
          <w:sz w:val="22"/>
          <w:szCs w:val="22"/>
        </w:rPr>
        <w:t>B</w:t>
      </w:r>
      <w:r w:rsidRPr="00255BD8">
        <w:rPr>
          <w:b/>
          <w:bCs/>
          <w:i w:val="0"/>
          <w:iCs w:val="0"/>
          <w:color w:val="auto"/>
          <w:sz w:val="22"/>
          <w:szCs w:val="22"/>
        </w:rPr>
        <w:t xml:space="preserve">urden and </w:t>
      </w:r>
      <w:r w:rsidR="00E7299B">
        <w:rPr>
          <w:b/>
          <w:bCs/>
          <w:i w:val="0"/>
          <w:iCs w:val="0"/>
          <w:color w:val="auto"/>
          <w:sz w:val="22"/>
          <w:szCs w:val="22"/>
        </w:rPr>
        <w:t>C</w:t>
      </w:r>
      <w:r w:rsidRPr="00255BD8">
        <w:rPr>
          <w:b/>
          <w:bCs/>
          <w:i w:val="0"/>
          <w:iCs w:val="0"/>
          <w:color w:val="auto"/>
          <w:sz w:val="22"/>
          <w:szCs w:val="22"/>
        </w:rPr>
        <w:t>ost</w:t>
      </w:r>
      <w:r w:rsidRPr="00144A8E" w:rsidR="00144A8E">
        <w:rPr>
          <w:b/>
          <w:bCs/>
          <w:i w:val="0"/>
          <w:iCs w:val="0"/>
          <w:color w:val="auto"/>
          <w:sz w:val="22"/>
          <w:szCs w:val="22"/>
          <w:vertAlign w:val="superscript"/>
        </w:rPr>
        <w:t>1</w:t>
      </w:r>
    </w:p>
    <w:tbl>
      <w:tblPr>
        <w:tblW w:w="13472" w:type="dxa"/>
        <w:jc w:val="center"/>
        <w:tblLayout w:type="fixed"/>
        <w:tblLook w:val="04A0" w:firstRow="1" w:lastRow="0" w:firstColumn="1" w:lastColumn="0" w:noHBand="0" w:noVBand="1"/>
      </w:tblPr>
      <w:tblGrid>
        <w:gridCol w:w="4045"/>
        <w:gridCol w:w="1620"/>
        <w:gridCol w:w="1710"/>
        <w:gridCol w:w="1530"/>
        <w:gridCol w:w="1530"/>
        <w:gridCol w:w="1440"/>
        <w:gridCol w:w="1597"/>
      </w:tblGrid>
      <w:tr w:rsidRPr="00E7299B" w:rsidR="00ED2FBB" w:rsidTr="00587ECD" w14:paraId="5CB929DB" w14:textId="77777777">
        <w:trPr>
          <w:trHeight w:val="615"/>
          <w:tblHeader/>
          <w:jc w:val="center"/>
        </w:trPr>
        <w:tc>
          <w:tcPr>
            <w:tcW w:w="404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255BD8" w:rsidR="00E7299B" w:rsidP="00255BD8" w:rsidRDefault="00E7299B" w14:paraId="316F1686" w14:textId="77777777">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Activity</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255BD8" w:rsidR="00E7299B" w:rsidP="00D37535" w:rsidRDefault="00E7299B" w14:paraId="2D9C6528" w14:textId="6CDC6A1C">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 xml:space="preserve">2017 NPDES Program ICR </w:t>
            </w:r>
            <w:r w:rsidR="00144A8E">
              <w:rPr>
                <w:rFonts w:ascii="Calibri" w:hAnsi="Calibri" w:eastAsia="Times New Roman" w:cs="Calibri"/>
                <w:b/>
                <w:bCs/>
                <w:color w:val="000000"/>
                <w:vertAlign w:val="superscript"/>
              </w:rPr>
              <w:t>2</w:t>
            </w:r>
          </w:p>
        </w:tc>
        <w:tc>
          <w:tcPr>
            <w:tcW w:w="17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255BD8" w:rsidR="00E7299B" w:rsidP="00D37535" w:rsidRDefault="00E7299B" w14:paraId="368EB87D" w14:textId="3CB9C996">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2021 MSGP Incremental Change</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255BD8" w:rsidR="00E7299B" w:rsidP="00D37535" w:rsidRDefault="00E7299B" w14:paraId="0DBFD106" w14:textId="5EDFA1DE">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Total Hours per Response</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255BD8" w:rsidR="00E7299B" w:rsidRDefault="00E7299B" w14:paraId="12C28B74" w14:textId="4451987E">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 xml:space="preserve">No. Annual </w:t>
            </w:r>
            <w:r w:rsidR="00ED2FBB">
              <w:rPr>
                <w:rFonts w:ascii="Calibri" w:hAnsi="Calibri" w:eastAsia="Times New Roman" w:cs="Calibri"/>
                <w:b/>
                <w:bCs/>
                <w:color w:val="000000"/>
              </w:rPr>
              <w:t>Occurrences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8B7816" w:rsidP="00D37535" w:rsidRDefault="00E7299B" w14:paraId="73CB0D8E" w14:textId="77777777">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 xml:space="preserve">Total Annual Burden </w:t>
            </w:r>
          </w:p>
          <w:p w:rsidRPr="00255BD8" w:rsidR="00E7299B" w:rsidP="00D37535" w:rsidRDefault="00E7299B" w14:paraId="4C6CA46D" w14:textId="0953E142">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w:t>
            </w:r>
            <w:proofErr w:type="spellStart"/>
            <w:r w:rsidRPr="00255BD8">
              <w:rPr>
                <w:rFonts w:ascii="Calibri" w:hAnsi="Calibri" w:eastAsia="Times New Roman" w:cs="Calibri"/>
                <w:b/>
                <w:bCs/>
                <w:color w:val="000000"/>
              </w:rPr>
              <w:t>hrs</w:t>
            </w:r>
            <w:proofErr w:type="spellEnd"/>
            <w:r w:rsidRPr="00255BD8">
              <w:rPr>
                <w:rFonts w:ascii="Calibri" w:hAnsi="Calibri" w:eastAsia="Times New Roman" w:cs="Calibri"/>
                <w:b/>
                <w:bCs/>
                <w:color w:val="000000"/>
              </w:rPr>
              <w:t>)</w:t>
            </w:r>
            <w:r w:rsidRPr="008B7816" w:rsidR="008B7816">
              <w:rPr>
                <w:rFonts w:ascii="Calibri" w:hAnsi="Calibri" w:eastAsia="Times New Roman" w:cs="Calibri"/>
                <w:b/>
                <w:bCs/>
                <w:color w:val="000000"/>
                <w:vertAlign w:val="superscript"/>
              </w:rPr>
              <w:t xml:space="preserve"> </w:t>
            </w:r>
          </w:p>
        </w:tc>
        <w:tc>
          <w:tcPr>
            <w:tcW w:w="159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255BD8" w:rsidR="00E7299B" w:rsidP="00D37535" w:rsidRDefault="00E7299B" w14:paraId="7EECC7C7" w14:textId="6D5964EE">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 xml:space="preserve"> Total Annual Cost</w:t>
            </w:r>
          </w:p>
        </w:tc>
      </w:tr>
      <w:tr w:rsidRPr="00E7299B" w:rsidR="00ED2FBB" w:rsidTr="00587ECD" w14:paraId="32D301ED" w14:textId="77777777">
        <w:trPr>
          <w:trHeight w:val="170"/>
          <w:tblHeader/>
          <w:jc w:val="center"/>
        </w:trPr>
        <w:tc>
          <w:tcPr>
            <w:tcW w:w="404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43E27686" w14:textId="77777777">
            <w:pPr>
              <w:spacing w:after="100" w:afterAutospacing="1" w:line="240" w:lineRule="auto"/>
              <w:contextualSpacing/>
              <w:rPr>
                <w:rFonts w:ascii="Calibri" w:hAnsi="Calibri" w:eastAsia="Times New Roman" w:cs="Calibri"/>
                <w:b/>
                <w:bCs/>
                <w:color w:val="000000"/>
              </w:rPr>
            </w:pP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255BD8" w:rsidR="00E7299B" w:rsidP="00E7299B" w:rsidRDefault="00E7299B" w14:paraId="61E9B9EF" w14:textId="68A8492C">
            <w:pPr>
              <w:spacing w:after="100" w:afterAutospacing="1" w:line="240" w:lineRule="auto"/>
              <w:contextualSpacing/>
              <w:jc w:val="center"/>
              <w:rPr>
                <w:rFonts w:ascii="Calibri" w:hAnsi="Calibri" w:eastAsia="Times New Roman" w:cs="Calibri"/>
                <w:i/>
                <w:iCs/>
                <w:color w:val="000000"/>
              </w:rPr>
            </w:pPr>
            <w:r w:rsidRPr="00255BD8">
              <w:rPr>
                <w:rFonts w:ascii="Calibri" w:hAnsi="Calibri" w:eastAsia="Times New Roman" w:cs="Calibri"/>
                <w:i/>
                <w:iCs/>
                <w:color w:val="000000"/>
              </w:rPr>
              <w:t>(A)</w:t>
            </w:r>
          </w:p>
        </w:tc>
        <w:tc>
          <w:tcPr>
            <w:tcW w:w="17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5E8EFC0F" w14:textId="4842BABF">
            <w:pPr>
              <w:spacing w:after="100" w:afterAutospacing="1" w:line="240" w:lineRule="auto"/>
              <w:contextualSpacing/>
              <w:jc w:val="center"/>
              <w:rPr>
                <w:rFonts w:ascii="Calibri" w:hAnsi="Calibri" w:eastAsia="Times New Roman" w:cs="Calibri"/>
                <w:b/>
                <w:bCs/>
                <w:color w:val="000000"/>
              </w:rPr>
            </w:pPr>
            <w:r w:rsidRPr="002C7758">
              <w:rPr>
                <w:rFonts w:ascii="Calibri" w:hAnsi="Calibri" w:eastAsia="Times New Roman" w:cs="Calibri"/>
                <w:i/>
                <w:iCs/>
                <w:color w:val="000000"/>
              </w:rPr>
              <w:t>(</w:t>
            </w:r>
            <w:r>
              <w:rPr>
                <w:rFonts w:ascii="Calibri" w:hAnsi="Calibri" w:eastAsia="Times New Roman" w:cs="Calibri"/>
                <w:i/>
                <w:iCs/>
                <w:color w:val="000000"/>
              </w:rPr>
              <w:t>B</w:t>
            </w:r>
            <w:r w:rsidRPr="002C7758">
              <w:rPr>
                <w:rFonts w:ascii="Calibri" w:hAnsi="Calibri" w:eastAsia="Times New Roman" w:cs="Calibri"/>
                <w:i/>
                <w:iCs/>
                <w:color w:val="000000"/>
              </w:rPr>
              <w: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2E68BD6B" w14:textId="3AE4C979">
            <w:pPr>
              <w:spacing w:after="100" w:afterAutospacing="1" w:line="240" w:lineRule="auto"/>
              <w:contextualSpacing/>
              <w:jc w:val="center"/>
              <w:rPr>
                <w:rFonts w:ascii="Calibri" w:hAnsi="Calibri" w:eastAsia="Times New Roman" w:cs="Calibri"/>
                <w:b/>
                <w:bCs/>
                <w:color w:val="000000"/>
              </w:rPr>
            </w:pPr>
            <w:r w:rsidRPr="002C7758">
              <w:rPr>
                <w:rFonts w:ascii="Calibri" w:hAnsi="Calibri" w:eastAsia="Times New Roman" w:cs="Calibri"/>
                <w:i/>
                <w:iCs/>
                <w:color w:val="000000"/>
              </w:rPr>
              <w:t>(</w:t>
            </w:r>
            <w:r>
              <w:rPr>
                <w:rFonts w:ascii="Calibri" w:hAnsi="Calibri" w:eastAsia="Times New Roman" w:cs="Calibri"/>
                <w:i/>
                <w:iCs/>
                <w:color w:val="000000"/>
              </w:rPr>
              <w:t>C = A + B</w:t>
            </w:r>
            <w:r w:rsidRPr="002C7758">
              <w:rPr>
                <w:rFonts w:ascii="Calibri" w:hAnsi="Calibri" w:eastAsia="Times New Roman" w:cs="Calibri"/>
                <w:i/>
                <w:iCs/>
                <w:color w:val="000000"/>
              </w:rPr>
              <w:t>)</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03376FEA" w14:textId="2B9E64D1">
            <w:pPr>
              <w:spacing w:after="100" w:afterAutospacing="1" w:line="240" w:lineRule="auto"/>
              <w:contextualSpacing/>
              <w:jc w:val="center"/>
              <w:rPr>
                <w:rFonts w:ascii="Calibri" w:hAnsi="Calibri" w:eastAsia="Times New Roman" w:cs="Calibri"/>
                <w:b/>
                <w:bCs/>
                <w:color w:val="000000"/>
              </w:rPr>
            </w:pPr>
            <w:r w:rsidRPr="002C7758">
              <w:rPr>
                <w:rFonts w:ascii="Calibri" w:hAnsi="Calibri" w:eastAsia="Times New Roman" w:cs="Calibri"/>
                <w:i/>
                <w:iCs/>
                <w:color w:val="000000"/>
              </w:rPr>
              <w:t>(</w:t>
            </w:r>
            <w:r>
              <w:rPr>
                <w:rFonts w:ascii="Calibri" w:hAnsi="Calibri" w:eastAsia="Times New Roman" w:cs="Calibri"/>
                <w:i/>
                <w:iCs/>
                <w:color w:val="000000"/>
              </w:rPr>
              <w:t>D</w:t>
            </w:r>
            <w:r w:rsidRPr="002C7758">
              <w:rPr>
                <w:rFonts w:ascii="Calibri" w:hAnsi="Calibri" w:eastAsia="Times New Roman" w:cs="Calibri"/>
                <w:i/>
                <w:iCs/>
                <w:color w:val="000000"/>
              </w:rPr>
              <w:t>)</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00CD26C6" w14:textId="5601378A">
            <w:pPr>
              <w:spacing w:after="100" w:afterAutospacing="1" w:line="240" w:lineRule="auto"/>
              <w:contextualSpacing/>
              <w:jc w:val="center"/>
              <w:rPr>
                <w:rFonts w:ascii="Calibri" w:hAnsi="Calibri" w:eastAsia="Times New Roman" w:cs="Calibri"/>
                <w:b/>
                <w:bCs/>
                <w:color w:val="000000"/>
              </w:rPr>
            </w:pPr>
            <w:r w:rsidRPr="002C7758">
              <w:rPr>
                <w:rFonts w:ascii="Calibri" w:hAnsi="Calibri" w:eastAsia="Times New Roman" w:cs="Calibri"/>
                <w:i/>
                <w:iCs/>
                <w:color w:val="000000"/>
              </w:rPr>
              <w:t>(</w:t>
            </w:r>
            <w:r>
              <w:rPr>
                <w:rFonts w:ascii="Calibri" w:hAnsi="Calibri" w:eastAsia="Times New Roman" w:cs="Calibri"/>
                <w:i/>
                <w:iCs/>
                <w:color w:val="000000"/>
              </w:rPr>
              <w:t>E = C</w:t>
            </w:r>
            <w:r w:rsidR="00ED2FBB">
              <w:rPr>
                <w:rFonts w:ascii="Calibri" w:hAnsi="Calibri" w:eastAsia="Times New Roman" w:cs="Calibri"/>
                <w:i/>
                <w:iCs/>
                <w:color w:val="000000"/>
              </w:rPr>
              <w:t xml:space="preserve"> x D</w:t>
            </w:r>
            <w:r w:rsidRPr="002C7758">
              <w:rPr>
                <w:rFonts w:ascii="Calibri" w:hAnsi="Calibri" w:eastAsia="Times New Roman" w:cs="Calibri"/>
                <w:i/>
                <w:iCs/>
                <w:color w:val="000000"/>
              </w:rPr>
              <w:t>)</w:t>
            </w:r>
          </w:p>
        </w:tc>
        <w:tc>
          <w:tcPr>
            <w:tcW w:w="159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E7299B" w:rsidR="00E7299B" w:rsidP="00E7299B" w:rsidRDefault="00E7299B" w14:paraId="59552756" w14:textId="3FDE26BA">
            <w:pPr>
              <w:spacing w:after="100" w:afterAutospacing="1" w:line="240" w:lineRule="auto"/>
              <w:contextualSpacing/>
              <w:jc w:val="center"/>
              <w:rPr>
                <w:rFonts w:ascii="Calibri" w:hAnsi="Calibri" w:eastAsia="Times New Roman" w:cs="Calibri"/>
                <w:b/>
                <w:bCs/>
                <w:color w:val="000000"/>
              </w:rPr>
            </w:pPr>
            <w:r w:rsidRPr="002C7758">
              <w:rPr>
                <w:rFonts w:ascii="Calibri" w:hAnsi="Calibri" w:eastAsia="Times New Roman" w:cs="Calibri"/>
                <w:i/>
                <w:iCs/>
                <w:color w:val="000000"/>
              </w:rPr>
              <w:t>(</w:t>
            </w:r>
            <w:r w:rsidR="00ED2FBB">
              <w:rPr>
                <w:rFonts w:ascii="Calibri" w:hAnsi="Calibri" w:eastAsia="Times New Roman" w:cs="Calibri"/>
                <w:i/>
                <w:iCs/>
                <w:color w:val="000000"/>
              </w:rPr>
              <w:t>F = E x $35.96</w:t>
            </w:r>
            <w:r w:rsidRPr="002C7758">
              <w:rPr>
                <w:rFonts w:ascii="Calibri" w:hAnsi="Calibri" w:eastAsia="Times New Roman" w:cs="Calibri"/>
                <w:i/>
                <w:iCs/>
                <w:color w:val="000000"/>
              </w:rPr>
              <w:t>)</w:t>
            </w:r>
          </w:p>
        </w:tc>
      </w:tr>
      <w:tr w:rsidRPr="00E7299B" w:rsidR="00ED2FBB" w:rsidTr="3BA19A22" w14:paraId="007AAC48" w14:textId="77777777">
        <w:trPr>
          <w:trHeight w:val="315"/>
          <w:jc w:val="center"/>
        </w:trPr>
        <w:tc>
          <w:tcPr>
            <w:tcW w:w="1347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255BD8" w:rsidR="00ED2FBB" w:rsidP="00587ECD" w:rsidRDefault="00587ECD" w14:paraId="4DE25F9B" w14:textId="5691C49D">
            <w:pPr>
              <w:spacing w:after="100" w:afterAutospacing="1" w:line="240" w:lineRule="auto"/>
              <w:contextualSpacing/>
              <w:rPr>
                <w:rFonts w:ascii="Calibri" w:hAnsi="Calibri" w:eastAsia="Times New Roman" w:cs="Calibri"/>
                <w:color w:val="000000"/>
              </w:rPr>
            </w:pPr>
            <w:r>
              <w:rPr>
                <w:rFonts w:ascii="Calibri" w:hAnsi="Calibri" w:eastAsia="Times New Roman" w:cs="Calibri"/>
                <w:b/>
                <w:color w:val="000000"/>
              </w:rPr>
              <w:t>Reporting Requirements</w:t>
            </w:r>
          </w:p>
        </w:tc>
      </w:tr>
      <w:tr w:rsidRPr="00255BD8" w:rsidR="00F84CF1" w:rsidTr="00F7656C" w14:paraId="495E2CB7" w14:textId="77777777">
        <w:trPr>
          <w:trHeight w:val="3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32CA78D7" w14:textId="77777777">
            <w:pPr>
              <w:spacing w:after="100" w:afterAutospacing="1" w:line="240" w:lineRule="auto"/>
              <w:contextualSpacing/>
              <w:rPr>
                <w:rFonts w:ascii="Calibri" w:hAnsi="Calibri" w:eastAsia="Times New Roman" w:cs="Calibri"/>
                <w:b/>
                <w:color w:val="000000"/>
              </w:rPr>
            </w:pPr>
            <w:r>
              <w:rPr>
                <w:rFonts w:ascii="Calibri" w:hAnsi="Calibri" w:cs="Calibri"/>
                <w:color w:val="000000"/>
              </w:rPr>
              <w:t>NOI form</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F84CF1" w:rsidP="00F7656C" w:rsidRDefault="00F84CF1" w14:paraId="1C8A9471" w14:textId="1D9E3E8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3.9</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F84CF1" w:rsidP="00F7656C" w:rsidRDefault="00F84CF1" w14:paraId="0B6D7FB5" w14:textId="5AD1246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02C8EF44" w14:textId="246F0E3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718FB321" w14:textId="53820D2E">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502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30D7F85F" w14:textId="3F408171">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2,056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686016F9" w14:textId="28B29CD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$73,943</w:t>
            </w:r>
          </w:p>
        </w:tc>
      </w:tr>
      <w:tr w:rsidRPr="00255BD8" w:rsidR="00F84CF1" w:rsidTr="00F7656C" w14:paraId="5EB809A9" w14:textId="77777777">
        <w:trPr>
          <w:trHeight w:val="3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3CE655A7" w14:textId="77777777">
            <w:pPr>
              <w:spacing w:after="100" w:afterAutospacing="1" w:line="240" w:lineRule="auto"/>
              <w:contextualSpacing/>
              <w:rPr>
                <w:rFonts w:ascii="Calibri" w:hAnsi="Calibri" w:eastAsia="Times New Roman" w:cs="Calibri"/>
                <w:b/>
                <w:color w:val="000000"/>
              </w:rPr>
            </w:pPr>
            <w:r>
              <w:rPr>
                <w:rFonts w:ascii="Calibri" w:hAnsi="Calibri" w:cs="Calibri"/>
                <w:color w:val="000000"/>
              </w:rPr>
              <w:t>NOT form</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F84CF1" w:rsidP="00F7656C" w:rsidRDefault="00F84CF1" w14:paraId="6B70B418" w14:textId="67371D2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0.5</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F84CF1" w:rsidP="00F7656C" w:rsidRDefault="00F84CF1" w14:paraId="5DB9E10C" w14:textId="4866141E">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3EFB6B97" w14:textId="0F1EB086">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4E5B5EB7" w14:textId="2766AE31">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76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224D6AAC" w14:textId="2935596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38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F84CF1" w:rsidP="00F7656C" w:rsidRDefault="00F84CF1" w14:paraId="0F021A4F" w14:textId="7EB3A8D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$1,366</w:t>
            </w:r>
          </w:p>
        </w:tc>
      </w:tr>
      <w:tr w:rsidRPr="00E7299B" w:rsidR="00AB52CB" w:rsidTr="000A33DF" w14:paraId="1A4E119D" w14:textId="77777777">
        <w:trPr>
          <w:trHeight w:val="35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AB52CB" w:rsidP="00AB52CB" w:rsidRDefault="00AB52CB" w14:paraId="78B50A27" w14:textId="2969FA66">
            <w:pPr>
              <w:spacing w:after="100" w:afterAutospacing="1" w:line="240" w:lineRule="auto"/>
              <w:contextualSpacing/>
              <w:rPr>
                <w:rFonts w:ascii="Calibri" w:hAnsi="Calibri" w:cs="Calibri"/>
              </w:rPr>
            </w:pPr>
            <w:r>
              <w:rPr>
                <w:rFonts w:ascii="Calibri" w:hAnsi="Calibri" w:cs="Calibri"/>
                <w:color w:val="000000"/>
              </w:rPr>
              <w:t>Sampling - All Sectors</w:t>
            </w:r>
          </w:p>
        </w:tc>
        <w:tc>
          <w:tcPr>
            <w:tcW w:w="1620" w:type="dxa"/>
            <w:tcBorders>
              <w:top w:val="single" w:color="auto" w:sz="4" w:space="0"/>
              <w:left w:val="single" w:color="auto" w:sz="4" w:space="0"/>
              <w:bottom w:val="single" w:color="auto" w:sz="4" w:space="0"/>
              <w:right w:val="single" w:color="auto" w:sz="4" w:space="0"/>
            </w:tcBorders>
            <w:vAlign w:val="bottom"/>
          </w:tcPr>
          <w:p w:rsidRPr="00CE4D7C" w:rsidR="00AB52CB" w:rsidP="00AB52CB" w:rsidRDefault="00AB52CB" w14:paraId="54537666" w14:textId="4D60696A">
            <w:pPr>
              <w:spacing w:after="100" w:afterAutospacing="1" w:line="240" w:lineRule="auto"/>
              <w:contextualSpacing/>
              <w:jc w:val="center"/>
            </w:pPr>
            <w:r>
              <w:rPr>
                <w:rFonts w:ascii="Calibri" w:hAnsi="Calibri" w:cs="Calibri"/>
                <w:color w:val="000000"/>
              </w:rPr>
              <w:t>2.25</w:t>
            </w:r>
          </w:p>
        </w:tc>
        <w:tc>
          <w:tcPr>
            <w:tcW w:w="1710" w:type="dxa"/>
            <w:tcBorders>
              <w:top w:val="single" w:color="auto" w:sz="4" w:space="0"/>
              <w:left w:val="single" w:color="auto" w:sz="4" w:space="0"/>
              <w:bottom w:val="single" w:color="auto" w:sz="4" w:space="0"/>
              <w:right w:val="single" w:color="auto" w:sz="4" w:space="0"/>
            </w:tcBorders>
            <w:vAlign w:val="bottom"/>
          </w:tcPr>
          <w:p w:rsidRPr="00CE4D7C" w:rsidR="00AB52CB" w:rsidP="00AB52CB" w:rsidRDefault="00AB52CB" w14:paraId="20F20731" w14:textId="06B8DB5B">
            <w:pPr>
              <w:spacing w:after="100" w:afterAutospacing="1" w:line="240" w:lineRule="auto"/>
              <w:contextualSpacing/>
              <w:jc w:val="cente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AB52CB" w14:paraId="000A9801" w14:textId="7CC3EF59">
            <w:pPr>
              <w:spacing w:after="100" w:afterAutospacing="1" w:line="240" w:lineRule="auto"/>
              <w:contextualSpacing/>
              <w:jc w:val="center"/>
            </w:pPr>
            <w:r>
              <w:rPr>
                <w:rFonts w:ascii="Calibri" w:hAnsi="Calibri" w:cs="Calibri"/>
                <w:color w:val="000000"/>
              </w:rPr>
              <w:t>2.25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3B05DA" w14:paraId="3176107E" w14:textId="03C21981">
            <w:pPr>
              <w:spacing w:after="100" w:afterAutospacing="1" w:line="240" w:lineRule="auto"/>
              <w:contextualSpacing/>
              <w:jc w:val="center"/>
            </w:pPr>
            <w:r>
              <w:rPr>
                <w:rFonts w:ascii="Calibri" w:hAnsi="Calibri" w:cs="Calibri"/>
                <w:color w:val="000000"/>
              </w:rPr>
              <w:t xml:space="preserve">10,031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3B05DA" w14:paraId="1963791C" w14:textId="48591A31">
            <w:pPr>
              <w:spacing w:after="100" w:afterAutospacing="1" w:line="240" w:lineRule="auto"/>
              <w:contextualSpacing/>
              <w:jc w:val="center"/>
            </w:pPr>
            <w:r>
              <w:rPr>
                <w:rFonts w:ascii="Calibri" w:hAnsi="Calibri" w:cs="Calibri"/>
                <w:color w:val="000000"/>
              </w:rPr>
              <w:t xml:space="preserve">22,569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3B05DA" w14:paraId="1829E54A" w14:textId="1D4EA9B6">
            <w:pPr>
              <w:spacing w:after="100" w:afterAutospacing="1" w:line="240" w:lineRule="auto"/>
              <w:contextualSpacing/>
              <w:jc w:val="center"/>
              <w:rPr>
                <w:rFonts w:ascii="Calibri" w:hAnsi="Calibri" w:cs="Calibri"/>
                <w:color w:val="000000" w:themeColor="text1"/>
              </w:rPr>
            </w:pPr>
            <w:r w:rsidRPr="3BA19A22">
              <w:rPr>
                <w:rFonts w:ascii="Calibri" w:hAnsi="Calibri" w:cs="Calibri"/>
                <w:color w:val="000000" w:themeColor="text1"/>
              </w:rPr>
              <w:t>$811,568</w:t>
            </w:r>
          </w:p>
        </w:tc>
      </w:tr>
      <w:tr w:rsidRPr="00E7299B" w:rsidR="00AB52CB" w:rsidTr="000A33DF" w14:paraId="2937D171" w14:textId="77777777">
        <w:trPr>
          <w:trHeight w:val="35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AB52CB" w:rsidP="00AB52CB" w:rsidRDefault="00AB52CB" w14:paraId="3047122E" w14:textId="780FABB8">
            <w:pPr>
              <w:spacing w:after="100" w:afterAutospacing="1" w:line="240" w:lineRule="auto"/>
              <w:contextualSpacing/>
              <w:rPr>
                <w:rFonts w:ascii="Calibri" w:hAnsi="Calibri" w:cs="Calibri"/>
              </w:rPr>
            </w:pPr>
            <w:r>
              <w:rPr>
                <w:rFonts w:ascii="Calibri" w:hAnsi="Calibri" w:cs="Calibri"/>
              </w:rPr>
              <w:t>DMR Submittal</w:t>
            </w:r>
          </w:p>
        </w:tc>
        <w:tc>
          <w:tcPr>
            <w:tcW w:w="1620" w:type="dxa"/>
            <w:tcBorders>
              <w:top w:val="single" w:color="auto" w:sz="4" w:space="0"/>
              <w:left w:val="single" w:color="auto" w:sz="4" w:space="0"/>
              <w:bottom w:val="single" w:color="auto" w:sz="4" w:space="0"/>
              <w:right w:val="single" w:color="auto" w:sz="4" w:space="0"/>
            </w:tcBorders>
            <w:vAlign w:val="bottom"/>
          </w:tcPr>
          <w:p w:rsidRPr="00CE4D7C" w:rsidR="00AB52CB" w:rsidP="00AB52CB" w:rsidRDefault="00AB52CB" w14:paraId="31913AB0" w14:textId="1C7031C4">
            <w:pPr>
              <w:spacing w:after="100" w:afterAutospacing="1" w:line="240" w:lineRule="auto"/>
              <w:contextualSpacing/>
              <w:jc w:val="center"/>
            </w:pPr>
            <w:r>
              <w:t>2</w:t>
            </w:r>
          </w:p>
        </w:tc>
        <w:tc>
          <w:tcPr>
            <w:tcW w:w="1710" w:type="dxa"/>
            <w:tcBorders>
              <w:top w:val="single" w:color="auto" w:sz="4" w:space="0"/>
              <w:left w:val="single" w:color="auto" w:sz="4" w:space="0"/>
              <w:bottom w:val="single" w:color="auto" w:sz="4" w:space="0"/>
              <w:right w:val="single" w:color="auto" w:sz="4" w:space="0"/>
            </w:tcBorders>
            <w:vAlign w:val="bottom"/>
          </w:tcPr>
          <w:p w:rsidRPr="00CE4D7C" w:rsidR="00AB52CB" w:rsidP="00AB52CB" w:rsidRDefault="00AB52CB" w14:paraId="2B8552D2" w14:textId="47DC5A1A">
            <w:pPr>
              <w:spacing w:after="100" w:afterAutospacing="1" w:line="240" w:lineRule="auto"/>
              <w:contextualSpacing/>
              <w:jc w:val="center"/>
            </w:pPr>
            <w:r w:rsidRPr="001070FD">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AB52CB" w14:paraId="34C716CF" w14:textId="6B7979D3">
            <w:pPr>
              <w:spacing w:after="100" w:afterAutospacing="1" w:line="240" w:lineRule="auto"/>
              <w:contextualSpacing/>
              <w:jc w:val="center"/>
            </w:pPr>
            <w:r w:rsidRPr="001070FD">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AB52CB" w14:paraId="54C2D8D7" w14:textId="2E438073">
            <w:pPr>
              <w:spacing w:after="100" w:afterAutospacing="1" w:line="240" w:lineRule="auto"/>
              <w:contextualSpacing/>
              <w:jc w:val="center"/>
            </w:pPr>
            <w:r w:rsidRPr="001070FD">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AB52CB" w14:paraId="5205A18C" w14:textId="6EA38BB9">
            <w:pPr>
              <w:spacing w:after="100" w:afterAutospacing="1" w:line="240" w:lineRule="auto"/>
              <w:contextualSpacing/>
              <w:jc w:val="center"/>
            </w:pPr>
            <w:r w:rsidRPr="001070FD">
              <w:t>--</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CE4D7C" w:rsidR="00AB52CB" w:rsidP="00AB52CB" w:rsidRDefault="00AB52CB" w14:paraId="3D1351D9" w14:textId="13343125">
            <w:pPr>
              <w:spacing w:after="100" w:afterAutospacing="1" w:line="240" w:lineRule="auto"/>
              <w:contextualSpacing/>
              <w:jc w:val="center"/>
            </w:pPr>
            <w:r w:rsidRPr="001070FD">
              <w:t>--</w:t>
            </w:r>
          </w:p>
        </w:tc>
      </w:tr>
      <w:tr w:rsidRPr="00E7299B" w:rsidR="00AB52CB" w:rsidTr="000A33DF" w14:paraId="765B686C" w14:textId="77777777">
        <w:trPr>
          <w:trHeight w:val="44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255BD8" w:rsidRDefault="00AB52CB" w14:paraId="60300C3F" w14:textId="27808254">
            <w:pPr>
              <w:spacing w:after="100" w:afterAutospacing="1" w:line="240" w:lineRule="auto"/>
              <w:ind w:left="720"/>
              <w:contextualSpacing/>
              <w:rPr>
                <w:rFonts w:ascii="Calibri" w:hAnsi="Calibri" w:eastAsia="Times New Roman" w:cs="Calibri"/>
                <w:b/>
                <w:color w:val="000000"/>
              </w:rPr>
            </w:pPr>
            <w:r>
              <w:rPr>
                <w:rFonts w:ascii="Calibri" w:hAnsi="Calibri" w:cs="Calibri"/>
                <w:color w:val="000000"/>
              </w:rPr>
              <w:t>DMR submittal - PAH indicator monitoring</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F668833" w14:textId="2738FC59">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471E035" w14:textId="5035B3EE">
            <w:pPr>
              <w:spacing w:after="100" w:afterAutospacing="1" w:line="240" w:lineRule="auto"/>
              <w:contextualSpacing/>
              <w:jc w:val="center"/>
              <w:rPr>
                <w:rFonts w:ascii="Calibri" w:hAnsi="Calibri" w:eastAsia="Times New Roman" w:cs="Calibri"/>
                <w:color w:val="000000"/>
              </w:rPr>
            </w:pPr>
            <w:r w:rsidRPr="00B73EAB">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2E52BFAE" w14:textId="6DD171C6">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1.92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790342D" w14:textId="17069DC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818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22E8481" w14:textId="73DFEE6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1,572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B05DA" w14:paraId="3D9E20C1" w14:textId="61B5E32F">
            <w:pPr>
              <w:spacing w:after="100" w:afterAutospacing="1" w:line="240" w:lineRule="auto"/>
              <w:contextualSpacing/>
              <w:jc w:val="center"/>
              <w:rPr>
                <w:rFonts w:ascii="Calibri" w:hAnsi="Calibri" w:eastAsia="Times New Roman" w:cs="Calibri"/>
                <w:color w:val="000000"/>
              </w:rPr>
            </w:pPr>
            <w:r w:rsidRPr="3BA19A22" w:rsidDel="00906060">
              <w:rPr>
                <w:rFonts w:ascii="Calibri" w:hAnsi="Calibri" w:cs="Calibri"/>
                <w:color w:val="000000" w:themeColor="text1"/>
              </w:rPr>
              <w:t>$56,539</w:t>
            </w:r>
          </w:p>
        </w:tc>
      </w:tr>
      <w:tr w:rsidRPr="00E7299B" w:rsidR="00AB52CB" w:rsidTr="000A33DF" w14:paraId="49AAB969" w14:textId="77777777">
        <w:trPr>
          <w:trHeight w:val="44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255BD8" w:rsidRDefault="00AB52CB" w14:paraId="2BC1EF0C" w14:textId="46459250">
            <w:pPr>
              <w:spacing w:after="100" w:afterAutospacing="1" w:line="240" w:lineRule="auto"/>
              <w:ind w:left="720"/>
              <w:contextualSpacing/>
              <w:rPr>
                <w:rFonts w:ascii="Calibri" w:hAnsi="Calibri" w:eastAsia="Times New Roman" w:cs="Calibri"/>
                <w:b/>
                <w:color w:val="000000"/>
              </w:rPr>
            </w:pPr>
            <w:r>
              <w:rPr>
                <w:rFonts w:ascii="Calibri" w:hAnsi="Calibri" w:cs="Calibri"/>
                <w:color w:val="000000"/>
              </w:rPr>
              <w:t>DMR submittal - pH, TSS, COD Indicator Monitoring</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6CB3C6A1" w14:textId="7A3BF877">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6604FAD9" w14:textId="5A8779DD">
            <w:pPr>
              <w:spacing w:after="100" w:afterAutospacing="1" w:line="240" w:lineRule="auto"/>
              <w:contextualSpacing/>
              <w:jc w:val="center"/>
              <w:rPr>
                <w:rFonts w:ascii="Calibri" w:hAnsi="Calibri" w:eastAsia="Times New Roman" w:cs="Calibri"/>
                <w:color w:val="000000"/>
              </w:rPr>
            </w:pPr>
            <w:r w:rsidRPr="00B73EAB">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49FC63EB" w14:textId="19D96FF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0.36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72920FED" w14:textId="45AA4F0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3,376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6879E3F7" w14:textId="31A6544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1,217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B05DA" w14:paraId="272B7816" w14:textId="0164F5A2">
            <w:pPr>
              <w:spacing w:after="100" w:afterAutospacing="1" w:line="240" w:lineRule="auto"/>
              <w:contextualSpacing/>
              <w:jc w:val="center"/>
              <w:rPr>
                <w:rFonts w:ascii="Calibri" w:hAnsi="Calibri" w:eastAsia="Times New Roman" w:cs="Calibri"/>
                <w:color w:val="000000"/>
              </w:rPr>
            </w:pPr>
            <w:r w:rsidDel="00906060">
              <w:rPr>
                <w:rFonts w:ascii="Calibri" w:hAnsi="Calibri" w:cs="Calibri"/>
                <w:color w:val="000000"/>
              </w:rPr>
              <w:t>$43,774</w:t>
            </w:r>
          </w:p>
        </w:tc>
      </w:tr>
      <w:tr w:rsidRPr="00E7299B" w:rsidR="00AB52CB" w:rsidTr="000A33DF" w14:paraId="159D58F0" w14:textId="77777777">
        <w:trPr>
          <w:trHeight w:val="33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255BD8" w:rsidRDefault="00AB52CB" w14:paraId="3597CDAF" w14:textId="5DCB8F2B">
            <w:pPr>
              <w:spacing w:after="100" w:afterAutospacing="1" w:line="240" w:lineRule="auto"/>
              <w:ind w:left="720"/>
              <w:contextualSpacing/>
              <w:rPr>
                <w:rFonts w:ascii="Calibri" w:hAnsi="Calibri" w:eastAsia="Times New Roman" w:cs="Calibri"/>
                <w:b/>
                <w:color w:val="000000"/>
              </w:rPr>
            </w:pPr>
            <w:r>
              <w:rPr>
                <w:rFonts w:ascii="Calibri" w:hAnsi="Calibri" w:cs="Calibri"/>
                <w:color w:val="000000"/>
              </w:rPr>
              <w:t>DMR submittal - Impaired Waters</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46737127" w14:textId="69B7D5FA">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05E187B3" w14:textId="3C298F74">
            <w:pPr>
              <w:spacing w:after="100" w:afterAutospacing="1" w:line="240" w:lineRule="auto"/>
              <w:contextualSpacing/>
              <w:jc w:val="center"/>
              <w:rPr>
                <w:rFonts w:ascii="Calibri" w:hAnsi="Calibri" w:eastAsia="Times New Roman" w:cs="Calibri"/>
                <w:color w:val="000000"/>
              </w:rPr>
            </w:pPr>
            <w:r w:rsidRPr="00B73EAB">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1BBA7291" w14:textId="192FEF91">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0.12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AC9DCCC" w14:textId="5F064B7E">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371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0D2859D3" w14:textId="0F8B007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45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B05DA" w14:paraId="600AB3B7" w14:textId="01B243A1">
            <w:pPr>
              <w:spacing w:after="100" w:afterAutospacing="1" w:line="240" w:lineRule="auto"/>
              <w:contextualSpacing/>
              <w:jc w:val="center"/>
              <w:rPr>
                <w:rFonts w:ascii="Calibri" w:hAnsi="Calibri" w:eastAsia="Times New Roman" w:cs="Calibri"/>
                <w:color w:val="000000"/>
              </w:rPr>
            </w:pPr>
            <w:r w:rsidDel="00906060">
              <w:rPr>
                <w:rFonts w:ascii="Calibri" w:hAnsi="Calibri" w:cs="Calibri"/>
                <w:color w:val="000000"/>
              </w:rPr>
              <w:t>$1,602</w:t>
            </w:r>
          </w:p>
        </w:tc>
      </w:tr>
      <w:tr w:rsidRPr="00E7299B" w:rsidR="00AB52CB" w:rsidTr="000A33DF" w14:paraId="0E72F717" w14:textId="77777777">
        <w:trPr>
          <w:trHeight w:val="3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255BD8" w:rsidRDefault="00AB52CB" w14:paraId="5069A06A" w14:textId="216D8784">
            <w:pPr>
              <w:spacing w:after="100" w:afterAutospacing="1" w:line="240" w:lineRule="auto"/>
              <w:ind w:left="720"/>
              <w:contextualSpacing/>
              <w:rPr>
                <w:rFonts w:ascii="Calibri" w:hAnsi="Calibri" w:eastAsia="Times New Roman" w:cs="Calibri"/>
                <w:b/>
                <w:color w:val="000000"/>
              </w:rPr>
            </w:pPr>
            <w:r>
              <w:rPr>
                <w:rFonts w:ascii="Calibri" w:hAnsi="Calibri" w:cs="Calibri"/>
                <w:color w:val="000000"/>
              </w:rPr>
              <w:t>DMR submittal - Sector Specific Benchmarks</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0FE1B216" w14:textId="4C98D5A0">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2E4331DB" w14:textId="4C04755E">
            <w:pPr>
              <w:spacing w:after="100" w:afterAutospacing="1" w:line="240" w:lineRule="auto"/>
              <w:contextualSpacing/>
              <w:jc w:val="center"/>
              <w:rPr>
                <w:rFonts w:ascii="Calibri" w:hAnsi="Calibri" w:eastAsia="Times New Roman" w:cs="Calibri"/>
                <w:color w:val="000000"/>
              </w:rPr>
            </w:pPr>
            <w:r w:rsidRPr="00B73EAB">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7F3BE94E" w14:textId="2ED92BA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0.36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8725DA2" w14:textId="5C6BF63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6,429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167ED2EA" w14:textId="34D273D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2,314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B05DA" w14:paraId="1A6E244A" w14:textId="3C62521B">
            <w:pPr>
              <w:spacing w:after="100" w:afterAutospacing="1" w:line="240" w:lineRule="auto"/>
              <w:contextualSpacing/>
              <w:jc w:val="center"/>
              <w:rPr>
                <w:rFonts w:ascii="Calibri" w:hAnsi="Calibri" w:eastAsia="Times New Roman" w:cs="Calibri"/>
                <w:color w:val="000000"/>
              </w:rPr>
            </w:pPr>
            <w:r w:rsidDel="00906060">
              <w:rPr>
                <w:rFonts w:ascii="Calibri" w:hAnsi="Calibri" w:cs="Calibri"/>
                <w:color w:val="000000"/>
              </w:rPr>
              <w:t>$83,221</w:t>
            </w:r>
          </w:p>
        </w:tc>
      </w:tr>
      <w:tr w:rsidRPr="00E7299B" w:rsidR="00AB52CB" w:rsidTr="000A33DF" w14:paraId="6B8D8267" w14:textId="77777777">
        <w:trPr>
          <w:trHeight w:val="26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255BD8" w:rsidRDefault="00AB52CB" w14:paraId="6B7DD66A" w14:textId="259F5D5C">
            <w:pPr>
              <w:spacing w:after="100" w:afterAutospacing="1" w:line="240" w:lineRule="auto"/>
              <w:ind w:left="720"/>
              <w:contextualSpacing/>
              <w:rPr>
                <w:rFonts w:ascii="Calibri" w:hAnsi="Calibri" w:eastAsia="Times New Roman" w:cs="Calibri"/>
                <w:b/>
                <w:color w:val="000000"/>
              </w:rPr>
            </w:pPr>
            <w:r>
              <w:rPr>
                <w:rFonts w:ascii="Calibri" w:hAnsi="Calibri" w:cs="Calibri"/>
                <w:color w:val="000000"/>
              </w:rPr>
              <w:t>DMR submittal - ELGs</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5841C7C" w14:textId="1E4833FE">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CAAEDC2" w14:textId="030DA91B">
            <w:pPr>
              <w:spacing w:after="100" w:afterAutospacing="1" w:line="240" w:lineRule="auto"/>
              <w:contextualSpacing/>
              <w:jc w:val="center"/>
              <w:rPr>
                <w:rFonts w:ascii="Calibri" w:hAnsi="Calibri" w:eastAsia="Times New Roman" w:cs="Calibri"/>
                <w:color w:val="000000"/>
              </w:rPr>
            </w:pPr>
            <w:r w:rsidRPr="00B73EAB">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5978F07" w14:textId="22F4A81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0.26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256D663" w14:textId="1EE0F20A">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236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486B5B72" w14:textId="36B23D41">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60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B05DA" w14:paraId="59A00931" w14:textId="570E86F4">
            <w:pPr>
              <w:spacing w:after="100" w:afterAutospacing="1" w:line="240" w:lineRule="auto"/>
              <w:contextualSpacing/>
              <w:jc w:val="center"/>
              <w:rPr>
                <w:rFonts w:ascii="Calibri" w:hAnsi="Calibri" w:eastAsia="Times New Roman" w:cs="Calibri"/>
                <w:color w:val="000000"/>
              </w:rPr>
            </w:pPr>
            <w:r w:rsidDel="00906060">
              <w:rPr>
                <w:rFonts w:ascii="Calibri" w:hAnsi="Calibri" w:cs="Calibri"/>
                <w:color w:val="000000"/>
              </w:rPr>
              <w:t>$2,170</w:t>
            </w:r>
          </w:p>
        </w:tc>
      </w:tr>
      <w:tr w:rsidRPr="00E7299B" w:rsidR="00AB52CB" w:rsidTr="000A33DF" w14:paraId="30AD3408" w14:textId="77777777">
        <w:trPr>
          <w:trHeight w:val="15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5CA2EA9" w14:textId="7768BD06">
            <w:pPr>
              <w:spacing w:after="100" w:afterAutospacing="1" w:line="240" w:lineRule="auto"/>
              <w:contextualSpacing/>
              <w:rPr>
                <w:rFonts w:ascii="Calibri" w:hAnsi="Calibri" w:eastAsia="Times New Roman" w:cs="Calibri"/>
                <w:b/>
                <w:color w:val="000000"/>
              </w:rPr>
            </w:pPr>
            <w:r>
              <w:rPr>
                <w:rFonts w:ascii="Calibri" w:hAnsi="Calibri" w:cs="Calibri"/>
                <w:color w:val="000000"/>
              </w:rPr>
              <w:t>Annual Report</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19639F33" w14:textId="635C144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0.25</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40643ACA" w14:textId="5E82FF9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0.75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286CE389" w14:textId="62946A9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7461C5F3" w14:textId="72C942A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2,508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65F3EA8B" w14:textId="2E0EAB7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2,508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5979CCA8" w14:textId="03D4503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$90,174</w:t>
            </w:r>
          </w:p>
        </w:tc>
      </w:tr>
      <w:tr w:rsidRPr="00E7299B" w:rsidR="00AB52CB" w:rsidTr="000A33DF" w14:paraId="0B1423CD" w14:textId="77777777">
        <w:trPr>
          <w:trHeight w:val="15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7FB1D910" w14:textId="5D8AD65E">
            <w:pPr>
              <w:spacing w:after="100" w:afterAutospacing="1" w:line="240" w:lineRule="auto"/>
              <w:contextualSpacing/>
              <w:rPr>
                <w:rFonts w:ascii="Calibri" w:hAnsi="Calibri" w:eastAsia="Times New Roman" w:cs="Calibri"/>
                <w:b/>
                <w:color w:val="000000"/>
              </w:rPr>
            </w:pPr>
            <w:r>
              <w:rPr>
                <w:rFonts w:ascii="Calibri" w:hAnsi="Calibri" w:cs="Calibri"/>
                <w:color w:val="000000"/>
              </w:rPr>
              <w:t>NEC form</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12C58AEB" w14:textId="06EF91F7">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5447937" w14:textId="0315337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0.75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64E149EC" w14:textId="5F64BAB1">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0.75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1DDE08A" w14:textId="365AFD4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200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27FBE700" w14:textId="5BB4847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150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05D9AED0" w14:textId="60A7C0F3">
            <w:pPr>
              <w:spacing w:after="100" w:afterAutospacing="1" w:line="240" w:lineRule="auto"/>
              <w:contextualSpacing/>
              <w:jc w:val="center"/>
              <w:rPr>
                <w:rFonts w:ascii="Calibri" w:hAnsi="Calibri" w:eastAsia="Times New Roman" w:cs="Calibri"/>
                <w:color w:val="000000"/>
              </w:rPr>
            </w:pPr>
            <w:r w:rsidDel="00995673">
              <w:rPr>
                <w:rFonts w:ascii="Calibri" w:hAnsi="Calibri" w:cs="Calibri"/>
                <w:color w:val="000000"/>
              </w:rPr>
              <w:t>$5,394</w:t>
            </w:r>
          </w:p>
        </w:tc>
      </w:tr>
      <w:tr w:rsidRPr="00E7299B" w:rsidR="00AB52CB" w:rsidTr="000A33DF" w14:paraId="2F0B14BA" w14:textId="77777777">
        <w:trPr>
          <w:trHeight w:val="24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1EAE38D4" w14:textId="7F302E25">
            <w:pPr>
              <w:spacing w:after="100" w:afterAutospacing="1" w:line="240" w:lineRule="auto"/>
              <w:contextualSpacing/>
              <w:rPr>
                <w:rFonts w:ascii="Calibri" w:hAnsi="Calibri" w:eastAsia="Times New Roman" w:cs="Calibri"/>
                <w:b/>
                <w:color w:val="000000"/>
              </w:rPr>
            </w:pPr>
            <w:r>
              <w:rPr>
                <w:rFonts w:ascii="Calibri" w:hAnsi="Calibri" w:cs="Calibri"/>
                <w:color w:val="000000"/>
              </w:rPr>
              <w:t>E</w:t>
            </w:r>
            <w:r w:rsidR="009A0788">
              <w:rPr>
                <w:rFonts w:ascii="Calibri" w:hAnsi="Calibri" w:cs="Calibri"/>
                <w:color w:val="000000"/>
              </w:rPr>
              <w:t xml:space="preserve">ndangered Species Protection - </w:t>
            </w:r>
            <w:r>
              <w:rPr>
                <w:rFonts w:ascii="Calibri" w:hAnsi="Calibri" w:cs="Calibri"/>
                <w:color w:val="000000"/>
              </w:rPr>
              <w:t>Criterion C</w:t>
            </w:r>
            <w:r w:rsidR="00C36713">
              <w:rPr>
                <w:rFonts w:ascii="Calibri" w:hAnsi="Calibri" w:cs="Calibri"/>
                <w:color w:val="000000"/>
              </w:rPr>
              <w:t>3 Eligibility</w:t>
            </w:r>
            <w:r>
              <w:rPr>
                <w:rFonts w:ascii="Calibri" w:hAnsi="Calibri" w:cs="Calibri"/>
                <w:color w:val="000000"/>
              </w:rPr>
              <w:t xml:space="preserve"> </w:t>
            </w:r>
            <w:r w:rsidR="00C36713">
              <w:rPr>
                <w:rFonts w:ascii="Calibri" w:hAnsi="Calibri" w:cs="Calibri"/>
                <w:color w:val="000000"/>
              </w:rPr>
              <w:t>F</w:t>
            </w:r>
            <w:r>
              <w:rPr>
                <w:rFonts w:ascii="Calibri" w:hAnsi="Calibri" w:cs="Calibri"/>
                <w:color w:val="000000"/>
              </w:rPr>
              <w:t>orm</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2383248A" w14:textId="585419E6">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7D0E30F" w14:textId="1EA2025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2.5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1CC6F030" w14:textId="483FC7A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2.5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16F92CBE" w14:textId="51DC010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50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70363D8D" w14:textId="00213B5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125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6BE443D4" w14:textId="552D8706">
            <w:pPr>
              <w:spacing w:after="100" w:afterAutospacing="1" w:line="240" w:lineRule="auto"/>
              <w:contextualSpacing/>
              <w:jc w:val="center"/>
              <w:rPr>
                <w:rFonts w:ascii="Calibri" w:hAnsi="Calibri" w:eastAsia="Times New Roman" w:cs="Calibri"/>
                <w:color w:val="000000"/>
              </w:rPr>
            </w:pPr>
            <w:r w:rsidDel="00995673">
              <w:rPr>
                <w:rFonts w:ascii="Calibri" w:hAnsi="Calibri" w:cs="Calibri"/>
                <w:color w:val="000000"/>
              </w:rPr>
              <w:t>$4,495</w:t>
            </w:r>
          </w:p>
        </w:tc>
      </w:tr>
      <w:tr w:rsidRPr="00E7299B" w:rsidR="00AB52CB" w:rsidTr="000A33DF" w14:paraId="2E356247"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0390FB8" w14:textId="08F4E8A7">
            <w:pPr>
              <w:spacing w:after="100" w:afterAutospacing="1" w:line="240" w:lineRule="auto"/>
              <w:contextualSpacing/>
              <w:rPr>
                <w:rFonts w:ascii="Calibri" w:hAnsi="Calibri" w:eastAsia="Times New Roman" w:cs="Calibri"/>
                <w:b/>
                <w:color w:val="000000"/>
              </w:rPr>
            </w:pPr>
            <w:r>
              <w:rPr>
                <w:rFonts w:ascii="Calibri" w:hAnsi="Calibri" w:cs="Calibri"/>
                <w:color w:val="000000"/>
              </w:rPr>
              <w:t>Historic Properties Eligibility</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043C6FE0" w14:textId="407D0CE8">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013C3D79" w14:textId="4EA1D9D6">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81CE993" w14:textId="322EBEE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48397D2D" w14:textId="465FA8A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12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6083F9D8" w14:textId="5ED5A94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54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4214ACC9" w14:textId="45CB820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$1,942</w:t>
            </w:r>
          </w:p>
        </w:tc>
      </w:tr>
      <w:tr w:rsidRPr="00E7299B" w:rsidR="00AB52CB" w:rsidTr="000A33DF" w14:paraId="6832EB4B" w14:textId="77777777">
        <w:trPr>
          <w:trHeight w:val="26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1080DAA" w14:textId="2935CA43">
            <w:pPr>
              <w:spacing w:after="100" w:afterAutospacing="1" w:line="240" w:lineRule="auto"/>
              <w:contextualSpacing/>
              <w:rPr>
                <w:rFonts w:ascii="Calibri" w:hAnsi="Calibri" w:eastAsia="Times New Roman" w:cs="Calibri"/>
                <w:b/>
                <w:color w:val="000000"/>
              </w:rPr>
            </w:pPr>
            <w:r>
              <w:rPr>
                <w:rFonts w:ascii="Calibri" w:hAnsi="Calibri" w:cs="Calibri"/>
                <w:color w:val="000000"/>
              </w:rPr>
              <w:t>New Dischargers/Sources to Impaired Waters Eligibility</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19668FCC" w14:textId="118551AA">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7E660CEF" w14:textId="2B48F93A">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3D0124B9" w14:textId="298DEB0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6FEAB19C" w14:textId="447D6366">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9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19AC96CD" w14:textId="195B185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14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0D21E3F5" w14:textId="56C0DA9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$485</w:t>
            </w:r>
          </w:p>
        </w:tc>
      </w:tr>
      <w:tr w:rsidRPr="00E7299B" w:rsidR="00AB52CB" w:rsidTr="000A33DF" w14:paraId="548A113B" w14:textId="77777777">
        <w:trPr>
          <w:trHeight w:val="6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04798C6B" w14:textId="034B6D06">
            <w:pPr>
              <w:spacing w:after="100" w:afterAutospacing="1" w:line="240" w:lineRule="auto"/>
              <w:contextualSpacing/>
              <w:rPr>
                <w:rFonts w:ascii="Calibri" w:hAnsi="Calibri" w:eastAsia="Times New Roman" w:cs="Calibri"/>
                <w:b/>
                <w:color w:val="000000"/>
              </w:rPr>
            </w:pPr>
            <w:r>
              <w:rPr>
                <w:rFonts w:ascii="Calibri" w:hAnsi="Calibri" w:cs="Calibri"/>
                <w:color w:val="000000"/>
              </w:rPr>
              <w:t>Discharges to a Federal CERCLA Site Eligibility</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3F668D59" w14:textId="66800BA7">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40951C47" w14:textId="3F8E42F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460C9520" w14:textId="4FAC10D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6BC1C590" w14:textId="170DEAE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03C51675" w14:textId="0BF99CFA">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3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3AFB44C5" w14:textId="029DC8CF">
            <w:pPr>
              <w:spacing w:after="100" w:afterAutospacing="1" w:line="240" w:lineRule="auto"/>
              <w:contextualSpacing/>
              <w:jc w:val="center"/>
              <w:rPr>
                <w:rFonts w:ascii="Calibri" w:hAnsi="Calibri" w:eastAsia="Times New Roman" w:cs="Calibri"/>
                <w:color w:val="000000"/>
              </w:rPr>
            </w:pPr>
            <w:r w:rsidDel="003E099B">
              <w:rPr>
                <w:rFonts w:ascii="Calibri" w:hAnsi="Calibri" w:cs="Calibri"/>
                <w:color w:val="000000"/>
              </w:rPr>
              <w:t>$108</w:t>
            </w:r>
          </w:p>
        </w:tc>
      </w:tr>
      <w:tr w:rsidRPr="00E7299B" w:rsidR="00AB52CB" w:rsidTr="000A33DF" w14:paraId="20C1A8ED"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4FC3F234" w14:textId="6499A8B7">
            <w:pPr>
              <w:spacing w:after="100" w:afterAutospacing="1" w:line="240" w:lineRule="auto"/>
              <w:contextualSpacing/>
              <w:rPr>
                <w:rFonts w:ascii="Calibri" w:hAnsi="Calibri" w:eastAsia="Times New Roman" w:cs="Calibri"/>
                <w:b/>
                <w:color w:val="000000"/>
              </w:rPr>
            </w:pPr>
            <w:r>
              <w:rPr>
                <w:rFonts w:ascii="Calibri" w:hAnsi="Calibri" w:cs="Calibri"/>
                <w:color w:val="000000"/>
              </w:rPr>
              <w:lastRenderedPageBreak/>
              <w:t>Exceedance Report for Numeric Effluent Limitations</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051E4823" w14:textId="7D298CC6">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AB52CB" w:rsidP="00AB52CB" w:rsidRDefault="00AB52CB" w14:paraId="1D5C64A4" w14:textId="7A2D6BB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2B2F92B4" w14:textId="3B89428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B1BC6C0" w14:textId="1BC9461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4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53A498E7" w14:textId="1392205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4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3A0CA7" w14:paraId="6C8AB7FF" w14:textId="121E769A">
            <w:pPr>
              <w:spacing w:after="100" w:afterAutospacing="1" w:line="240" w:lineRule="auto"/>
              <w:contextualSpacing/>
              <w:jc w:val="center"/>
              <w:rPr>
                <w:rFonts w:ascii="Calibri" w:hAnsi="Calibri" w:eastAsia="Times New Roman" w:cs="Calibri"/>
                <w:color w:val="000000"/>
              </w:rPr>
            </w:pPr>
            <w:r w:rsidDel="003E099B">
              <w:rPr>
                <w:rFonts w:ascii="Calibri" w:hAnsi="Calibri" w:cs="Calibri"/>
                <w:color w:val="000000"/>
              </w:rPr>
              <w:t>$144</w:t>
            </w:r>
          </w:p>
        </w:tc>
      </w:tr>
      <w:tr w:rsidRPr="00E7299B" w:rsidR="00AB52CB" w:rsidTr="00587ECD" w14:paraId="66FEAA45" w14:textId="77777777">
        <w:trPr>
          <w:trHeight w:val="170"/>
          <w:jc w:val="center"/>
        </w:trPr>
        <w:tc>
          <w:tcPr>
            <w:tcW w:w="1347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255BD8" w:rsidRDefault="00AB52CB" w14:paraId="6E30F39C" w14:textId="0E1E486F">
            <w:pPr>
              <w:spacing w:after="100" w:afterAutospacing="1" w:line="240" w:lineRule="auto"/>
              <w:contextualSpacing/>
              <w:rPr>
                <w:rFonts w:ascii="Calibri" w:hAnsi="Calibri" w:eastAsia="Times New Roman" w:cs="Calibri"/>
                <w:color w:val="000000"/>
              </w:rPr>
            </w:pPr>
            <w:r>
              <w:rPr>
                <w:rFonts w:ascii="Calibri" w:hAnsi="Calibri" w:cs="Calibri"/>
                <w:color w:val="000000"/>
              </w:rPr>
              <w:t>Additional Reporting:</w:t>
            </w:r>
          </w:p>
        </w:tc>
      </w:tr>
      <w:tr w:rsidRPr="00E7299B" w:rsidR="00AB52CB" w:rsidTr="000A33DF" w14:paraId="4A2DA9BA"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AB52CB" w:rsidP="00AB52CB" w:rsidRDefault="00AB52CB" w14:paraId="6351C319" w14:textId="096B57AF">
            <w:pPr>
              <w:spacing w:after="100" w:afterAutospacing="1" w:line="240" w:lineRule="auto"/>
              <w:contextualSpacing/>
              <w:rPr>
                <w:rFonts w:ascii="Calibri" w:hAnsi="Calibri" w:cs="Calibri"/>
                <w:color w:val="000000"/>
              </w:rPr>
            </w:pPr>
            <w:r>
              <w:rPr>
                <w:rFonts w:ascii="Calibri" w:hAnsi="Calibri" w:cs="Calibri"/>
                <w:color w:val="000000"/>
              </w:rPr>
              <w:t>Planned changes</w:t>
            </w:r>
          </w:p>
        </w:tc>
        <w:tc>
          <w:tcPr>
            <w:tcW w:w="162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52B688DF" w14:textId="35B8BE4C">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w:t>
            </w:r>
          </w:p>
        </w:tc>
        <w:tc>
          <w:tcPr>
            <w:tcW w:w="171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3FADB757" w14:textId="0B6946F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065F66C4" w14:textId="60D47E5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3A0CA7" w14:paraId="14F61EBC" w14:textId="5300DA07">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3A0CA7" w14:paraId="4105C83F" w14:textId="62B91E6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3A0CA7" w14:paraId="15DFEA56" w14:textId="72CF2EE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$721</w:t>
            </w:r>
          </w:p>
        </w:tc>
      </w:tr>
      <w:tr w:rsidRPr="00E7299B" w:rsidR="00AB52CB" w:rsidTr="000A33DF" w14:paraId="7785BE63"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AB52CB" w:rsidP="00AB52CB" w:rsidRDefault="00AB52CB" w14:paraId="230F7BE2" w14:textId="760F9888">
            <w:pPr>
              <w:spacing w:after="100" w:afterAutospacing="1" w:line="240" w:lineRule="auto"/>
              <w:contextualSpacing/>
              <w:rPr>
                <w:rFonts w:ascii="Calibri" w:hAnsi="Calibri" w:cs="Calibri"/>
                <w:color w:val="000000"/>
              </w:rPr>
            </w:pPr>
            <w:r>
              <w:rPr>
                <w:rFonts w:ascii="Calibri" w:hAnsi="Calibri" w:cs="Calibri"/>
                <w:color w:val="000000"/>
              </w:rPr>
              <w:t>Anticipated noncompliance</w:t>
            </w:r>
          </w:p>
        </w:tc>
        <w:tc>
          <w:tcPr>
            <w:tcW w:w="162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241053C3" w14:textId="1148231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5</w:t>
            </w:r>
          </w:p>
        </w:tc>
        <w:tc>
          <w:tcPr>
            <w:tcW w:w="171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216A1E55" w14:textId="177655D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7F1A6915" w14:textId="31C6D21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333E5266" w14:textId="3376D22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78EBF1FC" w14:textId="7068665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3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3A0CA7" w14:paraId="0EAF5613" w14:textId="6E85DCD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$90</w:t>
            </w:r>
          </w:p>
        </w:tc>
      </w:tr>
      <w:tr w:rsidRPr="00E7299B" w:rsidR="00AB52CB" w:rsidTr="000A33DF" w14:paraId="41807A8F"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AB52CB" w:rsidP="00AB52CB" w:rsidRDefault="00AB52CB" w14:paraId="061C9220" w14:textId="4F5B8FF1">
            <w:pPr>
              <w:spacing w:after="100" w:afterAutospacing="1" w:line="240" w:lineRule="auto"/>
              <w:contextualSpacing/>
              <w:rPr>
                <w:rFonts w:ascii="Calibri" w:hAnsi="Calibri" w:cs="Calibri"/>
                <w:color w:val="000000"/>
              </w:rPr>
            </w:pPr>
            <w:r>
              <w:rPr>
                <w:rFonts w:ascii="Calibri" w:hAnsi="Calibri" w:cs="Calibri"/>
                <w:color w:val="000000"/>
              </w:rPr>
              <w:t>Other information</w:t>
            </w:r>
          </w:p>
        </w:tc>
        <w:tc>
          <w:tcPr>
            <w:tcW w:w="162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111E904C" w14:textId="2076F2AA">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2</w:t>
            </w:r>
          </w:p>
        </w:tc>
        <w:tc>
          <w:tcPr>
            <w:tcW w:w="1710" w:type="dxa"/>
            <w:tcBorders>
              <w:top w:val="single" w:color="auto" w:sz="4" w:space="0"/>
              <w:left w:val="single" w:color="auto" w:sz="4" w:space="0"/>
              <w:bottom w:val="single" w:color="auto" w:sz="4" w:space="0"/>
              <w:right w:val="single" w:color="auto" w:sz="4" w:space="0"/>
            </w:tcBorders>
            <w:vAlign w:val="bottom"/>
          </w:tcPr>
          <w:p w:rsidRPr="00E7299B" w:rsidR="00AB52CB" w:rsidP="00AB52CB" w:rsidRDefault="00AB52CB" w14:paraId="5C926FB3" w14:textId="0E48184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78D419CA" w14:textId="7ED868A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7BEE4C92" w14:textId="4F33E17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0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AB52CB" w14:paraId="7FFC7658" w14:textId="145CF2B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AB52CB" w:rsidRDefault="003A0CA7" w14:paraId="1355112C" w14:textId="4CD711B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$18</w:t>
            </w:r>
          </w:p>
        </w:tc>
      </w:tr>
      <w:tr w:rsidRPr="00E7299B" w:rsidR="00587ECD" w:rsidTr="000A33DF" w14:paraId="0BBC7EC9"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00587ECD" w:rsidP="00587ECD" w:rsidRDefault="00587ECD" w14:paraId="65F2392C" w14:textId="18B6B5B3">
            <w:pPr>
              <w:spacing w:after="100" w:afterAutospacing="1" w:line="240" w:lineRule="auto"/>
              <w:contextualSpacing/>
              <w:rPr>
                <w:rFonts w:ascii="Calibri" w:hAnsi="Calibri" w:cs="Calibri"/>
                <w:color w:val="000000"/>
              </w:rPr>
            </w:pPr>
            <w:r>
              <w:rPr>
                <w:rFonts w:ascii="Calibri" w:hAnsi="Calibri" w:cs="Calibri"/>
                <w:color w:val="000000"/>
              </w:rPr>
              <w:t>Other Additional Reporting</w:t>
            </w:r>
          </w:p>
        </w:tc>
        <w:tc>
          <w:tcPr>
            <w:tcW w:w="1620" w:type="dxa"/>
            <w:tcBorders>
              <w:top w:val="single" w:color="auto" w:sz="4" w:space="0"/>
              <w:left w:val="single" w:color="auto" w:sz="4" w:space="0"/>
              <w:bottom w:val="single" w:color="auto" w:sz="4" w:space="0"/>
              <w:right w:val="single" w:color="auto" w:sz="4" w:space="0"/>
            </w:tcBorders>
            <w:vAlign w:val="bottom"/>
          </w:tcPr>
          <w:p w:rsidR="00587ECD" w:rsidP="00587ECD" w:rsidRDefault="00587ECD" w14:paraId="188843E6" w14:textId="34654B53">
            <w:pPr>
              <w:spacing w:after="100" w:afterAutospacing="1" w:line="240" w:lineRule="auto"/>
              <w:contextualSpacing/>
              <w:jc w:val="center"/>
              <w:rPr>
                <w:rFonts w:ascii="Calibri" w:hAnsi="Calibri" w:cs="Calibri"/>
                <w:color w:val="000000"/>
              </w:rPr>
            </w:pPr>
            <w:r w:rsidRPr="00064DEE">
              <w:t>NA</w:t>
            </w:r>
          </w:p>
        </w:tc>
        <w:tc>
          <w:tcPr>
            <w:tcW w:w="1710" w:type="dxa"/>
            <w:tcBorders>
              <w:top w:val="single" w:color="auto" w:sz="4" w:space="0"/>
              <w:left w:val="single" w:color="auto" w:sz="4" w:space="0"/>
              <w:bottom w:val="single" w:color="auto" w:sz="4" w:space="0"/>
              <w:right w:val="single" w:color="auto" w:sz="4" w:space="0"/>
            </w:tcBorders>
            <w:vAlign w:val="bottom"/>
          </w:tcPr>
          <w:p w:rsidR="00587ECD" w:rsidP="00587ECD" w:rsidRDefault="00587ECD" w14:paraId="3EA18C25" w14:textId="71CF9A21">
            <w:pPr>
              <w:spacing w:after="100" w:afterAutospacing="1" w:line="240" w:lineRule="auto"/>
              <w:contextualSpacing/>
              <w:jc w:val="center"/>
              <w:rPr>
                <w:rFonts w:ascii="Calibri" w:hAnsi="Calibri" w:cs="Calibri"/>
                <w:color w:val="000000"/>
              </w:rPr>
            </w:pPr>
            <w:r>
              <w:rPr>
                <w:rFonts w:ascii="Calibri" w:hAnsi="Calibri" w:cs="Calibri"/>
                <w:color w:val="000000"/>
              </w:rPr>
              <w:t>20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00587ECD" w:rsidP="00587ECD" w:rsidRDefault="00587ECD" w14:paraId="568A4D1E" w14:textId="4458DF78">
            <w:pPr>
              <w:spacing w:after="100" w:afterAutospacing="1" w:line="240" w:lineRule="auto"/>
              <w:contextualSpacing/>
              <w:jc w:val="center"/>
              <w:rPr>
                <w:rFonts w:ascii="Calibri" w:hAnsi="Calibri" w:cs="Calibri"/>
                <w:color w:val="000000"/>
              </w:rPr>
            </w:pPr>
            <w:r>
              <w:rPr>
                <w:rFonts w:ascii="Calibri" w:hAnsi="Calibri" w:cs="Calibri"/>
                <w:color w:val="000000"/>
              </w:rPr>
              <w:t>20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00587ECD" w:rsidP="00587ECD" w:rsidRDefault="00587ECD" w14:paraId="12BD6466" w14:textId="2081E59F">
            <w:pPr>
              <w:spacing w:after="100" w:afterAutospacing="1" w:line="240" w:lineRule="auto"/>
              <w:contextualSpacing/>
              <w:jc w:val="center"/>
              <w:rPr>
                <w:rFonts w:ascii="Calibri" w:hAnsi="Calibri" w:cs="Calibri"/>
                <w:color w:val="000000"/>
              </w:rPr>
            </w:pPr>
            <w:r>
              <w:rPr>
                <w:rFonts w:ascii="Calibri" w:hAnsi="Calibri" w:cs="Calibri"/>
                <w:color w:val="000000"/>
              </w:rPr>
              <w:t xml:space="preserve">36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587ECD" w:rsidP="00587ECD" w:rsidRDefault="00587ECD" w14:paraId="06C15122" w14:textId="3252D53C">
            <w:pPr>
              <w:spacing w:after="100" w:afterAutospacing="1" w:line="240" w:lineRule="auto"/>
              <w:contextualSpacing/>
              <w:jc w:val="center"/>
              <w:rPr>
                <w:rFonts w:ascii="Calibri" w:hAnsi="Calibri" w:cs="Calibri"/>
                <w:color w:val="000000"/>
              </w:rPr>
            </w:pPr>
            <w:r>
              <w:rPr>
                <w:rFonts w:ascii="Calibri" w:hAnsi="Calibri" w:cs="Calibri"/>
                <w:color w:val="000000"/>
              </w:rPr>
              <w:t xml:space="preserve">720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00587ECD" w:rsidP="00587ECD" w:rsidRDefault="00587ECD" w14:paraId="4152420B" w14:textId="2ECB3BC9">
            <w:pPr>
              <w:spacing w:after="100" w:afterAutospacing="1" w:line="240" w:lineRule="auto"/>
              <w:contextualSpacing/>
              <w:jc w:val="center"/>
              <w:rPr>
                <w:rFonts w:ascii="Calibri" w:hAnsi="Calibri" w:cs="Calibri"/>
                <w:color w:val="000000"/>
              </w:rPr>
            </w:pPr>
            <w:r>
              <w:rPr>
                <w:rFonts w:ascii="Calibri" w:hAnsi="Calibri" w:cs="Calibri"/>
                <w:color w:val="000000"/>
              </w:rPr>
              <w:t>$25,891</w:t>
            </w:r>
          </w:p>
        </w:tc>
      </w:tr>
      <w:tr w:rsidRPr="00E7299B" w:rsidR="00587ECD" w:rsidTr="00F7656C" w14:paraId="12BC72C1"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Pr="00587ECD" w:rsidR="00587ECD" w:rsidP="00587ECD" w:rsidRDefault="00587ECD" w14:paraId="41200370" w14:textId="4486B812">
            <w:pPr>
              <w:spacing w:after="100" w:afterAutospacing="1" w:line="240" w:lineRule="auto"/>
              <w:contextualSpacing/>
              <w:rPr>
                <w:rFonts w:ascii="Calibri" w:hAnsi="Calibri" w:cs="Calibri"/>
                <w:b/>
                <w:bCs/>
                <w:i/>
                <w:iCs/>
                <w:color w:val="000000"/>
              </w:rPr>
            </w:pPr>
            <w:r w:rsidRPr="00587ECD">
              <w:rPr>
                <w:rFonts w:ascii="Calibri" w:hAnsi="Calibri" w:cs="Calibri"/>
                <w:b/>
                <w:bCs/>
                <w:i/>
                <w:iCs/>
                <w:color w:val="000000"/>
              </w:rPr>
              <w:t>Reporting Subtotal</w:t>
            </w:r>
          </w:p>
        </w:tc>
        <w:tc>
          <w:tcPr>
            <w:tcW w:w="6390" w:type="dxa"/>
            <w:gridSpan w:val="4"/>
            <w:tcBorders>
              <w:top w:val="single" w:color="auto" w:sz="4" w:space="0"/>
              <w:left w:val="single" w:color="auto" w:sz="4" w:space="0"/>
              <w:bottom w:val="single" w:color="auto" w:sz="4" w:space="0"/>
              <w:right w:val="single" w:color="auto" w:sz="4" w:space="0"/>
            </w:tcBorders>
            <w:vAlign w:val="bottom"/>
          </w:tcPr>
          <w:p w:rsidR="00587ECD" w:rsidP="00587ECD" w:rsidRDefault="00587ECD" w14:paraId="407AF466" w14:textId="77777777">
            <w:pPr>
              <w:spacing w:after="100" w:afterAutospacing="1" w:line="240" w:lineRule="auto"/>
              <w:contextualSpacing/>
              <w:jc w:val="center"/>
              <w:rPr>
                <w:rFonts w:ascii="Calibri" w:hAnsi="Calibri" w:cs="Calibri"/>
                <w:color w:val="00000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0410B7" w:rsidR="00587ECD" w:rsidP="00587ECD" w:rsidRDefault="000410B7" w14:paraId="47FEC0AD" w14:textId="5B8A2720">
            <w:pPr>
              <w:spacing w:after="100" w:afterAutospacing="1" w:line="240" w:lineRule="auto"/>
              <w:contextualSpacing/>
              <w:jc w:val="center"/>
              <w:rPr>
                <w:rFonts w:ascii="Calibri" w:hAnsi="Calibri" w:cs="Calibri"/>
                <w:b/>
                <w:bCs/>
                <w:i/>
                <w:iCs/>
                <w:color w:val="000000"/>
              </w:rPr>
            </w:pPr>
            <w:r w:rsidRPr="000410B7">
              <w:rPr>
                <w:rFonts w:ascii="Calibri" w:hAnsi="Calibri" w:cs="Calibri"/>
                <w:b/>
                <w:bCs/>
                <w:i/>
                <w:iCs/>
                <w:color w:val="000000"/>
              </w:rPr>
              <w:t>33,472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0410B7" w:rsidR="00587ECD" w:rsidP="00587ECD" w:rsidRDefault="000410B7" w14:paraId="13327B9A" w14:textId="68047BB7">
            <w:pPr>
              <w:spacing w:after="100" w:afterAutospacing="1" w:line="240" w:lineRule="auto"/>
              <w:contextualSpacing/>
              <w:jc w:val="center"/>
              <w:rPr>
                <w:rFonts w:ascii="Calibri" w:hAnsi="Calibri" w:cs="Calibri"/>
                <w:b/>
                <w:bCs/>
                <w:i/>
                <w:iCs/>
                <w:color w:val="000000"/>
              </w:rPr>
            </w:pPr>
            <w:r w:rsidRPr="000410B7">
              <w:rPr>
                <w:rFonts w:ascii="Calibri" w:hAnsi="Calibri" w:cs="Calibri"/>
                <w:b/>
                <w:bCs/>
                <w:i/>
                <w:iCs/>
                <w:color w:val="000000"/>
              </w:rPr>
              <w:t>$1,203,646</w:t>
            </w:r>
          </w:p>
        </w:tc>
      </w:tr>
      <w:tr w:rsidRPr="00E7299B" w:rsidR="00AB52CB" w:rsidTr="3BA19A22" w14:paraId="18100257" w14:textId="77777777">
        <w:trPr>
          <w:trHeight w:val="170"/>
          <w:jc w:val="center"/>
        </w:trPr>
        <w:tc>
          <w:tcPr>
            <w:tcW w:w="1347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E7299B" w:rsidR="00AB52CB" w:rsidP="00587ECD" w:rsidRDefault="00587ECD" w14:paraId="410FD94C" w14:textId="0F1234E2">
            <w:pPr>
              <w:spacing w:after="100" w:afterAutospacing="1" w:line="240" w:lineRule="auto"/>
              <w:contextualSpacing/>
              <w:rPr>
                <w:rFonts w:ascii="Calibri" w:hAnsi="Calibri" w:eastAsia="Times New Roman" w:cs="Calibri"/>
                <w:color w:val="000000"/>
              </w:rPr>
            </w:pPr>
            <w:r>
              <w:rPr>
                <w:rFonts w:ascii="Calibri" w:hAnsi="Calibri" w:eastAsia="Times New Roman" w:cs="Calibri"/>
                <w:b/>
                <w:color w:val="000000"/>
              </w:rPr>
              <w:t>Recordkeeping Requirements</w:t>
            </w:r>
          </w:p>
        </w:tc>
      </w:tr>
      <w:tr w:rsidRPr="00255BD8" w:rsidR="00587ECD" w:rsidTr="00F7656C" w14:paraId="49BD3E3A" w14:textId="77777777">
        <w:trPr>
          <w:trHeight w:val="3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3AC9A2B9" w14:textId="77777777">
            <w:pPr>
              <w:spacing w:after="100" w:afterAutospacing="1" w:line="240" w:lineRule="auto"/>
              <w:contextualSpacing/>
              <w:rPr>
                <w:rFonts w:ascii="Calibri" w:hAnsi="Calibri" w:eastAsia="Times New Roman" w:cs="Calibri"/>
                <w:b/>
                <w:color w:val="000000"/>
              </w:rPr>
            </w:pPr>
            <w:r>
              <w:rPr>
                <w:rFonts w:ascii="Calibri" w:hAnsi="Calibri" w:cs="Calibri"/>
              </w:rPr>
              <w:t>Develop New SWPPP</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647455AB" w14:textId="45C1517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5E075F61" w14:textId="245EBB4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5BE2F968" w14:textId="6142D74C">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80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2D86FD93" w14:textId="5C4A764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121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2EBAAE5F" w14:textId="2FA811F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9,664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4AC02E4E" w14:textId="5DC686A6">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$347,517</w:t>
            </w:r>
          </w:p>
        </w:tc>
      </w:tr>
      <w:tr w:rsidRPr="00255BD8" w:rsidR="00587ECD" w:rsidTr="00F7656C" w14:paraId="02563324" w14:textId="77777777">
        <w:trPr>
          <w:trHeight w:val="35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7C091361" w14:textId="77777777">
            <w:pPr>
              <w:spacing w:after="100" w:afterAutospacing="1" w:line="240" w:lineRule="auto"/>
              <w:contextualSpacing/>
              <w:rPr>
                <w:rFonts w:ascii="Calibri" w:hAnsi="Calibri" w:eastAsia="Times New Roman" w:cs="Calibri"/>
                <w:b/>
                <w:color w:val="000000"/>
              </w:rPr>
            </w:pPr>
            <w:r>
              <w:rPr>
                <w:rFonts w:ascii="Calibri" w:hAnsi="Calibri" w:cs="Calibri"/>
              </w:rPr>
              <w:t>Update SWPPP</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0339680D" w14:textId="24287E8D">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8</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4C597F48" w14:textId="408B9E7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2074CEB8" w14:textId="474A503C">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3C2B1FFE" w14:textId="08F4D8F4">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502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5D77211F" w14:textId="3433C33C">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4,012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3E3E97E6" w14:textId="40D5B049">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$144,279</w:t>
            </w:r>
          </w:p>
        </w:tc>
      </w:tr>
      <w:tr w:rsidRPr="00255BD8" w:rsidR="00587ECD" w:rsidTr="00F7656C" w14:paraId="74D26637" w14:textId="77777777">
        <w:trPr>
          <w:trHeight w:val="33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4CAB10FF" w14:textId="77777777">
            <w:pPr>
              <w:spacing w:after="100" w:afterAutospacing="1" w:line="240" w:lineRule="auto"/>
              <w:contextualSpacing/>
              <w:rPr>
                <w:rFonts w:ascii="Calibri" w:hAnsi="Calibri" w:eastAsia="Times New Roman" w:cs="Calibri"/>
                <w:b/>
                <w:color w:val="000000"/>
              </w:rPr>
            </w:pPr>
            <w:r>
              <w:rPr>
                <w:rFonts w:ascii="Calibri" w:hAnsi="Calibri" w:cs="Calibri"/>
                <w:color w:val="000000"/>
              </w:rPr>
              <w:t>Quarterly Site Inspection and Quarterly Visual Inspection</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59B7E160" w14:textId="60D8B20A">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7E4DF870" w14:textId="74331B72">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1040D55B" w14:textId="67B0E13E">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2245B07E" w14:textId="07BDF90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10,031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6690A099" w14:textId="1E07D59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20,061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556DEAB8" w14:textId="2D99DD5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$721,394</w:t>
            </w:r>
          </w:p>
        </w:tc>
      </w:tr>
      <w:tr w:rsidRPr="00255BD8" w:rsidR="00587ECD" w:rsidTr="00F7656C" w14:paraId="5CFCA9AF" w14:textId="77777777">
        <w:trPr>
          <w:trHeight w:val="152"/>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46A82FDC" w14:textId="77777777">
            <w:pPr>
              <w:spacing w:after="100" w:afterAutospacing="1" w:line="240" w:lineRule="auto"/>
              <w:contextualSpacing/>
              <w:rPr>
                <w:rFonts w:ascii="Calibri" w:hAnsi="Calibri" w:eastAsia="Times New Roman" w:cs="Calibri"/>
                <w:b/>
                <w:color w:val="000000"/>
              </w:rPr>
            </w:pPr>
            <w:r>
              <w:rPr>
                <w:rFonts w:ascii="Calibri" w:hAnsi="Calibri" w:cs="Calibri"/>
                <w:color w:val="000000"/>
              </w:rPr>
              <w:t>Corrective Action/AIM Documentation</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3D40E9B5" w14:textId="77777777">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7E5295F9" w14:textId="02CD4A7F">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41506DC3" w14:textId="18AF8F3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458FB8DE" w14:textId="22167A8B">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1,000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35B3ED1F" w14:textId="5367E223">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1,000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529C9B3F" w14:textId="535B4908">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$35,960</w:t>
            </w:r>
          </w:p>
        </w:tc>
      </w:tr>
      <w:tr w:rsidRPr="00E7299B" w:rsidR="00587ECD" w:rsidTr="00F7656C" w14:paraId="12F37849" w14:textId="77777777">
        <w:trPr>
          <w:trHeight w:val="323"/>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587ECD" w:rsidP="00587ECD" w:rsidRDefault="00587ECD" w14:paraId="3D74B36D" w14:textId="77777777">
            <w:pPr>
              <w:spacing w:after="100" w:afterAutospacing="1" w:line="240" w:lineRule="auto"/>
              <w:contextualSpacing/>
              <w:rPr>
                <w:rFonts w:ascii="Calibri" w:hAnsi="Calibri" w:eastAsia="Times New Roman" w:cs="Calibri"/>
                <w:b/>
                <w:color w:val="000000"/>
              </w:rPr>
            </w:pPr>
            <w:r>
              <w:rPr>
                <w:rFonts w:ascii="Calibri" w:hAnsi="Calibri" w:cs="Calibri"/>
                <w:color w:val="000000"/>
              </w:rPr>
              <w:t>ESA Criteria Selection Worksheet</w:t>
            </w:r>
          </w:p>
        </w:tc>
        <w:tc>
          <w:tcPr>
            <w:tcW w:w="162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4114267A" w14:textId="77777777">
            <w:pPr>
              <w:spacing w:after="100" w:afterAutospacing="1" w:line="240" w:lineRule="auto"/>
              <w:contextualSpacing/>
              <w:jc w:val="center"/>
              <w:rPr>
                <w:rFonts w:ascii="Calibri" w:hAnsi="Calibri" w:eastAsia="Times New Roman" w:cs="Calibri"/>
                <w:color w:val="000000"/>
              </w:rPr>
            </w:pPr>
            <w:r w:rsidRPr="00B73EAB">
              <w:t>NA</w:t>
            </w:r>
          </w:p>
        </w:tc>
        <w:tc>
          <w:tcPr>
            <w:tcW w:w="171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3D14F3E8" w14:textId="700D9C75">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0.5</w:t>
            </w:r>
          </w:p>
        </w:tc>
        <w:tc>
          <w:tcPr>
            <w:tcW w:w="153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67DDE019" w14:textId="55382B90">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0.5</w:t>
            </w:r>
          </w:p>
        </w:tc>
        <w:tc>
          <w:tcPr>
            <w:tcW w:w="1530" w:type="dxa"/>
            <w:tcBorders>
              <w:top w:val="single" w:color="auto" w:sz="4" w:space="0"/>
              <w:left w:val="single" w:color="auto" w:sz="4" w:space="0"/>
              <w:bottom w:val="single" w:color="auto" w:sz="4" w:space="0"/>
              <w:right w:val="single" w:color="auto" w:sz="4" w:space="0"/>
            </w:tcBorders>
            <w:vAlign w:val="bottom"/>
          </w:tcPr>
          <w:p w:rsidRPr="00255BD8" w:rsidR="00587ECD" w:rsidP="00587ECD" w:rsidRDefault="00587ECD" w14:paraId="45EB1099" w14:textId="66EC2547">
            <w:pPr>
              <w:spacing w:after="100" w:afterAutospacing="1" w:line="240" w:lineRule="auto"/>
              <w:contextualSpacing/>
              <w:jc w:val="center"/>
              <w:rPr>
                <w:rFonts w:ascii="Calibri" w:hAnsi="Calibri" w:eastAsia="Times New Roman" w:cs="Calibri"/>
                <w:color w:val="000000"/>
              </w:rPr>
            </w:pPr>
            <w:r>
              <w:rPr>
                <w:rFonts w:ascii="Calibri" w:hAnsi="Calibri" w:cs="Calibri"/>
                <w:color w:val="000000"/>
              </w:rPr>
              <w:t xml:space="preserve">502 </w:t>
            </w:r>
          </w:p>
        </w:tc>
        <w:tc>
          <w:tcPr>
            <w:tcW w:w="1440" w:type="dxa"/>
            <w:tcBorders>
              <w:top w:val="single" w:color="auto" w:sz="4" w:space="0"/>
              <w:bottom w:val="single" w:color="auto" w:sz="4" w:space="0"/>
              <w:right w:val="single" w:color="auto" w:sz="4" w:space="0"/>
            </w:tcBorders>
            <w:vAlign w:val="bottom"/>
          </w:tcPr>
          <w:p w:rsidRPr="00E7299B" w:rsidR="00587ECD" w:rsidP="00587ECD" w:rsidRDefault="00587ECD" w14:paraId="65E89E8A" w14:textId="0C5EF933">
            <w:pPr>
              <w:jc w:val="center"/>
            </w:pPr>
            <w:r>
              <w:rPr>
                <w:rFonts w:ascii="Calibri" w:hAnsi="Calibri" w:cs="Calibri"/>
                <w:color w:val="000000"/>
              </w:rPr>
              <w:t xml:space="preserve">251 </w:t>
            </w:r>
          </w:p>
        </w:tc>
        <w:tc>
          <w:tcPr>
            <w:tcW w:w="1597" w:type="dxa"/>
            <w:tcBorders>
              <w:top w:val="single" w:color="auto" w:sz="4" w:space="0"/>
              <w:left w:val="single" w:color="auto" w:sz="4" w:space="0"/>
              <w:bottom w:val="single" w:color="auto" w:sz="4" w:space="0"/>
              <w:right w:val="single" w:color="auto" w:sz="4" w:space="0"/>
            </w:tcBorders>
            <w:vAlign w:val="bottom"/>
          </w:tcPr>
          <w:p w:rsidRPr="00E7299B" w:rsidR="00587ECD" w:rsidP="00587ECD" w:rsidRDefault="00587ECD" w14:paraId="2816EF9F" w14:textId="328ADC4A">
            <w:pPr>
              <w:jc w:val="center"/>
            </w:pPr>
            <w:r>
              <w:rPr>
                <w:rFonts w:ascii="Calibri" w:hAnsi="Calibri" w:cs="Calibri"/>
                <w:color w:val="000000"/>
              </w:rPr>
              <w:t>$9,017</w:t>
            </w:r>
          </w:p>
        </w:tc>
      </w:tr>
      <w:tr w:rsidRPr="00E7299B" w:rsidR="00587ECD" w:rsidTr="00F7656C" w14:paraId="4B774CC9" w14:textId="77777777">
        <w:trPr>
          <w:trHeight w:val="170"/>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tcPr>
          <w:p w:rsidRPr="000410B7" w:rsidR="00587ECD" w:rsidP="00587ECD" w:rsidRDefault="00587ECD" w14:paraId="030D2B23" w14:textId="6A018C14">
            <w:pPr>
              <w:spacing w:after="100" w:afterAutospacing="1" w:line="240" w:lineRule="auto"/>
              <w:contextualSpacing/>
              <w:rPr>
                <w:rFonts w:ascii="Calibri" w:hAnsi="Calibri" w:cs="Calibri"/>
                <w:b/>
                <w:bCs/>
                <w:i/>
                <w:iCs/>
                <w:color w:val="000000"/>
              </w:rPr>
            </w:pPr>
            <w:r w:rsidRPr="000410B7">
              <w:rPr>
                <w:rFonts w:ascii="Calibri" w:hAnsi="Calibri" w:cs="Calibri"/>
                <w:b/>
                <w:bCs/>
                <w:i/>
                <w:iCs/>
                <w:color w:val="000000"/>
              </w:rPr>
              <w:t>Recordkeeping Subtotal</w:t>
            </w:r>
          </w:p>
        </w:tc>
        <w:tc>
          <w:tcPr>
            <w:tcW w:w="6390" w:type="dxa"/>
            <w:gridSpan w:val="4"/>
            <w:tcBorders>
              <w:top w:val="single" w:color="auto" w:sz="4" w:space="0"/>
              <w:left w:val="single" w:color="auto" w:sz="4" w:space="0"/>
              <w:bottom w:val="single" w:color="auto" w:sz="4" w:space="0"/>
              <w:right w:val="single" w:color="auto" w:sz="4" w:space="0"/>
            </w:tcBorders>
            <w:vAlign w:val="bottom"/>
          </w:tcPr>
          <w:p w:rsidR="00587ECD" w:rsidP="00587ECD" w:rsidRDefault="00587ECD" w14:paraId="5E5CA882" w14:textId="77777777">
            <w:pPr>
              <w:spacing w:after="100" w:afterAutospacing="1" w:line="240" w:lineRule="auto"/>
              <w:contextualSpacing/>
              <w:jc w:val="center"/>
              <w:rPr>
                <w:rFonts w:ascii="Calibri" w:hAnsi="Calibri" w:cs="Calibri"/>
                <w:color w:val="00000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0410B7" w:rsidR="00587ECD" w:rsidP="00587ECD" w:rsidRDefault="000410B7" w14:paraId="23B9622A" w14:textId="31A6FCFA">
            <w:pPr>
              <w:spacing w:after="100" w:afterAutospacing="1" w:line="240" w:lineRule="auto"/>
              <w:contextualSpacing/>
              <w:jc w:val="center"/>
              <w:rPr>
                <w:rFonts w:ascii="Calibri" w:hAnsi="Calibri" w:cs="Calibri"/>
                <w:b/>
                <w:bCs/>
                <w:i/>
                <w:iCs/>
                <w:color w:val="000000"/>
              </w:rPr>
            </w:pPr>
            <w:r w:rsidRPr="000410B7">
              <w:rPr>
                <w:rFonts w:ascii="Calibri" w:hAnsi="Calibri" w:cs="Calibri"/>
                <w:b/>
                <w:bCs/>
                <w:i/>
                <w:iCs/>
                <w:color w:val="000000"/>
              </w:rPr>
              <w:t>34,988</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tcPr>
          <w:p w:rsidRPr="000410B7" w:rsidR="00587ECD" w:rsidP="00587ECD" w:rsidRDefault="000410B7" w14:paraId="19F79E0E" w14:textId="0F0B001D">
            <w:pPr>
              <w:spacing w:after="100" w:afterAutospacing="1" w:line="240" w:lineRule="auto"/>
              <w:contextualSpacing/>
              <w:jc w:val="center"/>
              <w:rPr>
                <w:rFonts w:ascii="Calibri" w:hAnsi="Calibri" w:cs="Calibri"/>
                <w:b/>
                <w:bCs/>
                <w:i/>
                <w:iCs/>
                <w:color w:val="000000"/>
              </w:rPr>
            </w:pPr>
            <w:r w:rsidRPr="000410B7">
              <w:rPr>
                <w:rFonts w:ascii="Calibri" w:hAnsi="Calibri" w:cs="Calibri"/>
                <w:b/>
                <w:bCs/>
                <w:i/>
                <w:iCs/>
                <w:color w:val="000000"/>
              </w:rPr>
              <w:t>$1,258,167</w:t>
            </w:r>
          </w:p>
        </w:tc>
      </w:tr>
      <w:tr w:rsidRPr="00471B14" w:rsidR="00AB52CB" w:rsidTr="000A33DF" w14:paraId="4149C3DD" w14:textId="77777777">
        <w:trPr>
          <w:trHeight w:val="915"/>
          <w:jc w:val="center"/>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AB52CB" w:rsidRDefault="00AB52CB" w14:paraId="407A462B" w14:textId="338B8C99">
            <w:pPr>
              <w:spacing w:after="100" w:afterAutospacing="1" w:line="240" w:lineRule="auto"/>
              <w:contextualSpacing/>
              <w:rPr>
                <w:rFonts w:ascii="Calibri" w:hAnsi="Calibri" w:eastAsia="Times New Roman" w:cs="Calibri"/>
                <w:b/>
                <w:bCs/>
                <w:color w:val="000000"/>
              </w:rPr>
            </w:pPr>
            <w:r>
              <w:rPr>
                <w:rFonts w:ascii="Calibri" w:hAnsi="Calibri" w:cs="Calibri"/>
                <w:b/>
                <w:bCs/>
                <w:color w:val="000000"/>
              </w:rPr>
              <w:t>Total Respondent Activities</w:t>
            </w:r>
          </w:p>
        </w:tc>
        <w:tc>
          <w:tcPr>
            <w:tcW w:w="1620" w:type="dxa"/>
            <w:tcBorders>
              <w:top w:val="single" w:color="auto" w:sz="4" w:space="0"/>
              <w:left w:val="single" w:color="auto" w:sz="4" w:space="0"/>
              <w:bottom w:val="single" w:color="auto" w:sz="4" w:space="0"/>
              <w:right w:val="single" w:color="auto" w:sz="4" w:space="0"/>
              <w:tr2bl w:val="single" w:color="auto" w:sz="4" w:space="0"/>
            </w:tcBorders>
            <w:vAlign w:val="bottom"/>
          </w:tcPr>
          <w:p w:rsidRPr="00255BD8" w:rsidR="00AB52CB" w:rsidP="00AB52CB" w:rsidRDefault="00AB52CB" w14:paraId="3350F184" w14:textId="77777777">
            <w:pPr>
              <w:spacing w:after="100" w:afterAutospacing="1" w:line="240" w:lineRule="auto"/>
              <w:contextualSpacing/>
              <w:jc w:val="center"/>
              <w:rPr>
                <w:rFonts w:ascii="Calibri" w:hAnsi="Calibri" w:eastAsia="Times New Roman" w:cs="Calibri"/>
                <w:color w:val="000000"/>
              </w:rPr>
            </w:pPr>
          </w:p>
        </w:tc>
        <w:tc>
          <w:tcPr>
            <w:tcW w:w="1710" w:type="dxa"/>
            <w:tcBorders>
              <w:top w:val="single" w:color="auto" w:sz="4" w:space="0"/>
              <w:left w:val="single" w:color="auto" w:sz="4" w:space="0"/>
              <w:bottom w:val="single" w:color="auto" w:sz="4" w:space="0"/>
              <w:right w:val="single" w:color="auto" w:sz="4" w:space="0"/>
              <w:tr2bl w:val="single" w:color="auto" w:sz="4" w:space="0"/>
            </w:tcBorders>
            <w:vAlign w:val="bottom"/>
          </w:tcPr>
          <w:p w:rsidRPr="00255BD8" w:rsidR="00AB52CB" w:rsidP="00AB52CB" w:rsidRDefault="00AB52CB" w14:paraId="5EE9E09C" w14:textId="77777777">
            <w:pPr>
              <w:spacing w:after="100" w:afterAutospacing="1" w:line="240" w:lineRule="auto"/>
              <w:contextualSpacing/>
              <w:jc w:val="center"/>
              <w:rPr>
                <w:rFonts w:ascii="Calibri" w:hAnsi="Calibri" w:eastAsia="Times New Roman" w:cs="Calibri"/>
                <w:color w:val="000000"/>
              </w:rPr>
            </w:pPr>
          </w:p>
        </w:tc>
        <w:tc>
          <w:tcPr>
            <w:tcW w:w="1530"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bottom"/>
            <w:hideMark/>
          </w:tcPr>
          <w:p w:rsidRPr="00255BD8" w:rsidR="00AB52CB" w:rsidP="00AB52CB" w:rsidRDefault="00AB52CB" w14:paraId="2DE2B0B2" w14:textId="7C8D9714">
            <w:pPr>
              <w:spacing w:after="100" w:afterAutospacing="1" w:line="240" w:lineRule="auto"/>
              <w:contextualSpacing/>
              <w:jc w:val="center"/>
              <w:rPr>
                <w:rFonts w:ascii="Calibri" w:hAnsi="Calibri" w:eastAsia="Times New Roman" w:cs="Calibri"/>
                <w:color w:val="000000"/>
              </w:rPr>
            </w:pPr>
            <w:r w:rsidRPr="00255BD8">
              <w:rPr>
                <w:rFonts w:ascii="Calibri" w:hAnsi="Calibri" w:eastAsia="Times New Roman" w:cs="Calibri"/>
                <w:color w:val="000000"/>
              </w:rPr>
              <w:t>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0A33DF" w:rsidRDefault="003A0CA7" w14:paraId="6CA164AB" w14:textId="1431D6A8">
            <w:pPr>
              <w:spacing w:after="100" w:afterAutospacing="1" w:line="240" w:lineRule="auto"/>
              <w:contextualSpacing/>
              <w:rPr>
                <w:rFonts w:ascii="Calibri" w:hAnsi="Calibri" w:eastAsia="Times New Roman" w:cs="Calibri"/>
                <w:b/>
                <w:bCs/>
                <w:color w:val="000000"/>
              </w:rPr>
            </w:pPr>
            <w:r w:rsidRPr="000A33DF">
              <w:rPr>
                <w:rFonts w:ascii="Calibri" w:hAnsi="Calibri" w:cs="Calibri"/>
                <w:b/>
                <w:bCs/>
                <w:color w:val="000000"/>
              </w:rPr>
              <w:t xml:space="preserve">         36,818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55BD8" w:rsidR="00AB52CB" w:rsidP="000A33DF" w:rsidRDefault="003A0CA7" w14:paraId="069FE352" w14:textId="5704A15A">
            <w:pPr>
              <w:spacing w:after="100" w:afterAutospacing="1" w:line="240" w:lineRule="auto"/>
              <w:contextualSpacing/>
              <w:rPr>
                <w:rFonts w:ascii="Calibri" w:hAnsi="Calibri" w:eastAsia="Times New Roman" w:cs="Calibri"/>
                <w:b/>
                <w:bCs/>
                <w:color w:val="000000"/>
              </w:rPr>
            </w:pPr>
            <w:r w:rsidRPr="000A33DF">
              <w:rPr>
                <w:rFonts w:ascii="Calibri" w:hAnsi="Calibri" w:cs="Calibri"/>
                <w:b/>
                <w:bCs/>
                <w:color w:val="000000"/>
              </w:rPr>
              <w:t xml:space="preserve">         68,460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D2FBB" w:rsidR="00AB52CB" w:rsidP="00AB52CB" w:rsidRDefault="003A0CA7" w14:paraId="3EE0632E" w14:textId="67AEEDFB">
            <w:pPr>
              <w:spacing w:after="100" w:afterAutospacing="1" w:line="240" w:lineRule="auto"/>
              <w:contextualSpacing/>
              <w:jc w:val="center"/>
              <w:rPr>
                <w:rFonts w:ascii="Calibri" w:hAnsi="Calibri" w:eastAsia="Times New Roman" w:cs="Calibri"/>
                <w:b/>
                <w:bCs/>
                <w:color w:val="000000"/>
              </w:rPr>
            </w:pPr>
            <w:r w:rsidRPr="000A33DF">
              <w:rPr>
                <w:rFonts w:ascii="Calibri" w:hAnsi="Calibri" w:cs="Calibri"/>
                <w:b/>
                <w:bCs/>
                <w:color w:val="000000"/>
              </w:rPr>
              <w:t>$2,461,813</w:t>
            </w:r>
          </w:p>
        </w:tc>
      </w:tr>
    </w:tbl>
    <w:p w:rsidR="00E7299B" w:rsidP="00D37535" w:rsidRDefault="00E7299B" w14:paraId="62E0C960" w14:textId="77777777">
      <w:pPr>
        <w:spacing w:after="100" w:afterAutospacing="1" w:line="240" w:lineRule="auto"/>
        <w:contextualSpacing/>
        <w:rPr>
          <w:rFonts w:ascii="Calibri" w:hAnsi="Calibri" w:cs="Calibri"/>
        </w:rPr>
      </w:pPr>
    </w:p>
    <w:p w:rsidR="00144A8E" w:rsidP="00144A8E" w:rsidRDefault="00144A8E" w14:paraId="1AF0E6A1" w14:textId="2E4C12C5">
      <w:pPr>
        <w:spacing w:after="100" w:afterAutospacing="1" w:line="240" w:lineRule="auto"/>
        <w:ind w:left="90" w:hanging="90"/>
        <w:contextualSpacing/>
        <w:rPr>
          <w:rFonts w:ascii="Calibri" w:hAnsi="Calibri" w:cs="Calibri"/>
          <w:bCs/>
          <w:vertAlign w:val="superscript"/>
        </w:rPr>
      </w:pPr>
      <w:r>
        <w:rPr>
          <w:rFonts w:ascii="Calibri" w:hAnsi="Calibri" w:cs="Calibri"/>
          <w:bCs/>
          <w:vertAlign w:val="superscript"/>
        </w:rPr>
        <w:t xml:space="preserve">1 </w:t>
      </w:r>
      <w:r>
        <w:rPr>
          <w:rFonts w:ascii="Calibri" w:hAnsi="Calibri" w:cs="Calibri"/>
          <w:bCs/>
        </w:rPr>
        <w:t>The numbers in this table have been rounded. Unrounded values used for calculations in this table can be found in the 2021 MSGP ICR analysis spreadsheet.</w:t>
      </w:r>
      <w:r w:rsidRPr="00144A8E">
        <w:rPr>
          <w:rFonts w:ascii="Calibri" w:hAnsi="Calibri" w:cs="Calibri"/>
          <w:bCs/>
          <w:vertAlign w:val="superscript"/>
        </w:rPr>
        <w:t xml:space="preserve"> </w:t>
      </w:r>
    </w:p>
    <w:p w:rsidR="00144A8E" w:rsidP="00144A8E" w:rsidRDefault="00144A8E" w14:paraId="47354C3C" w14:textId="77777777">
      <w:pPr>
        <w:spacing w:after="100" w:afterAutospacing="1" w:line="240" w:lineRule="auto"/>
        <w:contextualSpacing/>
        <w:rPr>
          <w:rFonts w:ascii="Calibri" w:hAnsi="Calibri" w:cs="Calibri"/>
          <w:bCs/>
        </w:rPr>
      </w:pPr>
      <w:r>
        <w:rPr>
          <w:rFonts w:ascii="Calibri" w:hAnsi="Calibri" w:cs="Calibri"/>
          <w:bCs/>
          <w:vertAlign w:val="superscript"/>
        </w:rPr>
        <w:t>2</w:t>
      </w:r>
      <w:r w:rsidRPr="00255BD8">
        <w:rPr>
          <w:rFonts w:ascii="Calibri" w:hAnsi="Calibri" w:cs="Calibri"/>
          <w:bCs/>
          <w:vertAlign w:val="superscript"/>
        </w:rPr>
        <w:t xml:space="preserve"> </w:t>
      </w:r>
      <w:r w:rsidRPr="00255BD8">
        <w:rPr>
          <w:rFonts w:ascii="Calibri" w:hAnsi="Calibri" w:cs="Calibri"/>
          <w:bCs/>
        </w:rPr>
        <w:t xml:space="preserve">NA indicates that the 2017 NPDES </w:t>
      </w:r>
      <w:r>
        <w:rPr>
          <w:rFonts w:ascii="Calibri" w:hAnsi="Calibri" w:cs="Calibri"/>
          <w:bCs/>
        </w:rPr>
        <w:t>Program</w:t>
      </w:r>
      <w:r w:rsidRPr="00255BD8">
        <w:rPr>
          <w:rFonts w:ascii="Calibri" w:hAnsi="Calibri" w:cs="Calibri"/>
          <w:bCs/>
        </w:rPr>
        <w:t xml:space="preserve"> ICR did not </w:t>
      </w:r>
      <w:r>
        <w:rPr>
          <w:rFonts w:ascii="Calibri" w:hAnsi="Calibri" w:cs="Calibri"/>
        </w:rPr>
        <w:t xml:space="preserve">separately </w:t>
      </w:r>
      <w:r w:rsidRPr="00255BD8">
        <w:rPr>
          <w:rFonts w:ascii="Calibri" w:hAnsi="Calibri" w:cs="Calibri"/>
          <w:bCs/>
        </w:rPr>
        <w:t>account for this burden item.</w:t>
      </w:r>
    </w:p>
    <w:p w:rsidR="00144A8E" w:rsidDel="007C2B79" w:rsidP="00D37535" w:rsidRDefault="00144A8E" w14:paraId="3E316B9A" w14:textId="72FBE567">
      <w:pPr>
        <w:spacing w:after="100" w:afterAutospacing="1" w:line="240" w:lineRule="auto"/>
        <w:contextualSpacing/>
        <w:rPr>
          <w:rFonts w:ascii="Calibri" w:hAnsi="Calibri" w:cs="Calibri"/>
        </w:rPr>
        <w:sectPr w:rsidDel="007C2B79" w:rsidR="00144A8E" w:rsidSect="00094326">
          <w:pgSz w:w="15840" w:h="12240" w:orient="landscape"/>
          <w:pgMar w:top="1440" w:right="1350" w:bottom="1440" w:left="1440" w:header="720" w:footer="720" w:gutter="0"/>
          <w:cols w:space="720"/>
          <w:docGrid w:linePitch="360"/>
        </w:sectPr>
      </w:pPr>
    </w:p>
    <w:p w:rsidRPr="001E010D" w:rsidR="00471B14" w:rsidP="00D37535" w:rsidRDefault="00E141D4" w14:paraId="2DEDBF8E" w14:textId="5B2767CD">
      <w:pPr>
        <w:pStyle w:val="Style1"/>
        <w:spacing w:before="0" w:after="100" w:afterAutospacing="1" w:line="240" w:lineRule="auto"/>
        <w:contextualSpacing/>
      </w:pPr>
      <w:bookmarkStart w:name="_Toc24963891" w:id="36"/>
      <w:r w:rsidRPr="001E010D">
        <w:lastRenderedPageBreak/>
        <w:t xml:space="preserve">Bottom Line Burden </w:t>
      </w:r>
      <w:r w:rsidR="004F0F13">
        <w:t>Hou</w:t>
      </w:r>
      <w:r w:rsidRPr="001E010D" w:rsidR="004F0F13">
        <w:t>rs and Cost Tables</w:t>
      </w:r>
      <w:bookmarkEnd w:id="36"/>
    </w:p>
    <w:p w:rsidRPr="001E010D" w:rsidR="00E141D4" w:rsidP="00D37535" w:rsidRDefault="00E141D4" w14:paraId="1EA73BF4" w14:textId="5753E290">
      <w:pPr>
        <w:pStyle w:val="Style2"/>
        <w:spacing w:before="0" w:after="100" w:afterAutospacing="1" w:line="240" w:lineRule="auto"/>
        <w:ind w:left="720" w:hanging="720"/>
        <w:contextualSpacing/>
      </w:pPr>
      <w:bookmarkStart w:name="_Toc24963892" w:id="37"/>
      <w:r w:rsidRPr="001E010D">
        <w:t>Respondent Tally</w:t>
      </w:r>
      <w:bookmarkEnd w:id="37"/>
    </w:p>
    <w:p w:rsidR="004A42EA" w:rsidP="00D37535" w:rsidRDefault="00B72EFA" w14:paraId="22A4D42E" w14:textId="01BDCC5E">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w:t>
      </w:r>
      <w:r w:rsidR="001619D9">
        <w:rPr>
          <w:rFonts w:ascii="Calibri" w:hAnsi="Calibri" w:cs="Calibri"/>
        </w:rPr>
        <w:t>respondents</w:t>
      </w:r>
      <w:r w:rsidRPr="001E010D">
        <w:rPr>
          <w:rFonts w:ascii="Calibri" w:hAnsi="Calibri" w:cs="Calibri"/>
        </w:rPr>
        <w:t xml:space="preserve"> are the average annual hours and costs collectively incurred for all activities during the period covered by this ICR</w:t>
      </w:r>
      <w:r w:rsidR="00AB7EE1">
        <w:rPr>
          <w:rFonts w:ascii="Calibri" w:hAnsi="Calibri" w:cs="Calibri"/>
        </w:rPr>
        <w:t xml:space="preserve">.  A portion of this burden was accounted for in the </w:t>
      </w:r>
      <w:r w:rsidR="001F39BD">
        <w:rPr>
          <w:rFonts w:ascii="Calibri" w:hAnsi="Calibri" w:cs="Calibri"/>
        </w:rPr>
        <w:t xml:space="preserve">2017 </w:t>
      </w:r>
      <w:r w:rsidR="00AB7EE1">
        <w:rPr>
          <w:rFonts w:ascii="Calibri" w:hAnsi="Calibri" w:cs="Calibri"/>
        </w:rPr>
        <w:t xml:space="preserve">NPDES Programmatic ICR.  When EPA renews the NPDES Programmatic ICR, it will account for the total burden of the 2021 MSGP, by adding </w:t>
      </w:r>
      <w:r w:rsidR="00D416F5">
        <w:rPr>
          <w:rFonts w:ascii="Calibri" w:hAnsi="Calibri" w:cs="Calibri"/>
        </w:rPr>
        <w:t xml:space="preserve">the incremental burden </w:t>
      </w:r>
      <w:r w:rsidR="00AB7EE1">
        <w:rPr>
          <w:rFonts w:ascii="Calibri" w:hAnsi="Calibri" w:cs="Calibri"/>
        </w:rPr>
        <w:t>associated with refining the estimated burdens and including new burdens associated with modifications to permit conditions from the 2015 MSGP to the 2021 MSGP</w:t>
      </w:r>
      <w:r w:rsidRPr="001E010D">
        <w:rPr>
          <w:rFonts w:ascii="Calibri" w:hAnsi="Calibri" w:cs="Calibri"/>
        </w:rPr>
        <w:t xml:space="preserve">. The below table provides a summary of the average annual number of respondents, </w:t>
      </w:r>
      <w:r w:rsidR="00AB7EE1">
        <w:rPr>
          <w:rFonts w:ascii="Calibri" w:hAnsi="Calibri" w:cs="Calibri"/>
        </w:rPr>
        <w:t xml:space="preserve">total </w:t>
      </w:r>
      <w:r w:rsidRPr="001E010D">
        <w:rPr>
          <w:rFonts w:ascii="Calibri" w:hAnsi="Calibri" w:cs="Calibri"/>
        </w:rPr>
        <w:t xml:space="preserve">burden hours, and </w:t>
      </w:r>
      <w:r w:rsidR="00AB7EE1">
        <w:rPr>
          <w:rFonts w:ascii="Calibri" w:hAnsi="Calibri" w:cs="Calibri"/>
        </w:rPr>
        <w:t>total</w:t>
      </w:r>
      <w:r w:rsidRPr="001E010D">
        <w:rPr>
          <w:rFonts w:ascii="Calibri" w:hAnsi="Calibri" w:cs="Calibri"/>
        </w:rPr>
        <w:t xml:space="preserve"> costs.</w:t>
      </w:r>
    </w:p>
    <w:p w:rsidR="00C165DD" w:rsidP="000A33DF" w:rsidRDefault="00C165DD" w14:paraId="4994BC32" w14:textId="1AD7838C">
      <w:pPr>
        <w:spacing w:after="100" w:afterAutospacing="1" w:line="240" w:lineRule="auto"/>
        <w:contextualSpacing/>
      </w:pPr>
    </w:p>
    <w:tbl>
      <w:tblPr>
        <w:tblStyle w:val="TableGrid"/>
        <w:tblW w:w="7467" w:type="dxa"/>
        <w:tblLook w:val="04A0" w:firstRow="1" w:lastRow="0" w:firstColumn="1" w:lastColumn="0" w:noHBand="0" w:noVBand="1"/>
      </w:tblPr>
      <w:tblGrid>
        <w:gridCol w:w="5791"/>
        <w:gridCol w:w="611"/>
        <w:gridCol w:w="1065"/>
      </w:tblGrid>
      <w:tr w:rsidRPr="00624900" w:rsidR="004A42EA" w:rsidTr="004023BA" w14:paraId="49B43E50" w14:textId="77777777">
        <w:trPr>
          <w:gridAfter w:val="1"/>
          <w:wAfter w:w="1065" w:type="dxa"/>
        </w:trPr>
        <w:tc>
          <w:tcPr>
            <w:tcW w:w="6402" w:type="dxa"/>
            <w:gridSpan w:val="2"/>
            <w:tcBorders>
              <w:top w:val="nil"/>
              <w:left w:val="nil"/>
              <w:right w:val="nil"/>
            </w:tcBorders>
          </w:tcPr>
          <w:p w:rsidRPr="004A42EA" w:rsidR="004A42EA" w:rsidP="00D37535" w:rsidRDefault="004A42EA" w14:paraId="03FE3141" w14:textId="7DACDE75">
            <w:pPr>
              <w:spacing w:after="100" w:afterAutospacing="1"/>
              <w:contextualSpacing/>
              <w:rPr>
                <w:rFonts w:ascii="Calibri" w:hAnsi="Calibri" w:eastAsia="Times New Roman" w:cs="Calibri"/>
                <w:b/>
                <w:bCs/>
                <w:color w:val="000000"/>
              </w:rPr>
            </w:pPr>
            <w:r w:rsidRPr="000A33DF">
              <w:rPr>
                <w:b/>
                <w:bCs/>
              </w:rPr>
              <w:t xml:space="preserve">Table </w:t>
            </w:r>
            <w:r w:rsidR="004C1A3D">
              <w:rPr>
                <w:b/>
                <w:bCs/>
              </w:rPr>
              <w:t>6</w:t>
            </w:r>
            <w:r w:rsidRPr="000A33DF">
              <w:rPr>
                <w:b/>
                <w:bCs/>
              </w:rPr>
              <w:t xml:space="preserve"> </w:t>
            </w:r>
            <w:r>
              <w:rPr>
                <w:b/>
                <w:bCs/>
              </w:rPr>
              <w:t xml:space="preserve">- </w:t>
            </w:r>
            <w:r w:rsidRPr="000A33DF">
              <w:rPr>
                <w:b/>
                <w:bCs/>
              </w:rPr>
              <w:t>Bottom line respondent burden hours and cost</w:t>
            </w:r>
          </w:p>
        </w:tc>
      </w:tr>
      <w:tr w:rsidRPr="00624900" w:rsidR="00776B38" w:rsidTr="004023BA" w14:paraId="292007D9" w14:textId="77777777">
        <w:tc>
          <w:tcPr>
            <w:tcW w:w="5791" w:type="dxa"/>
          </w:tcPr>
          <w:p w:rsidRPr="004023BA" w:rsidR="00776B38" w:rsidP="00D37535" w:rsidRDefault="00745FC4" w14:paraId="61AFCC8A" w14:textId="195F908C">
            <w:pPr>
              <w:spacing w:after="100" w:afterAutospacing="1"/>
              <w:contextualSpacing/>
              <w:rPr>
                <w:rFonts w:ascii="Calibri" w:hAnsi="Calibri" w:cs="Calibri"/>
                <w:bCs/>
              </w:rPr>
            </w:pPr>
            <w:r w:rsidRPr="004023BA">
              <w:rPr>
                <w:rFonts w:ascii="Calibri" w:hAnsi="Calibri" w:cs="Calibri"/>
                <w:bCs/>
              </w:rPr>
              <w:t>Unique Respondents (number)</w:t>
            </w:r>
          </w:p>
        </w:tc>
        <w:tc>
          <w:tcPr>
            <w:tcW w:w="1676" w:type="dxa"/>
            <w:gridSpan w:val="2"/>
          </w:tcPr>
          <w:p w:rsidRPr="004023BA" w:rsidR="00776B38" w:rsidP="00D37535" w:rsidRDefault="00064EE2" w14:paraId="256B86D3" w14:textId="58DE5E23">
            <w:pPr>
              <w:spacing w:after="100" w:afterAutospacing="1"/>
              <w:contextualSpacing/>
              <w:rPr>
                <w:rFonts w:ascii="Calibri" w:hAnsi="Calibri" w:cs="Calibri"/>
                <w:bCs/>
              </w:rPr>
            </w:pPr>
            <w:r w:rsidRPr="004023BA">
              <w:rPr>
                <w:rFonts w:ascii="Calibri" w:hAnsi="Calibri" w:eastAsia="Times New Roman" w:cs="Calibri"/>
                <w:bCs/>
                <w:color w:val="000000"/>
              </w:rPr>
              <w:t>2,</w:t>
            </w:r>
            <w:r w:rsidRPr="004023BA" w:rsidR="004A42EA">
              <w:rPr>
                <w:rFonts w:ascii="Calibri" w:hAnsi="Calibri" w:eastAsia="Times New Roman" w:cs="Calibri"/>
                <w:bCs/>
                <w:color w:val="000000"/>
              </w:rPr>
              <w:t>508</w:t>
            </w:r>
          </w:p>
        </w:tc>
      </w:tr>
      <w:tr w:rsidRPr="00624900" w:rsidR="00776B38" w:rsidTr="004023BA" w14:paraId="6AD857A5" w14:textId="77777777">
        <w:tc>
          <w:tcPr>
            <w:tcW w:w="5791" w:type="dxa"/>
          </w:tcPr>
          <w:p w:rsidRPr="004023BA" w:rsidR="00776B38" w:rsidP="00D37535" w:rsidRDefault="00745FC4" w14:paraId="4CD9D657" w14:textId="6226441C">
            <w:pPr>
              <w:spacing w:after="100" w:afterAutospacing="1"/>
              <w:contextualSpacing/>
              <w:rPr>
                <w:rFonts w:ascii="Calibri" w:hAnsi="Calibri" w:cs="Calibri"/>
                <w:bCs/>
              </w:rPr>
            </w:pPr>
            <w:r w:rsidRPr="004023BA">
              <w:rPr>
                <w:rFonts w:ascii="Calibri" w:hAnsi="Calibri" w:cs="Calibri"/>
                <w:bCs/>
              </w:rPr>
              <w:t>Responses (number)</w:t>
            </w:r>
          </w:p>
        </w:tc>
        <w:tc>
          <w:tcPr>
            <w:tcW w:w="1676" w:type="dxa"/>
            <w:gridSpan w:val="2"/>
          </w:tcPr>
          <w:p w:rsidRPr="004023BA" w:rsidR="00776B38" w:rsidP="00D37535" w:rsidRDefault="004A42EA" w14:paraId="1ECE4922" w14:textId="65CE3B1B">
            <w:pPr>
              <w:spacing w:after="100" w:afterAutospacing="1"/>
              <w:contextualSpacing/>
              <w:rPr>
                <w:rFonts w:ascii="Calibri" w:hAnsi="Calibri" w:cs="Calibri"/>
                <w:bCs/>
              </w:rPr>
            </w:pPr>
            <w:r w:rsidRPr="004023BA">
              <w:rPr>
                <w:rFonts w:ascii="Calibri" w:hAnsi="Calibri" w:eastAsia="Times New Roman" w:cs="Calibri"/>
                <w:bCs/>
                <w:color w:val="000000"/>
              </w:rPr>
              <w:t>36,818</w:t>
            </w:r>
          </w:p>
        </w:tc>
      </w:tr>
      <w:tr w:rsidRPr="00624900" w:rsidR="00776B38" w:rsidTr="004023BA" w14:paraId="11669040" w14:textId="77777777">
        <w:tc>
          <w:tcPr>
            <w:tcW w:w="5791" w:type="dxa"/>
          </w:tcPr>
          <w:p w:rsidRPr="004023BA" w:rsidR="00776B38" w:rsidP="00D37535" w:rsidRDefault="00745FC4" w14:paraId="08A73AEC" w14:textId="109E2C66">
            <w:pPr>
              <w:spacing w:after="100" w:afterAutospacing="1"/>
              <w:contextualSpacing/>
              <w:rPr>
                <w:rFonts w:ascii="Calibri" w:hAnsi="Calibri" w:cs="Calibri"/>
                <w:bCs/>
              </w:rPr>
            </w:pPr>
            <w:r w:rsidRPr="004023BA">
              <w:rPr>
                <w:rFonts w:ascii="Calibri" w:hAnsi="Calibri" w:cs="Calibri"/>
                <w:bCs/>
              </w:rPr>
              <w:t>Burden (hours)</w:t>
            </w:r>
          </w:p>
        </w:tc>
        <w:tc>
          <w:tcPr>
            <w:tcW w:w="1676" w:type="dxa"/>
            <w:gridSpan w:val="2"/>
          </w:tcPr>
          <w:p w:rsidRPr="004023BA" w:rsidR="00776B38" w:rsidP="00D37535" w:rsidRDefault="004A42EA" w14:paraId="266BD211" w14:textId="33BE6535">
            <w:pPr>
              <w:spacing w:after="100" w:afterAutospacing="1"/>
              <w:contextualSpacing/>
              <w:rPr>
                <w:rFonts w:ascii="Calibri" w:hAnsi="Calibri" w:cs="Calibri"/>
                <w:bCs/>
              </w:rPr>
            </w:pPr>
            <w:r w:rsidRPr="004023BA">
              <w:rPr>
                <w:rFonts w:ascii="Calibri" w:hAnsi="Calibri" w:eastAsia="Times New Roman" w:cs="Calibri"/>
                <w:bCs/>
                <w:color w:val="000000"/>
              </w:rPr>
              <w:t>68,460</w:t>
            </w:r>
          </w:p>
        </w:tc>
      </w:tr>
      <w:tr w:rsidRPr="00624900" w:rsidR="00776B38" w:rsidTr="004023BA" w14:paraId="0E16E983" w14:textId="77777777">
        <w:tc>
          <w:tcPr>
            <w:tcW w:w="5791" w:type="dxa"/>
          </w:tcPr>
          <w:p w:rsidRPr="004023BA" w:rsidR="00776B38" w:rsidP="00D37535" w:rsidRDefault="00745FC4" w14:paraId="26B891F6" w14:textId="0516E15C">
            <w:pPr>
              <w:spacing w:after="100" w:afterAutospacing="1"/>
              <w:contextualSpacing/>
              <w:rPr>
                <w:rFonts w:ascii="Calibri" w:hAnsi="Calibri" w:cs="Calibri"/>
                <w:bCs/>
              </w:rPr>
            </w:pPr>
            <w:r w:rsidRPr="004023BA">
              <w:rPr>
                <w:rFonts w:ascii="Calibri" w:hAnsi="Calibri" w:cs="Calibri"/>
                <w:bCs/>
              </w:rPr>
              <w:t>Costs (labor)</w:t>
            </w:r>
          </w:p>
        </w:tc>
        <w:tc>
          <w:tcPr>
            <w:tcW w:w="1676" w:type="dxa"/>
            <w:gridSpan w:val="2"/>
          </w:tcPr>
          <w:p w:rsidRPr="004023BA" w:rsidR="00710CC7" w:rsidP="00D37535" w:rsidRDefault="00736758" w14:paraId="3398F5B5" w14:textId="2A3D7966">
            <w:pPr>
              <w:spacing w:after="100" w:afterAutospacing="1"/>
              <w:contextualSpacing/>
              <w:rPr>
                <w:rFonts w:ascii="Calibri" w:hAnsi="Calibri" w:eastAsia="Times New Roman" w:cs="Calibri"/>
                <w:bCs/>
                <w:color w:val="000000"/>
              </w:rPr>
            </w:pPr>
            <w:r w:rsidRPr="004023BA">
              <w:rPr>
                <w:bCs/>
              </w:rPr>
              <w:t>$2,</w:t>
            </w:r>
            <w:r w:rsidRPr="004023BA" w:rsidR="004A42EA">
              <w:rPr>
                <w:bCs/>
              </w:rPr>
              <w:t>461,813</w:t>
            </w:r>
          </w:p>
        </w:tc>
      </w:tr>
      <w:tr w:rsidRPr="00624900" w:rsidR="00776B38" w:rsidTr="004023BA" w14:paraId="57AA3CA9" w14:textId="77777777">
        <w:tc>
          <w:tcPr>
            <w:tcW w:w="5791" w:type="dxa"/>
          </w:tcPr>
          <w:p w:rsidRPr="004023BA" w:rsidR="00776B38" w:rsidP="00D37535" w:rsidRDefault="00745FC4" w14:paraId="20090861" w14:textId="42F99A9E">
            <w:pPr>
              <w:spacing w:after="100" w:afterAutospacing="1"/>
              <w:contextualSpacing/>
              <w:rPr>
                <w:rFonts w:ascii="Calibri" w:hAnsi="Calibri" w:cs="Calibri"/>
                <w:bCs/>
              </w:rPr>
            </w:pPr>
            <w:r w:rsidRPr="004023BA">
              <w:rPr>
                <w:rFonts w:ascii="Calibri" w:hAnsi="Calibri" w:cs="Calibri"/>
                <w:bCs/>
              </w:rPr>
              <w:t>Costs (capital)</w:t>
            </w:r>
          </w:p>
        </w:tc>
        <w:tc>
          <w:tcPr>
            <w:tcW w:w="1676" w:type="dxa"/>
            <w:gridSpan w:val="2"/>
          </w:tcPr>
          <w:p w:rsidRPr="004023BA" w:rsidR="00776B38" w:rsidP="00D37535" w:rsidRDefault="00CF2D85" w14:paraId="4BB77256" w14:textId="62CE7DCA">
            <w:pPr>
              <w:spacing w:after="100" w:afterAutospacing="1"/>
              <w:contextualSpacing/>
              <w:rPr>
                <w:rFonts w:ascii="Calibri" w:hAnsi="Calibri" w:cs="Calibri"/>
                <w:bCs/>
              </w:rPr>
            </w:pPr>
            <w:r w:rsidRPr="004023BA">
              <w:rPr>
                <w:rFonts w:ascii="Calibri" w:hAnsi="Calibri" w:cs="Calibri"/>
                <w:bCs/>
              </w:rPr>
              <w:t>$0</w:t>
            </w:r>
          </w:p>
        </w:tc>
      </w:tr>
      <w:tr w:rsidRPr="00624900" w:rsidR="00776B38" w:rsidTr="004023BA" w14:paraId="0209F41E" w14:textId="77777777">
        <w:tc>
          <w:tcPr>
            <w:tcW w:w="5791" w:type="dxa"/>
          </w:tcPr>
          <w:p w:rsidRPr="004023BA" w:rsidR="00776B38" w:rsidP="00D37535" w:rsidRDefault="00745FC4" w14:paraId="38E5FD0E" w14:textId="00878F41">
            <w:pPr>
              <w:spacing w:after="100" w:afterAutospacing="1"/>
              <w:contextualSpacing/>
              <w:rPr>
                <w:rFonts w:ascii="Calibri" w:hAnsi="Calibri" w:cs="Calibri"/>
                <w:bCs/>
              </w:rPr>
            </w:pPr>
            <w:r w:rsidRPr="004023BA">
              <w:rPr>
                <w:rFonts w:ascii="Calibri" w:hAnsi="Calibri" w:cs="Calibri"/>
                <w:bCs/>
              </w:rPr>
              <w:t>Costs (O&amp;M)</w:t>
            </w:r>
          </w:p>
        </w:tc>
        <w:tc>
          <w:tcPr>
            <w:tcW w:w="1676" w:type="dxa"/>
            <w:gridSpan w:val="2"/>
          </w:tcPr>
          <w:p w:rsidRPr="004023BA" w:rsidR="00776B38" w:rsidP="00D37535" w:rsidRDefault="0030711D" w14:paraId="6331A168" w14:textId="5A88FBE9">
            <w:pPr>
              <w:spacing w:after="100" w:afterAutospacing="1"/>
              <w:contextualSpacing/>
              <w:rPr>
                <w:rFonts w:ascii="Calibri" w:hAnsi="Calibri" w:cs="Calibri"/>
                <w:bCs/>
              </w:rPr>
            </w:pPr>
            <w:r w:rsidRPr="004023BA">
              <w:rPr>
                <w:rFonts w:ascii="Calibri" w:hAnsi="Calibri" w:cs="Calibri"/>
                <w:bCs/>
              </w:rPr>
              <w:t>$</w:t>
            </w:r>
            <w:r w:rsidRPr="004023BA" w:rsidR="00AA49DE">
              <w:rPr>
                <w:rFonts w:ascii="Calibri" w:hAnsi="Calibri" w:cs="Calibri"/>
                <w:bCs/>
              </w:rPr>
              <w:t>0</w:t>
            </w:r>
          </w:p>
        </w:tc>
      </w:tr>
      <w:tr w:rsidRPr="001E010D" w:rsidR="00CF2D85" w:rsidTr="004023BA" w14:paraId="2E490EC7" w14:textId="77777777">
        <w:tc>
          <w:tcPr>
            <w:tcW w:w="5791" w:type="dxa"/>
          </w:tcPr>
          <w:p w:rsidRPr="004023BA" w:rsidR="00CF2D85" w:rsidP="00D37535" w:rsidRDefault="00CF2D85" w14:paraId="52E6D480" w14:textId="6F7424D7">
            <w:pPr>
              <w:spacing w:after="100" w:afterAutospacing="1"/>
              <w:contextualSpacing/>
              <w:rPr>
                <w:rFonts w:ascii="Calibri" w:hAnsi="Calibri" w:cs="Calibri"/>
                <w:bCs/>
              </w:rPr>
            </w:pPr>
            <w:r w:rsidRPr="004023BA">
              <w:rPr>
                <w:rFonts w:ascii="Calibri" w:hAnsi="Calibri" w:cs="Calibri"/>
                <w:bCs/>
              </w:rPr>
              <w:t>Total costs</w:t>
            </w:r>
          </w:p>
        </w:tc>
        <w:tc>
          <w:tcPr>
            <w:tcW w:w="1676" w:type="dxa"/>
            <w:gridSpan w:val="2"/>
          </w:tcPr>
          <w:p w:rsidRPr="004023BA" w:rsidR="00CF2D85" w:rsidP="00D37535" w:rsidRDefault="00FB1C12" w14:paraId="66177DFC" w14:textId="1366FB0D">
            <w:pPr>
              <w:spacing w:after="100" w:afterAutospacing="1"/>
              <w:contextualSpacing/>
              <w:rPr>
                <w:rFonts w:ascii="Calibri" w:hAnsi="Calibri" w:cs="Calibri"/>
                <w:bCs/>
              </w:rPr>
            </w:pPr>
            <w:r w:rsidRPr="004023BA">
              <w:rPr>
                <w:bCs/>
              </w:rPr>
              <w:t>$2,</w:t>
            </w:r>
            <w:r w:rsidRPr="004023BA" w:rsidR="004A42EA">
              <w:rPr>
                <w:bCs/>
              </w:rPr>
              <w:t>461,813</w:t>
            </w:r>
            <w:r w:rsidRPr="004023BA" w:rsidR="00CF2D85">
              <w:rPr>
                <w:rFonts w:ascii="Calibri" w:hAnsi="Calibri" w:eastAsia="Times New Roman" w:cs="Calibri"/>
                <w:bCs/>
                <w:color w:val="000000"/>
              </w:rPr>
              <w:t xml:space="preserve"> </w:t>
            </w:r>
          </w:p>
        </w:tc>
      </w:tr>
    </w:tbl>
    <w:p w:rsidRPr="001E010D" w:rsidR="00776B38" w:rsidP="00D37535" w:rsidRDefault="00776B38" w14:paraId="6E87023B" w14:textId="77777777">
      <w:pPr>
        <w:spacing w:after="100" w:afterAutospacing="1" w:line="240" w:lineRule="auto"/>
        <w:contextualSpacing/>
        <w:rPr>
          <w:rFonts w:ascii="Calibri" w:hAnsi="Calibri" w:cs="Calibri"/>
          <w:b/>
        </w:rPr>
      </w:pPr>
    </w:p>
    <w:p w:rsidRPr="001E010D" w:rsidR="00E141D4" w:rsidP="00D37535" w:rsidRDefault="00E141D4" w14:paraId="10B3C3AE" w14:textId="3E02BEDF">
      <w:pPr>
        <w:pStyle w:val="Style2"/>
        <w:spacing w:before="0" w:after="100" w:afterAutospacing="1" w:line="240" w:lineRule="auto"/>
        <w:ind w:left="720" w:hanging="720"/>
        <w:contextualSpacing/>
      </w:pPr>
      <w:bookmarkStart w:name="_Toc24963893" w:id="38"/>
      <w:r w:rsidRPr="001E010D">
        <w:t>The Agency Tally</w:t>
      </w:r>
      <w:bookmarkEnd w:id="38"/>
    </w:p>
    <w:p w:rsidR="004A42EA" w:rsidP="00D37535" w:rsidRDefault="007C6D74" w14:paraId="595D801A" w14:textId="39D5FD02">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the Agency are the total annual hours and costs collectively incurred for all activities during the </w:t>
      </w:r>
      <w:r w:rsidR="008C570D">
        <w:rPr>
          <w:rFonts w:ascii="Calibri" w:hAnsi="Calibri" w:cs="Calibri"/>
        </w:rPr>
        <w:t xml:space="preserve">3-year </w:t>
      </w:r>
      <w:r w:rsidRPr="001E010D">
        <w:rPr>
          <w:rFonts w:ascii="Calibri" w:hAnsi="Calibri" w:cs="Calibri"/>
        </w:rPr>
        <w:t>period covered by this ICR. The below table provides a summary of the average annual Agency burden hours and costs.</w:t>
      </w:r>
    </w:p>
    <w:p w:rsidR="00C165DD" w:rsidP="000A33DF" w:rsidRDefault="00C165DD" w14:paraId="3EC742C4" w14:textId="20127225">
      <w:pPr>
        <w:spacing w:after="100" w:afterAutospacing="1" w:line="240" w:lineRule="auto"/>
        <w:contextualSpacing/>
      </w:pPr>
    </w:p>
    <w:tbl>
      <w:tblPr>
        <w:tblStyle w:val="TableGrid"/>
        <w:tblW w:w="6981" w:type="dxa"/>
        <w:tblLook w:val="04A0" w:firstRow="1" w:lastRow="0" w:firstColumn="1" w:lastColumn="0" w:noHBand="0" w:noVBand="1"/>
      </w:tblPr>
      <w:tblGrid>
        <w:gridCol w:w="5449"/>
        <w:gridCol w:w="527"/>
        <w:gridCol w:w="1005"/>
      </w:tblGrid>
      <w:tr w:rsidRPr="004A42EA" w:rsidR="004A42EA" w:rsidTr="004023BA" w14:paraId="7DA06CEC" w14:textId="77777777">
        <w:trPr>
          <w:gridAfter w:val="1"/>
          <w:wAfter w:w="1005" w:type="dxa"/>
        </w:trPr>
        <w:tc>
          <w:tcPr>
            <w:tcW w:w="5976" w:type="dxa"/>
            <w:gridSpan w:val="2"/>
            <w:tcBorders>
              <w:top w:val="nil"/>
              <w:left w:val="nil"/>
              <w:right w:val="nil"/>
            </w:tcBorders>
            <w:shd w:val="clear" w:color="auto" w:fill="auto"/>
          </w:tcPr>
          <w:p w:rsidRPr="00F02AE6" w:rsidR="004A42EA" w:rsidP="00D37535" w:rsidRDefault="004A42EA" w14:paraId="758B5748" w14:textId="49C6014C">
            <w:pPr>
              <w:spacing w:after="100" w:afterAutospacing="1"/>
              <w:contextualSpacing/>
              <w:jc w:val="right"/>
              <w:rPr>
                <w:rFonts w:ascii="Calibri" w:hAnsi="Calibri" w:cs="Calibri"/>
                <w:b/>
                <w:bCs/>
              </w:rPr>
            </w:pPr>
            <w:r w:rsidRPr="000A33DF">
              <w:rPr>
                <w:b/>
                <w:bCs/>
              </w:rPr>
              <w:t xml:space="preserve">Table </w:t>
            </w:r>
            <w:r w:rsidR="00AE43C1">
              <w:rPr>
                <w:b/>
                <w:bCs/>
              </w:rPr>
              <w:t>7</w:t>
            </w:r>
            <w:r>
              <w:rPr>
                <w:b/>
                <w:bCs/>
                <w:noProof/>
              </w:rPr>
              <w:t xml:space="preserve"> - </w:t>
            </w:r>
            <w:r w:rsidRPr="000A33DF">
              <w:rPr>
                <w:b/>
                <w:bCs/>
              </w:rPr>
              <w:t>Bottom line Agency burden hours and cost</w:t>
            </w:r>
          </w:p>
        </w:tc>
      </w:tr>
      <w:tr w:rsidRPr="00624900" w:rsidR="007129C2" w:rsidTr="004023BA" w14:paraId="14526D5B" w14:textId="77777777">
        <w:tc>
          <w:tcPr>
            <w:tcW w:w="5449" w:type="dxa"/>
            <w:shd w:val="clear" w:color="auto" w:fill="auto"/>
          </w:tcPr>
          <w:p w:rsidRPr="004023BA" w:rsidR="007129C2" w:rsidP="00D37535" w:rsidRDefault="007129C2" w14:paraId="0EEEF951" w14:textId="692CE269">
            <w:pPr>
              <w:spacing w:after="100" w:afterAutospacing="1"/>
              <w:contextualSpacing/>
              <w:rPr>
                <w:rFonts w:ascii="Calibri" w:hAnsi="Calibri" w:cs="Calibri"/>
                <w:bCs/>
              </w:rPr>
            </w:pPr>
            <w:r w:rsidRPr="004023BA">
              <w:rPr>
                <w:rFonts w:ascii="Calibri" w:hAnsi="Calibri" w:cs="Calibri"/>
                <w:bCs/>
              </w:rPr>
              <w:t>Responses (number)</w:t>
            </w:r>
          </w:p>
        </w:tc>
        <w:tc>
          <w:tcPr>
            <w:tcW w:w="1532" w:type="dxa"/>
            <w:gridSpan w:val="2"/>
            <w:shd w:val="clear" w:color="auto" w:fill="auto"/>
            <w:vAlign w:val="center"/>
          </w:tcPr>
          <w:p w:rsidRPr="004023BA" w:rsidR="007129C2" w:rsidP="00D37535" w:rsidRDefault="0046682C" w14:paraId="00DF5F2A" w14:textId="03F16B49">
            <w:pPr>
              <w:spacing w:after="100" w:afterAutospacing="1"/>
              <w:contextualSpacing/>
              <w:jc w:val="right"/>
              <w:rPr>
                <w:rFonts w:ascii="Calibri" w:hAnsi="Calibri" w:cs="Calibri"/>
                <w:bCs/>
              </w:rPr>
            </w:pPr>
            <w:r w:rsidRPr="004023BA">
              <w:rPr>
                <w:rFonts w:ascii="Calibri" w:hAnsi="Calibri" w:cs="Calibri"/>
                <w:bCs/>
              </w:rPr>
              <w:t>1</w:t>
            </w:r>
            <w:r w:rsidRPr="004023BA" w:rsidR="00D87BE5">
              <w:rPr>
                <w:rFonts w:ascii="Calibri" w:hAnsi="Calibri" w:cs="Calibri"/>
                <w:bCs/>
              </w:rPr>
              <w:t>2,904</w:t>
            </w:r>
          </w:p>
        </w:tc>
      </w:tr>
      <w:tr w:rsidRPr="00624900" w:rsidR="007129C2" w:rsidTr="004023BA" w14:paraId="6FBCA94E" w14:textId="77777777">
        <w:tc>
          <w:tcPr>
            <w:tcW w:w="5449" w:type="dxa"/>
            <w:shd w:val="clear" w:color="auto" w:fill="auto"/>
          </w:tcPr>
          <w:p w:rsidRPr="004023BA" w:rsidR="007129C2" w:rsidP="00D37535" w:rsidRDefault="007129C2" w14:paraId="3939FE26" w14:textId="7045F058">
            <w:pPr>
              <w:spacing w:after="100" w:afterAutospacing="1"/>
              <w:contextualSpacing/>
              <w:rPr>
                <w:rFonts w:ascii="Calibri" w:hAnsi="Calibri" w:cs="Calibri"/>
                <w:bCs/>
              </w:rPr>
            </w:pPr>
            <w:r w:rsidRPr="004023BA">
              <w:rPr>
                <w:rFonts w:ascii="Calibri" w:hAnsi="Calibri" w:cs="Calibri"/>
                <w:bCs/>
              </w:rPr>
              <w:t>Burden (hours)</w:t>
            </w:r>
          </w:p>
        </w:tc>
        <w:tc>
          <w:tcPr>
            <w:tcW w:w="1532" w:type="dxa"/>
            <w:gridSpan w:val="2"/>
            <w:shd w:val="clear" w:color="auto" w:fill="auto"/>
            <w:vAlign w:val="center"/>
          </w:tcPr>
          <w:p w:rsidRPr="004023BA" w:rsidR="007129C2" w:rsidP="00D37535" w:rsidRDefault="00642DD1" w14:paraId="00D7BEBA" w14:textId="58AEFA05">
            <w:pPr>
              <w:spacing w:after="100" w:afterAutospacing="1"/>
              <w:contextualSpacing/>
              <w:jc w:val="right"/>
              <w:rPr>
                <w:rFonts w:ascii="Calibri" w:hAnsi="Calibri" w:cs="Calibri"/>
                <w:bCs/>
              </w:rPr>
            </w:pPr>
            <w:r w:rsidRPr="004023BA">
              <w:rPr>
                <w:rFonts w:ascii="Calibri" w:hAnsi="Calibri" w:cs="Calibri"/>
                <w:bCs/>
              </w:rPr>
              <w:t>3,</w:t>
            </w:r>
            <w:r w:rsidRPr="004023BA" w:rsidR="00D87BE5">
              <w:rPr>
                <w:rFonts w:ascii="Calibri" w:hAnsi="Calibri" w:cs="Calibri"/>
                <w:bCs/>
              </w:rPr>
              <w:t>1</w:t>
            </w:r>
            <w:r w:rsidRPr="004023BA" w:rsidR="00EB0CDD">
              <w:rPr>
                <w:rFonts w:ascii="Calibri" w:hAnsi="Calibri" w:cs="Calibri"/>
                <w:bCs/>
              </w:rPr>
              <w:t>14</w:t>
            </w:r>
          </w:p>
        </w:tc>
      </w:tr>
      <w:tr w:rsidRPr="00624900" w:rsidR="007129C2" w:rsidTr="004023BA" w14:paraId="5EBF20CA" w14:textId="77777777">
        <w:tc>
          <w:tcPr>
            <w:tcW w:w="5449" w:type="dxa"/>
            <w:shd w:val="clear" w:color="auto" w:fill="auto"/>
          </w:tcPr>
          <w:p w:rsidRPr="004023BA" w:rsidR="007129C2" w:rsidP="00D37535" w:rsidRDefault="007129C2" w14:paraId="33B7F6F8" w14:textId="4434C8A4">
            <w:pPr>
              <w:spacing w:after="100" w:afterAutospacing="1"/>
              <w:contextualSpacing/>
              <w:rPr>
                <w:rFonts w:ascii="Calibri" w:hAnsi="Calibri" w:cs="Calibri"/>
                <w:bCs/>
              </w:rPr>
            </w:pPr>
            <w:r w:rsidRPr="004023BA">
              <w:rPr>
                <w:rFonts w:ascii="Calibri" w:hAnsi="Calibri" w:cs="Calibri"/>
                <w:bCs/>
              </w:rPr>
              <w:t>Costs (labor)</w:t>
            </w:r>
          </w:p>
        </w:tc>
        <w:tc>
          <w:tcPr>
            <w:tcW w:w="1532" w:type="dxa"/>
            <w:gridSpan w:val="2"/>
            <w:shd w:val="clear" w:color="auto" w:fill="auto"/>
            <w:vAlign w:val="center"/>
          </w:tcPr>
          <w:p w:rsidRPr="004023BA" w:rsidR="007129C2" w:rsidP="00D37535" w:rsidRDefault="00642DD1" w14:paraId="338A612F" w14:textId="0CE3C9F5">
            <w:pPr>
              <w:spacing w:after="100" w:afterAutospacing="1"/>
              <w:contextualSpacing/>
              <w:jc w:val="right"/>
              <w:rPr>
                <w:rFonts w:ascii="Calibri" w:hAnsi="Calibri" w:cs="Calibri"/>
                <w:bCs/>
              </w:rPr>
            </w:pPr>
            <w:r w:rsidRPr="004023BA">
              <w:rPr>
                <w:rFonts w:ascii="Calibri" w:hAnsi="Calibri" w:cs="Calibri"/>
                <w:bCs/>
              </w:rPr>
              <w:t>$</w:t>
            </w:r>
            <w:r w:rsidRPr="004023BA" w:rsidR="0000588D">
              <w:rPr>
                <w:rFonts w:ascii="Calibri" w:hAnsi="Calibri" w:cs="Calibri"/>
                <w:bCs/>
              </w:rPr>
              <w:t>1</w:t>
            </w:r>
            <w:r w:rsidRPr="004023BA" w:rsidR="00D87BE5">
              <w:rPr>
                <w:rFonts w:ascii="Calibri" w:hAnsi="Calibri" w:cs="Calibri"/>
                <w:bCs/>
              </w:rPr>
              <w:t>4</w:t>
            </w:r>
            <w:r w:rsidRPr="004023BA" w:rsidR="00EB0CDD">
              <w:rPr>
                <w:rFonts w:ascii="Calibri" w:hAnsi="Calibri" w:cs="Calibri"/>
                <w:bCs/>
              </w:rPr>
              <w:t>2</w:t>
            </w:r>
            <w:r w:rsidRPr="004023BA" w:rsidR="00D87BE5">
              <w:rPr>
                <w:rFonts w:ascii="Calibri" w:hAnsi="Calibri" w:cs="Calibri"/>
                <w:bCs/>
              </w:rPr>
              <w:t>,</w:t>
            </w:r>
            <w:r w:rsidRPr="004023BA" w:rsidR="00EB0CDD">
              <w:rPr>
                <w:rFonts w:ascii="Calibri" w:hAnsi="Calibri" w:cs="Calibri"/>
                <w:bCs/>
              </w:rPr>
              <w:t>108</w:t>
            </w:r>
          </w:p>
        </w:tc>
      </w:tr>
      <w:tr w:rsidRPr="00624900" w:rsidR="007129C2" w:rsidTr="004023BA" w14:paraId="3CCD0221" w14:textId="77777777">
        <w:tc>
          <w:tcPr>
            <w:tcW w:w="5449" w:type="dxa"/>
            <w:shd w:val="clear" w:color="auto" w:fill="auto"/>
          </w:tcPr>
          <w:p w:rsidRPr="004023BA" w:rsidR="007129C2" w:rsidP="00D37535" w:rsidRDefault="007129C2" w14:paraId="6559C19E" w14:textId="6DCB4573">
            <w:pPr>
              <w:spacing w:after="100" w:afterAutospacing="1"/>
              <w:contextualSpacing/>
              <w:rPr>
                <w:rFonts w:ascii="Calibri" w:hAnsi="Calibri" w:cs="Calibri"/>
                <w:bCs/>
              </w:rPr>
            </w:pPr>
            <w:r w:rsidRPr="004023BA">
              <w:rPr>
                <w:rFonts w:ascii="Calibri" w:hAnsi="Calibri" w:cs="Calibri"/>
                <w:bCs/>
              </w:rPr>
              <w:t>Costs (capital)</w:t>
            </w:r>
          </w:p>
        </w:tc>
        <w:tc>
          <w:tcPr>
            <w:tcW w:w="1532" w:type="dxa"/>
            <w:gridSpan w:val="2"/>
            <w:shd w:val="clear" w:color="auto" w:fill="auto"/>
            <w:vAlign w:val="center"/>
          </w:tcPr>
          <w:p w:rsidRPr="004023BA" w:rsidR="007129C2" w:rsidP="00D37535" w:rsidRDefault="0030711D" w14:paraId="3F65BB3E" w14:textId="52B78767">
            <w:pPr>
              <w:spacing w:after="100" w:afterAutospacing="1"/>
              <w:contextualSpacing/>
              <w:jc w:val="right"/>
              <w:rPr>
                <w:rFonts w:ascii="Calibri" w:hAnsi="Calibri" w:cs="Calibri"/>
                <w:bCs/>
              </w:rPr>
            </w:pPr>
            <w:r w:rsidRPr="004023BA">
              <w:rPr>
                <w:rFonts w:ascii="Calibri" w:hAnsi="Calibri" w:cs="Calibri"/>
                <w:bCs/>
              </w:rPr>
              <w:t>$0</w:t>
            </w:r>
          </w:p>
        </w:tc>
      </w:tr>
      <w:tr w:rsidRPr="00624900" w:rsidR="007129C2" w:rsidTr="004023BA" w14:paraId="186635C8" w14:textId="77777777">
        <w:tc>
          <w:tcPr>
            <w:tcW w:w="5449" w:type="dxa"/>
            <w:shd w:val="clear" w:color="auto" w:fill="auto"/>
          </w:tcPr>
          <w:p w:rsidRPr="004023BA" w:rsidR="007129C2" w:rsidP="00D37535" w:rsidRDefault="007129C2" w14:paraId="1FD78634" w14:textId="2A68D93F">
            <w:pPr>
              <w:spacing w:after="100" w:afterAutospacing="1"/>
              <w:contextualSpacing/>
              <w:rPr>
                <w:rFonts w:ascii="Calibri" w:hAnsi="Calibri" w:cs="Calibri"/>
                <w:bCs/>
              </w:rPr>
            </w:pPr>
            <w:r w:rsidRPr="004023BA">
              <w:rPr>
                <w:rFonts w:ascii="Calibri" w:hAnsi="Calibri" w:cs="Calibri"/>
                <w:bCs/>
              </w:rPr>
              <w:t>Costs (O&amp;M)</w:t>
            </w:r>
          </w:p>
        </w:tc>
        <w:tc>
          <w:tcPr>
            <w:tcW w:w="1532" w:type="dxa"/>
            <w:gridSpan w:val="2"/>
            <w:shd w:val="clear" w:color="auto" w:fill="auto"/>
            <w:vAlign w:val="center"/>
          </w:tcPr>
          <w:p w:rsidRPr="004023BA" w:rsidR="007129C2" w:rsidP="00D37535" w:rsidRDefault="0030711D" w14:paraId="2A44470B" w14:textId="539D9B20">
            <w:pPr>
              <w:spacing w:after="100" w:afterAutospacing="1"/>
              <w:contextualSpacing/>
              <w:jc w:val="right"/>
              <w:rPr>
                <w:rFonts w:ascii="Calibri" w:hAnsi="Calibri" w:cs="Calibri"/>
                <w:bCs/>
              </w:rPr>
            </w:pPr>
            <w:r w:rsidRPr="004023BA">
              <w:rPr>
                <w:rFonts w:ascii="Calibri" w:hAnsi="Calibri" w:cs="Calibri"/>
                <w:bCs/>
              </w:rPr>
              <w:t>$0</w:t>
            </w:r>
          </w:p>
        </w:tc>
      </w:tr>
      <w:tr w:rsidRPr="001E010D" w:rsidR="007129C2" w:rsidTr="004023BA" w14:paraId="5241D8CD" w14:textId="77777777">
        <w:tc>
          <w:tcPr>
            <w:tcW w:w="5449" w:type="dxa"/>
            <w:shd w:val="clear" w:color="auto" w:fill="auto"/>
          </w:tcPr>
          <w:p w:rsidRPr="004023BA" w:rsidR="007129C2" w:rsidP="00D37535" w:rsidRDefault="007129C2" w14:paraId="242A09C2" w14:textId="4AA61E1A">
            <w:pPr>
              <w:spacing w:after="100" w:afterAutospacing="1"/>
              <w:contextualSpacing/>
              <w:rPr>
                <w:rFonts w:ascii="Calibri" w:hAnsi="Calibri" w:cs="Calibri"/>
                <w:bCs/>
              </w:rPr>
            </w:pPr>
            <w:r w:rsidRPr="004023BA">
              <w:rPr>
                <w:rFonts w:ascii="Calibri" w:hAnsi="Calibri" w:cs="Calibri"/>
                <w:bCs/>
              </w:rPr>
              <w:t>Total costs</w:t>
            </w:r>
          </w:p>
        </w:tc>
        <w:tc>
          <w:tcPr>
            <w:tcW w:w="1532" w:type="dxa"/>
            <w:gridSpan w:val="2"/>
            <w:shd w:val="clear" w:color="auto" w:fill="auto"/>
            <w:vAlign w:val="center"/>
          </w:tcPr>
          <w:p w:rsidRPr="004023BA" w:rsidR="007129C2" w:rsidP="00D37535" w:rsidRDefault="00D3219B" w14:paraId="7BC5119E" w14:textId="5E619E82">
            <w:pPr>
              <w:spacing w:after="100" w:afterAutospacing="1"/>
              <w:contextualSpacing/>
              <w:jc w:val="right"/>
              <w:rPr>
                <w:rFonts w:ascii="Calibri" w:hAnsi="Calibri" w:cs="Calibri"/>
                <w:bCs/>
              </w:rPr>
            </w:pPr>
            <w:r w:rsidRPr="004023BA">
              <w:rPr>
                <w:rFonts w:ascii="Calibri" w:hAnsi="Calibri" w:cs="Calibri"/>
                <w:bCs/>
              </w:rPr>
              <w:t>$</w:t>
            </w:r>
            <w:r w:rsidRPr="004023BA" w:rsidR="00FC5E62">
              <w:rPr>
                <w:rFonts w:ascii="Calibri" w:hAnsi="Calibri" w:cs="Calibri"/>
                <w:bCs/>
              </w:rPr>
              <w:t>1</w:t>
            </w:r>
            <w:r w:rsidRPr="004023BA" w:rsidR="00D87BE5">
              <w:rPr>
                <w:rFonts w:ascii="Calibri" w:hAnsi="Calibri" w:cs="Calibri"/>
                <w:bCs/>
              </w:rPr>
              <w:t>4</w:t>
            </w:r>
            <w:r w:rsidRPr="004023BA" w:rsidR="008D4445">
              <w:rPr>
                <w:rFonts w:ascii="Calibri" w:hAnsi="Calibri" w:cs="Calibri"/>
                <w:bCs/>
              </w:rPr>
              <w:t>2</w:t>
            </w:r>
            <w:r w:rsidRPr="004023BA" w:rsidR="00D87BE5">
              <w:rPr>
                <w:rFonts w:ascii="Calibri" w:hAnsi="Calibri" w:cs="Calibri"/>
                <w:bCs/>
              </w:rPr>
              <w:t>,</w:t>
            </w:r>
            <w:r w:rsidRPr="004023BA" w:rsidR="008D4445">
              <w:rPr>
                <w:rFonts w:ascii="Calibri" w:hAnsi="Calibri" w:cs="Calibri"/>
                <w:bCs/>
              </w:rPr>
              <w:t>108</w:t>
            </w:r>
          </w:p>
        </w:tc>
      </w:tr>
    </w:tbl>
    <w:p w:rsidR="00D37535" w:rsidP="009419EA" w:rsidRDefault="00D37535" w14:paraId="30AE494E" w14:textId="77777777">
      <w:bookmarkStart w:name="_Toc17726052" w:id="39"/>
      <w:bookmarkStart w:name="_Toc17726053" w:id="40"/>
      <w:bookmarkEnd w:id="39"/>
      <w:bookmarkEnd w:id="40"/>
    </w:p>
    <w:p w:rsidRPr="00071899" w:rsidR="00E141D4" w:rsidP="00D37535" w:rsidRDefault="00E141D4" w14:paraId="0A54BF45" w14:textId="0A27B743">
      <w:pPr>
        <w:pStyle w:val="Style1"/>
        <w:spacing w:before="0" w:after="100" w:afterAutospacing="1" w:line="240" w:lineRule="auto"/>
        <w:contextualSpacing/>
      </w:pPr>
      <w:bookmarkStart w:name="_Toc24963894" w:id="41"/>
      <w:r w:rsidRPr="00071899">
        <w:t>Reasons for Change in Burden</w:t>
      </w:r>
      <w:bookmarkEnd w:id="41"/>
    </w:p>
    <w:p w:rsidRPr="001E010D" w:rsidR="0015573D" w:rsidP="00D37535" w:rsidRDefault="0015573D" w14:paraId="2CFF4A39" w14:textId="394F0F9E">
      <w:pPr>
        <w:spacing w:after="100" w:afterAutospacing="1" w:line="240" w:lineRule="auto"/>
        <w:contextualSpacing/>
        <w:rPr>
          <w:rFonts w:ascii="Calibri" w:hAnsi="Calibri" w:cs="Calibri"/>
        </w:rPr>
      </w:pPr>
      <w:r w:rsidRPr="00071899">
        <w:rPr>
          <w:rFonts w:ascii="Calibri" w:hAnsi="Calibri" w:cs="Calibri"/>
        </w:rPr>
        <w:t xml:space="preserve">The </w:t>
      </w:r>
      <w:r w:rsidR="00AC5049">
        <w:rPr>
          <w:rFonts w:ascii="Calibri" w:hAnsi="Calibri" w:cs="Calibri"/>
        </w:rPr>
        <w:t>new</w:t>
      </w:r>
      <w:r w:rsidRPr="00071899">
        <w:rPr>
          <w:rFonts w:ascii="Calibri" w:hAnsi="Calibri" w:cs="Calibri"/>
        </w:rPr>
        <w:t xml:space="preserve"> burden </w:t>
      </w:r>
      <w:r w:rsidR="00AC5049">
        <w:rPr>
          <w:rFonts w:ascii="Calibri" w:hAnsi="Calibri" w:cs="Calibri"/>
        </w:rPr>
        <w:t>is</w:t>
      </w:r>
      <w:r w:rsidRPr="00071899" w:rsidR="00AC5049">
        <w:rPr>
          <w:rFonts w:ascii="Calibri" w:hAnsi="Calibri" w:cs="Calibri"/>
        </w:rPr>
        <w:t xml:space="preserve"> </w:t>
      </w:r>
      <w:r w:rsidRPr="00071899">
        <w:rPr>
          <w:rFonts w:ascii="Calibri" w:hAnsi="Calibri" w:cs="Calibri"/>
        </w:rPr>
        <w:t xml:space="preserve">based on new requirements in the </w:t>
      </w:r>
      <w:r w:rsidR="008C570D">
        <w:rPr>
          <w:rFonts w:ascii="Calibri" w:hAnsi="Calibri" w:cs="Calibri"/>
        </w:rPr>
        <w:t>2021</w:t>
      </w:r>
      <w:r w:rsidR="00C15FDF">
        <w:rPr>
          <w:rFonts w:ascii="Calibri" w:hAnsi="Calibri" w:cs="Calibri"/>
        </w:rPr>
        <w:t xml:space="preserve"> </w:t>
      </w:r>
      <w:r w:rsidRPr="00071899">
        <w:rPr>
          <w:rFonts w:ascii="Calibri" w:hAnsi="Calibri" w:cs="Calibri"/>
        </w:rPr>
        <w:t xml:space="preserve">MSGP and updated </w:t>
      </w:r>
      <w:r w:rsidRPr="00071899" w:rsidR="00352049">
        <w:rPr>
          <w:rFonts w:ascii="Calibri" w:hAnsi="Calibri" w:cs="Calibri"/>
        </w:rPr>
        <w:t>costing methodology</w:t>
      </w:r>
      <w:r w:rsidR="00C15FDF">
        <w:rPr>
          <w:rFonts w:ascii="Calibri" w:hAnsi="Calibri" w:cs="Calibri"/>
        </w:rPr>
        <w:t xml:space="preserve"> </w:t>
      </w:r>
      <w:r w:rsidR="00AB7EE1">
        <w:rPr>
          <w:rFonts w:ascii="Calibri" w:hAnsi="Calibri" w:cs="Calibri"/>
        </w:rPr>
        <w:t xml:space="preserve">in the 2017 NPDES Programmatic ICR </w:t>
      </w:r>
      <w:r w:rsidR="00C15FDF">
        <w:rPr>
          <w:rFonts w:ascii="Calibri" w:hAnsi="Calibri" w:cs="Calibri"/>
        </w:rPr>
        <w:t>and include</w:t>
      </w:r>
      <w:r w:rsidR="005F6AF4">
        <w:rPr>
          <w:rFonts w:ascii="Calibri" w:hAnsi="Calibri" w:cs="Calibri"/>
        </w:rPr>
        <w:t>s</w:t>
      </w:r>
      <w:r w:rsidR="00C15FDF">
        <w:rPr>
          <w:rFonts w:ascii="Calibri" w:hAnsi="Calibri" w:cs="Calibri"/>
        </w:rPr>
        <w:t xml:space="preserve"> any changes to hourly rates</w:t>
      </w:r>
      <w:r w:rsidRPr="00071899">
        <w:rPr>
          <w:rFonts w:ascii="Calibri" w:hAnsi="Calibri" w:cs="Calibri"/>
        </w:rPr>
        <w:t>.</w:t>
      </w:r>
      <w:r w:rsidRPr="001E010D">
        <w:rPr>
          <w:rFonts w:ascii="Calibri" w:hAnsi="Calibri" w:cs="Calibri"/>
        </w:rPr>
        <w:t xml:space="preserve"> </w:t>
      </w:r>
    </w:p>
    <w:p w:rsidRPr="00CE5A0B" w:rsidR="00E141D4" w:rsidP="00D37535" w:rsidRDefault="00E141D4" w14:paraId="703A67FF" w14:textId="6FB393B9">
      <w:pPr>
        <w:pStyle w:val="Style1"/>
        <w:spacing w:before="0" w:after="100" w:afterAutospacing="1" w:line="240" w:lineRule="auto"/>
        <w:contextualSpacing/>
      </w:pPr>
      <w:bookmarkStart w:name="_Toc24963895" w:id="42"/>
      <w:r w:rsidRPr="00CE5A0B">
        <w:t>Burden Statement</w:t>
      </w:r>
      <w:bookmarkEnd w:id="42"/>
    </w:p>
    <w:p w:rsidRPr="00800221" w:rsidR="00132F1D" w:rsidP="00132F1D" w:rsidRDefault="00132F1D" w14:paraId="5EC08481" w14:textId="5639AC0C">
      <w:pPr>
        <w:spacing w:after="0" w:line="240" w:lineRule="auto"/>
        <w:rPr>
          <w:rFonts w:ascii="Calibri" w:hAnsi="Calibri" w:cs="Calibri"/>
          <w:color w:val="000000"/>
        </w:rPr>
      </w:pPr>
      <w:r w:rsidRPr="00800221">
        <w:rPr>
          <w:rFonts w:ascii="Calibri" w:hAnsi="Calibri" w:cs="Calibri"/>
          <w:color w:val="000000"/>
        </w:rPr>
        <w:t xml:space="preserve">This collection of information is approved by OMB under the Paperwork Reduction Act, 44 U.S.C. 3501 et seq. (OMB Control No. </w:t>
      </w:r>
      <w:r>
        <w:rPr>
          <w:rFonts w:ascii="Calibri" w:hAnsi="Calibri" w:cs="Calibri"/>
          <w:color w:val="000000"/>
        </w:rPr>
        <w:t>2040-0300</w:t>
      </w:r>
      <w:r w:rsidRPr="00800221">
        <w:rPr>
          <w:rFonts w:ascii="Calibri" w:hAnsi="Calibri" w:cs="Calibri"/>
          <w:color w:val="000000"/>
        </w:rPr>
        <w:t>). Responses to this collection of information are mandatory (</w:t>
      </w:r>
      <w:r>
        <w:rPr>
          <w:rFonts w:ascii="Calibri" w:hAnsi="Calibri" w:cs="Calibri"/>
          <w:color w:val="000000"/>
        </w:rPr>
        <w:t>40</w:t>
      </w:r>
      <w:r w:rsidRPr="00800221">
        <w:rPr>
          <w:rFonts w:ascii="Calibri" w:hAnsi="Calibri" w:cs="Calibri"/>
          <w:color w:val="000000"/>
        </w:rPr>
        <w:t xml:space="preserve"> CFR </w:t>
      </w:r>
      <w:r>
        <w:rPr>
          <w:rFonts w:ascii="Calibri" w:hAnsi="Calibri" w:cs="Calibri"/>
          <w:color w:val="000000"/>
        </w:rPr>
        <w:t>122.26</w:t>
      </w:r>
      <w:r w:rsidR="00975679">
        <w:rPr>
          <w:rFonts w:ascii="Calibri" w:hAnsi="Calibri" w:cs="Calibri"/>
          <w:color w:val="000000"/>
        </w:rPr>
        <w:t>)</w:t>
      </w:r>
      <w:r w:rsidRPr="00800221">
        <w:rPr>
          <w:rFonts w:ascii="Calibri" w:hAnsi="Calibri" w:cs="Calibri"/>
          <w:color w:val="000000"/>
        </w:rPr>
        <w:t xml:space="preserve">. An agency may not conduct or sponsor, and a person is not required to respond to, a collection </w:t>
      </w:r>
      <w:r w:rsidRPr="00800221">
        <w:rPr>
          <w:rFonts w:ascii="Calibri" w:hAnsi="Calibri" w:cs="Calibri"/>
          <w:color w:val="000000"/>
        </w:rPr>
        <w:lastRenderedPageBreak/>
        <w:t xml:space="preserve">of information unless it displays a currently valid OMB control number. </w:t>
      </w:r>
      <w:r w:rsidRPr="00255BD8" w:rsidR="00291EEF">
        <w:rPr>
          <w:rFonts w:ascii="Calibri" w:hAnsi="Calibri" w:cs="Calibri"/>
        </w:rPr>
        <w:t xml:space="preserve">The calculations made for this ICR cover the estimated burden and costs for both EPA and MSGP respondents. </w:t>
      </w:r>
      <w:r w:rsidR="00291EEF">
        <w:rPr>
          <w:rFonts w:ascii="Calibri" w:hAnsi="Calibri" w:cs="Calibri"/>
        </w:rPr>
        <w:t>The 2021 MSGP has an estimated increase in annual labor burden of 38,210 hours at a labor cost of $724,853. The estimated increase in Agency labor burden is 1,920 hours annually at a labor cost of $90,981. For respondents, t</w:t>
      </w:r>
      <w:r w:rsidRPr="00255BD8" w:rsidR="00291EEF">
        <w:rPr>
          <w:rFonts w:ascii="Calibri" w:hAnsi="Calibri" w:cs="Calibri"/>
        </w:rPr>
        <w:t xml:space="preserve">his ICR estimates a burden of </w:t>
      </w:r>
      <w:r w:rsidR="00291EEF">
        <w:rPr>
          <w:rFonts w:ascii="Calibri" w:hAnsi="Calibri" w:cs="Calibri"/>
        </w:rPr>
        <w:t>68,460</w:t>
      </w:r>
      <w:r w:rsidRPr="00255BD8" w:rsidR="00291EEF">
        <w:rPr>
          <w:rFonts w:ascii="Calibri" w:hAnsi="Calibri" w:cs="Calibri"/>
        </w:rPr>
        <w:t xml:space="preserve"> hours annually for 2,</w:t>
      </w:r>
      <w:r w:rsidR="00291EEF">
        <w:rPr>
          <w:rFonts w:ascii="Calibri" w:hAnsi="Calibri" w:cs="Calibri"/>
        </w:rPr>
        <w:t>508</w:t>
      </w:r>
      <w:r w:rsidRPr="00255BD8" w:rsidR="00291EEF">
        <w:rPr>
          <w:rFonts w:ascii="Calibri" w:hAnsi="Calibri" w:cs="Calibri"/>
        </w:rPr>
        <w:t xml:space="preserve"> respondents (operators) at a cost of $2,</w:t>
      </w:r>
      <w:r w:rsidR="00291EEF">
        <w:rPr>
          <w:rFonts w:ascii="Calibri" w:hAnsi="Calibri" w:cs="Calibri"/>
        </w:rPr>
        <w:t>461,813</w:t>
      </w:r>
      <w:r w:rsidRPr="00255BD8" w:rsidR="00291EEF">
        <w:rPr>
          <w:rFonts w:ascii="Calibri" w:hAnsi="Calibri" w:cs="Calibri"/>
        </w:rPr>
        <w:t xml:space="preserve">. </w:t>
      </w:r>
      <w:r w:rsidRPr="00800221">
        <w:rPr>
          <w:rFonts w:ascii="Calibri" w:hAnsi="Calibri" w:cs="Calibri"/>
          <w:color w:val="000000"/>
        </w:rPr>
        <w:t xml:space="preserve">The public reporting and recordkeeping burden for this collection of information is estimated </w:t>
      </w:r>
      <w:r w:rsidR="00024808">
        <w:rPr>
          <w:rFonts w:ascii="Calibri" w:hAnsi="Calibri" w:cs="Calibri"/>
          <w:color w:val="000000"/>
        </w:rPr>
        <w:t xml:space="preserve">to average 27.3 hours </w:t>
      </w:r>
      <w:r w:rsidRPr="00800221">
        <w:rPr>
          <w:rFonts w:ascii="Calibri" w:hAnsi="Calibri" w:cs="Calibri"/>
          <w:color w:val="000000"/>
        </w:rPr>
        <w:t>per response</w:t>
      </w:r>
      <w:r w:rsidR="00024808">
        <w:rPr>
          <w:rFonts w:ascii="Calibri" w:hAnsi="Calibri" w:cs="Calibri"/>
          <w:color w:val="000000"/>
        </w:rPr>
        <w:t xml:space="preserve"> (1.86 hours per response)</w:t>
      </w:r>
      <w:r w:rsidRPr="00800221">
        <w:rPr>
          <w:rFonts w:ascii="Calibri" w:hAnsi="Calibri" w:cs="Calibri"/>
          <w:color w:val="000000"/>
        </w:rPr>
        <w:t xml:space="preserv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291EEF" w:rsidP="00D37535" w:rsidRDefault="00291EEF" w14:paraId="486F3571" w14:textId="77777777">
      <w:pPr>
        <w:pStyle w:val="Default"/>
        <w:spacing w:after="100" w:afterAutospacing="1"/>
        <w:contextualSpacing/>
        <w:rPr>
          <w:rFonts w:ascii="Calibri" w:hAnsi="Calibri" w:cs="Calibri"/>
          <w:sz w:val="22"/>
          <w:szCs w:val="22"/>
        </w:rPr>
      </w:pPr>
    </w:p>
    <w:p w:rsidRPr="001E010D" w:rsidR="00422E8E" w:rsidP="00D37535" w:rsidRDefault="00422E8E" w14:paraId="5FAFCAE9" w14:textId="1055D8EA">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E010D" w:rsidR="00422E8E" w:rsidP="00D37535" w:rsidRDefault="000F2443" w14:paraId="6F267D8D" w14:textId="4AE8FFFE">
      <w:pPr>
        <w:spacing w:after="100" w:afterAutospacing="1" w:line="240" w:lineRule="auto"/>
        <w:contextualSpacing/>
        <w:rPr>
          <w:rFonts w:ascii="Calibri" w:hAnsi="Calibri" w:cs="Calibri"/>
          <w:b/>
        </w:rPr>
      </w:pPr>
      <w:r>
        <w:rPr>
          <w:rFonts w:ascii="Calibri" w:hAnsi="Calibri" w:cs="Calibri"/>
        </w:rPr>
        <w:br/>
      </w:r>
    </w:p>
    <w:p w:rsidR="00FE2E12" w:rsidP="00D37535" w:rsidRDefault="00C70CA7" w14:paraId="45516848" w14:textId="22B2E4E0">
      <w:pPr>
        <w:spacing w:after="100" w:afterAutospacing="1" w:line="240" w:lineRule="auto"/>
        <w:contextualSpacing/>
        <w:rPr>
          <w:rFonts w:ascii="Calibri" w:hAnsi="Calibri" w:cs="Calibri"/>
          <w:b/>
        </w:rPr>
      </w:pPr>
      <w:r>
        <w:rPr>
          <w:rFonts w:ascii="Calibri" w:hAnsi="Calibri" w:cs="Calibri"/>
          <w:b/>
        </w:rPr>
        <w:t>Attachments:</w:t>
      </w:r>
    </w:p>
    <w:p w:rsidR="00C70CA7" w:rsidP="00C70CA7" w:rsidRDefault="00B96FB2" w14:paraId="44031BB3" w14:textId="683F5CAE">
      <w:pPr>
        <w:pStyle w:val="ListParagraph"/>
        <w:numPr>
          <w:ilvl w:val="0"/>
          <w:numId w:val="25"/>
        </w:numPr>
        <w:spacing w:after="100" w:afterAutospacing="1" w:line="240" w:lineRule="auto"/>
        <w:rPr>
          <w:rFonts w:ascii="Calibri" w:hAnsi="Calibri" w:cs="Calibri"/>
          <w:bCs/>
        </w:rPr>
      </w:pPr>
      <w:r w:rsidRPr="00B96FB2">
        <w:rPr>
          <w:rFonts w:ascii="Calibri" w:hAnsi="Calibri" w:cs="Calibri"/>
          <w:bCs/>
        </w:rPr>
        <w:t>Notice of Intent</w:t>
      </w:r>
      <w:r>
        <w:rPr>
          <w:rFonts w:ascii="Calibri" w:hAnsi="Calibri" w:cs="Calibri"/>
          <w:bCs/>
        </w:rPr>
        <w:t xml:space="preserve"> (NOI)</w:t>
      </w:r>
      <w:r w:rsidR="002215B5">
        <w:rPr>
          <w:rFonts w:ascii="Calibri" w:hAnsi="Calibri" w:cs="Calibri"/>
          <w:bCs/>
        </w:rPr>
        <w:t xml:space="preserve"> Form</w:t>
      </w:r>
    </w:p>
    <w:p w:rsidR="002215B5" w:rsidP="002215B5" w:rsidRDefault="00A34EEE" w14:paraId="0444FA94" w14:textId="661FC409">
      <w:pPr>
        <w:pStyle w:val="ListParagraph"/>
        <w:numPr>
          <w:ilvl w:val="0"/>
          <w:numId w:val="25"/>
        </w:numPr>
        <w:spacing w:after="100" w:afterAutospacing="1" w:line="240" w:lineRule="auto"/>
        <w:rPr>
          <w:rFonts w:ascii="Calibri" w:hAnsi="Calibri" w:cs="Calibri"/>
          <w:bCs/>
        </w:rPr>
      </w:pPr>
      <w:r>
        <w:rPr>
          <w:rFonts w:ascii="Calibri" w:hAnsi="Calibri" w:cs="Calibri"/>
          <w:bCs/>
        </w:rPr>
        <w:t>E</w:t>
      </w:r>
      <w:r w:rsidR="00543555">
        <w:rPr>
          <w:rFonts w:ascii="Calibri" w:hAnsi="Calibri" w:cs="Calibri"/>
          <w:bCs/>
        </w:rPr>
        <w:t>ndangered Species Protection -</w:t>
      </w:r>
      <w:r>
        <w:rPr>
          <w:rFonts w:ascii="Calibri" w:hAnsi="Calibri" w:cs="Calibri"/>
          <w:bCs/>
        </w:rPr>
        <w:t xml:space="preserve"> </w:t>
      </w:r>
      <w:r w:rsidR="002215B5">
        <w:rPr>
          <w:rFonts w:ascii="Calibri" w:hAnsi="Calibri" w:cs="Calibri"/>
          <w:bCs/>
        </w:rPr>
        <w:t>Criterion C3 Eligibility Form</w:t>
      </w:r>
    </w:p>
    <w:p w:rsidR="00B96FB2" w:rsidP="00C70CA7" w:rsidRDefault="00B96FB2" w14:paraId="2F74F94F" w14:textId="3A7CAA6B">
      <w:pPr>
        <w:pStyle w:val="ListParagraph"/>
        <w:numPr>
          <w:ilvl w:val="0"/>
          <w:numId w:val="25"/>
        </w:numPr>
        <w:spacing w:after="100" w:afterAutospacing="1" w:line="240" w:lineRule="auto"/>
        <w:rPr>
          <w:rFonts w:ascii="Calibri" w:hAnsi="Calibri" w:cs="Calibri"/>
          <w:bCs/>
        </w:rPr>
      </w:pPr>
      <w:r>
        <w:rPr>
          <w:rFonts w:ascii="Calibri" w:hAnsi="Calibri" w:cs="Calibri"/>
          <w:bCs/>
        </w:rPr>
        <w:t>Notice of Termination (NOT)</w:t>
      </w:r>
      <w:r w:rsidR="004D13DF">
        <w:rPr>
          <w:rFonts w:ascii="Calibri" w:hAnsi="Calibri" w:cs="Calibri"/>
          <w:bCs/>
        </w:rPr>
        <w:t xml:space="preserve"> Form</w:t>
      </w:r>
    </w:p>
    <w:p w:rsidR="00B96FB2" w:rsidP="00C70CA7" w:rsidRDefault="00B96FB2" w14:paraId="72465DD9" w14:textId="2BE3438A">
      <w:pPr>
        <w:pStyle w:val="ListParagraph"/>
        <w:numPr>
          <w:ilvl w:val="0"/>
          <w:numId w:val="25"/>
        </w:numPr>
        <w:spacing w:after="100" w:afterAutospacing="1" w:line="240" w:lineRule="auto"/>
        <w:rPr>
          <w:rFonts w:ascii="Calibri" w:hAnsi="Calibri" w:cs="Calibri"/>
          <w:bCs/>
        </w:rPr>
      </w:pPr>
      <w:r>
        <w:rPr>
          <w:rFonts w:ascii="Calibri" w:hAnsi="Calibri" w:cs="Calibri"/>
          <w:bCs/>
        </w:rPr>
        <w:t>Discharge Monitoring Repo</w:t>
      </w:r>
      <w:r w:rsidR="00C20120">
        <w:rPr>
          <w:rFonts w:ascii="Calibri" w:hAnsi="Calibri" w:cs="Calibri"/>
          <w:bCs/>
        </w:rPr>
        <w:t>r</w:t>
      </w:r>
      <w:r>
        <w:rPr>
          <w:rFonts w:ascii="Calibri" w:hAnsi="Calibri" w:cs="Calibri"/>
          <w:bCs/>
        </w:rPr>
        <w:t>t (DMR)</w:t>
      </w:r>
      <w:r w:rsidR="00C20120">
        <w:rPr>
          <w:rFonts w:ascii="Calibri" w:hAnsi="Calibri" w:cs="Calibri"/>
          <w:bCs/>
        </w:rPr>
        <w:t xml:space="preserve"> Form</w:t>
      </w:r>
    </w:p>
    <w:p w:rsidR="00B96FB2" w:rsidP="00C70CA7" w:rsidRDefault="00B96FB2" w14:paraId="6545C9D3" w14:textId="5F36AC99">
      <w:pPr>
        <w:pStyle w:val="ListParagraph"/>
        <w:numPr>
          <w:ilvl w:val="0"/>
          <w:numId w:val="25"/>
        </w:numPr>
        <w:spacing w:after="100" w:afterAutospacing="1" w:line="240" w:lineRule="auto"/>
        <w:rPr>
          <w:rFonts w:ascii="Calibri" w:hAnsi="Calibri" w:cs="Calibri"/>
          <w:bCs/>
        </w:rPr>
      </w:pPr>
      <w:r>
        <w:rPr>
          <w:rFonts w:ascii="Calibri" w:hAnsi="Calibri" w:cs="Calibri"/>
          <w:bCs/>
        </w:rPr>
        <w:t>Annual Report</w:t>
      </w:r>
      <w:r w:rsidR="004A65A8">
        <w:rPr>
          <w:rFonts w:ascii="Calibri" w:hAnsi="Calibri" w:cs="Calibri"/>
          <w:bCs/>
        </w:rPr>
        <w:t xml:space="preserve"> Form</w:t>
      </w:r>
    </w:p>
    <w:p w:rsidRPr="00B96FB2" w:rsidR="00004BA2" w:rsidP="00C70CA7" w:rsidRDefault="00A34EEE" w14:paraId="1C1EFFCC" w14:textId="425E2BF8">
      <w:pPr>
        <w:pStyle w:val="ListParagraph"/>
        <w:numPr>
          <w:ilvl w:val="0"/>
          <w:numId w:val="25"/>
        </w:numPr>
        <w:spacing w:after="100" w:afterAutospacing="1" w:line="240" w:lineRule="auto"/>
        <w:rPr>
          <w:rFonts w:ascii="Calibri" w:hAnsi="Calibri" w:cs="Calibri"/>
          <w:bCs/>
        </w:rPr>
      </w:pPr>
      <w:r>
        <w:rPr>
          <w:rFonts w:ascii="Calibri" w:hAnsi="Calibri" w:cs="Calibri"/>
          <w:bCs/>
        </w:rPr>
        <w:t>No Exposure Certification (NEC) for Exclusion from MSGP</w:t>
      </w:r>
    </w:p>
    <w:p w:rsidRPr="001E010D" w:rsidR="00C70CA7" w:rsidP="00D37535" w:rsidRDefault="00C70CA7" w14:paraId="0D4E08B6" w14:textId="77777777">
      <w:pPr>
        <w:spacing w:after="100" w:afterAutospacing="1" w:line="240" w:lineRule="auto"/>
        <w:contextualSpacing/>
        <w:rPr>
          <w:rFonts w:ascii="Calibri" w:hAnsi="Calibri" w:cs="Calibri"/>
          <w:b/>
        </w:rPr>
      </w:pPr>
    </w:p>
    <w:sectPr w:rsidRPr="001E010D" w:rsidR="00C70CA7" w:rsidSect="0009432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AE50" w14:textId="77777777" w:rsidR="00AE755C" w:rsidRDefault="00AE755C" w:rsidP="00F367F8">
      <w:pPr>
        <w:spacing w:after="0" w:line="240" w:lineRule="auto"/>
      </w:pPr>
      <w:r>
        <w:separator/>
      </w:r>
    </w:p>
  </w:endnote>
  <w:endnote w:type="continuationSeparator" w:id="0">
    <w:p w14:paraId="618B7EEA" w14:textId="77777777" w:rsidR="00AE755C" w:rsidRDefault="00AE755C" w:rsidP="00F367F8">
      <w:pPr>
        <w:spacing w:after="0" w:line="240" w:lineRule="auto"/>
      </w:pPr>
      <w:r>
        <w:continuationSeparator/>
      </w:r>
    </w:p>
  </w:endnote>
  <w:endnote w:type="continuationNotice" w:id="1">
    <w:p w14:paraId="2F83A7FC" w14:textId="77777777" w:rsidR="00AE755C" w:rsidRDefault="00AE7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701F" w14:textId="162CBB27" w:rsidR="00ED2FBB" w:rsidRDefault="00ED2FBB">
    <w:pPr>
      <w:pStyle w:val="Footer"/>
      <w:jc w:val="right"/>
    </w:pPr>
  </w:p>
  <w:p w14:paraId="243DD4F6" w14:textId="77777777" w:rsidR="00ED2FBB" w:rsidRDefault="00ED2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625529"/>
      <w:docPartObj>
        <w:docPartGallery w:val="Page Numbers (Bottom of Page)"/>
        <w:docPartUnique/>
      </w:docPartObj>
    </w:sdtPr>
    <w:sdtEndPr>
      <w:rPr>
        <w:noProof/>
      </w:rPr>
    </w:sdtEndPr>
    <w:sdtContent>
      <w:p w14:paraId="4B161101" w14:textId="5CC019D6" w:rsidR="00ED2FBB" w:rsidRDefault="00ED2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722A4" w14:textId="77777777" w:rsidR="00ED2FBB" w:rsidRDefault="00ED2FBB">
    <w:pPr>
      <w:pStyle w:val="Footer"/>
    </w:pPr>
  </w:p>
  <w:p w14:paraId="3581AFC8" w14:textId="77777777" w:rsidR="00ED2FBB" w:rsidRDefault="00ED2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B94FD" w14:textId="77777777" w:rsidR="00AE755C" w:rsidRDefault="00AE755C" w:rsidP="00F367F8">
      <w:pPr>
        <w:spacing w:after="0" w:line="240" w:lineRule="auto"/>
      </w:pPr>
      <w:r>
        <w:separator/>
      </w:r>
    </w:p>
  </w:footnote>
  <w:footnote w:type="continuationSeparator" w:id="0">
    <w:p w14:paraId="4DAF4F6D" w14:textId="77777777" w:rsidR="00AE755C" w:rsidRDefault="00AE755C" w:rsidP="00F367F8">
      <w:pPr>
        <w:spacing w:after="0" w:line="240" w:lineRule="auto"/>
      </w:pPr>
      <w:r>
        <w:continuationSeparator/>
      </w:r>
    </w:p>
  </w:footnote>
  <w:footnote w:type="continuationNotice" w:id="1">
    <w:p w14:paraId="28CBDBCA" w14:textId="77777777" w:rsidR="00AE755C" w:rsidRDefault="00AE755C">
      <w:pPr>
        <w:spacing w:after="0" w:line="240" w:lineRule="auto"/>
      </w:pPr>
    </w:p>
  </w:footnote>
  <w:footnote w:id="2">
    <w:p w14:paraId="6B68A52B" w14:textId="5639F635" w:rsidR="00225EE0" w:rsidRDefault="00225EE0">
      <w:pPr>
        <w:pStyle w:val="FootnoteText"/>
      </w:pPr>
      <w:r>
        <w:rPr>
          <w:rStyle w:val="FootnoteReference"/>
        </w:rPr>
        <w:footnoteRef/>
      </w:r>
      <w:r>
        <w:t xml:space="preserve"> The 0.1 hours </w:t>
      </w:r>
      <w:r w:rsidR="00CC4E24">
        <w:t xml:space="preserve">of </w:t>
      </w:r>
      <w:r>
        <w:t xml:space="preserve">additional burden </w:t>
      </w:r>
      <w:r w:rsidR="00CC4E24">
        <w:t xml:space="preserve">was calculated </w:t>
      </w:r>
      <w:r w:rsidR="001C4EEA">
        <w:t xml:space="preserve">by </w:t>
      </w:r>
      <w:r w:rsidR="00540AA9">
        <w:t>distr</w:t>
      </w:r>
      <w:r w:rsidR="00CE2C0A">
        <w:t>ibut</w:t>
      </w:r>
      <w:r w:rsidR="001C4EEA">
        <w:t>ing</w:t>
      </w:r>
      <w:r>
        <w:t xml:space="preserve"> </w:t>
      </w:r>
      <w:r w:rsidR="001C4EEA">
        <w:t xml:space="preserve">the estimated burden </w:t>
      </w:r>
      <w:r w:rsidR="00CE2C0A">
        <w:t>across all respondents</w:t>
      </w:r>
      <w:r>
        <w:t xml:space="preserve">. </w:t>
      </w:r>
      <w:r w:rsidR="00CC4E24">
        <w:t xml:space="preserve">The estimated </w:t>
      </w:r>
      <w:r>
        <w:t xml:space="preserve">500 </w:t>
      </w:r>
      <w:r w:rsidR="00CC4E24">
        <w:t xml:space="preserve">operators in New Mexico </w:t>
      </w:r>
      <w:r w:rsidR="001C4EEA">
        <w:t>will incur a total of approximately 250 hours of burden to respond to these new questions</w:t>
      </w:r>
      <w:r w:rsidR="009644DC">
        <w:t>.</w:t>
      </w:r>
      <w:r w:rsidR="001C4EEA">
        <w:t xml:space="preserve"> 250 hours distributed across 2,508 respondents </w:t>
      </w:r>
      <w:r w:rsidR="00DA6600">
        <w:t>is</w:t>
      </w:r>
      <w:r>
        <w:t xml:space="preserve"> approximately </w:t>
      </w:r>
      <w:r w:rsidR="001C4EEA">
        <w:t xml:space="preserve">0.1 hours, or </w:t>
      </w:r>
      <w:r w:rsidR="00F86E69">
        <w:t>6</w:t>
      </w:r>
      <w:r w:rsidR="009644DC">
        <w:t xml:space="preserve"> minutes</w:t>
      </w:r>
      <w:r w:rsidR="001C4EEA">
        <w:t>,</w:t>
      </w:r>
      <w:r w:rsidR="009644DC">
        <w:t xml:space="preserve"> of burden </w:t>
      </w:r>
      <w:r w:rsidR="001C4EEA">
        <w:t>per response per respondent. [(500 NM respondents x 0.5 hours per response)/2,</w:t>
      </w:r>
      <w:r w:rsidR="009644DC">
        <w:t>5</w:t>
      </w:r>
      <w:r w:rsidR="001C4EEA">
        <w:t>08 total respondents</w:t>
      </w:r>
      <w:r w:rsidR="009644DC">
        <w:t xml:space="preserve"> = </w:t>
      </w:r>
      <w:r w:rsidR="001C4EEA">
        <w:t>0.1 hours]</w:t>
      </w:r>
      <w:r w:rsidR="009644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7E88" w14:textId="67B19341" w:rsidR="00ED2FBB" w:rsidRDefault="00ED2FBB" w:rsidP="00F367F8">
    <w:pPr>
      <w:pStyle w:val="Header"/>
      <w:jc w:val="right"/>
    </w:pPr>
    <w:r>
      <w:t>2021 MSGP ICR 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CB5"/>
    <w:multiLevelType w:val="hybridMultilevel"/>
    <w:tmpl w:val="580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629E"/>
    <w:multiLevelType w:val="hybridMultilevel"/>
    <w:tmpl w:val="81DA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1DA4"/>
    <w:multiLevelType w:val="hybridMultilevel"/>
    <w:tmpl w:val="979C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50478B"/>
    <w:multiLevelType w:val="hybridMultilevel"/>
    <w:tmpl w:val="CA3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A2371"/>
    <w:multiLevelType w:val="hybridMultilevel"/>
    <w:tmpl w:val="CDA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A33E5"/>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1019F"/>
    <w:multiLevelType w:val="hybridMultilevel"/>
    <w:tmpl w:val="C3B6D7C0"/>
    <w:lvl w:ilvl="0" w:tplc="0A48C3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2040C"/>
    <w:multiLevelType w:val="hybridMultilevel"/>
    <w:tmpl w:val="F9A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1682D"/>
    <w:multiLevelType w:val="hybridMultilevel"/>
    <w:tmpl w:val="3CD88C8C"/>
    <w:lvl w:ilvl="0" w:tplc="2B8AA8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E164A"/>
    <w:multiLevelType w:val="hybridMultilevel"/>
    <w:tmpl w:val="E416A9BA"/>
    <w:lvl w:ilvl="0" w:tplc="D9983A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A3F4C"/>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C36DE"/>
    <w:multiLevelType w:val="hybridMultilevel"/>
    <w:tmpl w:val="1F241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859FA"/>
    <w:multiLevelType w:val="hybridMultilevel"/>
    <w:tmpl w:val="2FA6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51C5"/>
    <w:multiLevelType w:val="hybridMultilevel"/>
    <w:tmpl w:val="5FB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72F4D"/>
    <w:multiLevelType w:val="hybridMultilevel"/>
    <w:tmpl w:val="C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A3A11"/>
    <w:multiLevelType w:val="hybridMultilevel"/>
    <w:tmpl w:val="C8B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D27542"/>
    <w:multiLevelType w:val="hybridMultilevel"/>
    <w:tmpl w:val="876E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E6190"/>
    <w:multiLevelType w:val="hybridMultilevel"/>
    <w:tmpl w:val="C5BE9484"/>
    <w:lvl w:ilvl="0" w:tplc="27AE9BCE">
      <w:start w:val="1"/>
      <w:numFmt w:val="upperRoman"/>
      <w:pStyle w:val="Heading1"/>
      <w:lvlText w:val="%1."/>
      <w:lvlJc w:val="left"/>
      <w:pPr>
        <w:ind w:left="0" w:firstLine="0"/>
      </w:pPr>
    </w:lvl>
    <w:lvl w:ilvl="1" w:tplc="AF968714">
      <w:start w:val="1"/>
      <w:numFmt w:val="upperLetter"/>
      <w:pStyle w:val="Heading2"/>
      <w:lvlText w:val="%2."/>
      <w:lvlJc w:val="left"/>
      <w:pPr>
        <w:ind w:left="720" w:firstLine="0"/>
      </w:pPr>
    </w:lvl>
    <w:lvl w:ilvl="2" w:tplc="A2B8E648">
      <w:start w:val="1"/>
      <w:numFmt w:val="decimal"/>
      <w:pStyle w:val="Heading3"/>
      <w:lvlText w:val="%3."/>
      <w:lvlJc w:val="left"/>
      <w:pPr>
        <w:ind w:left="1440" w:firstLine="0"/>
      </w:pPr>
    </w:lvl>
    <w:lvl w:ilvl="3" w:tplc="F1724424">
      <w:start w:val="1"/>
      <w:numFmt w:val="lowerLetter"/>
      <w:pStyle w:val="Heading4"/>
      <w:lvlText w:val="%4)"/>
      <w:lvlJc w:val="left"/>
      <w:pPr>
        <w:ind w:left="2160" w:firstLine="0"/>
      </w:pPr>
    </w:lvl>
    <w:lvl w:ilvl="4" w:tplc="72209346">
      <w:start w:val="1"/>
      <w:numFmt w:val="decimal"/>
      <w:pStyle w:val="Heading5"/>
      <w:lvlText w:val="(%5)"/>
      <w:lvlJc w:val="left"/>
      <w:pPr>
        <w:ind w:left="2880" w:firstLine="0"/>
      </w:pPr>
    </w:lvl>
    <w:lvl w:ilvl="5" w:tplc="5B7070B4">
      <w:start w:val="1"/>
      <w:numFmt w:val="lowerLetter"/>
      <w:pStyle w:val="Heading6"/>
      <w:lvlText w:val="(%6)"/>
      <w:lvlJc w:val="left"/>
      <w:pPr>
        <w:ind w:left="3600" w:firstLine="0"/>
      </w:pPr>
    </w:lvl>
    <w:lvl w:ilvl="6" w:tplc="31783D60">
      <w:start w:val="1"/>
      <w:numFmt w:val="lowerRoman"/>
      <w:pStyle w:val="Heading7"/>
      <w:lvlText w:val="(%7)"/>
      <w:lvlJc w:val="left"/>
      <w:pPr>
        <w:ind w:left="4320" w:firstLine="0"/>
      </w:pPr>
    </w:lvl>
    <w:lvl w:ilvl="7" w:tplc="DB98D91E">
      <w:start w:val="1"/>
      <w:numFmt w:val="lowerLetter"/>
      <w:pStyle w:val="Heading8"/>
      <w:lvlText w:val="(%8)"/>
      <w:lvlJc w:val="left"/>
      <w:pPr>
        <w:ind w:left="5040" w:firstLine="0"/>
      </w:pPr>
    </w:lvl>
    <w:lvl w:ilvl="8" w:tplc="DE1ED2CA">
      <w:start w:val="1"/>
      <w:numFmt w:val="lowerRoman"/>
      <w:pStyle w:val="Heading9"/>
      <w:lvlText w:val="(%9)"/>
      <w:lvlJc w:val="left"/>
      <w:pPr>
        <w:ind w:left="5760" w:firstLine="0"/>
      </w:pPr>
    </w:lvl>
  </w:abstractNum>
  <w:abstractNum w:abstractNumId="18" w15:restartNumberingAfterBreak="0">
    <w:nsid w:val="5A066ADA"/>
    <w:multiLevelType w:val="hybridMultilevel"/>
    <w:tmpl w:val="EEF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46012"/>
    <w:multiLevelType w:val="hybridMultilevel"/>
    <w:tmpl w:val="B310F770"/>
    <w:lvl w:ilvl="0" w:tplc="09B02682">
      <w:start w:val="1"/>
      <w:numFmt w:val="bullet"/>
      <w:lvlText w:val=""/>
      <w:lvlJc w:val="left"/>
      <w:pPr>
        <w:tabs>
          <w:tab w:val="num" w:pos="720"/>
        </w:tabs>
        <w:ind w:left="720" w:hanging="360"/>
      </w:pPr>
      <w:rPr>
        <w:rFonts w:ascii="Symbol" w:hAnsi="Symbol" w:hint="default"/>
        <w:sz w:val="20"/>
      </w:rPr>
    </w:lvl>
    <w:lvl w:ilvl="1" w:tplc="A8D44B30" w:tentative="1">
      <w:start w:val="1"/>
      <w:numFmt w:val="bullet"/>
      <w:lvlText w:val=""/>
      <w:lvlJc w:val="left"/>
      <w:pPr>
        <w:tabs>
          <w:tab w:val="num" w:pos="1440"/>
        </w:tabs>
        <w:ind w:left="1440" w:hanging="360"/>
      </w:pPr>
      <w:rPr>
        <w:rFonts w:ascii="Symbol" w:hAnsi="Symbol" w:hint="default"/>
        <w:sz w:val="20"/>
      </w:rPr>
    </w:lvl>
    <w:lvl w:ilvl="2" w:tplc="F39679D6" w:tentative="1">
      <w:start w:val="1"/>
      <w:numFmt w:val="bullet"/>
      <w:lvlText w:val=""/>
      <w:lvlJc w:val="left"/>
      <w:pPr>
        <w:tabs>
          <w:tab w:val="num" w:pos="2160"/>
        </w:tabs>
        <w:ind w:left="2160" w:hanging="360"/>
      </w:pPr>
      <w:rPr>
        <w:rFonts w:ascii="Symbol" w:hAnsi="Symbol" w:hint="default"/>
        <w:sz w:val="20"/>
      </w:rPr>
    </w:lvl>
    <w:lvl w:ilvl="3" w:tplc="966082D2" w:tentative="1">
      <w:start w:val="1"/>
      <w:numFmt w:val="bullet"/>
      <w:lvlText w:val=""/>
      <w:lvlJc w:val="left"/>
      <w:pPr>
        <w:tabs>
          <w:tab w:val="num" w:pos="2880"/>
        </w:tabs>
        <w:ind w:left="2880" w:hanging="360"/>
      </w:pPr>
      <w:rPr>
        <w:rFonts w:ascii="Symbol" w:hAnsi="Symbol" w:hint="default"/>
        <w:sz w:val="20"/>
      </w:rPr>
    </w:lvl>
    <w:lvl w:ilvl="4" w:tplc="4AA0300A" w:tentative="1">
      <w:start w:val="1"/>
      <w:numFmt w:val="bullet"/>
      <w:lvlText w:val=""/>
      <w:lvlJc w:val="left"/>
      <w:pPr>
        <w:tabs>
          <w:tab w:val="num" w:pos="3600"/>
        </w:tabs>
        <w:ind w:left="3600" w:hanging="360"/>
      </w:pPr>
      <w:rPr>
        <w:rFonts w:ascii="Symbol" w:hAnsi="Symbol" w:hint="default"/>
        <w:sz w:val="20"/>
      </w:rPr>
    </w:lvl>
    <w:lvl w:ilvl="5" w:tplc="7486AD7A" w:tentative="1">
      <w:start w:val="1"/>
      <w:numFmt w:val="bullet"/>
      <w:lvlText w:val=""/>
      <w:lvlJc w:val="left"/>
      <w:pPr>
        <w:tabs>
          <w:tab w:val="num" w:pos="4320"/>
        </w:tabs>
        <w:ind w:left="4320" w:hanging="360"/>
      </w:pPr>
      <w:rPr>
        <w:rFonts w:ascii="Symbol" w:hAnsi="Symbol" w:hint="default"/>
        <w:sz w:val="20"/>
      </w:rPr>
    </w:lvl>
    <w:lvl w:ilvl="6" w:tplc="A72E0594" w:tentative="1">
      <w:start w:val="1"/>
      <w:numFmt w:val="bullet"/>
      <w:lvlText w:val=""/>
      <w:lvlJc w:val="left"/>
      <w:pPr>
        <w:tabs>
          <w:tab w:val="num" w:pos="5040"/>
        </w:tabs>
        <w:ind w:left="5040" w:hanging="360"/>
      </w:pPr>
      <w:rPr>
        <w:rFonts w:ascii="Symbol" w:hAnsi="Symbol" w:hint="default"/>
        <w:sz w:val="20"/>
      </w:rPr>
    </w:lvl>
    <w:lvl w:ilvl="7" w:tplc="6DCEDE82" w:tentative="1">
      <w:start w:val="1"/>
      <w:numFmt w:val="bullet"/>
      <w:lvlText w:val=""/>
      <w:lvlJc w:val="left"/>
      <w:pPr>
        <w:tabs>
          <w:tab w:val="num" w:pos="5760"/>
        </w:tabs>
        <w:ind w:left="5760" w:hanging="360"/>
      </w:pPr>
      <w:rPr>
        <w:rFonts w:ascii="Symbol" w:hAnsi="Symbol" w:hint="default"/>
        <w:sz w:val="20"/>
      </w:rPr>
    </w:lvl>
    <w:lvl w:ilvl="8" w:tplc="C7D00F3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581451"/>
    <w:multiLevelType w:val="hybridMultilevel"/>
    <w:tmpl w:val="1EA626AA"/>
    <w:lvl w:ilvl="0" w:tplc="D9983A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1038C0"/>
    <w:multiLevelType w:val="hybridMultilevel"/>
    <w:tmpl w:val="28E4355A"/>
    <w:lvl w:ilvl="0" w:tplc="A21EFD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76520011"/>
    <w:multiLevelType w:val="hybridMultilevel"/>
    <w:tmpl w:val="E50C83D6"/>
    <w:lvl w:ilvl="0" w:tplc="F704EDE4">
      <w:numFmt w:val="bullet"/>
      <w:lvlText w:val="-"/>
      <w:lvlJc w:val="left"/>
      <w:pPr>
        <w:ind w:left="495" w:hanging="360"/>
      </w:pPr>
      <w:rPr>
        <w:rFonts w:ascii="Arial" w:eastAsiaTheme="minorHAnsi" w:hAnsi="Arial" w:cs="Arial" w:hint="default"/>
        <w:sz w:val="4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3"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3"/>
  </w:num>
  <w:num w:numId="4">
    <w:abstractNumId w:val="10"/>
  </w:num>
  <w:num w:numId="5">
    <w:abstractNumId w:val="18"/>
  </w:num>
  <w:num w:numId="6">
    <w:abstractNumId w:val="14"/>
  </w:num>
  <w:num w:numId="7">
    <w:abstractNumId w:val="9"/>
  </w:num>
  <w:num w:numId="8">
    <w:abstractNumId w:val="20"/>
  </w:num>
  <w:num w:numId="9">
    <w:abstractNumId w:val="16"/>
  </w:num>
  <w:num w:numId="10">
    <w:abstractNumId w:val="1"/>
  </w:num>
  <w:num w:numId="11">
    <w:abstractNumId w:val="3"/>
  </w:num>
  <w:num w:numId="12">
    <w:abstractNumId w:val="13"/>
  </w:num>
  <w:num w:numId="13">
    <w:abstractNumId w:val="17"/>
  </w:num>
  <w:num w:numId="14">
    <w:abstractNumId w:val="17"/>
  </w:num>
  <w:num w:numId="15">
    <w:abstractNumId w:val="6"/>
  </w:num>
  <w:num w:numId="16">
    <w:abstractNumId w:val="4"/>
  </w:num>
  <w:num w:numId="17">
    <w:abstractNumId w:val="19"/>
  </w:num>
  <w:num w:numId="18">
    <w:abstractNumId w:val="0"/>
  </w:num>
  <w:num w:numId="19">
    <w:abstractNumId w:val="22"/>
  </w:num>
  <w:num w:numId="20">
    <w:abstractNumId w:val="7"/>
  </w:num>
  <w:num w:numId="21">
    <w:abstractNumId w:val="21"/>
  </w:num>
  <w:num w:numId="22">
    <w:abstractNumId w:val="2"/>
  </w:num>
  <w:num w:numId="23">
    <w:abstractNumId w:val="8"/>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5"/>
    <w:rsid w:val="00001CF8"/>
    <w:rsid w:val="00001DC8"/>
    <w:rsid w:val="00001E76"/>
    <w:rsid w:val="00003E16"/>
    <w:rsid w:val="00004253"/>
    <w:rsid w:val="00004732"/>
    <w:rsid w:val="00004BA2"/>
    <w:rsid w:val="00005821"/>
    <w:rsid w:val="0000588D"/>
    <w:rsid w:val="00006350"/>
    <w:rsid w:val="000063D8"/>
    <w:rsid w:val="00006466"/>
    <w:rsid w:val="0000652F"/>
    <w:rsid w:val="00006B3F"/>
    <w:rsid w:val="000079E9"/>
    <w:rsid w:val="00010291"/>
    <w:rsid w:val="00011392"/>
    <w:rsid w:val="000141F7"/>
    <w:rsid w:val="00015533"/>
    <w:rsid w:val="00015586"/>
    <w:rsid w:val="0001588F"/>
    <w:rsid w:val="00015923"/>
    <w:rsid w:val="00015B93"/>
    <w:rsid w:val="00016E01"/>
    <w:rsid w:val="00021840"/>
    <w:rsid w:val="00021F7E"/>
    <w:rsid w:val="00022478"/>
    <w:rsid w:val="0002322B"/>
    <w:rsid w:val="00023B25"/>
    <w:rsid w:val="00023BC1"/>
    <w:rsid w:val="00024701"/>
    <w:rsid w:val="00024808"/>
    <w:rsid w:val="0002490C"/>
    <w:rsid w:val="00024B49"/>
    <w:rsid w:val="00024D8A"/>
    <w:rsid w:val="000259CF"/>
    <w:rsid w:val="00027918"/>
    <w:rsid w:val="000279CE"/>
    <w:rsid w:val="0003158A"/>
    <w:rsid w:val="000321EB"/>
    <w:rsid w:val="000327C7"/>
    <w:rsid w:val="000375B8"/>
    <w:rsid w:val="00037C31"/>
    <w:rsid w:val="000410B7"/>
    <w:rsid w:val="0004113A"/>
    <w:rsid w:val="00041544"/>
    <w:rsid w:val="000420FE"/>
    <w:rsid w:val="0004216E"/>
    <w:rsid w:val="00042189"/>
    <w:rsid w:val="000423A5"/>
    <w:rsid w:val="00043087"/>
    <w:rsid w:val="000430CE"/>
    <w:rsid w:val="0004335F"/>
    <w:rsid w:val="000443BE"/>
    <w:rsid w:val="00044858"/>
    <w:rsid w:val="000449DA"/>
    <w:rsid w:val="00044C00"/>
    <w:rsid w:val="00046F2C"/>
    <w:rsid w:val="00047428"/>
    <w:rsid w:val="0004754E"/>
    <w:rsid w:val="0004779E"/>
    <w:rsid w:val="00050B58"/>
    <w:rsid w:val="00051618"/>
    <w:rsid w:val="00051878"/>
    <w:rsid w:val="00051D90"/>
    <w:rsid w:val="000526CC"/>
    <w:rsid w:val="00053A94"/>
    <w:rsid w:val="000550A8"/>
    <w:rsid w:val="00055C8B"/>
    <w:rsid w:val="0005601B"/>
    <w:rsid w:val="00056527"/>
    <w:rsid w:val="000567E2"/>
    <w:rsid w:val="00056B06"/>
    <w:rsid w:val="00056D10"/>
    <w:rsid w:val="000574EE"/>
    <w:rsid w:val="00057A69"/>
    <w:rsid w:val="00057D8B"/>
    <w:rsid w:val="00060117"/>
    <w:rsid w:val="00060E6F"/>
    <w:rsid w:val="0006164C"/>
    <w:rsid w:val="00063A61"/>
    <w:rsid w:val="00064EE2"/>
    <w:rsid w:val="000661D2"/>
    <w:rsid w:val="0007038C"/>
    <w:rsid w:val="0007091A"/>
    <w:rsid w:val="00070D92"/>
    <w:rsid w:val="00071776"/>
    <w:rsid w:val="00071899"/>
    <w:rsid w:val="00071CE3"/>
    <w:rsid w:val="00072080"/>
    <w:rsid w:val="000723D4"/>
    <w:rsid w:val="00072BE2"/>
    <w:rsid w:val="000740C8"/>
    <w:rsid w:val="00075021"/>
    <w:rsid w:val="00075235"/>
    <w:rsid w:val="00075540"/>
    <w:rsid w:val="000756E1"/>
    <w:rsid w:val="00076937"/>
    <w:rsid w:val="000806C1"/>
    <w:rsid w:val="00080AC2"/>
    <w:rsid w:val="000813E3"/>
    <w:rsid w:val="00081A3A"/>
    <w:rsid w:val="00082554"/>
    <w:rsid w:val="00082676"/>
    <w:rsid w:val="00083424"/>
    <w:rsid w:val="00083F82"/>
    <w:rsid w:val="00085186"/>
    <w:rsid w:val="00085A6E"/>
    <w:rsid w:val="000864AA"/>
    <w:rsid w:val="00090050"/>
    <w:rsid w:val="00090DD8"/>
    <w:rsid w:val="00090F51"/>
    <w:rsid w:val="00091B18"/>
    <w:rsid w:val="00092671"/>
    <w:rsid w:val="00092EF6"/>
    <w:rsid w:val="00094326"/>
    <w:rsid w:val="000959B6"/>
    <w:rsid w:val="000962F8"/>
    <w:rsid w:val="0009669B"/>
    <w:rsid w:val="000974C7"/>
    <w:rsid w:val="00097C6B"/>
    <w:rsid w:val="000A11CD"/>
    <w:rsid w:val="000A13C9"/>
    <w:rsid w:val="000A33DF"/>
    <w:rsid w:val="000A3604"/>
    <w:rsid w:val="000A3817"/>
    <w:rsid w:val="000A4093"/>
    <w:rsid w:val="000A4AB2"/>
    <w:rsid w:val="000A4AE7"/>
    <w:rsid w:val="000A53CF"/>
    <w:rsid w:val="000A5B80"/>
    <w:rsid w:val="000A619C"/>
    <w:rsid w:val="000A65C1"/>
    <w:rsid w:val="000A6B2B"/>
    <w:rsid w:val="000A6C29"/>
    <w:rsid w:val="000A6CD9"/>
    <w:rsid w:val="000A7366"/>
    <w:rsid w:val="000A7676"/>
    <w:rsid w:val="000A7A1C"/>
    <w:rsid w:val="000B0EE6"/>
    <w:rsid w:val="000B23DC"/>
    <w:rsid w:val="000B2428"/>
    <w:rsid w:val="000B2705"/>
    <w:rsid w:val="000B3A48"/>
    <w:rsid w:val="000B476F"/>
    <w:rsid w:val="000B4825"/>
    <w:rsid w:val="000B520E"/>
    <w:rsid w:val="000B55E8"/>
    <w:rsid w:val="000B582F"/>
    <w:rsid w:val="000B58C9"/>
    <w:rsid w:val="000B5B7C"/>
    <w:rsid w:val="000B5D57"/>
    <w:rsid w:val="000B7D4B"/>
    <w:rsid w:val="000C02D1"/>
    <w:rsid w:val="000C07EF"/>
    <w:rsid w:val="000C0B96"/>
    <w:rsid w:val="000C0BE4"/>
    <w:rsid w:val="000C0D70"/>
    <w:rsid w:val="000C1370"/>
    <w:rsid w:val="000C1AD2"/>
    <w:rsid w:val="000C25F7"/>
    <w:rsid w:val="000C2CE5"/>
    <w:rsid w:val="000C2F44"/>
    <w:rsid w:val="000C3AF2"/>
    <w:rsid w:val="000C4D7D"/>
    <w:rsid w:val="000C4F4F"/>
    <w:rsid w:val="000C5ECF"/>
    <w:rsid w:val="000C6A9F"/>
    <w:rsid w:val="000C75A6"/>
    <w:rsid w:val="000D0018"/>
    <w:rsid w:val="000D07D7"/>
    <w:rsid w:val="000D1073"/>
    <w:rsid w:val="000D2406"/>
    <w:rsid w:val="000D2583"/>
    <w:rsid w:val="000D563A"/>
    <w:rsid w:val="000D6633"/>
    <w:rsid w:val="000D7642"/>
    <w:rsid w:val="000D78CF"/>
    <w:rsid w:val="000D79F7"/>
    <w:rsid w:val="000D7E2E"/>
    <w:rsid w:val="000E00BC"/>
    <w:rsid w:val="000E3469"/>
    <w:rsid w:val="000E351C"/>
    <w:rsid w:val="000E3C29"/>
    <w:rsid w:val="000E44C9"/>
    <w:rsid w:val="000E47CE"/>
    <w:rsid w:val="000E4EC7"/>
    <w:rsid w:val="000E5284"/>
    <w:rsid w:val="000E5923"/>
    <w:rsid w:val="000E5F4B"/>
    <w:rsid w:val="000E6477"/>
    <w:rsid w:val="000E695B"/>
    <w:rsid w:val="000E758F"/>
    <w:rsid w:val="000E7673"/>
    <w:rsid w:val="000F0628"/>
    <w:rsid w:val="000F09AD"/>
    <w:rsid w:val="000F0D1E"/>
    <w:rsid w:val="000F0E8D"/>
    <w:rsid w:val="000F2443"/>
    <w:rsid w:val="000F27EA"/>
    <w:rsid w:val="000F384B"/>
    <w:rsid w:val="000F3C5D"/>
    <w:rsid w:val="000F4876"/>
    <w:rsid w:val="000F48B6"/>
    <w:rsid w:val="000F4BD3"/>
    <w:rsid w:val="000F6BCA"/>
    <w:rsid w:val="000F7644"/>
    <w:rsid w:val="000F7E4F"/>
    <w:rsid w:val="00101DD2"/>
    <w:rsid w:val="00101F7D"/>
    <w:rsid w:val="00103160"/>
    <w:rsid w:val="00103B5E"/>
    <w:rsid w:val="00103DB0"/>
    <w:rsid w:val="0010424F"/>
    <w:rsid w:val="00105091"/>
    <w:rsid w:val="0010520B"/>
    <w:rsid w:val="0010563F"/>
    <w:rsid w:val="0010568E"/>
    <w:rsid w:val="0010717A"/>
    <w:rsid w:val="001078A5"/>
    <w:rsid w:val="00110737"/>
    <w:rsid w:val="00111546"/>
    <w:rsid w:val="00111F18"/>
    <w:rsid w:val="00112F9D"/>
    <w:rsid w:val="001130BF"/>
    <w:rsid w:val="00114BDA"/>
    <w:rsid w:val="00114F70"/>
    <w:rsid w:val="00115920"/>
    <w:rsid w:val="0011615D"/>
    <w:rsid w:val="0011640C"/>
    <w:rsid w:val="00116698"/>
    <w:rsid w:val="0011752E"/>
    <w:rsid w:val="001178CE"/>
    <w:rsid w:val="00117A11"/>
    <w:rsid w:val="00120DE2"/>
    <w:rsid w:val="00120FE5"/>
    <w:rsid w:val="00121F1B"/>
    <w:rsid w:val="00122691"/>
    <w:rsid w:val="001231C8"/>
    <w:rsid w:val="00124141"/>
    <w:rsid w:val="00125484"/>
    <w:rsid w:val="001303A9"/>
    <w:rsid w:val="00131C5D"/>
    <w:rsid w:val="00131D5D"/>
    <w:rsid w:val="00132F1D"/>
    <w:rsid w:val="0013309D"/>
    <w:rsid w:val="00133219"/>
    <w:rsid w:val="001347B7"/>
    <w:rsid w:val="001354F1"/>
    <w:rsid w:val="00135586"/>
    <w:rsid w:val="00135A48"/>
    <w:rsid w:val="00135F0F"/>
    <w:rsid w:val="00136884"/>
    <w:rsid w:val="001376A2"/>
    <w:rsid w:val="00137E3D"/>
    <w:rsid w:val="00141099"/>
    <w:rsid w:val="001413F0"/>
    <w:rsid w:val="00142C00"/>
    <w:rsid w:val="00142C32"/>
    <w:rsid w:val="001433E9"/>
    <w:rsid w:val="001438DC"/>
    <w:rsid w:val="00143FAA"/>
    <w:rsid w:val="001445EA"/>
    <w:rsid w:val="00144A8E"/>
    <w:rsid w:val="00144ADF"/>
    <w:rsid w:val="00145225"/>
    <w:rsid w:val="00145B99"/>
    <w:rsid w:val="0014768B"/>
    <w:rsid w:val="00152B2E"/>
    <w:rsid w:val="0015323B"/>
    <w:rsid w:val="00153BCA"/>
    <w:rsid w:val="00154DDA"/>
    <w:rsid w:val="0015573D"/>
    <w:rsid w:val="00155A30"/>
    <w:rsid w:val="001563B7"/>
    <w:rsid w:val="0015694C"/>
    <w:rsid w:val="00156EDF"/>
    <w:rsid w:val="001575C7"/>
    <w:rsid w:val="00160673"/>
    <w:rsid w:val="00160BE0"/>
    <w:rsid w:val="00160E09"/>
    <w:rsid w:val="00160F2B"/>
    <w:rsid w:val="00161222"/>
    <w:rsid w:val="001619D9"/>
    <w:rsid w:val="00164958"/>
    <w:rsid w:val="00165A6D"/>
    <w:rsid w:val="00166555"/>
    <w:rsid w:val="00166617"/>
    <w:rsid w:val="00166A4A"/>
    <w:rsid w:val="00166A60"/>
    <w:rsid w:val="00166D0A"/>
    <w:rsid w:val="001670F0"/>
    <w:rsid w:val="00167468"/>
    <w:rsid w:val="00170B1A"/>
    <w:rsid w:val="00170CD6"/>
    <w:rsid w:val="00171AD3"/>
    <w:rsid w:val="00171D52"/>
    <w:rsid w:val="00172951"/>
    <w:rsid w:val="00172DDF"/>
    <w:rsid w:val="00174B47"/>
    <w:rsid w:val="00174FC1"/>
    <w:rsid w:val="001750F1"/>
    <w:rsid w:val="00175C30"/>
    <w:rsid w:val="001776CB"/>
    <w:rsid w:val="00177908"/>
    <w:rsid w:val="00180345"/>
    <w:rsid w:val="0018123E"/>
    <w:rsid w:val="00181B36"/>
    <w:rsid w:val="00181E63"/>
    <w:rsid w:val="00181F4F"/>
    <w:rsid w:val="00182F48"/>
    <w:rsid w:val="00183B07"/>
    <w:rsid w:val="00183BD1"/>
    <w:rsid w:val="00183D75"/>
    <w:rsid w:val="00183DCD"/>
    <w:rsid w:val="0018505F"/>
    <w:rsid w:val="00185613"/>
    <w:rsid w:val="00186320"/>
    <w:rsid w:val="0018644C"/>
    <w:rsid w:val="00186A59"/>
    <w:rsid w:val="00187F67"/>
    <w:rsid w:val="001901A2"/>
    <w:rsid w:val="001903F6"/>
    <w:rsid w:val="0019205B"/>
    <w:rsid w:val="00193AB1"/>
    <w:rsid w:val="00194141"/>
    <w:rsid w:val="0019438E"/>
    <w:rsid w:val="001948C6"/>
    <w:rsid w:val="00194E5A"/>
    <w:rsid w:val="00195056"/>
    <w:rsid w:val="00195728"/>
    <w:rsid w:val="00195C7B"/>
    <w:rsid w:val="0019662A"/>
    <w:rsid w:val="00196CCA"/>
    <w:rsid w:val="001971BC"/>
    <w:rsid w:val="00197B19"/>
    <w:rsid w:val="001A07D2"/>
    <w:rsid w:val="001A0BFF"/>
    <w:rsid w:val="001A0C7C"/>
    <w:rsid w:val="001A0FDA"/>
    <w:rsid w:val="001A1170"/>
    <w:rsid w:val="001A2B3D"/>
    <w:rsid w:val="001A4CED"/>
    <w:rsid w:val="001A5641"/>
    <w:rsid w:val="001A6714"/>
    <w:rsid w:val="001A6B49"/>
    <w:rsid w:val="001A724C"/>
    <w:rsid w:val="001B044C"/>
    <w:rsid w:val="001B15E2"/>
    <w:rsid w:val="001B1883"/>
    <w:rsid w:val="001B2FF4"/>
    <w:rsid w:val="001B3043"/>
    <w:rsid w:val="001B32BB"/>
    <w:rsid w:val="001B41D7"/>
    <w:rsid w:val="001B43C9"/>
    <w:rsid w:val="001B5366"/>
    <w:rsid w:val="001B54EA"/>
    <w:rsid w:val="001B59A7"/>
    <w:rsid w:val="001B751A"/>
    <w:rsid w:val="001B7FF1"/>
    <w:rsid w:val="001C0A65"/>
    <w:rsid w:val="001C1132"/>
    <w:rsid w:val="001C1355"/>
    <w:rsid w:val="001C220A"/>
    <w:rsid w:val="001C33F5"/>
    <w:rsid w:val="001C3C6B"/>
    <w:rsid w:val="001C4C94"/>
    <w:rsid w:val="001C4EEA"/>
    <w:rsid w:val="001C55BF"/>
    <w:rsid w:val="001C6390"/>
    <w:rsid w:val="001C6B1C"/>
    <w:rsid w:val="001C6E95"/>
    <w:rsid w:val="001C7738"/>
    <w:rsid w:val="001C77E4"/>
    <w:rsid w:val="001C77FE"/>
    <w:rsid w:val="001C7A56"/>
    <w:rsid w:val="001D0489"/>
    <w:rsid w:val="001D0B99"/>
    <w:rsid w:val="001D4DE3"/>
    <w:rsid w:val="001D78E4"/>
    <w:rsid w:val="001E010D"/>
    <w:rsid w:val="001E166E"/>
    <w:rsid w:val="001E1C1D"/>
    <w:rsid w:val="001E1E9F"/>
    <w:rsid w:val="001E1ED5"/>
    <w:rsid w:val="001E35D9"/>
    <w:rsid w:val="001E3A99"/>
    <w:rsid w:val="001E3CBE"/>
    <w:rsid w:val="001E3CF8"/>
    <w:rsid w:val="001E3FF4"/>
    <w:rsid w:val="001E440E"/>
    <w:rsid w:val="001E4696"/>
    <w:rsid w:val="001E4B82"/>
    <w:rsid w:val="001E58FA"/>
    <w:rsid w:val="001E5F1B"/>
    <w:rsid w:val="001E61E4"/>
    <w:rsid w:val="001E64CF"/>
    <w:rsid w:val="001E6C8C"/>
    <w:rsid w:val="001E6FB4"/>
    <w:rsid w:val="001E72AC"/>
    <w:rsid w:val="001E7B2B"/>
    <w:rsid w:val="001F045A"/>
    <w:rsid w:val="001F0468"/>
    <w:rsid w:val="001F0924"/>
    <w:rsid w:val="001F0FB4"/>
    <w:rsid w:val="001F2ECF"/>
    <w:rsid w:val="001F349E"/>
    <w:rsid w:val="001F39BD"/>
    <w:rsid w:val="001F3E90"/>
    <w:rsid w:val="001F5E48"/>
    <w:rsid w:val="001F62BC"/>
    <w:rsid w:val="00200CF4"/>
    <w:rsid w:val="002021F8"/>
    <w:rsid w:val="00204049"/>
    <w:rsid w:val="0020451A"/>
    <w:rsid w:val="002051ED"/>
    <w:rsid w:val="00205386"/>
    <w:rsid w:val="002058D0"/>
    <w:rsid w:val="0020634C"/>
    <w:rsid w:val="00206384"/>
    <w:rsid w:val="00206A8B"/>
    <w:rsid w:val="0020707A"/>
    <w:rsid w:val="00210B4B"/>
    <w:rsid w:val="002114AE"/>
    <w:rsid w:val="002115A0"/>
    <w:rsid w:val="00211D56"/>
    <w:rsid w:val="00212402"/>
    <w:rsid w:val="002124AA"/>
    <w:rsid w:val="00212602"/>
    <w:rsid w:val="00213249"/>
    <w:rsid w:val="00213463"/>
    <w:rsid w:val="00213EA0"/>
    <w:rsid w:val="00214193"/>
    <w:rsid w:val="002144F3"/>
    <w:rsid w:val="00214BEA"/>
    <w:rsid w:val="0021558C"/>
    <w:rsid w:val="0021587A"/>
    <w:rsid w:val="00216413"/>
    <w:rsid w:val="002169E3"/>
    <w:rsid w:val="00216A89"/>
    <w:rsid w:val="00217989"/>
    <w:rsid w:val="00217F04"/>
    <w:rsid w:val="002205A8"/>
    <w:rsid w:val="002215B5"/>
    <w:rsid w:val="00222298"/>
    <w:rsid w:val="00222642"/>
    <w:rsid w:val="00224218"/>
    <w:rsid w:val="0022504E"/>
    <w:rsid w:val="00225589"/>
    <w:rsid w:val="00225DCB"/>
    <w:rsid w:val="00225EE0"/>
    <w:rsid w:val="002302DC"/>
    <w:rsid w:val="00230F5F"/>
    <w:rsid w:val="00230FE8"/>
    <w:rsid w:val="00234A16"/>
    <w:rsid w:val="00234C31"/>
    <w:rsid w:val="00234D14"/>
    <w:rsid w:val="00235859"/>
    <w:rsid w:val="002359B7"/>
    <w:rsid w:val="00235F75"/>
    <w:rsid w:val="00235F9F"/>
    <w:rsid w:val="00236EE8"/>
    <w:rsid w:val="00237500"/>
    <w:rsid w:val="002378C0"/>
    <w:rsid w:val="00237E53"/>
    <w:rsid w:val="00240A8A"/>
    <w:rsid w:val="002418FA"/>
    <w:rsid w:val="002431E6"/>
    <w:rsid w:val="00243389"/>
    <w:rsid w:val="002440AF"/>
    <w:rsid w:val="0024698E"/>
    <w:rsid w:val="002518C4"/>
    <w:rsid w:val="0025400D"/>
    <w:rsid w:val="002545EE"/>
    <w:rsid w:val="00254661"/>
    <w:rsid w:val="00254BBD"/>
    <w:rsid w:val="002550C3"/>
    <w:rsid w:val="00255BC8"/>
    <w:rsid w:val="00255BD8"/>
    <w:rsid w:val="00257166"/>
    <w:rsid w:val="002610CD"/>
    <w:rsid w:val="00261E63"/>
    <w:rsid w:val="00262911"/>
    <w:rsid w:val="00262DC3"/>
    <w:rsid w:val="00263563"/>
    <w:rsid w:val="002636F2"/>
    <w:rsid w:val="00263B5D"/>
    <w:rsid w:val="00263CC6"/>
    <w:rsid w:val="00264AB5"/>
    <w:rsid w:val="00264ABD"/>
    <w:rsid w:val="002654DE"/>
    <w:rsid w:val="0026600C"/>
    <w:rsid w:val="002661B8"/>
    <w:rsid w:val="00267049"/>
    <w:rsid w:val="00267D3A"/>
    <w:rsid w:val="00270AEC"/>
    <w:rsid w:val="00271857"/>
    <w:rsid w:val="00274BCE"/>
    <w:rsid w:val="00275707"/>
    <w:rsid w:val="00276A96"/>
    <w:rsid w:val="00276E72"/>
    <w:rsid w:val="002803F3"/>
    <w:rsid w:val="00280D6F"/>
    <w:rsid w:val="002811C8"/>
    <w:rsid w:val="0028325E"/>
    <w:rsid w:val="0028329B"/>
    <w:rsid w:val="002837D4"/>
    <w:rsid w:val="0028531F"/>
    <w:rsid w:val="002856E2"/>
    <w:rsid w:val="00286091"/>
    <w:rsid w:val="002860CF"/>
    <w:rsid w:val="002865EB"/>
    <w:rsid w:val="002872F1"/>
    <w:rsid w:val="00287451"/>
    <w:rsid w:val="002909A6"/>
    <w:rsid w:val="002915AD"/>
    <w:rsid w:val="00291EEF"/>
    <w:rsid w:val="0029202A"/>
    <w:rsid w:val="002923FF"/>
    <w:rsid w:val="00293157"/>
    <w:rsid w:val="002932D1"/>
    <w:rsid w:val="0029332C"/>
    <w:rsid w:val="00294347"/>
    <w:rsid w:val="002948D3"/>
    <w:rsid w:val="00295018"/>
    <w:rsid w:val="00295DBA"/>
    <w:rsid w:val="002964A2"/>
    <w:rsid w:val="00296568"/>
    <w:rsid w:val="00296F91"/>
    <w:rsid w:val="002973D3"/>
    <w:rsid w:val="00297D00"/>
    <w:rsid w:val="002A09C1"/>
    <w:rsid w:val="002A16C4"/>
    <w:rsid w:val="002A1832"/>
    <w:rsid w:val="002A4E9E"/>
    <w:rsid w:val="002A6648"/>
    <w:rsid w:val="002A6669"/>
    <w:rsid w:val="002A67E7"/>
    <w:rsid w:val="002A6CE9"/>
    <w:rsid w:val="002A6CFE"/>
    <w:rsid w:val="002B027D"/>
    <w:rsid w:val="002B035B"/>
    <w:rsid w:val="002B16D9"/>
    <w:rsid w:val="002B19D5"/>
    <w:rsid w:val="002B256D"/>
    <w:rsid w:val="002B2A42"/>
    <w:rsid w:val="002B3187"/>
    <w:rsid w:val="002B3C88"/>
    <w:rsid w:val="002B3D96"/>
    <w:rsid w:val="002B4E2C"/>
    <w:rsid w:val="002B5473"/>
    <w:rsid w:val="002B72EC"/>
    <w:rsid w:val="002C0023"/>
    <w:rsid w:val="002C0563"/>
    <w:rsid w:val="002C0D89"/>
    <w:rsid w:val="002C1A1F"/>
    <w:rsid w:val="002C23B7"/>
    <w:rsid w:val="002C2ECD"/>
    <w:rsid w:val="002C2F62"/>
    <w:rsid w:val="002C3307"/>
    <w:rsid w:val="002C342E"/>
    <w:rsid w:val="002C44C4"/>
    <w:rsid w:val="002C471B"/>
    <w:rsid w:val="002C53EF"/>
    <w:rsid w:val="002C5EB5"/>
    <w:rsid w:val="002C5F01"/>
    <w:rsid w:val="002C6342"/>
    <w:rsid w:val="002C63F6"/>
    <w:rsid w:val="002C73CD"/>
    <w:rsid w:val="002C7C7A"/>
    <w:rsid w:val="002D18A6"/>
    <w:rsid w:val="002D251A"/>
    <w:rsid w:val="002D296C"/>
    <w:rsid w:val="002D317C"/>
    <w:rsid w:val="002D513E"/>
    <w:rsid w:val="002D520A"/>
    <w:rsid w:val="002D5A2C"/>
    <w:rsid w:val="002D5B51"/>
    <w:rsid w:val="002D5BF9"/>
    <w:rsid w:val="002D5C0D"/>
    <w:rsid w:val="002D7316"/>
    <w:rsid w:val="002D758A"/>
    <w:rsid w:val="002D7842"/>
    <w:rsid w:val="002E0233"/>
    <w:rsid w:val="002E0418"/>
    <w:rsid w:val="002E0A2D"/>
    <w:rsid w:val="002E0D6D"/>
    <w:rsid w:val="002E18F7"/>
    <w:rsid w:val="002E24AD"/>
    <w:rsid w:val="002E2A74"/>
    <w:rsid w:val="002E3563"/>
    <w:rsid w:val="002E47F1"/>
    <w:rsid w:val="002E4814"/>
    <w:rsid w:val="002E61BB"/>
    <w:rsid w:val="002E646B"/>
    <w:rsid w:val="002F00E9"/>
    <w:rsid w:val="002F040B"/>
    <w:rsid w:val="002F0969"/>
    <w:rsid w:val="002F0F9C"/>
    <w:rsid w:val="002F16F4"/>
    <w:rsid w:val="002F2D16"/>
    <w:rsid w:val="002F2EE7"/>
    <w:rsid w:val="002F307A"/>
    <w:rsid w:val="002F358F"/>
    <w:rsid w:val="002F35DE"/>
    <w:rsid w:val="002F36F9"/>
    <w:rsid w:val="002F4BFD"/>
    <w:rsid w:val="002F66A3"/>
    <w:rsid w:val="002F7988"/>
    <w:rsid w:val="003004E7"/>
    <w:rsid w:val="003006CD"/>
    <w:rsid w:val="003036AF"/>
    <w:rsid w:val="00304CA3"/>
    <w:rsid w:val="003058D7"/>
    <w:rsid w:val="00305D5F"/>
    <w:rsid w:val="0030652B"/>
    <w:rsid w:val="00306FC3"/>
    <w:rsid w:val="0030711D"/>
    <w:rsid w:val="00310201"/>
    <w:rsid w:val="00310741"/>
    <w:rsid w:val="0031084B"/>
    <w:rsid w:val="00311447"/>
    <w:rsid w:val="0031149F"/>
    <w:rsid w:val="00311C39"/>
    <w:rsid w:val="0031212F"/>
    <w:rsid w:val="00312776"/>
    <w:rsid w:val="0031337B"/>
    <w:rsid w:val="00314DDE"/>
    <w:rsid w:val="00315728"/>
    <w:rsid w:val="00316C43"/>
    <w:rsid w:val="00317080"/>
    <w:rsid w:val="003176C2"/>
    <w:rsid w:val="00317EFE"/>
    <w:rsid w:val="003216CA"/>
    <w:rsid w:val="003223D9"/>
    <w:rsid w:val="00322A79"/>
    <w:rsid w:val="00323A90"/>
    <w:rsid w:val="00323DE7"/>
    <w:rsid w:val="003241C3"/>
    <w:rsid w:val="00324E35"/>
    <w:rsid w:val="00325125"/>
    <w:rsid w:val="003274C5"/>
    <w:rsid w:val="00327971"/>
    <w:rsid w:val="00330886"/>
    <w:rsid w:val="00330954"/>
    <w:rsid w:val="003329CD"/>
    <w:rsid w:val="003337F5"/>
    <w:rsid w:val="00333B8D"/>
    <w:rsid w:val="00333EC6"/>
    <w:rsid w:val="00335209"/>
    <w:rsid w:val="0033542B"/>
    <w:rsid w:val="0033680B"/>
    <w:rsid w:val="00336D32"/>
    <w:rsid w:val="00340AAE"/>
    <w:rsid w:val="0034211F"/>
    <w:rsid w:val="003427A6"/>
    <w:rsid w:val="00344F77"/>
    <w:rsid w:val="003455A8"/>
    <w:rsid w:val="003463C9"/>
    <w:rsid w:val="0034648E"/>
    <w:rsid w:val="00346EC5"/>
    <w:rsid w:val="0034741A"/>
    <w:rsid w:val="0034746A"/>
    <w:rsid w:val="00347A64"/>
    <w:rsid w:val="0035011E"/>
    <w:rsid w:val="003509B3"/>
    <w:rsid w:val="00350D95"/>
    <w:rsid w:val="00350F1F"/>
    <w:rsid w:val="00351EBB"/>
    <w:rsid w:val="00352049"/>
    <w:rsid w:val="00352AF6"/>
    <w:rsid w:val="0035388F"/>
    <w:rsid w:val="00354491"/>
    <w:rsid w:val="003544F4"/>
    <w:rsid w:val="0035587C"/>
    <w:rsid w:val="00357135"/>
    <w:rsid w:val="003574D4"/>
    <w:rsid w:val="00357932"/>
    <w:rsid w:val="00362739"/>
    <w:rsid w:val="00363223"/>
    <w:rsid w:val="00365348"/>
    <w:rsid w:val="00365375"/>
    <w:rsid w:val="0036538F"/>
    <w:rsid w:val="003668E2"/>
    <w:rsid w:val="003671C2"/>
    <w:rsid w:val="00371BBB"/>
    <w:rsid w:val="00371DC3"/>
    <w:rsid w:val="003743C8"/>
    <w:rsid w:val="00375B7C"/>
    <w:rsid w:val="00375D6A"/>
    <w:rsid w:val="00376489"/>
    <w:rsid w:val="0037784F"/>
    <w:rsid w:val="00377F15"/>
    <w:rsid w:val="00380578"/>
    <w:rsid w:val="00380D53"/>
    <w:rsid w:val="00381590"/>
    <w:rsid w:val="003819EA"/>
    <w:rsid w:val="00381A6E"/>
    <w:rsid w:val="00382583"/>
    <w:rsid w:val="0038321E"/>
    <w:rsid w:val="00383490"/>
    <w:rsid w:val="00383776"/>
    <w:rsid w:val="00384A71"/>
    <w:rsid w:val="00386538"/>
    <w:rsid w:val="003869DA"/>
    <w:rsid w:val="003879ED"/>
    <w:rsid w:val="00387E66"/>
    <w:rsid w:val="003912C6"/>
    <w:rsid w:val="0039133A"/>
    <w:rsid w:val="003915B9"/>
    <w:rsid w:val="00391FEE"/>
    <w:rsid w:val="003949FD"/>
    <w:rsid w:val="00394B2F"/>
    <w:rsid w:val="00394DF3"/>
    <w:rsid w:val="0039529C"/>
    <w:rsid w:val="00395934"/>
    <w:rsid w:val="00395EA8"/>
    <w:rsid w:val="00396242"/>
    <w:rsid w:val="0039721E"/>
    <w:rsid w:val="00397523"/>
    <w:rsid w:val="00397D7D"/>
    <w:rsid w:val="003A0CA7"/>
    <w:rsid w:val="003A1022"/>
    <w:rsid w:val="003A12E6"/>
    <w:rsid w:val="003A1799"/>
    <w:rsid w:val="003A2D67"/>
    <w:rsid w:val="003A310B"/>
    <w:rsid w:val="003A35B8"/>
    <w:rsid w:val="003A37FF"/>
    <w:rsid w:val="003A42F3"/>
    <w:rsid w:val="003A467B"/>
    <w:rsid w:val="003A500F"/>
    <w:rsid w:val="003A5600"/>
    <w:rsid w:val="003A62C2"/>
    <w:rsid w:val="003A63E3"/>
    <w:rsid w:val="003A6C90"/>
    <w:rsid w:val="003A7048"/>
    <w:rsid w:val="003A7FB2"/>
    <w:rsid w:val="003B05DA"/>
    <w:rsid w:val="003B0CD9"/>
    <w:rsid w:val="003B0DB9"/>
    <w:rsid w:val="003B10DB"/>
    <w:rsid w:val="003B128B"/>
    <w:rsid w:val="003B30E9"/>
    <w:rsid w:val="003B4687"/>
    <w:rsid w:val="003B54C1"/>
    <w:rsid w:val="003B56E9"/>
    <w:rsid w:val="003B6A80"/>
    <w:rsid w:val="003B6D19"/>
    <w:rsid w:val="003B6E40"/>
    <w:rsid w:val="003B79DD"/>
    <w:rsid w:val="003C017E"/>
    <w:rsid w:val="003C01C1"/>
    <w:rsid w:val="003C109E"/>
    <w:rsid w:val="003C1C6B"/>
    <w:rsid w:val="003C3ED6"/>
    <w:rsid w:val="003C5308"/>
    <w:rsid w:val="003C587A"/>
    <w:rsid w:val="003C5ACB"/>
    <w:rsid w:val="003C5B30"/>
    <w:rsid w:val="003C6B06"/>
    <w:rsid w:val="003C795E"/>
    <w:rsid w:val="003C7E38"/>
    <w:rsid w:val="003D1E61"/>
    <w:rsid w:val="003D28E5"/>
    <w:rsid w:val="003D2D7A"/>
    <w:rsid w:val="003D2ED7"/>
    <w:rsid w:val="003D380B"/>
    <w:rsid w:val="003D42A9"/>
    <w:rsid w:val="003D59DD"/>
    <w:rsid w:val="003D6542"/>
    <w:rsid w:val="003D7E18"/>
    <w:rsid w:val="003E06E8"/>
    <w:rsid w:val="003E0C1F"/>
    <w:rsid w:val="003E26DD"/>
    <w:rsid w:val="003E3297"/>
    <w:rsid w:val="003E33E0"/>
    <w:rsid w:val="003E3751"/>
    <w:rsid w:val="003E3FF0"/>
    <w:rsid w:val="003E5682"/>
    <w:rsid w:val="003E636F"/>
    <w:rsid w:val="003E6762"/>
    <w:rsid w:val="003E6AA8"/>
    <w:rsid w:val="003F1048"/>
    <w:rsid w:val="003F10B3"/>
    <w:rsid w:val="003F1CF2"/>
    <w:rsid w:val="003F2389"/>
    <w:rsid w:val="003F2F3A"/>
    <w:rsid w:val="003F38C1"/>
    <w:rsid w:val="003F4170"/>
    <w:rsid w:val="003F4583"/>
    <w:rsid w:val="003F47FE"/>
    <w:rsid w:val="003F498C"/>
    <w:rsid w:val="003F66E4"/>
    <w:rsid w:val="003F73A0"/>
    <w:rsid w:val="003F761C"/>
    <w:rsid w:val="004001E0"/>
    <w:rsid w:val="00401034"/>
    <w:rsid w:val="00401334"/>
    <w:rsid w:val="00401B12"/>
    <w:rsid w:val="004023BA"/>
    <w:rsid w:val="00402979"/>
    <w:rsid w:val="00402D77"/>
    <w:rsid w:val="0040338F"/>
    <w:rsid w:val="00403A79"/>
    <w:rsid w:val="00403F31"/>
    <w:rsid w:val="004047E2"/>
    <w:rsid w:val="00404F4C"/>
    <w:rsid w:val="00405824"/>
    <w:rsid w:val="00405BC2"/>
    <w:rsid w:val="00407794"/>
    <w:rsid w:val="004116F6"/>
    <w:rsid w:val="00412249"/>
    <w:rsid w:val="00412C51"/>
    <w:rsid w:val="00412CB2"/>
    <w:rsid w:val="00412CC6"/>
    <w:rsid w:val="00412CCA"/>
    <w:rsid w:val="00412E0D"/>
    <w:rsid w:val="00412E55"/>
    <w:rsid w:val="00413F3E"/>
    <w:rsid w:val="0041459A"/>
    <w:rsid w:val="004148F6"/>
    <w:rsid w:val="004157D8"/>
    <w:rsid w:val="004164F6"/>
    <w:rsid w:val="00416F75"/>
    <w:rsid w:val="0041734A"/>
    <w:rsid w:val="00417A85"/>
    <w:rsid w:val="00417C3F"/>
    <w:rsid w:val="00420C78"/>
    <w:rsid w:val="0042129E"/>
    <w:rsid w:val="00421B45"/>
    <w:rsid w:val="0042246F"/>
    <w:rsid w:val="00422E8E"/>
    <w:rsid w:val="00423454"/>
    <w:rsid w:val="00423CBA"/>
    <w:rsid w:val="00424795"/>
    <w:rsid w:val="00424CDB"/>
    <w:rsid w:val="00425306"/>
    <w:rsid w:val="0042571D"/>
    <w:rsid w:val="0042653E"/>
    <w:rsid w:val="00426681"/>
    <w:rsid w:val="00426CF8"/>
    <w:rsid w:val="004304D0"/>
    <w:rsid w:val="00430747"/>
    <w:rsid w:val="004309EA"/>
    <w:rsid w:val="00430A65"/>
    <w:rsid w:val="00430AF6"/>
    <w:rsid w:val="00430F56"/>
    <w:rsid w:val="00431134"/>
    <w:rsid w:val="004319CA"/>
    <w:rsid w:val="004334B0"/>
    <w:rsid w:val="00433C2E"/>
    <w:rsid w:val="00434B21"/>
    <w:rsid w:val="00436E87"/>
    <w:rsid w:val="00436F1F"/>
    <w:rsid w:val="004372DC"/>
    <w:rsid w:val="00440974"/>
    <w:rsid w:val="00441270"/>
    <w:rsid w:val="004412DC"/>
    <w:rsid w:val="00441C84"/>
    <w:rsid w:val="004424D2"/>
    <w:rsid w:val="00442538"/>
    <w:rsid w:val="00443F1E"/>
    <w:rsid w:val="004456A9"/>
    <w:rsid w:val="0044678D"/>
    <w:rsid w:val="00450D4F"/>
    <w:rsid w:val="004513B6"/>
    <w:rsid w:val="00453883"/>
    <w:rsid w:val="004538A3"/>
    <w:rsid w:val="00453F06"/>
    <w:rsid w:val="00454990"/>
    <w:rsid w:val="00454E33"/>
    <w:rsid w:val="00455D30"/>
    <w:rsid w:val="00455DCC"/>
    <w:rsid w:val="00456CC5"/>
    <w:rsid w:val="00456EA9"/>
    <w:rsid w:val="004603BB"/>
    <w:rsid w:val="0046145C"/>
    <w:rsid w:val="0046216D"/>
    <w:rsid w:val="0046220E"/>
    <w:rsid w:val="00462FA9"/>
    <w:rsid w:val="00463F7C"/>
    <w:rsid w:val="00465E10"/>
    <w:rsid w:val="004661E3"/>
    <w:rsid w:val="004665D1"/>
    <w:rsid w:val="0046682C"/>
    <w:rsid w:val="004672E5"/>
    <w:rsid w:val="00470817"/>
    <w:rsid w:val="00471B14"/>
    <w:rsid w:val="00471C9E"/>
    <w:rsid w:val="00472A83"/>
    <w:rsid w:val="00472B4C"/>
    <w:rsid w:val="00472C9E"/>
    <w:rsid w:val="004730CD"/>
    <w:rsid w:val="00473A57"/>
    <w:rsid w:val="00473B28"/>
    <w:rsid w:val="004740DA"/>
    <w:rsid w:val="00474962"/>
    <w:rsid w:val="004755AC"/>
    <w:rsid w:val="00475C66"/>
    <w:rsid w:val="00476A1A"/>
    <w:rsid w:val="00476A1B"/>
    <w:rsid w:val="00477CEB"/>
    <w:rsid w:val="00481924"/>
    <w:rsid w:val="0048231A"/>
    <w:rsid w:val="00482891"/>
    <w:rsid w:val="00482A2F"/>
    <w:rsid w:val="00482F73"/>
    <w:rsid w:val="00483999"/>
    <w:rsid w:val="00483E88"/>
    <w:rsid w:val="004841A4"/>
    <w:rsid w:val="004842BA"/>
    <w:rsid w:val="00485506"/>
    <w:rsid w:val="00485D8B"/>
    <w:rsid w:val="00486678"/>
    <w:rsid w:val="004868AA"/>
    <w:rsid w:val="00486A79"/>
    <w:rsid w:val="004874B9"/>
    <w:rsid w:val="00487B26"/>
    <w:rsid w:val="0049077B"/>
    <w:rsid w:val="004909BA"/>
    <w:rsid w:val="00490B62"/>
    <w:rsid w:val="00493582"/>
    <w:rsid w:val="00493BF2"/>
    <w:rsid w:val="0049563F"/>
    <w:rsid w:val="0049658A"/>
    <w:rsid w:val="00496A05"/>
    <w:rsid w:val="00496EF6"/>
    <w:rsid w:val="00497BB3"/>
    <w:rsid w:val="004A2802"/>
    <w:rsid w:val="004A2F82"/>
    <w:rsid w:val="004A3485"/>
    <w:rsid w:val="004A42EA"/>
    <w:rsid w:val="004A4620"/>
    <w:rsid w:val="004A4DDB"/>
    <w:rsid w:val="004A5121"/>
    <w:rsid w:val="004A51DC"/>
    <w:rsid w:val="004A5923"/>
    <w:rsid w:val="004A6418"/>
    <w:rsid w:val="004A65A8"/>
    <w:rsid w:val="004A6EFB"/>
    <w:rsid w:val="004A79C7"/>
    <w:rsid w:val="004A7E0A"/>
    <w:rsid w:val="004B143A"/>
    <w:rsid w:val="004B1711"/>
    <w:rsid w:val="004B1A37"/>
    <w:rsid w:val="004B1B22"/>
    <w:rsid w:val="004B1EB4"/>
    <w:rsid w:val="004B1F3E"/>
    <w:rsid w:val="004B24A1"/>
    <w:rsid w:val="004B2D1B"/>
    <w:rsid w:val="004B34EA"/>
    <w:rsid w:val="004B3A27"/>
    <w:rsid w:val="004B3D71"/>
    <w:rsid w:val="004B4808"/>
    <w:rsid w:val="004B5775"/>
    <w:rsid w:val="004B57F3"/>
    <w:rsid w:val="004B5808"/>
    <w:rsid w:val="004B6643"/>
    <w:rsid w:val="004B711B"/>
    <w:rsid w:val="004C0C95"/>
    <w:rsid w:val="004C0F67"/>
    <w:rsid w:val="004C1A3D"/>
    <w:rsid w:val="004C1CEC"/>
    <w:rsid w:val="004C1E75"/>
    <w:rsid w:val="004C1FD1"/>
    <w:rsid w:val="004C28ED"/>
    <w:rsid w:val="004C30E6"/>
    <w:rsid w:val="004C5809"/>
    <w:rsid w:val="004C5BB9"/>
    <w:rsid w:val="004C63A9"/>
    <w:rsid w:val="004C6977"/>
    <w:rsid w:val="004D0D3E"/>
    <w:rsid w:val="004D13DF"/>
    <w:rsid w:val="004D2C0E"/>
    <w:rsid w:val="004D2F8A"/>
    <w:rsid w:val="004D33F4"/>
    <w:rsid w:val="004D3922"/>
    <w:rsid w:val="004D4572"/>
    <w:rsid w:val="004D4BF6"/>
    <w:rsid w:val="004D60FC"/>
    <w:rsid w:val="004D61E9"/>
    <w:rsid w:val="004D6379"/>
    <w:rsid w:val="004D6C89"/>
    <w:rsid w:val="004D7570"/>
    <w:rsid w:val="004E0083"/>
    <w:rsid w:val="004E1296"/>
    <w:rsid w:val="004E1D72"/>
    <w:rsid w:val="004E26A8"/>
    <w:rsid w:val="004E38F7"/>
    <w:rsid w:val="004E39AD"/>
    <w:rsid w:val="004E3DD5"/>
    <w:rsid w:val="004E4173"/>
    <w:rsid w:val="004E43DF"/>
    <w:rsid w:val="004E4922"/>
    <w:rsid w:val="004E517D"/>
    <w:rsid w:val="004E6D3A"/>
    <w:rsid w:val="004E75D8"/>
    <w:rsid w:val="004F03F1"/>
    <w:rsid w:val="004F0E0A"/>
    <w:rsid w:val="004F0F13"/>
    <w:rsid w:val="004F15F7"/>
    <w:rsid w:val="004F20EE"/>
    <w:rsid w:val="004F3245"/>
    <w:rsid w:val="004F374C"/>
    <w:rsid w:val="004F3D2C"/>
    <w:rsid w:val="004F4045"/>
    <w:rsid w:val="004F628A"/>
    <w:rsid w:val="004F63A4"/>
    <w:rsid w:val="004F6A74"/>
    <w:rsid w:val="004F6B3E"/>
    <w:rsid w:val="004F6B6C"/>
    <w:rsid w:val="00500C42"/>
    <w:rsid w:val="00501100"/>
    <w:rsid w:val="00501363"/>
    <w:rsid w:val="0050236B"/>
    <w:rsid w:val="005025BE"/>
    <w:rsid w:val="00502777"/>
    <w:rsid w:val="00502ABF"/>
    <w:rsid w:val="0050325B"/>
    <w:rsid w:val="00503B99"/>
    <w:rsid w:val="005040D7"/>
    <w:rsid w:val="00504503"/>
    <w:rsid w:val="00504585"/>
    <w:rsid w:val="0050509D"/>
    <w:rsid w:val="00505C5C"/>
    <w:rsid w:val="00506263"/>
    <w:rsid w:val="005065F3"/>
    <w:rsid w:val="00506804"/>
    <w:rsid w:val="00506D48"/>
    <w:rsid w:val="005077D7"/>
    <w:rsid w:val="005106E8"/>
    <w:rsid w:val="00510ED0"/>
    <w:rsid w:val="00511D02"/>
    <w:rsid w:val="00511D68"/>
    <w:rsid w:val="0051223B"/>
    <w:rsid w:val="005125B6"/>
    <w:rsid w:val="00512BF8"/>
    <w:rsid w:val="00512D6E"/>
    <w:rsid w:val="00513794"/>
    <w:rsid w:val="005158A9"/>
    <w:rsid w:val="00515B14"/>
    <w:rsid w:val="00516660"/>
    <w:rsid w:val="00516B3E"/>
    <w:rsid w:val="00516B90"/>
    <w:rsid w:val="00516DE9"/>
    <w:rsid w:val="005171E3"/>
    <w:rsid w:val="00517AD0"/>
    <w:rsid w:val="00517E67"/>
    <w:rsid w:val="0052013B"/>
    <w:rsid w:val="005231CE"/>
    <w:rsid w:val="005239CE"/>
    <w:rsid w:val="005248A1"/>
    <w:rsid w:val="00525418"/>
    <w:rsid w:val="00525820"/>
    <w:rsid w:val="005268AA"/>
    <w:rsid w:val="00526F6F"/>
    <w:rsid w:val="00527054"/>
    <w:rsid w:val="0052732A"/>
    <w:rsid w:val="005274F9"/>
    <w:rsid w:val="0052758C"/>
    <w:rsid w:val="005318FF"/>
    <w:rsid w:val="0053306F"/>
    <w:rsid w:val="00533095"/>
    <w:rsid w:val="005346FB"/>
    <w:rsid w:val="00534922"/>
    <w:rsid w:val="0053787F"/>
    <w:rsid w:val="0053793A"/>
    <w:rsid w:val="00540AA9"/>
    <w:rsid w:val="0054255D"/>
    <w:rsid w:val="00542AC4"/>
    <w:rsid w:val="005431F6"/>
    <w:rsid w:val="00543555"/>
    <w:rsid w:val="00545339"/>
    <w:rsid w:val="005456A9"/>
    <w:rsid w:val="00546D50"/>
    <w:rsid w:val="00546E21"/>
    <w:rsid w:val="00547F0F"/>
    <w:rsid w:val="00552289"/>
    <w:rsid w:val="0055233D"/>
    <w:rsid w:val="005524F7"/>
    <w:rsid w:val="005529A1"/>
    <w:rsid w:val="00552FAB"/>
    <w:rsid w:val="0055356E"/>
    <w:rsid w:val="00555892"/>
    <w:rsid w:val="00555C5D"/>
    <w:rsid w:val="0055655C"/>
    <w:rsid w:val="00560238"/>
    <w:rsid w:val="005608F9"/>
    <w:rsid w:val="005635D2"/>
    <w:rsid w:val="00563E9E"/>
    <w:rsid w:val="00565B8D"/>
    <w:rsid w:val="005669BA"/>
    <w:rsid w:val="00566D77"/>
    <w:rsid w:val="00567ED6"/>
    <w:rsid w:val="00570573"/>
    <w:rsid w:val="005718D9"/>
    <w:rsid w:val="00572FFF"/>
    <w:rsid w:val="00573C93"/>
    <w:rsid w:val="00573E0D"/>
    <w:rsid w:val="005747C3"/>
    <w:rsid w:val="0057499D"/>
    <w:rsid w:val="00575040"/>
    <w:rsid w:val="005750ED"/>
    <w:rsid w:val="00575C25"/>
    <w:rsid w:val="005764DA"/>
    <w:rsid w:val="00576773"/>
    <w:rsid w:val="0057688F"/>
    <w:rsid w:val="00576B6D"/>
    <w:rsid w:val="00577568"/>
    <w:rsid w:val="0058030F"/>
    <w:rsid w:val="0058112A"/>
    <w:rsid w:val="00584E43"/>
    <w:rsid w:val="00586404"/>
    <w:rsid w:val="00587611"/>
    <w:rsid w:val="00587B31"/>
    <w:rsid w:val="00587D99"/>
    <w:rsid w:val="00587ECD"/>
    <w:rsid w:val="005909A6"/>
    <w:rsid w:val="00590FF8"/>
    <w:rsid w:val="00592039"/>
    <w:rsid w:val="00592710"/>
    <w:rsid w:val="005932CE"/>
    <w:rsid w:val="005934C1"/>
    <w:rsid w:val="00594148"/>
    <w:rsid w:val="00594BF9"/>
    <w:rsid w:val="00595105"/>
    <w:rsid w:val="0059571D"/>
    <w:rsid w:val="00595AA9"/>
    <w:rsid w:val="005968DE"/>
    <w:rsid w:val="00597EDD"/>
    <w:rsid w:val="005A034B"/>
    <w:rsid w:val="005A1144"/>
    <w:rsid w:val="005A12B6"/>
    <w:rsid w:val="005A146C"/>
    <w:rsid w:val="005A2657"/>
    <w:rsid w:val="005A27FF"/>
    <w:rsid w:val="005A3DAC"/>
    <w:rsid w:val="005A6242"/>
    <w:rsid w:val="005A71F3"/>
    <w:rsid w:val="005A79AF"/>
    <w:rsid w:val="005A7B1A"/>
    <w:rsid w:val="005B0BA9"/>
    <w:rsid w:val="005B115A"/>
    <w:rsid w:val="005B14B2"/>
    <w:rsid w:val="005B18D0"/>
    <w:rsid w:val="005B3229"/>
    <w:rsid w:val="005B3C2E"/>
    <w:rsid w:val="005B4997"/>
    <w:rsid w:val="005B53C1"/>
    <w:rsid w:val="005B6A4F"/>
    <w:rsid w:val="005B6E6A"/>
    <w:rsid w:val="005B7902"/>
    <w:rsid w:val="005B7CB5"/>
    <w:rsid w:val="005C0D11"/>
    <w:rsid w:val="005C15A9"/>
    <w:rsid w:val="005C1938"/>
    <w:rsid w:val="005C1D12"/>
    <w:rsid w:val="005C22C7"/>
    <w:rsid w:val="005C3E66"/>
    <w:rsid w:val="005C4E14"/>
    <w:rsid w:val="005C5A9A"/>
    <w:rsid w:val="005C5C92"/>
    <w:rsid w:val="005C6241"/>
    <w:rsid w:val="005D021F"/>
    <w:rsid w:val="005D0FEF"/>
    <w:rsid w:val="005D1355"/>
    <w:rsid w:val="005D16E3"/>
    <w:rsid w:val="005D2206"/>
    <w:rsid w:val="005D2731"/>
    <w:rsid w:val="005D3723"/>
    <w:rsid w:val="005D3B6E"/>
    <w:rsid w:val="005D4571"/>
    <w:rsid w:val="005D48C4"/>
    <w:rsid w:val="005D57AF"/>
    <w:rsid w:val="005D69A3"/>
    <w:rsid w:val="005D6CD9"/>
    <w:rsid w:val="005D711F"/>
    <w:rsid w:val="005E3FB4"/>
    <w:rsid w:val="005E6E4D"/>
    <w:rsid w:val="005E73E4"/>
    <w:rsid w:val="005E7882"/>
    <w:rsid w:val="005E792E"/>
    <w:rsid w:val="005E7B06"/>
    <w:rsid w:val="005E7E85"/>
    <w:rsid w:val="005F0CE6"/>
    <w:rsid w:val="005F1477"/>
    <w:rsid w:val="005F1E1C"/>
    <w:rsid w:val="005F1F9F"/>
    <w:rsid w:val="005F2AA8"/>
    <w:rsid w:val="005F3771"/>
    <w:rsid w:val="005F3B95"/>
    <w:rsid w:val="005F45DB"/>
    <w:rsid w:val="005F5682"/>
    <w:rsid w:val="005F59E0"/>
    <w:rsid w:val="005F5F24"/>
    <w:rsid w:val="005F6AF4"/>
    <w:rsid w:val="005F743D"/>
    <w:rsid w:val="00600A06"/>
    <w:rsid w:val="00600DEB"/>
    <w:rsid w:val="006011B6"/>
    <w:rsid w:val="0060151A"/>
    <w:rsid w:val="00601A8F"/>
    <w:rsid w:val="00601C19"/>
    <w:rsid w:val="00602792"/>
    <w:rsid w:val="0060296D"/>
    <w:rsid w:val="00602A8C"/>
    <w:rsid w:val="006033C7"/>
    <w:rsid w:val="00605A74"/>
    <w:rsid w:val="00605B79"/>
    <w:rsid w:val="006067CF"/>
    <w:rsid w:val="00606961"/>
    <w:rsid w:val="00606C43"/>
    <w:rsid w:val="0060733C"/>
    <w:rsid w:val="0060762D"/>
    <w:rsid w:val="00607BF9"/>
    <w:rsid w:val="00610A24"/>
    <w:rsid w:val="00612770"/>
    <w:rsid w:val="00612EEA"/>
    <w:rsid w:val="00613F7D"/>
    <w:rsid w:val="00614063"/>
    <w:rsid w:val="00614373"/>
    <w:rsid w:val="00614651"/>
    <w:rsid w:val="00614979"/>
    <w:rsid w:val="0061536D"/>
    <w:rsid w:val="00615675"/>
    <w:rsid w:val="00615E32"/>
    <w:rsid w:val="0061615A"/>
    <w:rsid w:val="00616FEE"/>
    <w:rsid w:val="00621BC4"/>
    <w:rsid w:val="00621C0A"/>
    <w:rsid w:val="006220A1"/>
    <w:rsid w:val="006228E0"/>
    <w:rsid w:val="00622C9D"/>
    <w:rsid w:val="0062316A"/>
    <w:rsid w:val="00623D57"/>
    <w:rsid w:val="00624900"/>
    <w:rsid w:val="00624B5E"/>
    <w:rsid w:val="006251E3"/>
    <w:rsid w:val="00626356"/>
    <w:rsid w:val="00626829"/>
    <w:rsid w:val="00627177"/>
    <w:rsid w:val="00627596"/>
    <w:rsid w:val="00627C86"/>
    <w:rsid w:val="006306CB"/>
    <w:rsid w:val="006309CC"/>
    <w:rsid w:val="00630AFF"/>
    <w:rsid w:val="0063111D"/>
    <w:rsid w:val="00632C9B"/>
    <w:rsid w:val="00633EE6"/>
    <w:rsid w:val="00634DA1"/>
    <w:rsid w:val="00634EB4"/>
    <w:rsid w:val="00636618"/>
    <w:rsid w:val="0063674D"/>
    <w:rsid w:val="00636F34"/>
    <w:rsid w:val="00637A95"/>
    <w:rsid w:val="00640271"/>
    <w:rsid w:val="0064042D"/>
    <w:rsid w:val="0064086B"/>
    <w:rsid w:val="00640B45"/>
    <w:rsid w:val="00642502"/>
    <w:rsid w:val="00642DD1"/>
    <w:rsid w:val="00642DEF"/>
    <w:rsid w:val="006430E4"/>
    <w:rsid w:val="0064331D"/>
    <w:rsid w:val="00643703"/>
    <w:rsid w:val="0064462F"/>
    <w:rsid w:val="00644B64"/>
    <w:rsid w:val="00644FAB"/>
    <w:rsid w:val="006453A9"/>
    <w:rsid w:val="006454A9"/>
    <w:rsid w:val="00645B83"/>
    <w:rsid w:val="0064730C"/>
    <w:rsid w:val="00647512"/>
    <w:rsid w:val="006500C3"/>
    <w:rsid w:val="006511D7"/>
    <w:rsid w:val="00651A2D"/>
    <w:rsid w:val="00654828"/>
    <w:rsid w:val="00655DFD"/>
    <w:rsid w:val="0065638D"/>
    <w:rsid w:val="00656425"/>
    <w:rsid w:val="0065782A"/>
    <w:rsid w:val="0066036C"/>
    <w:rsid w:val="00660C20"/>
    <w:rsid w:val="006610BE"/>
    <w:rsid w:val="0066130B"/>
    <w:rsid w:val="00661F85"/>
    <w:rsid w:val="00662775"/>
    <w:rsid w:val="00663867"/>
    <w:rsid w:val="00663B2D"/>
    <w:rsid w:val="00663ECA"/>
    <w:rsid w:val="00664CF1"/>
    <w:rsid w:val="00665F2C"/>
    <w:rsid w:val="0066699F"/>
    <w:rsid w:val="00666FB8"/>
    <w:rsid w:val="0066730D"/>
    <w:rsid w:val="0066761F"/>
    <w:rsid w:val="006703D4"/>
    <w:rsid w:val="006711E9"/>
    <w:rsid w:val="00672642"/>
    <w:rsid w:val="006730B3"/>
    <w:rsid w:val="0067345C"/>
    <w:rsid w:val="00673670"/>
    <w:rsid w:val="00674F2C"/>
    <w:rsid w:val="00675A9B"/>
    <w:rsid w:val="006760B0"/>
    <w:rsid w:val="00676946"/>
    <w:rsid w:val="00676EF9"/>
    <w:rsid w:val="00677550"/>
    <w:rsid w:val="00677C67"/>
    <w:rsid w:val="00680396"/>
    <w:rsid w:val="00680581"/>
    <w:rsid w:val="006812E1"/>
    <w:rsid w:val="00681598"/>
    <w:rsid w:val="006817AA"/>
    <w:rsid w:val="006818D7"/>
    <w:rsid w:val="00682B0D"/>
    <w:rsid w:val="006834BE"/>
    <w:rsid w:val="00683A72"/>
    <w:rsid w:val="00683EF8"/>
    <w:rsid w:val="00685793"/>
    <w:rsid w:val="00685E1A"/>
    <w:rsid w:val="006863EC"/>
    <w:rsid w:val="006865C7"/>
    <w:rsid w:val="00686634"/>
    <w:rsid w:val="006869FB"/>
    <w:rsid w:val="00686EEB"/>
    <w:rsid w:val="00687D47"/>
    <w:rsid w:val="0069036E"/>
    <w:rsid w:val="00690461"/>
    <w:rsid w:val="006904FC"/>
    <w:rsid w:val="00690AE0"/>
    <w:rsid w:val="00690DAC"/>
    <w:rsid w:val="00692534"/>
    <w:rsid w:val="00692F9C"/>
    <w:rsid w:val="00695A2C"/>
    <w:rsid w:val="00696A50"/>
    <w:rsid w:val="00696AFC"/>
    <w:rsid w:val="00697394"/>
    <w:rsid w:val="0069748E"/>
    <w:rsid w:val="006A05C8"/>
    <w:rsid w:val="006A0FA4"/>
    <w:rsid w:val="006A10AB"/>
    <w:rsid w:val="006A1443"/>
    <w:rsid w:val="006A2D2E"/>
    <w:rsid w:val="006A43C2"/>
    <w:rsid w:val="006A4FB9"/>
    <w:rsid w:val="006A605E"/>
    <w:rsid w:val="006A64EA"/>
    <w:rsid w:val="006A78BF"/>
    <w:rsid w:val="006A7F6D"/>
    <w:rsid w:val="006B09E0"/>
    <w:rsid w:val="006B0CB3"/>
    <w:rsid w:val="006B0CF8"/>
    <w:rsid w:val="006B10CA"/>
    <w:rsid w:val="006B1343"/>
    <w:rsid w:val="006B179F"/>
    <w:rsid w:val="006B23DE"/>
    <w:rsid w:val="006B2B6A"/>
    <w:rsid w:val="006B2E05"/>
    <w:rsid w:val="006B4BAC"/>
    <w:rsid w:val="006B5401"/>
    <w:rsid w:val="006B5402"/>
    <w:rsid w:val="006B594F"/>
    <w:rsid w:val="006B5CC2"/>
    <w:rsid w:val="006B6CC1"/>
    <w:rsid w:val="006B714D"/>
    <w:rsid w:val="006B7183"/>
    <w:rsid w:val="006B79E0"/>
    <w:rsid w:val="006B7FA3"/>
    <w:rsid w:val="006C09B4"/>
    <w:rsid w:val="006C2073"/>
    <w:rsid w:val="006C27C8"/>
    <w:rsid w:val="006C30E9"/>
    <w:rsid w:val="006C311A"/>
    <w:rsid w:val="006C3A28"/>
    <w:rsid w:val="006C400D"/>
    <w:rsid w:val="006C558F"/>
    <w:rsid w:val="006C61CD"/>
    <w:rsid w:val="006C6326"/>
    <w:rsid w:val="006C6559"/>
    <w:rsid w:val="006C6596"/>
    <w:rsid w:val="006D00BA"/>
    <w:rsid w:val="006D04EB"/>
    <w:rsid w:val="006D0552"/>
    <w:rsid w:val="006D0F40"/>
    <w:rsid w:val="006D153D"/>
    <w:rsid w:val="006D1DF1"/>
    <w:rsid w:val="006D20C5"/>
    <w:rsid w:val="006D2419"/>
    <w:rsid w:val="006D320F"/>
    <w:rsid w:val="006D5346"/>
    <w:rsid w:val="006D5834"/>
    <w:rsid w:val="006D694F"/>
    <w:rsid w:val="006D7B7D"/>
    <w:rsid w:val="006E0B02"/>
    <w:rsid w:val="006E0D66"/>
    <w:rsid w:val="006E1A6F"/>
    <w:rsid w:val="006E2194"/>
    <w:rsid w:val="006E24CF"/>
    <w:rsid w:val="006E320F"/>
    <w:rsid w:val="006E4667"/>
    <w:rsid w:val="006E4A35"/>
    <w:rsid w:val="006E5233"/>
    <w:rsid w:val="006E6153"/>
    <w:rsid w:val="006E7798"/>
    <w:rsid w:val="006E78E2"/>
    <w:rsid w:val="006F0030"/>
    <w:rsid w:val="006F09F0"/>
    <w:rsid w:val="006F125C"/>
    <w:rsid w:val="006F1307"/>
    <w:rsid w:val="006F36AF"/>
    <w:rsid w:val="006F47DD"/>
    <w:rsid w:val="006F51ED"/>
    <w:rsid w:val="006F549E"/>
    <w:rsid w:val="006F5768"/>
    <w:rsid w:val="006F6345"/>
    <w:rsid w:val="006F6493"/>
    <w:rsid w:val="006F73C0"/>
    <w:rsid w:val="006F7602"/>
    <w:rsid w:val="006F7F7A"/>
    <w:rsid w:val="00700729"/>
    <w:rsid w:val="00700D26"/>
    <w:rsid w:val="007010C9"/>
    <w:rsid w:val="00702C94"/>
    <w:rsid w:val="007036D6"/>
    <w:rsid w:val="007041B5"/>
    <w:rsid w:val="007047CD"/>
    <w:rsid w:val="00704F08"/>
    <w:rsid w:val="007054E5"/>
    <w:rsid w:val="007055E2"/>
    <w:rsid w:val="0070576C"/>
    <w:rsid w:val="0070583C"/>
    <w:rsid w:val="007062AF"/>
    <w:rsid w:val="00706F25"/>
    <w:rsid w:val="0070752F"/>
    <w:rsid w:val="00707AA2"/>
    <w:rsid w:val="00707ACF"/>
    <w:rsid w:val="007105C7"/>
    <w:rsid w:val="00710A24"/>
    <w:rsid w:val="00710CC7"/>
    <w:rsid w:val="00710F40"/>
    <w:rsid w:val="007116AF"/>
    <w:rsid w:val="00711AC6"/>
    <w:rsid w:val="007129C2"/>
    <w:rsid w:val="00713461"/>
    <w:rsid w:val="00714399"/>
    <w:rsid w:val="00715461"/>
    <w:rsid w:val="0071594B"/>
    <w:rsid w:val="00717102"/>
    <w:rsid w:val="00717854"/>
    <w:rsid w:val="00717A40"/>
    <w:rsid w:val="007207A8"/>
    <w:rsid w:val="0072200F"/>
    <w:rsid w:val="0072209C"/>
    <w:rsid w:val="00724C8A"/>
    <w:rsid w:val="00724F73"/>
    <w:rsid w:val="0072597C"/>
    <w:rsid w:val="00725A87"/>
    <w:rsid w:val="007264CE"/>
    <w:rsid w:val="00726E91"/>
    <w:rsid w:val="00727255"/>
    <w:rsid w:val="00727C25"/>
    <w:rsid w:val="00727CD2"/>
    <w:rsid w:val="007303E1"/>
    <w:rsid w:val="00731575"/>
    <w:rsid w:val="00731BEE"/>
    <w:rsid w:val="00731F93"/>
    <w:rsid w:val="0073358A"/>
    <w:rsid w:val="007337AD"/>
    <w:rsid w:val="007343DE"/>
    <w:rsid w:val="007348B5"/>
    <w:rsid w:val="00735D52"/>
    <w:rsid w:val="00736758"/>
    <w:rsid w:val="00736FBB"/>
    <w:rsid w:val="00737EC1"/>
    <w:rsid w:val="00740A9B"/>
    <w:rsid w:val="00740B37"/>
    <w:rsid w:val="00740D5F"/>
    <w:rsid w:val="0074166C"/>
    <w:rsid w:val="007418E4"/>
    <w:rsid w:val="00742E68"/>
    <w:rsid w:val="00745938"/>
    <w:rsid w:val="00745FC4"/>
    <w:rsid w:val="007468FC"/>
    <w:rsid w:val="007504F0"/>
    <w:rsid w:val="00750669"/>
    <w:rsid w:val="007507B5"/>
    <w:rsid w:val="00750D2E"/>
    <w:rsid w:val="007518CB"/>
    <w:rsid w:val="007518D9"/>
    <w:rsid w:val="00751F74"/>
    <w:rsid w:val="007541D4"/>
    <w:rsid w:val="007541DA"/>
    <w:rsid w:val="007545D5"/>
    <w:rsid w:val="00754B52"/>
    <w:rsid w:val="007550CF"/>
    <w:rsid w:val="0075546F"/>
    <w:rsid w:val="0075595B"/>
    <w:rsid w:val="0075652F"/>
    <w:rsid w:val="00756C9F"/>
    <w:rsid w:val="007606D0"/>
    <w:rsid w:val="007608FA"/>
    <w:rsid w:val="00760952"/>
    <w:rsid w:val="00760F11"/>
    <w:rsid w:val="0076352A"/>
    <w:rsid w:val="007658CF"/>
    <w:rsid w:val="007665E4"/>
    <w:rsid w:val="00766B70"/>
    <w:rsid w:val="00766DFA"/>
    <w:rsid w:val="007670C0"/>
    <w:rsid w:val="00770050"/>
    <w:rsid w:val="00770D51"/>
    <w:rsid w:val="00770E3F"/>
    <w:rsid w:val="00771990"/>
    <w:rsid w:val="00771C9B"/>
    <w:rsid w:val="00773211"/>
    <w:rsid w:val="00773284"/>
    <w:rsid w:val="007735D9"/>
    <w:rsid w:val="00774C88"/>
    <w:rsid w:val="007769DC"/>
    <w:rsid w:val="00776B38"/>
    <w:rsid w:val="00776CC9"/>
    <w:rsid w:val="00776FA1"/>
    <w:rsid w:val="00777628"/>
    <w:rsid w:val="00777822"/>
    <w:rsid w:val="00777B09"/>
    <w:rsid w:val="00780114"/>
    <w:rsid w:val="0078035F"/>
    <w:rsid w:val="00780AE8"/>
    <w:rsid w:val="00780BEB"/>
    <w:rsid w:val="00780F49"/>
    <w:rsid w:val="00781B5C"/>
    <w:rsid w:val="00781DCD"/>
    <w:rsid w:val="00781DFD"/>
    <w:rsid w:val="00781ED3"/>
    <w:rsid w:val="00782F00"/>
    <w:rsid w:val="00784271"/>
    <w:rsid w:val="00784413"/>
    <w:rsid w:val="007844D5"/>
    <w:rsid w:val="00784652"/>
    <w:rsid w:val="0078486B"/>
    <w:rsid w:val="007851E7"/>
    <w:rsid w:val="007858D0"/>
    <w:rsid w:val="00785B13"/>
    <w:rsid w:val="00787564"/>
    <w:rsid w:val="00787B63"/>
    <w:rsid w:val="00790B7D"/>
    <w:rsid w:val="00790E1A"/>
    <w:rsid w:val="00791227"/>
    <w:rsid w:val="00792739"/>
    <w:rsid w:val="0079387C"/>
    <w:rsid w:val="00793AA3"/>
    <w:rsid w:val="00794F79"/>
    <w:rsid w:val="00795507"/>
    <w:rsid w:val="0079557F"/>
    <w:rsid w:val="007962EF"/>
    <w:rsid w:val="007969AA"/>
    <w:rsid w:val="00796FB3"/>
    <w:rsid w:val="00797142"/>
    <w:rsid w:val="007A066A"/>
    <w:rsid w:val="007A070F"/>
    <w:rsid w:val="007A1822"/>
    <w:rsid w:val="007A24A2"/>
    <w:rsid w:val="007A38F8"/>
    <w:rsid w:val="007A42B8"/>
    <w:rsid w:val="007A49F3"/>
    <w:rsid w:val="007A507E"/>
    <w:rsid w:val="007A5DDC"/>
    <w:rsid w:val="007A6C68"/>
    <w:rsid w:val="007A6D55"/>
    <w:rsid w:val="007B0547"/>
    <w:rsid w:val="007B20A3"/>
    <w:rsid w:val="007B2272"/>
    <w:rsid w:val="007B2285"/>
    <w:rsid w:val="007B2E03"/>
    <w:rsid w:val="007B3B86"/>
    <w:rsid w:val="007B4620"/>
    <w:rsid w:val="007B4DD3"/>
    <w:rsid w:val="007B5E72"/>
    <w:rsid w:val="007B5F47"/>
    <w:rsid w:val="007B6D40"/>
    <w:rsid w:val="007B6EEE"/>
    <w:rsid w:val="007B719A"/>
    <w:rsid w:val="007B7B74"/>
    <w:rsid w:val="007C235F"/>
    <w:rsid w:val="007C2B79"/>
    <w:rsid w:val="007C3C7B"/>
    <w:rsid w:val="007C5099"/>
    <w:rsid w:val="007C5214"/>
    <w:rsid w:val="007C5BC6"/>
    <w:rsid w:val="007C6D74"/>
    <w:rsid w:val="007C7E41"/>
    <w:rsid w:val="007D024C"/>
    <w:rsid w:val="007D1DC0"/>
    <w:rsid w:val="007D4833"/>
    <w:rsid w:val="007D4BE1"/>
    <w:rsid w:val="007D4DE2"/>
    <w:rsid w:val="007D4E2A"/>
    <w:rsid w:val="007D546D"/>
    <w:rsid w:val="007D5491"/>
    <w:rsid w:val="007D6601"/>
    <w:rsid w:val="007D6DBE"/>
    <w:rsid w:val="007D6DD7"/>
    <w:rsid w:val="007D721C"/>
    <w:rsid w:val="007D7282"/>
    <w:rsid w:val="007D786E"/>
    <w:rsid w:val="007D7E5A"/>
    <w:rsid w:val="007E0572"/>
    <w:rsid w:val="007E0E2C"/>
    <w:rsid w:val="007E179B"/>
    <w:rsid w:val="007E28BA"/>
    <w:rsid w:val="007E2DA8"/>
    <w:rsid w:val="007E3975"/>
    <w:rsid w:val="007E3BD1"/>
    <w:rsid w:val="007E3CB6"/>
    <w:rsid w:val="007E3F9C"/>
    <w:rsid w:val="007E427E"/>
    <w:rsid w:val="007E47F5"/>
    <w:rsid w:val="007E5A0D"/>
    <w:rsid w:val="007E5B6A"/>
    <w:rsid w:val="007E628B"/>
    <w:rsid w:val="007E6ED0"/>
    <w:rsid w:val="007E7B75"/>
    <w:rsid w:val="007F1846"/>
    <w:rsid w:val="007F62B4"/>
    <w:rsid w:val="007F6B61"/>
    <w:rsid w:val="007F7475"/>
    <w:rsid w:val="007F7E30"/>
    <w:rsid w:val="00800221"/>
    <w:rsid w:val="0080363F"/>
    <w:rsid w:val="00805C73"/>
    <w:rsid w:val="00805FE0"/>
    <w:rsid w:val="00807E3B"/>
    <w:rsid w:val="008145EC"/>
    <w:rsid w:val="00814618"/>
    <w:rsid w:val="00814DC4"/>
    <w:rsid w:val="00815506"/>
    <w:rsid w:val="00815517"/>
    <w:rsid w:val="00815920"/>
    <w:rsid w:val="00815A18"/>
    <w:rsid w:val="0081728C"/>
    <w:rsid w:val="00817DC4"/>
    <w:rsid w:val="00820B83"/>
    <w:rsid w:val="00820BA3"/>
    <w:rsid w:val="00821770"/>
    <w:rsid w:val="008217E0"/>
    <w:rsid w:val="00821A7D"/>
    <w:rsid w:val="00821EB4"/>
    <w:rsid w:val="00822F16"/>
    <w:rsid w:val="00822F3A"/>
    <w:rsid w:val="008235B4"/>
    <w:rsid w:val="00823612"/>
    <w:rsid w:val="00824A2A"/>
    <w:rsid w:val="00824BD5"/>
    <w:rsid w:val="00825156"/>
    <w:rsid w:val="00825450"/>
    <w:rsid w:val="00825AFC"/>
    <w:rsid w:val="00826C57"/>
    <w:rsid w:val="008302DA"/>
    <w:rsid w:val="0083033D"/>
    <w:rsid w:val="008305AC"/>
    <w:rsid w:val="00830CA7"/>
    <w:rsid w:val="008311D9"/>
    <w:rsid w:val="008323DF"/>
    <w:rsid w:val="0083297B"/>
    <w:rsid w:val="008335BC"/>
    <w:rsid w:val="0083406D"/>
    <w:rsid w:val="00834613"/>
    <w:rsid w:val="00834C65"/>
    <w:rsid w:val="0083512A"/>
    <w:rsid w:val="00835366"/>
    <w:rsid w:val="00835973"/>
    <w:rsid w:val="00836084"/>
    <w:rsid w:val="008407A7"/>
    <w:rsid w:val="0084148F"/>
    <w:rsid w:val="00841FC1"/>
    <w:rsid w:val="008454CD"/>
    <w:rsid w:val="008467D0"/>
    <w:rsid w:val="008468C4"/>
    <w:rsid w:val="00847542"/>
    <w:rsid w:val="00847A68"/>
    <w:rsid w:val="00847D65"/>
    <w:rsid w:val="00847FFB"/>
    <w:rsid w:val="00850711"/>
    <w:rsid w:val="00850CC1"/>
    <w:rsid w:val="00850F45"/>
    <w:rsid w:val="008511CA"/>
    <w:rsid w:val="00851CFA"/>
    <w:rsid w:val="008527FB"/>
    <w:rsid w:val="00852AF2"/>
    <w:rsid w:val="00853A60"/>
    <w:rsid w:val="00855697"/>
    <w:rsid w:val="00855852"/>
    <w:rsid w:val="00855A5F"/>
    <w:rsid w:val="00855B0F"/>
    <w:rsid w:val="00856A29"/>
    <w:rsid w:val="00856A3B"/>
    <w:rsid w:val="00856F70"/>
    <w:rsid w:val="00857149"/>
    <w:rsid w:val="0085778A"/>
    <w:rsid w:val="00857FB5"/>
    <w:rsid w:val="0086085E"/>
    <w:rsid w:val="00860A5A"/>
    <w:rsid w:val="00861987"/>
    <w:rsid w:val="00862AD5"/>
    <w:rsid w:val="00862FB0"/>
    <w:rsid w:val="00864294"/>
    <w:rsid w:val="0086453C"/>
    <w:rsid w:val="00865697"/>
    <w:rsid w:val="008657CD"/>
    <w:rsid w:val="00865953"/>
    <w:rsid w:val="00865CD0"/>
    <w:rsid w:val="0086617B"/>
    <w:rsid w:val="008661DD"/>
    <w:rsid w:val="008666C5"/>
    <w:rsid w:val="00866E14"/>
    <w:rsid w:val="00866E19"/>
    <w:rsid w:val="0086742D"/>
    <w:rsid w:val="00867E73"/>
    <w:rsid w:val="00870D0B"/>
    <w:rsid w:val="00871150"/>
    <w:rsid w:val="008719BF"/>
    <w:rsid w:val="00872524"/>
    <w:rsid w:val="00872E04"/>
    <w:rsid w:val="00873445"/>
    <w:rsid w:val="008737E3"/>
    <w:rsid w:val="00873E1D"/>
    <w:rsid w:val="008743CB"/>
    <w:rsid w:val="00876AB1"/>
    <w:rsid w:val="00876C9B"/>
    <w:rsid w:val="008773E2"/>
    <w:rsid w:val="008774B0"/>
    <w:rsid w:val="00877F35"/>
    <w:rsid w:val="00880D24"/>
    <w:rsid w:val="00881DA1"/>
    <w:rsid w:val="00882086"/>
    <w:rsid w:val="00882778"/>
    <w:rsid w:val="00882D6F"/>
    <w:rsid w:val="00882D8A"/>
    <w:rsid w:val="00882E0A"/>
    <w:rsid w:val="00882EC7"/>
    <w:rsid w:val="008832B7"/>
    <w:rsid w:val="008843EA"/>
    <w:rsid w:val="00884484"/>
    <w:rsid w:val="00884830"/>
    <w:rsid w:val="0088512F"/>
    <w:rsid w:val="0088582C"/>
    <w:rsid w:val="00886CCF"/>
    <w:rsid w:val="00890590"/>
    <w:rsid w:val="008907FC"/>
    <w:rsid w:val="00890A8D"/>
    <w:rsid w:val="00891269"/>
    <w:rsid w:val="00891785"/>
    <w:rsid w:val="00892B3F"/>
    <w:rsid w:val="00892D17"/>
    <w:rsid w:val="00892EAA"/>
    <w:rsid w:val="008930D6"/>
    <w:rsid w:val="00893AA6"/>
    <w:rsid w:val="0089453C"/>
    <w:rsid w:val="00896060"/>
    <w:rsid w:val="0089727A"/>
    <w:rsid w:val="008979D6"/>
    <w:rsid w:val="008A01DB"/>
    <w:rsid w:val="008A05A5"/>
    <w:rsid w:val="008A0E62"/>
    <w:rsid w:val="008A3251"/>
    <w:rsid w:val="008A37E5"/>
    <w:rsid w:val="008A39AD"/>
    <w:rsid w:val="008A3EE9"/>
    <w:rsid w:val="008A661A"/>
    <w:rsid w:val="008A6735"/>
    <w:rsid w:val="008A6C6F"/>
    <w:rsid w:val="008A75F1"/>
    <w:rsid w:val="008B029E"/>
    <w:rsid w:val="008B035C"/>
    <w:rsid w:val="008B078B"/>
    <w:rsid w:val="008B0A89"/>
    <w:rsid w:val="008B1FC0"/>
    <w:rsid w:val="008B23E7"/>
    <w:rsid w:val="008B2C19"/>
    <w:rsid w:val="008B30FB"/>
    <w:rsid w:val="008B3232"/>
    <w:rsid w:val="008B3B90"/>
    <w:rsid w:val="008B3DA4"/>
    <w:rsid w:val="008B4295"/>
    <w:rsid w:val="008B5C14"/>
    <w:rsid w:val="008B5CA5"/>
    <w:rsid w:val="008B6B44"/>
    <w:rsid w:val="008B712B"/>
    <w:rsid w:val="008B7816"/>
    <w:rsid w:val="008B7E51"/>
    <w:rsid w:val="008C06CD"/>
    <w:rsid w:val="008C06D4"/>
    <w:rsid w:val="008C1860"/>
    <w:rsid w:val="008C24E7"/>
    <w:rsid w:val="008C33AC"/>
    <w:rsid w:val="008C570D"/>
    <w:rsid w:val="008C60D5"/>
    <w:rsid w:val="008C636F"/>
    <w:rsid w:val="008C6652"/>
    <w:rsid w:val="008C7673"/>
    <w:rsid w:val="008C78E4"/>
    <w:rsid w:val="008C7D0F"/>
    <w:rsid w:val="008D4445"/>
    <w:rsid w:val="008D512D"/>
    <w:rsid w:val="008D74B3"/>
    <w:rsid w:val="008D7757"/>
    <w:rsid w:val="008D7D0A"/>
    <w:rsid w:val="008E302E"/>
    <w:rsid w:val="008E35B9"/>
    <w:rsid w:val="008E3B6E"/>
    <w:rsid w:val="008E43A2"/>
    <w:rsid w:val="008E4D95"/>
    <w:rsid w:val="008E4FF8"/>
    <w:rsid w:val="008E57E3"/>
    <w:rsid w:val="008E5AA0"/>
    <w:rsid w:val="008E7522"/>
    <w:rsid w:val="008F109D"/>
    <w:rsid w:val="008F13E4"/>
    <w:rsid w:val="008F3385"/>
    <w:rsid w:val="008F4005"/>
    <w:rsid w:val="008F40B4"/>
    <w:rsid w:val="008F4519"/>
    <w:rsid w:val="008F5386"/>
    <w:rsid w:val="008F736A"/>
    <w:rsid w:val="008F7431"/>
    <w:rsid w:val="00900CAF"/>
    <w:rsid w:val="00900F4F"/>
    <w:rsid w:val="00901C3E"/>
    <w:rsid w:val="00902B39"/>
    <w:rsid w:val="00903C6A"/>
    <w:rsid w:val="00903E18"/>
    <w:rsid w:val="009042CE"/>
    <w:rsid w:val="00904DB0"/>
    <w:rsid w:val="00904E32"/>
    <w:rsid w:val="00905271"/>
    <w:rsid w:val="00905BA4"/>
    <w:rsid w:val="00906892"/>
    <w:rsid w:val="009073BE"/>
    <w:rsid w:val="00907824"/>
    <w:rsid w:val="0090799C"/>
    <w:rsid w:val="00907AD9"/>
    <w:rsid w:val="00910366"/>
    <w:rsid w:val="009107B1"/>
    <w:rsid w:val="00911B90"/>
    <w:rsid w:val="00911D3E"/>
    <w:rsid w:val="00912467"/>
    <w:rsid w:val="009125AA"/>
    <w:rsid w:val="00912895"/>
    <w:rsid w:val="00912A56"/>
    <w:rsid w:val="00913E40"/>
    <w:rsid w:val="009141AE"/>
    <w:rsid w:val="00915DBC"/>
    <w:rsid w:val="00916022"/>
    <w:rsid w:val="00916120"/>
    <w:rsid w:val="00916234"/>
    <w:rsid w:val="00916328"/>
    <w:rsid w:val="0091665D"/>
    <w:rsid w:val="0091765A"/>
    <w:rsid w:val="009204F1"/>
    <w:rsid w:val="00920787"/>
    <w:rsid w:val="00920E1A"/>
    <w:rsid w:val="0092125D"/>
    <w:rsid w:val="009218FF"/>
    <w:rsid w:val="00921D16"/>
    <w:rsid w:val="00921F89"/>
    <w:rsid w:val="009227A0"/>
    <w:rsid w:val="009240E7"/>
    <w:rsid w:val="009244F9"/>
    <w:rsid w:val="009251C2"/>
    <w:rsid w:val="0092593A"/>
    <w:rsid w:val="00925F45"/>
    <w:rsid w:val="00925F9B"/>
    <w:rsid w:val="0092693B"/>
    <w:rsid w:val="009270C5"/>
    <w:rsid w:val="0092774F"/>
    <w:rsid w:val="009277A9"/>
    <w:rsid w:val="00927858"/>
    <w:rsid w:val="00927D0F"/>
    <w:rsid w:val="00927E22"/>
    <w:rsid w:val="00930556"/>
    <w:rsid w:val="00930F14"/>
    <w:rsid w:val="00931EE9"/>
    <w:rsid w:val="009324BD"/>
    <w:rsid w:val="00932903"/>
    <w:rsid w:val="00932997"/>
    <w:rsid w:val="00932E4A"/>
    <w:rsid w:val="00932FA0"/>
    <w:rsid w:val="00932FC8"/>
    <w:rsid w:val="00933059"/>
    <w:rsid w:val="00933965"/>
    <w:rsid w:val="0093420B"/>
    <w:rsid w:val="00934BA6"/>
    <w:rsid w:val="009368F5"/>
    <w:rsid w:val="00936FC9"/>
    <w:rsid w:val="00937776"/>
    <w:rsid w:val="00940BA2"/>
    <w:rsid w:val="00941320"/>
    <w:rsid w:val="009419EA"/>
    <w:rsid w:val="00942F5A"/>
    <w:rsid w:val="0094489D"/>
    <w:rsid w:val="0094582A"/>
    <w:rsid w:val="00946677"/>
    <w:rsid w:val="00946E88"/>
    <w:rsid w:val="009471B1"/>
    <w:rsid w:val="00947507"/>
    <w:rsid w:val="00947D08"/>
    <w:rsid w:val="00947F02"/>
    <w:rsid w:val="009506BF"/>
    <w:rsid w:val="009508A7"/>
    <w:rsid w:val="00950E53"/>
    <w:rsid w:val="009514A3"/>
    <w:rsid w:val="00951C48"/>
    <w:rsid w:val="00953878"/>
    <w:rsid w:val="00953E41"/>
    <w:rsid w:val="00954B7C"/>
    <w:rsid w:val="00955B0C"/>
    <w:rsid w:val="00956598"/>
    <w:rsid w:val="00956D75"/>
    <w:rsid w:val="00956EAE"/>
    <w:rsid w:val="0095730A"/>
    <w:rsid w:val="00960C83"/>
    <w:rsid w:val="009611F7"/>
    <w:rsid w:val="00961702"/>
    <w:rsid w:val="0096196B"/>
    <w:rsid w:val="00961A4A"/>
    <w:rsid w:val="00961A92"/>
    <w:rsid w:val="00962596"/>
    <w:rsid w:val="00962929"/>
    <w:rsid w:val="00962AA3"/>
    <w:rsid w:val="00962E10"/>
    <w:rsid w:val="00963C61"/>
    <w:rsid w:val="009644DC"/>
    <w:rsid w:val="00964B53"/>
    <w:rsid w:val="00965116"/>
    <w:rsid w:val="00965A00"/>
    <w:rsid w:val="00965FD1"/>
    <w:rsid w:val="00966CA5"/>
    <w:rsid w:val="0097107C"/>
    <w:rsid w:val="009719D9"/>
    <w:rsid w:val="00971EF4"/>
    <w:rsid w:val="00973145"/>
    <w:rsid w:val="009733D5"/>
    <w:rsid w:val="0097350F"/>
    <w:rsid w:val="00973A25"/>
    <w:rsid w:val="00973B0F"/>
    <w:rsid w:val="00974CE9"/>
    <w:rsid w:val="009750CD"/>
    <w:rsid w:val="00975679"/>
    <w:rsid w:val="009760BC"/>
    <w:rsid w:val="009763D8"/>
    <w:rsid w:val="00977ED2"/>
    <w:rsid w:val="0098033F"/>
    <w:rsid w:val="009810DE"/>
    <w:rsid w:val="00981533"/>
    <w:rsid w:val="00981917"/>
    <w:rsid w:val="00981C9E"/>
    <w:rsid w:val="00982035"/>
    <w:rsid w:val="009825B6"/>
    <w:rsid w:val="00982657"/>
    <w:rsid w:val="00982724"/>
    <w:rsid w:val="00983DB3"/>
    <w:rsid w:val="0098452A"/>
    <w:rsid w:val="009853B0"/>
    <w:rsid w:val="00985687"/>
    <w:rsid w:val="00986A1A"/>
    <w:rsid w:val="00986C6F"/>
    <w:rsid w:val="00986F8D"/>
    <w:rsid w:val="0098779A"/>
    <w:rsid w:val="00990820"/>
    <w:rsid w:val="00991A06"/>
    <w:rsid w:val="00991AE5"/>
    <w:rsid w:val="00992069"/>
    <w:rsid w:val="009921C0"/>
    <w:rsid w:val="00993D63"/>
    <w:rsid w:val="009949BA"/>
    <w:rsid w:val="00995D2E"/>
    <w:rsid w:val="00995D4B"/>
    <w:rsid w:val="00995EA9"/>
    <w:rsid w:val="00996142"/>
    <w:rsid w:val="00996AA5"/>
    <w:rsid w:val="00996CDD"/>
    <w:rsid w:val="009A04BF"/>
    <w:rsid w:val="009A0623"/>
    <w:rsid w:val="009A0741"/>
    <w:rsid w:val="009A0788"/>
    <w:rsid w:val="009A0B09"/>
    <w:rsid w:val="009A14AD"/>
    <w:rsid w:val="009A169E"/>
    <w:rsid w:val="009A20D0"/>
    <w:rsid w:val="009A20F9"/>
    <w:rsid w:val="009A22FD"/>
    <w:rsid w:val="009A332F"/>
    <w:rsid w:val="009A35C1"/>
    <w:rsid w:val="009A3722"/>
    <w:rsid w:val="009A3878"/>
    <w:rsid w:val="009A3C72"/>
    <w:rsid w:val="009A4FC7"/>
    <w:rsid w:val="009A58F9"/>
    <w:rsid w:val="009A6076"/>
    <w:rsid w:val="009A6FDD"/>
    <w:rsid w:val="009B0258"/>
    <w:rsid w:val="009B06E8"/>
    <w:rsid w:val="009B0B6F"/>
    <w:rsid w:val="009B101E"/>
    <w:rsid w:val="009B20AA"/>
    <w:rsid w:val="009B21B2"/>
    <w:rsid w:val="009B27AE"/>
    <w:rsid w:val="009B2E7E"/>
    <w:rsid w:val="009B3014"/>
    <w:rsid w:val="009B3113"/>
    <w:rsid w:val="009B3F50"/>
    <w:rsid w:val="009B488B"/>
    <w:rsid w:val="009B5FBF"/>
    <w:rsid w:val="009B65C3"/>
    <w:rsid w:val="009C047E"/>
    <w:rsid w:val="009C05A3"/>
    <w:rsid w:val="009C117D"/>
    <w:rsid w:val="009C24A0"/>
    <w:rsid w:val="009C2BBA"/>
    <w:rsid w:val="009C2C54"/>
    <w:rsid w:val="009C3786"/>
    <w:rsid w:val="009C3DBE"/>
    <w:rsid w:val="009C4085"/>
    <w:rsid w:val="009C519E"/>
    <w:rsid w:val="009C5E28"/>
    <w:rsid w:val="009C6F22"/>
    <w:rsid w:val="009D0434"/>
    <w:rsid w:val="009D107A"/>
    <w:rsid w:val="009D195F"/>
    <w:rsid w:val="009D1AE7"/>
    <w:rsid w:val="009D21D1"/>
    <w:rsid w:val="009D275D"/>
    <w:rsid w:val="009D29A3"/>
    <w:rsid w:val="009D29E2"/>
    <w:rsid w:val="009D2AAF"/>
    <w:rsid w:val="009D3343"/>
    <w:rsid w:val="009D37F4"/>
    <w:rsid w:val="009D3BE5"/>
    <w:rsid w:val="009D4D66"/>
    <w:rsid w:val="009D505D"/>
    <w:rsid w:val="009D54F1"/>
    <w:rsid w:val="009D64A6"/>
    <w:rsid w:val="009D6F04"/>
    <w:rsid w:val="009D7599"/>
    <w:rsid w:val="009E044B"/>
    <w:rsid w:val="009E09F1"/>
    <w:rsid w:val="009E166C"/>
    <w:rsid w:val="009E24D7"/>
    <w:rsid w:val="009E3375"/>
    <w:rsid w:val="009E33B8"/>
    <w:rsid w:val="009E4753"/>
    <w:rsid w:val="009E70EA"/>
    <w:rsid w:val="009E74A1"/>
    <w:rsid w:val="009F0021"/>
    <w:rsid w:val="009F0368"/>
    <w:rsid w:val="009F3196"/>
    <w:rsid w:val="009F4333"/>
    <w:rsid w:val="009F50C0"/>
    <w:rsid w:val="009F5123"/>
    <w:rsid w:val="009F5662"/>
    <w:rsid w:val="009F57F6"/>
    <w:rsid w:val="009F5953"/>
    <w:rsid w:val="009F5B52"/>
    <w:rsid w:val="009F6632"/>
    <w:rsid w:val="009F7B2B"/>
    <w:rsid w:val="009F7C74"/>
    <w:rsid w:val="009F7E1C"/>
    <w:rsid w:val="009F7FD6"/>
    <w:rsid w:val="00A01328"/>
    <w:rsid w:val="00A01846"/>
    <w:rsid w:val="00A02433"/>
    <w:rsid w:val="00A03C3B"/>
    <w:rsid w:val="00A03CA9"/>
    <w:rsid w:val="00A03E57"/>
    <w:rsid w:val="00A042E3"/>
    <w:rsid w:val="00A050C5"/>
    <w:rsid w:val="00A0556F"/>
    <w:rsid w:val="00A06C7F"/>
    <w:rsid w:val="00A06F20"/>
    <w:rsid w:val="00A07A48"/>
    <w:rsid w:val="00A07D08"/>
    <w:rsid w:val="00A10DC5"/>
    <w:rsid w:val="00A125BD"/>
    <w:rsid w:val="00A137F4"/>
    <w:rsid w:val="00A145C2"/>
    <w:rsid w:val="00A14807"/>
    <w:rsid w:val="00A1512A"/>
    <w:rsid w:val="00A15372"/>
    <w:rsid w:val="00A154B5"/>
    <w:rsid w:val="00A17CF9"/>
    <w:rsid w:val="00A20968"/>
    <w:rsid w:val="00A20B7D"/>
    <w:rsid w:val="00A216DD"/>
    <w:rsid w:val="00A218D1"/>
    <w:rsid w:val="00A230DA"/>
    <w:rsid w:val="00A2319E"/>
    <w:rsid w:val="00A23A8A"/>
    <w:rsid w:val="00A23BB5"/>
    <w:rsid w:val="00A246E0"/>
    <w:rsid w:val="00A25890"/>
    <w:rsid w:val="00A25D99"/>
    <w:rsid w:val="00A26DF6"/>
    <w:rsid w:val="00A27394"/>
    <w:rsid w:val="00A27A3A"/>
    <w:rsid w:val="00A30167"/>
    <w:rsid w:val="00A30BEE"/>
    <w:rsid w:val="00A324E8"/>
    <w:rsid w:val="00A3302D"/>
    <w:rsid w:val="00A34077"/>
    <w:rsid w:val="00A34A5B"/>
    <w:rsid w:val="00A34BC0"/>
    <w:rsid w:val="00A34EEE"/>
    <w:rsid w:val="00A35244"/>
    <w:rsid w:val="00A35280"/>
    <w:rsid w:val="00A3542D"/>
    <w:rsid w:val="00A35A94"/>
    <w:rsid w:val="00A378A5"/>
    <w:rsid w:val="00A40D09"/>
    <w:rsid w:val="00A4123A"/>
    <w:rsid w:val="00A428CD"/>
    <w:rsid w:val="00A42F2F"/>
    <w:rsid w:val="00A450A2"/>
    <w:rsid w:val="00A46350"/>
    <w:rsid w:val="00A471F7"/>
    <w:rsid w:val="00A47207"/>
    <w:rsid w:val="00A4725F"/>
    <w:rsid w:val="00A477C3"/>
    <w:rsid w:val="00A47AFD"/>
    <w:rsid w:val="00A47B18"/>
    <w:rsid w:val="00A47B9E"/>
    <w:rsid w:val="00A507F8"/>
    <w:rsid w:val="00A50918"/>
    <w:rsid w:val="00A50ABD"/>
    <w:rsid w:val="00A527FE"/>
    <w:rsid w:val="00A52E42"/>
    <w:rsid w:val="00A5317B"/>
    <w:rsid w:val="00A54A46"/>
    <w:rsid w:val="00A5599F"/>
    <w:rsid w:val="00A55A2C"/>
    <w:rsid w:val="00A56EBF"/>
    <w:rsid w:val="00A56F5C"/>
    <w:rsid w:val="00A61374"/>
    <w:rsid w:val="00A61B19"/>
    <w:rsid w:val="00A61D83"/>
    <w:rsid w:val="00A63401"/>
    <w:rsid w:val="00A6447A"/>
    <w:rsid w:val="00A64514"/>
    <w:rsid w:val="00A6568D"/>
    <w:rsid w:val="00A656E8"/>
    <w:rsid w:val="00A670A6"/>
    <w:rsid w:val="00A70510"/>
    <w:rsid w:val="00A706E3"/>
    <w:rsid w:val="00A717DB"/>
    <w:rsid w:val="00A71D65"/>
    <w:rsid w:val="00A71EB0"/>
    <w:rsid w:val="00A72E70"/>
    <w:rsid w:val="00A7309E"/>
    <w:rsid w:val="00A74081"/>
    <w:rsid w:val="00A747EA"/>
    <w:rsid w:val="00A74EF9"/>
    <w:rsid w:val="00A7500D"/>
    <w:rsid w:val="00A77126"/>
    <w:rsid w:val="00A7738D"/>
    <w:rsid w:val="00A776CF"/>
    <w:rsid w:val="00A80EDC"/>
    <w:rsid w:val="00A81AA4"/>
    <w:rsid w:val="00A81C43"/>
    <w:rsid w:val="00A82916"/>
    <w:rsid w:val="00A83CE0"/>
    <w:rsid w:val="00A83EC0"/>
    <w:rsid w:val="00A84E0E"/>
    <w:rsid w:val="00A851E2"/>
    <w:rsid w:val="00A8544A"/>
    <w:rsid w:val="00A85558"/>
    <w:rsid w:val="00A8619C"/>
    <w:rsid w:val="00A86641"/>
    <w:rsid w:val="00A86F6B"/>
    <w:rsid w:val="00A8757F"/>
    <w:rsid w:val="00A878CC"/>
    <w:rsid w:val="00A87EBB"/>
    <w:rsid w:val="00A90188"/>
    <w:rsid w:val="00A91005"/>
    <w:rsid w:val="00A91BD6"/>
    <w:rsid w:val="00A92996"/>
    <w:rsid w:val="00A9381A"/>
    <w:rsid w:val="00A949A8"/>
    <w:rsid w:val="00A95440"/>
    <w:rsid w:val="00A959FA"/>
    <w:rsid w:val="00A96286"/>
    <w:rsid w:val="00A972E9"/>
    <w:rsid w:val="00AA1F03"/>
    <w:rsid w:val="00AA2089"/>
    <w:rsid w:val="00AA231C"/>
    <w:rsid w:val="00AA27D8"/>
    <w:rsid w:val="00AA2844"/>
    <w:rsid w:val="00AA2A41"/>
    <w:rsid w:val="00AA33CB"/>
    <w:rsid w:val="00AA3605"/>
    <w:rsid w:val="00AA49DE"/>
    <w:rsid w:val="00AA5AFC"/>
    <w:rsid w:val="00AA5D98"/>
    <w:rsid w:val="00AA6486"/>
    <w:rsid w:val="00AA7C50"/>
    <w:rsid w:val="00AA7C7F"/>
    <w:rsid w:val="00AB254C"/>
    <w:rsid w:val="00AB29BC"/>
    <w:rsid w:val="00AB2BAA"/>
    <w:rsid w:val="00AB2BBA"/>
    <w:rsid w:val="00AB2FAB"/>
    <w:rsid w:val="00AB52CB"/>
    <w:rsid w:val="00AB6B20"/>
    <w:rsid w:val="00AB7EE1"/>
    <w:rsid w:val="00AC22CA"/>
    <w:rsid w:val="00AC2754"/>
    <w:rsid w:val="00AC3E4A"/>
    <w:rsid w:val="00AC3F11"/>
    <w:rsid w:val="00AC4B10"/>
    <w:rsid w:val="00AC5049"/>
    <w:rsid w:val="00AC5D26"/>
    <w:rsid w:val="00AC783C"/>
    <w:rsid w:val="00AD02EC"/>
    <w:rsid w:val="00AD1733"/>
    <w:rsid w:val="00AD26CD"/>
    <w:rsid w:val="00AD2DA5"/>
    <w:rsid w:val="00AD3048"/>
    <w:rsid w:val="00AD410F"/>
    <w:rsid w:val="00AD52CC"/>
    <w:rsid w:val="00AD540D"/>
    <w:rsid w:val="00AD5518"/>
    <w:rsid w:val="00AD5F2C"/>
    <w:rsid w:val="00AD6B37"/>
    <w:rsid w:val="00AD789C"/>
    <w:rsid w:val="00AD79E4"/>
    <w:rsid w:val="00AE0A0E"/>
    <w:rsid w:val="00AE27A8"/>
    <w:rsid w:val="00AE2E94"/>
    <w:rsid w:val="00AE3B37"/>
    <w:rsid w:val="00AE43C1"/>
    <w:rsid w:val="00AE441D"/>
    <w:rsid w:val="00AE449B"/>
    <w:rsid w:val="00AE5163"/>
    <w:rsid w:val="00AE51B2"/>
    <w:rsid w:val="00AE52FA"/>
    <w:rsid w:val="00AE5396"/>
    <w:rsid w:val="00AE6380"/>
    <w:rsid w:val="00AE6566"/>
    <w:rsid w:val="00AE6681"/>
    <w:rsid w:val="00AE6AEF"/>
    <w:rsid w:val="00AE6C14"/>
    <w:rsid w:val="00AE755C"/>
    <w:rsid w:val="00AF021D"/>
    <w:rsid w:val="00AF059E"/>
    <w:rsid w:val="00AF09BB"/>
    <w:rsid w:val="00AF0D87"/>
    <w:rsid w:val="00AF0E3D"/>
    <w:rsid w:val="00AF10DB"/>
    <w:rsid w:val="00AF354B"/>
    <w:rsid w:val="00AF3A52"/>
    <w:rsid w:val="00AF3CF7"/>
    <w:rsid w:val="00AF3FC0"/>
    <w:rsid w:val="00AF4283"/>
    <w:rsid w:val="00AF54E7"/>
    <w:rsid w:val="00AF6209"/>
    <w:rsid w:val="00AF66E7"/>
    <w:rsid w:val="00AF68E5"/>
    <w:rsid w:val="00AF69AC"/>
    <w:rsid w:val="00AF7C65"/>
    <w:rsid w:val="00B01304"/>
    <w:rsid w:val="00B018DA"/>
    <w:rsid w:val="00B05458"/>
    <w:rsid w:val="00B05F50"/>
    <w:rsid w:val="00B066D5"/>
    <w:rsid w:val="00B06C52"/>
    <w:rsid w:val="00B07CB1"/>
    <w:rsid w:val="00B10F8B"/>
    <w:rsid w:val="00B12869"/>
    <w:rsid w:val="00B12DBE"/>
    <w:rsid w:val="00B13A94"/>
    <w:rsid w:val="00B15C35"/>
    <w:rsid w:val="00B15D84"/>
    <w:rsid w:val="00B1611D"/>
    <w:rsid w:val="00B16EAE"/>
    <w:rsid w:val="00B16EDF"/>
    <w:rsid w:val="00B20189"/>
    <w:rsid w:val="00B21F09"/>
    <w:rsid w:val="00B22CCC"/>
    <w:rsid w:val="00B24285"/>
    <w:rsid w:val="00B249C4"/>
    <w:rsid w:val="00B25B4F"/>
    <w:rsid w:val="00B2612E"/>
    <w:rsid w:val="00B2733D"/>
    <w:rsid w:val="00B312AB"/>
    <w:rsid w:val="00B31395"/>
    <w:rsid w:val="00B31BCD"/>
    <w:rsid w:val="00B3247F"/>
    <w:rsid w:val="00B33406"/>
    <w:rsid w:val="00B33933"/>
    <w:rsid w:val="00B33A50"/>
    <w:rsid w:val="00B35815"/>
    <w:rsid w:val="00B359A9"/>
    <w:rsid w:val="00B364B6"/>
    <w:rsid w:val="00B366A4"/>
    <w:rsid w:val="00B37076"/>
    <w:rsid w:val="00B37B8A"/>
    <w:rsid w:val="00B37E87"/>
    <w:rsid w:val="00B40120"/>
    <w:rsid w:val="00B4057E"/>
    <w:rsid w:val="00B4140D"/>
    <w:rsid w:val="00B41647"/>
    <w:rsid w:val="00B42074"/>
    <w:rsid w:val="00B423B1"/>
    <w:rsid w:val="00B42F62"/>
    <w:rsid w:val="00B4390F"/>
    <w:rsid w:val="00B43C13"/>
    <w:rsid w:val="00B45202"/>
    <w:rsid w:val="00B45439"/>
    <w:rsid w:val="00B4690F"/>
    <w:rsid w:val="00B46EFC"/>
    <w:rsid w:val="00B474F9"/>
    <w:rsid w:val="00B47C6F"/>
    <w:rsid w:val="00B47D90"/>
    <w:rsid w:val="00B509DD"/>
    <w:rsid w:val="00B50BE2"/>
    <w:rsid w:val="00B50C5D"/>
    <w:rsid w:val="00B52BED"/>
    <w:rsid w:val="00B52CBC"/>
    <w:rsid w:val="00B52DB6"/>
    <w:rsid w:val="00B53678"/>
    <w:rsid w:val="00B53B0E"/>
    <w:rsid w:val="00B5426D"/>
    <w:rsid w:val="00B5685F"/>
    <w:rsid w:val="00B57057"/>
    <w:rsid w:val="00B62425"/>
    <w:rsid w:val="00B63040"/>
    <w:rsid w:val="00B63E27"/>
    <w:rsid w:val="00B641F9"/>
    <w:rsid w:val="00B65638"/>
    <w:rsid w:val="00B65EE7"/>
    <w:rsid w:val="00B65F37"/>
    <w:rsid w:val="00B66723"/>
    <w:rsid w:val="00B6771F"/>
    <w:rsid w:val="00B708D2"/>
    <w:rsid w:val="00B70E1D"/>
    <w:rsid w:val="00B7227A"/>
    <w:rsid w:val="00B72EFA"/>
    <w:rsid w:val="00B73936"/>
    <w:rsid w:val="00B73B60"/>
    <w:rsid w:val="00B740FC"/>
    <w:rsid w:val="00B74346"/>
    <w:rsid w:val="00B744D4"/>
    <w:rsid w:val="00B74A10"/>
    <w:rsid w:val="00B74AB7"/>
    <w:rsid w:val="00B74BFF"/>
    <w:rsid w:val="00B74D8F"/>
    <w:rsid w:val="00B75E14"/>
    <w:rsid w:val="00B7675A"/>
    <w:rsid w:val="00B773D9"/>
    <w:rsid w:val="00B77785"/>
    <w:rsid w:val="00B77DB6"/>
    <w:rsid w:val="00B80CC0"/>
    <w:rsid w:val="00B80DC9"/>
    <w:rsid w:val="00B80F5A"/>
    <w:rsid w:val="00B818F4"/>
    <w:rsid w:val="00B81A15"/>
    <w:rsid w:val="00B81E80"/>
    <w:rsid w:val="00B829A4"/>
    <w:rsid w:val="00B82CD1"/>
    <w:rsid w:val="00B84422"/>
    <w:rsid w:val="00B84D01"/>
    <w:rsid w:val="00B861EE"/>
    <w:rsid w:val="00B862A5"/>
    <w:rsid w:val="00B87E98"/>
    <w:rsid w:val="00B9023F"/>
    <w:rsid w:val="00B90447"/>
    <w:rsid w:val="00B91137"/>
    <w:rsid w:val="00B91695"/>
    <w:rsid w:val="00B92364"/>
    <w:rsid w:val="00B926CD"/>
    <w:rsid w:val="00B92720"/>
    <w:rsid w:val="00B92B07"/>
    <w:rsid w:val="00B94889"/>
    <w:rsid w:val="00B957B7"/>
    <w:rsid w:val="00B9588F"/>
    <w:rsid w:val="00B967F3"/>
    <w:rsid w:val="00B96FB2"/>
    <w:rsid w:val="00B97223"/>
    <w:rsid w:val="00B9760A"/>
    <w:rsid w:val="00B977DB"/>
    <w:rsid w:val="00BA0F73"/>
    <w:rsid w:val="00BA16C3"/>
    <w:rsid w:val="00BA1D93"/>
    <w:rsid w:val="00BA2452"/>
    <w:rsid w:val="00BA2DCE"/>
    <w:rsid w:val="00BA2DFB"/>
    <w:rsid w:val="00BA301A"/>
    <w:rsid w:val="00BA37D1"/>
    <w:rsid w:val="00BA4994"/>
    <w:rsid w:val="00BA568B"/>
    <w:rsid w:val="00BA7ACC"/>
    <w:rsid w:val="00BB0521"/>
    <w:rsid w:val="00BB11F2"/>
    <w:rsid w:val="00BB1868"/>
    <w:rsid w:val="00BB39F1"/>
    <w:rsid w:val="00BB3C81"/>
    <w:rsid w:val="00BB47E4"/>
    <w:rsid w:val="00BB4CBC"/>
    <w:rsid w:val="00BB4E4E"/>
    <w:rsid w:val="00BB4F04"/>
    <w:rsid w:val="00BB5473"/>
    <w:rsid w:val="00BB5CD2"/>
    <w:rsid w:val="00BB5D9F"/>
    <w:rsid w:val="00BB66F0"/>
    <w:rsid w:val="00BB7FCF"/>
    <w:rsid w:val="00BC03CC"/>
    <w:rsid w:val="00BC151E"/>
    <w:rsid w:val="00BC2997"/>
    <w:rsid w:val="00BC2F55"/>
    <w:rsid w:val="00BC467B"/>
    <w:rsid w:val="00BC490A"/>
    <w:rsid w:val="00BC4C46"/>
    <w:rsid w:val="00BC4CF3"/>
    <w:rsid w:val="00BC50E4"/>
    <w:rsid w:val="00BC53F3"/>
    <w:rsid w:val="00BC5617"/>
    <w:rsid w:val="00BC5CB4"/>
    <w:rsid w:val="00BC6433"/>
    <w:rsid w:val="00BC721B"/>
    <w:rsid w:val="00BD0051"/>
    <w:rsid w:val="00BD00DD"/>
    <w:rsid w:val="00BD0121"/>
    <w:rsid w:val="00BD050E"/>
    <w:rsid w:val="00BD1B17"/>
    <w:rsid w:val="00BD24E1"/>
    <w:rsid w:val="00BD3262"/>
    <w:rsid w:val="00BD5458"/>
    <w:rsid w:val="00BD5D2D"/>
    <w:rsid w:val="00BD62F8"/>
    <w:rsid w:val="00BD6A36"/>
    <w:rsid w:val="00BD779E"/>
    <w:rsid w:val="00BE0B9C"/>
    <w:rsid w:val="00BE0F42"/>
    <w:rsid w:val="00BE1FCC"/>
    <w:rsid w:val="00BE255D"/>
    <w:rsid w:val="00BE29F2"/>
    <w:rsid w:val="00BE2BB0"/>
    <w:rsid w:val="00BE30F1"/>
    <w:rsid w:val="00BE3D6A"/>
    <w:rsid w:val="00BE50D6"/>
    <w:rsid w:val="00BE7831"/>
    <w:rsid w:val="00BE7AC1"/>
    <w:rsid w:val="00BE7E5B"/>
    <w:rsid w:val="00BF027F"/>
    <w:rsid w:val="00BF0512"/>
    <w:rsid w:val="00BF10FD"/>
    <w:rsid w:val="00BF14C5"/>
    <w:rsid w:val="00BF223A"/>
    <w:rsid w:val="00BF30D2"/>
    <w:rsid w:val="00BF382D"/>
    <w:rsid w:val="00BF4ABE"/>
    <w:rsid w:val="00BF4FEA"/>
    <w:rsid w:val="00BF56E7"/>
    <w:rsid w:val="00BF5AAD"/>
    <w:rsid w:val="00BF68EB"/>
    <w:rsid w:val="00C007B3"/>
    <w:rsid w:val="00C00A33"/>
    <w:rsid w:val="00C010E3"/>
    <w:rsid w:val="00C02A23"/>
    <w:rsid w:val="00C03F3E"/>
    <w:rsid w:val="00C0414D"/>
    <w:rsid w:val="00C049A4"/>
    <w:rsid w:val="00C049EB"/>
    <w:rsid w:val="00C055E2"/>
    <w:rsid w:val="00C055F0"/>
    <w:rsid w:val="00C064CE"/>
    <w:rsid w:val="00C07003"/>
    <w:rsid w:val="00C10631"/>
    <w:rsid w:val="00C10794"/>
    <w:rsid w:val="00C12AE8"/>
    <w:rsid w:val="00C12DFF"/>
    <w:rsid w:val="00C13558"/>
    <w:rsid w:val="00C1470B"/>
    <w:rsid w:val="00C15B85"/>
    <w:rsid w:val="00C15FDF"/>
    <w:rsid w:val="00C16132"/>
    <w:rsid w:val="00C162A5"/>
    <w:rsid w:val="00C16441"/>
    <w:rsid w:val="00C1657A"/>
    <w:rsid w:val="00C165DD"/>
    <w:rsid w:val="00C20120"/>
    <w:rsid w:val="00C210A5"/>
    <w:rsid w:val="00C21202"/>
    <w:rsid w:val="00C220FC"/>
    <w:rsid w:val="00C22177"/>
    <w:rsid w:val="00C25642"/>
    <w:rsid w:val="00C26E88"/>
    <w:rsid w:val="00C30246"/>
    <w:rsid w:val="00C30958"/>
    <w:rsid w:val="00C31831"/>
    <w:rsid w:val="00C31978"/>
    <w:rsid w:val="00C31A79"/>
    <w:rsid w:val="00C31CF0"/>
    <w:rsid w:val="00C31F8A"/>
    <w:rsid w:val="00C3236A"/>
    <w:rsid w:val="00C324EE"/>
    <w:rsid w:val="00C3273A"/>
    <w:rsid w:val="00C32E1B"/>
    <w:rsid w:val="00C33491"/>
    <w:rsid w:val="00C3405D"/>
    <w:rsid w:val="00C34D1A"/>
    <w:rsid w:val="00C353F3"/>
    <w:rsid w:val="00C357B1"/>
    <w:rsid w:val="00C35E03"/>
    <w:rsid w:val="00C36713"/>
    <w:rsid w:val="00C3716E"/>
    <w:rsid w:val="00C401B7"/>
    <w:rsid w:val="00C40581"/>
    <w:rsid w:val="00C41063"/>
    <w:rsid w:val="00C41872"/>
    <w:rsid w:val="00C41969"/>
    <w:rsid w:val="00C43A81"/>
    <w:rsid w:val="00C43AFB"/>
    <w:rsid w:val="00C44541"/>
    <w:rsid w:val="00C44CB9"/>
    <w:rsid w:val="00C44D36"/>
    <w:rsid w:val="00C45249"/>
    <w:rsid w:val="00C453A5"/>
    <w:rsid w:val="00C4573F"/>
    <w:rsid w:val="00C459CC"/>
    <w:rsid w:val="00C45F17"/>
    <w:rsid w:val="00C46606"/>
    <w:rsid w:val="00C508AD"/>
    <w:rsid w:val="00C50DEF"/>
    <w:rsid w:val="00C51647"/>
    <w:rsid w:val="00C5202A"/>
    <w:rsid w:val="00C53971"/>
    <w:rsid w:val="00C53E67"/>
    <w:rsid w:val="00C541FC"/>
    <w:rsid w:val="00C54D34"/>
    <w:rsid w:val="00C55128"/>
    <w:rsid w:val="00C55131"/>
    <w:rsid w:val="00C5541E"/>
    <w:rsid w:val="00C5590F"/>
    <w:rsid w:val="00C56571"/>
    <w:rsid w:val="00C568B3"/>
    <w:rsid w:val="00C5793C"/>
    <w:rsid w:val="00C6066F"/>
    <w:rsid w:val="00C606D1"/>
    <w:rsid w:val="00C61274"/>
    <w:rsid w:val="00C615CA"/>
    <w:rsid w:val="00C621AE"/>
    <w:rsid w:val="00C6243A"/>
    <w:rsid w:val="00C628AF"/>
    <w:rsid w:val="00C62ABC"/>
    <w:rsid w:val="00C63B93"/>
    <w:rsid w:val="00C64177"/>
    <w:rsid w:val="00C6468B"/>
    <w:rsid w:val="00C654C8"/>
    <w:rsid w:val="00C65E3A"/>
    <w:rsid w:val="00C66B75"/>
    <w:rsid w:val="00C66D4F"/>
    <w:rsid w:val="00C67540"/>
    <w:rsid w:val="00C675E6"/>
    <w:rsid w:val="00C6795F"/>
    <w:rsid w:val="00C70CA7"/>
    <w:rsid w:val="00C70E76"/>
    <w:rsid w:val="00C71154"/>
    <w:rsid w:val="00C72928"/>
    <w:rsid w:val="00C72AC2"/>
    <w:rsid w:val="00C737B3"/>
    <w:rsid w:val="00C74242"/>
    <w:rsid w:val="00C74588"/>
    <w:rsid w:val="00C74712"/>
    <w:rsid w:val="00C75872"/>
    <w:rsid w:val="00C75878"/>
    <w:rsid w:val="00C75D82"/>
    <w:rsid w:val="00C75F38"/>
    <w:rsid w:val="00C7607B"/>
    <w:rsid w:val="00C81DDE"/>
    <w:rsid w:val="00C822A2"/>
    <w:rsid w:val="00C8296D"/>
    <w:rsid w:val="00C82BF4"/>
    <w:rsid w:val="00C82C41"/>
    <w:rsid w:val="00C834DF"/>
    <w:rsid w:val="00C83F0B"/>
    <w:rsid w:val="00C857B3"/>
    <w:rsid w:val="00C85DC2"/>
    <w:rsid w:val="00C871AD"/>
    <w:rsid w:val="00C872ED"/>
    <w:rsid w:val="00C87997"/>
    <w:rsid w:val="00C92D20"/>
    <w:rsid w:val="00C9371A"/>
    <w:rsid w:val="00C937B5"/>
    <w:rsid w:val="00C93BC0"/>
    <w:rsid w:val="00C9454A"/>
    <w:rsid w:val="00C948E5"/>
    <w:rsid w:val="00C949DA"/>
    <w:rsid w:val="00C94E85"/>
    <w:rsid w:val="00C95866"/>
    <w:rsid w:val="00C97E49"/>
    <w:rsid w:val="00C97ED7"/>
    <w:rsid w:val="00CA007A"/>
    <w:rsid w:val="00CA0134"/>
    <w:rsid w:val="00CA090C"/>
    <w:rsid w:val="00CA0E0E"/>
    <w:rsid w:val="00CA2D72"/>
    <w:rsid w:val="00CA334C"/>
    <w:rsid w:val="00CA39EE"/>
    <w:rsid w:val="00CA3F0E"/>
    <w:rsid w:val="00CA5046"/>
    <w:rsid w:val="00CA612E"/>
    <w:rsid w:val="00CA66C6"/>
    <w:rsid w:val="00CA6DA8"/>
    <w:rsid w:val="00CA7481"/>
    <w:rsid w:val="00CA766C"/>
    <w:rsid w:val="00CA7EF4"/>
    <w:rsid w:val="00CB0FED"/>
    <w:rsid w:val="00CB10FB"/>
    <w:rsid w:val="00CB1445"/>
    <w:rsid w:val="00CB1E72"/>
    <w:rsid w:val="00CB226E"/>
    <w:rsid w:val="00CB2482"/>
    <w:rsid w:val="00CB2EA2"/>
    <w:rsid w:val="00CB338C"/>
    <w:rsid w:val="00CB36A9"/>
    <w:rsid w:val="00CB474A"/>
    <w:rsid w:val="00CB51A3"/>
    <w:rsid w:val="00CB554A"/>
    <w:rsid w:val="00CB5E22"/>
    <w:rsid w:val="00CB6348"/>
    <w:rsid w:val="00CC0767"/>
    <w:rsid w:val="00CC0A29"/>
    <w:rsid w:val="00CC0AE2"/>
    <w:rsid w:val="00CC0E6A"/>
    <w:rsid w:val="00CC25C3"/>
    <w:rsid w:val="00CC25DD"/>
    <w:rsid w:val="00CC2905"/>
    <w:rsid w:val="00CC40B5"/>
    <w:rsid w:val="00CC421C"/>
    <w:rsid w:val="00CC4E24"/>
    <w:rsid w:val="00CC5698"/>
    <w:rsid w:val="00CC6A4F"/>
    <w:rsid w:val="00CC7FBC"/>
    <w:rsid w:val="00CD1314"/>
    <w:rsid w:val="00CD13EF"/>
    <w:rsid w:val="00CD26EC"/>
    <w:rsid w:val="00CD31FB"/>
    <w:rsid w:val="00CD3DB3"/>
    <w:rsid w:val="00CD4440"/>
    <w:rsid w:val="00CD4F13"/>
    <w:rsid w:val="00CD53E0"/>
    <w:rsid w:val="00CD5795"/>
    <w:rsid w:val="00CD5832"/>
    <w:rsid w:val="00CD6256"/>
    <w:rsid w:val="00CD6C50"/>
    <w:rsid w:val="00CD76A9"/>
    <w:rsid w:val="00CE2C0A"/>
    <w:rsid w:val="00CE35B5"/>
    <w:rsid w:val="00CE45AC"/>
    <w:rsid w:val="00CE47BC"/>
    <w:rsid w:val="00CE5611"/>
    <w:rsid w:val="00CE5A0B"/>
    <w:rsid w:val="00CE737B"/>
    <w:rsid w:val="00CE7529"/>
    <w:rsid w:val="00CE787A"/>
    <w:rsid w:val="00CF0163"/>
    <w:rsid w:val="00CF0FD1"/>
    <w:rsid w:val="00CF1103"/>
    <w:rsid w:val="00CF2D85"/>
    <w:rsid w:val="00CF2F31"/>
    <w:rsid w:val="00CF5DCB"/>
    <w:rsid w:val="00CF635A"/>
    <w:rsid w:val="00CF65C8"/>
    <w:rsid w:val="00CF7A81"/>
    <w:rsid w:val="00D003E0"/>
    <w:rsid w:val="00D0316E"/>
    <w:rsid w:val="00D03A0A"/>
    <w:rsid w:val="00D07A3F"/>
    <w:rsid w:val="00D07C91"/>
    <w:rsid w:val="00D1262E"/>
    <w:rsid w:val="00D12C6D"/>
    <w:rsid w:val="00D13DBC"/>
    <w:rsid w:val="00D13FCB"/>
    <w:rsid w:val="00D141B9"/>
    <w:rsid w:val="00D1492D"/>
    <w:rsid w:val="00D14D2F"/>
    <w:rsid w:val="00D15316"/>
    <w:rsid w:val="00D15596"/>
    <w:rsid w:val="00D1565F"/>
    <w:rsid w:val="00D15B02"/>
    <w:rsid w:val="00D165A9"/>
    <w:rsid w:val="00D17496"/>
    <w:rsid w:val="00D204E5"/>
    <w:rsid w:val="00D20629"/>
    <w:rsid w:val="00D20860"/>
    <w:rsid w:val="00D20A2D"/>
    <w:rsid w:val="00D20B9A"/>
    <w:rsid w:val="00D2167C"/>
    <w:rsid w:val="00D22098"/>
    <w:rsid w:val="00D2238D"/>
    <w:rsid w:val="00D230DB"/>
    <w:rsid w:val="00D23B12"/>
    <w:rsid w:val="00D3006D"/>
    <w:rsid w:val="00D3023F"/>
    <w:rsid w:val="00D31918"/>
    <w:rsid w:val="00D320BE"/>
    <w:rsid w:val="00D3219B"/>
    <w:rsid w:val="00D32B29"/>
    <w:rsid w:val="00D33CDD"/>
    <w:rsid w:val="00D34376"/>
    <w:rsid w:val="00D3445D"/>
    <w:rsid w:val="00D351B6"/>
    <w:rsid w:val="00D3535F"/>
    <w:rsid w:val="00D353A2"/>
    <w:rsid w:val="00D355F7"/>
    <w:rsid w:val="00D3640C"/>
    <w:rsid w:val="00D36523"/>
    <w:rsid w:val="00D366DD"/>
    <w:rsid w:val="00D37535"/>
    <w:rsid w:val="00D3772D"/>
    <w:rsid w:val="00D402CD"/>
    <w:rsid w:val="00D40878"/>
    <w:rsid w:val="00D416F5"/>
    <w:rsid w:val="00D4183B"/>
    <w:rsid w:val="00D41CBB"/>
    <w:rsid w:val="00D42A82"/>
    <w:rsid w:val="00D42FFE"/>
    <w:rsid w:val="00D4328F"/>
    <w:rsid w:val="00D4385B"/>
    <w:rsid w:val="00D44792"/>
    <w:rsid w:val="00D460AD"/>
    <w:rsid w:val="00D46B95"/>
    <w:rsid w:val="00D47CCE"/>
    <w:rsid w:val="00D5044B"/>
    <w:rsid w:val="00D51BD6"/>
    <w:rsid w:val="00D51BDB"/>
    <w:rsid w:val="00D5264C"/>
    <w:rsid w:val="00D52D67"/>
    <w:rsid w:val="00D54354"/>
    <w:rsid w:val="00D54603"/>
    <w:rsid w:val="00D5746C"/>
    <w:rsid w:val="00D575A6"/>
    <w:rsid w:val="00D5761D"/>
    <w:rsid w:val="00D57707"/>
    <w:rsid w:val="00D57FFD"/>
    <w:rsid w:val="00D602ED"/>
    <w:rsid w:val="00D61F30"/>
    <w:rsid w:val="00D62BF1"/>
    <w:rsid w:val="00D62DAE"/>
    <w:rsid w:val="00D640A6"/>
    <w:rsid w:val="00D6533B"/>
    <w:rsid w:val="00D6547D"/>
    <w:rsid w:val="00D666A0"/>
    <w:rsid w:val="00D6774E"/>
    <w:rsid w:val="00D70BBA"/>
    <w:rsid w:val="00D70C92"/>
    <w:rsid w:val="00D7112B"/>
    <w:rsid w:val="00D7118B"/>
    <w:rsid w:val="00D71574"/>
    <w:rsid w:val="00D718AE"/>
    <w:rsid w:val="00D718E4"/>
    <w:rsid w:val="00D71B3F"/>
    <w:rsid w:val="00D71C10"/>
    <w:rsid w:val="00D72D2B"/>
    <w:rsid w:val="00D73175"/>
    <w:rsid w:val="00D7348A"/>
    <w:rsid w:val="00D73810"/>
    <w:rsid w:val="00D7555F"/>
    <w:rsid w:val="00D76B66"/>
    <w:rsid w:val="00D77B15"/>
    <w:rsid w:val="00D8038A"/>
    <w:rsid w:val="00D80676"/>
    <w:rsid w:val="00D81CE1"/>
    <w:rsid w:val="00D81D72"/>
    <w:rsid w:val="00D8260A"/>
    <w:rsid w:val="00D828F6"/>
    <w:rsid w:val="00D835E6"/>
    <w:rsid w:val="00D83958"/>
    <w:rsid w:val="00D85000"/>
    <w:rsid w:val="00D85B71"/>
    <w:rsid w:val="00D87BE5"/>
    <w:rsid w:val="00D87D98"/>
    <w:rsid w:val="00D904FE"/>
    <w:rsid w:val="00D91CBB"/>
    <w:rsid w:val="00D91CF0"/>
    <w:rsid w:val="00D91EA2"/>
    <w:rsid w:val="00D94017"/>
    <w:rsid w:val="00D941FB"/>
    <w:rsid w:val="00D9468F"/>
    <w:rsid w:val="00D94E96"/>
    <w:rsid w:val="00D9519E"/>
    <w:rsid w:val="00DA0A0E"/>
    <w:rsid w:val="00DA1504"/>
    <w:rsid w:val="00DA1575"/>
    <w:rsid w:val="00DA1B19"/>
    <w:rsid w:val="00DA226B"/>
    <w:rsid w:val="00DA30F1"/>
    <w:rsid w:val="00DA311E"/>
    <w:rsid w:val="00DA335D"/>
    <w:rsid w:val="00DA55CB"/>
    <w:rsid w:val="00DA6056"/>
    <w:rsid w:val="00DA6160"/>
    <w:rsid w:val="00DA63A9"/>
    <w:rsid w:val="00DA6600"/>
    <w:rsid w:val="00DA688F"/>
    <w:rsid w:val="00DA6BBF"/>
    <w:rsid w:val="00DA7D48"/>
    <w:rsid w:val="00DB03AC"/>
    <w:rsid w:val="00DB0D22"/>
    <w:rsid w:val="00DB1032"/>
    <w:rsid w:val="00DB21D6"/>
    <w:rsid w:val="00DB28B0"/>
    <w:rsid w:val="00DB29FC"/>
    <w:rsid w:val="00DB2D79"/>
    <w:rsid w:val="00DB3162"/>
    <w:rsid w:val="00DB335B"/>
    <w:rsid w:val="00DB3813"/>
    <w:rsid w:val="00DB44DB"/>
    <w:rsid w:val="00DB500F"/>
    <w:rsid w:val="00DB51E9"/>
    <w:rsid w:val="00DB64E9"/>
    <w:rsid w:val="00DC01E4"/>
    <w:rsid w:val="00DC02FB"/>
    <w:rsid w:val="00DC2E90"/>
    <w:rsid w:val="00DC3B80"/>
    <w:rsid w:val="00DC4480"/>
    <w:rsid w:val="00DC46F7"/>
    <w:rsid w:val="00DC4E0B"/>
    <w:rsid w:val="00DC5F52"/>
    <w:rsid w:val="00DC63B3"/>
    <w:rsid w:val="00DC6820"/>
    <w:rsid w:val="00DC6CD4"/>
    <w:rsid w:val="00DD0BBF"/>
    <w:rsid w:val="00DD18EE"/>
    <w:rsid w:val="00DD1BFF"/>
    <w:rsid w:val="00DD1C36"/>
    <w:rsid w:val="00DD2678"/>
    <w:rsid w:val="00DD268D"/>
    <w:rsid w:val="00DD2B5B"/>
    <w:rsid w:val="00DD3627"/>
    <w:rsid w:val="00DD4924"/>
    <w:rsid w:val="00DD61E2"/>
    <w:rsid w:val="00DD6CEA"/>
    <w:rsid w:val="00DE02F5"/>
    <w:rsid w:val="00DE1AD1"/>
    <w:rsid w:val="00DE2879"/>
    <w:rsid w:val="00DE324F"/>
    <w:rsid w:val="00DE3AF2"/>
    <w:rsid w:val="00DE3FDE"/>
    <w:rsid w:val="00DE479D"/>
    <w:rsid w:val="00DE5080"/>
    <w:rsid w:val="00DE59C5"/>
    <w:rsid w:val="00DE5EFE"/>
    <w:rsid w:val="00DE7603"/>
    <w:rsid w:val="00DE7C9A"/>
    <w:rsid w:val="00DE7CA8"/>
    <w:rsid w:val="00DE7EF6"/>
    <w:rsid w:val="00DF0C70"/>
    <w:rsid w:val="00DF1145"/>
    <w:rsid w:val="00DF2F27"/>
    <w:rsid w:val="00DF3DE8"/>
    <w:rsid w:val="00DF47F7"/>
    <w:rsid w:val="00DF57BD"/>
    <w:rsid w:val="00DF7A84"/>
    <w:rsid w:val="00DF7D9A"/>
    <w:rsid w:val="00E002DD"/>
    <w:rsid w:val="00E00A16"/>
    <w:rsid w:val="00E00A31"/>
    <w:rsid w:val="00E02405"/>
    <w:rsid w:val="00E03CD8"/>
    <w:rsid w:val="00E0420B"/>
    <w:rsid w:val="00E06B64"/>
    <w:rsid w:val="00E074F1"/>
    <w:rsid w:val="00E076EA"/>
    <w:rsid w:val="00E10A7D"/>
    <w:rsid w:val="00E115BD"/>
    <w:rsid w:val="00E13BD9"/>
    <w:rsid w:val="00E13C0E"/>
    <w:rsid w:val="00E141D4"/>
    <w:rsid w:val="00E14292"/>
    <w:rsid w:val="00E14313"/>
    <w:rsid w:val="00E15845"/>
    <w:rsid w:val="00E15B2F"/>
    <w:rsid w:val="00E160D6"/>
    <w:rsid w:val="00E162C0"/>
    <w:rsid w:val="00E16B24"/>
    <w:rsid w:val="00E16FE2"/>
    <w:rsid w:val="00E171B3"/>
    <w:rsid w:val="00E175E6"/>
    <w:rsid w:val="00E21E3D"/>
    <w:rsid w:val="00E227F2"/>
    <w:rsid w:val="00E228B6"/>
    <w:rsid w:val="00E22CC2"/>
    <w:rsid w:val="00E23AFB"/>
    <w:rsid w:val="00E24166"/>
    <w:rsid w:val="00E2506D"/>
    <w:rsid w:val="00E257C8"/>
    <w:rsid w:val="00E27E44"/>
    <w:rsid w:val="00E30642"/>
    <w:rsid w:val="00E30931"/>
    <w:rsid w:val="00E317A0"/>
    <w:rsid w:val="00E31D70"/>
    <w:rsid w:val="00E32DCE"/>
    <w:rsid w:val="00E34972"/>
    <w:rsid w:val="00E35B9E"/>
    <w:rsid w:val="00E36CC6"/>
    <w:rsid w:val="00E36D9F"/>
    <w:rsid w:val="00E36FBB"/>
    <w:rsid w:val="00E372D2"/>
    <w:rsid w:val="00E427D6"/>
    <w:rsid w:val="00E435A6"/>
    <w:rsid w:val="00E45BC7"/>
    <w:rsid w:val="00E46048"/>
    <w:rsid w:val="00E46213"/>
    <w:rsid w:val="00E50760"/>
    <w:rsid w:val="00E509D1"/>
    <w:rsid w:val="00E51A54"/>
    <w:rsid w:val="00E5210F"/>
    <w:rsid w:val="00E52187"/>
    <w:rsid w:val="00E536A9"/>
    <w:rsid w:val="00E53C04"/>
    <w:rsid w:val="00E56EBA"/>
    <w:rsid w:val="00E57004"/>
    <w:rsid w:val="00E57261"/>
    <w:rsid w:val="00E5745E"/>
    <w:rsid w:val="00E60637"/>
    <w:rsid w:val="00E60A9B"/>
    <w:rsid w:val="00E60F3C"/>
    <w:rsid w:val="00E61064"/>
    <w:rsid w:val="00E62FAA"/>
    <w:rsid w:val="00E630DB"/>
    <w:rsid w:val="00E6374A"/>
    <w:rsid w:val="00E6436C"/>
    <w:rsid w:val="00E64390"/>
    <w:rsid w:val="00E6582F"/>
    <w:rsid w:val="00E65E00"/>
    <w:rsid w:val="00E66AF4"/>
    <w:rsid w:val="00E673C3"/>
    <w:rsid w:val="00E67F8F"/>
    <w:rsid w:val="00E70416"/>
    <w:rsid w:val="00E724BB"/>
    <w:rsid w:val="00E724C6"/>
    <w:rsid w:val="00E72772"/>
    <w:rsid w:val="00E7299B"/>
    <w:rsid w:val="00E734B9"/>
    <w:rsid w:val="00E74B4C"/>
    <w:rsid w:val="00E75356"/>
    <w:rsid w:val="00E774F0"/>
    <w:rsid w:val="00E77847"/>
    <w:rsid w:val="00E82F50"/>
    <w:rsid w:val="00E85260"/>
    <w:rsid w:val="00E86084"/>
    <w:rsid w:val="00E866C1"/>
    <w:rsid w:val="00E86B8F"/>
    <w:rsid w:val="00E872C0"/>
    <w:rsid w:val="00E90432"/>
    <w:rsid w:val="00E91756"/>
    <w:rsid w:val="00E917E9"/>
    <w:rsid w:val="00E91AB3"/>
    <w:rsid w:val="00E91F62"/>
    <w:rsid w:val="00E930FF"/>
    <w:rsid w:val="00E933CF"/>
    <w:rsid w:val="00E93691"/>
    <w:rsid w:val="00E93F58"/>
    <w:rsid w:val="00E945B1"/>
    <w:rsid w:val="00E94ACE"/>
    <w:rsid w:val="00E956E7"/>
    <w:rsid w:val="00E95EBE"/>
    <w:rsid w:val="00E9720D"/>
    <w:rsid w:val="00E9772E"/>
    <w:rsid w:val="00EA17AE"/>
    <w:rsid w:val="00EA53C4"/>
    <w:rsid w:val="00EA5D4C"/>
    <w:rsid w:val="00EA6DE3"/>
    <w:rsid w:val="00EA7759"/>
    <w:rsid w:val="00EB078F"/>
    <w:rsid w:val="00EB07DB"/>
    <w:rsid w:val="00EB09BA"/>
    <w:rsid w:val="00EB0CDD"/>
    <w:rsid w:val="00EB1A1B"/>
    <w:rsid w:val="00EB2EFE"/>
    <w:rsid w:val="00EB308F"/>
    <w:rsid w:val="00EB3736"/>
    <w:rsid w:val="00EB5772"/>
    <w:rsid w:val="00EB63BE"/>
    <w:rsid w:val="00EB6B2B"/>
    <w:rsid w:val="00EB79FF"/>
    <w:rsid w:val="00EB7A8B"/>
    <w:rsid w:val="00EC05AA"/>
    <w:rsid w:val="00EC0A08"/>
    <w:rsid w:val="00EC0A4B"/>
    <w:rsid w:val="00EC2423"/>
    <w:rsid w:val="00EC2A41"/>
    <w:rsid w:val="00EC2E2D"/>
    <w:rsid w:val="00EC2F41"/>
    <w:rsid w:val="00EC3899"/>
    <w:rsid w:val="00EC4571"/>
    <w:rsid w:val="00EC4B9A"/>
    <w:rsid w:val="00EC551E"/>
    <w:rsid w:val="00EC5FAD"/>
    <w:rsid w:val="00EC6789"/>
    <w:rsid w:val="00EC68FD"/>
    <w:rsid w:val="00EC7BDF"/>
    <w:rsid w:val="00ED0A52"/>
    <w:rsid w:val="00ED0D0D"/>
    <w:rsid w:val="00ED0D94"/>
    <w:rsid w:val="00ED1828"/>
    <w:rsid w:val="00ED2669"/>
    <w:rsid w:val="00ED28D2"/>
    <w:rsid w:val="00ED2D98"/>
    <w:rsid w:val="00ED2FBB"/>
    <w:rsid w:val="00ED3124"/>
    <w:rsid w:val="00ED3C5A"/>
    <w:rsid w:val="00ED4B59"/>
    <w:rsid w:val="00ED5B8F"/>
    <w:rsid w:val="00ED5CD5"/>
    <w:rsid w:val="00ED6D9D"/>
    <w:rsid w:val="00ED7028"/>
    <w:rsid w:val="00ED7D32"/>
    <w:rsid w:val="00EE0ABE"/>
    <w:rsid w:val="00EE243C"/>
    <w:rsid w:val="00EE348A"/>
    <w:rsid w:val="00EE410F"/>
    <w:rsid w:val="00EE4C23"/>
    <w:rsid w:val="00EE5236"/>
    <w:rsid w:val="00EE637C"/>
    <w:rsid w:val="00EE650D"/>
    <w:rsid w:val="00EE7270"/>
    <w:rsid w:val="00EE7641"/>
    <w:rsid w:val="00EF1B6D"/>
    <w:rsid w:val="00EF2A80"/>
    <w:rsid w:val="00EF3598"/>
    <w:rsid w:val="00EF3643"/>
    <w:rsid w:val="00EF3CA2"/>
    <w:rsid w:val="00EF4168"/>
    <w:rsid w:val="00EF5278"/>
    <w:rsid w:val="00EF542D"/>
    <w:rsid w:val="00EF655B"/>
    <w:rsid w:val="00EF6A31"/>
    <w:rsid w:val="00EF7BEA"/>
    <w:rsid w:val="00EF7D6B"/>
    <w:rsid w:val="00F01C02"/>
    <w:rsid w:val="00F02AE6"/>
    <w:rsid w:val="00F049EF"/>
    <w:rsid w:val="00F04E2A"/>
    <w:rsid w:val="00F05D2B"/>
    <w:rsid w:val="00F07320"/>
    <w:rsid w:val="00F0742E"/>
    <w:rsid w:val="00F07502"/>
    <w:rsid w:val="00F108C7"/>
    <w:rsid w:val="00F10F10"/>
    <w:rsid w:val="00F11804"/>
    <w:rsid w:val="00F11D51"/>
    <w:rsid w:val="00F12A2D"/>
    <w:rsid w:val="00F13813"/>
    <w:rsid w:val="00F13D9B"/>
    <w:rsid w:val="00F1471C"/>
    <w:rsid w:val="00F14A0E"/>
    <w:rsid w:val="00F154AB"/>
    <w:rsid w:val="00F15DD8"/>
    <w:rsid w:val="00F16379"/>
    <w:rsid w:val="00F16CC2"/>
    <w:rsid w:val="00F16EE8"/>
    <w:rsid w:val="00F171CD"/>
    <w:rsid w:val="00F20045"/>
    <w:rsid w:val="00F2038F"/>
    <w:rsid w:val="00F208F6"/>
    <w:rsid w:val="00F20A45"/>
    <w:rsid w:val="00F21411"/>
    <w:rsid w:val="00F22516"/>
    <w:rsid w:val="00F22719"/>
    <w:rsid w:val="00F22F27"/>
    <w:rsid w:val="00F23094"/>
    <w:rsid w:val="00F24429"/>
    <w:rsid w:val="00F255EB"/>
    <w:rsid w:val="00F2602C"/>
    <w:rsid w:val="00F27498"/>
    <w:rsid w:val="00F27A55"/>
    <w:rsid w:val="00F30745"/>
    <w:rsid w:val="00F31113"/>
    <w:rsid w:val="00F3171C"/>
    <w:rsid w:val="00F31A5C"/>
    <w:rsid w:val="00F322D4"/>
    <w:rsid w:val="00F32E94"/>
    <w:rsid w:val="00F3307D"/>
    <w:rsid w:val="00F33953"/>
    <w:rsid w:val="00F33BCE"/>
    <w:rsid w:val="00F33FAE"/>
    <w:rsid w:val="00F367F8"/>
    <w:rsid w:val="00F36D5D"/>
    <w:rsid w:val="00F40631"/>
    <w:rsid w:val="00F4065E"/>
    <w:rsid w:val="00F414E5"/>
    <w:rsid w:val="00F41A53"/>
    <w:rsid w:val="00F41A81"/>
    <w:rsid w:val="00F41FE0"/>
    <w:rsid w:val="00F429E6"/>
    <w:rsid w:val="00F43342"/>
    <w:rsid w:val="00F4394A"/>
    <w:rsid w:val="00F43E43"/>
    <w:rsid w:val="00F447FA"/>
    <w:rsid w:val="00F448FF"/>
    <w:rsid w:val="00F44F57"/>
    <w:rsid w:val="00F45543"/>
    <w:rsid w:val="00F45CB0"/>
    <w:rsid w:val="00F45E52"/>
    <w:rsid w:val="00F47440"/>
    <w:rsid w:val="00F506D2"/>
    <w:rsid w:val="00F50B35"/>
    <w:rsid w:val="00F50B49"/>
    <w:rsid w:val="00F52D08"/>
    <w:rsid w:val="00F53882"/>
    <w:rsid w:val="00F53964"/>
    <w:rsid w:val="00F543C1"/>
    <w:rsid w:val="00F556AF"/>
    <w:rsid w:val="00F55C2E"/>
    <w:rsid w:val="00F56251"/>
    <w:rsid w:val="00F60B18"/>
    <w:rsid w:val="00F60BDD"/>
    <w:rsid w:val="00F60FE9"/>
    <w:rsid w:val="00F61A45"/>
    <w:rsid w:val="00F61A4E"/>
    <w:rsid w:val="00F6254E"/>
    <w:rsid w:val="00F640DA"/>
    <w:rsid w:val="00F64E68"/>
    <w:rsid w:val="00F6561C"/>
    <w:rsid w:val="00F65C53"/>
    <w:rsid w:val="00F65C68"/>
    <w:rsid w:val="00F66038"/>
    <w:rsid w:val="00F661DE"/>
    <w:rsid w:val="00F673B0"/>
    <w:rsid w:val="00F7043E"/>
    <w:rsid w:val="00F70479"/>
    <w:rsid w:val="00F70C79"/>
    <w:rsid w:val="00F71973"/>
    <w:rsid w:val="00F735D2"/>
    <w:rsid w:val="00F7434B"/>
    <w:rsid w:val="00F74EFB"/>
    <w:rsid w:val="00F76193"/>
    <w:rsid w:val="00F76389"/>
    <w:rsid w:val="00F7656C"/>
    <w:rsid w:val="00F814A6"/>
    <w:rsid w:val="00F8258F"/>
    <w:rsid w:val="00F82AD7"/>
    <w:rsid w:val="00F82D8F"/>
    <w:rsid w:val="00F82F6E"/>
    <w:rsid w:val="00F8329C"/>
    <w:rsid w:val="00F836BC"/>
    <w:rsid w:val="00F8491C"/>
    <w:rsid w:val="00F849A4"/>
    <w:rsid w:val="00F84B3F"/>
    <w:rsid w:val="00F84CF1"/>
    <w:rsid w:val="00F84EDF"/>
    <w:rsid w:val="00F851D7"/>
    <w:rsid w:val="00F85A6F"/>
    <w:rsid w:val="00F85F63"/>
    <w:rsid w:val="00F86718"/>
    <w:rsid w:val="00F86841"/>
    <w:rsid w:val="00F86E4E"/>
    <w:rsid w:val="00F86E69"/>
    <w:rsid w:val="00F87C30"/>
    <w:rsid w:val="00F87D83"/>
    <w:rsid w:val="00F903D7"/>
    <w:rsid w:val="00F90F67"/>
    <w:rsid w:val="00F914FD"/>
    <w:rsid w:val="00F91824"/>
    <w:rsid w:val="00F9285B"/>
    <w:rsid w:val="00F932AA"/>
    <w:rsid w:val="00F932C3"/>
    <w:rsid w:val="00F93D46"/>
    <w:rsid w:val="00F94A1C"/>
    <w:rsid w:val="00F95DE0"/>
    <w:rsid w:val="00F95FFB"/>
    <w:rsid w:val="00F9621C"/>
    <w:rsid w:val="00F964CC"/>
    <w:rsid w:val="00F97DC6"/>
    <w:rsid w:val="00FA11B2"/>
    <w:rsid w:val="00FA14FC"/>
    <w:rsid w:val="00FA1844"/>
    <w:rsid w:val="00FA26C9"/>
    <w:rsid w:val="00FA3A79"/>
    <w:rsid w:val="00FA42B3"/>
    <w:rsid w:val="00FA4700"/>
    <w:rsid w:val="00FA4F39"/>
    <w:rsid w:val="00FA5624"/>
    <w:rsid w:val="00FA6D57"/>
    <w:rsid w:val="00FA7F8B"/>
    <w:rsid w:val="00FB0228"/>
    <w:rsid w:val="00FB0591"/>
    <w:rsid w:val="00FB0AD3"/>
    <w:rsid w:val="00FB11BF"/>
    <w:rsid w:val="00FB11FF"/>
    <w:rsid w:val="00FB1200"/>
    <w:rsid w:val="00FB141F"/>
    <w:rsid w:val="00FB1C12"/>
    <w:rsid w:val="00FB224C"/>
    <w:rsid w:val="00FB241C"/>
    <w:rsid w:val="00FB2D38"/>
    <w:rsid w:val="00FB4030"/>
    <w:rsid w:val="00FB4783"/>
    <w:rsid w:val="00FB4E3D"/>
    <w:rsid w:val="00FB5945"/>
    <w:rsid w:val="00FB5E57"/>
    <w:rsid w:val="00FB6066"/>
    <w:rsid w:val="00FB684A"/>
    <w:rsid w:val="00FB741B"/>
    <w:rsid w:val="00FC0D11"/>
    <w:rsid w:val="00FC152C"/>
    <w:rsid w:val="00FC2679"/>
    <w:rsid w:val="00FC2876"/>
    <w:rsid w:val="00FC2924"/>
    <w:rsid w:val="00FC29A6"/>
    <w:rsid w:val="00FC2ED9"/>
    <w:rsid w:val="00FC4224"/>
    <w:rsid w:val="00FC46AB"/>
    <w:rsid w:val="00FC5D68"/>
    <w:rsid w:val="00FC5E62"/>
    <w:rsid w:val="00FD1391"/>
    <w:rsid w:val="00FD1EED"/>
    <w:rsid w:val="00FD2BA8"/>
    <w:rsid w:val="00FD3252"/>
    <w:rsid w:val="00FD345D"/>
    <w:rsid w:val="00FD35DC"/>
    <w:rsid w:val="00FD3D3D"/>
    <w:rsid w:val="00FD3F6D"/>
    <w:rsid w:val="00FD4E46"/>
    <w:rsid w:val="00FD521A"/>
    <w:rsid w:val="00FD5815"/>
    <w:rsid w:val="00FD5DFB"/>
    <w:rsid w:val="00FD6B8E"/>
    <w:rsid w:val="00FD745C"/>
    <w:rsid w:val="00FD7935"/>
    <w:rsid w:val="00FD7B23"/>
    <w:rsid w:val="00FE0204"/>
    <w:rsid w:val="00FE073B"/>
    <w:rsid w:val="00FE29DC"/>
    <w:rsid w:val="00FE2E12"/>
    <w:rsid w:val="00FE45E3"/>
    <w:rsid w:val="00FE482D"/>
    <w:rsid w:val="00FE4E81"/>
    <w:rsid w:val="00FE62E9"/>
    <w:rsid w:val="00FE66B5"/>
    <w:rsid w:val="00FE713F"/>
    <w:rsid w:val="00FE7191"/>
    <w:rsid w:val="00FE7DEC"/>
    <w:rsid w:val="00FF0622"/>
    <w:rsid w:val="00FF09B7"/>
    <w:rsid w:val="00FF0B93"/>
    <w:rsid w:val="00FF0CAE"/>
    <w:rsid w:val="00FF17F3"/>
    <w:rsid w:val="00FF1DD4"/>
    <w:rsid w:val="00FF1FDC"/>
    <w:rsid w:val="00FF3C2A"/>
    <w:rsid w:val="00FF4197"/>
    <w:rsid w:val="00FF4686"/>
    <w:rsid w:val="00FF4702"/>
    <w:rsid w:val="00FF5D5F"/>
    <w:rsid w:val="00FF5E1B"/>
    <w:rsid w:val="00FF5F26"/>
    <w:rsid w:val="00FF6943"/>
    <w:rsid w:val="00FF6EC0"/>
    <w:rsid w:val="068E6620"/>
    <w:rsid w:val="06F592B6"/>
    <w:rsid w:val="0A026105"/>
    <w:rsid w:val="0D41B3F7"/>
    <w:rsid w:val="0F1D7B02"/>
    <w:rsid w:val="14ABE335"/>
    <w:rsid w:val="21142F32"/>
    <w:rsid w:val="21CC52BB"/>
    <w:rsid w:val="25585F47"/>
    <w:rsid w:val="2E16B38E"/>
    <w:rsid w:val="354FB978"/>
    <w:rsid w:val="39D6A130"/>
    <w:rsid w:val="3BA19A22"/>
    <w:rsid w:val="4F9111D3"/>
    <w:rsid w:val="518E7204"/>
    <w:rsid w:val="52DD1391"/>
    <w:rsid w:val="5C04DA2C"/>
    <w:rsid w:val="662DBE2F"/>
    <w:rsid w:val="6B503D71"/>
    <w:rsid w:val="7721A353"/>
    <w:rsid w:val="79C7E0E4"/>
    <w:rsid w:val="79DDF6C0"/>
    <w:rsid w:val="7C7CEC0A"/>
    <w:rsid w:val="7EA20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DDEA"/>
  <w15:chartTrackingRefBased/>
  <w15:docId w15:val="{80DCCFF0-4DEA-4569-9E93-A6AD60E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E3"/>
  </w:style>
  <w:style w:type="paragraph" w:styleId="Heading1">
    <w:name w:val="heading 1"/>
    <w:basedOn w:val="Normal"/>
    <w:next w:val="Normal"/>
    <w:link w:val="Heading1Char"/>
    <w:uiPriority w:val="9"/>
    <w:qFormat/>
    <w:rsid w:val="00264ABD"/>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5EC"/>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45EC"/>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45EC"/>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EC"/>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45EC"/>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45EC"/>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45E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5E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19D5"/>
    <w:rPr>
      <w:sz w:val="16"/>
      <w:szCs w:val="16"/>
    </w:rPr>
  </w:style>
  <w:style w:type="paragraph" w:styleId="CommentText">
    <w:name w:val="annotation text"/>
    <w:basedOn w:val="Normal"/>
    <w:link w:val="CommentTextChar"/>
    <w:uiPriority w:val="99"/>
    <w:unhideWhenUsed/>
    <w:rsid w:val="002B19D5"/>
    <w:pPr>
      <w:spacing w:line="240" w:lineRule="auto"/>
    </w:pPr>
    <w:rPr>
      <w:sz w:val="20"/>
      <w:szCs w:val="20"/>
    </w:rPr>
  </w:style>
  <w:style w:type="character" w:customStyle="1" w:styleId="CommentTextChar">
    <w:name w:val="Comment Text Char"/>
    <w:basedOn w:val="DefaultParagraphFont"/>
    <w:link w:val="CommentText"/>
    <w:uiPriority w:val="99"/>
    <w:rsid w:val="002B19D5"/>
    <w:rPr>
      <w:sz w:val="20"/>
      <w:szCs w:val="20"/>
    </w:rPr>
  </w:style>
  <w:style w:type="paragraph" w:styleId="CommentSubject">
    <w:name w:val="annotation subject"/>
    <w:basedOn w:val="CommentText"/>
    <w:next w:val="CommentText"/>
    <w:link w:val="CommentSubjectChar"/>
    <w:uiPriority w:val="99"/>
    <w:semiHidden/>
    <w:unhideWhenUsed/>
    <w:rsid w:val="002B19D5"/>
    <w:rPr>
      <w:b/>
      <w:bCs/>
    </w:rPr>
  </w:style>
  <w:style w:type="character" w:customStyle="1" w:styleId="CommentSubjectChar">
    <w:name w:val="Comment Subject Char"/>
    <w:basedOn w:val="CommentTextChar"/>
    <w:link w:val="CommentSubject"/>
    <w:uiPriority w:val="99"/>
    <w:semiHidden/>
    <w:rsid w:val="002B19D5"/>
    <w:rPr>
      <w:b/>
      <w:bCs/>
      <w:sz w:val="20"/>
      <w:szCs w:val="20"/>
    </w:rPr>
  </w:style>
  <w:style w:type="paragraph" w:styleId="BalloonText">
    <w:name w:val="Balloon Text"/>
    <w:basedOn w:val="Normal"/>
    <w:link w:val="BalloonTextChar"/>
    <w:uiPriority w:val="99"/>
    <w:semiHidden/>
    <w:unhideWhenUsed/>
    <w:rsid w:val="002B1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D5"/>
    <w:rPr>
      <w:rFonts w:ascii="Segoe UI" w:hAnsi="Segoe UI" w:cs="Segoe UI"/>
      <w:sz w:val="18"/>
      <w:szCs w:val="18"/>
    </w:rPr>
  </w:style>
  <w:style w:type="paragraph" w:styleId="ListParagraph">
    <w:name w:val="List Paragraph"/>
    <w:basedOn w:val="Normal"/>
    <w:uiPriority w:val="34"/>
    <w:qFormat/>
    <w:rsid w:val="00454E33"/>
    <w:pPr>
      <w:ind w:left="720"/>
      <w:contextualSpacing/>
    </w:pPr>
  </w:style>
  <w:style w:type="paragraph" w:styleId="BodyText">
    <w:name w:val="Body Text"/>
    <w:basedOn w:val="Normal"/>
    <w:link w:val="BodyTextChar"/>
    <w:rsid w:val="00195C7B"/>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5C7B"/>
    <w:rPr>
      <w:rFonts w:ascii="Arial" w:eastAsia="Times New Roman" w:hAnsi="Arial" w:cs="Times New Roman"/>
      <w:sz w:val="24"/>
      <w:szCs w:val="20"/>
    </w:rPr>
  </w:style>
  <w:style w:type="paragraph" w:customStyle="1" w:styleId="Default">
    <w:name w:val="Default"/>
    <w:rsid w:val="00E852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3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2524"/>
    <w:pPr>
      <w:spacing w:after="0" w:line="240" w:lineRule="auto"/>
    </w:pPr>
  </w:style>
  <w:style w:type="character" w:styleId="Hyperlink">
    <w:name w:val="Hyperlink"/>
    <w:basedOn w:val="DefaultParagraphFont"/>
    <w:uiPriority w:val="99"/>
    <w:unhideWhenUsed/>
    <w:rsid w:val="00FB224C"/>
    <w:rPr>
      <w:color w:val="0000FF"/>
      <w:u w:val="single"/>
    </w:rPr>
  </w:style>
  <w:style w:type="character" w:styleId="UnresolvedMention">
    <w:name w:val="Unresolved Mention"/>
    <w:basedOn w:val="DefaultParagraphFont"/>
    <w:uiPriority w:val="99"/>
    <w:unhideWhenUsed/>
    <w:rsid w:val="00C5202A"/>
    <w:rPr>
      <w:color w:val="605E5C"/>
      <w:shd w:val="clear" w:color="auto" w:fill="E1DFDD"/>
    </w:rPr>
  </w:style>
  <w:style w:type="character" w:customStyle="1" w:styleId="Heading1Char">
    <w:name w:val="Heading 1 Char"/>
    <w:basedOn w:val="DefaultParagraphFont"/>
    <w:link w:val="Heading1"/>
    <w:uiPriority w:val="9"/>
    <w:rsid w:val="00264A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4ABD"/>
    <w:pPr>
      <w:outlineLvl w:val="9"/>
    </w:pPr>
  </w:style>
  <w:style w:type="character" w:customStyle="1" w:styleId="Heading2Char">
    <w:name w:val="Heading 2 Char"/>
    <w:basedOn w:val="DefaultParagraphFont"/>
    <w:link w:val="Heading2"/>
    <w:uiPriority w:val="9"/>
    <w:rsid w:val="008145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45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45E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145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45E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45E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45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5EC"/>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CA334C"/>
    <w:pPr>
      <w:ind w:hanging="720"/>
    </w:pPr>
  </w:style>
  <w:style w:type="paragraph" w:customStyle="1" w:styleId="Style2">
    <w:name w:val="Style2"/>
    <w:basedOn w:val="Heading3"/>
    <w:qFormat/>
    <w:rsid w:val="002F358F"/>
    <w:pPr>
      <w:ind w:left="360" w:hanging="360"/>
    </w:pPr>
  </w:style>
  <w:style w:type="paragraph" w:styleId="TOC1">
    <w:name w:val="toc 1"/>
    <w:basedOn w:val="Normal"/>
    <w:next w:val="Normal"/>
    <w:autoRedefine/>
    <w:uiPriority w:val="39"/>
    <w:unhideWhenUsed/>
    <w:rsid w:val="00F32E94"/>
    <w:pPr>
      <w:spacing w:after="100"/>
    </w:pPr>
  </w:style>
  <w:style w:type="paragraph" w:styleId="TOC2">
    <w:name w:val="toc 2"/>
    <w:basedOn w:val="Normal"/>
    <w:next w:val="Normal"/>
    <w:autoRedefine/>
    <w:uiPriority w:val="39"/>
    <w:unhideWhenUsed/>
    <w:rsid w:val="00F32E94"/>
    <w:pPr>
      <w:spacing w:after="100"/>
      <w:ind w:left="220"/>
    </w:pPr>
  </w:style>
  <w:style w:type="paragraph" w:styleId="TOC3">
    <w:name w:val="toc 3"/>
    <w:basedOn w:val="Normal"/>
    <w:next w:val="Normal"/>
    <w:autoRedefine/>
    <w:uiPriority w:val="39"/>
    <w:unhideWhenUsed/>
    <w:rsid w:val="00F32E94"/>
    <w:pPr>
      <w:spacing w:after="100"/>
      <w:ind w:left="440"/>
    </w:pPr>
  </w:style>
  <w:style w:type="paragraph" w:styleId="Header">
    <w:name w:val="header"/>
    <w:basedOn w:val="Normal"/>
    <w:link w:val="HeaderChar"/>
    <w:uiPriority w:val="99"/>
    <w:unhideWhenUsed/>
    <w:rsid w:val="00F3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8"/>
  </w:style>
  <w:style w:type="paragraph" w:styleId="Footer">
    <w:name w:val="footer"/>
    <w:basedOn w:val="Normal"/>
    <w:link w:val="FooterChar"/>
    <w:uiPriority w:val="99"/>
    <w:unhideWhenUsed/>
    <w:rsid w:val="00F3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8"/>
  </w:style>
  <w:style w:type="character" w:styleId="FollowedHyperlink">
    <w:name w:val="FollowedHyperlink"/>
    <w:basedOn w:val="DefaultParagraphFont"/>
    <w:uiPriority w:val="99"/>
    <w:semiHidden/>
    <w:unhideWhenUsed/>
    <w:rsid w:val="00CA3F0E"/>
    <w:rPr>
      <w:color w:val="954F72" w:themeColor="followedHyperlink"/>
      <w:u w:val="single"/>
    </w:rPr>
  </w:style>
  <w:style w:type="paragraph" w:styleId="Caption">
    <w:name w:val="caption"/>
    <w:basedOn w:val="Normal"/>
    <w:next w:val="Normal"/>
    <w:uiPriority w:val="35"/>
    <w:unhideWhenUsed/>
    <w:qFormat/>
    <w:rsid w:val="00D0316E"/>
    <w:pPr>
      <w:spacing w:after="200" w:line="240" w:lineRule="auto"/>
    </w:pPr>
    <w:rPr>
      <w:i/>
      <w:iCs/>
      <w:color w:val="44546A" w:themeColor="text2"/>
      <w:sz w:val="18"/>
      <w:szCs w:val="18"/>
    </w:rPr>
  </w:style>
  <w:style w:type="paragraph" w:customStyle="1" w:styleId="paragraph">
    <w:name w:val="paragraph"/>
    <w:basedOn w:val="Normal"/>
    <w:rsid w:val="0097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0CD"/>
  </w:style>
  <w:style w:type="character" w:customStyle="1" w:styleId="eop">
    <w:name w:val="eop"/>
    <w:basedOn w:val="DefaultParagraphFont"/>
    <w:rsid w:val="009750CD"/>
  </w:style>
  <w:style w:type="paragraph" w:styleId="FootnoteText">
    <w:name w:val="footnote text"/>
    <w:basedOn w:val="Normal"/>
    <w:link w:val="FootnoteTextChar"/>
    <w:uiPriority w:val="99"/>
    <w:semiHidden/>
    <w:unhideWhenUsed/>
    <w:rsid w:val="00225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EE0"/>
    <w:rPr>
      <w:sz w:val="20"/>
      <w:szCs w:val="20"/>
    </w:rPr>
  </w:style>
  <w:style w:type="character" w:styleId="FootnoteReference">
    <w:name w:val="footnote reference"/>
    <w:basedOn w:val="DefaultParagraphFont"/>
    <w:uiPriority w:val="99"/>
    <w:semiHidden/>
    <w:unhideWhenUsed/>
    <w:rsid w:val="00225EE0"/>
    <w:rPr>
      <w:vertAlign w:val="superscript"/>
    </w:rPr>
  </w:style>
  <w:style w:type="character" w:styleId="Mention">
    <w:name w:val="Mention"/>
    <w:basedOn w:val="DefaultParagraphFont"/>
    <w:uiPriority w:val="99"/>
    <w:unhideWhenUsed/>
    <w:rsid w:val="00DE76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443">
      <w:bodyDiv w:val="1"/>
      <w:marLeft w:val="0"/>
      <w:marRight w:val="0"/>
      <w:marTop w:val="0"/>
      <w:marBottom w:val="0"/>
      <w:divBdr>
        <w:top w:val="none" w:sz="0" w:space="0" w:color="auto"/>
        <w:left w:val="none" w:sz="0" w:space="0" w:color="auto"/>
        <w:bottom w:val="none" w:sz="0" w:space="0" w:color="auto"/>
        <w:right w:val="none" w:sz="0" w:space="0" w:color="auto"/>
      </w:divBdr>
    </w:div>
    <w:div w:id="5912960">
      <w:bodyDiv w:val="1"/>
      <w:marLeft w:val="0"/>
      <w:marRight w:val="0"/>
      <w:marTop w:val="0"/>
      <w:marBottom w:val="0"/>
      <w:divBdr>
        <w:top w:val="none" w:sz="0" w:space="0" w:color="auto"/>
        <w:left w:val="none" w:sz="0" w:space="0" w:color="auto"/>
        <w:bottom w:val="none" w:sz="0" w:space="0" w:color="auto"/>
        <w:right w:val="none" w:sz="0" w:space="0" w:color="auto"/>
      </w:divBdr>
    </w:div>
    <w:div w:id="351686471">
      <w:bodyDiv w:val="1"/>
      <w:marLeft w:val="0"/>
      <w:marRight w:val="0"/>
      <w:marTop w:val="0"/>
      <w:marBottom w:val="0"/>
      <w:divBdr>
        <w:top w:val="none" w:sz="0" w:space="0" w:color="auto"/>
        <w:left w:val="none" w:sz="0" w:space="0" w:color="auto"/>
        <w:bottom w:val="none" w:sz="0" w:space="0" w:color="auto"/>
        <w:right w:val="none" w:sz="0" w:space="0" w:color="auto"/>
      </w:divBdr>
    </w:div>
    <w:div w:id="450368287">
      <w:bodyDiv w:val="1"/>
      <w:marLeft w:val="0"/>
      <w:marRight w:val="0"/>
      <w:marTop w:val="0"/>
      <w:marBottom w:val="0"/>
      <w:divBdr>
        <w:top w:val="none" w:sz="0" w:space="0" w:color="auto"/>
        <w:left w:val="none" w:sz="0" w:space="0" w:color="auto"/>
        <w:bottom w:val="none" w:sz="0" w:space="0" w:color="auto"/>
        <w:right w:val="none" w:sz="0" w:space="0" w:color="auto"/>
      </w:divBdr>
    </w:div>
    <w:div w:id="473450103">
      <w:bodyDiv w:val="1"/>
      <w:marLeft w:val="0"/>
      <w:marRight w:val="0"/>
      <w:marTop w:val="0"/>
      <w:marBottom w:val="0"/>
      <w:divBdr>
        <w:top w:val="none" w:sz="0" w:space="0" w:color="auto"/>
        <w:left w:val="none" w:sz="0" w:space="0" w:color="auto"/>
        <w:bottom w:val="none" w:sz="0" w:space="0" w:color="auto"/>
        <w:right w:val="none" w:sz="0" w:space="0" w:color="auto"/>
      </w:divBdr>
    </w:div>
    <w:div w:id="585190057">
      <w:bodyDiv w:val="1"/>
      <w:marLeft w:val="0"/>
      <w:marRight w:val="0"/>
      <w:marTop w:val="0"/>
      <w:marBottom w:val="0"/>
      <w:divBdr>
        <w:top w:val="none" w:sz="0" w:space="0" w:color="auto"/>
        <w:left w:val="none" w:sz="0" w:space="0" w:color="auto"/>
        <w:bottom w:val="none" w:sz="0" w:space="0" w:color="auto"/>
        <w:right w:val="none" w:sz="0" w:space="0" w:color="auto"/>
      </w:divBdr>
    </w:div>
    <w:div w:id="1277638624">
      <w:bodyDiv w:val="1"/>
      <w:marLeft w:val="0"/>
      <w:marRight w:val="0"/>
      <w:marTop w:val="0"/>
      <w:marBottom w:val="0"/>
      <w:divBdr>
        <w:top w:val="none" w:sz="0" w:space="0" w:color="auto"/>
        <w:left w:val="none" w:sz="0" w:space="0" w:color="auto"/>
        <w:bottom w:val="none" w:sz="0" w:space="0" w:color="auto"/>
        <w:right w:val="none" w:sz="0" w:space="0" w:color="auto"/>
      </w:divBdr>
    </w:div>
    <w:div w:id="1471749148">
      <w:bodyDiv w:val="1"/>
      <w:marLeft w:val="0"/>
      <w:marRight w:val="0"/>
      <w:marTop w:val="0"/>
      <w:marBottom w:val="0"/>
      <w:divBdr>
        <w:top w:val="none" w:sz="0" w:space="0" w:color="auto"/>
        <w:left w:val="none" w:sz="0" w:space="0" w:color="auto"/>
        <w:bottom w:val="none" w:sz="0" w:space="0" w:color="auto"/>
        <w:right w:val="none" w:sz="0" w:space="0" w:color="auto"/>
      </w:divBdr>
      <w:divsChild>
        <w:div w:id="2102287218">
          <w:marLeft w:val="0"/>
          <w:marRight w:val="0"/>
          <w:marTop w:val="0"/>
          <w:marBottom w:val="0"/>
          <w:divBdr>
            <w:top w:val="none" w:sz="0" w:space="0" w:color="auto"/>
            <w:left w:val="none" w:sz="0" w:space="0" w:color="auto"/>
            <w:bottom w:val="none" w:sz="0" w:space="0" w:color="auto"/>
            <w:right w:val="none" w:sz="0" w:space="0" w:color="auto"/>
          </w:divBdr>
        </w:div>
      </w:divsChild>
    </w:div>
    <w:div w:id="1506897513">
      <w:bodyDiv w:val="1"/>
      <w:marLeft w:val="0"/>
      <w:marRight w:val="0"/>
      <w:marTop w:val="0"/>
      <w:marBottom w:val="0"/>
      <w:divBdr>
        <w:top w:val="none" w:sz="0" w:space="0" w:color="auto"/>
        <w:left w:val="none" w:sz="0" w:space="0" w:color="auto"/>
        <w:bottom w:val="none" w:sz="0" w:space="0" w:color="auto"/>
        <w:right w:val="none" w:sz="0" w:space="0" w:color="auto"/>
      </w:divBdr>
    </w:div>
    <w:div w:id="1510563667">
      <w:bodyDiv w:val="1"/>
      <w:marLeft w:val="0"/>
      <w:marRight w:val="0"/>
      <w:marTop w:val="0"/>
      <w:marBottom w:val="0"/>
      <w:divBdr>
        <w:top w:val="none" w:sz="0" w:space="0" w:color="auto"/>
        <w:left w:val="none" w:sz="0" w:space="0" w:color="auto"/>
        <w:bottom w:val="none" w:sz="0" w:space="0" w:color="auto"/>
        <w:right w:val="none" w:sz="0" w:space="0" w:color="auto"/>
      </w:divBdr>
    </w:div>
    <w:div w:id="1596326443">
      <w:bodyDiv w:val="1"/>
      <w:marLeft w:val="0"/>
      <w:marRight w:val="0"/>
      <w:marTop w:val="0"/>
      <w:marBottom w:val="0"/>
      <w:divBdr>
        <w:top w:val="none" w:sz="0" w:space="0" w:color="auto"/>
        <w:left w:val="none" w:sz="0" w:space="0" w:color="auto"/>
        <w:bottom w:val="none" w:sz="0" w:space="0" w:color="auto"/>
        <w:right w:val="none" w:sz="0" w:space="0" w:color="auto"/>
      </w:divBdr>
    </w:div>
    <w:div w:id="1601797942">
      <w:bodyDiv w:val="1"/>
      <w:marLeft w:val="0"/>
      <w:marRight w:val="0"/>
      <w:marTop w:val="0"/>
      <w:marBottom w:val="0"/>
      <w:divBdr>
        <w:top w:val="none" w:sz="0" w:space="0" w:color="auto"/>
        <w:left w:val="none" w:sz="0" w:space="0" w:color="auto"/>
        <w:bottom w:val="none" w:sz="0" w:space="0" w:color="auto"/>
        <w:right w:val="none" w:sz="0" w:space="0" w:color="auto"/>
      </w:divBdr>
    </w:div>
    <w:div w:id="1609118971">
      <w:bodyDiv w:val="1"/>
      <w:marLeft w:val="0"/>
      <w:marRight w:val="0"/>
      <w:marTop w:val="0"/>
      <w:marBottom w:val="0"/>
      <w:divBdr>
        <w:top w:val="none" w:sz="0" w:space="0" w:color="auto"/>
        <w:left w:val="none" w:sz="0" w:space="0" w:color="auto"/>
        <w:bottom w:val="none" w:sz="0" w:space="0" w:color="auto"/>
        <w:right w:val="none" w:sz="0" w:space="0" w:color="auto"/>
      </w:divBdr>
    </w:div>
    <w:div w:id="1609773330">
      <w:bodyDiv w:val="1"/>
      <w:marLeft w:val="0"/>
      <w:marRight w:val="0"/>
      <w:marTop w:val="0"/>
      <w:marBottom w:val="0"/>
      <w:divBdr>
        <w:top w:val="none" w:sz="0" w:space="0" w:color="auto"/>
        <w:left w:val="none" w:sz="0" w:space="0" w:color="auto"/>
        <w:bottom w:val="none" w:sz="0" w:space="0" w:color="auto"/>
        <w:right w:val="none" w:sz="0" w:space="0" w:color="auto"/>
      </w:divBdr>
    </w:div>
    <w:div w:id="1798179934">
      <w:bodyDiv w:val="1"/>
      <w:marLeft w:val="0"/>
      <w:marRight w:val="0"/>
      <w:marTop w:val="0"/>
      <w:marBottom w:val="0"/>
      <w:divBdr>
        <w:top w:val="none" w:sz="0" w:space="0" w:color="auto"/>
        <w:left w:val="none" w:sz="0" w:space="0" w:color="auto"/>
        <w:bottom w:val="none" w:sz="0" w:space="0" w:color="auto"/>
        <w:right w:val="none" w:sz="0" w:space="0" w:color="auto"/>
      </w:divBdr>
    </w:div>
    <w:div w:id="1842310990">
      <w:bodyDiv w:val="1"/>
      <w:marLeft w:val="0"/>
      <w:marRight w:val="0"/>
      <w:marTop w:val="0"/>
      <w:marBottom w:val="0"/>
      <w:divBdr>
        <w:top w:val="none" w:sz="0" w:space="0" w:color="auto"/>
        <w:left w:val="none" w:sz="0" w:space="0" w:color="auto"/>
        <w:bottom w:val="none" w:sz="0" w:space="0" w:color="auto"/>
        <w:right w:val="none" w:sz="0" w:space="0" w:color="auto"/>
      </w:divBdr>
    </w:div>
    <w:div w:id="1870216169">
      <w:bodyDiv w:val="1"/>
      <w:marLeft w:val="0"/>
      <w:marRight w:val="0"/>
      <w:marTop w:val="0"/>
      <w:marBottom w:val="0"/>
      <w:divBdr>
        <w:top w:val="none" w:sz="0" w:space="0" w:color="auto"/>
        <w:left w:val="none" w:sz="0" w:space="0" w:color="auto"/>
        <w:bottom w:val="none" w:sz="0" w:space="0" w:color="auto"/>
        <w:right w:val="none" w:sz="0" w:space="0" w:color="auto"/>
      </w:divBdr>
    </w:div>
    <w:div w:id="1885100572">
      <w:bodyDiv w:val="1"/>
      <w:marLeft w:val="0"/>
      <w:marRight w:val="0"/>
      <w:marTop w:val="0"/>
      <w:marBottom w:val="0"/>
      <w:divBdr>
        <w:top w:val="none" w:sz="0" w:space="0" w:color="auto"/>
        <w:left w:val="none" w:sz="0" w:space="0" w:color="auto"/>
        <w:bottom w:val="none" w:sz="0" w:space="0" w:color="auto"/>
        <w:right w:val="none" w:sz="0" w:space="0" w:color="auto"/>
      </w:divBdr>
    </w:div>
    <w:div w:id="19404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pm.gov/policy-data-oversight/pay-leave/salaries-wages/salary-tables/pdf/2020/G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news.release/pdf/ece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15-09/documents/npdes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5fb12fee-9587-479d-9672-1d6a11890cd5">Pending</Records_x0020_Status>
    <Record xmlns="4ffa91fb-a0ff-4ac5-b2db-65c790d184a4">Shared</Record>
    <_ip_UnifiedCompliancePolicyProperties xmlns="http://schemas.microsoft.com/sharepoint/v3" xsi:nil="true"/>
    <Rights xmlns="4ffa91fb-a0ff-4ac5-b2db-65c790d184a4" xsi:nil="true"/>
    <Records_x0020_Date xmlns="5fb12fee-9587-479d-9672-1d6a11890cd5" xsi:nil="true"/>
    <Document_x0020_Creation_x0020_Date xmlns="4ffa91fb-a0ff-4ac5-b2db-65c790d184a4">2021-01-07T12:09:09+00:00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59875664BF05A48ABD300C8FD80DE25" ma:contentTypeVersion="36" ma:contentTypeDescription="Create a new document." ma:contentTypeScope="" ma:versionID="0241e5706d076d90dcca2039451af01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fb12fee-9587-479d-9672-1d6a11890cd5" xmlns:ns7="6fa5ba20-e8a5-48db-b615-4c81dcb8c54b" targetNamespace="http://schemas.microsoft.com/office/2006/metadata/properties" ma:root="true" ma:fieldsID="40403cdb88a37871d494ece77efcb1c7" ns1:_="" ns3:_="" ns4:_="" ns5:_="" ns6:_="" ns7:_="">
    <xsd:import namespace="http://schemas.microsoft.com/sharepoint/v3"/>
    <xsd:import namespace="4ffa91fb-a0ff-4ac5-b2db-65c790d184a4"/>
    <xsd:import namespace="http://schemas.microsoft.com/sharepoint.v3"/>
    <xsd:import namespace="http://schemas.microsoft.com/sharepoint/v3/fields"/>
    <xsd:import namespace="5fb12fee-9587-479d-9672-1d6a11890cd5"/>
    <xsd:import namespace="6fa5ba20-e8a5-48db-b615-4c81dcb8c54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6:Records_x0020_Status" minOccurs="0"/>
                <xsd:element ref="ns6:Records_x0020_Date" minOccurs="0"/>
                <xsd:element ref="ns7:MediaServiceLocation" minOccurs="0"/>
                <xsd:element ref="ns1:_ip_UnifiedCompliancePolicyProperties" minOccurs="0"/>
                <xsd:element ref="ns1:_ip_UnifiedCompliancePolicyUIAction" minOccurs="0"/>
                <xsd:element ref="ns7:MediaServiceAutoKeyPoints" minOccurs="0"/>
                <xsd:element ref="ns7:MediaServiceKeyPoint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7b41ce-16ad-4d3f-a83e-68475d002912}" ma:internalName="TaxCatchAllLabel" ma:readOnly="true" ma:showField="CatchAllDataLabel" ma:web="5fb12fee-9587-479d-9672-1d6a11890cd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7b41ce-16ad-4d3f-a83e-68475d002912}" ma:internalName="TaxCatchAll" ma:showField="CatchAllData" ma:web="5fb12fee-9587-479d-9672-1d6a11890c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12fee-9587-479d-9672-1d6a11890cd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a5ba20-e8a5-48db-b615-4c81dcb8c5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description=""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54D5-2005-4CAB-ACA6-F16EA9B50101}">
  <ds:schemaRefs>
    <ds:schemaRef ds:uri="http://schemas.microsoft.com/sharepoint/v3/contenttype/forms"/>
  </ds:schemaRefs>
</ds:datastoreItem>
</file>

<file path=customXml/itemProps2.xml><?xml version="1.0" encoding="utf-8"?>
<ds:datastoreItem xmlns:ds="http://schemas.openxmlformats.org/officeDocument/2006/customXml" ds:itemID="{6E16FCA1-B29A-4C14-88CF-B50F7B551864}">
  <ds:schemaRefs>
    <ds:schemaRef ds:uri="http://schemas.microsoft.com/sharepoint/v3"/>
    <ds:schemaRef ds:uri="http://purl.org/dc/terms/"/>
    <ds:schemaRef ds:uri="5fb12fee-9587-479d-9672-1d6a11890cd5"/>
    <ds:schemaRef ds:uri="http://schemas.microsoft.com/office/infopath/2007/PartnerControls"/>
    <ds:schemaRef ds:uri="http://schemas.microsoft.com/office/2006/documentManagement/types"/>
    <ds:schemaRef ds:uri="http://schemas.openxmlformats.org/package/2006/metadata/core-properties"/>
    <ds:schemaRef ds:uri="6fa5ba20-e8a5-48db-b615-4c81dcb8c54b"/>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CD6F05FA-A701-45DC-86ED-06633E262530}">
  <ds:schemaRefs>
    <ds:schemaRef ds:uri="Microsoft.SharePoint.Taxonomy.ContentTypeSync"/>
  </ds:schemaRefs>
</ds:datastoreItem>
</file>

<file path=customXml/itemProps4.xml><?xml version="1.0" encoding="utf-8"?>
<ds:datastoreItem xmlns:ds="http://schemas.openxmlformats.org/officeDocument/2006/customXml" ds:itemID="{D6B8DFD9-651C-4874-863D-9CF22D36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fb12fee-9587-479d-9672-1d6a11890cd5"/>
    <ds:schemaRef ds:uri="6fa5ba20-e8a5-48db-b615-4c81dcb8c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F5DCA6-470E-4A2F-8903-A4E6B88F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33</Pages>
  <Words>11705</Words>
  <Characters>66722</Characters>
  <Application>Microsoft Office Word</Application>
  <DocSecurity>0</DocSecurity>
  <Lines>556</Lines>
  <Paragraphs>156</Paragraphs>
  <ScaleCrop>false</ScaleCrop>
  <Company/>
  <LinksUpToDate>false</LinksUpToDate>
  <CharactersWithSpaces>78271</CharactersWithSpaces>
  <SharedDoc>false</SharedDoc>
  <HLinks>
    <vt:vector size="234" baseType="variant">
      <vt:variant>
        <vt:i4>5570631</vt:i4>
      </vt:variant>
      <vt:variant>
        <vt:i4>231</vt:i4>
      </vt:variant>
      <vt:variant>
        <vt:i4>0</vt:i4>
      </vt:variant>
      <vt:variant>
        <vt:i4>5</vt:i4>
      </vt:variant>
      <vt:variant>
        <vt:lpwstr>https://www.opm.gov/policy-data-oversight/pay-leave/salaries-wages/salary-tables/pdf/2020/GS.pdf</vt:lpwstr>
      </vt:variant>
      <vt:variant>
        <vt:lpwstr/>
      </vt:variant>
      <vt:variant>
        <vt:i4>1703952</vt:i4>
      </vt:variant>
      <vt:variant>
        <vt:i4>228</vt:i4>
      </vt:variant>
      <vt:variant>
        <vt:i4>0</vt:i4>
      </vt:variant>
      <vt:variant>
        <vt:i4>5</vt:i4>
      </vt:variant>
      <vt:variant>
        <vt:lpwstr>https://www.bls.gov/news.release/pdf/ecec.pdf</vt:lpwstr>
      </vt:variant>
      <vt:variant>
        <vt:lpwstr/>
      </vt:variant>
      <vt:variant>
        <vt:i4>1048664</vt:i4>
      </vt:variant>
      <vt:variant>
        <vt:i4>222</vt:i4>
      </vt:variant>
      <vt:variant>
        <vt:i4>0</vt:i4>
      </vt:variant>
      <vt:variant>
        <vt:i4>5</vt:i4>
      </vt:variant>
      <vt:variant>
        <vt:lpwstr>https://www.epa.gov/sites/production/files/2015-09/documents/npdesea.pdf</vt:lpwstr>
      </vt:variant>
      <vt:variant>
        <vt:lpwstr/>
      </vt:variant>
      <vt:variant>
        <vt:i4>1572913</vt:i4>
      </vt:variant>
      <vt:variant>
        <vt:i4>212</vt:i4>
      </vt:variant>
      <vt:variant>
        <vt:i4>0</vt:i4>
      </vt:variant>
      <vt:variant>
        <vt:i4>5</vt:i4>
      </vt:variant>
      <vt:variant>
        <vt:lpwstr/>
      </vt:variant>
      <vt:variant>
        <vt:lpwstr>_Toc24963895</vt:lpwstr>
      </vt:variant>
      <vt:variant>
        <vt:i4>1638449</vt:i4>
      </vt:variant>
      <vt:variant>
        <vt:i4>206</vt:i4>
      </vt:variant>
      <vt:variant>
        <vt:i4>0</vt:i4>
      </vt:variant>
      <vt:variant>
        <vt:i4>5</vt:i4>
      </vt:variant>
      <vt:variant>
        <vt:lpwstr/>
      </vt:variant>
      <vt:variant>
        <vt:lpwstr>_Toc24963894</vt:lpwstr>
      </vt:variant>
      <vt:variant>
        <vt:i4>1966129</vt:i4>
      </vt:variant>
      <vt:variant>
        <vt:i4>200</vt:i4>
      </vt:variant>
      <vt:variant>
        <vt:i4>0</vt:i4>
      </vt:variant>
      <vt:variant>
        <vt:i4>5</vt:i4>
      </vt:variant>
      <vt:variant>
        <vt:lpwstr/>
      </vt:variant>
      <vt:variant>
        <vt:lpwstr>_Toc24963893</vt:lpwstr>
      </vt:variant>
      <vt:variant>
        <vt:i4>2031665</vt:i4>
      </vt:variant>
      <vt:variant>
        <vt:i4>194</vt:i4>
      </vt:variant>
      <vt:variant>
        <vt:i4>0</vt:i4>
      </vt:variant>
      <vt:variant>
        <vt:i4>5</vt:i4>
      </vt:variant>
      <vt:variant>
        <vt:lpwstr/>
      </vt:variant>
      <vt:variant>
        <vt:lpwstr>_Toc24963892</vt:lpwstr>
      </vt:variant>
      <vt:variant>
        <vt:i4>1835057</vt:i4>
      </vt:variant>
      <vt:variant>
        <vt:i4>188</vt:i4>
      </vt:variant>
      <vt:variant>
        <vt:i4>0</vt:i4>
      </vt:variant>
      <vt:variant>
        <vt:i4>5</vt:i4>
      </vt:variant>
      <vt:variant>
        <vt:lpwstr/>
      </vt:variant>
      <vt:variant>
        <vt:lpwstr>_Toc24963891</vt:lpwstr>
      </vt:variant>
      <vt:variant>
        <vt:i4>1900593</vt:i4>
      </vt:variant>
      <vt:variant>
        <vt:i4>182</vt:i4>
      </vt:variant>
      <vt:variant>
        <vt:i4>0</vt:i4>
      </vt:variant>
      <vt:variant>
        <vt:i4>5</vt:i4>
      </vt:variant>
      <vt:variant>
        <vt:lpwstr/>
      </vt:variant>
      <vt:variant>
        <vt:lpwstr>_Toc24963890</vt:lpwstr>
      </vt:variant>
      <vt:variant>
        <vt:i4>1310768</vt:i4>
      </vt:variant>
      <vt:variant>
        <vt:i4>176</vt:i4>
      </vt:variant>
      <vt:variant>
        <vt:i4>0</vt:i4>
      </vt:variant>
      <vt:variant>
        <vt:i4>5</vt:i4>
      </vt:variant>
      <vt:variant>
        <vt:lpwstr/>
      </vt:variant>
      <vt:variant>
        <vt:lpwstr>_Toc24963889</vt:lpwstr>
      </vt:variant>
      <vt:variant>
        <vt:i4>1376304</vt:i4>
      </vt:variant>
      <vt:variant>
        <vt:i4>170</vt:i4>
      </vt:variant>
      <vt:variant>
        <vt:i4>0</vt:i4>
      </vt:variant>
      <vt:variant>
        <vt:i4>5</vt:i4>
      </vt:variant>
      <vt:variant>
        <vt:lpwstr/>
      </vt:variant>
      <vt:variant>
        <vt:lpwstr>_Toc24963888</vt:lpwstr>
      </vt:variant>
      <vt:variant>
        <vt:i4>1703984</vt:i4>
      </vt:variant>
      <vt:variant>
        <vt:i4>164</vt:i4>
      </vt:variant>
      <vt:variant>
        <vt:i4>0</vt:i4>
      </vt:variant>
      <vt:variant>
        <vt:i4>5</vt:i4>
      </vt:variant>
      <vt:variant>
        <vt:lpwstr/>
      </vt:variant>
      <vt:variant>
        <vt:lpwstr>_Toc24963887</vt:lpwstr>
      </vt:variant>
      <vt:variant>
        <vt:i4>1769520</vt:i4>
      </vt:variant>
      <vt:variant>
        <vt:i4>158</vt:i4>
      </vt:variant>
      <vt:variant>
        <vt:i4>0</vt:i4>
      </vt:variant>
      <vt:variant>
        <vt:i4>5</vt:i4>
      </vt:variant>
      <vt:variant>
        <vt:lpwstr/>
      </vt:variant>
      <vt:variant>
        <vt:lpwstr>_Toc24963886</vt:lpwstr>
      </vt:variant>
      <vt:variant>
        <vt:i4>1572912</vt:i4>
      </vt:variant>
      <vt:variant>
        <vt:i4>152</vt:i4>
      </vt:variant>
      <vt:variant>
        <vt:i4>0</vt:i4>
      </vt:variant>
      <vt:variant>
        <vt:i4>5</vt:i4>
      </vt:variant>
      <vt:variant>
        <vt:lpwstr/>
      </vt:variant>
      <vt:variant>
        <vt:lpwstr>_Toc24963885</vt:lpwstr>
      </vt:variant>
      <vt:variant>
        <vt:i4>1638448</vt:i4>
      </vt:variant>
      <vt:variant>
        <vt:i4>146</vt:i4>
      </vt:variant>
      <vt:variant>
        <vt:i4>0</vt:i4>
      </vt:variant>
      <vt:variant>
        <vt:i4>5</vt:i4>
      </vt:variant>
      <vt:variant>
        <vt:lpwstr/>
      </vt:variant>
      <vt:variant>
        <vt:lpwstr>_Toc24963884</vt:lpwstr>
      </vt:variant>
      <vt:variant>
        <vt:i4>1966128</vt:i4>
      </vt:variant>
      <vt:variant>
        <vt:i4>140</vt:i4>
      </vt:variant>
      <vt:variant>
        <vt:i4>0</vt:i4>
      </vt:variant>
      <vt:variant>
        <vt:i4>5</vt:i4>
      </vt:variant>
      <vt:variant>
        <vt:lpwstr/>
      </vt:variant>
      <vt:variant>
        <vt:lpwstr>_Toc24963883</vt:lpwstr>
      </vt:variant>
      <vt:variant>
        <vt:i4>2031664</vt:i4>
      </vt:variant>
      <vt:variant>
        <vt:i4>134</vt:i4>
      </vt:variant>
      <vt:variant>
        <vt:i4>0</vt:i4>
      </vt:variant>
      <vt:variant>
        <vt:i4>5</vt:i4>
      </vt:variant>
      <vt:variant>
        <vt:lpwstr/>
      </vt:variant>
      <vt:variant>
        <vt:lpwstr>_Toc24963882</vt:lpwstr>
      </vt:variant>
      <vt:variant>
        <vt:i4>1835056</vt:i4>
      </vt:variant>
      <vt:variant>
        <vt:i4>128</vt:i4>
      </vt:variant>
      <vt:variant>
        <vt:i4>0</vt:i4>
      </vt:variant>
      <vt:variant>
        <vt:i4>5</vt:i4>
      </vt:variant>
      <vt:variant>
        <vt:lpwstr/>
      </vt:variant>
      <vt:variant>
        <vt:lpwstr>_Toc24963881</vt:lpwstr>
      </vt:variant>
      <vt:variant>
        <vt:i4>1900592</vt:i4>
      </vt:variant>
      <vt:variant>
        <vt:i4>122</vt:i4>
      </vt:variant>
      <vt:variant>
        <vt:i4>0</vt:i4>
      </vt:variant>
      <vt:variant>
        <vt:i4>5</vt:i4>
      </vt:variant>
      <vt:variant>
        <vt:lpwstr/>
      </vt:variant>
      <vt:variant>
        <vt:lpwstr>_Toc24963880</vt:lpwstr>
      </vt:variant>
      <vt:variant>
        <vt:i4>1310783</vt:i4>
      </vt:variant>
      <vt:variant>
        <vt:i4>116</vt:i4>
      </vt:variant>
      <vt:variant>
        <vt:i4>0</vt:i4>
      </vt:variant>
      <vt:variant>
        <vt:i4>5</vt:i4>
      </vt:variant>
      <vt:variant>
        <vt:lpwstr/>
      </vt:variant>
      <vt:variant>
        <vt:lpwstr>_Toc24963879</vt:lpwstr>
      </vt:variant>
      <vt:variant>
        <vt:i4>1376319</vt:i4>
      </vt:variant>
      <vt:variant>
        <vt:i4>110</vt:i4>
      </vt:variant>
      <vt:variant>
        <vt:i4>0</vt:i4>
      </vt:variant>
      <vt:variant>
        <vt:i4>5</vt:i4>
      </vt:variant>
      <vt:variant>
        <vt:lpwstr/>
      </vt:variant>
      <vt:variant>
        <vt:lpwstr>_Toc24963878</vt:lpwstr>
      </vt:variant>
      <vt:variant>
        <vt:i4>1703999</vt:i4>
      </vt:variant>
      <vt:variant>
        <vt:i4>104</vt:i4>
      </vt:variant>
      <vt:variant>
        <vt:i4>0</vt:i4>
      </vt:variant>
      <vt:variant>
        <vt:i4>5</vt:i4>
      </vt:variant>
      <vt:variant>
        <vt:lpwstr/>
      </vt:variant>
      <vt:variant>
        <vt:lpwstr>_Toc24963877</vt:lpwstr>
      </vt:variant>
      <vt:variant>
        <vt:i4>1769535</vt:i4>
      </vt:variant>
      <vt:variant>
        <vt:i4>98</vt:i4>
      </vt:variant>
      <vt:variant>
        <vt:i4>0</vt:i4>
      </vt:variant>
      <vt:variant>
        <vt:i4>5</vt:i4>
      </vt:variant>
      <vt:variant>
        <vt:lpwstr/>
      </vt:variant>
      <vt:variant>
        <vt:lpwstr>_Toc24963876</vt:lpwstr>
      </vt:variant>
      <vt:variant>
        <vt:i4>1572927</vt:i4>
      </vt:variant>
      <vt:variant>
        <vt:i4>92</vt:i4>
      </vt:variant>
      <vt:variant>
        <vt:i4>0</vt:i4>
      </vt:variant>
      <vt:variant>
        <vt:i4>5</vt:i4>
      </vt:variant>
      <vt:variant>
        <vt:lpwstr/>
      </vt:variant>
      <vt:variant>
        <vt:lpwstr>_Toc24963875</vt:lpwstr>
      </vt:variant>
      <vt:variant>
        <vt:i4>1638463</vt:i4>
      </vt:variant>
      <vt:variant>
        <vt:i4>86</vt:i4>
      </vt:variant>
      <vt:variant>
        <vt:i4>0</vt:i4>
      </vt:variant>
      <vt:variant>
        <vt:i4>5</vt:i4>
      </vt:variant>
      <vt:variant>
        <vt:lpwstr/>
      </vt:variant>
      <vt:variant>
        <vt:lpwstr>_Toc24963874</vt:lpwstr>
      </vt:variant>
      <vt:variant>
        <vt:i4>1966143</vt:i4>
      </vt:variant>
      <vt:variant>
        <vt:i4>80</vt:i4>
      </vt:variant>
      <vt:variant>
        <vt:i4>0</vt:i4>
      </vt:variant>
      <vt:variant>
        <vt:i4>5</vt:i4>
      </vt:variant>
      <vt:variant>
        <vt:lpwstr/>
      </vt:variant>
      <vt:variant>
        <vt:lpwstr>_Toc24963873</vt:lpwstr>
      </vt:variant>
      <vt:variant>
        <vt:i4>2031679</vt:i4>
      </vt:variant>
      <vt:variant>
        <vt:i4>74</vt:i4>
      </vt:variant>
      <vt:variant>
        <vt:i4>0</vt:i4>
      </vt:variant>
      <vt:variant>
        <vt:i4>5</vt:i4>
      </vt:variant>
      <vt:variant>
        <vt:lpwstr/>
      </vt:variant>
      <vt:variant>
        <vt:lpwstr>_Toc24963872</vt:lpwstr>
      </vt:variant>
      <vt:variant>
        <vt:i4>1835071</vt:i4>
      </vt:variant>
      <vt:variant>
        <vt:i4>68</vt:i4>
      </vt:variant>
      <vt:variant>
        <vt:i4>0</vt:i4>
      </vt:variant>
      <vt:variant>
        <vt:i4>5</vt:i4>
      </vt:variant>
      <vt:variant>
        <vt:lpwstr/>
      </vt:variant>
      <vt:variant>
        <vt:lpwstr>_Toc24963871</vt:lpwstr>
      </vt:variant>
      <vt:variant>
        <vt:i4>1900607</vt:i4>
      </vt:variant>
      <vt:variant>
        <vt:i4>62</vt:i4>
      </vt:variant>
      <vt:variant>
        <vt:i4>0</vt:i4>
      </vt:variant>
      <vt:variant>
        <vt:i4>5</vt:i4>
      </vt:variant>
      <vt:variant>
        <vt:lpwstr/>
      </vt:variant>
      <vt:variant>
        <vt:lpwstr>_Toc24963870</vt:lpwstr>
      </vt:variant>
      <vt:variant>
        <vt:i4>1310782</vt:i4>
      </vt:variant>
      <vt:variant>
        <vt:i4>56</vt:i4>
      </vt:variant>
      <vt:variant>
        <vt:i4>0</vt:i4>
      </vt:variant>
      <vt:variant>
        <vt:i4>5</vt:i4>
      </vt:variant>
      <vt:variant>
        <vt:lpwstr/>
      </vt:variant>
      <vt:variant>
        <vt:lpwstr>_Toc24963869</vt:lpwstr>
      </vt:variant>
      <vt:variant>
        <vt:i4>1376318</vt:i4>
      </vt:variant>
      <vt:variant>
        <vt:i4>50</vt:i4>
      </vt:variant>
      <vt:variant>
        <vt:i4>0</vt:i4>
      </vt:variant>
      <vt:variant>
        <vt:i4>5</vt:i4>
      </vt:variant>
      <vt:variant>
        <vt:lpwstr/>
      </vt:variant>
      <vt:variant>
        <vt:lpwstr>_Toc24963868</vt:lpwstr>
      </vt:variant>
      <vt:variant>
        <vt:i4>1703998</vt:i4>
      </vt:variant>
      <vt:variant>
        <vt:i4>44</vt:i4>
      </vt:variant>
      <vt:variant>
        <vt:i4>0</vt:i4>
      </vt:variant>
      <vt:variant>
        <vt:i4>5</vt:i4>
      </vt:variant>
      <vt:variant>
        <vt:lpwstr/>
      </vt:variant>
      <vt:variant>
        <vt:lpwstr>_Toc24963867</vt:lpwstr>
      </vt:variant>
      <vt:variant>
        <vt:i4>1769534</vt:i4>
      </vt:variant>
      <vt:variant>
        <vt:i4>38</vt:i4>
      </vt:variant>
      <vt:variant>
        <vt:i4>0</vt:i4>
      </vt:variant>
      <vt:variant>
        <vt:i4>5</vt:i4>
      </vt:variant>
      <vt:variant>
        <vt:lpwstr/>
      </vt:variant>
      <vt:variant>
        <vt:lpwstr>_Toc24963866</vt:lpwstr>
      </vt:variant>
      <vt:variant>
        <vt:i4>1572926</vt:i4>
      </vt:variant>
      <vt:variant>
        <vt:i4>32</vt:i4>
      </vt:variant>
      <vt:variant>
        <vt:i4>0</vt:i4>
      </vt:variant>
      <vt:variant>
        <vt:i4>5</vt:i4>
      </vt:variant>
      <vt:variant>
        <vt:lpwstr/>
      </vt:variant>
      <vt:variant>
        <vt:lpwstr>_Toc24963865</vt:lpwstr>
      </vt:variant>
      <vt:variant>
        <vt:i4>1638462</vt:i4>
      </vt:variant>
      <vt:variant>
        <vt:i4>26</vt:i4>
      </vt:variant>
      <vt:variant>
        <vt:i4>0</vt:i4>
      </vt:variant>
      <vt:variant>
        <vt:i4>5</vt:i4>
      </vt:variant>
      <vt:variant>
        <vt:lpwstr/>
      </vt:variant>
      <vt:variant>
        <vt:lpwstr>_Toc24963864</vt:lpwstr>
      </vt:variant>
      <vt:variant>
        <vt:i4>1966142</vt:i4>
      </vt:variant>
      <vt:variant>
        <vt:i4>20</vt:i4>
      </vt:variant>
      <vt:variant>
        <vt:i4>0</vt:i4>
      </vt:variant>
      <vt:variant>
        <vt:i4>5</vt:i4>
      </vt:variant>
      <vt:variant>
        <vt:lpwstr/>
      </vt:variant>
      <vt:variant>
        <vt:lpwstr>_Toc24963863</vt:lpwstr>
      </vt:variant>
      <vt:variant>
        <vt:i4>2031678</vt:i4>
      </vt:variant>
      <vt:variant>
        <vt:i4>14</vt:i4>
      </vt:variant>
      <vt:variant>
        <vt:i4>0</vt:i4>
      </vt:variant>
      <vt:variant>
        <vt:i4>5</vt:i4>
      </vt:variant>
      <vt:variant>
        <vt:lpwstr/>
      </vt:variant>
      <vt:variant>
        <vt:lpwstr>_Toc24963862</vt:lpwstr>
      </vt:variant>
      <vt:variant>
        <vt:i4>1835070</vt:i4>
      </vt:variant>
      <vt:variant>
        <vt:i4>8</vt:i4>
      </vt:variant>
      <vt:variant>
        <vt:i4>0</vt:i4>
      </vt:variant>
      <vt:variant>
        <vt:i4>5</vt:i4>
      </vt:variant>
      <vt:variant>
        <vt:lpwstr/>
      </vt:variant>
      <vt:variant>
        <vt:lpwstr>_Toc24963861</vt:lpwstr>
      </vt:variant>
      <vt:variant>
        <vt:i4>1900606</vt:i4>
      </vt:variant>
      <vt:variant>
        <vt:i4>2</vt:i4>
      </vt:variant>
      <vt:variant>
        <vt:i4>0</vt:i4>
      </vt:variant>
      <vt:variant>
        <vt:i4>5</vt:i4>
      </vt:variant>
      <vt:variant>
        <vt:lpwstr/>
      </vt:variant>
      <vt:variant>
        <vt:lpwstr>_Toc24963860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Erika D.</dc:creator>
  <cp:keywords/>
  <dc:description/>
  <cp:lastModifiedBy>Stebe, Katherine</cp:lastModifiedBy>
  <cp:revision>74</cp:revision>
  <dcterms:created xsi:type="dcterms:W3CDTF">2021-01-07T15:09:00Z</dcterms:created>
  <dcterms:modified xsi:type="dcterms:W3CDTF">2021-01-10T15:49:00Z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0x010100559875664BF05A48ABD300C8FD80DE25</vt:lpwstr>
  </property>
</Properties>
</file>