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19E5" w:rsidR="002B34A0" w:rsidP="00BD53A4" w:rsidRDefault="000530F2" w14:paraId="1983759C" w14:textId="77777777">
      <w:pPr>
        <w:spacing w:before="40"/>
        <w:jc w:val="center"/>
        <w:rPr>
          <w:b/>
          <w:lang w:bidi="en-US"/>
        </w:rPr>
      </w:pPr>
      <w:r w:rsidRPr="007919E5">
        <w:rPr>
          <w:b/>
          <w:lang w:bidi="en-US"/>
        </w:rPr>
        <w:t xml:space="preserve">Supporting Statement for an Information Collection Request </w:t>
      </w:r>
      <w:r w:rsidRPr="007919E5" w:rsidR="002B34A0">
        <w:rPr>
          <w:b/>
          <w:lang w:bidi="en-US"/>
        </w:rPr>
        <w:t>(ICR)</w:t>
      </w:r>
    </w:p>
    <w:p w:rsidRPr="007919E5" w:rsidR="002B34A0" w:rsidP="002B34A0" w:rsidRDefault="000530F2" w14:paraId="6343A82D" w14:textId="77777777">
      <w:pPr>
        <w:jc w:val="center"/>
        <w:rPr>
          <w:b/>
          <w:lang w:bidi="en-US"/>
        </w:rPr>
      </w:pPr>
      <w:r w:rsidRPr="007919E5">
        <w:rPr>
          <w:b/>
          <w:lang w:bidi="en-US"/>
        </w:rPr>
        <w:t xml:space="preserve">Under the Paperwork Reduction Act </w:t>
      </w:r>
      <w:r w:rsidRPr="007919E5" w:rsidR="002B34A0">
        <w:rPr>
          <w:b/>
          <w:lang w:bidi="en-US"/>
        </w:rPr>
        <w:t>(PRA)</w:t>
      </w:r>
    </w:p>
    <w:p w:rsidRPr="007919E5" w:rsidR="00BD53A4" w:rsidP="00BD53A4" w:rsidRDefault="002B34A0" w14:paraId="3597C3A1" w14:textId="77777777">
      <w:pPr>
        <w:rPr>
          <w:rFonts w:cs="Arial"/>
          <w:sz w:val="20"/>
          <w:szCs w:val="20"/>
        </w:rPr>
      </w:pPr>
      <w:r w:rsidRPr="007919E5">
        <w:rPr>
          <w:lang w:bidi="en-US"/>
        </w:rPr>
        <w:tab/>
      </w:r>
    </w:p>
    <w:p w:rsidRPr="007919E5" w:rsidR="002B34A0" w:rsidP="002C395B" w:rsidRDefault="005B4F77" w14:paraId="1A38C5F1" w14:textId="77777777">
      <w:pPr>
        <w:pStyle w:val="Heading1"/>
        <w:numPr>
          <w:ilvl w:val="0"/>
          <w:numId w:val="3"/>
        </w:numPr>
        <w:rPr>
          <w:lang w:bidi="en-US"/>
        </w:rPr>
      </w:pPr>
      <w:bookmarkStart w:name="_Toc447203161" w:id="0"/>
      <w:r w:rsidRPr="007919E5">
        <w:rPr>
          <w:lang w:bidi="en-US"/>
        </w:rPr>
        <w:t>EXECUTIVE SUMMARY</w:t>
      </w:r>
      <w:bookmarkEnd w:id="0"/>
    </w:p>
    <w:p w:rsidRPr="00E74965" w:rsidR="002B34A0" w:rsidP="002C395B" w:rsidRDefault="005B4F77" w14:paraId="0F0E68D9" w14:textId="77777777">
      <w:pPr>
        <w:pStyle w:val="Heading2"/>
        <w:numPr>
          <w:ilvl w:val="1"/>
          <w:numId w:val="3"/>
        </w:numPr>
        <w:tabs>
          <w:tab w:val="left" w:pos="1080"/>
        </w:tabs>
        <w:rPr>
          <w:rFonts w:cs="Arial"/>
          <w:szCs w:val="24"/>
          <w:lang w:bidi="en-US"/>
        </w:rPr>
      </w:pPr>
      <w:bookmarkStart w:name="_Toc447203162" w:id="1"/>
      <w:r w:rsidRPr="00E74965">
        <w:rPr>
          <w:rFonts w:cs="Arial"/>
          <w:szCs w:val="24"/>
          <w:lang w:bidi="en-US"/>
        </w:rPr>
        <w:t xml:space="preserve">Identification of the </w:t>
      </w:r>
      <w:r w:rsidRPr="00E74965" w:rsidR="002B34A0">
        <w:rPr>
          <w:rFonts w:cs="Arial"/>
          <w:szCs w:val="24"/>
          <w:lang w:bidi="en-US"/>
        </w:rPr>
        <w:t>Information Collection – Title and Numbers</w:t>
      </w:r>
      <w:bookmarkEnd w:id="1"/>
      <w:r w:rsidRPr="00E74965" w:rsidR="002B34A0">
        <w:rPr>
          <w:rFonts w:cs="Arial"/>
          <w:szCs w:val="24"/>
          <w:lang w:bidi="en-US"/>
        </w:rPr>
        <w:t xml:space="preserve"> </w:t>
      </w:r>
    </w:p>
    <w:p w:rsidRPr="00E74965" w:rsidR="002B34A0" w:rsidP="00284D84" w:rsidRDefault="00C54579" w14:paraId="36D90C72" w14:textId="05A122AC">
      <w:pPr>
        <w:spacing w:after="120"/>
        <w:ind w:left="1440" w:hanging="720"/>
        <w:rPr>
          <w:rFonts w:cs="Arial"/>
          <w:szCs w:val="24"/>
          <w:lang w:bidi="en-US"/>
        </w:rPr>
      </w:pPr>
      <w:r w:rsidRPr="00E74965">
        <w:rPr>
          <w:rFonts w:cs="Arial"/>
          <w:b/>
          <w:szCs w:val="24"/>
          <w:lang w:bidi="en-US"/>
        </w:rPr>
        <w:t xml:space="preserve">Title: </w:t>
      </w:r>
      <w:r w:rsidRPr="00E74965" w:rsidR="00B1587B">
        <w:rPr>
          <w:rFonts w:cs="Arial"/>
          <w:szCs w:val="24"/>
          <w:lang w:bidi="en-US"/>
        </w:rPr>
        <w:t>Fees for the Administration of the Toxic Substances Control Act</w:t>
      </w:r>
      <w:r w:rsidRPr="00E74965" w:rsidR="00FD497D">
        <w:rPr>
          <w:rFonts w:cs="Arial"/>
          <w:szCs w:val="24"/>
          <w:lang w:bidi="en-US"/>
        </w:rPr>
        <w:t xml:space="preserve"> (TSCA)</w:t>
      </w:r>
      <w:r w:rsidRPr="00E74965" w:rsidR="00BB1FEB">
        <w:rPr>
          <w:rFonts w:cs="Arial"/>
          <w:szCs w:val="24"/>
          <w:lang w:bidi="en-US"/>
        </w:rPr>
        <w:t xml:space="preserve"> Proposed Rule; RIN 2070-AK64)</w:t>
      </w:r>
    </w:p>
    <w:p w:rsidRPr="00E74965" w:rsidR="002A0BEE" w:rsidP="007E3DA7" w:rsidRDefault="007E3DA7" w14:paraId="3FBF536C" w14:textId="528BD107">
      <w:pPr>
        <w:spacing w:after="120"/>
        <w:ind w:firstLine="720"/>
        <w:rPr>
          <w:rFonts w:cs="Arial"/>
          <w:szCs w:val="24"/>
          <w:lang w:bidi="en-US"/>
        </w:rPr>
      </w:pPr>
      <w:r w:rsidRPr="00E74965">
        <w:rPr>
          <w:rFonts w:cs="Arial"/>
          <w:b/>
          <w:szCs w:val="24"/>
          <w:lang w:bidi="en-US"/>
        </w:rPr>
        <w:t xml:space="preserve">ICR </w:t>
      </w:r>
      <w:r w:rsidRPr="00E74965" w:rsidR="00C54579">
        <w:rPr>
          <w:rFonts w:cs="Arial"/>
          <w:b/>
          <w:szCs w:val="24"/>
          <w:lang w:bidi="en-US"/>
        </w:rPr>
        <w:t>Number</w:t>
      </w:r>
      <w:r w:rsidRPr="00E74965">
        <w:rPr>
          <w:rFonts w:cs="Arial"/>
          <w:b/>
          <w:szCs w:val="24"/>
          <w:lang w:bidi="en-US"/>
        </w:rPr>
        <w:t>s</w:t>
      </w:r>
      <w:r w:rsidRPr="00E74965" w:rsidR="00C54579">
        <w:rPr>
          <w:rFonts w:cs="Arial"/>
          <w:b/>
          <w:szCs w:val="24"/>
          <w:lang w:bidi="en-US"/>
        </w:rPr>
        <w:t>:</w:t>
      </w:r>
      <w:r w:rsidRPr="00E74965" w:rsidR="00C54579">
        <w:rPr>
          <w:rFonts w:cs="Arial"/>
          <w:szCs w:val="24"/>
          <w:lang w:bidi="en-US"/>
        </w:rPr>
        <w:t xml:space="preserve"> </w:t>
      </w:r>
      <w:r w:rsidRPr="00E74965" w:rsidR="002B34A0">
        <w:rPr>
          <w:rFonts w:cs="Arial"/>
          <w:szCs w:val="24"/>
          <w:lang w:bidi="en-US"/>
        </w:rPr>
        <w:t xml:space="preserve">EPA ICR No.: </w:t>
      </w:r>
      <w:r w:rsidRPr="00E74965" w:rsidR="00580718">
        <w:rPr>
          <w:rFonts w:cs="Arial"/>
          <w:szCs w:val="24"/>
          <w:lang w:bidi="en-US"/>
        </w:rPr>
        <w:t>2569.</w:t>
      </w:r>
      <w:r w:rsidRPr="00E74965" w:rsidR="00DD5541">
        <w:rPr>
          <w:rFonts w:cs="Arial"/>
          <w:szCs w:val="24"/>
          <w:lang w:bidi="en-US"/>
        </w:rPr>
        <w:t>0</w:t>
      </w:r>
      <w:r w:rsidRPr="00E74965" w:rsidR="00325E10">
        <w:rPr>
          <w:rFonts w:cs="Arial"/>
          <w:szCs w:val="24"/>
          <w:lang w:bidi="en-US"/>
        </w:rPr>
        <w:t>3</w:t>
      </w:r>
      <w:r w:rsidRPr="00E74965" w:rsidR="000A522E">
        <w:rPr>
          <w:rFonts w:cs="Arial"/>
          <w:szCs w:val="24"/>
          <w:lang w:bidi="en-US"/>
        </w:rPr>
        <w:t xml:space="preserve">; OMB Control No.: </w:t>
      </w:r>
      <w:r w:rsidRPr="00E74965" w:rsidR="003E563D">
        <w:rPr>
          <w:rFonts w:cs="Arial"/>
          <w:szCs w:val="24"/>
          <w:lang w:bidi="en-US"/>
        </w:rPr>
        <w:t>2070-</w:t>
      </w:r>
      <w:r w:rsidRPr="00E74965" w:rsidR="00C46CBF">
        <w:rPr>
          <w:rFonts w:cs="Arial"/>
          <w:szCs w:val="24"/>
          <w:lang w:bidi="en-US"/>
        </w:rPr>
        <w:t>0208</w:t>
      </w:r>
    </w:p>
    <w:p w:rsidRPr="00E74965" w:rsidR="00735A14" w:rsidP="00FE2B03" w:rsidRDefault="004124F7" w14:paraId="29F02031" w14:textId="15353DC5">
      <w:pPr>
        <w:pStyle w:val="NoSpacing"/>
        <w:spacing w:after="120"/>
        <w:ind w:left="720"/>
        <w:rPr>
          <w:rFonts w:cs="Arial"/>
          <w:szCs w:val="24"/>
          <w:lang w:bidi="en-US"/>
        </w:rPr>
      </w:pPr>
      <w:r w:rsidRPr="00E74965">
        <w:rPr>
          <w:rFonts w:cs="Arial"/>
          <w:b/>
          <w:szCs w:val="24"/>
          <w:lang w:bidi="en-US"/>
        </w:rPr>
        <w:t xml:space="preserve">EPA </w:t>
      </w:r>
      <w:r w:rsidRPr="00E74965" w:rsidR="007E3DA7">
        <w:rPr>
          <w:rFonts w:cs="Arial"/>
          <w:b/>
          <w:szCs w:val="24"/>
          <w:lang w:bidi="en-US"/>
        </w:rPr>
        <w:t>Form N</w:t>
      </w:r>
      <w:r w:rsidRPr="00E74965" w:rsidR="00A84026">
        <w:rPr>
          <w:rFonts w:cs="Arial"/>
          <w:b/>
          <w:szCs w:val="24"/>
          <w:lang w:bidi="en-US"/>
        </w:rPr>
        <w:t>umber</w:t>
      </w:r>
      <w:r w:rsidRPr="00E74965" w:rsidR="007E3DA7">
        <w:rPr>
          <w:rFonts w:cs="Arial"/>
          <w:b/>
          <w:szCs w:val="24"/>
          <w:lang w:bidi="en-US"/>
        </w:rPr>
        <w:t>s:</w:t>
      </w:r>
      <w:r w:rsidRPr="00E74965" w:rsidR="007E3DA7">
        <w:rPr>
          <w:rFonts w:cs="Arial"/>
          <w:szCs w:val="24"/>
          <w:lang w:bidi="en-US"/>
        </w:rPr>
        <w:t xml:space="preserve"> </w:t>
      </w:r>
      <w:r w:rsidRPr="00E74965" w:rsidR="008E6C60">
        <w:rPr>
          <w:rFonts w:cs="Arial"/>
          <w:szCs w:val="24"/>
        </w:rPr>
        <w:t xml:space="preserve"> </w:t>
      </w:r>
      <w:r w:rsidRPr="00E74965" w:rsidR="00FE2B03">
        <w:rPr>
          <w:rFonts w:cs="Arial"/>
          <w:szCs w:val="24"/>
          <w:lang w:bidi="en-US"/>
        </w:rPr>
        <w:t xml:space="preserve">EPA Form No. </w:t>
      </w:r>
      <w:r w:rsidRPr="00E74965" w:rsidR="008A08C9">
        <w:rPr>
          <w:rFonts w:cs="Arial"/>
          <w:szCs w:val="24"/>
          <w:lang w:bidi="en-US"/>
        </w:rPr>
        <w:t>9600-008</w:t>
      </w:r>
      <w:r w:rsidRPr="00E74965" w:rsidR="00FE2B03">
        <w:rPr>
          <w:rFonts w:cs="Arial"/>
          <w:szCs w:val="24"/>
          <w:lang w:bidi="en-US"/>
        </w:rPr>
        <w:t>:</w:t>
      </w:r>
      <w:r w:rsidRPr="00E74965" w:rsidR="00FE2B03">
        <w:rPr>
          <w:rFonts w:cs="Arial"/>
          <w:szCs w:val="24"/>
        </w:rPr>
        <w:t xml:space="preserve"> </w:t>
      </w:r>
      <w:r w:rsidRPr="00E74965" w:rsidR="00251F61">
        <w:rPr>
          <w:rFonts w:cs="Arial"/>
          <w:szCs w:val="24"/>
          <w:lang w:bidi="en-US"/>
        </w:rPr>
        <w:t>Notice of TSCA Fee Action Participation</w:t>
      </w:r>
    </w:p>
    <w:p w:rsidRPr="00E74965" w:rsidR="005B4F77" w:rsidP="005B4F77" w:rsidRDefault="005B4F77" w14:paraId="7C0FB5FD" w14:textId="368F6723">
      <w:pPr>
        <w:pStyle w:val="NoSpacing"/>
        <w:rPr>
          <w:rFonts w:cs="Arial"/>
          <w:bCs/>
          <w:color w:val="008000"/>
          <w:szCs w:val="24"/>
        </w:rPr>
      </w:pPr>
      <w:r w:rsidRPr="00E74965">
        <w:rPr>
          <w:rFonts w:cs="Arial"/>
          <w:szCs w:val="24"/>
          <w:lang w:bidi="en-US"/>
        </w:rPr>
        <w:tab/>
      </w:r>
      <w:r w:rsidRPr="00E74965">
        <w:rPr>
          <w:rFonts w:cs="Arial"/>
          <w:b/>
          <w:szCs w:val="24"/>
          <w:lang w:bidi="en-US"/>
        </w:rPr>
        <w:t>Docket ID Number:</w:t>
      </w:r>
      <w:r w:rsidRPr="00E74965">
        <w:rPr>
          <w:rFonts w:cs="Arial"/>
          <w:szCs w:val="24"/>
          <w:lang w:bidi="en-US"/>
        </w:rPr>
        <w:t xml:space="preserve"> EPA-HQ-</w:t>
      </w:r>
      <w:r w:rsidRPr="00E74965">
        <w:rPr>
          <w:rFonts w:cs="Arial"/>
          <w:szCs w:val="24"/>
        </w:rPr>
        <w:t>OPPT</w:t>
      </w:r>
      <w:r w:rsidRPr="00E74965" w:rsidR="008469F4">
        <w:rPr>
          <w:rFonts w:cs="Arial"/>
          <w:szCs w:val="24"/>
        </w:rPr>
        <w:t>-</w:t>
      </w:r>
      <w:r w:rsidRPr="00E74965" w:rsidR="00814FE9">
        <w:rPr>
          <w:rFonts w:cs="Arial"/>
          <w:szCs w:val="24"/>
        </w:rPr>
        <w:t>2020-0493</w:t>
      </w:r>
    </w:p>
    <w:p w:rsidRPr="00E74965" w:rsidR="005B4F77" w:rsidP="005B4F77" w:rsidRDefault="005B4F77" w14:paraId="01C5A1FA" w14:textId="77777777">
      <w:pPr>
        <w:pStyle w:val="NoSpacing"/>
        <w:rPr>
          <w:rFonts w:cs="Arial"/>
          <w:szCs w:val="24"/>
          <w:lang w:bidi="en-US"/>
        </w:rPr>
      </w:pPr>
    </w:p>
    <w:p w:rsidRPr="00E74965" w:rsidR="0098584B" w:rsidP="0098584B" w:rsidRDefault="005B4F77" w14:paraId="15E39910" w14:textId="77777777">
      <w:pPr>
        <w:pStyle w:val="Heading2"/>
        <w:numPr>
          <w:ilvl w:val="1"/>
          <w:numId w:val="3"/>
        </w:numPr>
        <w:tabs>
          <w:tab w:val="left" w:pos="1080"/>
        </w:tabs>
        <w:rPr>
          <w:rFonts w:cs="Arial"/>
          <w:szCs w:val="24"/>
        </w:rPr>
      </w:pPr>
      <w:bookmarkStart w:name="_Toc447203163" w:id="2"/>
      <w:r w:rsidRPr="00E74965">
        <w:rPr>
          <w:rFonts w:cs="Arial"/>
          <w:szCs w:val="24"/>
        </w:rPr>
        <w:t>Docket Information</w:t>
      </w:r>
      <w:bookmarkEnd w:id="2"/>
    </w:p>
    <w:p w:rsidRPr="00E74965" w:rsidR="002361E1" w:rsidP="008C3615" w:rsidRDefault="007C70BA" w14:paraId="5773B8DB" w14:textId="367488E0">
      <w:pPr>
        <w:rPr>
          <w:rFonts w:cs="Arial"/>
          <w:szCs w:val="24"/>
        </w:rPr>
      </w:pPr>
      <w:r w:rsidRPr="00E74965">
        <w:rPr>
          <w:rFonts w:cs="Arial"/>
          <w:szCs w:val="24"/>
        </w:rPr>
        <w:t>Th</w:t>
      </w:r>
      <w:r w:rsidRPr="00E74965" w:rsidR="00325E10">
        <w:rPr>
          <w:rFonts w:cs="Arial"/>
          <w:szCs w:val="24"/>
        </w:rPr>
        <w:t>is</w:t>
      </w:r>
      <w:r w:rsidRPr="00E74965">
        <w:rPr>
          <w:rFonts w:cs="Arial"/>
          <w:szCs w:val="24"/>
        </w:rPr>
        <w:t xml:space="preserve"> ICR </w:t>
      </w:r>
      <w:r w:rsidRPr="00E74965" w:rsidR="00325E10">
        <w:rPr>
          <w:rFonts w:cs="Arial"/>
          <w:szCs w:val="24"/>
        </w:rPr>
        <w:t>revision</w:t>
      </w:r>
      <w:r w:rsidRPr="00E74965" w:rsidR="003F7760">
        <w:rPr>
          <w:rFonts w:cs="Arial"/>
          <w:szCs w:val="24"/>
        </w:rPr>
        <w:t xml:space="preserve"> </w:t>
      </w:r>
      <w:r w:rsidRPr="00E74965" w:rsidR="00325E10">
        <w:rPr>
          <w:rFonts w:cs="Arial"/>
          <w:szCs w:val="24"/>
        </w:rPr>
        <w:t>explains the information collection activities and related burden and cost estimates</w:t>
      </w:r>
      <w:r w:rsidRPr="00E74965" w:rsidR="003F7760">
        <w:rPr>
          <w:rFonts w:cs="Arial"/>
          <w:szCs w:val="24"/>
        </w:rPr>
        <w:t xml:space="preserve"> </w:t>
      </w:r>
      <w:r w:rsidRPr="00E74965" w:rsidR="00325E10">
        <w:rPr>
          <w:rFonts w:cs="Arial"/>
          <w:szCs w:val="24"/>
        </w:rPr>
        <w:t xml:space="preserve">contained in </w:t>
      </w:r>
      <w:r w:rsidRPr="00E74965">
        <w:rPr>
          <w:rFonts w:cs="Arial"/>
          <w:szCs w:val="24"/>
        </w:rPr>
        <w:t xml:space="preserve">a proposed rule amending the TSCA Fees </w:t>
      </w:r>
      <w:r w:rsidRPr="00E74965" w:rsidR="00F72441">
        <w:rPr>
          <w:rFonts w:cs="Arial"/>
          <w:szCs w:val="24"/>
        </w:rPr>
        <w:t>established in 2018</w:t>
      </w:r>
      <w:r w:rsidRPr="00E74965">
        <w:rPr>
          <w:rFonts w:cs="Arial"/>
          <w:szCs w:val="24"/>
        </w:rPr>
        <w:t>.</w:t>
      </w:r>
      <w:r w:rsidRPr="00E74965" w:rsidR="00003EFE">
        <w:rPr>
          <w:rFonts w:cs="Arial"/>
          <w:szCs w:val="24"/>
        </w:rPr>
        <w:t xml:space="preserve"> </w:t>
      </w:r>
      <w:r w:rsidRPr="00E74965">
        <w:rPr>
          <w:rFonts w:cs="Arial"/>
          <w:szCs w:val="24"/>
        </w:rPr>
        <w:t>S</w:t>
      </w:r>
      <w:r w:rsidRPr="00E74965" w:rsidR="00003EFE">
        <w:rPr>
          <w:rFonts w:cs="Arial"/>
          <w:szCs w:val="24"/>
        </w:rPr>
        <w:t>upporting documents</w:t>
      </w:r>
      <w:r w:rsidRPr="00E74965" w:rsidR="00C76F17">
        <w:rPr>
          <w:rFonts w:cs="Arial"/>
          <w:szCs w:val="24"/>
        </w:rPr>
        <w:t xml:space="preserve"> related to the ICR</w:t>
      </w:r>
      <w:r w:rsidRPr="00E74965" w:rsidR="00003EFE">
        <w:rPr>
          <w:rFonts w:cs="Arial"/>
          <w:szCs w:val="24"/>
        </w:rPr>
        <w:t xml:space="preserve"> </w:t>
      </w:r>
      <w:r w:rsidRPr="00E74965">
        <w:rPr>
          <w:rFonts w:cs="Arial"/>
          <w:szCs w:val="24"/>
        </w:rPr>
        <w:t xml:space="preserve">renewal </w:t>
      </w:r>
      <w:r w:rsidRPr="00E74965" w:rsidR="00003EFE">
        <w:rPr>
          <w:rFonts w:cs="Arial"/>
          <w:szCs w:val="24"/>
        </w:rPr>
        <w:t xml:space="preserve">are available in the docket </w:t>
      </w:r>
      <w:r w:rsidRPr="00E74965" w:rsidR="00C76F17">
        <w:rPr>
          <w:rFonts w:cs="Arial"/>
          <w:szCs w:val="24"/>
        </w:rPr>
        <w:t xml:space="preserve">established </w:t>
      </w:r>
      <w:r w:rsidRPr="00E74965" w:rsidR="00003EFE">
        <w:rPr>
          <w:rFonts w:cs="Arial"/>
          <w:szCs w:val="24"/>
        </w:rPr>
        <w:t>for th</w:t>
      </w:r>
      <w:r w:rsidRPr="00E74965" w:rsidR="00136A83">
        <w:rPr>
          <w:rFonts w:cs="Arial"/>
          <w:szCs w:val="24"/>
        </w:rPr>
        <w:t>e</w:t>
      </w:r>
      <w:r w:rsidRPr="00E74965" w:rsidR="00706899">
        <w:rPr>
          <w:rFonts w:cs="Arial"/>
          <w:szCs w:val="24"/>
        </w:rPr>
        <w:t xml:space="preserve"> </w:t>
      </w:r>
      <w:r w:rsidRPr="00E74965" w:rsidR="00136A83">
        <w:rPr>
          <w:rFonts w:cs="Arial"/>
          <w:szCs w:val="24"/>
        </w:rPr>
        <w:t>rulemaking</w:t>
      </w:r>
      <w:r w:rsidRPr="00E74965" w:rsidR="00003EFE">
        <w:rPr>
          <w:rFonts w:cs="Arial"/>
          <w:szCs w:val="24"/>
        </w:rPr>
        <w:t xml:space="preserve">. The docket can be viewed online at </w:t>
      </w:r>
      <w:hyperlink w:history="1" r:id="rId12">
        <w:r w:rsidRPr="00E74965" w:rsidR="00814FE9">
          <w:rPr>
            <w:rStyle w:val="Hyperlink"/>
            <w:rFonts w:cs="Arial"/>
            <w:szCs w:val="24"/>
          </w:rPr>
          <w:t>http://www.regulations.gov</w:t>
        </w:r>
      </w:hyperlink>
      <w:r w:rsidRPr="00E74965" w:rsidR="009A5254">
        <w:rPr>
          <w:rFonts w:cs="Arial"/>
          <w:szCs w:val="24"/>
        </w:rPr>
        <w:t xml:space="preserve"> </w:t>
      </w:r>
      <w:r w:rsidRPr="00E74965" w:rsidR="00003EFE">
        <w:rPr>
          <w:rFonts w:cs="Arial"/>
          <w:szCs w:val="24"/>
        </w:rPr>
        <w:t xml:space="preserve">or in person at the EPA Docket Center, West William Jefferson Clinton Bldg., Rm. 3334, 1301 Constitution Ave., NW, Washington, DC. The telephone number for the Docket Center is (202) 566-1744. For additional information about EPA’s public docket, visit </w:t>
      </w:r>
      <w:hyperlink w:history="1" r:id="rId13">
        <w:r w:rsidRPr="00E74965" w:rsidR="005B4F77">
          <w:rPr>
            <w:rStyle w:val="Hyperlink"/>
            <w:rFonts w:cs="Arial"/>
            <w:szCs w:val="24"/>
          </w:rPr>
          <w:t>http://www.epa.gov/dockets</w:t>
        </w:r>
      </w:hyperlink>
      <w:r w:rsidRPr="00E74965" w:rsidR="00003EFE">
        <w:rPr>
          <w:rFonts w:cs="Arial"/>
          <w:szCs w:val="24"/>
        </w:rPr>
        <w:t>.</w:t>
      </w:r>
      <w:r w:rsidRPr="00E74965" w:rsidR="002361E1">
        <w:rPr>
          <w:rFonts w:cs="Arial"/>
          <w:szCs w:val="24"/>
        </w:rPr>
        <w:t xml:space="preserve"> </w:t>
      </w:r>
    </w:p>
    <w:p w:rsidRPr="00E74965" w:rsidR="005B4F77" w:rsidP="005B4F77" w:rsidRDefault="005B4F77" w14:paraId="0D878353" w14:textId="6C1515D7">
      <w:pPr>
        <w:pStyle w:val="NoSpacing"/>
        <w:rPr>
          <w:rFonts w:cs="Arial"/>
          <w:szCs w:val="24"/>
          <w:lang w:bidi="en-US"/>
        </w:rPr>
      </w:pPr>
    </w:p>
    <w:p w:rsidRPr="00E74965" w:rsidR="005B4F77" w:rsidP="005B4F77" w:rsidRDefault="005B4F77" w14:paraId="22C5D1DC" w14:textId="77777777">
      <w:pPr>
        <w:pStyle w:val="Heading2"/>
        <w:numPr>
          <w:ilvl w:val="1"/>
          <w:numId w:val="3"/>
        </w:numPr>
        <w:tabs>
          <w:tab w:val="left" w:pos="1080"/>
        </w:tabs>
        <w:rPr>
          <w:rFonts w:cs="Arial"/>
          <w:szCs w:val="24"/>
        </w:rPr>
      </w:pPr>
      <w:bookmarkStart w:name="_Toc447203164" w:id="3"/>
      <w:r w:rsidRPr="00E74965">
        <w:rPr>
          <w:rFonts w:cs="Arial"/>
          <w:szCs w:val="24"/>
        </w:rPr>
        <w:t>ICR Status</w:t>
      </w:r>
      <w:bookmarkEnd w:id="3"/>
      <w:r w:rsidRPr="00E74965">
        <w:rPr>
          <w:rFonts w:cs="Arial"/>
          <w:szCs w:val="24"/>
        </w:rPr>
        <w:t xml:space="preserve"> </w:t>
      </w:r>
    </w:p>
    <w:p w:rsidRPr="00E74965" w:rsidR="00966FA8" w:rsidP="00966FA8" w:rsidRDefault="00325E10" w14:paraId="014089C2" w14:textId="1D2B6827">
      <w:pPr>
        <w:rPr>
          <w:rFonts w:cs="Arial"/>
          <w:szCs w:val="24"/>
        </w:rPr>
      </w:pPr>
      <w:r w:rsidRPr="00E74965">
        <w:rPr>
          <w:rFonts w:cs="Arial"/>
          <w:szCs w:val="24"/>
        </w:rPr>
        <w:t xml:space="preserve">This is an ICR revision that addresses changes to a currently approved ICR (OMB Control No. 2070-0208) that are contained in a proposed rule. </w:t>
      </w:r>
      <w:r w:rsidRPr="00E74965" w:rsidR="00966FA8">
        <w:rPr>
          <w:rFonts w:cs="Arial"/>
          <w:szCs w:val="24"/>
        </w:rPr>
        <w:t>Under the Paperwork Reduction Act (PRA), 44 U.S.C. 3501 et seq., an agency may not conduct or sponsor, and a person is not required to respond to, a collection of information, unless it displays a currently valid control number issued by the Office of Management and Budget (OMB).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E74965" w:rsidR="00966FA8" w:rsidP="00966FA8" w:rsidRDefault="00966FA8" w14:paraId="23F18F9A" w14:textId="77777777">
      <w:pPr>
        <w:pStyle w:val="NoSpacing"/>
        <w:rPr>
          <w:rFonts w:cs="Arial"/>
          <w:szCs w:val="24"/>
        </w:rPr>
      </w:pPr>
    </w:p>
    <w:p w:rsidRPr="00E74965" w:rsidR="00966FA8" w:rsidP="00966FA8" w:rsidRDefault="00966FA8" w14:paraId="051EBC4D" w14:textId="77777777">
      <w:pPr>
        <w:rPr>
          <w:rFonts w:cs="Arial"/>
          <w:szCs w:val="24"/>
        </w:rPr>
      </w:pPr>
      <w:r w:rsidRPr="00E74965">
        <w:rPr>
          <w:rFonts w:cs="Arial"/>
          <w:szCs w:val="24"/>
        </w:rPr>
        <w:t xml:space="preserve">Before submitting an ICR to </w:t>
      </w:r>
      <w:r w:rsidRPr="00E74965">
        <w:rPr>
          <w:rFonts w:cs="Arial"/>
          <w:szCs w:val="24"/>
          <w:lang w:bidi="en-US"/>
        </w:rPr>
        <w:t xml:space="preserve">OMB </w:t>
      </w:r>
      <w:r w:rsidRPr="00E74965">
        <w:rPr>
          <w:rFonts w:cs="Arial"/>
          <w:szCs w:val="24"/>
        </w:rPr>
        <w:t xml:space="preserve">for review and approval under the PRA, an agency must solicit comments pursuant to PRA §3506(c)(2)(A) and </w:t>
      </w:r>
      <w:hyperlink w:history="1" w:anchor="se5.3.1320_18" r:id="rId14">
        <w:r w:rsidRPr="00E74965">
          <w:rPr>
            <w:rStyle w:val="Hyperlink"/>
            <w:rFonts w:cs="Arial"/>
            <w:szCs w:val="24"/>
          </w:rPr>
          <w:t>5 CFR 1320.8(d)(1)</w:t>
        </w:r>
      </w:hyperlink>
      <w:r w:rsidRPr="00E74965">
        <w:rPr>
          <w:rFonts w:cs="Arial"/>
          <w:szCs w:val="24"/>
        </w:rPr>
        <w:t xml:space="preserve">. After considering comments received on the draft ICR, the agency must submit the ICR to </w:t>
      </w:r>
      <w:r w:rsidRPr="00E74965">
        <w:rPr>
          <w:rFonts w:cs="Arial"/>
          <w:szCs w:val="24"/>
          <w:lang w:bidi="en-US"/>
        </w:rPr>
        <w:t xml:space="preserve">OMB </w:t>
      </w:r>
      <w:r w:rsidRPr="00E74965">
        <w:rPr>
          <w:rFonts w:cs="Arial"/>
          <w:szCs w:val="24"/>
        </w:rPr>
        <w:t xml:space="preserve">for review and approval according to the procedures prescribed in </w:t>
      </w:r>
      <w:hyperlink w:history="1" w:anchor="se5.3.1320_112" r:id="rId15">
        <w:r w:rsidRPr="00E74965">
          <w:rPr>
            <w:rStyle w:val="Hyperlink"/>
            <w:rFonts w:cs="Arial"/>
            <w:szCs w:val="24"/>
          </w:rPr>
          <w:t>5 CFR 1320.12</w:t>
        </w:r>
      </w:hyperlink>
      <w:r w:rsidRPr="00E74965">
        <w:rPr>
          <w:rFonts w:cs="Arial"/>
          <w:szCs w:val="24"/>
        </w:rPr>
        <w:t>. In announcing the submission of the final ICR to OMB for review and approval, the agency must provide another opportunity for public review and comments on the revised ICR pursuant to 5 CFR 1320.12(c).</w:t>
      </w:r>
    </w:p>
    <w:p w:rsidRPr="00E74965" w:rsidR="00966FA8" w:rsidP="00966FA8" w:rsidRDefault="00966FA8" w14:paraId="072A7B2E" w14:textId="77777777">
      <w:pPr>
        <w:pStyle w:val="NoSpacing"/>
        <w:rPr>
          <w:rFonts w:cs="Arial"/>
          <w:szCs w:val="24"/>
        </w:rPr>
      </w:pPr>
    </w:p>
    <w:p w:rsidRPr="00E74965" w:rsidR="00966FA8" w:rsidP="00966FA8" w:rsidRDefault="00966FA8" w14:paraId="03C43B17" w14:textId="7A57625F">
      <w:pPr>
        <w:pStyle w:val="NoSpacing"/>
        <w:rPr>
          <w:rFonts w:cs="Arial"/>
          <w:szCs w:val="24"/>
        </w:rPr>
      </w:pPr>
      <w:r w:rsidRPr="00E74965">
        <w:rPr>
          <w:rFonts w:cs="Arial"/>
          <w:szCs w:val="24"/>
        </w:rPr>
        <w:t xml:space="preserve">This is a </w:t>
      </w:r>
      <w:r w:rsidRPr="00E74965" w:rsidR="00325E10">
        <w:rPr>
          <w:rFonts w:cs="Arial"/>
          <w:szCs w:val="24"/>
        </w:rPr>
        <w:t xml:space="preserve">revision </w:t>
      </w:r>
      <w:r w:rsidRPr="00E74965">
        <w:rPr>
          <w:rFonts w:cs="Arial"/>
          <w:szCs w:val="24"/>
        </w:rPr>
        <w:t xml:space="preserve">of an existing ICR approved by OMB </w:t>
      </w:r>
      <w:r w:rsidRPr="00E74965" w:rsidR="003F7760">
        <w:rPr>
          <w:rFonts w:cs="Arial"/>
          <w:szCs w:val="24"/>
        </w:rPr>
        <w:t>identified</w:t>
      </w:r>
      <w:r w:rsidRPr="00E74965" w:rsidR="00325E10">
        <w:rPr>
          <w:rFonts w:cs="Arial"/>
          <w:szCs w:val="24"/>
        </w:rPr>
        <w:t xml:space="preserve"> by</w:t>
      </w:r>
      <w:r w:rsidRPr="00E74965">
        <w:rPr>
          <w:rFonts w:cs="Arial"/>
          <w:szCs w:val="24"/>
        </w:rPr>
        <w:t xml:space="preserve"> OMB Control No. </w:t>
      </w:r>
      <w:r w:rsidRPr="00E74965">
        <w:rPr>
          <w:rFonts w:cs="Arial"/>
          <w:szCs w:val="24"/>
          <w:lang w:bidi="en-US"/>
        </w:rPr>
        <w:t>2070-0208</w:t>
      </w:r>
      <w:r w:rsidRPr="00E74965">
        <w:rPr>
          <w:rFonts w:cs="Arial"/>
          <w:szCs w:val="24"/>
        </w:rPr>
        <w:t xml:space="preserve">; EPA ICR </w:t>
      </w:r>
      <w:r w:rsidRPr="00E74965">
        <w:rPr>
          <w:rFonts w:cs="Arial"/>
          <w:szCs w:val="24"/>
          <w:lang w:bidi="en-US"/>
        </w:rPr>
        <w:t>2569.0</w:t>
      </w:r>
      <w:r w:rsidRPr="00E74965" w:rsidR="00325E10">
        <w:rPr>
          <w:rFonts w:cs="Arial"/>
          <w:szCs w:val="24"/>
          <w:lang w:bidi="en-US"/>
        </w:rPr>
        <w:t>2</w:t>
      </w:r>
      <w:r w:rsidRPr="00E74965">
        <w:rPr>
          <w:rFonts w:cs="Arial"/>
          <w:szCs w:val="24"/>
        </w:rPr>
        <w:t>; entitled “</w:t>
      </w:r>
      <w:r w:rsidRPr="00E74965">
        <w:rPr>
          <w:rFonts w:cs="Arial"/>
          <w:szCs w:val="24"/>
          <w:lang w:bidi="en-US"/>
        </w:rPr>
        <w:t>User Fees for the Administration of the Toxic Substances Control Act (TSCA)</w:t>
      </w:r>
      <w:r w:rsidRPr="00E74965">
        <w:rPr>
          <w:rFonts w:cs="Arial"/>
          <w:szCs w:val="24"/>
        </w:rPr>
        <w:t>.”</w:t>
      </w:r>
    </w:p>
    <w:p w:rsidRPr="00E74965" w:rsidR="008B4785" w:rsidP="008B4785" w:rsidRDefault="008B4785" w14:paraId="0A402C65" w14:textId="77777777">
      <w:pPr>
        <w:pStyle w:val="NoSpacing"/>
        <w:rPr>
          <w:rFonts w:cs="Arial"/>
          <w:szCs w:val="24"/>
        </w:rPr>
      </w:pPr>
    </w:p>
    <w:p w:rsidRPr="00E74965" w:rsidR="005B4F77" w:rsidP="005B4F77" w:rsidRDefault="005B4F77" w14:paraId="29BAFD0E" w14:textId="77777777">
      <w:pPr>
        <w:pStyle w:val="Heading2"/>
        <w:numPr>
          <w:ilvl w:val="1"/>
          <w:numId w:val="3"/>
        </w:numPr>
        <w:tabs>
          <w:tab w:val="left" w:pos="1080"/>
        </w:tabs>
        <w:rPr>
          <w:rFonts w:cs="Arial"/>
          <w:szCs w:val="24"/>
        </w:rPr>
      </w:pPr>
      <w:bookmarkStart w:name="_Toc447203165" w:id="4"/>
      <w:r w:rsidRPr="00E74965">
        <w:rPr>
          <w:rFonts w:cs="Arial"/>
          <w:szCs w:val="24"/>
        </w:rPr>
        <w:lastRenderedPageBreak/>
        <w:t>Abstract</w:t>
      </w:r>
      <w:bookmarkEnd w:id="4"/>
    </w:p>
    <w:p w:rsidRPr="00E74965" w:rsidR="00BB1FEB" w:rsidP="00E74965" w:rsidRDefault="00BB1FEB" w14:paraId="60BE4CB1" w14:textId="1B207A37">
      <w:pPr>
        <w:pStyle w:val="BodyText"/>
        <w:spacing w:before="82"/>
        <w:ind w:firstLine="360"/>
        <w:rPr>
          <w:rFonts w:cs="Arial"/>
          <w:szCs w:val="24"/>
        </w:rPr>
      </w:pPr>
      <w:r w:rsidRPr="00E74965">
        <w:rPr>
          <w:rFonts w:cs="Arial"/>
          <w:w w:val="105"/>
          <w:szCs w:val="24"/>
        </w:rPr>
        <w:t xml:space="preserve">In accordance with section 26(b) of the Toxic Substances Control Act (TSCA or the Act), EPA is proposing updates and adjustments to the fees established under that section. EPA is required under TSCA section 26(b)(4)(F) to review and, if necessary, adjust the fees every three years, after consultation with parties potentially subject to fees and their representatives. This proposed rulemaking describes the proposed modifications to TSCA fees and fee categories for fiscal years 2022, 2023, and 2024, and explains the methodology by which these TSCA fees were determined. </w:t>
      </w:r>
      <w:r w:rsidRPr="00E74965" w:rsidR="00F72441">
        <w:rPr>
          <w:rFonts w:cs="Arial"/>
          <w:w w:val="105"/>
          <w:szCs w:val="24"/>
        </w:rPr>
        <w:t>EPA is proposing updates and changes to the fee requirements established in a rule entitled “Fees for Administration of the Toxic Substance Control Act” (2018 Fee Rule) (83 FR 52694, October 17, 2018), including the addition of three new fee categories</w:t>
      </w:r>
      <w:r w:rsidRPr="00E74965">
        <w:rPr>
          <w:rFonts w:cs="Arial"/>
          <w:w w:val="105"/>
          <w:szCs w:val="24"/>
        </w:rPr>
        <w:t xml:space="preserve"> – a Bona Fide Intent to Manufacture or Import Notice fee, a Notice of Commencement of Manufacture or Import fee, and an additional fee associated with test orders – as well as changes to refunds currently afforded for fees related to TSCA section 5 activities. In addition, EPA is proposing exemptions for entities subject to certain fee triggering activities; including exemptions for the entities discussed in the March 25, 2020 EPA No Action Assurance memorandum, an exemption for research and development activities, and an exemption for entities manufacturing less than 2,500 lbs. of a chemical subject to an EPA-initiated risk evaluation fee. EPA is updating its cost estimates for administering TSCA sections 4, 5, and 6 and individual fee calculation methodology (including associated administrative costs for confidential business information activities under section 14), as well as proposing a volume-based fee allocation for EPA-initiated risk evaluation fees in any scenario where a consortium is not formed, and proposing to require export-only manufacture</w:t>
      </w:r>
      <w:r w:rsidRPr="00E74965">
        <w:rPr>
          <w:rFonts w:cs="Arial"/>
          <w:szCs w:val="24"/>
        </w:rPr>
        <w:t>r</w:t>
      </w:r>
      <w:r w:rsidRPr="00E74965">
        <w:rPr>
          <w:rFonts w:cs="Arial"/>
          <w:w w:val="105"/>
          <w:szCs w:val="24"/>
        </w:rPr>
        <w:t>s to pay</w:t>
      </w:r>
      <w:r w:rsidRPr="00E74965">
        <w:rPr>
          <w:rFonts w:cs="Arial"/>
          <w:szCs w:val="24"/>
        </w:rPr>
        <w:t xml:space="preserve"> fees for EPA-initiated risk evaluations.</w:t>
      </w:r>
      <w:r w:rsidRPr="00E74965">
        <w:rPr>
          <w:rFonts w:cs="Arial"/>
          <w:w w:val="105"/>
          <w:szCs w:val="24"/>
        </w:rPr>
        <w:t xml:space="preserve"> EPA is </w:t>
      </w:r>
      <w:r w:rsidRPr="00E74965">
        <w:rPr>
          <w:rFonts w:cs="Arial"/>
          <w:szCs w:val="24"/>
        </w:rPr>
        <w:t xml:space="preserve">also </w:t>
      </w:r>
      <w:r w:rsidRPr="00E74965">
        <w:rPr>
          <w:rFonts w:cs="Arial"/>
          <w:w w:val="105"/>
          <w:szCs w:val="24"/>
        </w:rPr>
        <w:t xml:space="preserve">proposing various changes to the timing of certain activities required throughout the fee payment process. </w:t>
      </w:r>
    </w:p>
    <w:p w:rsidRPr="00E74965" w:rsidR="00BB1FEB" w:rsidP="00BB1FEB" w:rsidRDefault="00BB1FEB" w14:paraId="396E5FA9" w14:textId="41BA2997">
      <w:pPr>
        <w:pStyle w:val="BodyText"/>
        <w:spacing w:before="2"/>
        <w:ind w:firstLine="720"/>
        <w:rPr>
          <w:rFonts w:cs="Arial"/>
          <w:i/>
          <w:szCs w:val="24"/>
        </w:rPr>
      </w:pPr>
      <w:r w:rsidRPr="00E74965">
        <w:rPr>
          <w:rFonts w:cs="Arial"/>
          <w:w w:val="110"/>
          <w:szCs w:val="24"/>
        </w:rPr>
        <w:t xml:space="preserve">The information collection activities associated with the proposed rule include familiarization with the regulation; reduced fee eligibility determination; CDX registration; formation, management and notification to EPA of participation in consortia; self-identification and certification; and electronic payment of fees through </w:t>
      </w:r>
      <w:r w:rsidRPr="00E74965">
        <w:rPr>
          <w:rFonts w:cs="Arial"/>
          <w:i/>
          <w:w w:val="110"/>
          <w:szCs w:val="24"/>
        </w:rPr>
        <w:t>Pay.gov.</w:t>
      </w:r>
    </w:p>
    <w:p w:rsidRPr="00E74965" w:rsidR="008B4785" w:rsidP="00D4779C" w:rsidRDefault="008B4785" w14:paraId="502F2565" w14:textId="77777777">
      <w:pPr>
        <w:rPr>
          <w:rFonts w:cs="Arial"/>
          <w:szCs w:val="24"/>
          <w:lang w:bidi="en-US"/>
        </w:rPr>
      </w:pPr>
    </w:p>
    <w:p w:rsidRPr="00E74965" w:rsidR="00FD497D" w:rsidP="00FD497D" w:rsidRDefault="00FD497D" w14:paraId="3BBA72B3" w14:textId="77777777">
      <w:pPr>
        <w:pStyle w:val="NoSpacing"/>
        <w:rPr>
          <w:rFonts w:cs="Arial"/>
          <w:szCs w:val="24"/>
          <w:lang w:bidi="en-US"/>
        </w:rPr>
      </w:pPr>
    </w:p>
    <w:p w:rsidRPr="00E74965" w:rsidR="002B34A0" w:rsidP="005B4F77" w:rsidRDefault="00512823" w14:paraId="7ACF2327" w14:textId="77777777">
      <w:pPr>
        <w:pStyle w:val="Heading1"/>
        <w:numPr>
          <w:ilvl w:val="0"/>
          <w:numId w:val="3"/>
        </w:numPr>
        <w:rPr>
          <w:rFonts w:cs="Arial"/>
          <w:sz w:val="24"/>
          <w:szCs w:val="24"/>
        </w:rPr>
      </w:pPr>
      <w:bookmarkStart w:name="_Toc447203166" w:id="5"/>
      <w:r w:rsidRPr="00E74965">
        <w:rPr>
          <w:rFonts w:cs="Arial"/>
          <w:sz w:val="24"/>
          <w:szCs w:val="24"/>
        </w:rPr>
        <w:t>NECESSITY OF THE INFORMATION COLLECTION</w:t>
      </w:r>
      <w:bookmarkEnd w:id="5"/>
    </w:p>
    <w:p w:rsidRPr="00E74965" w:rsidR="00F40219" w:rsidP="005B4F77" w:rsidRDefault="00F40219" w14:paraId="77847F1C" w14:textId="77777777">
      <w:pPr>
        <w:pStyle w:val="Heading2"/>
        <w:numPr>
          <w:ilvl w:val="1"/>
          <w:numId w:val="3"/>
        </w:numPr>
        <w:tabs>
          <w:tab w:val="left" w:pos="1080"/>
        </w:tabs>
        <w:rPr>
          <w:rFonts w:cs="Arial"/>
          <w:szCs w:val="24"/>
        </w:rPr>
      </w:pPr>
      <w:bookmarkStart w:name="_Toc447203167" w:id="6"/>
      <w:r w:rsidRPr="00E74965">
        <w:rPr>
          <w:rFonts w:cs="Arial"/>
          <w:szCs w:val="24"/>
        </w:rPr>
        <w:t>Related Legal and/or Administrative Requirements</w:t>
      </w:r>
      <w:bookmarkEnd w:id="6"/>
    </w:p>
    <w:p w:rsidRPr="00E74965" w:rsidR="00AE7157" w:rsidP="000B530C" w:rsidRDefault="000B530C" w14:paraId="310D3D66" w14:textId="1DDA4DB7">
      <w:pPr>
        <w:pStyle w:val="NormalWeb"/>
        <w:rPr>
          <w:rFonts w:ascii="Arial" w:hAnsi="Arial" w:cs="Arial"/>
        </w:rPr>
      </w:pPr>
      <w:r w:rsidRPr="00E74965">
        <w:rPr>
          <w:rFonts w:ascii="Arial" w:hAnsi="Arial" w:cs="Arial"/>
        </w:rPr>
        <w:t xml:space="preserve">TSCA section 26(b) provides EPA with authority to </w:t>
      </w:r>
      <w:r w:rsidRPr="00E74965" w:rsidR="00F30E98">
        <w:rPr>
          <w:rFonts w:ascii="Arial" w:hAnsi="Arial" w:cs="Arial"/>
        </w:rPr>
        <w:t>establish</w:t>
      </w:r>
      <w:r w:rsidRPr="00E74965">
        <w:rPr>
          <w:rFonts w:ascii="Arial" w:hAnsi="Arial" w:cs="Arial"/>
        </w:rPr>
        <w:t xml:space="preserve"> fees to defray </w:t>
      </w:r>
      <w:r w:rsidRPr="00E74965" w:rsidR="00AE7157">
        <w:rPr>
          <w:rFonts w:ascii="Arial" w:hAnsi="Arial" w:cs="Arial"/>
        </w:rPr>
        <w:t>25%</w:t>
      </w:r>
      <w:r w:rsidRPr="00E74965">
        <w:rPr>
          <w:rFonts w:ascii="Arial" w:hAnsi="Arial" w:cs="Arial"/>
        </w:rPr>
        <w:t xml:space="preserve"> the costs associated with administering TSCA sections 4, 5, 6</w:t>
      </w:r>
      <w:r w:rsidRPr="00E74965" w:rsidR="00E741A2">
        <w:rPr>
          <w:rFonts w:ascii="Arial" w:hAnsi="Arial" w:cs="Arial"/>
        </w:rPr>
        <w:t xml:space="preserve"> and </w:t>
      </w:r>
      <w:r w:rsidRPr="00E74965" w:rsidR="000001B4">
        <w:rPr>
          <w:rFonts w:ascii="Arial" w:hAnsi="Arial" w:cs="Arial"/>
        </w:rPr>
        <w:t>of collecting, processing, reviewing, and providing access to and protecting information about chemical substances from disclosure as appropriate under TSCA section 14</w:t>
      </w:r>
      <w:r w:rsidRPr="00E74965">
        <w:rPr>
          <w:rFonts w:ascii="Arial" w:hAnsi="Arial" w:cs="Arial"/>
        </w:rPr>
        <w:t xml:space="preserve">. </w:t>
      </w:r>
    </w:p>
    <w:p w:rsidRPr="00E74965" w:rsidR="00AE7157" w:rsidP="000B530C" w:rsidRDefault="00AE7157" w14:paraId="63F93F01" w14:textId="77777777">
      <w:pPr>
        <w:pStyle w:val="NormalWeb"/>
        <w:rPr>
          <w:rFonts w:ascii="Arial" w:hAnsi="Arial" w:cs="Arial"/>
        </w:rPr>
      </w:pPr>
    </w:p>
    <w:p w:rsidRPr="00E74965" w:rsidR="006C58CA" w:rsidP="000B530C" w:rsidRDefault="006C265E" w14:paraId="6BF2F81B" w14:textId="6A344F27">
      <w:pPr>
        <w:pStyle w:val="NormalWeb"/>
        <w:rPr>
          <w:rFonts w:ascii="Arial" w:hAnsi="Arial" w:cs="Arial"/>
        </w:rPr>
      </w:pPr>
      <w:r w:rsidRPr="00E74965">
        <w:rPr>
          <w:rFonts w:ascii="Arial" w:hAnsi="Arial" w:cs="Arial"/>
        </w:rPr>
        <w:t>F</w:t>
      </w:r>
      <w:r w:rsidRPr="00E74965" w:rsidR="00E42F58">
        <w:rPr>
          <w:rFonts w:ascii="Arial" w:hAnsi="Arial" w:cs="Arial"/>
        </w:rPr>
        <w:t xml:space="preserve">ee payments </w:t>
      </w:r>
      <w:r w:rsidRPr="00E74965">
        <w:rPr>
          <w:rFonts w:ascii="Arial" w:hAnsi="Arial" w:cs="Arial"/>
        </w:rPr>
        <w:t xml:space="preserve">are required </w:t>
      </w:r>
      <w:r w:rsidRPr="00E74965" w:rsidR="00E42F58">
        <w:rPr>
          <w:rFonts w:ascii="Arial" w:hAnsi="Arial" w:cs="Arial"/>
        </w:rPr>
        <w:t xml:space="preserve">from </w:t>
      </w:r>
      <w:r w:rsidRPr="00E74965" w:rsidR="00D74E75">
        <w:rPr>
          <w:rFonts w:ascii="Arial" w:hAnsi="Arial" w:cs="Arial"/>
        </w:rPr>
        <w:t xml:space="preserve">chemical </w:t>
      </w:r>
      <w:r w:rsidRPr="00E74965" w:rsidR="000A475E">
        <w:rPr>
          <w:rFonts w:ascii="Arial" w:hAnsi="Arial" w:cs="Arial"/>
        </w:rPr>
        <w:t>manufactures</w:t>
      </w:r>
      <w:r w:rsidRPr="00E74965" w:rsidR="006D46ED">
        <w:rPr>
          <w:rFonts w:ascii="Arial" w:hAnsi="Arial" w:cs="Arial"/>
        </w:rPr>
        <w:t xml:space="preserve"> (including</w:t>
      </w:r>
      <w:r w:rsidRPr="00E74965" w:rsidR="000A475E">
        <w:rPr>
          <w:rFonts w:ascii="Arial" w:hAnsi="Arial" w:cs="Arial"/>
        </w:rPr>
        <w:t xml:space="preserve"> importers</w:t>
      </w:r>
      <w:r w:rsidRPr="00E74965" w:rsidR="006D46ED">
        <w:rPr>
          <w:rFonts w:ascii="Arial" w:hAnsi="Arial" w:cs="Arial"/>
        </w:rPr>
        <w:t>)</w:t>
      </w:r>
      <w:r w:rsidRPr="00E74965" w:rsidR="000A475E">
        <w:rPr>
          <w:rFonts w:ascii="Arial" w:hAnsi="Arial" w:cs="Arial"/>
        </w:rPr>
        <w:t xml:space="preserve"> </w:t>
      </w:r>
      <w:r w:rsidRPr="00E74965" w:rsidR="00DD5541">
        <w:rPr>
          <w:rFonts w:ascii="Arial" w:hAnsi="Arial" w:cs="Arial"/>
        </w:rPr>
        <w:t xml:space="preserve">and processors </w:t>
      </w:r>
      <w:r w:rsidRPr="00E74965" w:rsidR="00E42F58">
        <w:rPr>
          <w:rFonts w:ascii="Arial" w:hAnsi="Arial" w:cs="Arial"/>
        </w:rPr>
        <w:t xml:space="preserve">who </w:t>
      </w:r>
      <w:r w:rsidRPr="00E74965" w:rsidR="006D46ED">
        <w:rPr>
          <w:rFonts w:ascii="Arial" w:hAnsi="Arial" w:cs="Arial"/>
        </w:rPr>
        <w:t xml:space="preserve">make submissions under </w:t>
      </w:r>
      <w:r w:rsidRPr="00E74965" w:rsidR="000A475E">
        <w:rPr>
          <w:rFonts w:ascii="Arial" w:hAnsi="Arial" w:cs="Arial"/>
        </w:rPr>
        <w:t>TSCA section</w:t>
      </w:r>
      <w:r w:rsidRPr="00E74965" w:rsidR="006D46ED">
        <w:rPr>
          <w:rFonts w:ascii="Arial" w:hAnsi="Arial" w:cs="Arial"/>
        </w:rPr>
        <w:t xml:space="preserve"> 5, </w:t>
      </w:r>
      <w:r w:rsidRPr="00E74965" w:rsidR="00DD5541">
        <w:rPr>
          <w:rFonts w:ascii="Arial" w:hAnsi="Arial" w:cs="Arial"/>
        </w:rPr>
        <w:t xml:space="preserve">and manufacturers </w:t>
      </w:r>
      <w:r w:rsidRPr="00E74965" w:rsidR="006D46ED">
        <w:rPr>
          <w:rFonts w:ascii="Arial" w:hAnsi="Arial" w:cs="Arial"/>
        </w:rPr>
        <w:t>required to submit information under TSCA section</w:t>
      </w:r>
      <w:r w:rsidRPr="00E74965" w:rsidR="000A475E">
        <w:rPr>
          <w:rFonts w:ascii="Arial" w:hAnsi="Arial" w:cs="Arial"/>
        </w:rPr>
        <w:t xml:space="preserve"> 4</w:t>
      </w:r>
      <w:r w:rsidRPr="00E74965" w:rsidR="006D46ED">
        <w:rPr>
          <w:rFonts w:ascii="Arial" w:hAnsi="Arial" w:cs="Arial"/>
        </w:rPr>
        <w:t xml:space="preserve"> or are subject to a risk evaluation under TSCA section </w:t>
      </w:r>
      <w:r w:rsidRPr="00E74965" w:rsidR="00550A1F">
        <w:rPr>
          <w:rFonts w:ascii="Arial" w:hAnsi="Arial" w:cs="Arial"/>
        </w:rPr>
        <w:t>6</w:t>
      </w:r>
      <w:r w:rsidRPr="00E74965" w:rsidR="006D46ED">
        <w:rPr>
          <w:rFonts w:ascii="Arial" w:hAnsi="Arial" w:cs="Arial"/>
        </w:rPr>
        <w:t xml:space="preserve">. </w:t>
      </w:r>
      <w:r w:rsidRPr="00E74965" w:rsidR="000A475E">
        <w:rPr>
          <w:rFonts w:ascii="Arial" w:hAnsi="Arial" w:cs="Arial"/>
        </w:rPr>
        <w:t>EPA is not collect</w:t>
      </w:r>
      <w:r w:rsidRPr="00E74965" w:rsidR="00067FDB">
        <w:rPr>
          <w:rFonts w:ascii="Arial" w:hAnsi="Arial" w:cs="Arial"/>
        </w:rPr>
        <w:t>ing</w:t>
      </w:r>
      <w:r w:rsidRPr="00E74965" w:rsidR="000A475E">
        <w:rPr>
          <w:rFonts w:ascii="Arial" w:hAnsi="Arial" w:cs="Arial"/>
        </w:rPr>
        <w:t xml:space="preserve"> a fee for submissions of Confidential Business Information (CBI) submitted under TSCA section 14. </w:t>
      </w:r>
    </w:p>
    <w:p w:rsidRPr="00E74965" w:rsidR="006C58CA" w:rsidP="000B530C" w:rsidRDefault="006C58CA" w14:paraId="63250F7B" w14:textId="77777777">
      <w:pPr>
        <w:pStyle w:val="NormalWeb"/>
        <w:rPr>
          <w:rFonts w:ascii="Arial" w:hAnsi="Arial" w:cs="Arial"/>
        </w:rPr>
      </w:pPr>
    </w:p>
    <w:p w:rsidRPr="00E74965" w:rsidR="00FE5445" w:rsidP="000B530C" w:rsidRDefault="006C265E" w14:paraId="1FCFBC46" w14:textId="0BB642FB">
      <w:pPr>
        <w:pStyle w:val="NormalWeb"/>
        <w:rPr>
          <w:rFonts w:ascii="Arial" w:hAnsi="Arial" w:cs="Arial"/>
        </w:rPr>
      </w:pPr>
      <w:r w:rsidRPr="00E74965">
        <w:rPr>
          <w:rFonts w:ascii="Arial" w:hAnsi="Arial" w:cs="Arial"/>
        </w:rPr>
        <w:lastRenderedPageBreak/>
        <w:t>P</w:t>
      </w:r>
      <w:r w:rsidRPr="00E74965" w:rsidR="006C58CA">
        <w:rPr>
          <w:rFonts w:ascii="Arial" w:hAnsi="Arial" w:cs="Arial"/>
        </w:rPr>
        <w:t xml:space="preserve">ersons subject to fees </w:t>
      </w:r>
      <w:r w:rsidRPr="00E74965" w:rsidR="00AE7157">
        <w:rPr>
          <w:rFonts w:ascii="Arial" w:hAnsi="Arial" w:cs="Arial"/>
        </w:rPr>
        <w:t>are</w:t>
      </w:r>
      <w:r w:rsidRPr="00E74965" w:rsidR="006C58CA">
        <w:rPr>
          <w:rFonts w:ascii="Arial" w:hAnsi="Arial" w:cs="Arial"/>
        </w:rPr>
        <w:t xml:space="preserve"> required to make fee payments electronically using </w:t>
      </w:r>
      <w:r w:rsidRPr="00E74965" w:rsidR="00AE7157">
        <w:rPr>
          <w:rFonts w:ascii="Arial" w:hAnsi="Arial" w:cs="Arial"/>
        </w:rPr>
        <w:t xml:space="preserve">the </w:t>
      </w:r>
      <w:r w:rsidRPr="00E74965" w:rsidR="007325B1">
        <w:rPr>
          <w:rFonts w:ascii="Arial" w:hAnsi="Arial" w:cs="Arial"/>
        </w:rPr>
        <w:t xml:space="preserve">Department of Treasury’s </w:t>
      </w:r>
      <w:hyperlink w:history="1" r:id="rId16">
        <w:r w:rsidRPr="00E74965" w:rsidR="006C58CA">
          <w:rPr>
            <w:rStyle w:val="Hyperlink"/>
            <w:rFonts w:ascii="Arial" w:hAnsi="Arial" w:cs="Arial"/>
          </w:rPr>
          <w:t>Pay.gov</w:t>
        </w:r>
      </w:hyperlink>
      <w:r w:rsidRPr="00E74965" w:rsidR="007325B1">
        <w:rPr>
          <w:rFonts w:ascii="Arial" w:hAnsi="Arial" w:cs="Arial"/>
        </w:rPr>
        <w:t xml:space="preserve"> electronic collection payment services</w:t>
      </w:r>
      <w:r w:rsidRPr="00E74965" w:rsidR="0024149B">
        <w:rPr>
          <w:rFonts w:ascii="Arial" w:hAnsi="Arial" w:cs="Arial"/>
        </w:rPr>
        <w:t>.</w:t>
      </w:r>
      <w:r w:rsidRPr="00E74965" w:rsidR="006C58CA">
        <w:rPr>
          <w:rFonts w:ascii="Arial" w:hAnsi="Arial" w:cs="Arial"/>
        </w:rPr>
        <w:t xml:space="preserve"> </w:t>
      </w:r>
      <w:r w:rsidRPr="00E74965" w:rsidR="00D377EF">
        <w:rPr>
          <w:rFonts w:ascii="Arial" w:hAnsi="Arial" w:cs="Arial"/>
        </w:rPr>
        <w:t xml:space="preserve">Once the payment is made, Federal agencies </w:t>
      </w:r>
      <w:r w:rsidRPr="00E74965" w:rsidR="00FD497D">
        <w:rPr>
          <w:rFonts w:ascii="Arial" w:hAnsi="Arial" w:cs="Arial"/>
        </w:rPr>
        <w:t>may</w:t>
      </w:r>
      <w:r w:rsidRPr="00E74965" w:rsidR="00D377EF">
        <w:rPr>
          <w:rFonts w:ascii="Arial" w:hAnsi="Arial" w:cs="Arial"/>
        </w:rPr>
        <w:t xml:space="preserve"> access the payment and associated information. </w:t>
      </w:r>
      <w:r w:rsidRPr="00E74965" w:rsidR="00D74E75">
        <w:rPr>
          <w:rFonts w:ascii="Arial" w:hAnsi="Arial" w:cs="Arial"/>
        </w:rPr>
        <w:t xml:space="preserve">The information submitted to EPA during the payment process includes company contact information, </w:t>
      </w:r>
      <w:r w:rsidRPr="00E74965" w:rsidR="00AE7157">
        <w:rPr>
          <w:rFonts w:ascii="Arial" w:hAnsi="Arial" w:cs="Arial"/>
        </w:rPr>
        <w:t xml:space="preserve">information about the </w:t>
      </w:r>
      <w:r w:rsidRPr="00E74965" w:rsidR="00D74E75">
        <w:rPr>
          <w:rFonts w:ascii="Arial" w:hAnsi="Arial" w:cs="Arial"/>
        </w:rPr>
        <w:t xml:space="preserve">payment amount and method. Once submitted via Pay.gov, the payment </w:t>
      </w:r>
      <w:r w:rsidRPr="00E74965" w:rsidR="007325B1">
        <w:rPr>
          <w:rFonts w:ascii="Arial" w:hAnsi="Arial" w:cs="Arial"/>
        </w:rPr>
        <w:t xml:space="preserve">information is sent to EPA. </w:t>
      </w:r>
    </w:p>
    <w:p w:rsidRPr="00E74965" w:rsidR="006C58CA" w:rsidP="000B530C" w:rsidRDefault="006C58CA" w14:paraId="7F76940E" w14:textId="77777777">
      <w:pPr>
        <w:pStyle w:val="NormalWeb"/>
        <w:rPr>
          <w:rFonts w:ascii="Arial" w:hAnsi="Arial" w:cs="Arial"/>
        </w:rPr>
      </w:pPr>
    </w:p>
    <w:p w:rsidRPr="00E74965" w:rsidR="006C58CA" w:rsidP="000B530C" w:rsidRDefault="006C265E" w14:paraId="031AD9FF" w14:textId="6CD74C9A">
      <w:pPr>
        <w:pStyle w:val="NormalWeb"/>
        <w:rPr>
          <w:rFonts w:ascii="Arial" w:hAnsi="Arial" w:cs="Arial"/>
        </w:rPr>
      </w:pPr>
      <w:r w:rsidRPr="00E74965">
        <w:rPr>
          <w:rFonts w:ascii="Arial" w:hAnsi="Arial" w:cs="Arial"/>
        </w:rPr>
        <w:t>C</w:t>
      </w:r>
      <w:r w:rsidRPr="00E74965" w:rsidR="006C58CA">
        <w:rPr>
          <w:rFonts w:ascii="Arial" w:hAnsi="Arial" w:cs="Arial"/>
        </w:rPr>
        <w:t xml:space="preserve">ertain </w:t>
      </w:r>
      <w:r w:rsidRPr="00E74965" w:rsidR="00F55405">
        <w:rPr>
          <w:rFonts w:ascii="Arial" w:hAnsi="Arial" w:cs="Arial"/>
        </w:rPr>
        <w:t>manufactures</w:t>
      </w:r>
      <w:r w:rsidRPr="00E74965" w:rsidR="005140F3">
        <w:rPr>
          <w:rFonts w:ascii="Arial" w:hAnsi="Arial" w:cs="Arial"/>
        </w:rPr>
        <w:t xml:space="preserve"> (including </w:t>
      </w:r>
      <w:r w:rsidRPr="00E74965" w:rsidR="00F55405">
        <w:rPr>
          <w:rFonts w:ascii="Arial" w:hAnsi="Arial" w:cs="Arial"/>
        </w:rPr>
        <w:t>importers</w:t>
      </w:r>
      <w:r w:rsidRPr="00E74965" w:rsidR="005140F3">
        <w:rPr>
          <w:rFonts w:ascii="Arial" w:hAnsi="Arial" w:cs="Arial"/>
        </w:rPr>
        <w:t>)</w:t>
      </w:r>
      <w:r w:rsidRPr="00E74965" w:rsidR="00F95261">
        <w:rPr>
          <w:rFonts w:ascii="Arial" w:hAnsi="Arial" w:cs="Arial"/>
        </w:rPr>
        <w:t xml:space="preserve"> </w:t>
      </w:r>
      <w:r w:rsidRPr="00E74965">
        <w:rPr>
          <w:rFonts w:ascii="Arial" w:hAnsi="Arial" w:cs="Arial"/>
        </w:rPr>
        <w:t xml:space="preserve">are required </w:t>
      </w:r>
      <w:r w:rsidRPr="00E74965" w:rsidR="00F95261">
        <w:rPr>
          <w:rFonts w:ascii="Arial" w:hAnsi="Arial" w:cs="Arial"/>
        </w:rPr>
        <w:t xml:space="preserve">to make a submission to </w:t>
      </w:r>
      <w:r w:rsidRPr="00E74965" w:rsidR="00AE7157">
        <w:rPr>
          <w:rFonts w:ascii="Arial" w:hAnsi="Arial" w:cs="Arial"/>
        </w:rPr>
        <w:t xml:space="preserve">EPA’s </w:t>
      </w:r>
      <w:r w:rsidRPr="00E74965" w:rsidR="00F95261">
        <w:rPr>
          <w:rFonts w:ascii="Arial" w:hAnsi="Arial" w:cs="Arial"/>
        </w:rPr>
        <w:t>Central Data Exchange (CDX) and</w:t>
      </w:r>
      <w:r w:rsidRPr="00E74965" w:rsidR="00E9323F">
        <w:rPr>
          <w:rFonts w:ascii="Arial" w:hAnsi="Arial" w:cs="Arial"/>
        </w:rPr>
        <w:t xml:space="preserve"> to inform EPA </w:t>
      </w:r>
      <w:r w:rsidRPr="00E74965" w:rsidR="00F76B26">
        <w:rPr>
          <w:rFonts w:ascii="Arial" w:hAnsi="Arial" w:cs="Arial"/>
        </w:rPr>
        <w:t>if they choose to</w:t>
      </w:r>
      <w:r w:rsidRPr="00E74965" w:rsidR="00E9323F">
        <w:rPr>
          <w:rFonts w:ascii="Arial" w:hAnsi="Arial" w:cs="Arial"/>
        </w:rPr>
        <w:t xml:space="preserve"> </w:t>
      </w:r>
      <w:r w:rsidRPr="00E74965" w:rsidR="00F76B26">
        <w:rPr>
          <w:rFonts w:ascii="Arial" w:hAnsi="Arial" w:cs="Arial"/>
        </w:rPr>
        <w:t xml:space="preserve">associate as a consortium. </w:t>
      </w:r>
      <w:r w:rsidRPr="00E74965" w:rsidR="00E7491B">
        <w:rPr>
          <w:rFonts w:ascii="Arial" w:hAnsi="Arial" w:cs="Arial"/>
        </w:rPr>
        <w:t xml:space="preserve">Notification must be provided to EPA via </w:t>
      </w:r>
      <w:r w:rsidRPr="00E74965" w:rsidR="002447F9">
        <w:rPr>
          <w:rFonts w:ascii="Arial" w:hAnsi="Arial" w:cs="Arial"/>
        </w:rPr>
        <w:t xml:space="preserve">the </w:t>
      </w:r>
      <w:r w:rsidRPr="00E74965" w:rsidR="00E7491B">
        <w:rPr>
          <w:rFonts w:ascii="Arial" w:hAnsi="Arial" w:cs="Arial"/>
        </w:rPr>
        <w:t xml:space="preserve">CDX when </w:t>
      </w:r>
      <w:r w:rsidRPr="00E74965" w:rsidR="00AE7157">
        <w:rPr>
          <w:rFonts w:ascii="Arial" w:hAnsi="Arial" w:cs="Arial"/>
        </w:rPr>
        <w:t xml:space="preserve">a </w:t>
      </w:r>
      <w:r w:rsidRPr="00E74965" w:rsidR="00B744EE">
        <w:rPr>
          <w:rFonts w:ascii="Arial" w:hAnsi="Arial" w:cs="Arial"/>
        </w:rPr>
        <w:t>consortium</w:t>
      </w:r>
      <w:r w:rsidRPr="00E74965" w:rsidR="00E7491B">
        <w:rPr>
          <w:rFonts w:ascii="Arial" w:hAnsi="Arial" w:cs="Arial"/>
        </w:rPr>
        <w:t xml:space="preserve"> is formed. This </w:t>
      </w:r>
      <w:bookmarkStart w:name="_Hlk523220309" w:id="7"/>
      <w:r w:rsidRPr="00E74965" w:rsidR="00E7491B">
        <w:rPr>
          <w:rFonts w:ascii="Arial" w:hAnsi="Arial" w:cs="Arial"/>
        </w:rPr>
        <w:t xml:space="preserve">includes the name, address, telephone number and signature of the principle sponsor and the names and contact information for each manufacturer and/or processor associating with the </w:t>
      </w:r>
      <w:bookmarkEnd w:id="7"/>
      <w:r w:rsidRPr="00E74965" w:rsidR="00B744EE">
        <w:rPr>
          <w:rFonts w:ascii="Arial" w:hAnsi="Arial" w:cs="Arial"/>
        </w:rPr>
        <w:t>consortium</w:t>
      </w:r>
      <w:r w:rsidRPr="00E74965" w:rsidR="00E7491B">
        <w:rPr>
          <w:rFonts w:ascii="Arial" w:hAnsi="Arial" w:cs="Arial"/>
        </w:rPr>
        <w:t xml:space="preserve">.  </w:t>
      </w:r>
      <w:r w:rsidRPr="00E74965" w:rsidR="00F76B26">
        <w:rPr>
          <w:rFonts w:ascii="Arial" w:hAnsi="Arial" w:cs="Arial"/>
        </w:rPr>
        <w:t xml:space="preserve">Under TSCA, a consortium is an association of manufacturers (including importers) and/or processors who have made an agreement to jointly split the cost of applicable fees. </w:t>
      </w:r>
      <w:r w:rsidRPr="00E74965" w:rsidR="00F95261">
        <w:rPr>
          <w:rFonts w:ascii="Arial" w:hAnsi="Arial" w:cs="Arial"/>
        </w:rPr>
        <w:t xml:space="preserve">Manufacturers (including importers) </w:t>
      </w:r>
      <w:r w:rsidRPr="00E74965" w:rsidR="00B8468B">
        <w:rPr>
          <w:rFonts w:ascii="Arial" w:hAnsi="Arial" w:cs="Arial"/>
        </w:rPr>
        <w:t xml:space="preserve">and processors </w:t>
      </w:r>
      <w:r w:rsidRPr="00E74965" w:rsidR="00F95261">
        <w:rPr>
          <w:rFonts w:ascii="Arial" w:hAnsi="Arial" w:cs="Arial"/>
        </w:rPr>
        <w:t xml:space="preserve">are also required to certify if they qualify as a small business and </w:t>
      </w:r>
      <w:r w:rsidRPr="00E74965" w:rsidR="00AE7157">
        <w:rPr>
          <w:rFonts w:ascii="Arial" w:hAnsi="Arial" w:cs="Arial"/>
        </w:rPr>
        <w:t xml:space="preserve">are subject to </w:t>
      </w:r>
      <w:r w:rsidRPr="00E74965" w:rsidR="00F95261">
        <w:rPr>
          <w:rFonts w:ascii="Arial" w:hAnsi="Arial" w:cs="Arial"/>
        </w:rPr>
        <w:t>reduced fees.</w:t>
      </w:r>
    </w:p>
    <w:p w:rsidRPr="00E74965" w:rsidR="00AB57A5" w:rsidP="000B530C" w:rsidRDefault="00AB57A5" w14:paraId="3829B752" w14:textId="77777777">
      <w:pPr>
        <w:pStyle w:val="NormalWeb"/>
        <w:rPr>
          <w:rFonts w:ascii="Arial" w:hAnsi="Arial" w:cs="Arial"/>
        </w:rPr>
      </w:pPr>
    </w:p>
    <w:p w:rsidRPr="00E74965" w:rsidR="00277C19" w:rsidP="00DF45B7" w:rsidRDefault="00DF45B7" w14:paraId="1BBC1605" w14:textId="638A53C8">
      <w:pPr>
        <w:pStyle w:val="NormalWeb"/>
        <w:rPr>
          <w:rFonts w:ascii="Arial" w:hAnsi="Arial" w:cs="Arial"/>
        </w:rPr>
      </w:pPr>
      <w:r w:rsidRPr="00E74965">
        <w:rPr>
          <w:rFonts w:ascii="Arial" w:hAnsi="Arial" w:cs="Arial"/>
        </w:rPr>
        <w:t>All manufacturers (</w:t>
      </w:r>
      <w:r w:rsidRPr="00E74965" w:rsidR="00DD5541">
        <w:rPr>
          <w:rFonts w:ascii="Arial" w:hAnsi="Arial" w:cs="Arial"/>
        </w:rPr>
        <w:t xml:space="preserve">including </w:t>
      </w:r>
      <w:r w:rsidRPr="00E74965">
        <w:rPr>
          <w:rFonts w:ascii="Arial" w:hAnsi="Arial" w:cs="Arial"/>
        </w:rPr>
        <w:t xml:space="preserve">importers) who have manufactured or imported the chemical substance in the 5 years prior to </w:t>
      </w:r>
      <w:r w:rsidRPr="00E74965" w:rsidR="00AE7157">
        <w:rPr>
          <w:rFonts w:ascii="Arial" w:hAnsi="Arial" w:cs="Arial"/>
        </w:rPr>
        <w:t xml:space="preserve">a TSCA </w:t>
      </w:r>
      <w:r w:rsidRPr="00E74965">
        <w:rPr>
          <w:rFonts w:ascii="Arial" w:hAnsi="Arial" w:cs="Arial"/>
        </w:rPr>
        <w:t xml:space="preserve">section 4 </w:t>
      </w:r>
      <w:r w:rsidRPr="00E74965" w:rsidR="004C575A">
        <w:rPr>
          <w:rFonts w:ascii="Arial" w:hAnsi="Arial" w:cs="Arial"/>
        </w:rPr>
        <w:t>Test Rules</w:t>
      </w:r>
      <w:r w:rsidRPr="00E74965">
        <w:rPr>
          <w:rFonts w:ascii="Arial" w:hAnsi="Arial" w:cs="Arial"/>
        </w:rPr>
        <w:t xml:space="preserve"> and </w:t>
      </w:r>
      <w:r w:rsidRPr="00E74965" w:rsidR="008A3D62">
        <w:rPr>
          <w:rFonts w:ascii="Arial" w:hAnsi="Arial" w:cs="Arial"/>
        </w:rPr>
        <w:t xml:space="preserve">TSCA </w:t>
      </w:r>
      <w:r w:rsidRPr="00E74965">
        <w:rPr>
          <w:rFonts w:ascii="Arial" w:hAnsi="Arial" w:cs="Arial"/>
        </w:rPr>
        <w:t>section 6 EPA-initiated risk evaluations must submit notice to EPA electronically via EPA’s (CDX), the Agency’s electronic reporting portal, using the Chemical Information Submission System (CISS) reporting tool</w:t>
      </w:r>
    </w:p>
    <w:p w:rsidRPr="00E74965" w:rsidR="006B0EF8" w:rsidP="00DF45B7" w:rsidRDefault="006B0EF8" w14:paraId="7C3AFBD5" w14:textId="77777777">
      <w:pPr>
        <w:pStyle w:val="NormalWeb"/>
        <w:rPr>
          <w:rFonts w:ascii="Arial" w:hAnsi="Arial" w:cs="Arial"/>
        </w:rPr>
      </w:pPr>
    </w:p>
    <w:p w:rsidRPr="00E74965" w:rsidR="00DF45B7" w:rsidP="001B03EA" w:rsidRDefault="00DF45B7" w14:paraId="19A58261" w14:textId="13AB96B3">
      <w:pPr>
        <w:pStyle w:val="NormalWeb"/>
        <w:ind w:left="720"/>
        <w:rPr>
          <w:rFonts w:ascii="Arial" w:hAnsi="Arial" w:cs="Arial"/>
        </w:rPr>
      </w:pPr>
      <w:r w:rsidRPr="00E74965">
        <w:rPr>
          <w:rFonts w:ascii="Arial" w:hAnsi="Arial" w:cs="Arial"/>
          <w:u w:val="single"/>
        </w:rPr>
        <w:t>Contact I</w:t>
      </w:r>
      <w:r w:rsidRPr="00E74965" w:rsidR="00F56F42">
        <w:rPr>
          <w:rFonts w:ascii="Arial" w:hAnsi="Arial" w:cs="Arial"/>
          <w:u w:val="single"/>
        </w:rPr>
        <w:t>nformation.</w:t>
      </w:r>
      <w:r w:rsidRPr="00E74965">
        <w:rPr>
          <w:rFonts w:ascii="Arial" w:hAnsi="Arial" w:cs="Arial"/>
        </w:rPr>
        <w:t xml:space="preserve"> The name and address of the submitting company, the name and address of the authorized official for the submitting company, and the name and telephone number of a person who will serve as technical contact for the submitting company and who will be able to answer questions about the information submitted by the company to EPA.</w:t>
      </w:r>
    </w:p>
    <w:p w:rsidRPr="00E74965" w:rsidR="00FB2C84" w:rsidP="001B03EA" w:rsidRDefault="00FB2C84" w14:paraId="38C11091" w14:textId="61A565B6">
      <w:pPr>
        <w:pStyle w:val="NormalWeb"/>
        <w:ind w:left="720"/>
        <w:rPr>
          <w:rFonts w:ascii="Arial" w:hAnsi="Arial" w:cs="Arial"/>
        </w:rPr>
      </w:pPr>
    </w:p>
    <w:p w:rsidRPr="00E74965" w:rsidR="00FB2C84" w:rsidP="001B03EA" w:rsidRDefault="00DD5541" w14:paraId="213BEB8F" w14:textId="319FA807">
      <w:pPr>
        <w:pStyle w:val="NormalWeb"/>
        <w:ind w:left="720"/>
        <w:rPr>
          <w:rFonts w:ascii="Arial" w:hAnsi="Arial" w:cs="Arial"/>
        </w:rPr>
      </w:pPr>
      <w:r w:rsidRPr="00E74965">
        <w:rPr>
          <w:rFonts w:ascii="Arial" w:hAnsi="Arial" w:cs="Arial"/>
          <w:u w:val="single"/>
        </w:rPr>
        <w:t>Production Volume.</w:t>
      </w:r>
      <w:r w:rsidRPr="00E74965">
        <w:rPr>
          <w:rFonts w:ascii="Arial" w:hAnsi="Arial" w:cs="Arial"/>
        </w:rPr>
        <w:t xml:space="preserve">  Manufacturers subject to fees under section 6 must submit their average production volume over the previous four years for the chemical undergoing risk evaluation. EPA will use this information to allocate the fees in proportion to the manufacturers share of the total production of the chemical for all manufacturers subject to the fee. </w:t>
      </w:r>
      <w:r w:rsidRPr="00E74965" w:rsidR="003C263B">
        <w:rPr>
          <w:rFonts w:ascii="Arial" w:hAnsi="Arial" w:cs="Arial"/>
        </w:rPr>
        <w:t xml:space="preserve">These manufacturers must also keep records for five years </w:t>
      </w:r>
    </w:p>
    <w:p w:rsidRPr="00E74965" w:rsidR="00277C19" w:rsidP="001B03EA" w:rsidRDefault="00277C19" w14:paraId="7D877E6E" w14:textId="77777777">
      <w:pPr>
        <w:pStyle w:val="NormalWeb"/>
        <w:ind w:left="720"/>
        <w:rPr>
          <w:rFonts w:ascii="Arial" w:hAnsi="Arial" w:cs="Arial"/>
        </w:rPr>
      </w:pPr>
    </w:p>
    <w:p w:rsidRPr="00E74965" w:rsidR="00DF45B7" w:rsidP="001B03EA" w:rsidRDefault="00DF45B7" w14:paraId="520A2ED5" w14:textId="77777777">
      <w:pPr>
        <w:pStyle w:val="NormalWeb"/>
        <w:ind w:left="720"/>
        <w:rPr>
          <w:rFonts w:ascii="Arial" w:hAnsi="Arial" w:cs="Arial"/>
        </w:rPr>
      </w:pPr>
      <w:r w:rsidRPr="00E74965">
        <w:rPr>
          <w:rFonts w:ascii="Arial" w:hAnsi="Arial" w:cs="Arial"/>
          <w:u w:val="single"/>
        </w:rPr>
        <w:t>Certification of Cessation.</w:t>
      </w:r>
      <w:r w:rsidRPr="00E74965">
        <w:rPr>
          <w:rFonts w:ascii="Arial" w:hAnsi="Arial" w:cs="Arial"/>
        </w:rPr>
        <w:t xml:space="preserve"> If a manufacturer has manufactured in the five-year period preceding publication of the preliminary list, but has ceased manufacturer prior to the certification cutoff dates identified and will not manufacture the substance again in the successive five years, the manufacturer may submit a certification statement attesting to these facts. If EPA receives such a certification statement from a manufacturer, the manufacturer will not be obligated to pay the fee.</w:t>
      </w:r>
    </w:p>
    <w:p w:rsidRPr="00E74965" w:rsidR="00277C19" w:rsidP="001B03EA" w:rsidRDefault="00277C19" w14:paraId="6BB3785E" w14:textId="77777777">
      <w:pPr>
        <w:pStyle w:val="NormalWeb"/>
        <w:ind w:left="720"/>
        <w:rPr>
          <w:rFonts w:ascii="Arial" w:hAnsi="Arial" w:cs="Arial"/>
        </w:rPr>
      </w:pPr>
    </w:p>
    <w:p w:rsidRPr="00E74965" w:rsidR="001A61B9" w:rsidP="001B03EA" w:rsidRDefault="00DF45B7" w14:paraId="57C0540A" w14:textId="77777777">
      <w:pPr>
        <w:pStyle w:val="NormalWeb"/>
        <w:ind w:left="720"/>
        <w:rPr>
          <w:rFonts w:ascii="Arial" w:hAnsi="Arial" w:cs="Arial"/>
        </w:rPr>
      </w:pPr>
      <w:r w:rsidRPr="00E74965">
        <w:rPr>
          <w:rFonts w:ascii="Arial" w:hAnsi="Arial" w:cs="Arial"/>
          <w:u w:val="single"/>
        </w:rPr>
        <w:t>Certification of No Manufacture.</w:t>
      </w:r>
      <w:r w:rsidRPr="00E74965">
        <w:rPr>
          <w:rFonts w:ascii="Arial" w:hAnsi="Arial" w:cs="Arial"/>
        </w:rPr>
        <w:t xml:space="preserve"> If a manufacturer is identified on the preliminary </w:t>
      </w:r>
      <w:r w:rsidRPr="00E74965" w:rsidR="00DD5541">
        <w:rPr>
          <w:rFonts w:ascii="Arial" w:hAnsi="Arial" w:cs="Arial"/>
        </w:rPr>
        <w:t>list but</w:t>
      </w:r>
      <w:r w:rsidRPr="00E74965">
        <w:rPr>
          <w:rFonts w:ascii="Arial" w:hAnsi="Arial" w:cs="Arial"/>
        </w:rPr>
        <w:t xml:space="preserve"> has not manufactured the chemical in the five-year period preceding publication of the preliminary list, the manufacturer may submit a certification statement attesting to these facts. If EPA receives such a certification statement from a manufacturer, the manufacturer will not be obligated to pay the fee. </w:t>
      </w:r>
    </w:p>
    <w:p w:rsidRPr="00E74965" w:rsidR="00AB57A5" w:rsidP="001B03EA" w:rsidRDefault="00DF45B7" w14:paraId="5F1DA9EE" w14:textId="5E7F6130">
      <w:pPr>
        <w:pStyle w:val="NormalWeb"/>
        <w:ind w:left="720"/>
        <w:rPr>
          <w:rFonts w:ascii="Arial" w:hAnsi="Arial" w:cs="Arial"/>
        </w:rPr>
      </w:pPr>
      <w:r w:rsidRPr="00E74965">
        <w:rPr>
          <w:rFonts w:ascii="Arial" w:hAnsi="Arial" w:cs="Arial"/>
        </w:rPr>
        <w:t xml:space="preserve"> </w:t>
      </w:r>
    </w:p>
    <w:p w:rsidRPr="00E74965" w:rsidR="004C7B40" w:rsidP="004C7B40" w:rsidRDefault="004C7B40" w14:paraId="6D057182" w14:textId="2251A875">
      <w:pPr>
        <w:rPr>
          <w:rFonts w:cs="Arial"/>
          <w:szCs w:val="24"/>
        </w:rPr>
      </w:pPr>
      <w:r w:rsidRPr="00E74965">
        <w:rPr>
          <w:rFonts w:cs="Arial"/>
          <w:szCs w:val="24"/>
        </w:rPr>
        <w:lastRenderedPageBreak/>
        <w:t>The proposed rule provides exemptions from fee payments for manufacturers of chemicals undergoing risk evaluation if they manufacturer under 2,500 lbs of the chemical annually or they manufacturer small quantities for research and development purposes. Under the proposal, these manufacturers are required the keep records demonstrating compliance with the exemptions. These records will be a critical part of the EPA’s compliance monitoring and enforcement activities.</w:t>
      </w:r>
    </w:p>
    <w:p w:rsidRPr="00E74965" w:rsidR="004C7B40" w:rsidP="001A61B9" w:rsidRDefault="004C7B40" w14:paraId="1FA74360" w14:textId="04E07207">
      <w:pPr>
        <w:pStyle w:val="NormalWeb"/>
        <w:rPr>
          <w:rFonts w:ascii="Arial" w:hAnsi="Arial" w:cs="Arial"/>
        </w:rPr>
      </w:pPr>
    </w:p>
    <w:p w:rsidRPr="00E74965" w:rsidR="00534F9B" w:rsidP="000B530C" w:rsidRDefault="00534F9B" w14:paraId="100CEC00" w14:textId="77777777">
      <w:pPr>
        <w:pStyle w:val="NormalWeb"/>
        <w:rPr>
          <w:rFonts w:ascii="Arial" w:hAnsi="Arial" w:cs="Arial"/>
        </w:rPr>
      </w:pPr>
    </w:p>
    <w:p w:rsidRPr="00E74965" w:rsidR="005B4F77" w:rsidP="005B4F77" w:rsidRDefault="005B4F77" w14:paraId="5AC67BFD" w14:textId="77777777">
      <w:pPr>
        <w:pStyle w:val="Heading2"/>
        <w:numPr>
          <w:ilvl w:val="1"/>
          <w:numId w:val="3"/>
        </w:numPr>
        <w:tabs>
          <w:tab w:val="left" w:pos="1080"/>
        </w:tabs>
        <w:rPr>
          <w:rFonts w:cs="Arial"/>
          <w:szCs w:val="24"/>
        </w:rPr>
      </w:pPr>
      <w:bookmarkStart w:name="_Toc447203168" w:id="8"/>
      <w:r w:rsidRPr="00E74965">
        <w:rPr>
          <w:rFonts w:cs="Arial"/>
          <w:szCs w:val="24"/>
        </w:rPr>
        <w:t>Necessity of the Information Collection</w:t>
      </w:r>
      <w:bookmarkEnd w:id="8"/>
    </w:p>
    <w:p w:rsidRPr="00E74965" w:rsidR="00271BE5" w:rsidP="00654239" w:rsidRDefault="00271BE5" w14:paraId="0B8F7766" w14:textId="77777777">
      <w:pPr>
        <w:rPr>
          <w:rFonts w:cs="Arial"/>
          <w:szCs w:val="24"/>
        </w:rPr>
      </w:pPr>
      <w:r w:rsidRPr="00E74965">
        <w:rPr>
          <w:rFonts w:cs="Arial"/>
          <w:szCs w:val="24"/>
        </w:rPr>
        <w:t xml:space="preserve">The information collection activities covered by this ICR are necessary </w:t>
      </w:r>
      <w:r w:rsidRPr="00E74965" w:rsidR="00F30E98">
        <w:rPr>
          <w:rFonts w:cs="Arial"/>
          <w:szCs w:val="24"/>
        </w:rPr>
        <w:t>to</w:t>
      </w:r>
      <w:r w:rsidRPr="00E74965">
        <w:rPr>
          <w:rFonts w:cs="Arial"/>
          <w:szCs w:val="24"/>
        </w:rPr>
        <w:t xml:space="preserve"> </w:t>
      </w:r>
      <w:r w:rsidRPr="00E74965" w:rsidR="00654239">
        <w:rPr>
          <w:rFonts w:cs="Arial"/>
          <w:szCs w:val="24"/>
        </w:rPr>
        <w:t>collect</w:t>
      </w:r>
      <w:r w:rsidRPr="00E74965" w:rsidR="00F8475E">
        <w:rPr>
          <w:rFonts w:cs="Arial"/>
          <w:szCs w:val="24"/>
        </w:rPr>
        <w:t xml:space="preserve"> and process</w:t>
      </w:r>
      <w:r w:rsidRPr="00E74965" w:rsidR="00654239">
        <w:rPr>
          <w:rFonts w:cs="Arial"/>
          <w:szCs w:val="24"/>
        </w:rPr>
        <w:t xml:space="preserve"> fees as required by </w:t>
      </w:r>
      <w:r w:rsidRPr="00E74965" w:rsidR="00277C19">
        <w:rPr>
          <w:rFonts w:cs="Arial"/>
          <w:szCs w:val="24"/>
        </w:rPr>
        <w:t xml:space="preserve">TSCA </w:t>
      </w:r>
      <w:r w:rsidRPr="00E74965" w:rsidR="00654239">
        <w:rPr>
          <w:rFonts w:cs="Arial"/>
          <w:szCs w:val="24"/>
        </w:rPr>
        <w:t>section 26(b)</w:t>
      </w:r>
      <w:r w:rsidRPr="00E74965">
        <w:rPr>
          <w:rFonts w:cs="Arial"/>
          <w:szCs w:val="24"/>
        </w:rPr>
        <w:t xml:space="preserve">. </w:t>
      </w:r>
      <w:r w:rsidRPr="00E74965" w:rsidR="008D35D1">
        <w:rPr>
          <w:rFonts w:cs="Arial"/>
          <w:szCs w:val="24"/>
        </w:rPr>
        <w:t xml:space="preserve">The fees collected </w:t>
      </w:r>
      <w:r w:rsidRPr="00E74965" w:rsidR="0084126C">
        <w:rPr>
          <w:rFonts w:cs="Arial"/>
          <w:szCs w:val="24"/>
        </w:rPr>
        <w:t xml:space="preserve">are designed to </w:t>
      </w:r>
      <w:r w:rsidRPr="00E74965" w:rsidR="008D35D1">
        <w:rPr>
          <w:rFonts w:cs="Arial"/>
          <w:szCs w:val="24"/>
        </w:rPr>
        <w:t xml:space="preserve">defray </w:t>
      </w:r>
      <w:r w:rsidRPr="00E74965" w:rsidR="00F30E98">
        <w:rPr>
          <w:rFonts w:cs="Arial"/>
          <w:szCs w:val="24"/>
        </w:rPr>
        <w:t>a portion</w:t>
      </w:r>
      <w:r w:rsidRPr="00E74965" w:rsidR="008D35D1">
        <w:rPr>
          <w:rFonts w:cs="Arial"/>
          <w:szCs w:val="24"/>
        </w:rPr>
        <w:t xml:space="preserve"> of the costs of administering TSCA sections 4, 5, 6 and </w:t>
      </w:r>
      <w:r w:rsidRPr="00E74965" w:rsidR="00347C15">
        <w:rPr>
          <w:rFonts w:cs="Arial"/>
          <w:szCs w:val="24"/>
        </w:rPr>
        <w:t>of collecting, processing, reviewing, and providing access to and protecting information about chemical substances from disclosure as appropriate under TSCA section 14</w:t>
      </w:r>
      <w:r w:rsidRPr="00E74965" w:rsidR="008D35D1">
        <w:rPr>
          <w:rFonts w:cs="Arial"/>
          <w:szCs w:val="24"/>
        </w:rPr>
        <w:t xml:space="preserve">. </w:t>
      </w:r>
    </w:p>
    <w:p w:rsidRPr="00E74965" w:rsidR="008D35D1" w:rsidP="008D35D1" w:rsidRDefault="008D35D1" w14:paraId="19E43968" w14:textId="77777777">
      <w:pPr>
        <w:pStyle w:val="NoSpacing"/>
        <w:rPr>
          <w:rFonts w:cs="Arial"/>
          <w:szCs w:val="24"/>
        </w:rPr>
      </w:pPr>
    </w:p>
    <w:p w:rsidRPr="00E74965" w:rsidR="008648B5" w:rsidP="008648B5" w:rsidRDefault="008648B5" w14:paraId="637B0AD8" w14:textId="77777777">
      <w:pPr>
        <w:pStyle w:val="Heading2"/>
        <w:numPr>
          <w:ilvl w:val="1"/>
          <w:numId w:val="3"/>
        </w:numPr>
        <w:tabs>
          <w:tab w:val="left" w:pos="1080"/>
        </w:tabs>
        <w:rPr>
          <w:rFonts w:cs="Arial"/>
          <w:szCs w:val="24"/>
        </w:rPr>
      </w:pPr>
      <w:bookmarkStart w:name="_Toc447203169" w:id="9"/>
      <w:r w:rsidRPr="00E74965">
        <w:rPr>
          <w:rFonts w:cs="Arial"/>
          <w:szCs w:val="24"/>
        </w:rPr>
        <w:t>Uses, Users, and Purpose of the Information Collection</w:t>
      </w:r>
      <w:bookmarkEnd w:id="9"/>
    </w:p>
    <w:p w:rsidRPr="00E74965" w:rsidR="00625363" w:rsidP="00512823" w:rsidRDefault="00F8475E" w14:paraId="025BE5ED" w14:textId="31B84CD3">
      <w:pPr>
        <w:rPr>
          <w:rFonts w:cs="Arial"/>
          <w:szCs w:val="24"/>
        </w:rPr>
      </w:pPr>
      <w:r w:rsidRPr="00E74965">
        <w:rPr>
          <w:rFonts w:cs="Arial"/>
          <w:szCs w:val="24"/>
        </w:rPr>
        <w:t>When manufactures</w:t>
      </w:r>
      <w:r w:rsidRPr="00E74965" w:rsidR="00990B05">
        <w:rPr>
          <w:rFonts w:cs="Arial"/>
          <w:szCs w:val="24"/>
        </w:rPr>
        <w:t xml:space="preserve"> (including </w:t>
      </w:r>
      <w:r w:rsidRPr="00E74965">
        <w:rPr>
          <w:rFonts w:cs="Arial"/>
          <w:szCs w:val="24"/>
        </w:rPr>
        <w:t>importers</w:t>
      </w:r>
      <w:r w:rsidRPr="00E74965" w:rsidR="00990B05">
        <w:rPr>
          <w:rFonts w:cs="Arial"/>
          <w:szCs w:val="24"/>
        </w:rPr>
        <w:t>)</w:t>
      </w:r>
      <w:r w:rsidRPr="00E74965">
        <w:rPr>
          <w:rFonts w:cs="Arial"/>
          <w:szCs w:val="24"/>
        </w:rPr>
        <w:t xml:space="preserve"> pay a fee</w:t>
      </w:r>
      <w:r w:rsidRPr="00E74965" w:rsidR="00277C19">
        <w:rPr>
          <w:rFonts w:cs="Arial"/>
          <w:szCs w:val="24"/>
        </w:rPr>
        <w:t>,</w:t>
      </w:r>
      <w:r w:rsidRPr="00E74965">
        <w:rPr>
          <w:rFonts w:cs="Arial"/>
          <w:szCs w:val="24"/>
        </w:rPr>
        <w:t xml:space="preserve"> they must submit information that includes company contact information, </w:t>
      </w:r>
      <w:r w:rsidRPr="00E74965" w:rsidR="00580AA0">
        <w:rPr>
          <w:rFonts w:cs="Arial"/>
          <w:szCs w:val="24"/>
        </w:rPr>
        <w:t xml:space="preserve">and </w:t>
      </w:r>
      <w:r w:rsidRPr="00E74965">
        <w:rPr>
          <w:rFonts w:cs="Arial"/>
          <w:szCs w:val="24"/>
        </w:rPr>
        <w:t xml:space="preserve">payment information. </w:t>
      </w:r>
      <w:r w:rsidRPr="00E74965" w:rsidR="008D35D1">
        <w:rPr>
          <w:rFonts w:cs="Arial"/>
          <w:szCs w:val="24"/>
        </w:rPr>
        <w:t xml:space="preserve">The information </w:t>
      </w:r>
      <w:r w:rsidRPr="00E74965" w:rsidR="00D74E75">
        <w:rPr>
          <w:rFonts w:cs="Arial"/>
          <w:szCs w:val="24"/>
        </w:rPr>
        <w:t>will be</w:t>
      </w:r>
      <w:r w:rsidRPr="00E74965" w:rsidR="008D35D1">
        <w:rPr>
          <w:rFonts w:cs="Arial"/>
          <w:szCs w:val="24"/>
        </w:rPr>
        <w:t xml:space="preserve"> used by the Agency to </w:t>
      </w:r>
      <w:r w:rsidRPr="00E74965" w:rsidR="00D74E75">
        <w:rPr>
          <w:rFonts w:cs="Arial"/>
          <w:szCs w:val="24"/>
        </w:rPr>
        <w:t>calculate the revenue gene</w:t>
      </w:r>
      <w:r w:rsidRPr="00E74965" w:rsidR="00B26E7A">
        <w:rPr>
          <w:rFonts w:cs="Arial"/>
          <w:szCs w:val="24"/>
        </w:rPr>
        <w:t xml:space="preserve">rated by the TSCA fee programs and </w:t>
      </w:r>
      <w:r w:rsidRPr="00E74965" w:rsidR="008D35D1">
        <w:rPr>
          <w:rFonts w:cs="Arial"/>
          <w:szCs w:val="24"/>
        </w:rPr>
        <w:t xml:space="preserve">ensure that the </w:t>
      </w:r>
      <w:r w:rsidRPr="00E74965">
        <w:rPr>
          <w:rFonts w:cs="Arial"/>
          <w:szCs w:val="24"/>
        </w:rPr>
        <w:t>required fees</w:t>
      </w:r>
      <w:r w:rsidRPr="00E74965" w:rsidR="008D35D1">
        <w:rPr>
          <w:rFonts w:cs="Arial"/>
          <w:szCs w:val="24"/>
        </w:rPr>
        <w:t xml:space="preserve"> have been paid by each </w:t>
      </w:r>
      <w:r w:rsidRPr="00E74965" w:rsidR="00B34BBC">
        <w:rPr>
          <w:rFonts w:cs="Arial"/>
          <w:szCs w:val="24"/>
        </w:rPr>
        <w:t>respondent</w:t>
      </w:r>
      <w:r w:rsidRPr="00E74965">
        <w:rPr>
          <w:rFonts w:cs="Arial"/>
          <w:szCs w:val="24"/>
        </w:rPr>
        <w:t xml:space="preserve">. </w:t>
      </w:r>
    </w:p>
    <w:p w:rsidRPr="00E74965" w:rsidR="00625363" w:rsidP="00512823" w:rsidRDefault="00625363" w14:paraId="1A906654" w14:textId="77777777">
      <w:pPr>
        <w:rPr>
          <w:rFonts w:cs="Arial"/>
          <w:szCs w:val="24"/>
        </w:rPr>
      </w:pPr>
    </w:p>
    <w:p w:rsidRPr="00E74965" w:rsidR="009614EF" w:rsidP="008D35D1" w:rsidRDefault="00277C19" w14:paraId="30B264F5" w14:textId="75A11D42">
      <w:pPr>
        <w:pStyle w:val="NoSpacing"/>
        <w:rPr>
          <w:rFonts w:cs="Arial"/>
          <w:szCs w:val="24"/>
        </w:rPr>
      </w:pPr>
      <w:r w:rsidRPr="00E74965">
        <w:rPr>
          <w:rFonts w:cs="Arial"/>
          <w:szCs w:val="24"/>
        </w:rPr>
        <w:t>M</w:t>
      </w:r>
      <w:r w:rsidRPr="00E74965" w:rsidR="009614EF">
        <w:rPr>
          <w:rFonts w:cs="Arial"/>
          <w:szCs w:val="24"/>
        </w:rPr>
        <w:t xml:space="preserve">anufactures, importers and processors </w:t>
      </w:r>
      <w:r w:rsidRPr="00E74965">
        <w:rPr>
          <w:rFonts w:cs="Arial"/>
          <w:szCs w:val="24"/>
        </w:rPr>
        <w:t xml:space="preserve">are required </w:t>
      </w:r>
      <w:r w:rsidRPr="00E74965" w:rsidR="009614EF">
        <w:rPr>
          <w:rFonts w:cs="Arial"/>
          <w:szCs w:val="24"/>
        </w:rPr>
        <w:t>to inform EPA if they choose to associate as a consortium</w:t>
      </w:r>
      <w:r w:rsidRPr="00E74965" w:rsidR="00AE609F">
        <w:rPr>
          <w:rFonts w:cs="Arial"/>
          <w:szCs w:val="24"/>
        </w:rPr>
        <w:t xml:space="preserve"> for submissions under </w:t>
      </w:r>
      <w:r w:rsidRPr="00E74965" w:rsidR="00471836">
        <w:rPr>
          <w:rFonts w:cs="Arial"/>
          <w:szCs w:val="24"/>
        </w:rPr>
        <w:t xml:space="preserve">TSCA </w:t>
      </w:r>
      <w:r w:rsidRPr="00E74965" w:rsidR="00AE609F">
        <w:rPr>
          <w:rFonts w:cs="Arial"/>
          <w:szCs w:val="24"/>
        </w:rPr>
        <w:t>section</w:t>
      </w:r>
      <w:r w:rsidRPr="00E74965" w:rsidR="002D2B79">
        <w:rPr>
          <w:rFonts w:cs="Arial"/>
          <w:szCs w:val="24"/>
        </w:rPr>
        <w:t>s</w:t>
      </w:r>
      <w:r w:rsidRPr="00E74965" w:rsidR="00AE609F">
        <w:rPr>
          <w:rFonts w:cs="Arial"/>
          <w:szCs w:val="24"/>
        </w:rPr>
        <w:t xml:space="preserve"> 4 and 6</w:t>
      </w:r>
      <w:r w:rsidRPr="00E74965" w:rsidR="009614EF">
        <w:rPr>
          <w:rFonts w:cs="Arial"/>
          <w:szCs w:val="24"/>
        </w:rPr>
        <w:t xml:space="preserve">. </w:t>
      </w:r>
      <w:r w:rsidRPr="00E74965" w:rsidR="002D2B79">
        <w:rPr>
          <w:rFonts w:cs="Arial"/>
          <w:szCs w:val="24"/>
        </w:rPr>
        <w:t xml:space="preserve">EPA will use this information to determine the fee assessed to the consortium based on a formula </w:t>
      </w:r>
      <w:r w:rsidRPr="00E74965">
        <w:rPr>
          <w:rFonts w:cs="Arial"/>
          <w:szCs w:val="24"/>
        </w:rPr>
        <w:t>established in the regulation</w:t>
      </w:r>
      <w:r w:rsidRPr="00E74965" w:rsidR="002D2B79">
        <w:rPr>
          <w:rFonts w:cs="Arial"/>
          <w:szCs w:val="24"/>
        </w:rPr>
        <w:t>. Once the fee is assessed by the Agency, t</w:t>
      </w:r>
      <w:r w:rsidRPr="00E74965" w:rsidR="005F359D">
        <w:rPr>
          <w:rFonts w:cs="Arial"/>
          <w:szCs w:val="24"/>
        </w:rPr>
        <w:t xml:space="preserve">he consortium </w:t>
      </w:r>
      <w:r w:rsidRPr="00E74965" w:rsidR="00A80A5F">
        <w:rPr>
          <w:rFonts w:cs="Arial"/>
          <w:szCs w:val="24"/>
        </w:rPr>
        <w:t>can determine how the fees will be split among its members. However, if the consortium is unable to come to terms on how the fees will be split among its members, EPA will determine the portion of the fee to be paid by each member.</w:t>
      </w:r>
      <w:r w:rsidRPr="00E74965" w:rsidR="00C43817">
        <w:rPr>
          <w:rFonts w:cs="Arial"/>
          <w:szCs w:val="24"/>
        </w:rPr>
        <w:t xml:space="preserve"> </w:t>
      </w:r>
      <w:r w:rsidRPr="00E74965" w:rsidR="00A80A5F">
        <w:rPr>
          <w:rFonts w:cs="Arial"/>
          <w:szCs w:val="24"/>
        </w:rPr>
        <w:t xml:space="preserve"> </w:t>
      </w:r>
      <w:r w:rsidRPr="00E74965" w:rsidR="009614EF">
        <w:rPr>
          <w:rFonts w:cs="Arial"/>
          <w:szCs w:val="24"/>
        </w:rPr>
        <w:t xml:space="preserve"> </w:t>
      </w:r>
    </w:p>
    <w:p w:rsidRPr="00E74965" w:rsidR="00DD5541" w:rsidP="008D35D1" w:rsidRDefault="00DD5541" w14:paraId="40EC6516" w14:textId="47EEDD6D">
      <w:pPr>
        <w:pStyle w:val="NoSpacing"/>
        <w:rPr>
          <w:rFonts w:cs="Arial"/>
          <w:szCs w:val="24"/>
        </w:rPr>
      </w:pPr>
    </w:p>
    <w:p w:rsidRPr="00E74965" w:rsidR="00DD5541" w:rsidP="00DD5541" w:rsidRDefault="00DD5541" w14:paraId="7F15E17D" w14:textId="582A43F6">
      <w:pPr>
        <w:pStyle w:val="NormalWeb"/>
        <w:rPr>
          <w:rFonts w:ascii="Arial" w:hAnsi="Arial" w:cs="Arial"/>
        </w:rPr>
      </w:pPr>
      <w:r w:rsidRPr="00E74965">
        <w:rPr>
          <w:rFonts w:ascii="Arial" w:hAnsi="Arial" w:cs="Arial"/>
        </w:rPr>
        <w:t xml:space="preserve">Manufacturers subject to fees under section 6 must submit their average production volume over the previous four years for the chemical undergoing risk evaluation. EPA will use this information to allocate the fees in proportion to the manufacturers share of the total production of the chemical for all manufacturers subject to the fee. </w:t>
      </w:r>
    </w:p>
    <w:p w:rsidRPr="00E74965" w:rsidR="00DD5541" w:rsidP="008D35D1" w:rsidRDefault="00DD5541" w14:paraId="31B16FAC" w14:textId="77777777">
      <w:pPr>
        <w:pStyle w:val="NoSpacing"/>
        <w:rPr>
          <w:rFonts w:cs="Arial"/>
          <w:szCs w:val="24"/>
        </w:rPr>
      </w:pPr>
    </w:p>
    <w:p w:rsidRPr="00E74965" w:rsidR="00277C19" w:rsidP="008D35D1" w:rsidRDefault="00277C19" w14:paraId="46D7DD93" w14:textId="77777777">
      <w:pPr>
        <w:pStyle w:val="NoSpacing"/>
        <w:rPr>
          <w:rFonts w:cs="Arial"/>
          <w:szCs w:val="24"/>
        </w:rPr>
      </w:pPr>
    </w:p>
    <w:p w:rsidRPr="00E74965" w:rsidR="00E33A13" w:rsidP="00E33A13" w:rsidRDefault="00512823" w14:paraId="05C49314" w14:textId="77777777">
      <w:pPr>
        <w:pStyle w:val="Heading2"/>
        <w:numPr>
          <w:ilvl w:val="0"/>
          <w:numId w:val="3"/>
        </w:numPr>
        <w:tabs>
          <w:tab w:val="left" w:pos="1080"/>
        </w:tabs>
        <w:rPr>
          <w:rFonts w:cs="Arial"/>
          <w:szCs w:val="24"/>
        </w:rPr>
      </w:pPr>
      <w:bookmarkStart w:name="_Toc447203170" w:id="10"/>
      <w:r w:rsidRPr="00E74965">
        <w:rPr>
          <w:rFonts w:cs="Arial"/>
          <w:szCs w:val="24"/>
        </w:rPr>
        <w:t>NON-DUPLICATION, CONSULTATIONS, AND OTHER COLLECTION CRITERIA</w:t>
      </w:r>
      <w:bookmarkEnd w:id="10"/>
    </w:p>
    <w:p w:rsidRPr="00E74965" w:rsidR="00512823" w:rsidP="00E33A13" w:rsidRDefault="00512823" w14:paraId="614B1026" w14:textId="77777777">
      <w:pPr>
        <w:pStyle w:val="Heading2"/>
        <w:numPr>
          <w:ilvl w:val="1"/>
          <w:numId w:val="3"/>
        </w:numPr>
        <w:tabs>
          <w:tab w:val="left" w:pos="1080"/>
        </w:tabs>
        <w:rPr>
          <w:rFonts w:cs="Arial"/>
          <w:szCs w:val="24"/>
        </w:rPr>
      </w:pPr>
      <w:bookmarkStart w:name="_Toc447203171" w:id="11"/>
      <w:r w:rsidRPr="00E74965">
        <w:rPr>
          <w:rFonts w:cs="Arial"/>
          <w:szCs w:val="24"/>
        </w:rPr>
        <w:t>Non-Duplication</w:t>
      </w:r>
      <w:bookmarkEnd w:id="11"/>
    </w:p>
    <w:p w:rsidRPr="00E74965" w:rsidR="00512823" w:rsidP="00512823" w:rsidRDefault="0016777D" w14:paraId="17B77040" w14:textId="77777777">
      <w:pPr>
        <w:numPr>
          <w:ilvl w:val="12"/>
          <w:numId w:val="0"/>
        </w:numPr>
        <w:rPr>
          <w:rFonts w:cs="Arial"/>
          <w:szCs w:val="24"/>
        </w:rPr>
      </w:pPr>
      <w:r w:rsidRPr="00E74965">
        <w:rPr>
          <w:rFonts w:cs="Arial"/>
          <w:szCs w:val="24"/>
        </w:rPr>
        <w:t>EPA</w:t>
      </w:r>
      <w:r w:rsidRPr="00E74965" w:rsidR="00512823">
        <w:rPr>
          <w:rFonts w:cs="Arial"/>
          <w:szCs w:val="24"/>
        </w:rPr>
        <w:t xml:space="preserve">’s collection </w:t>
      </w:r>
      <w:r w:rsidRPr="00E74965" w:rsidR="00277C19">
        <w:rPr>
          <w:rFonts w:cs="Arial"/>
          <w:szCs w:val="24"/>
        </w:rPr>
        <w:t xml:space="preserve">under this ICR </w:t>
      </w:r>
      <w:r w:rsidRPr="00E74965" w:rsidR="00512823">
        <w:rPr>
          <w:rFonts w:cs="Arial"/>
          <w:szCs w:val="24"/>
        </w:rPr>
        <w:t>do</w:t>
      </w:r>
      <w:r w:rsidRPr="00E74965" w:rsidR="00277C19">
        <w:rPr>
          <w:rFonts w:cs="Arial"/>
          <w:szCs w:val="24"/>
        </w:rPr>
        <w:t>es</w:t>
      </w:r>
      <w:r w:rsidRPr="00E74965" w:rsidR="00512823">
        <w:rPr>
          <w:rFonts w:cs="Arial"/>
          <w:szCs w:val="24"/>
        </w:rPr>
        <w:t xml:space="preserve"> not duplicate any other collection.</w:t>
      </w:r>
      <w:r w:rsidRPr="00E74965" w:rsidR="00FE7F37">
        <w:rPr>
          <w:rFonts w:cs="Arial"/>
          <w:szCs w:val="24"/>
        </w:rPr>
        <w:t xml:space="preserve"> </w:t>
      </w:r>
      <w:r w:rsidRPr="00E74965" w:rsidR="00512823">
        <w:rPr>
          <w:rFonts w:cs="Arial"/>
          <w:szCs w:val="24"/>
        </w:rPr>
        <w:t xml:space="preserve">There </w:t>
      </w:r>
      <w:r w:rsidRPr="00E74965" w:rsidR="00483E28">
        <w:rPr>
          <w:rFonts w:cs="Arial"/>
          <w:szCs w:val="24"/>
        </w:rPr>
        <w:t xml:space="preserve">is no other Federal program that require the information collection activities related to the </w:t>
      </w:r>
      <w:r w:rsidRPr="00E74965" w:rsidR="00A44D8A">
        <w:rPr>
          <w:rFonts w:cs="Arial"/>
          <w:szCs w:val="24"/>
        </w:rPr>
        <w:t>fees</w:t>
      </w:r>
      <w:r w:rsidRPr="00E74965" w:rsidR="00483E28">
        <w:rPr>
          <w:rFonts w:cs="Arial"/>
          <w:szCs w:val="24"/>
        </w:rPr>
        <w:t xml:space="preserve"> </w:t>
      </w:r>
      <w:r w:rsidRPr="00E74965" w:rsidR="00277C19">
        <w:rPr>
          <w:rFonts w:cs="Arial"/>
          <w:szCs w:val="24"/>
        </w:rPr>
        <w:t xml:space="preserve">collected </w:t>
      </w:r>
      <w:r w:rsidRPr="00E74965" w:rsidR="00483E28">
        <w:rPr>
          <w:rFonts w:cs="Arial"/>
          <w:szCs w:val="24"/>
        </w:rPr>
        <w:t xml:space="preserve">under </w:t>
      </w:r>
      <w:r w:rsidRPr="00E74965" w:rsidR="00277C19">
        <w:rPr>
          <w:rFonts w:cs="Arial"/>
          <w:szCs w:val="24"/>
        </w:rPr>
        <w:t>TSCA section 26(b)</w:t>
      </w:r>
      <w:r w:rsidRPr="00E74965" w:rsidR="00483E28">
        <w:rPr>
          <w:rFonts w:cs="Arial"/>
          <w:szCs w:val="24"/>
        </w:rPr>
        <w:t xml:space="preserve">. </w:t>
      </w:r>
    </w:p>
    <w:p w:rsidRPr="00E74965" w:rsidR="00E33A13" w:rsidP="00E33A13" w:rsidRDefault="00E33A13" w14:paraId="735A170C" w14:textId="77777777">
      <w:pPr>
        <w:rPr>
          <w:rFonts w:cs="Arial"/>
          <w:szCs w:val="24"/>
        </w:rPr>
      </w:pPr>
    </w:p>
    <w:p w:rsidRPr="00E74965" w:rsidR="0036683A" w:rsidP="007A1B37" w:rsidRDefault="0036683A" w14:paraId="6233125B" w14:textId="77777777">
      <w:pPr>
        <w:pStyle w:val="Heading2"/>
        <w:numPr>
          <w:ilvl w:val="1"/>
          <w:numId w:val="3"/>
        </w:numPr>
        <w:tabs>
          <w:tab w:val="left" w:pos="1080"/>
        </w:tabs>
        <w:rPr>
          <w:rFonts w:cs="Arial"/>
          <w:szCs w:val="24"/>
        </w:rPr>
      </w:pPr>
      <w:bookmarkStart w:name="_Toc447203172" w:id="12"/>
      <w:r w:rsidRPr="00E74965">
        <w:rPr>
          <w:rFonts w:cs="Arial"/>
          <w:szCs w:val="24"/>
        </w:rPr>
        <w:t>Public Notice Required Prior to ICR Submission to OMB</w:t>
      </w:r>
      <w:bookmarkEnd w:id="12"/>
    </w:p>
    <w:p w:rsidRPr="00E74965" w:rsidR="00B4645B" w:rsidP="00B4645B" w:rsidRDefault="0013162B" w14:paraId="1831B503" w14:textId="453B41AD">
      <w:pPr>
        <w:spacing w:before="100" w:beforeAutospacing="1" w:after="100" w:afterAutospacing="1"/>
        <w:rPr>
          <w:rFonts w:cs="Arial"/>
          <w:i/>
          <w:iCs/>
          <w:szCs w:val="24"/>
        </w:rPr>
      </w:pPr>
      <w:r w:rsidRPr="00E74965">
        <w:rPr>
          <w:rFonts w:cs="Arial"/>
          <w:szCs w:val="24"/>
        </w:rPr>
        <w:t xml:space="preserve">Pursuant to PRA section 3507(d) and </w:t>
      </w:r>
      <w:hyperlink w:history="1" w:anchor="se5.3.1320_111" r:id="rId17">
        <w:r w:rsidRPr="00E74965">
          <w:rPr>
            <w:rStyle w:val="Hyperlink"/>
            <w:rFonts w:cs="Arial"/>
            <w:szCs w:val="24"/>
          </w:rPr>
          <w:t>5 CFR 1320.11</w:t>
        </w:r>
      </w:hyperlink>
      <w:r w:rsidRPr="00E74965">
        <w:rPr>
          <w:rFonts w:cs="Arial"/>
          <w:szCs w:val="24"/>
        </w:rPr>
        <w:t>, t</w:t>
      </w:r>
      <w:r w:rsidRPr="00E74965" w:rsidR="00DD5541">
        <w:rPr>
          <w:rFonts w:cs="Arial"/>
          <w:szCs w:val="24"/>
        </w:rPr>
        <w:t xml:space="preserve">he notice of proposed rulemaking entitled “Fees for the Administration of the Toxic Substances Control Act” serves at the public </w:t>
      </w:r>
      <w:r w:rsidRPr="00E74965" w:rsidR="00DD5541">
        <w:rPr>
          <w:rFonts w:cs="Arial"/>
          <w:szCs w:val="24"/>
        </w:rPr>
        <w:lastRenderedPageBreak/>
        <w:t xml:space="preserve">notice for this ICR renewal. </w:t>
      </w:r>
      <w:r w:rsidRPr="00E74965" w:rsidR="00D3479F">
        <w:rPr>
          <w:rFonts w:cs="Arial"/>
          <w:szCs w:val="24"/>
        </w:rPr>
        <w:t xml:space="preserve">Comments </w:t>
      </w:r>
      <w:r w:rsidRPr="00E74965" w:rsidR="00094137">
        <w:rPr>
          <w:rFonts w:cs="Arial"/>
          <w:szCs w:val="24"/>
        </w:rPr>
        <w:t xml:space="preserve">can be </w:t>
      </w:r>
      <w:r w:rsidRPr="00E74965" w:rsidR="00D3479F">
        <w:rPr>
          <w:rFonts w:cs="Arial"/>
          <w:szCs w:val="24"/>
        </w:rPr>
        <w:t xml:space="preserve">submitted to </w:t>
      </w:r>
      <w:r w:rsidRPr="00E74965" w:rsidR="00D60B43">
        <w:rPr>
          <w:rFonts w:cs="Arial"/>
          <w:szCs w:val="24"/>
        </w:rPr>
        <w:t xml:space="preserve">EPA in </w:t>
      </w:r>
      <w:r w:rsidRPr="00E74965" w:rsidR="0036683A">
        <w:rPr>
          <w:rFonts w:cs="Arial"/>
          <w:szCs w:val="24"/>
        </w:rPr>
        <w:t xml:space="preserve">Docket ID No. </w:t>
      </w:r>
      <w:r w:rsidRPr="00E74965" w:rsidR="00A44D8A">
        <w:rPr>
          <w:rFonts w:cs="Arial"/>
          <w:szCs w:val="24"/>
        </w:rPr>
        <w:t>EPA-HQ-OPPT-</w:t>
      </w:r>
      <w:r w:rsidRPr="00E74965" w:rsidR="00094137">
        <w:rPr>
          <w:rFonts w:cs="Arial"/>
          <w:szCs w:val="24"/>
        </w:rPr>
        <w:t>2020</w:t>
      </w:r>
      <w:r w:rsidRPr="00E74965" w:rsidR="00A44D8A">
        <w:rPr>
          <w:rFonts w:cs="Arial"/>
          <w:szCs w:val="24"/>
        </w:rPr>
        <w:t>-</w:t>
      </w:r>
      <w:r w:rsidRPr="00E74965" w:rsidR="00094137">
        <w:rPr>
          <w:rFonts w:cs="Arial"/>
          <w:szCs w:val="24"/>
        </w:rPr>
        <w:t xml:space="preserve">0493. </w:t>
      </w:r>
    </w:p>
    <w:p w:rsidRPr="00E74965" w:rsidR="00886EEA" w:rsidP="00886EEA" w:rsidRDefault="0036683A" w14:paraId="6E68D807" w14:textId="77777777">
      <w:pPr>
        <w:pStyle w:val="Heading2"/>
        <w:tabs>
          <w:tab w:val="left" w:pos="1080"/>
        </w:tabs>
        <w:ind w:left="360"/>
        <w:rPr>
          <w:rFonts w:cs="Arial"/>
          <w:szCs w:val="24"/>
        </w:rPr>
      </w:pPr>
      <w:bookmarkStart w:name="_Toc447203173" w:id="13"/>
      <w:r w:rsidRPr="00E74965">
        <w:rPr>
          <w:rFonts w:cs="Arial"/>
          <w:szCs w:val="24"/>
        </w:rPr>
        <w:t>3(c).</w:t>
      </w:r>
      <w:r w:rsidRPr="00E74965">
        <w:rPr>
          <w:rFonts w:cs="Arial"/>
          <w:szCs w:val="24"/>
        </w:rPr>
        <w:tab/>
        <w:t>Consultations</w:t>
      </w:r>
      <w:bookmarkEnd w:id="13"/>
    </w:p>
    <w:p w:rsidRPr="00E74965" w:rsidR="00DD5541" w:rsidP="00DD5541" w:rsidRDefault="00DD5541" w14:paraId="6F5F5412" w14:textId="10C05F65">
      <w:pPr>
        <w:pStyle w:val="NoSpacing"/>
        <w:rPr>
          <w:rFonts w:cs="Arial"/>
          <w:szCs w:val="24"/>
        </w:rPr>
      </w:pPr>
      <w:r w:rsidRPr="00E74965">
        <w:rPr>
          <w:rFonts w:cs="Arial"/>
          <w:szCs w:val="24"/>
        </w:rPr>
        <w:t xml:space="preserve">Since the 2018 TSCA Fees Rule that established the initial TSCA, EPA has held several outreach meetings with industry stakeholders on implementation issues. All of these outreach meetings are summarized at </w:t>
      </w:r>
      <w:hyperlink w:history="1" r:id="rId18">
        <w:r w:rsidRPr="00E74965">
          <w:rPr>
            <w:rStyle w:val="Hyperlink"/>
            <w:rFonts w:cs="Arial"/>
            <w:szCs w:val="24"/>
          </w:rPr>
          <w:t>https://www.epa.gov/tsca-fees/outreach-materials-tsca-administration-fees-rule</w:t>
        </w:r>
      </w:hyperlink>
      <w:r w:rsidRPr="00E74965">
        <w:rPr>
          <w:rFonts w:cs="Arial"/>
          <w:szCs w:val="24"/>
        </w:rPr>
        <w:t xml:space="preserve">. In fall and winter 2019, EPA held a series of webinars with industry to explain changes to EPA's Central Data Exchange (CDX) and how to pay fees through the system. In December 2019, EPA hosted a conference call to give a brief overview of the fees associated with an EPA-initiated risk evaluation, the creation of the preliminary list that identifies manufacturers and importers subject to fees, and how fees would be divided among the identified businesses. On February 24, 2020, EPA hosted a conference call to review certain provisions of the 2018 Fee Rule. On April 16, 2020, EPA hosted a call to discuss a decision to reduce burden for certain stakeholders subject to TSCA Fee Rule requirements for EPA-initiated risk evaluations via a No Action Assurance for enforcement of certain provisions of the 2018 </w:t>
      </w:r>
      <w:r w:rsidRPr="00E74965" w:rsidR="006E3237">
        <w:rPr>
          <w:rFonts w:cs="Arial"/>
          <w:szCs w:val="24"/>
        </w:rPr>
        <w:t xml:space="preserve">TSCA </w:t>
      </w:r>
      <w:r w:rsidRPr="00E74965">
        <w:rPr>
          <w:rFonts w:cs="Arial"/>
          <w:szCs w:val="24"/>
        </w:rPr>
        <w:t>Fee</w:t>
      </w:r>
      <w:r w:rsidRPr="00E74965" w:rsidR="006E3237">
        <w:rPr>
          <w:rFonts w:cs="Arial"/>
          <w:szCs w:val="24"/>
        </w:rPr>
        <w:t>s</w:t>
      </w:r>
      <w:r w:rsidRPr="00E74965">
        <w:rPr>
          <w:rFonts w:cs="Arial"/>
          <w:szCs w:val="24"/>
        </w:rPr>
        <w:t xml:space="preserve"> Rule.</w:t>
      </w:r>
    </w:p>
    <w:p w:rsidRPr="00E74965" w:rsidR="00A44D8A" w:rsidP="0036683A" w:rsidRDefault="00A44D8A" w14:paraId="42995ECB" w14:textId="77777777">
      <w:pPr>
        <w:pStyle w:val="NoSpacing"/>
        <w:rPr>
          <w:rFonts w:cs="Arial"/>
          <w:b/>
          <w:szCs w:val="24"/>
        </w:rPr>
      </w:pPr>
    </w:p>
    <w:p w:rsidRPr="00E74965" w:rsidR="00512823" w:rsidP="0036683A" w:rsidRDefault="0036683A" w14:paraId="10D6799A" w14:textId="77777777">
      <w:pPr>
        <w:pStyle w:val="Heading2"/>
        <w:tabs>
          <w:tab w:val="left" w:pos="1080"/>
        </w:tabs>
        <w:ind w:left="360"/>
        <w:rPr>
          <w:rFonts w:cs="Arial"/>
          <w:szCs w:val="24"/>
        </w:rPr>
      </w:pPr>
      <w:bookmarkStart w:name="_Toc447203174" w:id="14"/>
      <w:r w:rsidRPr="00E74965">
        <w:rPr>
          <w:rFonts w:cs="Arial"/>
          <w:szCs w:val="24"/>
        </w:rPr>
        <w:t>3(d).</w:t>
      </w:r>
      <w:r w:rsidRPr="00E74965">
        <w:rPr>
          <w:rFonts w:cs="Arial"/>
          <w:szCs w:val="24"/>
        </w:rPr>
        <w:tab/>
      </w:r>
      <w:r w:rsidRPr="00E74965" w:rsidR="00512823">
        <w:rPr>
          <w:rFonts w:cs="Arial"/>
          <w:szCs w:val="24"/>
        </w:rPr>
        <w:t>Effects of Less Frequent Collection</w:t>
      </w:r>
      <w:bookmarkEnd w:id="14"/>
    </w:p>
    <w:p w:rsidRPr="00E74965" w:rsidR="00512823" w:rsidP="00512823" w:rsidRDefault="00512823" w14:paraId="0F03B2FC" w14:textId="50C883C4">
      <w:pPr>
        <w:numPr>
          <w:ilvl w:val="12"/>
          <w:numId w:val="0"/>
        </w:numPr>
        <w:rPr>
          <w:rFonts w:cs="Arial"/>
          <w:szCs w:val="24"/>
        </w:rPr>
      </w:pPr>
      <w:r w:rsidRPr="00E74965">
        <w:rPr>
          <w:rFonts w:cs="Arial"/>
          <w:szCs w:val="24"/>
        </w:rPr>
        <w:t xml:space="preserve">Due to the nature of the </w:t>
      </w:r>
      <w:r w:rsidRPr="00E74965" w:rsidR="00F45153">
        <w:rPr>
          <w:rFonts w:cs="Arial"/>
          <w:szCs w:val="24"/>
        </w:rPr>
        <w:t xml:space="preserve">triggering events that initiate information collection activities under the </w:t>
      </w:r>
      <w:r w:rsidRPr="00E74965" w:rsidR="00F72441">
        <w:rPr>
          <w:rFonts w:cs="Arial"/>
          <w:szCs w:val="24"/>
        </w:rPr>
        <w:t xml:space="preserve">proposed </w:t>
      </w:r>
      <w:r w:rsidRPr="00E74965" w:rsidR="00F45153">
        <w:rPr>
          <w:rFonts w:cs="Arial"/>
          <w:szCs w:val="24"/>
        </w:rPr>
        <w:t xml:space="preserve">rule, </w:t>
      </w:r>
      <w:r w:rsidRPr="00E74965">
        <w:rPr>
          <w:rFonts w:cs="Arial"/>
          <w:szCs w:val="24"/>
        </w:rPr>
        <w:t>less frequent collection is not feasible.</w:t>
      </w:r>
      <w:r w:rsidRPr="00E74965" w:rsidR="00BC1E84">
        <w:rPr>
          <w:rFonts w:cs="Arial"/>
          <w:szCs w:val="24"/>
        </w:rPr>
        <w:t xml:space="preserve"> T</w:t>
      </w:r>
      <w:r w:rsidRPr="00E74965" w:rsidR="0071097B">
        <w:rPr>
          <w:rFonts w:cs="Arial"/>
          <w:szCs w:val="24"/>
        </w:rPr>
        <w:t>here is no set collection schedule</w:t>
      </w:r>
      <w:r w:rsidRPr="00E74965" w:rsidR="00BC1E84">
        <w:rPr>
          <w:rFonts w:cs="Arial"/>
          <w:szCs w:val="24"/>
        </w:rPr>
        <w:t xml:space="preserve"> for the payment information </w:t>
      </w:r>
      <w:r w:rsidRPr="00E74965" w:rsidR="00163F68">
        <w:rPr>
          <w:rFonts w:cs="Arial"/>
          <w:szCs w:val="24"/>
        </w:rPr>
        <w:t xml:space="preserve">associated with </w:t>
      </w:r>
      <w:r w:rsidRPr="00E74965" w:rsidR="00BC1E84">
        <w:rPr>
          <w:rFonts w:cs="Arial"/>
          <w:szCs w:val="24"/>
        </w:rPr>
        <w:t>fee payments</w:t>
      </w:r>
      <w:r w:rsidRPr="00E74965" w:rsidR="00163F68">
        <w:rPr>
          <w:rFonts w:cs="Arial"/>
          <w:szCs w:val="24"/>
        </w:rPr>
        <w:t xml:space="preserve"> (e.g. payment method)</w:t>
      </w:r>
      <w:r w:rsidRPr="00E74965" w:rsidR="0071097B">
        <w:rPr>
          <w:rFonts w:cs="Arial"/>
          <w:szCs w:val="24"/>
        </w:rPr>
        <w:t xml:space="preserve">. </w:t>
      </w:r>
      <w:r w:rsidRPr="00E74965" w:rsidR="006A65E1">
        <w:rPr>
          <w:rFonts w:cs="Arial"/>
          <w:szCs w:val="24"/>
        </w:rPr>
        <w:t>CDX Submission and p</w:t>
      </w:r>
      <w:r w:rsidRPr="00E74965" w:rsidR="0071097B">
        <w:rPr>
          <w:rFonts w:cs="Arial"/>
          <w:szCs w:val="24"/>
        </w:rPr>
        <w:t>ayment information is collected each time a fee payment is made</w:t>
      </w:r>
      <w:r w:rsidRPr="00E74965" w:rsidR="00163F68">
        <w:rPr>
          <w:rFonts w:cs="Arial"/>
          <w:szCs w:val="24"/>
        </w:rPr>
        <w:t xml:space="preserve"> via Pay.gov </w:t>
      </w:r>
      <w:r w:rsidRPr="00E74965" w:rsidR="00822BFA">
        <w:rPr>
          <w:rFonts w:cs="Arial"/>
          <w:szCs w:val="24"/>
        </w:rPr>
        <w:t>with t</w:t>
      </w:r>
      <w:r w:rsidRPr="00E74965" w:rsidR="0071097B">
        <w:rPr>
          <w:rFonts w:cs="Arial"/>
          <w:szCs w:val="24"/>
        </w:rPr>
        <w:t>he frequency of collection depend</w:t>
      </w:r>
      <w:r w:rsidRPr="00E74965" w:rsidR="00822BFA">
        <w:rPr>
          <w:rFonts w:cs="Arial"/>
          <w:szCs w:val="24"/>
        </w:rPr>
        <w:t>ing</w:t>
      </w:r>
      <w:r w:rsidRPr="00E74965" w:rsidR="0071097B">
        <w:rPr>
          <w:rFonts w:cs="Arial"/>
          <w:szCs w:val="24"/>
        </w:rPr>
        <w:t xml:space="preserve"> entirely on the frequency with which applicants submit </w:t>
      </w:r>
      <w:r w:rsidRPr="00E74965" w:rsidR="00163F68">
        <w:rPr>
          <w:rFonts w:cs="Arial"/>
          <w:szCs w:val="24"/>
        </w:rPr>
        <w:t>information</w:t>
      </w:r>
      <w:r w:rsidRPr="00E74965" w:rsidR="002D2B79">
        <w:rPr>
          <w:rFonts w:cs="Arial"/>
          <w:szCs w:val="24"/>
        </w:rPr>
        <w:t xml:space="preserve"> to EPA</w:t>
      </w:r>
      <w:r w:rsidRPr="00E74965" w:rsidR="00822BFA">
        <w:rPr>
          <w:rFonts w:cs="Arial"/>
          <w:szCs w:val="24"/>
        </w:rPr>
        <w:t xml:space="preserve"> </w:t>
      </w:r>
      <w:r w:rsidRPr="00E74965" w:rsidR="00172099">
        <w:rPr>
          <w:rFonts w:cs="Arial"/>
          <w:szCs w:val="24"/>
        </w:rPr>
        <w:t xml:space="preserve">and that EPA initiates activities </w:t>
      </w:r>
      <w:r w:rsidRPr="00E74965" w:rsidR="00822BFA">
        <w:rPr>
          <w:rFonts w:cs="Arial"/>
          <w:szCs w:val="24"/>
        </w:rPr>
        <w:t>under TSCA sections 4, 5 and 6</w:t>
      </w:r>
      <w:r w:rsidRPr="00E74965" w:rsidR="0071097B">
        <w:rPr>
          <w:rFonts w:cs="Arial"/>
          <w:szCs w:val="24"/>
        </w:rPr>
        <w:t>. Therefore, less frequent collection is not an option.</w:t>
      </w:r>
    </w:p>
    <w:p w:rsidRPr="00E74965" w:rsidR="00512823" w:rsidP="00512823" w:rsidRDefault="00512823" w14:paraId="1BF61D34" w14:textId="77777777">
      <w:pPr>
        <w:numPr>
          <w:ilvl w:val="12"/>
          <w:numId w:val="0"/>
        </w:numPr>
        <w:rPr>
          <w:rFonts w:cs="Arial"/>
          <w:szCs w:val="24"/>
        </w:rPr>
      </w:pPr>
    </w:p>
    <w:p w:rsidRPr="00E74965" w:rsidR="00DB7F57" w:rsidP="00081FA0" w:rsidRDefault="0036683A" w14:paraId="4BCB1B72" w14:textId="77777777">
      <w:pPr>
        <w:pStyle w:val="Heading2"/>
        <w:tabs>
          <w:tab w:val="left" w:pos="1080"/>
        </w:tabs>
        <w:ind w:left="360"/>
        <w:rPr>
          <w:rFonts w:cs="Arial"/>
          <w:szCs w:val="24"/>
        </w:rPr>
      </w:pPr>
      <w:bookmarkStart w:name="_Toc447203175" w:id="15"/>
      <w:r w:rsidRPr="00E74965">
        <w:rPr>
          <w:rFonts w:cs="Arial"/>
          <w:szCs w:val="24"/>
        </w:rPr>
        <w:t>3(e</w:t>
      </w:r>
      <w:r w:rsidRPr="00E74965" w:rsidR="00081FA0">
        <w:rPr>
          <w:rFonts w:cs="Arial"/>
          <w:szCs w:val="24"/>
        </w:rPr>
        <w:t>).</w:t>
      </w:r>
      <w:r w:rsidRPr="00E74965" w:rsidR="00081FA0">
        <w:rPr>
          <w:rFonts w:cs="Arial"/>
          <w:szCs w:val="24"/>
        </w:rPr>
        <w:tab/>
      </w:r>
      <w:r w:rsidRPr="00E74965" w:rsidR="00DB7F57">
        <w:rPr>
          <w:rFonts w:cs="Arial"/>
          <w:szCs w:val="24"/>
        </w:rPr>
        <w:t>Small Entity Flexibility</w:t>
      </w:r>
      <w:bookmarkEnd w:id="15"/>
    </w:p>
    <w:p w:rsidRPr="00E74965" w:rsidR="00F45153" w:rsidP="00F45153" w:rsidRDefault="00CE1A7E" w14:paraId="49E8D029" w14:textId="4ACC4C38">
      <w:pPr>
        <w:numPr>
          <w:ilvl w:val="12"/>
          <w:numId w:val="0"/>
        </w:numPr>
        <w:rPr>
          <w:rFonts w:cs="Arial"/>
          <w:szCs w:val="24"/>
        </w:rPr>
      </w:pPr>
      <w:r w:rsidRPr="00E74965">
        <w:rPr>
          <w:rFonts w:cs="Arial"/>
          <w:szCs w:val="24"/>
        </w:rPr>
        <w:t xml:space="preserve">EPA believes that the regulatory requirements do not unduly burden small businesses. </w:t>
      </w:r>
      <w:r w:rsidRPr="00E74965" w:rsidR="00591651">
        <w:rPr>
          <w:rFonts w:cs="Arial"/>
          <w:szCs w:val="24"/>
        </w:rPr>
        <w:t xml:space="preserve">Although small businesses are required to submit the same information, they </w:t>
      </w:r>
      <w:r w:rsidRPr="00E74965" w:rsidR="006C0523">
        <w:rPr>
          <w:rFonts w:cs="Arial"/>
          <w:szCs w:val="24"/>
        </w:rPr>
        <w:t xml:space="preserve">pay a reduced fee. </w:t>
      </w:r>
      <w:r w:rsidRPr="00E74965" w:rsidR="00092D5D">
        <w:rPr>
          <w:rFonts w:cs="Arial"/>
          <w:szCs w:val="24"/>
        </w:rPr>
        <w:t xml:space="preserve">As stated in the preamble to the </w:t>
      </w:r>
      <w:r w:rsidRPr="00E74965" w:rsidR="006E3237">
        <w:rPr>
          <w:rFonts w:cs="Arial"/>
          <w:szCs w:val="24"/>
        </w:rPr>
        <w:t xml:space="preserve">proposed </w:t>
      </w:r>
      <w:r w:rsidRPr="00E74965" w:rsidR="00092D5D">
        <w:rPr>
          <w:rFonts w:cs="Arial"/>
          <w:szCs w:val="24"/>
        </w:rPr>
        <w:t xml:space="preserve">rule, </w:t>
      </w:r>
      <w:r w:rsidRPr="00E74965" w:rsidR="00B73C22">
        <w:rPr>
          <w:rFonts w:cs="Arial"/>
          <w:szCs w:val="24"/>
        </w:rPr>
        <w:t xml:space="preserve">EPA estimates that, of the </w:t>
      </w:r>
      <w:r w:rsidRPr="00E74965" w:rsidR="009772C5">
        <w:rPr>
          <w:rFonts w:cs="Arial"/>
          <w:szCs w:val="24"/>
        </w:rPr>
        <w:t xml:space="preserve">429 </w:t>
      </w:r>
      <w:r w:rsidRPr="00E74965" w:rsidR="00B73C22">
        <w:rPr>
          <w:rFonts w:cs="Arial"/>
          <w:szCs w:val="24"/>
        </w:rPr>
        <w:t xml:space="preserve">small businesses paying fees every year, </w:t>
      </w:r>
      <w:r w:rsidRPr="00E74965" w:rsidR="00106423">
        <w:rPr>
          <w:rFonts w:cs="Arial"/>
          <w:szCs w:val="24"/>
        </w:rPr>
        <w:t xml:space="preserve">all firms </w:t>
      </w:r>
      <w:r w:rsidRPr="00E74965" w:rsidR="00B73C22">
        <w:rPr>
          <w:rFonts w:cs="Arial"/>
          <w:szCs w:val="24"/>
        </w:rPr>
        <w:t xml:space="preserve">may have annual cost-revenue impacts </w:t>
      </w:r>
      <w:r w:rsidRPr="00E74965" w:rsidR="00D60B43">
        <w:rPr>
          <w:rFonts w:cs="Arial"/>
          <w:szCs w:val="24"/>
        </w:rPr>
        <w:t xml:space="preserve">of </w:t>
      </w:r>
      <w:r w:rsidRPr="00E74965" w:rsidR="00B73C22">
        <w:rPr>
          <w:rFonts w:cs="Arial"/>
          <w:szCs w:val="24"/>
        </w:rPr>
        <w:t>less than 1%.</w:t>
      </w:r>
      <w:r w:rsidRPr="00E74965" w:rsidR="00136D0D">
        <w:rPr>
          <w:rFonts w:cs="Arial"/>
          <w:szCs w:val="24"/>
        </w:rPr>
        <w:t xml:space="preserve"> </w:t>
      </w:r>
    </w:p>
    <w:p w:rsidRPr="00E74965" w:rsidR="00DB7F57" w:rsidP="00DB7F57" w:rsidRDefault="00DB7F57" w14:paraId="03869661" w14:textId="77777777">
      <w:pPr>
        <w:tabs>
          <w:tab w:val="left" w:pos="1080"/>
        </w:tabs>
        <w:rPr>
          <w:rFonts w:cs="Arial"/>
          <w:szCs w:val="24"/>
        </w:rPr>
      </w:pPr>
    </w:p>
    <w:p w:rsidRPr="00E74965" w:rsidR="00512823" w:rsidP="00081FA0" w:rsidRDefault="0036683A" w14:paraId="5D43C6C7" w14:textId="77777777">
      <w:pPr>
        <w:pStyle w:val="Heading2"/>
        <w:tabs>
          <w:tab w:val="left" w:pos="1080"/>
        </w:tabs>
        <w:ind w:left="360"/>
        <w:rPr>
          <w:rFonts w:cs="Arial"/>
          <w:szCs w:val="24"/>
        </w:rPr>
      </w:pPr>
      <w:bookmarkStart w:name="_Toc447203176" w:id="16"/>
      <w:r w:rsidRPr="00E74965">
        <w:rPr>
          <w:rFonts w:cs="Arial"/>
          <w:szCs w:val="24"/>
        </w:rPr>
        <w:t>3(f</w:t>
      </w:r>
      <w:r w:rsidRPr="00E74965" w:rsidR="00081FA0">
        <w:rPr>
          <w:rFonts w:cs="Arial"/>
          <w:szCs w:val="24"/>
        </w:rPr>
        <w:t>).</w:t>
      </w:r>
      <w:r w:rsidRPr="00E74965" w:rsidR="00081FA0">
        <w:rPr>
          <w:rFonts w:cs="Arial"/>
          <w:szCs w:val="24"/>
        </w:rPr>
        <w:tab/>
      </w:r>
      <w:r w:rsidRPr="00E74965" w:rsidR="00512823">
        <w:rPr>
          <w:rFonts w:cs="Arial"/>
          <w:szCs w:val="24"/>
        </w:rPr>
        <w:t xml:space="preserve">General </w:t>
      </w:r>
      <w:r w:rsidRPr="00E74965" w:rsidR="00E33A13">
        <w:rPr>
          <w:rFonts w:cs="Arial"/>
          <w:szCs w:val="24"/>
        </w:rPr>
        <w:t xml:space="preserve">PRA Related </w:t>
      </w:r>
      <w:r w:rsidRPr="00E74965" w:rsidR="00512823">
        <w:rPr>
          <w:rFonts w:cs="Arial"/>
          <w:szCs w:val="24"/>
        </w:rPr>
        <w:t>Guidelines</w:t>
      </w:r>
      <w:bookmarkEnd w:id="16"/>
    </w:p>
    <w:p w:rsidRPr="00E74965" w:rsidR="00512823" w:rsidP="00512823" w:rsidRDefault="00512823" w14:paraId="0C2D9B56" w14:textId="77777777">
      <w:pPr>
        <w:numPr>
          <w:ilvl w:val="12"/>
          <w:numId w:val="0"/>
        </w:numPr>
        <w:rPr>
          <w:rFonts w:cs="Arial"/>
          <w:szCs w:val="24"/>
        </w:rPr>
      </w:pPr>
      <w:r w:rsidRPr="00E74965">
        <w:rPr>
          <w:rFonts w:cs="Arial"/>
          <w:szCs w:val="24"/>
        </w:rPr>
        <w:t>This ICR is consistent with OMB’s general guidelines</w:t>
      </w:r>
      <w:r w:rsidRPr="00E74965" w:rsidR="00910791">
        <w:rPr>
          <w:rFonts w:cs="Arial"/>
          <w:szCs w:val="24"/>
        </w:rPr>
        <w:t xml:space="preserve"> do not exceed any of the Paperwork Reduction Act guidelines at 5 CFR 1320.5. </w:t>
      </w:r>
    </w:p>
    <w:p w:rsidRPr="00E74965" w:rsidR="00E33A13" w:rsidP="00E33A13" w:rsidRDefault="00E33A13" w14:paraId="4CACD9F4" w14:textId="77777777">
      <w:pPr>
        <w:rPr>
          <w:rFonts w:cs="Arial"/>
          <w:szCs w:val="24"/>
        </w:rPr>
      </w:pPr>
    </w:p>
    <w:p w:rsidRPr="00E74965" w:rsidR="00512823" w:rsidP="00081FA0" w:rsidRDefault="0036683A" w14:paraId="1E3249D2" w14:textId="77777777">
      <w:pPr>
        <w:pStyle w:val="Heading2"/>
        <w:tabs>
          <w:tab w:val="left" w:pos="1080"/>
        </w:tabs>
        <w:ind w:left="360"/>
        <w:rPr>
          <w:rFonts w:cs="Arial"/>
          <w:szCs w:val="24"/>
          <w:highlight w:val="yellow"/>
        </w:rPr>
      </w:pPr>
      <w:bookmarkStart w:name="_Toc447203177" w:id="17"/>
      <w:r w:rsidRPr="00E74965">
        <w:rPr>
          <w:rFonts w:cs="Arial"/>
          <w:szCs w:val="24"/>
        </w:rPr>
        <w:t>3(g</w:t>
      </w:r>
      <w:r w:rsidRPr="00E74965" w:rsidR="00081FA0">
        <w:rPr>
          <w:rFonts w:cs="Arial"/>
          <w:szCs w:val="24"/>
        </w:rPr>
        <w:t>).</w:t>
      </w:r>
      <w:r w:rsidRPr="00E74965" w:rsidR="00081FA0">
        <w:rPr>
          <w:rFonts w:cs="Arial"/>
          <w:szCs w:val="24"/>
        </w:rPr>
        <w:tab/>
      </w:r>
      <w:r w:rsidRPr="00E74965" w:rsidR="00512823">
        <w:rPr>
          <w:rFonts w:cs="Arial"/>
          <w:szCs w:val="24"/>
        </w:rPr>
        <w:t>Confidentiality</w:t>
      </w:r>
      <w:bookmarkEnd w:id="17"/>
    </w:p>
    <w:p w:rsidRPr="00E74965" w:rsidR="00E33A13" w:rsidP="00E33A13" w:rsidRDefault="009772C5" w14:paraId="0A46D183" w14:textId="07697610">
      <w:pPr>
        <w:rPr>
          <w:rFonts w:cs="Arial"/>
          <w:szCs w:val="24"/>
        </w:rPr>
      </w:pPr>
      <w:r w:rsidRPr="00E74965">
        <w:rPr>
          <w:rFonts w:cs="Arial"/>
          <w:szCs w:val="24"/>
        </w:rPr>
        <w:t>The proposed rule requires manufacturers that pay fees under section 6 to submit their average production volume for the previous four years which some manufacturers may consider confidential. T</w:t>
      </w:r>
      <w:r w:rsidRPr="00E74965" w:rsidR="00611E72">
        <w:rPr>
          <w:rFonts w:cs="Arial"/>
          <w:szCs w:val="24"/>
        </w:rPr>
        <w:t>o the extent information submitted by respondents is business confidential, procedures are in place to protect the information from improper disclosure consistent with section 14 of TSCA.</w:t>
      </w:r>
    </w:p>
    <w:p w:rsidRPr="00E74965" w:rsidR="007658A4" w:rsidP="007658A4" w:rsidRDefault="007658A4" w14:paraId="59E0485C" w14:textId="77777777">
      <w:pPr>
        <w:pStyle w:val="NoSpacing"/>
        <w:rPr>
          <w:rFonts w:cs="Arial"/>
          <w:szCs w:val="24"/>
        </w:rPr>
      </w:pPr>
    </w:p>
    <w:p w:rsidRPr="00E74965" w:rsidR="00512823" w:rsidP="0036683A" w:rsidRDefault="0036683A" w14:paraId="0C44CCFD" w14:textId="77777777">
      <w:pPr>
        <w:pStyle w:val="Heading2"/>
        <w:tabs>
          <w:tab w:val="left" w:pos="1080"/>
        </w:tabs>
        <w:ind w:left="360"/>
        <w:rPr>
          <w:rFonts w:cs="Arial"/>
          <w:szCs w:val="24"/>
        </w:rPr>
      </w:pPr>
      <w:bookmarkStart w:name="_Toc447203178" w:id="18"/>
      <w:r w:rsidRPr="00E74965">
        <w:rPr>
          <w:rFonts w:cs="Arial"/>
          <w:szCs w:val="24"/>
        </w:rPr>
        <w:lastRenderedPageBreak/>
        <w:t>3(h).</w:t>
      </w:r>
      <w:r w:rsidRPr="00E74965">
        <w:rPr>
          <w:rFonts w:cs="Arial"/>
          <w:szCs w:val="24"/>
        </w:rPr>
        <w:tab/>
      </w:r>
      <w:r w:rsidRPr="00E74965" w:rsidR="00512823">
        <w:rPr>
          <w:rFonts w:cs="Arial"/>
          <w:szCs w:val="24"/>
        </w:rPr>
        <w:t>Sensitive Questions</w:t>
      </w:r>
      <w:bookmarkEnd w:id="18"/>
    </w:p>
    <w:p w:rsidRPr="00E74965" w:rsidR="008648B5" w:rsidP="00E33A13" w:rsidRDefault="00081FA0" w14:paraId="4678B80A" w14:textId="77777777">
      <w:pPr>
        <w:numPr>
          <w:ilvl w:val="12"/>
          <w:numId w:val="0"/>
        </w:numPr>
        <w:rPr>
          <w:rFonts w:cs="Arial"/>
          <w:szCs w:val="24"/>
        </w:rPr>
      </w:pPr>
      <w:r w:rsidRPr="00E74965">
        <w:rPr>
          <w:rFonts w:cs="Arial"/>
          <w:szCs w:val="24"/>
        </w:rPr>
        <w:t>The</w:t>
      </w:r>
      <w:r w:rsidRPr="00E74965" w:rsidR="00512823">
        <w:rPr>
          <w:rFonts w:cs="Arial"/>
          <w:szCs w:val="24"/>
        </w:rPr>
        <w:t xml:space="preserve"> information collection </w:t>
      </w:r>
      <w:r w:rsidRPr="00E74965">
        <w:rPr>
          <w:rFonts w:cs="Arial"/>
          <w:szCs w:val="24"/>
        </w:rPr>
        <w:t>activities do</w:t>
      </w:r>
      <w:r w:rsidRPr="00E74965" w:rsidR="00512823">
        <w:rPr>
          <w:rFonts w:cs="Arial"/>
          <w:szCs w:val="24"/>
        </w:rPr>
        <w:t xml:space="preserve"> not include questions of a sensitive nature.</w:t>
      </w:r>
    </w:p>
    <w:p w:rsidRPr="00E74965" w:rsidR="00D60B43" w:rsidP="00FD497D" w:rsidRDefault="00D60B43" w14:paraId="20391EF8" w14:textId="77777777">
      <w:pPr>
        <w:pStyle w:val="NoSpacing"/>
        <w:rPr>
          <w:rFonts w:cs="Arial"/>
          <w:szCs w:val="24"/>
        </w:rPr>
      </w:pPr>
    </w:p>
    <w:p w:rsidRPr="00E74965" w:rsidR="008648B5" w:rsidP="008648B5" w:rsidRDefault="008648B5" w14:paraId="4A65C092" w14:textId="77777777">
      <w:pPr>
        <w:pStyle w:val="NoSpacing"/>
        <w:rPr>
          <w:rFonts w:cs="Arial"/>
          <w:szCs w:val="24"/>
        </w:rPr>
      </w:pPr>
    </w:p>
    <w:p w:rsidRPr="00E74965" w:rsidR="00DB7F57" w:rsidP="00081FA0" w:rsidRDefault="00DB7F57" w14:paraId="3C998EE2" w14:textId="77777777">
      <w:pPr>
        <w:pStyle w:val="Heading1"/>
        <w:numPr>
          <w:ilvl w:val="0"/>
          <w:numId w:val="3"/>
        </w:numPr>
        <w:rPr>
          <w:rFonts w:cs="Arial"/>
          <w:sz w:val="24"/>
          <w:szCs w:val="24"/>
        </w:rPr>
      </w:pPr>
      <w:bookmarkStart w:name="_Toc447203179" w:id="19"/>
      <w:r w:rsidRPr="00E74965">
        <w:rPr>
          <w:rFonts w:cs="Arial"/>
          <w:sz w:val="24"/>
          <w:szCs w:val="24"/>
        </w:rPr>
        <w:t>AGENCY ACTIVITIES, COLLECTION METHODOLOGY, AND INFORMATION MANAGEMENT</w:t>
      </w:r>
      <w:bookmarkEnd w:id="19"/>
    </w:p>
    <w:p w:rsidRPr="00E74965" w:rsidR="00DB7F57" w:rsidP="00FF6973" w:rsidRDefault="00DB7F57" w14:paraId="6A0B58E1" w14:textId="77777777">
      <w:pPr>
        <w:pStyle w:val="Heading1"/>
        <w:numPr>
          <w:ilvl w:val="1"/>
          <w:numId w:val="3"/>
        </w:numPr>
        <w:tabs>
          <w:tab w:val="left" w:pos="1080"/>
        </w:tabs>
        <w:rPr>
          <w:rFonts w:cs="Arial"/>
          <w:sz w:val="24"/>
          <w:szCs w:val="24"/>
        </w:rPr>
      </w:pPr>
      <w:bookmarkStart w:name="_Toc447203180" w:id="20"/>
      <w:r w:rsidRPr="00E74965">
        <w:rPr>
          <w:rFonts w:cs="Arial"/>
          <w:sz w:val="24"/>
          <w:szCs w:val="24"/>
        </w:rPr>
        <w:t>Agency Activities</w:t>
      </w:r>
      <w:bookmarkEnd w:id="20"/>
    </w:p>
    <w:p w:rsidRPr="00E74965" w:rsidR="007658A4" w:rsidP="007658A4" w:rsidRDefault="00DF245B" w14:paraId="505D9557" w14:textId="77777777">
      <w:pPr>
        <w:pStyle w:val="NoSpacing"/>
        <w:rPr>
          <w:rFonts w:cs="Arial"/>
          <w:szCs w:val="24"/>
        </w:rPr>
      </w:pPr>
      <w:r w:rsidRPr="00E74965">
        <w:rPr>
          <w:rFonts w:cs="Arial"/>
          <w:szCs w:val="24"/>
        </w:rPr>
        <w:t xml:space="preserve">Agency activities include </w:t>
      </w:r>
      <w:r w:rsidRPr="00E74965" w:rsidR="00167866">
        <w:rPr>
          <w:rFonts w:cs="Arial"/>
          <w:szCs w:val="24"/>
        </w:rPr>
        <w:t>data management of the fee</w:t>
      </w:r>
      <w:r w:rsidRPr="00E74965">
        <w:rPr>
          <w:rFonts w:cs="Arial"/>
          <w:szCs w:val="24"/>
        </w:rPr>
        <w:t xml:space="preserve"> information. </w:t>
      </w:r>
    </w:p>
    <w:p w:rsidRPr="00E74965" w:rsidR="00DF245B" w:rsidP="007658A4" w:rsidRDefault="00DF245B" w14:paraId="31371022" w14:textId="77777777">
      <w:pPr>
        <w:pStyle w:val="NoSpacing"/>
        <w:rPr>
          <w:rFonts w:cs="Arial"/>
          <w:szCs w:val="24"/>
        </w:rPr>
      </w:pPr>
    </w:p>
    <w:p w:rsidRPr="00E74965" w:rsidR="00660CEA" w:rsidP="00DB7F57" w:rsidRDefault="00660CEA" w14:paraId="2872C6EA" w14:textId="77777777">
      <w:pPr>
        <w:pStyle w:val="Heading2"/>
        <w:numPr>
          <w:ilvl w:val="1"/>
          <w:numId w:val="3"/>
        </w:numPr>
        <w:tabs>
          <w:tab w:val="left" w:pos="1080"/>
        </w:tabs>
        <w:rPr>
          <w:rFonts w:cs="Arial"/>
          <w:szCs w:val="24"/>
        </w:rPr>
      </w:pPr>
      <w:bookmarkStart w:name="_Toc447203181" w:id="21"/>
      <w:r w:rsidRPr="00E74965">
        <w:rPr>
          <w:rFonts w:cs="Arial"/>
          <w:szCs w:val="24"/>
        </w:rPr>
        <w:t>Estimated Agency Costs</w:t>
      </w:r>
      <w:bookmarkEnd w:id="21"/>
    </w:p>
    <w:p w:rsidRPr="00E74965" w:rsidR="00FF6973" w:rsidP="005E5522" w:rsidRDefault="00CF6D5B" w14:paraId="5645BB53" w14:textId="77777777">
      <w:pPr>
        <w:pStyle w:val="Heading2"/>
        <w:tabs>
          <w:tab w:val="left" w:pos="1080"/>
        </w:tabs>
        <w:rPr>
          <w:rFonts w:cs="Arial" w:eastAsiaTheme="minorHAnsi"/>
          <w:b w:val="0"/>
          <w:bCs w:val="0"/>
          <w:szCs w:val="24"/>
        </w:rPr>
      </w:pPr>
      <w:r w:rsidRPr="00E74965">
        <w:rPr>
          <w:rFonts w:cs="Arial" w:eastAsiaTheme="minorHAnsi"/>
          <w:b w:val="0"/>
          <w:bCs w:val="0"/>
          <w:szCs w:val="24"/>
        </w:rPr>
        <w:t xml:space="preserve">EPA estimates that managing the </w:t>
      </w:r>
      <w:r w:rsidRPr="00E74965" w:rsidR="00ED28BB">
        <w:rPr>
          <w:rFonts w:cs="Arial" w:eastAsiaTheme="minorHAnsi"/>
          <w:b w:val="0"/>
          <w:bCs w:val="0"/>
          <w:szCs w:val="24"/>
        </w:rPr>
        <w:t>information that is submitted at the time of the fee payment would</w:t>
      </w:r>
      <w:r w:rsidRPr="00E74965">
        <w:rPr>
          <w:rFonts w:cs="Arial" w:eastAsiaTheme="minorHAnsi"/>
          <w:b w:val="0"/>
          <w:bCs w:val="0"/>
          <w:szCs w:val="24"/>
        </w:rPr>
        <w:t xml:space="preserve"> require one </w:t>
      </w:r>
      <w:r w:rsidRPr="00E74965" w:rsidR="009F2663">
        <w:rPr>
          <w:rFonts w:cs="Arial" w:eastAsiaTheme="minorHAnsi"/>
          <w:b w:val="0"/>
          <w:bCs w:val="0"/>
          <w:szCs w:val="24"/>
        </w:rPr>
        <w:t xml:space="preserve">80-hour week </w:t>
      </w:r>
      <w:r w:rsidRPr="00E74965" w:rsidR="00ED28BB">
        <w:rPr>
          <w:rFonts w:cs="Arial" w:eastAsiaTheme="minorHAnsi"/>
          <w:b w:val="0"/>
          <w:bCs w:val="0"/>
          <w:szCs w:val="24"/>
        </w:rPr>
        <w:t>of labor</w:t>
      </w:r>
      <w:r w:rsidRPr="00E74965">
        <w:rPr>
          <w:rFonts w:cs="Arial" w:eastAsiaTheme="minorHAnsi"/>
          <w:b w:val="0"/>
          <w:bCs w:val="0"/>
          <w:szCs w:val="24"/>
        </w:rPr>
        <w:t xml:space="preserve"> per year for a GS-13, Step 5 employee in the Washington D.C. area, which will amount to an annual Agency cost associated with the </w:t>
      </w:r>
      <w:r w:rsidRPr="00E74965" w:rsidR="001809CF">
        <w:rPr>
          <w:rFonts w:cs="Arial" w:eastAsiaTheme="minorHAnsi"/>
          <w:b w:val="0"/>
          <w:bCs w:val="0"/>
          <w:szCs w:val="24"/>
        </w:rPr>
        <w:t>final</w:t>
      </w:r>
      <w:r w:rsidRPr="00E74965">
        <w:rPr>
          <w:rFonts w:cs="Arial" w:eastAsiaTheme="minorHAnsi"/>
          <w:b w:val="0"/>
          <w:bCs w:val="0"/>
          <w:szCs w:val="24"/>
        </w:rPr>
        <w:t xml:space="preserve"> rule of </w:t>
      </w:r>
      <w:r w:rsidRPr="00E74965" w:rsidR="009F2663">
        <w:rPr>
          <w:rFonts w:cs="Arial" w:eastAsiaTheme="minorHAnsi"/>
          <w:b w:val="0"/>
          <w:bCs w:val="0"/>
          <w:szCs w:val="24"/>
        </w:rPr>
        <w:t>$6,740.48</w:t>
      </w:r>
      <w:r w:rsidRPr="00E74965">
        <w:rPr>
          <w:rFonts w:cs="Arial" w:eastAsiaTheme="minorHAnsi"/>
          <w:b w:val="0"/>
          <w:bCs w:val="0"/>
          <w:szCs w:val="24"/>
        </w:rPr>
        <w:t xml:space="preserve"> (</w:t>
      </w:r>
      <w:r w:rsidRPr="00E74965" w:rsidR="00CD4201">
        <w:rPr>
          <w:rFonts w:cs="Arial" w:eastAsiaTheme="minorHAnsi"/>
          <w:b w:val="0"/>
          <w:bCs w:val="0"/>
          <w:szCs w:val="24"/>
        </w:rPr>
        <w:t>$</w:t>
      </w:r>
      <w:r w:rsidRPr="00E74965" w:rsidR="009F2663">
        <w:rPr>
          <w:rFonts w:cs="Arial" w:eastAsiaTheme="minorHAnsi"/>
          <w:b w:val="0"/>
          <w:bCs w:val="0"/>
          <w:szCs w:val="24"/>
        </w:rPr>
        <w:t>84.26</w:t>
      </w:r>
      <w:r w:rsidRPr="00E74965">
        <w:rPr>
          <w:rFonts w:cs="Arial" w:eastAsiaTheme="minorHAnsi"/>
          <w:b w:val="0"/>
          <w:bCs w:val="0"/>
          <w:szCs w:val="24"/>
        </w:rPr>
        <w:t xml:space="preserve"> x 8</w:t>
      </w:r>
      <w:r w:rsidRPr="00E74965" w:rsidR="009F2663">
        <w:rPr>
          <w:rFonts w:cs="Arial" w:eastAsiaTheme="minorHAnsi"/>
          <w:b w:val="0"/>
          <w:bCs w:val="0"/>
          <w:szCs w:val="24"/>
        </w:rPr>
        <w:t>0</w:t>
      </w:r>
      <w:r w:rsidRPr="00E74965">
        <w:rPr>
          <w:rFonts w:cs="Arial" w:eastAsiaTheme="minorHAnsi"/>
          <w:b w:val="0"/>
          <w:bCs w:val="0"/>
          <w:szCs w:val="24"/>
        </w:rPr>
        <w:t xml:space="preserve"> = </w:t>
      </w:r>
      <w:r w:rsidRPr="00E74965" w:rsidR="009F2663">
        <w:rPr>
          <w:rFonts w:cs="Arial" w:eastAsiaTheme="minorHAnsi"/>
          <w:b w:val="0"/>
          <w:bCs w:val="0"/>
          <w:szCs w:val="24"/>
        </w:rPr>
        <w:t>$6,740.48</w:t>
      </w:r>
      <w:r w:rsidRPr="00E74965">
        <w:rPr>
          <w:rFonts w:cs="Arial" w:eastAsiaTheme="minorHAnsi"/>
          <w:b w:val="0"/>
          <w:bCs w:val="0"/>
          <w:szCs w:val="24"/>
        </w:rPr>
        <w:t xml:space="preserve">). To calculate the loaded wage rate, EPA uses the wage rate for a GS-13, Step 5 employee in the Washington D.C. area, loaded with a combined fringe and overhead factor of 60% to obtain a loaded wage rate of </w:t>
      </w:r>
      <w:r w:rsidRPr="00E74965" w:rsidR="00CD4201">
        <w:rPr>
          <w:rFonts w:cs="Arial" w:eastAsiaTheme="minorHAnsi"/>
          <w:b w:val="0"/>
          <w:bCs w:val="0"/>
          <w:szCs w:val="24"/>
        </w:rPr>
        <w:t>$17</w:t>
      </w:r>
      <w:r w:rsidRPr="00E74965" w:rsidR="009F2663">
        <w:rPr>
          <w:rFonts w:cs="Arial" w:eastAsiaTheme="minorHAnsi"/>
          <w:b w:val="0"/>
          <w:bCs w:val="0"/>
          <w:szCs w:val="24"/>
        </w:rPr>
        <w:t>5,252</w:t>
      </w:r>
      <w:r w:rsidRPr="00E74965">
        <w:rPr>
          <w:rFonts w:cs="Arial" w:eastAsiaTheme="minorHAnsi"/>
          <w:b w:val="0"/>
          <w:bCs w:val="0"/>
          <w:szCs w:val="24"/>
        </w:rPr>
        <w:t xml:space="preserve"> per year. Dividing this wage rate over 2,080 hours – the annual labor hours of a</w:t>
      </w:r>
      <w:r w:rsidRPr="00E74965" w:rsidR="002D36EA">
        <w:rPr>
          <w:rFonts w:cs="Arial" w:eastAsiaTheme="minorHAnsi"/>
          <w:b w:val="0"/>
          <w:bCs w:val="0"/>
          <w:szCs w:val="24"/>
        </w:rPr>
        <w:t xml:space="preserve"> full-</w:t>
      </w:r>
      <w:r w:rsidRPr="00E74965">
        <w:rPr>
          <w:rFonts w:cs="Arial" w:eastAsiaTheme="minorHAnsi"/>
          <w:b w:val="0"/>
          <w:bCs w:val="0"/>
          <w:szCs w:val="24"/>
        </w:rPr>
        <w:t xml:space="preserve">time employee – </w:t>
      </w:r>
      <w:r w:rsidRPr="00E74965" w:rsidR="00ED28BB">
        <w:rPr>
          <w:rFonts w:cs="Arial" w:eastAsiaTheme="minorHAnsi"/>
          <w:b w:val="0"/>
          <w:bCs w:val="0"/>
          <w:szCs w:val="24"/>
        </w:rPr>
        <w:t>results in</w:t>
      </w:r>
      <w:r w:rsidRPr="00E74965">
        <w:rPr>
          <w:rFonts w:cs="Arial" w:eastAsiaTheme="minorHAnsi"/>
          <w:b w:val="0"/>
          <w:bCs w:val="0"/>
          <w:szCs w:val="24"/>
        </w:rPr>
        <w:t xml:space="preserve"> an hourly wage rate of </w:t>
      </w:r>
      <w:r w:rsidRPr="00E74965" w:rsidR="00CD4201">
        <w:rPr>
          <w:rFonts w:cs="Arial" w:eastAsiaTheme="minorHAnsi"/>
          <w:b w:val="0"/>
          <w:bCs w:val="0"/>
          <w:szCs w:val="24"/>
        </w:rPr>
        <w:t>$8</w:t>
      </w:r>
      <w:r w:rsidRPr="00E74965" w:rsidR="009F2663">
        <w:rPr>
          <w:rFonts w:cs="Arial" w:eastAsiaTheme="minorHAnsi"/>
          <w:b w:val="0"/>
          <w:bCs w:val="0"/>
          <w:szCs w:val="24"/>
        </w:rPr>
        <w:t>4.26</w:t>
      </w:r>
      <w:r w:rsidRPr="00E74965">
        <w:rPr>
          <w:rFonts w:cs="Arial" w:eastAsiaTheme="minorHAnsi"/>
          <w:b w:val="0"/>
          <w:bCs w:val="0"/>
          <w:szCs w:val="24"/>
        </w:rPr>
        <w:t>.</w:t>
      </w:r>
    </w:p>
    <w:p w:rsidRPr="00E74965" w:rsidR="00DB7F57" w:rsidP="00660CEA" w:rsidRDefault="00DB7F57" w14:paraId="4C304175" w14:textId="77777777">
      <w:pPr>
        <w:pStyle w:val="Heading2"/>
        <w:numPr>
          <w:ilvl w:val="2"/>
          <w:numId w:val="3"/>
        </w:numPr>
        <w:tabs>
          <w:tab w:val="left" w:pos="1080"/>
          <w:tab w:val="left" w:pos="1620"/>
        </w:tabs>
        <w:rPr>
          <w:rFonts w:cs="Arial"/>
          <w:szCs w:val="24"/>
        </w:rPr>
      </w:pPr>
      <w:bookmarkStart w:name="_Toc447203183" w:id="22"/>
      <w:r w:rsidRPr="00E74965">
        <w:rPr>
          <w:rFonts w:cs="Arial"/>
          <w:szCs w:val="24"/>
        </w:rPr>
        <w:t>Collection Schedule</w:t>
      </w:r>
      <w:bookmarkEnd w:id="22"/>
    </w:p>
    <w:p w:rsidRPr="00E74965" w:rsidR="005E5522" w:rsidP="003A6A0C" w:rsidRDefault="005049FB" w14:paraId="724C0B54" w14:textId="77777777">
      <w:pPr>
        <w:rPr>
          <w:rFonts w:cs="Arial"/>
          <w:szCs w:val="24"/>
        </w:rPr>
      </w:pPr>
      <w:r w:rsidRPr="00E74965">
        <w:rPr>
          <w:rFonts w:cs="Arial"/>
          <w:szCs w:val="24"/>
        </w:rPr>
        <w:t xml:space="preserve">This information collection activity does not have a calendar-based schedule. </w:t>
      </w:r>
      <w:r w:rsidRPr="00E74965" w:rsidR="00CF6D5B">
        <w:rPr>
          <w:rFonts w:cs="Arial"/>
          <w:szCs w:val="24"/>
        </w:rPr>
        <w:t xml:space="preserve">Fee payments are </w:t>
      </w:r>
      <w:r w:rsidRPr="00E74965" w:rsidR="00144085">
        <w:rPr>
          <w:rFonts w:cs="Arial"/>
          <w:szCs w:val="24"/>
        </w:rPr>
        <w:t xml:space="preserve">generally required </w:t>
      </w:r>
      <w:r w:rsidRPr="00E74965" w:rsidR="00CF6D5B">
        <w:rPr>
          <w:rFonts w:cs="Arial"/>
          <w:szCs w:val="24"/>
        </w:rPr>
        <w:t>when a manufacturer</w:t>
      </w:r>
      <w:r w:rsidRPr="00E74965" w:rsidR="00144085">
        <w:rPr>
          <w:rFonts w:cs="Arial"/>
          <w:szCs w:val="24"/>
        </w:rPr>
        <w:t xml:space="preserve"> (including importer) makes a submission under TSCA section 5, is required to submit information under TSCA section 4 or is subject to a risk evaluation under TSCA section 6</w:t>
      </w:r>
      <w:r w:rsidRPr="00E74965" w:rsidR="001D7822">
        <w:rPr>
          <w:rFonts w:cs="Arial"/>
          <w:szCs w:val="24"/>
        </w:rPr>
        <w:t xml:space="preserve">(b)(4).  EPA </w:t>
      </w:r>
      <w:proofErr w:type="gramStart"/>
      <w:r w:rsidRPr="00E74965" w:rsidR="001D7822">
        <w:rPr>
          <w:rFonts w:cs="Arial"/>
          <w:szCs w:val="24"/>
        </w:rPr>
        <w:t>is required to have 20 EPA-initiated risk evaluations under way at all times</w:t>
      </w:r>
      <w:proofErr w:type="gramEnd"/>
      <w:r w:rsidRPr="00E74965" w:rsidR="001D7822">
        <w:rPr>
          <w:rFonts w:cs="Arial"/>
          <w:szCs w:val="24"/>
        </w:rPr>
        <w:t xml:space="preserve"> starting in December 2019 and each risk evaluation is expected to conclude in 3 years with the option for an up to 6-month extension.  Therefore, TSCA section 6 fees for EPA-initiated risk evaluations will generally be predictable.  TSCA section 6 manufacturer-requested risk evaluations timing and frequency will depend on requests received.  EPA is required to have between 5-10 manufacturer-requested risk evaluations underway if </w:t>
      </w:r>
      <w:proofErr w:type="gramStart"/>
      <w:r w:rsidRPr="00E74965" w:rsidR="001D7822">
        <w:rPr>
          <w:rFonts w:cs="Arial"/>
          <w:szCs w:val="24"/>
        </w:rPr>
        <w:t>sufficient</w:t>
      </w:r>
      <w:proofErr w:type="gramEnd"/>
      <w:r w:rsidRPr="00E74965" w:rsidR="001D7822">
        <w:rPr>
          <w:rFonts w:cs="Arial"/>
          <w:szCs w:val="24"/>
        </w:rPr>
        <w:t xml:space="preserve"> applications have been received. </w:t>
      </w:r>
      <w:r w:rsidRPr="00E74965" w:rsidR="00290EFD">
        <w:rPr>
          <w:rFonts w:cs="Arial"/>
          <w:szCs w:val="24"/>
        </w:rPr>
        <w:t xml:space="preserve"> However,</w:t>
      </w:r>
      <w:r w:rsidRPr="00E74965" w:rsidR="001D7822">
        <w:rPr>
          <w:rFonts w:cs="Arial"/>
          <w:szCs w:val="24"/>
        </w:rPr>
        <w:t xml:space="preserve"> EPA is unsure how many such requests will be received.  Section 5 actions are entirely reliant on industry submissions.  Historical data is used for cost estimation purposes with and adjustment made for the impact of increased fees.  </w:t>
      </w:r>
      <w:r w:rsidRPr="00E74965" w:rsidR="00736648">
        <w:rPr>
          <w:rFonts w:cs="Arial"/>
          <w:szCs w:val="24"/>
        </w:rPr>
        <w:t>TSCA section 4 activities will be primarily driven by EPA’s data needs as the new statutory requirements continue to be implemented.  Because these activities</w:t>
      </w:r>
      <w:r w:rsidRPr="00E74965">
        <w:rPr>
          <w:rFonts w:cs="Arial"/>
          <w:szCs w:val="24"/>
        </w:rPr>
        <w:t xml:space="preserve"> </w:t>
      </w:r>
      <w:r w:rsidRPr="00E74965" w:rsidR="002D2B79">
        <w:rPr>
          <w:rFonts w:cs="Arial"/>
          <w:szCs w:val="24"/>
        </w:rPr>
        <w:t xml:space="preserve">occur on </w:t>
      </w:r>
      <w:r w:rsidRPr="00E74965" w:rsidR="003A6A0C">
        <w:rPr>
          <w:rFonts w:cs="Arial"/>
          <w:szCs w:val="24"/>
        </w:rPr>
        <w:t xml:space="preserve">an as-needed, on-occasion basis, </w:t>
      </w:r>
      <w:r w:rsidRPr="00E74965" w:rsidR="00736648">
        <w:rPr>
          <w:rFonts w:cs="Arial"/>
          <w:szCs w:val="24"/>
        </w:rPr>
        <w:t xml:space="preserve">often </w:t>
      </w:r>
      <w:r w:rsidRPr="00E74965" w:rsidR="003A6A0C">
        <w:rPr>
          <w:rFonts w:cs="Arial"/>
          <w:szCs w:val="24"/>
        </w:rPr>
        <w:t>initiated by the respondents</w:t>
      </w:r>
      <w:r w:rsidRPr="00E74965" w:rsidR="00736648">
        <w:rPr>
          <w:rFonts w:cs="Arial"/>
          <w:szCs w:val="24"/>
        </w:rPr>
        <w:t>, considerations for less frequent collection are not relevant</w:t>
      </w:r>
      <w:r w:rsidRPr="00E74965">
        <w:rPr>
          <w:rFonts w:cs="Arial"/>
          <w:szCs w:val="24"/>
        </w:rPr>
        <w:t xml:space="preserve">. </w:t>
      </w:r>
    </w:p>
    <w:p w:rsidRPr="00E74965" w:rsidR="00DB7F57" w:rsidP="00DB7F57" w:rsidRDefault="00DB7F57" w14:paraId="6A5B8FF2" w14:textId="77777777">
      <w:pPr>
        <w:rPr>
          <w:rFonts w:cs="Arial"/>
          <w:szCs w:val="24"/>
        </w:rPr>
      </w:pPr>
    </w:p>
    <w:p w:rsidRPr="00E74965" w:rsidR="00660CEA" w:rsidP="00660CEA" w:rsidRDefault="00660CEA" w14:paraId="55AE2F9F" w14:textId="77777777">
      <w:pPr>
        <w:pStyle w:val="Heading3"/>
        <w:numPr>
          <w:ilvl w:val="2"/>
          <w:numId w:val="3"/>
        </w:numPr>
        <w:tabs>
          <w:tab w:val="left" w:pos="1800"/>
        </w:tabs>
        <w:spacing w:after="200"/>
        <w:rPr>
          <w:rFonts w:cs="Arial"/>
          <w:szCs w:val="24"/>
        </w:rPr>
      </w:pPr>
      <w:bookmarkStart w:name="_Toc447203184" w:id="23"/>
      <w:r w:rsidRPr="00E74965">
        <w:rPr>
          <w:rFonts w:cs="Arial"/>
          <w:szCs w:val="24"/>
        </w:rPr>
        <w:t>Use of Technology to Facilitate Collection Activities</w:t>
      </w:r>
      <w:bookmarkEnd w:id="23"/>
    </w:p>
    <w:p w:rsidRPr="00E74965" w:rsidR="00FD497D" w:rsidP="00FD497D" w:rsidRDefault="005049FB" w14:paraId="298E6AE9" w14:textId="2E350AB6">
      <w:pPr>
        <w:pStyle w:val="NoSpacing"/>
        <w:rPr>
          <w:rFonts w:cs="Arial"/>
          <w:szCs w:val="24"/>
          <w:lang w:bidi="en-US"/>
        </w:rPr>
      </w:pPr>
      <w:r w:rsidRPr="00E74965">
        <w:rPr>
          <w:rFonts w:cs="Arial"/>
          <w:szCs w:val="24"/>
        </w:rPr>
        <w:t xml:space="preserve">EPA </w:t>
      </w:r>
      <w:r w:rsidRPr="00E74965" w:rsidR="00A11389">
        <w:rPr>
          <w:rFonts w:cs="Arial"/>
          <w:szCs w:val="24"/>
        </w:rPr>
        <w:t>makes</w:t>
      </w:r>
      <w:r w:rsidRPr="00E74965">
        <w:rPr>
          <w:rFonts w:cs="Arial"/>
          <w:szCs w:val="24"/>
        </w:rPr>
        <w:t xml:space="preserve"> use of existing technology to collect the information subject to this ICR. Fee payments will be made electronically via Pay.gov. </w:t>
      </w:r>
      <w:r w:rsidRPr="00E74965" w:rsidR="00871408">
        <w:rPr>
          <w:rFonts w:cs="Arial"/>
          <w:szCs w:val="24"/>
        </w:rPr>
        <w:t xml:space="preserve">The collection of the </w:t>
      </w:r>
      <w:r w:rsidRPr="00E74965" w:rsidR="000102B1">
        <w:rPr>
          <w:rFonts w:cs="Arial"/>
          <w:szCs w:val="24"/>
        </w:rPr>
        <w:t xml:space="preserve">identifying number and </w:t>
      </w:r>
      <w:r w:rsidRPr="00E74965" w:rsidR="00871408">
        <w:rPr>
          <w:rFonts w:cs="Arial"/>
          <w:szCs w:val="24"/>
        </w:rPr>
        <w:t xml:space="preserve">payment identity number </w:t>
      </w:r>
      <w:r w:rsidRPr="00E74965" w:rsidR="00A11389">
        <w:rPr>
          <w:rFonts w:cs="Arial"/>
          <w:szCs w:val="24"/>
        </w:rPr>
        <w:t>are</w:t>
      </w:r>
      <w:r w:rsidRPr="00E74965" w:rsidR="00871408">
        <w:rPr>
          <w:rFonts w:cs="Arial"/>
          <w:szCs w:val="24"/>
        </w:rPr>
        <w:t xml:space="preserve"> made thr</w:t>
      </w:r>
      <w:r w:rsidRPr="00E74965" w:rsidR="00B6603B">
        <w:rPr>
          <w:rFonts w:cs="Arial"/>
          <w:szCs w:val="24"/>
        </w:rPr>
        <w:t xml:space="preserve">ough </w:t>
      </w:r>
      <w:r w:rsidRPr="00E74965" w:rsidR="000D16B3">
        <w:rPr>
          <w:rFonts w:cs="Arial"/>
          <w:szCs w:val="24"/>
        </w:rPr>
        <w:t>C</w:t>
      </w:r>
      <w:r w:rsidRPr="00E74965" w:rsidR="00B6603B">
        <w:rPr>
          <w:rFonts w:cs="Arial"/>
          <w:szCs w:val="24"/>
        </w:rPr>
        <w:t>DX</w:t>
      </w:r>
      <w:r w:rsidRPr="00E74965" w:rsidR="00871408">
        <w:rPr>
          <w:rFonts w:cs="Arial"/>
          <w:szCs w:val="24"/>
        </w:rPr>
        <w:t>, EPA</w:t>
      </w:r>
      <w:r w:rsidRPr="00E74965" w:rsidR="000D16B3">
        <w:rPr>
          <w:rFonts w:cs="Arial"/>
          <w:szCs w:val="24"/>
        </w:rPr>
        <w:t>’s</w:t>
      </w:r>
      <w:r w:rsidRPr="00E74965" w:rsidR="00871408">
        <w:rPr>
          <w:rFonts w:cs="Arial"/>
          <w:szCs w:val="24"/>
        </w:rPr>
        <w:t xml:space="preserve"> portal for submitting information electronically. </w:t>
      </w:r>
    </w:p>
    <w:p w:rsidRPr="00E74965" w:rsidR="006B653C" w:rsidP="00FD497D" w:rsidRDefault="006B653C" w14:paraId="17D6E438" w14:textId="77777777">
      <w:pPr>
        <w:pStyle w:val="NoSpacing"/>
        <w:rPr>
          <w:rFonts w:cs="Arial"/>
          <w:szCs w:val="24"/>
        </w:rPr>
      </w:pPr>
    </w:p>
    <w:p w:rsidRPr="00E74965" w:rsidR="00D60B43" w:rsidP="00FD497D" w:rsidRDefault="00D60B43" w14:paraId="57A83F4A" w14:textId="77777777">
      <w:pPr>
        <w:pStyle w:val="NoSpacing"/>
        <w:rPr>
          <w:rFonts w:cs="Arial"/>
          <w:szCs w:val="24"/>
        </w:rPr>
      </w:pPr>
    </w:p>
    <w:p w:rsidRPr="00E74965" w:rsidR="00CA22F5" w:rsidP="00CA22F5" w:rsidRDefault="00CA22F5" w14:paraId="342A6CE0" w14:textId="77777777">
      <w:pPr>
        <w:pStyle w:val="Heading1"/>
        <w:numPr>
          <w:ilvl w:val="0"/>
          <w:numId w:val="3"/>
        </w:numPr>
        <w:rPr>
          <w:rFonts w:cs="Arial"/>
          <w:sz w:val="24"/>
          <w:szCs w:val="24"/>
        </w:rPr>
      </w:pPr>
      <w:bookmarkStart w:name="_Toc447203185" w:id="24"/>
      <w:r w:rsidRPr="00E74965">
        <w:rPr>
          <w:rFonts w:cs="Arial"/>
          <w:sz w:val="24"/>
          <w:szCs w:val="24"/>
        </w:rPr>
        <w:lastRenderedPageBreak/>
        <w:t>The RESPONDENTS AND INFORMATION COLLECTION (IC) ACTIVITIES</w:t>
      </w:r>
    </w:p>
    <w:p w:rsidRPr="00E74965" w:rsidR="00CA22F5" w:rsidP="00CA22F5" w:rsidRDefault="00CA22F5" w14:paraId="5A9F9FF2" w14:textId="77777777">
      <w:pPr>
        <w:rPr>
          <w:rFonts w:cs="Arial"/>
          <w:szCs w:val="24"/>
        </w:rPr>
      </w:pPr>
      <w:r w:rsidRPr="00E74965">
        <w:rPr>
          <w:rFonts w:cs="Arial"/>
          <w:szCs w:val="24"/>
        </w:rPr>
        <w:t xml:space="preserve">For each respondent category, this section of the ICR describes the respondents, the information collection activities and related estimates for burden and costs associated with those activities. </w:t>
      </w:r>
    </w:p>
    <w:p w:rsidRPr="00E74965" w:rsidR="00CA22F5" w:rsidP="00CA22F5" w:rsidRDefault="00CA22F5" w14:paraId="38C7E733" w14:textId="77777777">
      <w:pPr>
        <w:pStyle w:val="NoSpacing"/>
        <w:rPr>
          <w:rFonts w:cs="Arial"/>
          <w:szCs w:val="24"/>
          <w:lang w:bidi="en-US"/>
        </w:rPr>
      </w:pPr>
    </w:p>
    <w:p w:rsidRPr="00E74965" w:rsidR="00CA22F5" w:rsidP="00CA22F5" w:rsidRDefault="00CA22F5" w14:paraId="67FD52A9" w14:textId="77777777">
      <w:pPr>
        <w:pStyle w:val="Heading2"/>
        <w:numPr>
          <w:ilvl w:val="1"/>
          <w:numId w:val="3"/>
        </w:numPr>
        <w:tabs>
          <w:tab w:val="left" w:pos="1080"/>
        </w:tabs>
        <w:rPr>
          <w:rFonts w:cs="Arial"/>
          <w:szCs w:val="24"/>
        </w:rPr>
      </w:pPr>
      <w:r w:rsidRPr="00E74965">
        <w:rPr>
          <w:rFonts w:cs="Arial"/>
          <w:szCs w:val="24"/>
        </w:rPr>
        <w:t>Methodology for Estimating Respondent Burden and Costs</w:t>
      </w:r>
    </w:p>
    <w:p w:rsidRPr="00E74965" w:rsidR="00CA22F5" w:rsidP="00CA22F5" w:rsidRDefault="00CA22F5" w14:paraId="7C591401" w14:textId="77777777">
      <w:pPr>
        <w:rPr>
          <w:rFonts w:cs="Arial"/>
          <w:szCs w:val="24"/>
        </w:rPr>
      </w:pPr>
      <w:r w:rsidRPr="00E74965">
        <w:rPr>
          <w:rFonts w:cs="Arial"/>
          <w:szCs w:val="24"/>
        </w:rPr>
        <w:t>The collection specifies fee payment requirements that apply to manufacturers (including importers) who are required to submit information under TSCA section 4, who submit certain notices and exemption requests to EPA under TSCA section 5, who manufacture a chemical substance that is subject to a risk evaluation under TSCA section 6(b)(4), and who process a chemical substance that is the subject of a Significant New Use Notice (SNUN) or Test Market Exemption (TME) under TSCA section 5 and who are required to submit information under TSCA section 4 related to a SNUN submission. The following list of NAICS codes is not intended to be exhaustive, but rather provides a guide to help readers determine whether this document applies to them. Potentially affected entities may include companies found in major NAICS code groups:</w:t>
      </w:r>
    </w:p>
    <w:p w:rsidRPr="00E74965" w:rsidR="00CA22F5" w:rsidP="00CA22F5" w:rsidRDefault="00CA22F5" w14:paraId="006158D0" w14:textId="77777777">
      <w:pPr>
        <w:pStyle w:val="NoSpacing"/>
        <w:rPr>
          <w:rFonts w:cs="Arial"/>
          <w:szCs w:val="24"/>
        </w:rPr>
      </w:pPr>
    </w:p>
    <w:p w:rsidRPr="00E74965" w:rsidR="00CA22F5" w:rsidP="00CA22F5" w:rsidRDefault="00CA22F5" w14:paraId="3198CD26" w14:textId="77777777">
      <w:pPr>
        <w:pStyle w:val="ListParagraph"/>
        <w:numPr>
          <w:ilvl w:val="0"/>
          <w:numId w:val="26"/>
        </w:numPr>
        <w:rPr>
          <w:rFonts w:cs="Arial"/>
          <w:szCs w:val="24"/>
        </w:rPr>
      </w:pPr>
      <w:r w:rsidRPr="00E74965">
        <w:rPr>
          <w:rFonts w:cs="Arial"/>
          <w:szCs w:val="24"/>
        </w:rPr>
        <w:t>324</w:t>
      </w:r>
      <w:r w:rsidRPr="00E74965">
        <w:rPr>
          <w:rFonts w:cs="Arial"/>
          <w:szCs w:val="24"/>
        </w:rPr>
        <w:tab/>
        <w:t>Petroleum and Coal Products</w:t>
      </w:r>
    </w:p>
    <w:p w:rsidRPr="00E74965" w:rsidR="00CA22F5" w:rsidP="00CA22F5" w:rsidRDefault="00CA22F5" w14:paraId="4E02FD60" w14:textId="77777777">
      <w:pPr>
        <w:pStyle w:val="ListParagraph"/>
        <w:numPr>
          <w:ilvl w:val="0"/>
          <w:numId w:val="26"/>
        </w:numPr>
        <w:rPr>
          <w:rFonts w:cs="Arial"/>
          <w:szCs w:val="24"/>
        </w:rPr>
      </w:pPr>
      <w:r w:rsidRPr="00E74965">
        <w:rPr>
          <w:rFonts w:cs="Arial"/>
          <w:szCs w:val="24"/>
        </w:rPr>
        <w:t>325</w:t>
      </w:r>
      <w:r w:rsidRPr="00E74965">
        <w:rPr>
          <w:rFonts w:cs="Arial"/>
          <w:szCs w:val="24"/>
        </w:rPr>
        <w:tab/>
        <w:t>Chemical Manufacturing</w:t>
      </w:r>
    </w:p>
    <w:p w:rsidRPr="00E74965" w:rsidR="00CA22F5" w:rsidP="00CA22F5" w:rsidRDefault="00CA22F5" w14:paraId="63BF3A8B" w14:textId="77777777">
      <w:pPr>
        <w:pStyle w:val="ListParagraph"/>
        <w:numPr>
          <w:ilvl w:val="0"/>
          <w:numId w:val="26"/>
        </w:numPr>
        <w:rPr>
          <w:rFonts w:cs="Arial"/>
          <w:szCs w:val="24"/>
        </w:rPr>
      </w:pPr>
      <w:r w:rsidRPr="00E74965">
        <w:rPr>
          <w:rFonts w:cs="Arial"/>
          <w:szCs w:val="24"/>
        </w:rPr>
        <w:t>424</w:t>
      </w:r>
      <w:r w:rsidRPr="00E74965">
        <w:rPr>
          <w:rFonts w:cs="Arial"/>
          <w:szCs w:val="24"/>
        </w:rPr>
        <w:tab/>
        <w:t>Chemical, Petroleum and Merchant Wholesalers</w:t>
      </w:r>
    </w:p>
    <w:p w:rsidRPr="00E74965" w:rsidR="00CA22F5" w:rsidP="00CA22F5" w:rsidRDefault="00CA22F5" w14:paraId="3A35CB33" w14:textId="77777777">
      <w:pPr>
        <w:pStyle w:val="NoSpacing"/>
        <w:rPr>
          <w:rFonts w:cs="Arial"/>
          <w:szCs w:val="24"/>
        </w:rPr>
      </w:pPr>
    </w:p>
    <w:p w:rsidRPr="00E74965" w:rsidR="00CA22F5" w:rsidP="00CA22F5" w:rsidRDefault="00CA22F5" w14:paraId="3CC1422A" w14:textId="3773E506">
      <w:pPr>
        <w:rPr>
          <w:rFonts w:cs="Arial"/>
          <w:szCs w:val="24"/>
        </w:rPr>
      </w:pPr>
      <w:r w:rsidRPr="00E74965">
        <w:rPr>
          <w:rFonts w:cs="Arial"/>
          <w:szCs w:val="24"/>
        </w:rPr>
        <w:t xml:space="preserve">Each firm subject to a fee is required to pay the fee via Pay.gov. Firms also need to determine if they qualify as an eligible small business for reduced fees and indicate if they plan to be or are already part of a consortium.  Reduced fees apply to small business with </w:t>
      </w:r>
      <w:proofErr w:type="gramStart"/>
      <w:r w:rsidRPr="00E74965">
        <w:rPr>
          <w:rFonts w:cs="Arial"/>
          <w:szCs w:val="24"/>
        </w:rPr>
        <w:t>a number of</w:t>
      </w:r>
      <w:proofErr w:type="gramEnd"/>
      <w:r w:rsidRPr="00E74965">
        <w:rPr>
          <w:rFonts w:cs="Arial"/>
          <w:szCs w:val="24"/>
        </w:rPr>
        <w:t xml:space="preserve"> employees below the thresholds list in section §700.43 “Definitions applicable to this subpart” or fewer than 500 employees if the firm is not in an industry sector that appears in the table. </w:t>
      </w:r>
    </w:p>
    <w:p w:rsidRPr="00E74965" w:rsidR="00CA22F5" w:rsidP="00CA22F5" w:rsidRDefault="00CA22F5" w14:paraId="5D14088B" w14:textId="77777777">
      <w:pPr>
        <w:rPr>
          <w:rFonts w:cs="Arial"/>
          <w:szCs w:val="24"/>
        </w:rPr>
      </w:pPr>
    </w:p>
    <w:p w:rsidRPr="00E74965" w:rsidR="00CA22F5" w:rsidP="00CA22F5" w:rsidRDefault="00CA22F5" w14:paraId="64989AAE" w14:textId="77777777">
      <w:pPr>
        <w:rPr>
          <w:rFonts w:cs="Arial"/>
          <w:szCs w:val="24"/>
        </w:rPr>
      </w:pPr>
      <w:r w:rsidRPr="00E74965">
        <w:rPr>
          <w:rFonts w:cs="Arial"/>
          <w:szCs w:val="24"/>
        </w:rPr>
        <w:t xml:space="preserve">Firms subject to fees under TSCA section 4 and fees for Risk Evaluations under TSCA section 6 may form a consortium for paying the specified fees and are required to notify EPA through a principal sponsor that the consortium was formed, detailing the members of the consortium and their contact information. This notification must be submitted to EPA electronically via CDX. </w:t>
      </w:r>
    </w:p>
    <w:p w:rsidRPr="00E74965" w:rsidR="00CA22F5" w:rsidP="00CA22F5" w:rsidRDefault="00CA22F5" w14:paraId="4D72EB6A" w14:textId="77777777">
      <w:pPr>
        <w:rPr>
          <w:rFonts w:cs="Arial"/>
          <w:szCs w:val="24"/>
        </w:rPr>
      </w:pPr>
    </w:p>
    <w:p w:rsidRPr="00E74965" w:rsidR="00CA22F5" w:rsidP="00CA22F5" w:rsidRDefault="00CA22F5" w14:paraId="4CBE120E" w14:textId="77777777">
      <w:pPr>
        <w:rPr>
          <w:rFonts w:cs="Arial"/>
          <w:szCs w:val="24"/>
        </w:rPr>
      </w:pPr>
      <w:r w:rsidRPr="00E74965">
        <w:rPr>
          <w:rFonts w:cs="Arial"/>
          <w:szCs w:val="24"/>
        </w:rPr>
        <w:t>Firms subject to Test Rules under TSCA section 4 and EPA-initiated Risk Evaluations under TSCA section 6 also need to review a preliminary list published by EPA of companies to which the action applies so that they can determine whether their company is listed and certify via CDX accordingly.</w:t>
      </w:r>
    </w:p>
    <w:p w:rsidRPr="00E74965" w:rsidR="00CA22F5" w:rsidP="00CA22F5" w:rsidRDefault="00CA22F5" w14:paraId="32C7870B" w14:textId="77777777">
      <w:pPr>
        <w:rPr>
          <w:rFonts w:cs="Arial"/>
          <w:szCs w:val="24"/>
        </w:rPr>
      </w:pPr>
    </w:p>
    <w:p w:rsidRPr="00E74965" w:rsidR="00CA22F5" w:rsidP="00CA22F5" w:rsidRDefault="00CA22F5" w14:paraId="2B947050" w14:textId="77777777">
      <w:pPr>
        <w:rPr>
          <w:rFonts w:cs="Arial"/>
          <w:szCs w:val="24"/>
          <w:u w:val="single"/>
        </w:rPr>
      </w:pPr>
      <w:r w:rsidRPr="00E74965">
        <w:rPr>
          <w:rFonts w:cs="Arial"/>
          <w:szCs w:val="24"/>
          <w:u w:val="single"/>
        </w:rPr>
        <w:t>Number of Entities Affected</w:t>
      </w:r>
    </w:p>
    <w:p w:rsidRPr="00E74965" w:rsidR="00CA22F5" w:rsidP="00CA22F5" w:rsidRDefault="00CA22F5" w14:paraId="78A57331" w14:textId="77777777">
      <w:pPr>
        <w:rPr>
          <w:rFonts w:cs="Arial"/>
          <w:szCs w:val="24"/>
        </w:rPr>
      </w:pPr>
      <w:r w:rsidRPr="00E74965">
        <w:rPr>
          <w:rFonts w:eastAsia="Times New Roman" w:cs="Arial"/>
          <w:szCs w:val="24"/>
        </w:rPr>
        <w:t xml:space="preserve">EPA relied on past experience with 20 Test Cost actions under TSCA section 4, submitter data for new chemical notices under TSCA section 5, and work to date on the 20 high priority chemicals currently undergoing Risk Evaluation under TSCA section 6 to inform its estimates of average number of firms impacted per action. </w:t>
      </w:r>
      <w:r w:rsidRPr="00E74965">
        <w:rPr>
          <w:rFonts w:cs="Arial"/>
          <w:szCs w:val="24"/>
        </w:rPr>
        <w:t xml:space="preserve">Each TSCA section 4 action is expected to cover an average of one chemical and an average of 15 manufacturers per chemical, resulting in an estimate of 15 firms impacted per TSCA section 4 action. TSCA section 5 actions are expected to impact one firm per action. Risk Evaluations initiated by EPA under TSCA section 6 are expected to impact an average of one chemical and 15 manufacturers per Risk </w:t>
      </w:r>
      <w:r w:rsidRPr="00E74965">
        <w:rPr>
          <w:rFonts w:cs="Arial"/>
          <w:szCs w:val="24"/>
        </w:rPr>
        <w:lastRenderedPageBreak/>
        <w:t>Evaluation. Manufacturer requests for Risk Evaluations submitted to EPA are difficult to predict, but EPA expects that a single manufacturer will submit each request.</w:t>
      </w:r>
    </w:p>
    <w:p w:rsidRPr="00E74965" w:rsidR="00CA22F5" w:rsidP="00CA22F5" w:rsidRDefault="00CA22F5" w14:paraId="7E411F99" w14:textId="77777777">
      <w:pPr>
        <w:pStyle w:val="NoSpacing"/>
        <w:rPr>
          <w:rFonts w:cs="Arial"/>
          <w:szCs w:val="24"/>
        </w:rPr>
      </w:pPr>
    </w:p>
    <w:p w:rsidRPr="00E74965" w:rsidR="00CA22F5" w:rsidP="00CA22F5" w:rsidRDefault="00CA22F5" w14:paraId="23663A14" w14:textId="77777777">
      <w:pPr>
        <w:pStyle w:val="NoSpacing"/>
        <w:rPr>
          <w:rFonts w:cs="Arial"/>
          <w:szCs w:val="24"/>
        </w:rPr>
      </w:pPr>
      <w:r w:rsidRPr="00E74965">
        <w:rPr>
          <w:rFonts w:cs="Arial"/>
          <w:szCs w:val="24"/>
        </w:rPr>
        <w:t>The total number of firms affected per year is the product of the number of firms affected per action and the estimated number of actions per year. EPA estimates the number of TSCA section 4 actions based on previous experience and expected work under the Frank R. Lautenberg Chemical Safety for the 21st Century Act of 2016, for a total of 13 actions per year.</w:t>
      </w:r>
      <w:r w:rsidRPr="00E74965">
        <w:rPr>
          <w:rStyle w:val="FootnoteReference"/>
          <w:rFonts w:cs="Arial"/>
          <w:szCs w:val="24"/>
          <w:vertAlign w:val="superscript"/>
        </w:rPr>
        <w:footnoteReference w:id="1"/>
      </w:r>
      <w:r w:rsidRPr="00E74965">
        <w:rPr>
          <w:rFonts w:cs="Arial"/>
          <w:szCs w:val="24"/>
        </w:rPr>
        <w:t xml:space="preserve"> TSCA section 5 actions are estimated to total 1,003 submissions per year, and this estimate is based on the average number of section 5 notice submissions and exemption requests received by EPA in 2018, 2019, and 2020. The Agency expects to have between 20 and 30 Risk Evaluations ongoing in any given year at different stages in the review process, including manufacturer-requested evaluations, for an average of 10 Risk Evaluations initiated per year. Combined with the number of firms affected per action, the total number of firms impacted per year is 1,348 firms; 195 firms from TSCA section 4 actions, 1,003 firms from TSCA section 5 actions, and 150 firms from TSCA section 6 actions.</w:t>
      </w:r>
    </w:p>
    <w:p w:rsidRPr="00E74965" w:rsidR="00CA22F5" w:rsidP="00CA22F5" w:rsidRDefault="00CA22F5" w14:paraId="23CED0BB" w14:textId="77777777">
      <w:pPr>
        <w:pStyle w:val="NoSpacing"/>
        <w:rPr>
          <w:rFonts w:cs="Arial"/>
          <w:szCs w:val="24"/>
        </w:rPr>
      </w:pPr>
    </w:p>
    <w:p w:rsidRPr="00E74965" w:rsidR="00CA22F5" w:rsidP="00CA22F5" w:rsidRDefault="00CA22F5" w14:paraId="502A6A01" w14:textId="77777777">
      <w:pPr>
        <w:pStyle w:val="NoSpacing"/>
        <w:rPr>
          <w:rFonts w:cs="Arial"/>
          <w:szCs w:val="24"/>
          <w:u w:val="single"/>
        </w:rPr>
      </w:pPr>
      <w:r w:rsidRPr="00E74965">
        <w:rPr>
          <w:rFonts w:cs="Arial"/>
          <w:szCs w:val="24"/>
          <w:u w:val="single"/>
        </w:rPr>
        <w:t>Rule Familiarization</w:t>
      </w:r>
    </w:p>
    <w:p w:rsidRPr="00E74965" w:rsidR="00CA22F5" w:rsidP="00CA22F5" w:rsidRDefault="00CA22F5" w14:paraId="06317A90" w14:textId="77777777">
      <w:pPr>
        <w:rPr>
          <w:rFonts w:cs="Arial"/>
          <w:szCs w:val="24"/>
        </w:rPr>
      </w:pPr>
      <w:r w:rsidRPr="00E74965">
        <w:rPr>
          <w:rFonts w:cs="Arial"/>
          <w:szCs w:val="24"/>
        </w:rPr>
        <w:t>EPA assumes that each firm subject to a fee will spend 0.5 hours becoming familiar with the requirements and developing an understanding of what actions are necessary to comply with the fee payment requirements. This is estimated as a one-time burden. The burden is estimated to occur the first time a firm is affected by the requirements. For analytical purposes, EPA assumes that no firm will be subject to any of the fee-triggering actions under TSCA sections 4, 5, or 6 more than once over the three-year period of this ICR. Therefore, the average burden per respondent for each of the three years of analysis is calculated as 0.5/3 = 0.167 hours/year.</w:t>
      </w:r>
    </w:p>
    <w:p w:rsidRPr="00E74965" w:rsidR="00CA22F5" w:rsidP="00CA22F5" w:rsidRDefault="00CA22F5" w14:paraId="3337A3C1" w14:textId="77777777">
      <w:pPr>
        <w:pStyle w:val="NoSpacing"/>
        <w:rPr>
          <w:rFonts w:cs="Arial"/>
          <w:szCs w:val="24"/>
        </w:rPr>
      </w:pPr>
    </w:p>
    <w:p w:rsidRPr="00E74965" w:rsidR="00CA22F5" w:rsidP="00CA22F5" w:rsidRDefault="00CA22F5" w14:paraId="7891FADA" w14:textId="77777777">
      <w:pPr>
        <w:keepNext/>
        <w:rPr>
          <w:rFonts w:cs="Arial"/>
          <w:szCs w:val="24"/>
          <w:u w:val="single"/>
        </w:rPr>
      </w:pPr>
      <w:r w:rsidRPr="00E74965">
        <w:rPr>
          <w:rFonts w:cs="Arial"/>
          <w:szCs w:val="24"/>
          <w:u w:val="single"/>
        </w:rPr>
        <w:t>Reduced Fee Eligibility Determination</w:t>
      </w:r>
    </w:p>
    <w:p w:rsidRPr="00E74965" w:rsidR="00CA22F5" w:rsidP="00CA22F5" w:rsidRDefault="00CA22F5" w14:paraId="135171F0" w14:textId="77777777">
      <w:pPr>
        <w:pStyle w:val="NormalBullets1"/>
        <w:numPr>
          <w:ilvl w:val="0"/>
          <w:numId w:val="0"/>
        </w:numPr>
        <w:rPr>
          <w:rFonts w:ascii="Arial" w:hAnsi="Arial" w:cs="Arial"/>
          <w:sz w:val="24"/>
          <w:szCs w:val="24"/>
        </w:rPr>
      </w:pPr>
      <w:r w:rsidRPr="00E74965">
        <w:rPr>
          <w:rFonts w:ascii="Arial" w:hAnsi="Arial" w:cs="Arial" w:eastAsiaTheme="minorHAnsi"/>
          <w:sz w:val="24"/>
          <w:szCs w:val="24"/>
        </w:rPr>
        <w:t xml:space="preserve">The regulation establishes reduced fees for firms with </w:t>
      </w:r>
      <w:proofErr w:type="gramStart"/>
      <w:r w:rsidRPr="00E74965">
        <w:rPr>
          <w:rFonts w:ascii="Arial" w:hAnsi="Arial" w:cs="Arial" w:eastAsiaTheme="minorHAnsi"/>
          <w:sz w:val="24"/>
          <w:szCs w:val="24"/>
        </w:rPr>
        <w:t>a number of</w:t>
      </w:r>
      <w:proofErr w:type="gramEnd"/>
      <w:r w:rsidRPr="00E74965">
        <w:rPr>
          <w:rFonts w:ascii="Arial" w:hAnsi="Arial" w:cs="Arial" w:eastAsiaTheme="minorHAnsi"/>
          <w:sz w:val="24"/>
          <w:szCs w:val="24"/>
        </w:rPr>
        <w:t xml:space="preserve"> employees below the thresholds listed in 40 CFR 700.43 “Definitions applicable to this subpart” or fewer than 500 employees if the firm is not in an industry sector that appears in that table. EPA estimates 0.5 hours of managerial burden to review the employee-based threshold established for firms eligible for a reduced fee and compare that threshold to the firm’s number of employees to determine eligibility for the reduced fee. EPA assumes that the proportion of firms that will incur this burden is roughly equivalent to the proportion of affected firms that are small businesses, as defined by the Small Business Administration (SBA). EPA estimates that SBA-defined small businesses account for four in 15 firms for TSCA section 4 actions, about 35% of affected firms for TSCA section 5 actions, and 27 of the 150 total firms for TSCA section 6 actions. This may be an overestimate as some small businesses will already know their size status under SBA size standards and will, therefore, not spend the time to confirm eligibility for the reduced fee.</w:t>
      </w:r>
      <w:r w:rsidRPr="00E74965">
        <w:rPr>
          <w:rFonts w:ascii="Arial" w:hAnsi="Arial" w:cs="Arial"/>
          <w:sz w:val="24"/>
          <w:szCs w:val="24"/>
        </w:rPr>
        <w:t xml:space="preserve"> This burden is assumed to occur once for each affected firm over the three-year period of this ICR. Since EPA assumes that no firm will be subject to any of the TSCA section 4, 5, or 6 actions more than once over the three-year period of this ICR, the average burden per respondent is calculated as 0.5/3 = 0.167 hours/year.</w:t>
      </w:r>
    </w:p>
    <w:p w:rsidRPr="00E74965" w:rsidR="00CA22F5" w:rsidP="00CA22F5" w:rsidRDefault="00CA22F5" w14:paraId="368CB7AA" w14:textId="77777777">
      <w:pPr>
        <w:rPr>
          <w:rFonts w:cs="Arial"/>
          <w:szCs w:val="24"/>
          <w:u w:val="single"/>
        </w:rPr>
      </w:pPr>
      <w:r w:rsidRPr="00E74965">
        <w:rPr>
          <w:rFonts w:cs="Arial"/>
          <w:szCs w:val="24"/>
          <w:u w:val="single"/>
        </w:rPr>
        <w:t>CDX Registration</w:t>
      </w:r>
    </w:p>
    <w:p w:rsidRPr="00E74965" w:rsidR="00CA22F5" w:rsidP="00CA22F5" w:rsidRDefault="00CA22F5" w14:paraId="4F6EC66E" w14:textId="77777777">
      <w:pPr>
        <w:pStyle w:val="NoSpacing"/>
        <w:rPr>
          <w:rFonts w:cs="Arial"/>
          <w:szCs w:val="24"/>
        </w:rPr>
      </w:pPr>
      <w:r w:rsidRPr="00E74965">
        <w:rPr>
          <w:rFonts w:cs="Arial"/>
          <w:szCs w:val="24"/>
        </w:rPr>
        <w:lastRenderedPageBreak/>
        <w:t>Firms subject to fee payments are required to submit information to EPA using CDX. Since companies submitting new chemical notices under TSCA section 5 are already required through existing regulations to submit these notices using CDX, burden associated with new CDX registrants under TSCA section 5 is already accounted for elsewhere in an existing ICR.</w:t>
      </w:r>
      <w:r w:rsidRPr="00E74965">
        <w:rPr>
          <w:rStyle w:val="FootnoteReference"/>
          <w:rFonts w:cs="Arial"/>
          <w:szCs w:val="24"/>
          <w:vertAlign w:val="superscript"/>
        </w:rPr>
        <w:footnoteReference w:id="2"/>
      </w:r>
      <w:r w:rsidRPr="00E74965">
        <w:rPr>
          <w:rFonts w:cs="Arial"/>
          <w:szCs w:val="24"/>
        </w:rPr>
        <w:t xml:space="preserve"> Similarly, firms subject to fee-triggering activities under TSCA section 4 are already required to submit testing and other related information to EPA using CDX, so burden associated with new CDX registrants under TSCA section 4 is already accounted for elsewhere in an existing ICR.</w:t>
      </w:r>
      <w:r w:rsidRPr="00E74965">
        <w:rPr>
          <w:rStyle w:val="FootnoteReference"/>
          <w:rFonts w:cs="Arial"/>
          <w:szCs w:val="24"/>
          <w:vertAlign w:val="superscript"/>
        </w:rPr>
        <w:footnoteReference w:id="3"/>
      </w:r>
      <w:r w:rsidRPr="00E74965">
        <w:rPr>
          <w:rFonts w:cs="Arial"/>
          <w:szCs w:val="24"/>
        </w:rPr>
        <w:t xml:space="preserve"> Manufacturers requesting Risk Evaluations are required to provide the submission package to EPA via CDX, so burden associated with new CDX registrants requesting Risk Evaluations is also already accounted for elsewhere in an existing ICR.</w:t>
      </w:r>
      <w:r w:rsidRPr="00E74965">
        <w:rPr>
          <w:rStyle w:val="FootnoteReference"/>
          <w:rFonts w:cs="Arial"/>
          <w:szCs w:val="24"/>
          <w:vertAlign w:val="superscript"/>
        </w:rPr>
        <w:footnoteReference w:id="4"/>
      </w:r>
      <w:r w:rsidRPr="00E74965">
        <w:rPr>
          <w:rFonts w:cs="Arial"/>
          <w:szCs w:val="24"/>
        </w:rPr>
        <w:t xml:space="preserve"> While some manufacturers subject to Risk Evaluations initiated by EPA under TSCA section 6 may already be familiar with the CDX system and may be registered CDX users from prior experience with TSCA submissions, there is no way to estimate which manufacturers are familiar with CDX and which are new to the system. Therefore, EPA assumes that all 100 manufacturers subject to EPA-initiated Risk Evaluations under TSCA section 6 each year are new CDX users and, therefore, are experiencing this burden for the first time. This burden is assumed to occur once for each affected firm over the three-year period of this ICR. Since EPA assumes that no firm will be subject to any action more than once over the three-year period of this ICR, the average burden per respondent is calculated as 0.5/3 = 0.167 hours/year.</w:t>
      </w:r>
    </w:p>
    <w:p w:rsidRPr="00E74965" w:rsidR="00CA22F5" w:rsidP="00CA22F5" w:rsidRDefault="00CA22F5" w14:paraId="67BF4359" w14:textId="77777777">
      <w:pPr>
        <w:pStyle w:val="NoSpacing"/>
        <w:rPr>
          <w:rFonts w:cs="Arial"/>
          <w:szCs w:val="24"/>
        </w:rPr>
      </w:pPr>
    </w:p>
    <w:p w:rsidRPr="00E74965" w:rsidR="00CA22F5" w:rsidP="00CA22F5" w:rsidRDefault="00CA22F5" w14:paraId="2F87A1EC" w14:textId="77777777">
      <w:pPr>
        <w:rPr>
          <w:rFonts w:cs="Arial"/>
          <w:szCs w:val="24"/>
          <w:u w:val="single"/>
        </w:rPr>
      </w:pPr>
      <w:r w:rsidRPr="00E74965">
        <w:rPr>
          <w:rFonts w:cs="Arial"/>
          <w:szCs w:val="24"/>
          <w:u w:val="single"/>
        </w:rPr>
        <w:t>Notification of Participation in Consortium</w:t>
      </w:r>
    </w:p>
    <w:p w:rsidRPr="00E74965" w:rsidR="00CA22F5" w:rsidP="00CA22F5" w:rsidRDefault="00CA22F5" w14:paraId="015BA67E" w14:textId="77777777">
      <w:pPr>
        <w:pStyle w:val="NoSpacing"/>
        <w:rPr>
          <w:rFonts w:cs="Arial"/>
          <w:szCs w:val="24"/>
        </w:rPr>
      </w:pPr>
      <w:r w:rsidRPr="00E74965">
        <w:rPr>
          <w:rFonts w:cs="Arial"/>
          <w:szCs w:val="24"/>
        </w:rPr>
        <w:t>The principal sponsor for the firms subject to TSCA section 4 or 6 actions who decide to join consortium, must notify EPA via CDX of the formation about the consortium and provide the following information: the name, address, telephone number and signature of the principle sponsor and the names and contact information for each manufacturer and/or processor associating with the consortium. For analytical purposes, EPA assumes that all firms will opt to join a consortium when possible, such that only one firm per TSCA section 4 and TSCA section 6 action will identify themselves as the principal sponsor of the consortium and experience this burden. EPA estimates that this will require 0.25 hours per year of technical burden to submit the information to EPA. EPA estimates this burden to occur once over the three-year period of this ICR. Thus, the average annual burden is calculated as 0.25/3 = 0.083 hours/year.</w:t>
      </w:r>
    </w:p>
    <w:p w:rsidRPr="00E74965" w:rsidR="00CA22F5" w:rsidP="00CA22F5" w:rsidRDefault="00CA22F5" w14:paraId="340ED563" w14:textId="77777777">
      <w:pPr>
        <w:rPr>
          <w:rFonts w:cs="Arial"/>
          <w:szCs w:val="24"/>
        </w:rPr>
      </w:pPr>
    </w:p>
    <w:p w:rsidRPr="00E74965" w:rsidR="00CA22F5" w:rsidP="00CA22F5" w:rsidRDefault="00CA22F5" w14:paraId="381D17D9" w14:textId="77777777">
      <w:pPr>
        <w:rPr>
          <w:rFonts w:cs="Arial"/>
          <w:szCs w:val="24"/>
          <w:u w:val="single"/>
        </w:rPr>
      </w:pPr>
      <w:r w:rsidRPr="00E74965">
        <w:rPr>
          <w:rFonts w:cs="Arial"/>
          <w:szCs w:val="24"/>
          <w:u w:val="single"/>
        </w:rPr>
        <w:t>Self-identification and Certification</w:t>
      </w:r>
    </w:p>
    <w:p w:rsidRPr="00E74965" w:rsidR="00CA22F5" w:rsidP="00CA22F5" w:rsidRDefault="00CA22F5" w14:paraId="4F28BFDA" w14:textId="77777777">
      <w:pPr>
        <w:pStyle w:val="NoSpacing"/>
        <w:rPr>
          <w:rFonts w:cs="Arial"/>
          <w:szCs w:val="24"/>
        </w:rPr>
      </w:pPr>
      <w:r w:rsidRPr="00E74965">
        <w:rPr>
          <w:rFonts w:cs="Arial"/>
          <w:szCs w:val="24"/>
        </w:rPr>
        <w:t>Firms that are either subject to fees or have been identified by EPA as being subject to fees under TSCA section 4 Test Rules and TSCA section 6 EPA-initiated Risk Evaluations must submit notice to EPA, identifying whether</w:t>
      </w:r>
      <w:r w:rsidRPr="00E74965">
        <w:rPr>
          <w:rFonts w:eastAsia="Times New Roman" w:cs="Arial"/>
          <w:szCs w:val="24"/>
          <w:lang w:val="en"/>
        </w:rPr>
        <w:t xml:space="preserve"> they (1) manufacture the identified chemical, (2) have already ceased manufacturing prior to the defined cutoff dates and will not manufacture for five years into the future, or (3) have not ever manufactured the chemical substance.</w:t>
      </w:r>
      <w:r w:rsidRPr="00E74965">
        <w:rPr>
          <w:rFonts w:cs="Arial"/>
          <w:szCs w:val="24"/>
        </w:rPr>
        <w:t xml:space="preserve"> Firms are required to provide certain basic contact information and certify their statements of Cessation and/or No Manufacture. EPA estimates that 15 firms will report this information to EPA as a result of one Test Rule per year. Similarly, 100 firms are expected to report this information to EPA as a result of approximately seven EPA-initiated Risk Evaluations per year. EPA estimates this burden to occur once per respondent over the three-year period of this ICR. Thus, the average annual burden is calculated as 2.5/3 = 0.833 hours/year.</w:t>
      </w:r>
    </w:p>
    <w:p w:rsidRPr="00E74965" w:rsidR="00CA22F5" w:rsidP="00CA22F5" w:rsidRDefault="00CA22F5" w14:paraId="6954F272" w14:textId="77777777">
      <w:pPr>
        <w:rPr>
          <w:rFonts w:cs="Arial"/>
          <w:szCs w:val="24"/>
        </w:rPr>
      </w:pPr>
    </w:p>
    <w:p w:rsidRPr="00E74965" w:rsidR="00CA22F5" w:rsidP="00CA22F5" w:rsidRDefault="00CA22F5" w14:paraId="7AE600F6" w14:textId="77777777">
      <w:pPr>
        <w:pStyle w:val="NoSpacing"/>
        <w:rPr>
          <w:rFonts w:cs="Arial"/>
          <w:szCs w:val="24"/>
        </w:rPr>
      </w:pPr>
    </w:p>
    <w:p w:rsidRPr="00E74965" w:rsidR="00CA22F5" w:rsidP="00CA22F5" w:rsidRDefault="00CA22F5" w14:paraId="64BFDFBE" w14:textId="77777777">
      <w:pPr>
        <w:keepLines/>
        <w:rPr>
          <w:rFonts w:cs="Arial"/>
          <w:szCs w:val="24"/>
          <w:u w:val="single"/>
        </w:rPr>
      </w:pPr>
      <w:r w:rsidRPr="00E74965">
        <w:rPr>
          <w:rFonts w:cs="Arial"/>
          <w:szCs w:val="24"/>
          <w:u w:val="single"/>
        </w:rPr>
        <w:t>Fee Payment via Pay.gov</w:t>
      </w:r>
    </w:p>
    <w:p w:rsidRPr="00E74965" w:rsidR="00CA22F5" w:rsidP="00CA22F5" w:rsidRDefault="00CA22F5" w14:paraId="2FF757F6" w14:textId="77777777">
      <w:pPr>
        <w:keepLines/>
        <w:rPr>
          <w:rFonts w:cs="Arial"/>
          <w:szCs w:val="24"/>
        </w:rPr>
      </w:pPr>
      <w:r w:rsidRPr="00E74965">
        <w:rPr>
          <w:rFonts w:cs="Arial"/>
          <w:szCs w:val="24"/>
        </w:rPr>
        <w:t xml:space="preserve">Firms are required to make fee payments electronically using the secure, web-based collection portal, Pay.gov. Firms are expected to create payment accounts in Pay.gov and use one of the electronic payment methods currently supported by Pay.gov (e.g., Automated Clearing House debits (ACH) from bank accounts, credit card payments, debit card payments, PayPal or </w:t>
      </w:r>
      <w:proofErr w:type="spellStart"/>
      <w:r w:rsidRPr="00E74965">
        <w:rPr>
          <w:rFonts w:cs="Arial"/>
          <w:szCs w:val="24"/>
        </w:rPr>
        <w:t>Dwolla</w:t>
      </w:r>
      <w:proofErr w:type="spellEnd"/>
      <w:r w:rsidRPr="00E74965">
        <w:rPr>
          <w:rFonts w:cs="Arial"/>
          <w:szCs w:val="24"/>
        </w:rPr>
        <w:t>). EPA estimates a burden of 0.5 hours per year of technical burden to collect the required information, create a Pay.gov account, and submit the fee payment. In cases where a consortium is formed, EPA expects that the principal sponsor for the consortium to be the one responsible for submitting the fee payment. For each firm submitting a fee payment through Pay.gov, the burden is estimated to occur once over the three-year period of this ICR. Since EPA assumes that no firm will be subject to any of the TSCA section 4, 5, or 6 actions more than once over the three-year period of this ICR, the average burden per respondent is calculated as 0.5/3 = 0.167 hours/year.</w:t>
      </w:r>
    </w:p>
    <w:p w:rsidRPr="00E74965" w:rsidR="00CA22F5" w:rsidP="00CA22F5" w:rsidRDefault="00CA22F5" w14:paraId="3EF64D56" w14:textId="77777777">
      <w:pPr>
        <w:pStyle w:val="NoSpacing"/>
        <w:rPr>
          <w:rFonts w:cs="Arial"/>
          <w:szCs w:val="24"/>
        </w:rPr>
      </w:pPr>
    </w:p>
    <w:p w:rsidRPr="00E74965" w:rsidR="00CA22F5" w:rsidP="00CA22F5" w:rsidRDefault="00CA22F5" w14:paraId="0A01B556" w14:textId="77777777">
      <w:pPr>
        <w:rPr>
          <w:rFonts w:cs="Arial"/>
          <w:szCs w:val="24"/>
          <w:u w:val="single"/>
        </w:rPr>
      </w:pPr>
      <w:r w:rsidRPr="00E74965">
        <w:rPr>
          <w:rFonts w:cs="Arial"/>
          <w:szCs w:val="24"/>
          <w:u w:val="single"/>
        </w:rPr>
        <w:t>Reporting Costs</w:t>
      </w:r>
    </w:p>
    <w:p w:rsidRPr="00E74965" w:rsidR="00CA22F5" w:rsidP="00CA22F5" w:rsidRDefault="00CA22F5" w14:paraId="7E965697" w14:textId="77777777">
      <w:pPr>
        <w:rPr>
          <w:rFonts w:cs="Arial"/>
          <w:szCs w:val="24"/>
        </w:rPr>
      </w:pPr>
      <w:r w:rsidRPr="00E74965">
        <w:rPr>
          <w:rFonts w:cs="Arial"/>
          <w:szCs w:val="24"/>
        </w:rPr>
        <w:t xml:space="preserve">Labor costs are based on fully loaded wage rates. </w:t>
      </w:r>
      <w:r w:rsidRPr="00E74965">
        <w:rPr>
          <w:rStyle w:val="BodyTextChar"/>
          <w:rFonts w:cs="Arial" w:eastAsiaTheme="minorHAnsi"/>
          <w:szCs w:val="24"/>
        </w:rPr>
        <w:t>EPA obtained wage rates from the Employer Costs for Employee Compensation (ECEC) Supplementary Tables (</w:t>
      </w:r>
      <w:r w:rsidRPr="00E74965">
        <w:rPr>
          <w:rFonts w:cs="Arial"/>
          <w:szCs w:val="24"/>
        </w:rPr>
        <w:t>BLS, 2020)</w:t>
      </w:r>
      <w:r w:rsidRPr="00E74965">
        <w:rPr>
          <w:rStyle w:val="BodyTextChar"/>
          <w:rFonts w:cs="Arial" w:eastAsiaTheme="minorHAnsi"/>
          <w:szCs w:val="24"/>
        </w:rPr>
        <w:t>.</w:t>
      </w:r>
      <w:r w:rsidRPr="00E74965">
        <w:rPr>
          <w:rFonts w:cs="Arial"/>
          <w:szCs w:val="24"/>
        </w:rPr>
        <w:t xml:space="preserve"> EPA used the wage rate for Professional/Technical workers, Managers, and Office and Administrative Support in private manufacturing industries. Fringe benefits are calculated based on the ratio of benefits to total compensation from the 2020 BLS Employer Costs for Employee Compensation data series (BLS, 2020). An overhead rate of 17 percent is used based on assumptions in Wage Rates for Economic Analysis of the Toxics Release Inventory Program (</w:t>
      </w:r>
      <w:r w:rsidRPr="00E74965">
        <w:rPr>
          <w:rFonts w:cs="Arial"/>
          <w:szCs w:val="24"/>
        </w:rPr>
        <w:fldChar w:fldCharType="begin"/>
      </w:r>
      <w:r w:rsidRPr="00E74965">
        <w:rPr>
          <w:rFonts w:cs="Arial"/>
          <w:szCs w:val="24"/>
        </w:rPr>
        <w:instrText xml:space="preserve"> ADDIN EN.CITE &lt;EndNote&gt;&lt;Cite ExcludeAuth="1"&gt;&lt;Author&gt;Rice&lt;/Author&gt;&lt;Year&gt;2002&lt;/Year&gt;&lt;RecNum&gt;15&lt;/RecNum&gt;&lt;Prefix&gt;Rice`, &lt;/Prefix&gt;&lt;DisplayText&gt;Rice, 2002&lt;/DisplayText&gt;&lt;record&gt;&lt;rec-number&gt;15&lt;/rec-number&gt;&lt;foreign-keys&gt;&lt;key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Cite&gt;&lt;Author&gt;Rice&lt;/Author&gt;&lt;Year&gt;2002&lt;/Year&gt;&lt;RecNum&gt;15&lt;/RecNum&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Program&lt;/title&gt;&lt;/titles&gt;&lt;dates&gt;&lt;year&gt;2002&lt;/year&gt;&lt;/dates&gt;&lt;urls&gt;&lt;/urls&gt;&lt;/record&gt;&lt;/Cite&gt;&lt;/EndNote&gt;</w:instrText>
      </w:r>
      <w:r w:rsidRPr="00E74965">
        <w:rPr>
          <w:rFonts w:cs="Arial"/>
          <w:szCs w:val="24"/>
        </w:rPr>
        <w:fldChar w:fldCharType="separate"/>
      </w:r>
      <w:r w:rsidRPr="00E74965">
        <w:rPr>
          <w:rFonts w:cs="Arial"/>
          <w:noProof/>
          <w:szCs w:val="24"/>
        </w:rPr>
        <w:t>Rice, 2002</w:t>
      </w:r>
      <w:r w:rsidRPr="00E74965">
        <w:rPr>
          <w:rFonts w:cs="Arial"/>
          <w:szCs w:val="24"/>
        </w:rPr>
        <w:fldChar w:fldCharType="end"/>
      </w:r>
      <w:r w:rsidRPr="00E74965">
        <w:rPr>
          <w:rFonts w:cs="Arial"/>
          <w:szCs w:val="24"/>
        </w:rPr>
        <w:t>) and the Revised Economic Analysis for the Amended Inventory Update Rule: Final Report (EPA, 2001). The estimated fully loaded hourly wage rate for a technical worker in this industry is $77.78. The estimated fully loaded hourly wage rate for a manager in this industry is $83.28. The estimated fully loaded hourly wage rate for clerical staff in this industry is $33.57.</w:t>
      </w:r>
    </w:p>
    <w:p w:rsidRPr="00E74965" w:rsidR="00CA22F5" w:rsidP="00CA22F5" w:rsidRDefault="00CA22F5" w14:paraId="6884E174" w14:textId="77777777">
      <w:pPr>
        <w:pStyle w:val="NoSpacing"/>
        <w:rPr>
          <w:rFonts w:cs="Arial"/>
          <w:szCs w:val="24"/>
          <w:highlight w:val="yellow"/>
        </w:rPr>
      </w:pPr>
    </w:p>
    <w:p w:rsidRPr="00E74965" w:rsidR="00CA22F5" w:rsidP="00CA22F5" w:rsidRDefault="00CA22F5" w14:paraId="4CCA100F" w14:textId="77777777">
      <w:pPr>
        <w:pStyle w:val="NoSpacing"/>
        <w:keepNext/>
        <w:keepLines/>
        <w:rPr>
          <w:rFonts w:cs="Arial"/>
          <w:szCs w:val="24"/>
        </w:rPr>
      </w:pPr>
      <w:r w:rsidRPr="00E74965">
        <w:rPr>
          <w:rFonts w:cs="Arial"/>
          <w:b/>
          <w:szCs w:val="24"/>
        </w:rPr>
        <w:lastRenderedPageBreak/>
        <w:t>Table 1: Industry Wage Rates</w:t>
      </w:r>
    </w:p>
    <w:tbl>
      <w:tblPr>
        <w:tblW w:w="10844" w:type="dxa"/>
        <w:tblLook w:val="04A0" w:firstRow="1" w:lastRow="0" w:firstColumn="1" w:lastColumn="0" w:noHBand="0" w:noVBand="1"/>
      </w:tblPr>
      <w:tblGrid>
        <w:gridCol w:w="2445"/>
        <w:gridCol w:w="1795"/>
        <w:gridCol w:w="1299"/>
        <w:gridCol w:w="1656"/>
        <w:gridCol w:w="2119"/>
        <w:gridCol w:w="1530"/>
      </w:tblGrid>
      <w:tr w:rsidRPr="00E74965" w:rsidR="00CA22F5" w:rsidTr="00D878F2" w14:paraId="0053F2AF" w14:textId="77777777">
        <w:trPr>
          <w:trHeight w:val="810"/>
        </w:trPr>
        <w:tc>
          <w:tcPr>
            <w:tcW w:w="2445" w:type="dxa"/>
            <w:vMerge w:val="restart"/>
            <w:tcBorders>
              <w:top w:val="single" w:color="auto" w:sz="4" w:space="0"/>
              <w:left w:val="single" w:color="auto" w:sz="4" w:space="0"/>
              <w:bottom w:val="single" w:color="auto" w:sz="4" w:space="0"/>
              <w:right w:val="single" w:color="auto" w:sz="4" w:space="0"/>
            </w:tcBorders>
            <w:shd w:val="clear" w:color="000000" w:fill="C3C6A8"/>
            <w:vAlign w:val="center"/>
            <w:hideMark/>
          </w:tcPr>
          <w:p w:rsidRPr="00E74965" w:rsidR="00CA22F5" w:rsidP="00D878F2" w:rsidRDefault="00CA22F5" w14:paraId="7ED6DF05" w14:textId="77777777">
            <w:pPr>
              <w:keepNext/>
              <w:keepLines/>
              <w:jc w:val="center"/>
              <w:rPr>
                <w:rFonts w:eastAsia="Times New Roman" w:cs="Arial"/>
                <w:b/>
                <w:bCs/>
                <w:szCs w:val="24"/>
              </w:rPr>
            </w:pPr>
            <w:r w:rsidRPr="00E74965">
              <w:rPr>
                <w:rFonts w:eastAsia="Times New Roman" w:cs="Arial"/>
                <w:b/>
                <w:bCs/>
                <w:szCs w:val="24"/>
              </w:rPr>
              <w:t>Labor Type</w:t>
            </w:r>
          </w:p>
        </w:tc>
        <w:tc>
          <w:tcPr>
            <w:tcW w:w="1795" w:type="dxa"/>
            <w:tcBorders>
              <w:top w:val="single" w:color="auto" w:sz="4" w:space="0"/>
              <w:left w:val="nil"/>
              <w:bottom w:val="single" w:color="auto" w:sz="4" w:space="0"/>
              <w:right w:val="single" w:color="auto" w:sz="4" w:space="0"/>
            </w:tcBorders>
            <w:shd w:val="clear" w:color="000000" w:fill="C3C6A8"/>
            <w:vAlign w:val="center"/>
            <w:hideMark/>
          </w:tcPr>
          <w:p w:rsidRPr="00E74965" w:rsidR="00CA22F5" w:rsidP="00D878F2" w:rsidRDefault="00CA22F5" w14:paraId="1436BF46" w14:textId="77777777">
            <w:pPr>
              <w:keepNext/>
              <w:keepLines/>
              <w:jc w:val="center"/>
              <w:rPr>
                <w:rFonts w:eastAsia="Times New Roman" w:cs="Arial"/>
                <w:b/>
                <w:bCs/>
                <w:szCs w:val="24"/>
              </w:rPr>
            </w:pPr>
            <w:r w:rsidRPr="00E74965">
              <w:rPr>
                <w:rFonts w:eastAsia="Times New Roman" w:cs="Arial"/>
                <w:b/>
                <w:bCs/>
                <w:szCs w:val="24"/>
              </w:rPr>
              <w:t>Wage</w:t>
            </w:r>
          </w:p>
        </w:tc>
        <w:tc>
          <w:tcPr>
            <w:tcW w:w="1299" w:type="dxa"/>
            <w:tcBorders>
              <w:top w:val="single" w:color="auto" w:sz="4" w:space="0"/>
              <w:left w:val="nil"/>
              <w:bottom w:val="single" w:color="auto" w:sz="4" w:space="0"/>
              <w:right w:val="single" w:color="auto" w:sz="4" w:space="0"/>
            </w:tcBorders>
            <w:shd w:val="clear" w:color="000000" w:fill="C3C6A8"/>
            <w:vAlign w:val="center"/>
            <w:hideMark/>
          </w:tcPr>
          <w:p w:rsidRPr="00E74965" w:rsidR="00CA22F5" w:rsidP="00D878F2" w:rsidRDefault="00CA22F5" w14:paraId="1354AF08" w14:textId="77777777">
            <w:pPr>
              <w:keepNext/>
              <w:keepLines/>
              <w:jc w:val="center"/>
              <w:rPr>
                <w:rFonts w:eastAsia="Times New Roman" w:cs="Arial"/>
                <w:b/>
                <w:bCs/>
                <w:szCs w:val="24"/>
              </w:rPr>
            </w:pPr>
            <w:r w:rsidRPr="00E74965">
              <w:rPr>
                <w:rFonts w:eastAsia="Times New Roman" w:cs="Arial"/>
                <w:b/>
                <w:bCs/>
                <w:szCs w:val="24"/>
              </w:rPr>
              <w:t>Fringes as % Wage</w:t>
            </w:r>
          </w:p>
        </w:tc>
        <w:tc>
          <w:tcPr>
            <w:tcW w:w="1656" w:type="dxa"/>
            <w:tcBorders>
              <w:top w:val="single" w:color="auto" w:sz="4" w:space="0"/>
              <w:left w:val="nil"/>
              <w:bottom w:val="single" w:color="auto" w:sz="4" w:space="0"/>
              <w:right w:val="single" w:color="auto" w:sz="4" w:space="0"/>
            </w:tcBorders>
            <w:shd w:val="clear" w:color="000000" w:fill="C3C6A8"/>
            <w:vAlign w:val="center"/>
            <w:hideMark/>
          </w:tcPr>
          <w:p w:rsidRPr="00E74965" w:rsidR="00CA22F5" w:rsidP="00D878F2" w:rsidRDefault="00CA22F5" w14:paraId="32CB8E23" w14:textId="77777777">
            <w:pPr>
              <w:keepNext/>
              <w:keepLines/>
              <w:jc w:val="center"/>
              <w:rPr>
                <w:rFonts w:eastAsia="Times New Roman" w:cs="Arial"/>
                <w:b/>
                <w:bCs/>
                <w:szCs w:val="24"/>
              </w:rPr>
            </w:pPr>
            <w:r w:rsidRPr="00E74965">
              <w:rPr>
                <w:rFonts w:eastAsia="Times New Roman" w:cs="Arial"/>
                <w:b/>
                <w:bCs/>
                <w:szCs w:val="24"/>
              </w:rPr>
              <w:t xml:space="preserve">Over-head % wage </w:t>
            </w:r>
            <w:r w:rsidRPr="00E74965">
              <w:rPr>
                <w:rFonts w:eastAsia="Times New Roman" w:cs="Arial"/>
                <w:b/>
                <w:bCs/>
                <w:szCs w:val="24"/>
                <w:vertAlign w:val="superscript"/>
              </w:rPr>
              <w:t>a</w:t>
            </w:r>
          </w:p>
        </w:tc>
        <w:tc>
          <w:tcPr>
            <w:tcW w:w="2119" w:type="dxa"/>
            <w:tcBorders>
              <w:top w:val="single" w:color="auto" w:sz="4" w:space="0"/>
              <w:left w:val="nil"/>
              <w:bottom w:val="single" w:color="auto" w:sz="4" w:space="0"/>
              <w:right w:val="single" w:color="auto" w:sz="4" w:space="0"/>
            </w:tcBorders>
            <w:shd w:val="clear" w:color="000000" w:fill="C3C6A8"/>
            <w:vAlign w:val="center"/>
            <w:hideMark/>
          </w:tcPr>
          <w:p w:rsidRPr="00E74965" w:rsidR="00CA22F5" w:rsidP="00D878F2" w:rsidRDefault="00CA22F5" w14:paraId="4618B273" w14:textId="77777777">
            <w:pPr>
              <w:keepNext/>
              <w:keepLines/>
              <w:jc w:val="center"/>
              <w:rPr>
                <w:rFonts w:eastAsia="Times New Roman" w:cs="Arial"/>
                <w:b/>
                <w:bCs/>
                <w:szCs w:val="24"/>
              </w:rPr>
            </w:pPr>
            <w:r w:rsidRPr="00E74965">
              <w:rPr>
                <w:rFonts w:eastAsia="Times New Roman" w:cs="Arial"/>
                <w:b/>
                <w:bCs/>
                <w:szCs w:val="24"/>
              </w:rPr>
              <w:t xml:space="preserve">Fringe + Overhead Factor </w:t>
            </w:r>
            <w:r w:rsidRPr="00E74965">
              <w:rPr>
                <w:rFonts w:eastAsia="Times New Roman" w:cs="Arial"/>
                <w:b/>
                <w:bCs/>
                <w:szCs w:val="24"/>
                <w:vertAlign w:val="superscript"/>
              </w:rPr>
              <w:t>b</w:t>
            </w:r>
          </w:p>
        </w:tc>
        <w:tc>
          <w:tcPr>
            <w:tcW w:w="1530" w:type="dxa"/>
            <w:tcBorders>
              <w:top w:val="single" w:color="auto" w:sz="4" w:space="0"/>
              <w:left w:val="nil"/>
              <w:bottom w:val="single" w:color="auto" w:sz="4" w:space="0"/>
              <w:right w:val="single" w:color="auto" w:sz="4" w:space="0"/>
            </w:tcBorders>
            <w:shd w:val="clear" w:color="000000" w:fill="C3C6A8"/>
            <w:vAlign w:val="center"/>
            <w:hideMark/>
          </w:tcPr>
          <w:p w:rsidRPr="00E74965" w:rsidR="00CA22F5" w:rsidP="00D878F2" w:rsidRDefault="00CA22F5" w14:paraId="3C82C889" w14:textId="77777777">
            <w:pPr>
              <w:keepNext/>
              <w:keepLines/>
              <w:jc w:val="center"/>
              <w:rPr>
                <w:rFonts w:eastAsia="Times New Roman" w:cs="Arial"/>
                <w:b/>
                <w:bCs/>
                <w:szCs w:val="24"/>
              </w:rPr>
            </w:pPr>
            <w:r w:rsidRPr="00E74965">
              <w:rPr>
                <w:rFonts w:eastAsia="Times New Roman" w:cs="Arial"/>
                <w:b/>
                <w:bCs/>
                <w:szCs w:val="24"/>
              </w:rPr>
              <w:t xml:space="preserve">Loaded Wages </w:t>
            </w:r>
            <w:r w:rsidRPr="00E74965">
              <w:rPr>
                <w:rFonts w:eastAsia="Times New Roman" w:cs="Arial"/>
                <w:b/>
                <w:bCs/>
                <w:szCs w:val="24"/>
                <w:vertAlign w:val="superscript"/>
              </w:rPr>
              <w:t>c</w:t>
            </w:r>
          </w:p>
        </w:tc>
      </w:tr>
      <w:tr w:rsidRPr="00E74965" w:rsidR="00CA22F5" w:rsidTr="00D878F2" w14:paraId="59B0EF94" w14:textId="77777777">
        <w:trPr>
          <w:trHeight w:val="435"/>
        </w:trPr>
        <w:tc>
          <w:tcPr>
            <w:tcW w:w="2445" w:type="dxa"/>
            <w:vMerge/>
            <w:tcBorders>
              <w:top w:val="single" w:color="auto" w:sz="4" w:space="0"/>
              <w:left w:val="single" w:color="auto" w:sz="4" w:space="0"/>
              <w:bottom w:val="single" w:color="auto" w:sz="4" w:space="0"/>
              <w:right w:val="single" w:color="auto" w:sz="4" w:space="0"/>
            </w:tcBorders>
            <w:vAlign w:val="center"/>
            <w:hideMark/>
          </w:tcPr>
          <w:p w:rsidRPr="00E74965" w:rsidR="00CA22F5" w:rsidP="00D878F2" w:rsidRDefault="00CA22F5" w14:paraId="2F91DEEB" w14:textId="77777777">
            <w:pPr>
              <w:keepNext/>
              <w:keepLines/>
              <w:rPr>
                <w:rFonts w:eastAsia="Times New Roman" w:cs="Arial"/>
                <w:b/>
                <w:bCs/>
                <w:szCs w:val="24"/>
              </w:rPr>
            </w:pPr>
          </w:p>
        </w:tc>
        <w:tc>
          <w:tcPr>
            <w:tcW w:w="1795" w:type="dxa"/>
            <w:tcBorders>
              <w:top w:val="nil"/>
              <w:left w:val="nil"/>
              <w:bottom w:val="single" w:color="auto" w:sz="4" w:space="0"/>
              <w:right w:val="single" w:color="auto" w:sz="4" w:space="0"/>
            </w:tcBorders>
            <w:shd w:val="clear" w:color="000000" w:fill="C3C6A8"/>
            <w:vAlign w:val="center"/>
            <w:hideMark/>
          </w:tcPr>
          <w:p w:rsidRPr="00E74965" w:rsidR="00CA22F5" w:rsidP="00D878F2" w:rsidRDefault="00CA22F5" w14:paraId="0A21B1D2" w14:textId="77777777">
            <w:pPr>
              <w:keepNext/>
              <w:keepLines/>
              <w:jc w:val="center"/>
              <w:rPr>
                <w:rFonts w:eastAsia="Times New Roman" w:cs="Arial"/>
                <w:b/>
                <w:bCs/>
                <w:szCs w:val="24"/>
              </w:rPr>
            </w:pPr>
            <w:r w:rsidRPr="00E74965">
              <w:rPr>
                <w:rFonts w:eastAsia="Times New Roman" w:cs="Arial"/>
                <w:b/>
                <w:bCs/>
                <w:szCs w:val="24"/>
              </w:rPr>
              <w:t>(a)</w:t>
            </w:r>
          </w:p>
        </w:tc>
        <w:tc>
          <w:tcPr>
            <w:tcW w:w="1299" w:type="dxa"/>
            <w:tcBorders>
              <w:top w:val="nil"/>
              <w:left w:val="nil"/>
              <w:bottom w:val="single" w:color="auto" w:sz="4" w:space="0"/>
              <w:right w:val="single" w:color="auto" w:sz="4" w:space="0"/>
            </w:tcBorders>
            <w:shd w:val="clear" w:color="000000" w:fill="C3C6A8"/>
            <w:vAlign w:val="center"/>
            <w:hideMark/>
          </w:tcPr>
          <w:p w:rsidRPr="00E74965" w:rsidR="00CA22F5" w:rsidP="00D878F2" w:rsidRDefault="00CA22F5" w14:paraId="49AF7BFD" w14:textId="77777777">
            <w:pPr>
              <w:keepNext/>
              <w:keepLines/>
              <w:jc w:val="center"/>
              <w:rPr>
                <w:rFonts w:eastAsia="Times New Roman" w:cs="Arial"/>
                <w:b/>
                <w:bCs/>
                <w:szCs w:val="24"/>
              </w:rPr>
            </w:pPr>
            <w:r w:rsidRPr="00E74965">
              <w:rPr>
                <w:rFonts w:eastAsia="Times New Roman" w:cs="Arial"/>
                <w:b/>
                <w:bCs/>
                <w:szCs w:val="24"/>
              </w:rPr>
              <w:t>(b)</w:t>
            </w:r>
          </w:p>
        </w:tc>
        <w:tc>
          <w:tcPr>
            <w:tcW w:w="1656" w:type="dxa"/>
            <w:tcBorders>
              <w:top w:val="nil"/>
              <w:left w:val="nil"/>
              <w:bottom w:val="single" w:color="auto" w:sz="4" w:space="0"/>
              <w:right w:val="single" w:color="auto" w:sz="4" w:space="0"/>
            </w:tcBorders>
            <w:shd w:val="clear" w:color="000000" w:fill="C3C6A8"/>
            <w:vAlign w:val="center"/>
            <w:hideMark/>
          </w:tcPr>
          <w:p w:rsidRPr="00E74965" w:rsidR="00CA22F5" w:rsidP="00D878F2" w:rsidRDefault="00CA22F5" w14:paraId="6C346350" w14:textId="77777777">
            <w:pPr>
              <w:keepNext/>
              <w:keepLines/>
              <w:jc w:val="center"/>
              <w:rPr>
                <w:rFonts w:eastAsia="Times New Roman" w:cs="Arial"/>
                <w:b/>
                <w:bCs/>
                <w:szCs w:val="24"/>
              </w:rPr>
            </w:pPr>
            <w:r w:rsidRPr="00E74965">
              <w:rPr>
                <w:rFonts w:eastAsia="Times New Roman" w:cs="Arial"/>
                <w:b/>
                <w:bCs/>
                <w:szCs w:val="24"/>
              </w:rPr>
              <w:t>(c)</w:t>
            </w:r>
          </w:p>
        </w:tc>
        <w:tc>
          <w:tcPr>
            <w:tcW w:w="2119" w:type="dxa"/>
            <w:tcBorders>
              <w:top w:val="nil"/>
              <w:left w:val="nil"/>
              <w:bottom w:val="single" w:color="auto" w:sz="4" w:space="0"/>
              <w:right w:val="single" w:color="auto" w:sz="4" w:space="0"/>
            </w:tcBorders>
            <w:shd w:val="clear" w:color="000000" w:fill="C3C6A8"/>
            <w:vAlign w:val="center"/>
            <w:hideMark/>
          </w:tcPr>
          <w:p w:rsidRPr="00E74965" w:rsidR="00CA22F5" w:rsidP="00D878F2" w:rsidRDefault="00CA22F5" w14:paraId="30D2DC10" w14:textId="77777777">
            <w:pPr>
              <w:keepNext/>
              <w:keepLines/>
              <w:jc w:val="center"/>
              <w:rPr>
                <w:rFonts w:eastAsia="Times New Roman" w:cs="Arial"/>
                <w:b/>
                <w:bCs/>
                <w:szCs w:val="24"/>
              </w:rPr>
            </w:pPr>
            <w:r w:rsidRPr="00E74965">
              <w:rPr>
                <w:rFonts w:eastAsia="Times New Roman" w:cs="Arial"/>
                <w:b/>
                <w:bCs/>
                <w:szCs w:val="24"/>
              </w:rPr>
              <w:t>(d)=(b)+(c)+1</w:t>
            </w:r>
          </w:p>
        </w:tc>
        <w:tc>
          <w:tcPr>
            <w:tcW w:w="1530" w:type="dxa"/>
            <w:tcBorders>
              <w:top w:val="nil"/>
              <w:left w:val="nil"/>
              <w:bottom w:val="single" w:color="auto" w:sz="4" w:space="0"/>
              <w:right w:val="single" w:color="auto" w:sz="4" w:space="0"/>
            </w:tcBorders>
            <w:shd w:val="clear" w:color="000000" w:fill="C3C6A8"/>
            <w:vAlign w:val="center"/>
            <w:hideMark/>
          </w:tcPr>
          <w:p w:rsidRPr="00E74965" w:rsidR="00CA22F5" w:rsidP="00D878F2" w:rsidRDefault="00CA22F5" w14:paraId="24513026" w14:textId="77777777">
            <w:pPr>
              <w:keepNext/>
              <w:keepLines/>
              <w:jc w:val="center"/>
              <w:rPr>
                <w:rFonts w:eastAsia="Times New Roman" w:cs="Arial"/>
                <w:b/>
                <w:bCs/>
                <w:szCs w:val="24"/>
              </w:rPr>
            </w:pPr>
            <w:r w:rsidRPr="00E74965">
              <w:rPr>
                <w:rFonts w:eastAsia="Times New Roman" w:cs="Arial"/>
                <w:b/>
                <w:bCs/>
                <w:szCs w:val="24"/>
              </w:rPr>
              <w:t>(a)×(d)</w:t>
            </w:r>
          </w:p>
        </w:tc>
      </w:tr>
      <w:tr w:rsidRPr="00E74965" w:rsidR="00CA22F5" w:rsidTr="00D878F2" w14:paraId="3A4DD01A" w14:textId="77777777">
        <w:trPr>
          <w:trHeight w:val="350"/>
        </w:trPr>
        <w:tc>
          <w:tcPr>
            <w:tcW w:w="2445" w:type="dxa"/>
            <w:tcBorders>
              <w:top w:val="nil"/>
              <w:left w:val="single" w:color="auto" w:sz="4" w:space="0"/>
              <w:bottom w:val="single" w:color="auto" w:sz="4" w:space="0"/>
              <w:right w:val="single" w:color="auto" w:sz="4" w:space="0"/>
            </w:tcBorders>
            <w:shd w:val="clear" w:color="auto" w:fill="auto"/>
            <w:vAlign w:val="center"/>
            <w:hideMark/>
          </w:tcPr>
          <w:p w:rsidRPr="00E74965" w:rsidR="00CA22F5" w:rsidP="00D878F2" w:rsidRDefault="00CA22F5" w14:paraId="73E3EF6F" w14:textId="77777777">
            <w:pPr>
              <w:keepNext/>
              <w:keepLines/>
              <w:rPr>
                <w:rFonts w:eastAsia="Times New Roman" w:cs="Arial"/>
                <w:color w:val="000000"/>
                <w:szCs w:val="24"/>
              </w:rPr>
            </w:pPr>
            <w:r w:rsidRPr="00E74965">
              <w:rPr>
                <w:rFonts w:eastAsia="Times New Roman" w:cs="Arial"/>
                <w:color w:val="000000"/>
                <w:szCs w:val="24"/>
              </w:rPr>
              <w:t>Professional / Technical</w:t>
            </w:r>
          </w:p>
        </w:tc>
        <w:tc>
          <w:tcPr>
            <w:tcW w:w="1795"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0A655A08" w14:textId="77777777">
            <w:pPr>
              <w:keepNext/>
              <w:keepLines/>
              <w:jc w:val="right"/>
              <w:rPr>
                <w:rFonts w:eastAsia="Times New Roman" w:cs="Arial"/>
                <w:color w:val="000000"/>
                <w:szCs w:val="24"/>
              </w:rPr>
            </w:pPr>
            <w:r w:rsidRPr="00E74965">
              <w:rPr>
                <w:rFonts w:cs="Arial"/>
                <w:color w:val="000000"/>
                <w:szCs w:val="24"/>
              </w:rPr>
              <w:t xml:space="preserve">$46.65 </w:t>
            </w:r>
          </w:p>
        </w:tc>
        <w:tc>
          <w:tcPr>
            <w:tcW w:w="129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6D3B9D2D" w14:textId="77777777">
            <w:pPr>
              <w:keepNext/>
              <w:keepLines/>
              <w:jc w:val="right"/>
              <w:rPr>
                <w:rFonts w:eastAsia="Times New Roman" w:cs="Arial"/>
                <w:color w:val="000000"/>
                <w:szCs w:val="24"/>
              </w:rPr>
            </w:pPr>
            <w:r w:rsidRPr="00E74965">
              <w:rPr>
                <w:rFonts w:cs="Arial"/>
                <w:color w:val="000000"/>
                <w:szCs w:val="24"/>
              </w:rPr>
              <w:t>50%</w:t>
            </w:r>
          </w:p>
        </w:tc>
        <w:tc>
          <w:tcPr>
            <w:tcW w:w="1656"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2309B100" w14:textId="77777777">
            <w:pPr>
              <w:keepNext/>
              <w:keepLines/>
              <w:jc w:val="right"/>
              <w:rPr>
                <w:rFonts w:eastAsia="Times New Roman" w:cs="Arial"/>
                <w:color w:val="000000"/>
                <w:szCs w:val="24"/>
              </w:rPr>
            </w:pPr>
            <w:r w:rsidRPr="00E74965">
              <w:rPr>
                <w:rFonts w:cs="Arial"/>
                <w:color w:val="000000"/>
                <w:szCs w:val="24"/>
              </w:rPr>
              <w:t>17%</w:t>
            </w:r>
          </w:p>
        </w:tc>
        <w:tc>
          <w:tcPr>
            <w:tcW w:w="211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45D804F9" w14:textId="77777777">
            <w:pPr>
              <w:keepNext/>
              <w:keepLines/>
              <w:jc w:val="right"/>
              <w:rPr>
                <w:rFonts w:eastAsia="Times New Roman" w:cs="Arial"/>
                <w:color w:val="000000"/>
                <w:szCs w:val="24"/>
              </w:rPr>
            </w:pPr>
            <w:r w:rsidRPr="00E74965">
              <w:rPr>
                <w:rFonts w:cs="Arial"/>
                <w:color w:val="000000"/>
                <w:szCs w:val="24"/>
              </w:rPr>
              <w:t>1.67</w:t>
            </w:r>
          </w:p>
        </w:tc>
        <w:tc>
          <w:tcPr>
            <w:tcW w:w="1530"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0B43923C" w14:textId="77777777">
            <w:pPr>
              <w:keepNext/>
              <w:keepLines/>
              <w:jc w:val="right"/>
              <w:rPr>
                <w:rFonts w:eastAsia="Times New Roman" w:cs="Arial"/>
                <w:color w:val="000000"/>
                <w:szCs w:val="24"/>
              </w:rPr>
            </w:pPr>
            <w:r w:rsidRPr="00E74965">
              <w:rPr>
                <w:rFonts w:cs="Arial"/>
                <w:color w:val="000000"/>
                <w:szCs w:val="24"/>
              </w:rPr>
              <w:t xml:space="preserve">$77.78 </w:t>
            </w:r>
          </w:p>
        </w:tc>
      </w:tr>
      <w:tr w:rsidRPr="00E74965" w:rsidR="00CA22F5" w:rsidTr="00D878F2" w14:paraId="696756A9" w14:textId="77777777">
        <w:trPr>
          <w:trHeight w:val="350"/>
        </w:trPr>
        <w:tc>
          <w:tcPr>
            <w:tcW w:w="2445" w:type="dxa"/>
            <w:tcBorders>
              <w:top w:val="nil"/>
              <w:left w:val="single" w:color="auto" w:sz="4" w:space="0"/>
              <w:bottom w:val="single" w:color="auto" w:sz="4" w:space="0"/>
              <w:right w:val="single" w:color="auto" w:sz="4" w:space="0"/>
            </w:tcBorders>
            <w:shd w:val="clear" w:color="auto" w:fill="auto"/>
            <w:vAlign w:val="center"/>
            <w:hideMark/>
          </w:tcPr>
          <w:p w:rsidRPr="00E74965" w:rsidR="00CA22F5" w:rsidP="00D878F2" w:rsidRDefault="00CA22F5" w14:paraId="56355A26" w14:textId="77777777">
            <w:pPr>
              <w:keepNext/>
              <w:keepLines/>
              <w:rPr>
                <w:rFonts w:eastAsia="Times New Roman" w:cs="Arial"/>
                <w:color w:val="000000"/>
                <w:szCs w:val="24"/>
              </w:rPr>
            </w:pPr>
            <w:r w:rsidRPr="00E74965">
              <w:rPr>
                <w:rFonts w:eastAsia="Times New Roman" w:cs="Arial"/>
                <w:color w:val="000000"/>
                <w:szCs w:val="24"/>
              </w:rPr>
              <w:t>Managerial</w:t>
            </w:r>
          </w:p>
        </w:tc>
        <w:tc>
          <w:tcPr>
            <w:tcW w:w="1795"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57D04270" w14:textId="77777777">
            <w:pPr>
              <w:keepNext/>
              <w:keepLines/>
              <w:jc w:val="right"/>
              <w:rPr>
                <w:rFonts w:eastAsia="Times New Roman" w:cs="Arial"/>
                <w:color w:val="000000"/>
                <w:szCs w:val="24"/>
              </w:rPr>
            </w:pPr>
            <w:r w:rsidRPr="00E74965">
              <w:rPr>
                <w:rFonts w:cs="Arial"/>
                <w:color w:val="000000"/>
                <w:szCs w:val="24"/>
              </w:rPr>
              <w:t xml:space="preserve">$51.65 </w:t>
            </w:r>
          </w:p>
        </w:tc>
        <w:tc>
          <w:tcPr>
            <w:tcW w:w="129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6B91AC56" w14:textId="77777777">
            <w:pPr>
              <w:keepNext/>
              <w:keepLines/>
              <w:jc w:val="right"/>
              <w:rPr>
                <w:rFonts w:eastAsia="Times New Roman" w:cs="Arial"/>
                <w:color w:val="000000"/>
                <w:szCs w:val="24"/>
              </w:rPr>
            </w:pPr>
            <w:r w:rsidRPr="00E74965">
              <w:rPr>
                <w:rFonts w:cs="Arial"/>
                <w:color w:val="000000"/>
                <w:szCs w:val="24"/>
              </w:rPr>
              <w:t>44%</w:t>
            </w:r>
          </w:p>
        </w:tc>
        <w:tc>
          <w:tcPr>
            <w:tcW w:w="1656"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4E8D3D6D" w14:textId="77777777">
            <w:pPr>
              <w:keepNext/>
              <w:keepLines/>
              <w:jc w:val="right"/>
              <w:rPr>
                <w:rFonts w:eastAsia="Times New Roman" w:cs="Arial"/>
                <w:color w:val="000000"/>
                <w:szCs w:val="24"/>
              </w:rPr>
            </w:pPr>
            <w:r w:rsidRPr="00E74965">
              <w:rPr>
                <w:rFonts w:cs="Arial"/>
                <w:color w:val="000000"/>
                <w:szCs w:val="24"/>
              </w:rPr>
              <w:t>17%</w:t>
            </w:r>
          </w:p>
        </w:tc>
        <w:tc>
          <w:tcPr>
            <w:tcW w:w="211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1B7A64E1" w14:textId="77777777">
            <w:pPr>
              <w:keepNext/>
              <w:keepLines/>
              <w:jc w:val="right"/>
              <w:rPr>
                <w:rFonts w:eastAsia="Times New Roman" w:cs="Arial"/>
                <w:color w:val="000000"/>
                <w:szCs w:val="24"/>
              </w:rPr>
            </w:pPr>
            <w:r w:rsidRPr="00E74965">
              <w:rPr>
                <w:rFonts w:cs="Arial"/>
                <w:color w:val="000000"/>
                <w:szCs w:val="24"/>
              </w:rPr>
              <w:t>1.61</w:t>
            </w:r>
          </w:p>
        </w:tc>
        <w:tc>
          <w:tcPr>
            <w:tcW w:w="1530"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417CBCE4" w14:textId="77777777">
            <w:pPr>
              <w:keepNext/>
              <w:keepLines/>
              <w:jc w:val="right"/>
              <w:rPr>
                <w:rFonts w:eastAsia="Times New Roman" w:cs="Arial"/>
                <w:color w:val="000000"/>
                <w:szCs w:val="24"/>
              </w:rPr>
            </w:pPr>
            <w:r w:rsidRPr="00E74965">
              <w:rPr>
                <w:rFonts w:cs="Arial"/>
                <w:color w:val="000000"/>
                <w:szCs w:val="24"/>
              </w:rPr>
              <w:t xml:space="preserve">$83.28 </w:t>
            </w:r>
          </w:p>
        </w:tc>
      </w:tr>
      <w:tr w:rsidRPr="00E74965" w:rsidR="00CA22F5" w:rsidTr="00D878F2" w14:paraId="0EB49A49" w14:textId="77777777">
        <w:trPr>
          <w:trHeight w:val="440"/>
        </w:trPr>
        <w:tc>
          <w:tcPr>
            <w:tcW w:w="2445" w:type="dxa"/>
            <w:tcBorders>
              <w:top w:val="nil"/>
              <w:left w:val="single" w:color="auto" w:sz="4" w:space="0"/>
              <w:bottom w:val="single" w:color="auto" w:sz="4" w:space="0"/>
              <w:right w:val="single" w:color="auto" w:sz="4" w:space="0"/>
            </w:tcBorders>
            <w:shd w:val="clear" w:color="auto" w:fill="auto"/>
            <w:vAlign w:val="center"/>
            <w:hideMark/>
          </w:tcPr>
          <w:p w:rsidRPr="00E74965" w:rsidR="00CA22F5" w:rsidP="00D878F2" w:rsidRDefault="00CA22F5" w14:paraId="3C747773" w14:textId="77777777">
            <w:pPr>
              <w:keepNext/>
              <w:keepLines/>
              <w:rPr>
                <w:rFonts w:eastAsia="Times New Roman" w:cs="Arial"/>
                <w:color w:val="000000"/>
                <w:szCs w:val="24"/>
              </w:rPr>
            </w:pPr>
            <w:r w:rsidRPr="00E74965">
              <w:rPr>
                <w:rFonts w:eastAsia="Times New Roman" w:cs="Arial"/>
                <w:color w:val="000000"/>
                <w:szCs w:val="24"/>
              </w:rPr>
              <w:t>Clerical</w:t>
            </w:r>
          </w:p>
        </w:tc>
        <w:tc>
          <w:tcPr>
            <w:tcW w:w="1795"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5B173963" w14:textId="77777777">
            <w:pPr>
              <w:keepNext/>
              <w:keepLines/>
              <w:jc w:val="right"/>
              <w:rPr>
                <w:rFonts w:eastAsia="Times New Roman" w:cs="Arial"/>
                <w:color w:val="000000"/>
                <w:szCs w:val="24"/>
              </w:rPr>
            </w:pPr>
            <w:r w:rsidRPr="00E74965">
              <w:rPr>
                <w:rFonts w:cs="Arial"/>
                <w:color w:val="000000"/>
                <w:szCs w:val="24"/>
              </w:rPr>
              <w:t xml:space="preserve">$20.54 </w:t>
            </w:r>
          </w:p>
        </w:tc>
        <w:tc>
          <w:tcPr>
            <w:tcW w:w="129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2501772A" w14:textId="77777777">
            <w:pPr>
              <w:keepNext/>
              <w:keepLines/>
              <w:jc w:val="right"/>
              <w:rPr>
                <w:rFonts w:eastAsia="Times New Roman" w:cs="Arial"/>
                <w:color w:val="000000"/>
                <w:szCs w:val="24"/>
              </w:rPr>
            </w:pPr>
            <w:r w:rsidRPr="00E74965">
              <w:rPr>
                <w:rFonts w:cs="Arial"/>
                <w:color w:val="000000"/>
                <w:szCs w:val="24"/>
              </w:rPr>
              <w:t>46%</w:t>
            </w:r>
          </w:p>
        </w:tc>
        <w:tc>
          <w:tcPr>
            <w:tcW w:w="1656"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444544D3" w14:textId="77777777">
            <w:pPr>
              <w:keepNext/>
              <w:keepLines/>
              <w:jc w:val="right"/>
              <w:rPr>
                <w:rFonts w:eastAsia="Times New Roman" w:cs="Arial"/>
                <w:color w:val="000000"/>
                <w:szCs w:val="24"/>
              </w:rPr>
            </w:pPr>
            <w:r w:rsidRPr="00E74965">
              <w:rPr>
                <w:rFonts w:cs="Arial"/>
                <w:color w:val="000000"/>
                <w:szCs w:val="24"/>
              </w:rPr>
              <w:t>17%</w:t>
            </w:r>
          </w:p>
        </w:tc>
        <w:tc>
          <w:tcPr>
            <w:tcW w:w="2119"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306E1FD4" w14:textId="77777777">
            <w:pPr>
              <w:keepNext/>
              <w:keepLines/>
              <w:jc w:val="right"/>
              <w:rPr>
                <w:rFonts w:eastAsia="Times New Roman" w:cs="Arial"/>
                <w:color w:val="000000"/>
                <w:szCs w:val="24"/>
              </w:rPr>
            </w:pPr>
            <w:r w:rsidRPr="00E74965">
              <w:rPr>
                <w:rFonts w:cs="Arial"/>
                <w:color w:val="000000"/>
                <w:szCs w:val="24"/>
              </w:rPr>
              <w:t>1.63</w:t>
            </w:r>
          </w:p>
        </w:tc>
        <w:tc>
          <w:tcPr>
            <w:tcW w:w="1530" w:type="dxa"/>
            <w:tcBorders>
              <w:top w:val="nil"/>
              <w:left w:val="nil"/>
              <w:bottom w:val="single" w:color="auto" w:sz="4" w:space="0"/>
              <w:right w:val="single" w:color="auto" w:sz="4" w:space="0"/>
            </w:tcBorders>
            <w:shd w:val="clear" w:color="auto" w:fill="auto"/>
            <w:vAlign w:val="center"/>
            <w:hideMark/>
          </w:tcPr>
          <w:p w:rsidRPr="00E74965" w:rsidR="00CA22F5" w:rsidP="00D878F2" w:rsidRDefault="00CA22F5" w14:paraId="0BC7E54E" w14:textId="77777777">
            <w:pPr>
              <w:keepNext/>
              <w:keepLines/>
              <w:jc w:val="right"/>
              <w:rPr>
                <w:rFonts w:eastAsia="Times New Roman" w:cs="Arial"/>
                <w:color w:val="000000"/>
                <w:szCs w:val="24"/>
              </w:rPr>
            </w:pPr>
            <w:r w:rsidRPr="00E74965">
              <w:rPr>
                <w:rFonts w:cs="Arial"/>
                <w:color w:val="000000"/>
                <w:szCs w:val="24"/>
              </w:rPr>
              <w:t xml:space="preserve">$33.57 </w:t>
            </w:r>
          </w:p>
        </w:tc>
      </w:tr>
      <w:tr w:rsidRPr="00E74965" w:rsidR="00CA22F5" w:rsidTr="00D878F2" w14:paraId="7D595BD4" w14:textId="77777777">
        <w:trPr>
          <w:trHeight w:val="1200"/>
        </w:trPr>
        <w:tc>
          <w:tcPr>
            <w:tcW w:w="10844" w:type="dxa"/>
            <w:gridSpan w:val="6"/>
            <w:tcBorders>
              <w:top w:val="single" w:color="auto" w:sz="4" w:space="0"/>
              <w:left w:val="single" w:color="auto" w:sz="4" w:space="0"/>
              <w:bottom w:val="single" w:color="auto" w:sz="4" w:space="0"/>
              <w:right w:val="single" w:color="auto" w:sz="4" w:space="0"/>
            </w:tcBorders>
            <w:shd w:val="clear" w:color="auto" w:fill="auto"/>
          </w:tcPr>
          <w:p w:rsidRPr="00E74965" w:rsidR="00CA22F5" w:rsidP="00D878F2" w:rsidRDefault="00CA22F5" w14:paraId="418F97CB" w14:textId="77777777">
            <w:pPr>
              <w:keepNext/>
              <w:keepLines/>
              <w:rPr>
                <w:rFonts w:eastAsia="Times New Roman" w:cs="Arial"/>
                <w:b/>
                <w:color w:val="000000"/>
                <w:szCs w:val="24"/>
              </w:rPr>
            </w:pPr>
            <w:r w:rsidRPr="00E74965">
              <w:rPr>
                <w:rFonts w:eastAsia="Times New Roman" w:cs="Arial"/>
                <w:b/>
                <w:color w:val="000000"/>
                <w:szCs w:val="24"/>
              </w:rPr>
              <w:t>Footnotes:</w:t>
            </w:r>
          </w:p>
          <w:p w:rsidRPr="00E74965" w:rsidR="00CA22F5" w:rsidP="00D878F2" w:rsidRDefault="00CA22F5" w14:paraId="3CBF2635" w14:textId="77777777">
            <w:pPr>
              <w:keepNext/>
              <w:keepLines/>
              <w:rPr>
                <w:rFonts w:eastAsia="Times New Roman" w:cs="Arial"/>
                <w:color w:val="000000"/>
                <w:szCs w:val="24"/>
              </w:rPr>
            </w:pPr>
          </w:p>
          <w:p w:rsidRPr="00E74965" w:rsidR="00CA22F5" w:rsidP="00D878F2" w:rsidRDefault="00CA22F5" w14:paraId="0C298278" w14:textId="77777777">
            <w:pPr>
              <w:keepNext/>
              <w:keepLines/>
              <w:rPr>
                <w:rFonts w:eastAsia="Times New Roman" w:cs="Arial"/>
                <w:color w:val="000000"/>
                <w:szCs w:val="24"/>
              </w:rPr>
            </w:pPr>
            <w:proofErr w:type="spellStart"/>
            <w:r w:rsidRPr="00E74965">
              <w:rPr>
                <w:rFonts w:eastAsia="Times New Roman" w:cs="Arial"/>
                <w:color w:val="000000"/>
                <w:szCs w:val="24"/>
                <w:vertAlign w:val="superscript"/>
              </w:rPr>
              <w:t>a</w:t>
            </w:r>
            <w:proofErr w:type="spellEnd"/>
            <w:r w:rsidRPr="00E74965">
              <w:rPr>
                <w:rFonts w:eastAsia="Times New Roman" w:cs="Arial"/>
                <w:color w:val="000000"/>
                <w:szCs w:val="24"/>
              </w:rPr>
              <w:t xml:space="preserve"> </w:t>
            </w:r>
            <w:proofErr w:type="gramStart"/>
            <w:r w:rsidRPr="00E74965">
              <w:rPr>
                <w:rFonts w:eastAsia="Times New Roman" w:cs="Arial"/>
                <w:color w:val="000000"/>
                <w:szCs w:val="24"/>
              </w:rPr>
              <w:t>An</w:t>
            </w:r>
            <w:proofErr w:type="gramEnd"/>
            <w:r w:rsidRPr="00E74965">
              <w:rPr>
                <w:rFonts w:eastAsia="Times New Roman" w:cs="Arial"/>
                <w:color w:val="000000"/>
                <w:szCs w:val="24"/>
              </w:rPr>
              <w:t xml:space="preserve"> overhead rate of 17% is used based on assumptions in Wage Rates for Economic Analysis of the Toxics Release Inventory Program (Rice, 2002), and the Revised Economic Analysis for the Amended Inventory Update Rule: Final Report (U.S. EPA, 2001).</w:t>
            </w:r>
          </w:p>
          <w:p w:rsidRPr="00E74965" w:rsidR="00CA22F5" w:rsidP="00D878F2" w:rsidRDefault="00CA22F5" w14:paraId="2F7EE673" w14:textId="77777777">
            <w:pPr>
              <w:keepNext/>
              <w:keepLines/>
              <w:rPr>
                <w:rFonts w:eastAsia="Times New Roman" w:cs="Arial"/>
                <w:color w:val="000000"/>
                <w:szCs w:val="24"/>
              </w:rPr>
            </w:pPr>
            <w:r w:rsidRPr="00E74965">
              <w:rPr>
                <w:rFonts w:eastAsia="Times New Roman" w:cs="Arial"/>
                <w:color w:val="000000"/>
                <w:szCs w:val="24"/>
                <w:vertAlign w:val="superscript"/>
              </w:rPr>
              <w:t>b</w:t>
            </w:r>
            <w:r w:rsidRPr="00E74965">
              <w:rPr>
                <w:rFonts w:eastAsia="Times New Roman" w:cs="Arial"/>
                <w:color w:val="000000"/>
                <w:szCs w:val="24"/>
              </w:rPr>
              <w:t xml:space="preserve"> </w:t>
            </w:r>
            <w:proofErr w:type="gramStart"/>
            <w:r w:rsidRPr="00E74965">
              <w:rPr>
                <w:rFonts w:eastAsia="Times New Roman" w:cs="Arial"/>
                <w:color w:val="000000"/>
                <w:szCs w:val="24"/>
              </w:rPr>
              <w:t>The</w:t>
            </w:r>
            <w:proofErr w:type="gramEnd"/>
            <w:r w:rsidRPr="00E74965">
              <w:rPr>
                <w:rFonts w:eastAsia="Times New Roman" w:cs="Arial"/>
                <w:color w:val="000000"/>
                <w:szCs w:val="24"/>
              </w:rPr>
              <w:t xml:space="preserve"> inflation factor of “1” in the formula for calculating the fringe + overhead factor means wage data are not escalated to reflect inflation.</w:t>
            </w:r>
          </w:p>
          <w:p w:rsidRPr="00E74965" w:rsidR="00CA22F5" w:rsidP="00D878F2" w:rsidRDefault="00CA22F5" w14:paraId="325B8DBD" w14:textId="77777777">
            <w:pPr>
              <w:keepNext/>
              <w:keepLines/>
              <w:rPr>
                <w:rFonts w:eastAsia="Times New Roman" w:cs="Arial"/>
                <w:color w:val="000000"/>
                <w:szCs w:val="24"/>
              </w:rPr>
            </w:pPr>
            <w:r w:rsidRPr="00E74965">
              <w:rPr>
                <w:rFonts w:eastAsia="Times New Roman" w:cs="Arial"/>
                <w:color w:val="000000"/>
                <w:szCs w:val="24"/>
                <w:vertAlign w:val="superscript"/>
              </w:rPr>
              <w:t>c</w:t>
            </w:r>
            <w:r w:rsidRPr="00E74965">
              <w:rPr>
                <w:rFonts w:eastAsia="Times New Roman" w:cs="Arial"/>
                <w:color w:val="000000"/>
                <w:szCs w:val="24"/>
              </w:rPr>
              <w:t xml:space="preserve"> Wage data are rounded to the closest cent in this analysis.</w:t>
            </w:r>
          </w:p>
        </w:tc>
      </w:tr>
    </w:tbl>
    <w:p w:rsidRPr="00E74965" w:rsidR="00CA22F5" w:rsidP="00CA22F5" w:rsidRDefault="00CA22F5" w14:paraId="6824E1DA" w14:textId="77777777">
      <w:pPr>
        <w:pStyle w:val="NoSpacing"/>
        <w:rPr>
          <w:rFonts w:cs="Arial"/>
          <w:szCs w:val="24"/>
        </w:rPr>
      </w:pPr>
    </w:p>
    <w:p w:rsidRPr="00E74965" w:rsidR="00CA22F5" w:rsidP="00CA22F5" w:rsidRDefault="00CA22F5" w14:paraId="69F9628D" w14:textId="77777777">
      <w:pPr>
        <w:pStyle w:val="NoSpacing"/>
        <w:rPr>
          <w:rFonts w:cs="Arial"/>
          <w:szCs w:val="24"/>
          <w:u w:val="single"/>
        </w:rPr>
      </w:pPr>
      <w:r w:rsidRPr="00E74965">
        <w:rPr>
          <w:rFonts w:cs="Arial"/>
          <w:szCs w:val="24"/>
          <w:u w:val="single"/>
        </w:rPr>
        <w:t>Consortia Non-Reporting Administrative Costs</w:t>
      </w:r>
    </w:p>
    <w:p w:rsidRPr="00E74965" w:rsidR="00CA22F5" w:rsidP="00CA22F5" w:rsidRDefault="00CA22F5" w14:paraId="1F46ACD1" w14:textId="77777777">
      <w:pPr>
        <w:pStyle w:val="NoSpacing"/>
        <w:rPr>
          <w:rFonts w:cs="Arial"/>
          <w:szCs w:val="24"/>
        </w:rPr>
      </w:pPr>
      <w:r w:rsidRPr="00E74965">
        <w:rPr>
          <w:rFonts w:cs="Arial"/>
          <w:szCs w:val="24"/>
        </w:rPr>
        <w:t>The regulation allows the formation of, and payment by, consortia for firms subject to actions under TSCA sections 4 and 6. Administrative costs associated with managing a testing consortia are estimated to total 15 percent of the total laboratory costs, which could be as high as approximately $1.7 million for a “standard” testing battery.</w:t>
      </w:r>
      <w:r w:rsidRPr="00E74965">
        <w:rPr>
          <w:rStyle w:val="FootnoteReference"/>
          <w:rFonts w:cs="Arial"/>
          <w:szCs w:val="24"/>
          <w:vertAlign w:val="superscript"/>
        </w:rPr>
        <w:footnoteReference w:id="5"/>
      </w:r>
      <w:r w:rsidRPr="00E74965">
        <w:rPr>
          <w:rFonts w:cs="Arial"/>
          <w:szCs w:val="24"/>
        </w:rPr>
        <w:t xml:space="preserve"> While EPA recognizes that there may be significant administrative costs associated with forming and managing consortia, for firms subject to testing requirements under TSCA section 4 actions, EPA expects that testing consortia will be formed for purposes of coordinating the required testing and will, therefore, not incur significant additional costs for coordination of the fee payment. </w:t>
      </w:r>
    </w:p>
    <w:p w:rsidRPr="00E74965" w:rsidR="00CA22F5" w:rsidP="00CA22F5" w:rsidRDefault="00CA22F5" w14:paraId="75608F7C" w14:textId="77777777">
      <w:pPr>
        <w:pStyle w:val="NoSpacing"/>
        <w:rPr>
          <w:rFonts w:cs="Arial"/>
          <w:szCs w:val="24"/>
        </w:rPr>
      </w:pPr>
    </w:p>
    <w:p w:rsidRPr="00E74965" w:rsidR="00CA22F5" w:rsidP="00CA22F5" w:rsidRDefault="00CA22F5" w14:paraId="146D85C8" w14:textId="192A0E89">
      <w:pPr>
        <w:pStyle w:val="NoSpacing"/>
        <w:rPr>
          <w:rFonts w:cs="Arial"/>
          <w:szCs w:val="24"/>
        </w:rPr>
      </w:pPr>
      <w:r w:rsidRPr="00E74965">
        <w:rPr>
          <w:rFonts w:cs="Arial"/>
          <w:szCs w:val="24"/>
        </w:rPr>
        <w:t xml:space="preserve">For firms subject to Risk Evaluations initiated by EPA under TSCA section 6, however, the ability to form consortia for coordination of fee payment is new under TSCA and the estimated administrative costs associated with forming consortia are, therefore, accounted for in this ICR. EPA estimates the cost per consortium to form and coordinate the fee payment for an EPA-initiated Risk Evaluation as five percent of the fee for EPA-initiated Risk Evaluations (5% x $2.05 million fee/3), for a total of $34,167 in administrative costs per TSCA section 6 consortium per year. EPA estimates that one consortium will form for each Risk Evaluation initiated by EPA each year, for a total of approximately seven consortia and approximately $228,000 in non-reporting administrative consortium costs each year. </w:t>
      </w:r>
    </w:p>
    <w:p w:rsidRPr="00E74965" w:rsidR="00CA22F5" w:rsidP="00CA22F5" w:rsidRDefault="00CA22F5" w14:paraId="48B1F557" w14:textId="77777777">
      <w:pPr>
        <w:pStyle w:val="NoSpacing"/>
        <w:rPr>
          <w:rFonts w:cs="Arial"/>
          <w:szCs w:val="24"/>
          <w:u w:val="single"/>
        </w:rPr>
      </w:pPr>
    </w:p>
    <w:p w:rsidRPr="00E74965" w:rsidR="00CA22F5" w:rsidP="00CA22F5" w:rsidRDefault="00CA22F5" w14:paraId="6E1DE079" w14:textId="77777777">
      <w:pPr>
        <w:pStyle w:val="Heading2"/>
        <w:numPr>
          <w:ilvl w:val="1"/>
          <w:numId w:val="3"/>
        </w:numPr>
        <w:tabs>
          <w:tab w:val="left" w:pos="1080"/>
        </w:tabs>
        <w:rPr>
          <w:rFonts w:cs="Arial"/>
          <w:szCs w:val="24"/>
        </w:rPr>
      </w:pPr>
      <w:r w:rsidRPr="00E74965">
        <w:rPr>
          <w:rFonts w:cs="Arial"/>
          <w:szCs w:val="24"/>
        </w:rPr>
        <w:t>Information Collections</w:t>
      </w:r>
    </w:p>
    <w:p w:rsidRPr="00E74965" w:rsidR="00CA22F5" w:rsidP="00CA22F5" w:rsidRDefault="00CA22F5" w14:paraId="0B3961F2" w14:textId="77777777">
      <w:pPr>
        <w:pStyle w:val="ListParagraph"/>
        <w:ind w:left="0"/>
        <w:rPr>
          <w:rFonts w:cs="Arial"/>
          <w:szCs w:val="24"/>
        </w:rPr>
      </w:pPr>
      <w:r w:rsidRPr="00E74965">
        <w:rPr>
          <w:rFonts w:cs="Arial"/>
          <w:szCs w:val="24"/>
        </w:rPr>
        <w:t>Respondent NAICS codes associated with industries most likely affected by the paperwork requirements are listed in section 5(a) of this ICR.</w:t>
      </w:r>
    </w:p>
    <w:p w:rsidRPr="00E74965" w:rsidR="00CA22F5" w:rsidP="00CA22F5" w:rsidRDefault="00CA22F5" w14:paraId="336F2841" w14:textId="77777777">
      <w:pPr>
        <w:pStyle w:val="ListParagraph"/>
        <w:ind w:left="360"/>
        <w:rPr>
          <w:rFonts w:cs="Arial"/>
          <w:szCs w:val="24"/>
          <w:u w:val="single"/>
        </w:rPr>
      </w:pPr>
    </w:p>
    <w:p w:rsidRPr="00E74965" w:rsidR="00CA22F5" w:rsidP="00CA22F5" w:rsidRDefault="00CA22F5" w14:paraId="4A6806F3" w14:textId="77777777">
      <w:pPr>
        <w:pStyle w:val="ListParagraph"/>
        <w:ind w:left="0"/>
        <w:rPr>
          <w:rFonts w:cs="Arial"/>
          <w:szCs w:val="24"/>
          <w:u w:val="single"/>
        </w:rPr>
      </w:pPr>
      <w:r w:rsidRPr="00E74965">
        <w:rPr>
          <w:rFonts w:cs="Arial"/>
          <w:szCs w:val="24"/>
          <w:u w:val="single"/>
        </w:rPr>
        <w:t>Information Collection (IC) Activities</w:t>
      </w:r>
    </w:p>
    <w:p w:rsidRPr="00E74965" w:rsidR="00CA22F5" w:rsidP="00CA22F5" w:rsidRDefault="00CA22F5" w14:paraId="13DF811B" w14:textId="77777777">
      <w:pPr>
        <w:pStyle w:val="ListParagraph"/>
        <w:ind w:left="0"/>
        <w:rPr>
          <w:rFonts w:cs="Arial"/>
          <w:szCs w:val="24"/>
        </w:rPr>
      </w:pPr>
      <w:r w:rsidRPr="00E74965">
        <w:rPr>
          <w:rFonts w:cs="Arial"/>
          <w:szCs w:val="24"/>
        </w:rPr>
        <w:t>Table 2 presents the estimated average annual burden for each IC activity described in section 5(a) of this ICR.</w:t>
      </w:r>
    </w:p>
    <w:p w:rsidRPr="00E74965" w:rsidR="00CA22F5" w:rsidP="00CA22F5" w:rsidRDefault="00CA22F5" w14:paraId="0068A0B6" w14:textId="77777777">
      <w:pPr>
        <w:pStyle w:val="NoSpacing"/>
        <w:rPr>
          <w:rFonts w:cs="Arial"/>
          <w:szCs w:val="24"/>
        </w:rPr>
      </w:pPr>
    </w:p>
    <w:p w:rsidRPr="00E74965" w:rsidR="00CA22F5" w:rsidP="00CA22F5" w:rsidRDefault="00CA22F5" w14:paraId="48EA0690" w14:textId="77777777">
      <w:pPr>
        <w:pStyle w:val="NoSpacing"/>
        <w:keepNext/>
        <w:keepLines/>
        <w:rPr>
          <w:rFonts w:cs="Arial"/>
          <w:szCs w:val="24"/>
        </w:rPr>
      </w:pPr>
      <w:r w:rsidRPr="00E74965">
        <w:rPr>
          <w:rFonts w:eastAsia="Times New Roman" w:cs="Arial"/>
          <w:b/>
          <w:bCs/>
          <w:color w:val="000000"/>
          <w:szCs w:val="24"/>
        </w:rPr>
        <w:t>Table 2: Total Average Annual Burden and Costs</w:t>
      </w:r>
      <w:r w:rsidRPr="00E74965">
        <w:rPr>
          <w:rFonts w:eastAsia="Times New Roman" w:cs="Arial"/>
          <w:b/>
          <w:bCs/>
          <w:color w:val="000000"/>
          <w:szCs w:val="24"/>
          <w:vertAlign w:val="superscript"/>
        </w:rPr>
        <w:t>1</w:t>
      </w:r>
    </w:p>
    <w:tbl>
      <w:tblPr>
        <w:tblW w:w="9710" w:type="dxa"/>
        <w:tblLook w:val="04A0" w:firstRow="1" w:lastRow="0" w:firstColumn="1" w:lastColumn="0" w:noHBand="0" w:noVBand="1"/>
      </w:tblPr>
      <w:tblGrid>
        <w:gridCol w:w="2489"/>
        <w:gridCol w:w="1706"/>
        <w:gridCol w:w="1679"/>
        <w:gridCol w:w="1415"/>
        <w:gridCol w:w="1574"/>
        <w:gridCol w:w="1197"/>
      </w:tblGrid>
      <w:tr w:rsidRPr="00E74965" w:rsidR="00CA22F5" w:rsidTr="00D878F2" w14:paraId="40193A07" w14:textId="77777777">
        <w:trPr>
          <w:cantSplit/>
          <w:trHeight w:val="720"/>
        </w:trPr>
        <w:tc>
          <w:tcPr>
            <w:tcW w:w="1970" w:type="dxa"/>
            <w:tcBorders>
              <w:top w:val="single" w:color="auto" w:sz="12" w:space="0"/>
              <w:left w:val="single" w:color="auto" w:sz="8" w:space="0"/>
              <w:bottom w:val="nil"/>
              <w:right w:val="single" w:color="auto" w:sz="8" w:space="0"/>
            </w:tcBorders>
            <w:shd w:val="clear" w:color="000000" w:fill="BFBFBF"/>
            <w:vAlign w:val="center"/>
            <w:hideMark/>
          </w:tcPr>
          <w:p w:rsidRPr="00E74965" w:rsidR="00CA22F5" w:rsidP="00D878F2" w:rsidRDefault="00CA22F5" w14:paraId="550A8EBD" w14:textId="77777777">
            <w:pPr>
              <w:keepNext/>
              <w:keepLines/>
              <w:jc w:val="center"/>
              <w:rPr>
                <w:rFonts w:eastAsia="Times New Roman" w:cs="Arial"/>
                <w:b/>
                <w:bCs/>
                <w:color w:val="000000"/>
                <w:szCs w:val="24"/>
              </w:rPr>
            </w:pPr>
            <w:bookmarkStart w:name="_GoBack" w:id="25"/>
            <w:r w:rsidRPr="00E74965">
              <w:rPr>
                <w:rFonts w:eastAsia="Times New Roman" w:cs="Arial"/>
                <w:b/>
                <w:bCs/>
                <w:color w:val="000000"/>
                <w:szCs w:val="24"/>
              </w:rPr>
              <w:t>Activity/Respondent</w:t>
            </w:r>
          </w:p>
        </w:tc>
        <w:tc>
          <w:tcPr>
            <w:tcW w:w="1710" w:type="dxa"/>
            <w:tcBorders>
              <w:top w:val="single" w:color="auto" w:sz="12" w:space="0"/>
              <w:left w:val="single" w:color="auto" w:sz="8" w:space="0"/>
              <w:bottom w:val="nil"/>
              <w:right w:val="nil"/>
            </w:tcBorders>
            <w:shd w:val="clear" w:color="000000" w:fill="BFBFBF"/>
            <w:vAlign w:val="center"/>
            <w:hideMark/>
          </w:tcPr>
          <w:p w:rsidRPr="00E74965" w:rsidR="00CA22F5" w:rsidP="00D878F2" w:rsidRDefault="00CA22F5" w14:paraId="1112DB61" w14:textId="77777777">
            <w:pPr>
              <w:keepNext/>
              <w:keepLines/>
              <w:jc w:val="center"/>
              <w:rPr>
                <w:rFonts w:eastAsia="Times New Roman" w:cs="Arial"/>
                <w:b/>
                <w:bCs/>
                <w:color w:val="000000"/>
                <w:szCs w:val="24"/>
              </w:rPr>
            </w:pPr>
            <w:r w:rsidRPr="00E74965">
              <w:rPr>
                <w:rFonts w:eastAsia="Times New Roman" w:cs="Arial"/>
                <w:b/>
                <w:bCs/>
                <w:color w:val="000000"/>
                <w:szCs w:val="24"/>
              </w:rPr>
              <w:t>Number of Respondents</w:t>
            </w:r>
          </w:p>
        </w:tc>
        <w:tc>
          <w:tcPr>
            <w:tcW w:w="1710" w:type="dxa"/>
            <w:tcBorders>
              <w:top w:val="single" w:color="auto" w:sz="12" w:space="0"/>
              <w:left w:val="nil"/>
              <w:right w:val="nil"/>
            </w:tcBorders>
            <w:shd w:val="clear" w:color="000000" w:fill="BFBFBF"/>
            <w:vAlign w:val="center"/>
            <w:hideMark/>
          </w:tcPr>
          <w:p w:rsidRPr="00E74965" w:rsidR="00CA22F5" w:rsidP="00D878F2" w:rsidRDefault="00CA22F5" w14:paraId="1B76CF3D" w14:textId="77777777">
            <w:pPr>
              <w:keepNext/>
              <w:keepLines/>
              <w:jc w:val="center"/>
              <w:rPr>
                <w:rFonts w:eastAsia="Times New Roman" w:cs="Arial"/>
                <w:b/>
                <w:bCs/>
                <w:color w:val="000000"/>
                <w:szCs w:val="24"/>
              </w:rPr>
            </w:pPr>
            <w:r w:rsidRPr="00E74965">
              <w:rPr>
                <w:rFonts w:eastAsia="Times New Roman" w:cs="Arial"/>
                <w:b/>
                <w:bCs/>
                <w:color w:val="000000"/>
                <w:szCs w:val="24"/>
              </w:rPr>
              <w:t>Burden per Response</w:t>
            </w:r>
          </w:p>
          <w:p w:rsidRPr="00E74965" w:rsidR="00CA22F5" w:rsidP="00D878F2" w:rsidRDefault="00CA22F5" w14:paraId="37F91713" w14:textId="77777777">
            <w:pPr>
              <w:keepNext/>
              <w:keepLines/>
              <w:jc w:val="center"/>
              <w:rPr>
                <w:rFonts w:eastAsia="Times New Roman" w:cs="Arial"/>
                <w:b/>
                <w:bCs/>
                <w:color w:val="000000"/>
                <w:szCs w:val="24"/>
              </w:rPr>
            </w:pPr>
            <w:r w:rsidRPr="00E74965">
              <w:rPr>
                <w:rFonts w:eastAsia="Times New Roman" w:cs="Arial"/>
                <w:b/>
                <w:bCs/>
                <w:color w:val="000000"/>
                <w:szCs w:val="24"/>
              </w:rPr>
              <w:t>(hours)</w:t>
            </w:r>
          </w:p>
        </w:tc>
        <w:tc>
          <w:tcPr>
            <w:tcW w:w="1440" w:type="dxa"/>
            <w:tcBorders>
              <w:top w:val="single" w:color="auto" w:sz="12" w:space="0"/>
              <w:left w:val="nil"/>
              <w:bottom w:val="nil"/>
              <w:right w:val="nil"/>
            </w:tcBorders>
            <w:shd w:val="clear" w:color="000000" w:fill="BFBFBF"/>
            <w:vAlign w:val="center"/>
            <w:hideMark/>
          </w:tcPr>
          <w:p w:rsidRPr="00E74965" w:rsidR="00CA22F5" w:rsidP="00D878F2" w:rsidRDefault="00CA22F5" w14:paraId="69F70B6B" w14:textId="77777777">
            <w:pPr>
              <w:keepNext/>
              <w:keepLines/>
              <w:jc w:val="center"/>
              <w:rPr>
                <w:rFonts w:eastAsia="Times New Roman" w:cs="Arial"/>
                <w:b/>
                <w:bCs/>
                <w:color w:val="000000"/>
                <w:szCs w:val="24"/>
              </w:rPr>
            </w:pPr>
            <w:r w:rsidRPr="00E74965">
              <w:rPr>
                <w:rFonts w:eastAsia="Times New Roman" w:cs="Arial"/>
                <w:b/>
                <w:bCs/>
                <w:color w:val="000000"/>
                <w:szCs w:val="24"/>
              </w:rPr>
              <w:t>Total Burden (hours)</w:t>
            </w:r>
          </w:p>
        </w:tc>
        <w:tc>
          <w:tcPr>
            <w:tcW w:w="1440" w:type="dxa"/>
            <w:tcBorders>
              <w:top w:val="single" w:color="auto" w:sz="12" w:space="0"/>
              <w:left w:val="single" w:color="auto" w:sz="8" w:space="0"/>
              <w:bottom w:val="nil"/>
              <w:right w:val="nil"/>
            </w:tcBorders>
            <w:shd w:val="clear" w:color="000000" w:fill="BFBFBF"/>
            <w:vAlign w:val="center"/>
            <w:hideMark/>
          </w:tcPr>
          <w:p w:rsidRPr="00E74965" w:rsidR="00CA22F5" w:rsidP="00D878F2" w:rsidRDefault="00CA22F5" w14:paraId="457DE7B4" w14:textId="77777777">
            <w:pPr>
              <w:keepNext/>
              <w:keepLines/>
              <w:jc w:val="center"/>
              <w:rPr>
                <w:rFonts w:eastAsia="Times New Roman" w:cs="Arial"/>
                <w:b/>
                <w:bCs/>
                <w:color w:val="000000"/>
                <w:szCs w:val="24"/>
              </w:rPr>
            </w:pPr>
            <w:r w:rsidRPr="00E74965">
              <w:rPr>
                <w:rFonts w:eastAsia="Times New Roman" w:cs="Arial"/>
                <w:b/>
                <w:bCs/>
                <w:color w:val="000000"/>
                <w:szCs w:val="24"/>
              </w:rPr>
              <w:t>Cost per Respondent</w:t>
            </w:r>
          </w:p>
        </w:tc>
        <w:tc>
          <w:tcPr>
            <w:tcW w:w="1440" w:type="dxa"/>
            <w:tcBorders>
              <w:top w:val="single" w:color="auto" w:sz="12" w:space="0"/>
              <w:left w:val="single" w:color="auto" w:sz="8" w:space="0"/>
              <w:bottom w:val="nil"/>
              <w:right w:val="single" w:color="auto" w:sz="8" w:space="0"/>
            </w:tcBorders>
            <w:shd w:val="clear" w:color="000000" w:fill="BFBFBF"/>
            <w:vAlign w:val="center"/>
            <w:hideMark/>
          </w:tcPr>
          <w:p w:rsidRPr="00E74965" w:rsidR="00CA22F5" w:rsidP="00D878F2" w:rsidRDefault="00CA22F5" w14:paraId="0A2ECA72" w14:textId="77777777">
            <w:pPr>
              <w:keepNext/>
              <w:keepLines/>
              <w:jc w:val="center"/>
              <w:rPr>
                <w:rFonts w:eastAsia="Times New Roman" w:cs="Arial"/>
                <w:b/>
                <w:bCs/>
                <w:color w:val="000000"/>
                <w:szCs w:val="24"/>
              </w:rPr>
            </w:pPr>
            <w:r w:rsidRPr="00E74965">
              <w:rPr>
                <w:rFonts w:eastAsia="Times New Roman" w:cs="Arial"/>
                <w:b/>
                <w:bCs/>
                <w:color w:val="000000"/>
                <w:szCs w:val="24"/>
              </w:rPr>
              <w:t>Total Cost</w:t>
            </w:r>
          </w:p>
        </w:tc>
      </w:tr>
      <w:tr w:rsidRPr="00E74965" w:rsidR="00CA22F5" w:rsidTr="00D878F2" w14:paraId="35ED1BCE" w14:textId="77777777">
        <w:trPr>
          <w:cantSplit/>
          <w:trHeight w:val="34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22D3E461" w14:textId="77777777">
            <w:pPr>
              <w:keepNext/>
              <w:keepLines/>
              <w:jc w:val="center"/>
              <w:rPr>
                <w:rFonts w:eastAsia="Times New Roman" w:cs="Arial"/>
                <w:b/>
                <w:bCs/>
                <w:color w:val="000000"/>
                <w:szCs w:val="24"/>
              </w:rPr>
            </w:pPr>
            <w:r w:rsidRPr="00E74965">
              <w:rPr>
                <w:rFonts w:eastAsia="Times New Roman" w:cs="Arial"/>
                <w:b/>
                <w:bCs/>
                <w:color w:val="000000"/>
                <w:szCs w:val="24"/>
              </w:rPr>
              <w:t>IC 1: Rule Familiarization</w:t>
            </w:r>
          </w:p>
        </w:tc>
      </w:tr>
      <w:tr w:rsidRPr="00E74965" w:rsidR="00CA22F5" w:rsidTr="00D878F2" w14:paraId="7E20BDC6"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64507B03" w14:textId="77777777">
            <w:pPr>
              <w:keepNext/>
              <w:keepLines/>
              <w:rPr>
                <w:rFonts w:eastAsia="Times New Roman" w:cs="Arial"/>
                <w:color w:val="000000"/>
                <w:szCs w:val="24"/>
              </w:rPr>
            </w:pPr>
            <w:r w:rsidRPr="00E74965">
              <w:rPr>
                <w:rFonts w:eastAsia="Times New Roman" w:cs="Arial"/>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7E8BFF5F" w14:textId="77777777">
            <w:pPr>
              <w:keepNext/>
              <w:keepLines/>
              <w:jc w:val="right"/>
              <w:rPr>
                <w:rFonts w:eastAsia="Times New Roman" w:cs="Arial"/>
                <w:color w:val="000000"/>
                <w:szCs w:val="24"/>
              </w:rPr>
            </w:pPr>
            <w:r w:rsidRPr="00E74965">
              <w:rPr>
                <w:rFonts w:cs="Arial"/>
                <w:color w:val="000000"/>
                <w:szCs w:val="24"/>
              </w:rPr>
              <w:t>195</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5BD0E52F"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77F517B5" w14:textId="77777777">
            <w:pPr>
              <w:keepNext/>
              <w:keepLines/>
              <w:jc w:val="right"/>
              <w:rPr>
                <w:rFonts w:eastAsia="Times New Roman" w:cs="Arial"/>
                <w:color w:val="000000"/>
                <w:szCs w:val="24"/>
              </w:rPr>
            </w:pPr>
            <w:r w:rsidRPr="00E74965">
              <w:rPr>
                <w:rFonts w:cs="Arial"/>
                <w:color w:val="000000"/>
                <w:szCs w:val="24"/>
              </w:rPr>
              <w:t>33</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109B8094"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38A07120" w14:textId="77777777">
            <w:pPr>
              <w:keepNext/>
              <w:keepLines/>
              <w:jc w:val="right"/>
              <w:rPr>
                <w:rFonts w:eastAsia="Times New Roman" w:cs="Arial"/>
                <w:color w:val="000000"/>
                <w:szCs w:val="24"/>
              </w:rPr>
            </w:pPr>
            <w:r w:rsidRPr="00E74965">
              <w:rPr>
                <w:rFonts w:cs="Arial"/>
                <w:color w:val="000000"/>
                <w:szCs w:val="24"/>
              </w:rPr>
              <w:t xml:space="preserve">$2,528 </w:t>
            </w:r>
          </w:p>
        </w:tc>
      </w:tr>
      <w:tr w:rsidRPr="00E74965" w:rsidR="00CA22F5" w:rsidTr="00D878F2" w14:paraId="111D365B"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491D5D60" w14:textId="77777777">
            <w:pPr>
              <w:keepNext/>
              <w:keepLines/>
              <w:rPr>
                <w:rFonts w:eastAsia="Times New Roman" w:cs="Arial"/>
                <w:color w:val="000000"/>
                <w:szCs w:val="24"/>
              </w:rPr>
            </w:pPr>
            <w:r w:rsidRPr="00E74965">
              <w:rPr>
                <w:rFonts w:eastAsia="Times New Roman" w:cs="Arial"/>
                <w:color w:val="000000"/>
                <w:szCs w:val="24"/>
              </w:rPr>
              <w:t>Section 5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0693FCE0" w14:textId="77777777">
            <w:pPr>
              <w:keepNext/>
              <w:keepLines/>
              <w:jc w:val="right"/>
              <w:rPr>
                <w:rFonts w:eastAsia="Times New Roman" w:cs="Arial"/>
                <w:color w:val="000000"/>
                <w:szCs w:val="24"/>
              </w:rPr>
            </w:pPr>
            <w:r w:rsidRPr="00E74965">
              <w:rPr>
                <w:rFonts w:cs="Arial"/>
                <w:color w:val="000000"/>
                <w:szCs w:val="24"/>
              </w:rPr>
              <w:t>1,003</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7658DE69"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4A595575" w14:textId="77777777">
            <w:pPr>
              <w:keepNext/>
              <w:keepLines/>
              <w:jc w:val="right"/>
              <w:rPr>
                <w:rFonts w:eastAsia="Times New Roman" w:cs="Arial"/>
                <w:color w:val="000000"/>
                <w:szCs w:val="24"/>
              </w:rPr>
            </w:pPr>
            <w:r w:rsidRPr="00E74965">
              <w:rPr>
                <w:rFonts w:cs="Arial"/>
                <w:color w:val="000000"/>
                <w:szCs w:val="24"/>
              </w:rPr>
              <w:t>167</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60305852"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39B9346E" w14:textId="77777777">
            <w:pPr>
              <w:keepNext/>
              <w:keepLines/>
              <w:jc w:val="right"/>
              <w:rPr>
                <w:rFonts w:eastAsia="Times New Roman" w:cs="Arial"/>
                <w:color w:val="000000"/>
                <w:szCs w:val="24"/>
              </w:rPr>
            </w:pPr>
            <w:r w:rsidRPr="00E74965">
              <w:rPr>
                <w:rFonts w:cs="Arial"/>
                <w:color w:val="000000"/>
                <w:szCs w:val="24"/>
              </w:rPr>
              <w:t xml:space="preserve">$13,002 </w:t>
            </w:r>
          </w:p>
        </w:tc>
      </w:tr>
      <w:tr w:rsidRPr="00E74965" w:rsidR="00CA22F5" w:rsidTr="00D878F2" w14:paraId="04DB32C4" w14:textId="77777777">
        <w:trPr>
          <w:cantSplit/>
          <w:trHeight w:val="315"/>
        </w:trPr>
        <w:tc>
          <w:tcPr>
            <w:tcW w:w="1970" w:type="dxa"/>
            <w:tcBorders>
              <w:top w:val="nil"/>
              <w:left w:val="single" w:color="auto" w:sz="8" w:space="0"/>
              <w:bottom w:val="nil"/>
              <w:right w:val="single" w:color="auto" w:sz="8" w:space="0"/>
            </w:tcBorders>
            <w:shd w:val="clear" w:color="auto" w:fill="auto"/>
            <w:vAlign w:val="center"/>
            <w:hideMark/>
          </w:tcPr>
          <w:p w:rsidRPr="00E74965" w:rsidR="00CA22F5" w:rsidP="00D878F2" w:rsidRDefault="00CA22F5" w14:paraId="28BB0518"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nil"/>
              <w:right w:val="nil"/>
            </w:tcBorders>
            <w:shd w:val="clear" w:color="auto" w:fill="auto"/>
            <w:vAlign w:val="center"/>
            <w:hideMark/>
          </w:tcPr>
          <w:p w:rsidRPr="00E74965" w:rsidR="00CA22F5" w:rsidP="00D878F2" w:rsidRDefault="00CA22F5" w14:paraId="29BF40DD" w14:textId="77777777">
            <w:pPr>
              <w:keepNext/>
              <w:keepLines/>
              <w:jc w:val="right"/>
              <w:rPr>
                <w:rFonts w:eastAsia="Times New Roman" w:cs="Arial"/>
                <w:color w:val="000000"/>
                <w:szCs w:val="24"/>
              </w:rPr>
            </w:pPr>
            <w:r w:rsidRPr="00E74965">
              <w:rPr>
                <w:rFonts w:cs="Arial"/>
                <w:color w:val="000000"/>
                <w:szCs w:val="24"/>
              </w:rPr>
              <w:t>150</w:t>
            </w:r>
          </w:p>
        </w:tc>
        <w:tc>
          <w:tcPr>
            <w:tcW w:w="1710" w:type="dxa"/>
            <w:tcBorders>
              <w:top w:val="nil"/>
              <w:left w:val="nil"/>
              <w:bottom w:val="nil"/>
              <w:right w:val="nil"/>
            </w:tcBorders>
            <w:shd w:val="clear" w:color="auto" w:fill="auto"/>
            <w:vAlign w:val="center"/>
            <w:hideMark/>
          </w:tcPr>
          <w:p w:rsidRPr="00E74965" w:rsidR="00CA22F5" w:rsidP="00D878F2" w:rsidRDefault="00CA22F5" w14:paraId="29281B47"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nil"/>
              <w:right w:val="nil"/>
            </w:tcBorders>
            <w:shd w:val="clear" w:color="auto" w:fill="auto"/>
            <w:vAlign w:val="center"/>
            <w:hideMark/>
          </w:tcPr>
          <w:p w:rsidRPr="00E74965" w:rsidR="00CA22F5" w:rsidP="00D878F2" w:rsidRDefault="00CA22F5" w14:paraId="02AB4717" w14:textId="77777777">
            <w:pPr>
              <w:keepNext/>
              <w:keepLines/>
              <w:jc w:val="right"/>
              <w:rPr>
                <w:rFonts w:eastAsia="Times New Roman" w:cs="Arial"/>
                <w:color w:val="000000"/>
                <w:szCs w:val="24"/>
              </w:rPr>
            </w:pPr>
            <w:r w:rsidRPr="00E74965">
              <w:rPr>
                <w:rFonts w:cs="Arial"/>
                <w:color w:val="000000"/>
                <w:szCs w:val="24"/>
              </w:rPr>
              <w:t>25</w:t>
            </w:r>
          </w:p>
        </w:tc>
        <w:tc>
          <w:tcPr>
            <w:tcW w:w="1440" w:type="dxa"/>
            <w:tcBorders>
              <w:top w:val="nil"/>
              <w:left w:val="single" w:color="auto" w:sz="8" w:space="0"/>
              <w:bottom w:val="nil"/>
              <w:right w:val="nil"/>
            </w:tcBorders>
            <w:shd w:val="clear" w:color="auto" w:fill="auto"/>
            <w:vAlign w:val="center"/>
            <w:hideMark/>
          </w:tcPr>
          <w:p w:rsidRPr="00E74965" w:rsidR="00CA22F5" w:rsidP="00D878F2" w:rsidRDefault="00CA22F5" w14:paraId="7FD2FE17"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nil"/>
              <w:right w:val="single" w:color="auto" w:sz="8" w:space="0"/>
            </w:tcBorders>
            <w:shd w:val="clear" w:color="auto" w:fill="auto"/>
            <w:vAlign w:val="center"/>
            <w:hideMark/>
          </w:tcPr>
          <w:p w:rsidRPr="00E74965" w:rsidR="00CA22F5" w:rsidP="00D878F2" w:rsidRDefault="00CA22F5" w14:paraId="5C6AB629" w14:textId="77777777">
            <w:pPr>
              <w:keepNext/>
              <w:keepLines/>
              <w:jc w:val="right"/>
              <w:rPr>
                <w:rFonts w:eastAsia="Times New Roman" w:cs="Arial"/>
                <w:color w:val="000000"/>
                <w:szCs w:val="24"/>
              </w:rPr>
            </w:pPr>
            <w:r w:rsidRPr="00E74965">
              <w:rPr>
                <w:rFonts w:cs="Arial"/>
                <w:color w:val="000000"/>
                <w:szCs w:val="24"/>
              </w:rPr>
              <w:t xml:space="preserve">$1,945 </w:t>
            </w:r>
          </w:p>
        </w:tc>
      </w:tr>
      <w:tr w:rsidRPr="00E74965" w:rsidR="00CA22F5" w:rsidTr="00D878F2" w14:paraId="2B368457" w14:textId="77777777">
        <w:trPr>
          <w:cantSplit/>
          <w:trHeight w:val="34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683743F2" w14:textId="77777777">
            <w:pPr>
              <w:keepNext/>
              <w:keepLines/>
              <w:jc w:val="center"/>
              <w:rPr>
                <w:rFonts w:eastAsia="Times New Roman" w:cs="Arial"/>
                <w:b/>
                <w:bCs/>
                <w:color w:val="000000"/>
                <w:szCs w:val="24"/>
              </w:rPr>
            </w:pPr>
            <w:r w:rsidRPr="00E74965">
              <w:rPr>
                <w:rFonts w:eastAsia="Times New Roman" w:cs="Arial"/>
                <w:b/>
                <w:bCs/>
                <w:color w:val="000000"/>
                <w:szCs w:val="24"/>
              </w:rPr>
              <w:t>IC 2: Notification of Participation in Consortia</w:t>
            </w:r>
          </w:p>
        </w:tc>
      </w:tr>
      <w:tr w:rsidRPr="00E74965" w:rsidR="00CA22F5" w:rsidTr="00D878F2" w14:paraId="79ABD03D"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657FC6E2" w14:textId="77777777">
            <w:pPr>
              <w:keepNext/>
              <w:keepLines/>
              <w:rPr>
                <w:rFonts w:eastAsia="Times New Roman" w:cs="Arial"/>
                <w:color w:val="000000"/>
                <w:szCs w:val="24"/>
              </w:rPr>
            </w:pPr>
            <w:r w:rsidRPr="00E74965">
              <w:rPr>
                <w:rFonts w:eastAsia="Times New Roman" w:cs="Arial"/>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71FDBEAA" w14:textId="77777777">
            <w:pPr>
              <w:keepNext/>
              <w:keepLines/>
              <w:jc w:val="right"/>
              <w:rPr>
                <w:rFonts w:eastAsia="Times New Roman" w:cs="Arial"/>
                <w:color w:val="000000"/>
                <w:szCs w:val="24"/>
              </w:rPr>
            </w:pPr>
            <w:r w:rsidRPr="00E74965">
              <w:rPr>
                <w:rFonts w:cs="Arial"/>
                <w:color w:val="000000"/>
                <w:szCs w:val="24"/>
              </w:rPr>
              <w:t>13</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2E88758C" w14:textId="77777777">
            <w:pPr>
              <w:keepNext/>
              <w:keepLines/>
              <w:jc w:val="right"/>
              <w:rPr>
                <w:rFonts w:eastAsia="Times New Roman" w:cs="Arial"/>
                <w:color w:val="000000"/>
                <w:szCs w:val="24"/>
              </w:rPr>
            </w:pPr>
            <w:r w:rsidRPr="00E74965">
              <w:rPr>
                <w:rFonts w:cs="Arial"/>
                <w:color w:val="000000"/>
                <w:szCs w:val="24"/>
              </w:rPr>
              <w:t>0.083</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44124404" w14:textId="77777777">
            <w:pPr>
              <w:keepNext/>
              <w:keepLines/>
              <w:jc w:val="right"/>
              <w:rPr>
                <w:rFonts w:eastAsia="Times New Roman" w:cs="Arial"/>
                <w:color w:val="000000"/>
                <w:szCs w:val="24"/>
              </w:rPr>
            </w:pPr>
            <w:r w:rsidRPr="00E74965">
              <w:rPr>
                <w:rFonts w:cs="Arial"/>
                <w:color w:val="000000"/>
                <w:szCs w:val="24"/>
              </w:rPr>
              <w:t>1</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0BC82439" w14:textId="77777777">
            <w:pPr>
              <w:keepNext/>
              <w:keepLines/>
              <w:jc w:val="right"/>
              <w:rPr>
                <w:rFonts w:eastAsia="Times New Roman" w:cs="Arial"/>
                <w:color w:val="000000"/>
                <w:szCs w:val="24"/>
              </w:rPr>
            </w:pPr>
            <w:r w:rsidRPr="00E74965">
              <w:rPr>
                <w:rFonts w:cs="Arial"/>
                <w:color w:val="000000"/>
                <w:szCs w:val="24"/>
              </w:rPr>
              <w:t xml:space="preserve">$6.48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18225F39" w14:textId="77777777">
            <w:pPr>
              <w:keepNext/>
              <w:keepLines/>
              <w:jc w:val="right"/>
              <w:rPr>
                <w:rFonts w:eastAsia="Times New Roman" w:cs="Arial"/>
                <w:color w:val="000000"/>
                <w:szCs w:val="24"/>
              </w:rPr>
            </w:pPr>
            <w:r w:rsidRPr="00E74965">
              <w:rPr>
                <w:rFonts w:cs="Arial"/>
                <w:color w:val="000000"/>
                <w:szCs w:val="24"/>
              </w:rPr>
              <w:t xml:space="preserve">$84 </w:t>
            </w:r>
          </w:p>
        </w:tc>
      </w:tr>
      <w:tr w:rsidRPr="00E74965" w:rsidR="00CA22F5" w:rsidTr="00D878F2" w14:paraId="2BD98FB7"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4F60BFC0"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4DA911E0" w14:textId="77777777">
            <w:pPr>
              <w:keepNext/>
              <w:keepLines/>
              <w:jc w:val="right"/>
              <w:rPr>
                <w:rFonts w:eastAsia="Times New Roman" w:cs="Arial"/>
                <w:color w:val="000000"/>
                <w:szCs w:val="24"/>
              </w:rPr>
            </w:pPr>
            <w:r w:rsidRPr="00E74965">
              <w:rPr>
                <w:rFonts w:cs="Arial"/>
                <w:color w:val="000000"/>
                <w:szCs w:val="24"/>
              </w:rPr>
              <w:t>7</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6A1F9225" w14:textId="77777777">
            <w:pPr>
              <w:keepNext/>
              <w:keepLines/>
              <w:jc w:val="right"/>
              <w:rPr>
                <w:rFonts w:eastAsia="Times New Roman" w:cs="Arial"/>
                <w:color w:val="000000"/>
                <w:szCs w:val="24"/>
              </w:rPr>
            </w:pPr>
            <w:r w:rsidRPr="00E74965">
              <w:rPr>
                <w:rFonts w:cs="Arial"/>
                <w:color w:val="000000"/>
                <w:szCs w:val="24"/>
              </w:rPr>
              <w:t>0.083</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58367220" w14:textId="77777777">
            <w:pPr>
              <w:keepNext/>
              <w:keepLines/>
              <w:jc w:val="right"/>
              <w:rPr>
                <w:rFonts w:eastAsia="Times New Roman" w:cs="Arial"/>
                <w:color w:val="000000"/>
                <w:szCs w:val="24"/>
              </w:rPr>
            </w:pPr>
            <w:r w:rsidRPr="00E74965">
              <w:rPr>
                <w:rFonts w:cs="Arial"/>
                <w:color w:val="000000"/>
                <w:szCs w:val="24"/>
              </w:rPr>
              <w:t>0.58</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3BC529EA" w14:textId="77777777">
            <w:pPr>
              <w:keepNext/>
              <w:keepLines/>
              <w:jc w:val="right"/>
              <w:rPr>
                <w:rFonts w:eastAsia="Times New Roman" w:cs="Arial"/>
                <w:color w:val="000000"/>
                <w:szCs w:val="24"/>
              </w:rPr>
            </w:pPr>
            <w:r w:rsidRPr="00E74965">
              <w:rPr>
                <w:rFonts w:cs="Arial"/>
                <w:color w:val="000000"/>
                <w:szCs w:val="24"/>
              </w:rPr>
              <w:t xml:space="preserve">$6.48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15E5CC41" w14:textId="77777777">
            <w:pPr>
              <w:keepNext/>
              <w:keepLines/>
              <w:jc w:val="right"/>
              <w:rPr>
                <w:rFonts w:eastAsia="Times New Roman" w:cs="Arial"/>
                <w:color w:val="000000"/>
                <w:szCs w:val="24"/>
              </w:rPr>
            </w:pPr>
            <w:r w:rsidRPr="00E74965">
              <w:rPr>
                <w:rFonts w:cs="Arial"/>
                <w:color w:val="000000"/>
                <w:szCs w:val="24"/>
              </w:rPr>
              <w:t xml:space="preserve">$45 </w:t>
            </w:r>
          </w:p>
        </w:tc>
      </w:tr>
      <w:tr w:rsidRPr="00E74965" w:rsidR="00CA22F5" w:rsidTr="00D878F2" w14:paraId="2B97C91B" w14:textId="77777777">
        <w:trPr>
          <w:cantSplit/>
          <w:trHeight w:val="34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546B1880" w14:textId="77777777">
            <w:pPr>
              <w:keepNext/>
              <w:keepLines/>
              <w:jc w:val="center"/>
              <w:rPr>
                <w:rFonts w:eastAsia="Times New Roman" w:cs="Arial"/>
                <w:b/>
                <w:bCs/>
                <w:color w:val="000000"/>
                <w:szCs w:val="24"/>
              </w:rPr>
            </w:pPr>
            <w:r w:rsidRPr="00E74965">
              <w:rPr>
                <w:rFonts w:eastAsia="Times New Roman" w:cs="Arial"/>
                <w:b/>
                <w:bCs/>
                <w:color w:val="000000"/>
                <w:szCs w:val="24"/>
              </w:rPr>
              <w:t>IC 3: CDX Registration</w:t>
            </w:r>
          </w:p>
        </w:tc>
      </w:tr>
      <w:tr w:rsidRPr="00E74965" w:rsidR="00CA22F5" w:rsidTr="00D878F2" w14:paraId="37A98449" w14:textId="77777777">
        <w:trPr>
          <w:cantSplit/>
          <w:trHeight w:val="315"/>
        </w:trPr>
        <w:tc>
          <w:tcPr>
            <w:tcW w:w="1970" w:type="dxa"/>
            <w:tcBorders>
              <w:top w:val="nil"/>
              <w:left w:val="single" w:color="auto" w:sz="8" w:space="0"/>
              <w:bottom w:val="nil"/>
              <w:right w:val="single" w:color="auto" w:sz="8" w:space="0"/>
            </w:tcBorders>
            <w:shd w:val="clear" w:color="auto" w:fill="auto"/>
            <w:vAlign w:val="center"/>
            <w:hideMark/>
          </w:tcPr>
          <w:p w:rsidRPr="00E74965" w:rsidR="00CA22F5" w:rsidP="00D878F2" w:rsidRDefault="00CA22F5" w14:paraId="790AEC25"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nil"/>
              <w:right w:val="nil"/>
            </w:tcBorders>
            <w:shd w:val="clear" w:color="auto" w:fill="auto"/>
            <w:vAlign w:val="center"/>
            <w:hideMark/>
          </w:tcPr>
          <w:p w:rsidRPr="00E74965" w:rsidR="00CA22F5" w:rsidP="00D878F2" w:rsidRDefault="00CA22F5" w14:paraId="33123164" w14:textId="77777777">
            <w:pPr>
              <w:keepNext/>
              <w:keepLines/>
              <w:jc w:val="right"/>
              <w:rPr>
                <w:rFonts w:eastAsia="Times New Roman" w:cs="Arial"/>
                <w:color w:val="000000"/>
                <w:szCs w:val="24"/>
              </w:rPr>
            </w:pPr>
            <w:r w:rsidRPr="00E74965">
              <w:rPr>
                <w:rFonts w:cs="Arial"/>
                <w:color w:val="000000"/>
                <w:szCs w:val="24"/>
              </w:rPr>
              <w:t>100</w:t>
            </w:r>
          </w:p>
        </w:tc>
        <w:tc>
          <w:tcPr>
            <w:tcW w:w="1710" w:type="dxa"/>
            <w:tcBorders>
              <w:top w:val="nil"/>
              <w:left w:val="nil"/>
              <w:bottom w:val="nil"/>
              <w:right w:val="nil"/>
            </w:tcBorders>
            <w:shd w:val="clear" w:color="auto" w:fill="auto"/>
            <w:vAlign w:val="center"/>
            <w:hideMark/>
          </w:tcPr>
          <w:p w:rsidRPr="00E74965" w:rsidR="00CA22F5" w:rsidP="00D878F2" w:rsidRDefault="00CA22F5" w14:paraId="5BFD9D2C"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nil"/>
              <w:right w:val="nil"/>
            </w:tcBorders>
            <w:shd w:val="clear" w:color="auto" w:fill="auto"/>
            <w:vAlign w:val="center"/>
            <w:hideMark/>
          </w:tcPr>
          <w:p w:rsidRPr="00E74965" w:rsidR="00CA22F5" w:rsidP="00D878F2" w:rsidRDefault="00CA22F5" w14:paraId="2B8384A4" w14:textId="77777777">
            <w:pPr>
              <w:keepNext/>
              <w:keepLines/>
              <w:jc w:val="right"/>
              <w:rPr>
                <w:rFonts w:eastAsia="Times New Roman" w:cs="Arial"/>
                <w:color w:val="000000"/>
                <w:szCs w:val="24"/>
              </w:rPr>
            </w:pPr>
            <w:r w:rsidRPr="00E74965">
              <w:rPr>
                <w:rFonts w:cs="Arial"/>
                <w:color w:val="000000"/>
                <w:szCs w:val="24"/>
              </w:rPr>
              <w:t>16.67</w:t>
            </w:r>
          </w:p>
        </w:tc>
        <w:tc>
          <w:tcPr>
            <w:tcW w:w="1440" w:type="dxa"/>
            <w:tcBorders>
              <w:top w:val="nil"/>
              <w:left w:val="single" w:color="auto" w:sz="8" w:space="0"/>
              <w:bottom w:val="nil"/>
              <w:right w:val="nil"/>
            </w:tcBorders>
            <w:shd w:val="clear" w:color="auto" w:fill="auto"/>
            <w:vAlign w:val="center"/>
            <w:hideMark/>
          </w:tcPr>
          <w:p w:rsidRPr="00E74965" w:rsidR="00CA22F5" w:rsidP="00D878F2" w:rsidRDefault="00CA22F5" w14:paraId="6F845161"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nil"/>
              <w:right w:val="single" w:color="auto" w:sz="8" w:space="0"/>
            </w:tcBorders>
            <w:shd w:val="clear" w:color="auto" w:fill="auto"/>
            <w:vAlign w:val="center"/>
            <w:hideMark/>
          </w:tcPr>
          <w:p w:rsidRPr="00E74965" w:rsidR="00CA22F5" w:rsidP="00D878F2" w:rsidRDefault="00CA22F5" w14:paraId="4232F338" w14:textId="77777777">
            <w:pPr>
              <w:keepNext/>
              <w:keepLines/>
              <w:jc w:val="right"/>
              <w:rPr>
                <w:rFonts w:eastAsia="Times New Roman" w:cs="Arial"/>
                <w:color w:val="000000"/>
                <w:szCs w:val="24"/>
              </w:rPr>
            </w:pPr>
            <w:r w:rsidRPr="00E74965">
              <w:rPr>
                <w:rFonts w:cs="Arial"/>
                <w:color w:val="000000"/>
                <w:szCs w:val="24"/>
              </w:rPr>
              <w:t xml:space="preserve">$1,296 </w:t>
            </w:r>
          </w:p>
        </w:tc>
      </w:tr>
      <w:tr w:rsidRPr="00E74965" w:rsidR="00CA22F5" w:rsidTr="00D878F2" w14:paraId="4F05DB16" w14:textId="77777777">
        <w:trPr>
          <w:cantSplit/>
          <w:trHeight w:val="31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7D44AF4B" w14:textId="77777777">
            <w:pPr>
              <w:keepNext/>
              <w:keepLines/>
              <w:jc w:val="center"/>
              <w:rPr>
                <w:rFonts w:eastAsia="Times New Roman" w:cs="Arial"/>
                <w:b/>
                <w:bCs/>
                <w:color w:val="000000"/>
                <w:szCs w:val="24"/>
              </w:rPr>
            </w:pPr>
            <w:r w:rsidRPr="00E74965">
              <w:rPr>
                <w:rFonts w:eastAsia="Times New Roman" w:cs="Arial"/>
                <w:b/>
                <w:bCs/>
                <w:color w:val="000000"/>
                <w:szCs w:val="24"/>
              </w:rPr>
              <w:t>IC 4: Reduced Fee Eligibility Determination</w:t>
            </w:r>
          </w:p>
        </w:tc>
      </w:tr>
      <w:tr w:rsidRPr="00E74965" w:rsidR="00CA22F5" w:rsidTr="00D878F2" w14:paraId="63046F13"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2EB2CB29" w14:textId="77777777">
            <w:pPr>
              <w:keepNext/>
              <w:keepLines/>
              <w:rPr>
                <w:rFonts w:eastAsia="Times New Roman" w:cs="Arial"/>
                <w:color w:val="000000"/>
                <w:szCs w:val="24"/>
              </w:rPr>
            </w:pPr>
            <w:r w:rsidRPr="00E74965">
              <w:rPr>
                <w:rFonts w:eastAsia="Times New Roman" w:cs="Arial"/>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1C28BA84" w14:textId="77777777">
            <w:pPr>
              <w:keepNext/>
              <w:keepLines/>
              <w:jc w:val="right"/>
              <w:rPr>
                <w:rFonts w:eastAsia="Times New Roman" w:cs="Arial"/>
                <w:color w:val="000000"/>
                <w:szCs w:val="24"/>
              </w:rPr>
            </w:pPr>
            <w:r w:rsidRPr="00E74965">
              <w:rPr>
                <w:rFonts w:cs="Arial"/>
                <w:color w:val="000000"/>
                <w:szCs w:val="24"/>
              </w:rPr>
              <w:t>52</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61880C87"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3B55882F" w14:textId="77777777">
            <w:pPr>
              <w:keepNext/>
              <w:keepLines/>
              <w:jc w:val="right"/>
              <w:rPr>
                <w:rFonts w:eastAsia="Times New Roman" w:cs="Arial"/>
                <w:color w:val="000000"/>
                <w:szCs w:val="24"/>
              </w:rPr>
            </w:pPr>
            <w:r w:rsidRPr="00E74965">
              <w:rPr>
                <w:rFonts w:cs="Arial"/>
                <w:color w:val="000000"/>
                <w:szCs w:val="24"/>
              </w:rPr>
              <w:t>9</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5B56578D" w14:textId="77777777">
            <w:pPr>
              <w:keepNext/>
              <w:keepLines/>
              <w:jc w:val="right"/>
              <w:rPr>
                <w:rFonts w:eastAsia="Times New Roman" w:cs="Arial"/>
                <w:color w:val="000000"/>
                <w:szCs w:val="24"/>
              </w:rPr>
            </w:pPr>
            <w:r w:rsidRPr="00E74965">
              <w:rPr>
                <w:rFonts w:cs="Arial"/>
                <w:color w:val="000000"/>
                <w:szCs w:val="24"/>
              </w:rPr>
              <w:t xml:space="preserve">$13.88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1A69AC51" w14:textId="77777777">
            <w:pPr>
              <w:keepNext/>
              <w:keepLines/>
              <w:jc w:val="right"/>
              <w:rPr>
                <w:rFonts w:eastAsia="Times New Roman" w:cs="Arial"/>
                <w:color w:val="000000"/>
                <w:szCs w:val="24"/>
              </w:rPr>
            </w:pPr>
            <w:r w:rsidRPr="00E74965">
              <w:rPr>
                <w:rFonts w:cs="Arial"/>
                <w:color w:val="000000"/>
                <w:szCs w:val="24"/>
              </w:rPr>
              <w:t xml:space="preserve">$722 </w:t>
            </w:r>
          </w:p>
        </w:tc>
      </w:tr>
      <w:tr w:rsidRPr="00E74965" w:rsidR="00CA22F5" w:rsidTr="00D878F2" w14:paraId="00663E72"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3C2608F7" w14:textId="77777777">
            <w:pPr>
              <w:keepNext/>
              <w:keepLines/>
              <w:rPr>
                <w:rFonts w:eastAsia="Times New Roman" w:cs="Arial"/>
                <w:color w:val="000000"/>
                <w:szCs w:val="24"/>
              </w:rPr>
            </w:pPr>
            <w:r w:rsidRPr="00E74965">
              <w:rPr>
                <w:rFonts w:eastAsia="Times New Roman" w:cs="Arial"/>
                <w:color w:val="000000"/>
                <w:szCs w:val="24"/>
              </w:rPr>
              <w:t>Section 5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1A32B623" w14:textId="77777777">
            <w:pPr>
              <w:keepNext/>
              <w:keepLines/>
              <w:jc w:val="right"/>
              <w:rPr>
                <w:rFonts w:eastAsia="Times New Roman" w:cs="Arial"/>
                <w:color w:val="000000"/>
                <w:szCs w:val="24"/>
              </w:rPr>
            </w:pPr>
            <w:r w:rsidRPr="00E74965">
              <w:rPr>
                <w:rFonts w:cs="Arial"/>
                <w:color w:val="000000"/>
                <w:szCs w:val="24"/>
              </w:rPr>
              <w:t>350</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26821E5B"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68D34107" w14:textId="77777777">
            <w:pPr>
              <w:keepNext/>
              <w:keepLines/>
              <w:jc w:val="right"/>
              <w:rPr>
                <w:rFonts w:eastAsia="Times New Roman" w:cs="Arial"/>
                <w:color w:val="000000"/>
                <w:szCs w:val="24"/>
              </w:rPr>
            </w:pPr>
            <w:r w:rsidRPr="00E74965">
              <w:rPr>
                <w:rFonts w:cs="Arial"/>
                <w:color w:val="000000"/>
                <w:szCs w:val="24"/>
              </w:rPr>
              <w:t>58</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0B729DAF" w14:textId="77777777">
            <w:pPr>
              <w:keepNext/>
              <w:keepLines/>
              <w:jc w:val="right"/>
              <w:rPr>
                <w:rFonts w:eastAsia="Times New Roman" w:cs="Arial"/>
                <w:color w:val="000000"/>
                <w:szCs w:val="24"/>
              </w:rPr>
            </w:pPr>
            <w:r w:rsidRPr="00E74965">
              <w:rPr>
                <w:rFonts w:cs="Arial"/>
                <w:color w:val="000000"/>
                <w:szCs w:val="24"/>
              </w:rPr>
              <w:t xml:space="preserve">$13.88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47180AE1" w14:textId="77777777">
            <w:pPr>
              <w:keepNext/>
              <w:keepLines/>
              <w:jc w:val="right"/>
              <w:rPr>
                <w:rFonts w:eastAsia="Times New Roman" w:cs="Arial"/>
                <w:color w:val="000000"/>
                <w:szCs w:val="24"/>
              </w:rPr>
            </w:pPr>
            <w:r w:rsidRPr="00E74965">
              <w:rPr>
                <w:rFonts w:cs="Arial"/>
                <w:color w:val="000000"/>
                <w:szCs w:val="24"/>
              </w:rPr>
              <w:t xml:space="preserve">$4,858 </w:t>
            </w:r>
          </w:p>
        </w:tc>
      </w:tr>
      <w:tr w:rsidRPr="00E74965" w:rsidR="00CA22F5" w:rsidTr="00D878F2" w14:paraId="6D81359D" w14:textId="77777777">
        <w:trPr>
          <w:cantSplit/>
          <w:trHeight w:val="315"/>
        </w:trPr>
        <w:tc>
          <w:tcPr>
            <w:tcW w:w="1970" w:type="dxa"/>
            <w:tcBorders>
              <w:top w:val="nil"/>
              <w:left w:val="single" w:color="auto" w:sz="8" w:space="0"/>
              <w:bottom w:val="nil"/>
              <w:right w:val="single" w:color="000000" w:sz="8" w:space="0"/>
            </w:tcBorders>
            <w:shd w:val="clear" w:color="auto" w:fill="auto"/>
            <w:vAlign w:val="center"/>
            <w:hideMark/>
          </w:tcPr>
          <w:p w:rsidRPr="00E74965" w:rsidR="00CA22F5" w:rsidP="00D878F2" w:rsidRDefault="00CA22F5" w14:paraId="6D7653AF"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nil"/>
              <w:right w:val="nil"/>
            </w:tcBorders>
            <w:shd w:val="clear" w:color="auto" w:fill="auto"/>
            <w:vAlign w:val="center"/>
            <w:hideMark/>
          </w:tcPr>
          <w:p w:rsidRPr="00E74965" w:rsidR="00CA22F5" w:rsidP="00D878F2" w:rsidRDefault="00CA22F5" w14:paraId="6F754A39" w14:textId="77777777">
            <w:pPr>
              <w:keepNext/>
              <w:keepLines/>
              <w:jc w:val="right"/>
              <w:rPr>
                <w:rFonts w:eastAsia="Times New Roman" w:cs="Arial"/>
                <w:color w:val="000000"/>
                <w:szCs w:val="24"/>
              </w:rPr>
            </w:pPr>
            <w:r w:rsidRPr="00E74965">
              <w:rPr>
                <w:rFonts w:cs="Arial"/>
                <w:color w:val="000000"/>
                <w:szCs w:val="24"/>
              </w:rPr>
              <w:t>27</w:t>
            </w:r>
          </w:p>
        </w:tc>
        <w:tc>
          <w:tcPr>
            <w:tcW w:w="1710" w:type="dxa"/>
            <w:tcBorders>
              <w:top w:val="nil"/>
              <w:left w:val="nil"/>
              <w:bottom w:val="nil"/>
              <w:right w:val="nil"/>
            </w:tcBorders>
            <w:shd w:val="clear" w:color="auto" w:fill="auto"/>
            <w:vAlign w:val="center"/>
            <w:hideMark/>
          </w:tcPr>
          <w:p w:rsidRPr="00E74965" w:rsidR="00CA22F5" w:rsidP="00D878F2" w:rsidRDefault="00CA22F5" w14:paraId="01AD5948"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nil"/>
              <w:right w:val="nil"/>
            </w:tcBorders>
            <w:shd w:val="clear" w:color="auto" w:fill="auto"/>
            <w:vAlign w:val="center"/>
            <w:hideMark/>
          </w:tcPr>
          <w:p w:rsidRPr="00E74965" w:rsidR="00CA22F5" w:rsidP="00D878F2" w:rsidRDefault="00CA22F5" w14:paraId="7246DA46" w14:textId="77777777">
            <w:pPr>
              <w:keepNext/>
              <w:keepLines/>
              <w:jc w:val="right"/>
              <w:rPr>
                <w:rFonts w:eastAsia="Times New Roman" w:cs="Arial"/>
                <w:color w:val="000000"/>
                <w:szCs w:val="24"/>
              </w:rPr>
            </w:pPr>
            <w:r w:rsidRPr="00E74965">
              <w:rPr>
                <w:rFonts w:cs="Arial"/>
                <w:color w:val="000000"/>
                <w:szCs w:val="24"/>
              </w:rPr>
              <w:t>5</w:t>
            </w:r>
          </w:p>
        </w:tc>
        <w:tc>
          <w:tcPr>
            <w:tcW w:w="1440" w:type="dxa"/>
            <w:tcBorders>
              <w:top w:val="nil"/>
              <w:left w:val="single" w:color="auto" w:sz="8" w:space="0"/>
              <w:bottom w:val="nil"/>
              <w:right w:val="nil"/>
            </w:tcBorders>
            <w:shd w:val="clear" w:color="auto" w:fill="auto"/>
            <w:vAlign w:val="center"/>
            <w:hideMark/>
          </w:tcPr>
          <w:p w:rsidRPr="00E74965" w:rsidR="00CA22F5" w:rsidP="00D878F2" w:rsidRDefault="00CA22F5" w14:paraId="23309556" w14:textId="77777777">
            <w:pPr>
              <w:keepNext/>
              <w:keepLines/>
              <w:jc w:val="right"/>
              <w:rPr>
                <w:rFonts w:eastAsia="Times New Roman" w:cs="Arial"/>
                <w:color w:val="000000"/>
                <w:szCs w:val="24"/>
              </w:rPr>
            </w:pPr>
            <w:r w:rsidRPr="00E74965">
              <w:rPr>
                <w:rFonts w:cs="Arial"/>
                <w:color w:val="000000"/>
                <w:szCs w:val="24"/>
              </w:rPr>
              <w:t xml:space="preserve">$13.88 </w:t>
            </w:r>
          </w:p>
        </w:tc>
        <w:tc>
          <w:tcPr>
            <w:tcW w:w="1440" w:type="dxa"/>
            <w:tcBorders>
              <w:top w:val="nil"/>
              <w:left w:val="nil"/>
              <w:bottom w:val="nil"/>
              <w:right w:val="single" w:color="auto" w:sz="8" w:space="0"/>
            </w:tcBorders>
            <w:shd w:val="clear" w:color="auto" w:fill="auto"/>
            <w:vAlign w:val="center"/>
            <w:hideMark/>
          </w:tcPr>
          <w:p w:rsidRPr="00E74965" w:rsidR="00CA22F5" w:rsidP="00D878F2" w:rsidRDefault="00CA22F5" w14:paraId="19DDCFFF" w14:textId="77777777">
            <w:pPr>
              <w:keepNext/>
              <w:keepLines/>
              <w:jc w:val="right"/>
              <w:rPr>
                <w:rFonts w:eastAsia="Times New Roman" w:cs="Arial"/>
                <w:color w:val="000000"/>
                <w:szCs w:val="24"/>
              </w:rPr>
            </w:pPr>
            <w:r w:rsidRPr="00E74965">
              <w:rPr>
                <w:rFonts w:cs="Arial"/>
                <w:color w:val="000000"/>
                <w:szCs w:val="24"/>
              </w:rPr>
              <w:t xml:space="preserve">$375 </w:t>
            </w:r>
          </w:p>
        </w:tc>
      </w:tr>
      <w:tr w:rsidRPr="00E74965" w:rsidR="00CA22F5" w:rsidTr="00D878F2" w14:paraId="484713F7" w14:textId="77777777">
        <w:trPr>
          <w:cantSplit/>
          <w:trHeight w:val="34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10F2A8EC" w14:textId="77777777">
            <w:pPr>
              <w:keepNext/>
              <w:keepLines/>
              <w:jc w:val="center"/>
              <w:rPr>
                <w:rFonts w:eastAsia="Times New Roman" w:cs="Arial"/>
                <w:b/>
                <w:bCs/>
                <w:color w:val="000000"/>
                <w:szCs w:val="24"/>
              </w:rPr>
            </w:pPr>
            <w:r w:rsidRPr="00E74965">
              <w:rPr>
                <w:rFonts w:eastAsia="Times New Roman" w:cs="Arial"/>
                <w:b/>
                <w:bCs/>
                <w:color w:val="000000"/>
                <w:szCs w:val="24"/>
              </w:rPr>
              <w:t>ICS 5: Fee Payment through Pay.gov</w:t>
            </w:r>
          </w:p>
        </w:tc>
      </w:tr>
      <w:tr w:rsidRPr="00E74965" w:rsidR="00CA22F5" w:rsidTr="00D878F2" w14:paraId="7343A037"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69D5C757" w14:textId="77777777">
            <w:pPr>
              <w:keepNext/>
              <w:keepLines/>
              <w:rPr>
                <w:rFonts w:eastAsia="Times New Roman" w:cs="Arial"/>
                <w:color w:val="000000"/>
                <w:szCs w:val="24"/>
              </w:rPr>
            </w:pPr>
            <w:r w:rsidRPr="00E74965">
              <w:rPr>
                <w:rFonts w:eastAsia="Times New Roman" w:cs="Arial"/>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494D41ED" w14:textId="77777777">
            <w:pPr>
              <w:keepNext/>
              <w:keepLines/>
              <w:jc w:val="right"/>
              <w:rPr>
                <w:rFonts w:eastAsia="Times New Roman" w:cs="Arial"/>
                <w:color w:val="000000"/>
                <w:szCs w:val="24"/>
              </w:rPr>
            </w:pPr>
            <w:r w:rsidRPr="00E74965">
              <w:rPr>
                <w:rFonts w:cs="Arial"/>
                <w:color w:val="000000"/>
                <w:szCs w:val="24"/>
              </w:rPr>
              <w:t>13</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33E6FB76"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3F49B9F4" w14:textId="77777777">
            <w:pPr>
              <w:keepNext/>
              <w:keepLines/>
              <w:jc w:val="right"/>
              <w:rPr>
                <w:rFonts w:eastAsia="Times New Roman" w:cs="Arial"/>
                <w:color w:val="000000"/>
                <w:szCs w:val="24"/>
              </w:rPr>
            </w:pPr>
            <w:r w:rsidRPr="00E74965">
              <w:rPr>
                <w:rFonts w:cs="Arial"/>
                <w:color w:val="000000"/>
                <w:szCs w:val="24"/>
              </w:rPr>
              <w:t>2</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0A6FA88D"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78A1D3B4" w14:textId="77777777">
            <w:pPr>
              <w:keepNext/>
              <w:keepLines/>
              <w:jc w:val="right"/>
              <w:rPr>
                <w:rFonts w:eastAsia="Times New Roman" w:cs="Arial"/>
                <w:color w:val="000000"/>
                <w:szCs w:val="24"/>
              </w:rPr>
            </w:pPr>
            <w:r w:rsidRPr="00E74965">
              <w:rPr>
                <w:rFonts w:cs="Arial"/>
                <w:color w:val="000000"/>
                <w:szCs w:val="24"/>
              </w:rPr>
              <w:t xml:space="preserve">$169 </w:t>
            </w:r>
          </w:p>
        </w:tc>
      </w:tr>
      <w:tr w:rsidRPr="00E74965" w:rsidR="00CA22F5" w:rsidTr="00D878F2" w14:paraId="184CA47A"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046659B1" w14:textId="77777777">
            <w:pPr>
              <w:keepNext/>
              <w:keepLines/>
              <w:rPr>
                <w:rFonts w:eastAsia="Times New Roman" w:cs="Arial"/>
                <w:color w:val="000000"/>
                <w:szCs w:val="24"/>
              </w:rPr>
            </w:pPr>
            <w:r w:rsidRPr="00E74965">
              <w:rPr>
                <w:rFonts w:eastAsia="Times New Roman" w:cs="Arial"/>
                <w:color w:val="000000"/>
                <w:szCs w:val="24"/>
              </w:rPr>
              <w:t>Section 5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658B8A94" w14:textId="77777777">
            <w:pPr>
              <w:keepNext/>
              <w:keepLines/>
              <w:jc w:val="right"/>
              <w:rPr>
                <w:rFonts w:eastAsia="Times New Roman" w:cs="Arial"/>
                <w:color w:val="000000"/>
                <w:szCs w:val="24"/>
              </w:rPr>
            </w:pPr>
            <w:r w:rsidRPr="00E74965">
              <w:rPr>
                <w:rFonts w:cs="Arial"/>
                <w:color w:val="000000"/>
                <w:szCs w:val="24"/>
              </w:rPr>
              <w:t>1,003</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35504135"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62E2683E" w14:textId="77777777">
            <w:pPr>
              <w:keepNext/>
              <w:keepLines/>
              <w:jc w:val="right"/>
              <w:rPr>
                <w:rFonts w:eastAsia="Times New Roman" w:cs="Arial"/>
                <w:color w:val="000000"/>
                <w:szCs w:val="24"/>
              </w:rPr>
            </w:pPr>
            <w:r w:rsidRPr="00E74965">
              <w:rPr>
                <w:rFonts w:cs="Arial"/>
                <w:color w:val="000000"/>
                <w:szCs w:val="24"/>
              </w:rPr>
              <w:t>167</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22C5F222"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1EE6D380" w14:textId="77777777">
            <w:pPr>
              <w:keepNext/>
              <w:keepLines/>
              <w:jc w:val="right"/>
              <w:rPr>
                <w:rFonts w:eastAsia="Times New Roman" w:cs="Arial"/>
                <w:color w:val="000000"/>
                <w:szCs w:val="24"/>
              </w:rPr>
            </w:pPr>
            <w:r w:rsidRPr="00E74965">
              <w:rPr>
                <w:rFonts w:cs="Arial"/>
                <w:color w:val="000000"/>
                <w:szCs w:val="24"/>
              </w:rPr>
              <w:t xml:space="preserve">$13,002 </w:t>
            </w:r>
          </w:p>
        </w:tc>
      </w:tr>
      <w:tr w:rsidRPr="00E74965" w:rsidR="00CA22F5" w:rsidTr="00D878F2" w14:paraId="75824A9F" w14:textId="77777777">
        <w:trPr>
          <w:cantSplit/>
          <w:trHeight w:val="315"/>
        </w:trPr>
        <w:tc>
          <w:tcPr>
            <w:tcW w:w="1970" w:type="dxa"/>
            <w:tcBorders>
              <w:top w:val="nil"/>
              <w:left w:val="single" w:color="auto" w:sz="8" w:space="0"/>
              <w:bottom w:val="nil"/>
              <w:right w:val="single" w:color="000000" w:sz="8" w:space="0"/>
            </w:tcBorders>
            <w:shd w:val="clear" w:color="auto" w:fill="auto"/>
            <w:vAlign w:val="center"/>
            <w:hideMark/>
          </w:tcPr>
          <w:p w:rsidRPr="00E74965" w:rsidR="00CA22F5" w:rsidP="00D878F2" w:rsidRDefault="00CA22F5" w14:paraId="4F4EA107"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nil"/>
              <w:right w:val="nil"/>
            </w:tcBorders>
            <w:shd w:val="clear" w:color="auto" w:fill="auto"/>
            <w:vAlign w:val="center"/>
            <w:hideMark/>
          </w:tcPr>
          <w:p w:rsidRPr="00E74965" w:rsidR="00CA22F5" w:rsidP="00D878F2" w:rsidRDefault="00CA22F5" w14:paraId="1684790A" w14:textId="77777777">
            <w:pPr>
              <w:keepNext/>
              <w:keepLines/>
              <w:jc w:val="right"/>
              <w:rPr>
                <w:rFonts w:eastAsia="Times New Roman" w:cs="Arial"/>
                <w:color w:val="000000"/>
                <w:szCs w:val="24"/>
              </w:rPr>
            </w:pPr>
            <w:r w:rsidRPr="00E74965">
              <w:rPr>
                <w:rFonts w:cs="Arial"/>
                <w:color w:val="000000"/>
                <w:szCs w:val="24"/>
              </w:rPr>
              <w:t>10</w:t>
            </w:r>
          </w:p>
        </w:tc>
        <w:tc>
          <w:tcPr>
            <w:tcW w:w="1710" w:type="dxa"/>
            <w:tcBorders>
              <w:top w:val="nil"/>
              <w:left w:val="nil"/>
              <w:bottom w:val="nil"/>
              <w:right w:val="nil"/>
            </w:tcBorders>
            <w:shd w:val="clear" w:color="auto" w:fill="auto"/>
            <w:vAlign w:val="center"/>
            <w:hideMark/>
          </w:tcPr>
          <w:p w:rsidRPr="00E74965" w:rsidR="00CA22F5" w:rsidP="00D878F2" w:rsidRDefault="00CA22F5" w14:paraId="732432E5" w14:textId="77777777">
            <w:pPr>
              <w:keepNext/>
              <w:keepLines/>
              <w:jc w:val="right"/>
              <w:rPr>
                <w:rFonts w:eastAsia="Times New Roman" w:cs="Arial"/>
                <w:color w:val="000000"/>
                <w:szCs w:val="24"/>
              </w:rPr>
            </w:pPr>
            <w:r w:rsidRPr="00E74965">
              <w:rPr>
                <w:rFonts w:cs="Arial"/>
                <w:color w:val="000000"/>
                <w:szCs w:val="24"/>
              </w:rPr>
              <w:t>0.167</w:t>
            </w:r>
          </w:p>
        </w:tc>
        <w:tc>
          <w:tcPr>
            <w:tcW w:w="1440" w:type="dxa"/>
            <w:tcBorders>
              <w:top w:val="nil"/>
              <w:left w:val="nil"/>
              <w:bottom w:val="nil"/>
              <w:right w:val="nil"/>
            </w:tcBorders>
            <w:shd w:val="clear" w:color="auto" w:fill="auto"/>
            <w:vAlign w:val="center"/>
            <w:hideMark/>
          </w:tcPr>
          <w:p w:rsidRPr="00E74965" w:rsidR="00CA22F5" w:rsidP="00D878F2" w:rsidRDefault="00CA22F5" w14:paraId="4EC17938" w14:textId="77777777">
            <w:pPr>
              <w:keepNext/>
              <w:keepLines/>
              <w:jc w:val="right"/>
              <w:rPr>
                <w:rFonts w:eastAsia="Times New Roman" w:cs="Arial"/>
                <w:color w:val="000000"/>
                <w:szCs w:val="24"/>
              </w:rPr>
            </w:pPr>
            <w:r w:rsidRPr="00E74965">
              <w:rPr>
                <w:rFonts w:cs="Arial"/>
                <w:color w:val="000000"/>
                <w:szCs w:val="24"/>
              </w:rPr>
              <w:t>2</w:t>
            </w:r>
          </w:p>
        </w:tc>
        <w:tc>
          <w:tcPr>
            <w:tcW w:w="1440" w:type="dxa"/>
            <w:tcBorders>
              <w:top w:val="nil"/>
              <w:left w:val="single" w:color="auto" w:sz="8" w:space="0"/>
              <w:bottom w:val="nil"/>
              <w:right w:val="nil"/>
            </w:tcBorders>
            <w:shd w:val="clear" w:color="auto" w:fill="auto"/>
            <w:vAlign w:val="center"/>
            <w:hideMark/>
          </w:tcPr>
          <w:p w:rsidRPr="00E74965" w:rsidR="00CA22F5" w:rsidP="00D878F2" w:rsidRDefault="00CA22F5" w14:paraId="6F544743" w14:textId="77777777">
            <w:pPr>
              <w:keepNext/>
              <w:keepLines/>
              <w:jc w:val="right"/>
              <w:rPr>
                <w:rFonts w:eastAsia="Times New Roman" w:cs="Arial"/>
                <w:color w:val="000000"/>
                <w:szCs w:val="24"/>
              </w:rPr>
            </w:pPr>
            <w:r w:rsidRPr="00E74965">
              <w:rPr>
                <w:rFonts w:cs="Arial"/>
                <w:color w:val="000000"/>
                <w:szCs w:val="24"/>
              </w:rPr>
              <w:t xml:space="preserve">$12.96 </w:t>
            </w:r>
          </w:p>
        </w:tc>
        <w:tc>
          <w:tcPr>
            <w:tcW w:w="1440" w:type="dxa"/>
            <w:tcBorders>
              <w:top w:val="nil"/>
              <w:left w:val="nil"/>
              <w:bottom w:val="nil"/>
              <w:right w:val="single" w:color="auto" w:sz="8" w:space="0"/>
            </w:tcBorders>
            <w:shd w:val="clear" w:color="auto" w:fill="auto"/>
            <w:vAlign w:val="center"/>
            <w:hideMark/>
          </w:tcPr>
          <w:p w:rsidRPr="00E74965" w:rsidR="00CA22F5" w:rsidP="00D878F2" w:rsidRDefault="00CA22F5" w14:paraId="0F3EC117" w14:textId="77777777">
            <w:pPr>
              <w:keepNext/>
              <w:keepLines/>
              <w:jc w:val="right"/>
              <w:rPr>
                <w:rFonts w:eastAsia="Times New Roman" w:cs="Arial"/>
                <w:color w:val="000000"/>
                <w:szCs w:val="24"/>
              </w:rPr>
            </w:pPr>
            <w:r w:rsidRPr="00E74965">
              <w:rPr>
                <w:rFonts w:cs="Arial"/>
                <w:color w:val="000000"/>
                <w:szCs w:val="24"/>
              </w:rPr>
              <w:t xml:space="preserve">$130 </w:t>
            </w:r>
          </w:p>
        </w:tc>
      </w:tr>
      <w:tr w:rsidRPr="00E74965" w:rsidR="00CA22F5" w:rsidTr="00D878F2" w14:paraId="16F84BE5" w14:textId="77777777">
        <w:trPr>
          <w:cantSplit/>
          <w:trHeight w:val="34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2275A99A" w14:textId="77777777">
            <w:pPr>
              <w:keepNext/>
              <w:keepLines/>
              <w:jc w:val="center"/>
              <w:rPr>
                <w:rFonts w:eastAsia="Times New Roman" w:cs="Arial"/>
                <w:b/>
                <w:bCs/>
                <w:color w:val="000000"/>
                <w:szCs w:val="24"/>
              </w:rPr>
            </w:pPr>
            <w:r w:rsidRPr="00E74965">
              <w:rPr>
                <w:rFonts w:eastAsia="Times New Roman" w:cs="Arial"/>
                <w:b/>
                <w:bCs/>
                <w:color w:val="000000"/>
                <w:szCs w:val="24"/>
              </w:rPr>
              <w:t>IC 6: Self-Identification and Certification</w:t>
            </w:r>
          </w:p>
        </w:tc>
      </w:tr>
      <w:tr w:rsidRPr="00E74965" w:rsidR="00CA22F5" w:rsidTr="00D878F2" w14:paraId="79BE99B5" w14:textId="77777777">
        <w:trPr>
          <w:cantSplit/>
          <w:trHeight w:val="34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4E844697" w14:textId="77777777">
            <w:pPr>
              <w:keepNext/>
              <w:keepLines/>
              <w:rPr>
                <w:rFonts w:eastAsia="Times New Roman" w:cs="Arial"/>
                <w:color w:val="000000"/>
                <w:szCs w:val="24"/>
              </w:rPr>
            </w:pPr>
            <w:r w:rsidRPr="00E74965">
              <w:rPr>
                <w:rFonts w:eastAsia="Times New Roman" w:cs="Arial"/>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4394E3C0" w14:textId="77777777">
            <w:pPr>
              <w:keepNext/>
              <w:keepLines/>
              <w:jc w:val="right"/>
              <w:rPr>
                <w:rFonts w:eastAsia="Times New Roman" w:cs="Arial"/>
                <w:color w:val="000000"/>
                <w:szCs w:val="24"/>
              </w:rPr>
            </w:pPr>
            <w:r w:rsidRPr="00E74965">
              <w:rPr>
                <w:rFonts w:cs="Arial"/>
                <w:color w:val="000000"/>
                <w:szCs w:val="24"/>
              </w:rPr>
              <w:t>15</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41F20EDF" w14:textId="77777777">
            <w:pPr>
              <w:keepNext/>
              <w:keepLines/>
              <w:jc w:val="right"/>
              <w:rPr>
                <w:rFonts w:eastAsia="Times New Roman" w:cs="Arial"/>
                <w:color w:val="000000"/>
                <w:szCs w:val="24"/>
              </w:rPr>
            </w:pPr>
            <w:r w:rsidRPr="00E74965">
              <w:rPr>
                <w:rFonts w:cs="Arial"/>
                <w:color w:val="000000"/>
                <w:szCs w:val="24"/>
              </w:rPr>
              <w:t>0.833</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7E315DD8" w14:textId="77777777">
            <w:pPr>
              <w:keepNext/>
              <w:keepLines/>
              <w:jc w:val="right"/>
              <w:rPr>
                <w:rFonts w:eastAsia="Times New Roman" w:cs="Arial"/>
                <w:color w:val="000000"/>
                <w:szCs w:val="24"/>
              </w:rPr>
            </w:pPr>
            <w:r w:rsidRPr="00E74965">
              <w:rPr>
                <w:rFonts w:cs="Arial"/>
                <w:color w:val="000000"/>
                <w:szCs w:val="24"/>
              </w:rPr>
              <w:t>13</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46EA29B2" w14:textId="77777777">
            <w:pPr>
              <w:keepNext/>
              <w:keepLines/>
              <w:jc w:val="right"/>
              <w:rPr>
                <w:rFonts w:eastAsia="Times New Roman" w:cs="Arial"/>
                <w:color w:val="000000"/>
                <w:szCs w:val="24"/>
              </w:rPr>
            </w:pPr>
            <w:r w:rsidRPr="00E74965">
              <w:rPr>
                <w:rFonts w:cs="Arial"/>
                <w:color w:val="000000"/>
                <w:szCs w:val="24"/>
              </w:rPr>
              <w:t xml:space="preserve">$64.82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204E5FD1" w14:textId="77777777">
            <w:pPr>
              <w:keepNext/>
              <w:keepLines/>
              <w:jc w:val="right"/>
              <w:rPr>
                <w:rFonts w:eastAsia="Times New Roman" w:cs="Arial"/>
                <w:color w:val="000000"/>
                <w:szCs w:val="24"/>
              </w:rPr>
            </w:pPr>
            <w:r w:rsidRPr="00E74965">
              <w:rPr>
                <w:rFonts w:cs="Arial"/>
                <w:color w:val="000000"/>
                <w:szCs w:val="24"/>
              </w:rPr>
              <w:t xml:space="preserve">$972 </w:t>
            </w:r>
          </w:p>
        </w:tc>
      </w:tr>
      <w:tr w:rsidRPr="00E74965" w:rsidR="00CA22F5" w:rsidTr="00D878F2" w14:paraId="58BA32BD"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201BAB38"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nil"/>
              <w:right w:val="nil"/>
            </w:tcBorders>
            <w:shd w:val="clear" w:color="auto" w:fill="auto"/>
            <w:vAlign w:val="center"/>
            <w:hideMark/>
          </w:tcPr>
          <w:p w:rsidRPr="00E74965" w:rsidR="00CA22F5" w:rsidP="00D878F2" w:rsidRDefault="00CA22F5" w14:paraId="60843D90" w14:textId="77777777">
            <w:pPr>
              <w:keepNext/>
              <w:keepLines/>
              <w:jc w:val="right"/>
              <w:rPr>
                <w:rFonts w:eastAsia="Times New Roman" w:cs="Arial"/>
                <w:color w:val="000000"/>
                <w:szCs w:val="24"/>
              </w:rPr>
            </w:pPr>
            <w:r w:rsidRPr="00E74965">
              <w:rPr>
                <w:rFonts w:cs="Arial"/>
                <w:color w:val="000000"/>
                <w:szCs w:val="24"/>
              </w:rPr>
              <w:t>100</w:t>
            </w:r>
          </w:p>
        </w:tc>
        <w:tc>
          <w:tcPr>
            <w:tcW w:w="1710" w:type="dxa"/>
            <w:tcBorders>
              <w:top w:val="nil"/>
              <w:left w:val="nil"/>
              <w:bottom w:val="nil"/>
              <w:right w:val="nil"/>
            </w:tcBorders>
            <w:shd w:val="clear" w:color="auto" w:fill="auto"/>
            <w:vAlign w:val="center"/>
            <w:hideMark/>
          </w:tcPr>
          <w:p w:rsidRPr="00E74965" w:rsidR="00CA22F5" w:rsidP="00D878F2" w:rsidRDefault="00CA22F5" w14:paraId="4C3A9C52" w14:textId="77777777">
            <w:pPr>
              <w:keepNext/>
              <w:keepLines/>
              <w:jc w:val="right"/>
              <w:rPr>
                <w:rFonts w:eastAsia="Times New Roman" w:cs="Arial"/>
                <w:color w:val="000000"/>
                <w:szCs w:val="24"/>
              </w:rPr>
            </w:pPr>
            <w:r w:rsidRPr="00E74965">
              <w:rPr>
                <w:rFonts w:cs="Arial"/>
                <w:color w:val="000000"/>
                <w:szCs w:val="24"/>
              </w:rPr>
              <w:t>0.833</w:t>
            </w:r>
          </w:p>
        </w:tc>
        <w:tc>
          <w:tcPr>
            <w:tcW w:w="1440" w:type="dxa"/>
            <w:tcBorders>
              <w:top w:val="nil"/>
              <w:left w:val="nil"/>
              <w:bottom w:val="nil"/>
              <w:right w:val="nil"/>
            </w:tcBorders>
            <w:shd w:val="clear" w:color="auto" w:fill="auto"/>
            <w:vAlign w:val="center"/>
            <w:hideMark/>
          </w:tcPr>
          <w:p w:rsidRPr="00E74965" w:rsidR="00CA22F5" w:rsidP="00D878F2" w:rsidRDefault="00CA22F5" w14:paraId="7F8BDBEA" w14:textId="77777777">
            <w:pPr>
              <w:keepNext/>
              <w:keepLines/>
              <w:jc w:val="right"/>
              <w:rPr>
                <w:rFonts w:eastAsia="Times New Roman" w:cs="Arial"/>
                <w:color w:val="000000"/>
                <w:szCs w:val="24"/>
              </w:rPr>
            </w:pPr>
            <w:r w:rsidRPr="00E74965">
              <w:rPr>
                <w:rFonts w:cs="Arial"/>
                <w:color w:val="000000"/>
                <w:szCs w:val="24"/>
              </w:rPr>
              <w:t>83</w:t>
            </w:r>
          </w:p>
        </w:tc>
        <w:tc>
          <w:tcPr>
            <w:tcW w:w="1440" w:type="dxa"/>
            <w:tcBorders>
              <w:top w:val="nil"/>
              <w:left w:val="single" w:color="auto" w:sz="8" w:space="0"/>
              <w:bottom w:val="nil"/>
              <w:right w:val="nil"/>
            </w:tcBorders>
            <w:shd w:val="clear" w:color="auto" w:fill="auto"/>
            <w:vAlign w:val="center"/>
            <w:hideMark/>
          </w:tcPr>
          <w:p w:rsidRPr="00E74965" w:rsidR="00CA22F5" w:rsidP="00D878F2" w:rsidRDefault="00CA22F5" w14:paraId="33808FF4" w14:textId="77777777">
            <w:pPr>
              <w:keepNext/>
              <w:keepLines/>
              <w:jc w:val="right"/>
              <w:rPr>
                <w:rFonts w:eastAsia="Times New Roman" w:cs="Arial"/>
                <w:color w:val="000000"/>
                <w:szCs w:val="24"/>
              </w:rPr>
            </w:pPr>
            <w:r w:rsidRPr="00E74965">
              <w:rPr>
                <w:rFonts w:cs="Arial"/>
                <w:color w:val="000000"/>
                <w:szCs w:val="24"/>
              </w:rPr>
              <w:t xml:space="preserve">$64.82 </w:t>
            </w:r>
          </w:p>
        </w:tc>
        <w:tc>
          <w:tcPr>
            <w:tcW w:w="1440" w:type="dxa"/>
            <w:tcBorders>
              <w:top w:val="nil"/>
              <w:left w:val="nil"/>
              <w:bottom w:val="nil"/>
              <w:right w:val="single" w:color="auto" w:sz="8" w:space="0"/>
            </w:tcBorders>
            <w:shd w:val="clear" w:color="auto" w:fill="auto"/>
            <w:vAlign w:val="center"/>
            <w:hideMark/>
          </w:tcPr>
          <w:p w:rsidRPr="00E74965" w:rsidR="00CA22F5" w:rsidP="00D878F2" w:rsidRDefault="00CA22F5" w14:paraId="661F4580" w14:textId="77777777">
            <w:pPr>
              <w:keepNext/>
              <w:keepLines/>
              <w:jc w:val="right"/>
              <w:rPr>
                <w:rFonts w:eastAsia="Times New Roman" w:cs="Arial"/>
                <w:color w:val="000000"/>
                <w:szCs w:val="24"/>
              </w:rPr>
            </w:pPr>
            <w:r w:rsidRPr="00E74965">
              <w:rPr>
                <w:rFonts w:cs="Arial"/>
                <w:color w:val="000000"/>
                <w:szCs w:val="24"/>
              </w:rPr>
              <w:t xml:space="preserve">$6,482 </w:t>
            </w:r>
          </w:p>
        </w:tc>
      </w:tr>
      <w:tr w:rsidRPr="00E74965" w:rsidR="00CA22F5" w:rsidTr="00D878F2" w14:paraId="06CEE61F" w14:textId="77777777">
        <w:trPr>
          <w:cantSplit/>
          <w:trHeight w:val="31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7A39646F" w14:textId="77777777">
            <w:pPr>
              <w:keepNext/>
              <w:keepLines/>
              <w:jc w:val="center"/>
              <w:rPr>
                <w:rFonts w:eastAsia="Times New Roman" w:cs="Arial"/>
                <w:b/>
                <w:bCs/>
                <w:color w:val="000000"/>
                <w:szCs w:val="24"/>
              </w:rPr>
            </w:pPr>
            <w:r w:rsidRPr="00E74965">
              <w:rPr>
                <w:rFonts w:eastAsia="Times New Roman" w:cs="Arial"/>
                <w:b/>
                <w:bCs/>
                <w:color w:val="000000"/>
                <w:szCs w:val="24"/>
              </w:rPr>
              <w:t>Total Burden for all Activities</w:t>
            </w:r>
          </w:p>
        </w:tc>
      </w:tr>
      <w:tr w:rsidRPr="00E74965" w:rsidR="00CA22F5" w:rsidTr="00D878F2" w14:paraId="73152151"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4A5EE709" w14:textId="77777777">
            <w:pPr>
              <w:keepNext/>
              <w:keepLines/>
              <w:rPr>
                <w:rFonts w:eastAsia="Times New Roman" w:cs="Arial"/>
                <w:b/>
                <w:bCs/>
                <w:color w:val="000000"/>
                <w:szCs w:val="24"/>
              </w:rPr>
            </w:pPr>
            <w:r w:rsidRPr="00E74965">
              <w:rPr>
                <w:rFonts w:eastAsia="Times New Roman" w:cs="Arial"/>
                <w:b/>
                <w:bCs/>
                <w:color w:val="000000"/>
                <w:szCs w:val="24"/>
              </w:rPr>
              <w:t>Section 4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35D231D1" w14:textId="77777777">
            <w:pPr>
              <w:keepNext/>
              <w:keepLines/>
              <w:jc w:val="right"/>
              <w:rPr>
                <w:rFonts w:eastAsia="Times New Roman" w:cs="Arial"/>
                <w:b/>
                <w:color w:val="000000"/>
                <w:szCs w:val="24"/>
              </w:rPr>
            </w:pPr>
            <w:r w:rsidRPr="00E74965">
              <w:rPr>
                <w:rFonts w:cs="Arial"/>
                <w:b/>
                <w:bCs/>
                <w:color w:val="000000"/>
                <w:szCs w:val="24"/>
              </w:rPr>
              <w:t>195</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5BCDE7D4" w14:textId="77777777">
            <w:pPr>
              <w:keepNext/>
              <w:keepLines/>
              <w:rPr>
                <w:rFonts w:eastAsia="Times New Roman" w:cs="Arial"/>
                <w:b/>
                <w:color w:val="000000"/>
                <w:szCs w:val="24"/>
              </w:rPr>
            </w:pPr>
            <w:r w:rsidRPr="00E74965">
              <w:rPr>
                <w:rFonts w:cs="Arial"/>
                <w:b/>
                <w:bCs/>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0543A61B" w14:textId="77777777">
            <w:pPr>
              <w:keepNext/>
              <w:keepLines/>
              <w:jc w:val="right"/>
              <w:rPr>
                <w:rFonts w:eastAsia="Times New Roman" w:cs="Arial"/>
                <w:b/>
                <w:color w:val="000000"/>
                <w:szCs w:val="24"/>
              </w:rPr>
            </w:pPr>
            <w:r w:rsidRPr="00E74965">
              <w:rPr>
                <w:rFonts w:cs="Arial"/>
                <w:b/>
                <w:bCs/>
                <w:color w:val="000000"/>
                <w:szCs w:val="24"/>
              </w:rPr>
              <w:t>57</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0F48177A" w14:textId="77777777">
            <w:pPr>
              <w:keepNext/>
              <w:keepLines/>
              <w:jc w:val="right"/>
              <w:rPr>
                <w:rFonts w:eastAsia="Times New Roman" w:cs="Arial"/>
                <w:color w:val="000000"/>
                <w:szCs w:val="24"/>
              </w:rPr>
            </w:pPr>
            <w:r w:rsidRPr="00E74965">
              <w:rPr>
                <w:rFonts w:cs="Arial"/>
                <w:color w:val="000000"/>
                <w:szCs w:val="24"/>
              </w:rPr>
              <w:t xml:space="preserve">$22.95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5BB9699A" w14:textId="77777777">
            <w:pPr>
              <w:keepNext/>
              <w:keepLines/>
              <w:jc w:val="right"/>
              <w:rPr>
                <w:rFonts w:eastAsia="Times New Roman" w:cs="Arial"/>
                <w:b/>
                <w:bCs/>
                <w:color w:val="000000"/>
                <w:szCs w:val="24"/>
              </w:rPr>
            </w:pPr>
            <w:r w:rsidRPr="00E74965">
              <w:rPr>
                <w:rFonts w:cs="Arial"/>
                <w:b/>
                <w:bCs/>
                <w:color w:val="000000"/>
                <w:szCs w:val="24"/>
              </w:rPr>
              <w:t xml:space="preserve">$4,475 </w:t>
            </w:r>
          </w:p>
        </w:tc>
      </w:tr>
      <w:tr w:rsidRPr="00E74965" w:rsidR="00CA22F5" w:rsidTr="00D878F2" w14:paraId="311E33DE"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0CAC219B" w14:textId="77777777">
            <w:pPr>
              <w:keepNext/>
              <w:keepLines/>
              <w:rPr>
                <w:rFonts w:eastAsia="Times New Roman" w:cs="Arial"/>
                <w:b/>
                <w:bCs/>
                <w:color w:val="000000"/>
                <w:szCs w:val="24"/>
              </w:rPr>
            </w:pPr>
            <w:r w:rsidRPr="00E74965">
              <w:rPr>
                <w:rFonts w:eastAsia="Times New Roman" w:cs="Arial"/>
                <w:b/>
                <w:bCs/>
                <w:color w:val="000000"/>
                <w:szCs w:val="24"/>
              </w:rPr>
              <w:t>Section 5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4291F07B" w14:textId="77777777">
            <w:pPr>
              <w:keepNext/>
              <w:keepLines/>
              <w:jc w:val="right"/>
              <w:rPr>
                <w:rFonts w:eastAsia="Times New Roman" w:cs="Arial"/>
                <w:b/>
                <w:color w:val="000000"/>
                <w:szCs w:val="24"/>
              </w:rPr>
            </w:pPr>
            <w:r w:rsidRPr="00E74965">
              <w:rPr>
                <w:rFonts w:cs="Arial"/>
                <w:b/>
                <w:bCs/>
                <w:color w:val="000000"/>
                <w:szCs w:val="24"/>
              </w:rPr>
              <w:t>1003</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73C368DC" w14:textId="77777777">
            <w:pPr>
              <w:keepNext/>
              <w:keepLines/>
              <w:rPr>
                <w:rFonts w:eastAsia="Times New Roman" w:cs="Arial"/>
                <w:b/>
                <w:color w:val="000000"/>
                <w:szCs w:val="24"/>
              </w:rPr>
            </w:pPr>
            <w:r w:rsidRPr="00E74965">
              <w:rPr>
                <w:rFonts w:cs="Arial"/>
                <w:b/>
                <w:bCs/>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2A9AB962" w14:textId="77777777">
            <w:pPr>
              <w:keepNext/>
              <w:keepLines/>
              <w:jc w:val="right"/>
              <w:rPr>
                <w:rFonts w:eastAsia="Times New Roman" w:cs="Arial"/>
                <w:b/>
                <w:color w:val="000000"/>
                <w:szCs w:val="24"/>
              </w:rPr>
            </w:pPr>
            <w:r w:rsidRPr="00E74965">
              <w:rPr>
                <w:rFonts w:cs="Arial"/>
                <w:b/>
                <w:bCs/>
                <w:color w:val="000000"/>
                <w:szCs w:val="24"/>
              </w:rPr>
              <w:t>393</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0CC6A904" w14:textId="77777777">
            <w:pPr>
              <w:keepNext/>
              <w:keepLines/>
              <w:jc w:val="right"/>
              <w:rPr>
                <w:rFonts w:eastAsia="Times New Roman" w:cs="Arial"/>
                <w:color w:val="000000"/>
                <w:szCs w:val="24"/>
              </w:rPr>
            </w:pPr>
            <w:r w:rsidRPr="00E74965">
              <w:rPr>
                <w:rFonts w:cs="Arial"/>
                <w:color w:val="000000"/>
                <w:szCs w:val="24"/>
              </w:rPr>
              <w:t xml:space="preserve">$30.77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3C4EABB6" w14:textId="77777777">
            <w:pPr>
              <w:keepNext/>
              <w:keepLines/>
              <w:jc w:val="right"/>
              <w:rPr>
                <w:rFonts w:eastAsia="Times New Roman" w:cs="Arial"/>
                <w:b/>
                <w:bCs/>
                <w:color w:val="000000"/>
                <w:szCs w:val="24"/>
              </w:rPr>
            </w:pPr>
            <w:r w:rsidRPr="00E74965">
              <w:rPr>
                <w:rFonts w:cs="Arial"/>
                <w:b/>
                <w:bCs/>
                <w:color w:val="000000"/>
                <w:szCs w:val="24"/>
              </w:rPr>
              <w:t xml:space="preserve">$30,863 </w:t>
            </w:r>
          </w:p>
        </w:tc>
      </w:tr>
      <w:tr w:rsidRPr="00E74965" w:rsidR="00CA22F5" w:rsidTr="00D878F2" w14:paraId="0FE9D142"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6EB8A1D0" w14:textId="77777777">
            <w:pPr>
              <w:keepNext/>
              <w:keepLines/>
              <w:rPr>
                <w:rFonts w:eastAsia="Times New Roman" w:cs="Arial"/>
                <w:b/>
                <w:bCs/>
                <w:color w:val="000000"/>
                <w:szCs w:val="24"/>
              </w:rPr>
            </w:pPr>
            <w:r w:rsidRPr="00E74965">
              <w:rPr>
                <w:rFonts w:eastAsia="Times New Roman" w:cs="Arial"/>
                <w:b/>
                <w:bCs/>
                <w:color w:val="000000"/>
                <w:szCs w:val="24"/>
              </w:rPr>
              <w:t>Section 6 Actions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3C24A46B" w14:textId="77777777">
            <w:pPr>
              <w:keepNext/>
              <w:keepLines/>
              <w:jc w:val="right"/>
              <w:rPr>
                <w:rFonts w:eastAsia="Times New Roman" w:cs="Arial"/>
                <w:b/>
                <w:color w:val="000000"/>
                <w:szCs w:val="24"/>
              </w:rPr>
            </w:pPr>
            <w:r w:rsidRPr="00E74965">
              <w:rPr>
                <w:rFonts w:cs="Arial"/>
                <w:b/>
                <w:bCs/>
                <w:color w:val="000000"/>
                <w:szCs w:val="24"/>
              </w:rPr>
              <w:t>150</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64C48073" w14:textId="77777777">
            <w:pPr>
              <w:keepNext/>
              <w:keepLines/>
              <w:rPr>
                <w:rFonts w:eastAsia="Times New Roman" w:cs="Arial"/>
                <w:b/>
                <w:color w:val="000000"/>
                <w:szCs w:val="24"/>
              </w:rPr>
            </w:pPr>
            <w:r w:rsidRPr="00E74965">
              <w:rPr>
                <w:rFonts w:cs="Arial"/>
                <w:b/>
                <w:bCs/>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6180A4FA" w14:textId="77777777">
            <w:pPr>
              <w:keepNext/>
              <w:keepLines/>
              <w:jc w:val="right"/>
              <w:rPr>
                <w:rFonts w:eastAsia="Times New Roman" w:cs="Arial"/>
                <w:b/>
                <w:color w:val="000000"/>
                <w:szCs w:val="24"/>
              </w:rPr>
            </w:pPr>
            <w:r w:rsidRPr="00E74965">
              <w:rPr>
                <w:rFonts w:cs="Arial"/>
                <w:b/>
                <w:bCs/>
                <w:color w:val="000000"/>
                <w:szCs w:val="24"/>
              </w:rPr>
              <w:t>132</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1F45E590" w14:textId="77777777">
            <w:pPr>
              <w:keepNext/>
              <w:keepLines/>
              <w:jc w:val="right"/>
              <w:rPr>
                <w:rFonts w:eastAsia="Times New Roman" w:cs="Arial"/>
                <w:color w:val="000000"/>
                <w:szCs w:val="24"/>
              </w:rPr>
            </w:pPr>
            <w:r w:rsidRPr="00E74965">
              <w:rPr>
                <w:rFonts w:cs="Arial"/>
                <w:color w:val="000000"/>
                <w:szCs w:val="24"/>
              </w:rPr>
              <w:t xml:space="preserve">$68.48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57847783" w14:textId="77777777">
            <w:pPr>
              <w:keepNext/>
              <w:keepLines/>
              <w:jc w:val="right"/>
              <w:rPr>
                <w:rFonts w:eastAsia="Times New Roman" w:cs="Arial"/>
                <w:b/>
                <w:bCs/>
                <w:color w:val="000000"/>
                <w:szCs w:val="24"/>
              </w:rPr>
            </w:pPr>
            <w:r w:rsidRPr="00E74965">
              <w:rPr>
                <w:rFonts w:cs="Arial"/>
                <w:b/>
                <w:bCs/>
                <w:color w:val="000000"/>
                <w:szCs w:val="24"/>
              </w:rPr>
              <w:t xml:space="preserve">$10,272 </w:t>
            </w:r>
          </w:p>
        </w:tc>
      </w:tr>
      <w:tr w:rsidRPr="00E74965" w:rsidR="00CA22F5" w:rsidTr="00D878F2" w14:paraId="1453E8E7"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180D7D56" w14:textId="77777777">
            <w:pPr>
              <w:keepNext/>
              <w:keepLines/>
              <w:rPr>
                <w:rFonts w:eastAsia="Times New Roman" w:cs="Arial"/>
                <w:b/>
                <w:bCs/>
                <w:color w:val="000000"/>
                <w:szCs w:val="24"/>
              </w:rPr>
            </w:pPr>
            <w:r w:rsidRPr="00E74965">
              <w:rPr>
                <w:rFonts w:eastAsia="Times New Roman" w:cs="Arial"/>
                <w:b/>
                <w:bCs/>
                <w:color w:val="000000"/>
                <w:szCs w:val="24"/>
              </w:rPr>
              <w:t>Total PRA</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588E1419" w14:textId="77777777">
            <w:pPr>
              <w:keepNext/>
              <w:keepLines/>
              <w:jc w:val="right"/>
              <w:rPr>
                <w:rFonts w:eastAsia="Times New Roman" w:cs="Arial"/>
                <w:b/>
                <w:color w:val="000000"/>
                <w:szCs w:val="24"/>
              </w:rPr>
            </w:pPr>
            <w:r w:rsidRPr="00E74965">
              <w:rPr>
                <w:rFonts w:cs="Arial"/>
                <w:b/>
                <w:bCs/>
                <w:color w:val="000000"/>
                <w:szCs w:val="24"/>
              </w:rPr>
              <w:t>1,348</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5DA5E456" w14:textId="77777777">
            <w:pPr>
              <w:keepNext/>
              <w:keepLines/>
              <w:rPr>
                <w:rFonts w:eastAsia="Times New Roman" w:cs="Arial"/>
                <w:b/>
                <w:color w:val="000000"/>
                <w:szCs w:val="24"/>
              </w:rPr>
            </w:pPr>
            <w:r w:rsidRPr="00E74965">
              <w:rPr>
                <w:rFonts w:cs="Arial"/>
                <w:b/>
                <w:bCs/>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4035AE9A" w14:textId="77777777">
            <w:pPr>
              <w:keepNext/>
              <w:keepLines/>
              <w:jc w:val="right"/>
              <w:rPr>
                <w:rFonts w:eastAsia="Times New Roman" w:cs="Arial"/>
                <w:b/>
                <w:color w:val="000000"/>
                <w:szCs w:val="24"/>
              </w:rPr>
            </w:pPr>
            <w:r w:rsidRPr="00E74965">
              <w:rPr>
                <w:rFonts w:cs="Arial"/>
                <w:b/>
                <w:bCs/>
                <w:color w:val="000000"/>
                <w:szCs w:val="24"/>
              </w:rPr>
              <w:t>581</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66783158" w14:textId="77777777">
            <w:pPr>
              <w:keepNext/>
              <w:keepLines/>
              <w:rPr>
                <w:rFonts w:eastAsia="Times New Roman" w:cs="Arial"/>
                <w:b/>
                <w:bCs/>
                <w:color w:val="000000"/>
                <w:szCs w:val="24"/>
              </w:rPr>
            </w:pPr>
            <w:r w:rsidRPr="00E74965">
              <w:rPr>
                <w:rFonts w:cs="Arial"/>
                <w:b/>
                <w:bCs/>
                <w:color w:val="000000"/>
                <w:szCs w:val="24"/>
              </w:rPr>
              <w:t>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2C09F049" w14:textId="77777777">
            <w:pPr>
              <w:keepNext/>
              <w:keepLines/>
              <w:jc w:val="right"/>
              <w:rPr>
                <w:rFonts w:eastAsia="Times New Roman" w:cs="Arial"/>
                <w:b/>
                <w:bCs/>
                <w:color w:val="000000"/>
                <w:szCs w:val="24"/>
              </w:rPr>
            </w:pPr>
            <w:r w:rsidRPr="00E74965">
              <w:rPr>
                <w:rFonts w:cs="Arial"/>
                <w:b/>
                <w:bCs/>
                <w:color w:val="000000"/>
                <w:szCs w:val="24"/>
              </w:rPr>
              <w:t xml:space="preserve">$45,610 </w:t>
            </w:r>
          </w:p>
        </w:tc>
      </w:tr>
      <w:tr w:rsidRPr="00E74965" w:rsidR="00CA22F5" w:rsidTr="00D878F2" w14:paraId="0427AA96" w14:textId="77777777">
        <w:trPr>
          <w:cantSplit/>
          <w:trHeight w:val="315"/>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E74965" w:rsidR="00CA22F5" w:rsidP="00D878F2" w:rsidRDefault="00CA22F5" w14:paraId="721AAB39" w14:textId="77777777">
            <w:pPr>
              <w:keepNext/>
              <w:keepLines/>
              <w:jc w:val="center"/>
              <w:rPr>
                <w:rFonts w:eastAsia="Times New Roman" w:cs="Arial"/>
                <w:b/>
                <w:bCs/>
                <w:color w:val="000000"/>
                <w:szCs w:val="24"/>
              </w:rPr>
            </w:pPr>
            <w:r w:rsidRPr="00E74965">
              <w:rPr>
                <w:rFonts w:eastAsia="Times New Roman" w:cs="Arial"/>
                <w:b/>
                <w:bCs/>
                <w:color w:val="000000"/>
                <w:szCs w:val="24"/>
              </w:rPr>
              <w:t>Included in IC 2: Consortia Non-Reporting Costs</w:t>
            </w:r>
          </w:p>
        </w:tc>
      </w:tr>
      <w:tr w:rsidRPr="00E74965" w:rsidR="00CA22F5" w:rsidTr="00D878F2" w14:paraId="491264E6" w14:textId="77777777">
        <w:trPr>
          <w:cantSplit/>
          <w:trHeight w:val="315"/>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E74965" w:rsidR="00CA22F5" w:rsidP="00D878F2" w:rsidRDefault="00CA22F5" w14:paraId="00C80028" w14:textId="77777777">
            <w:pPr>
              <w:keepNext/>
              <w:keepLines/>
              <w:rPr>
                <w:rFonts w:eastAsia="Times New Roman" w:cs="Arial"/>
                <w:color w:val="000000"/>
                <w:szCs w:val="24"/>
              </w:rPr>
            </w:pPr>
            <w:r w:rsidRPr="00E74965">
              <w:rPr>
                <w:rFonts w:eastAsia="Times New Roman" w:cs="Arial"/>
                <w:color w:val="000000"/>
                <w:szCs w:val="24"/>
              </w:rPr>
              <w:t>Section 6 Actions</w:t>
            </w:r>
          </w:p>
        </w:tc>
        <w:tc>
          <w:tcPr>
            <w:tcW w:w="1710" w:type="dxa"/>
            <w:tcBorders>
              <w:top w:val="nil"/>
              <w:left w:val="nil"/>
              <w:bottom w:val="single" w:color="auto" w:sz="8" w:space="0"/>
              <w:right w:val="nil"/>
            </w:tcBorders>
            <w:shd w:val="clear" w:color="auto" w:fill="auto"/>
            <w:noWrap/>
            <w:vAlign w:val="center"/>
            <w:hideMark/>
          </w:tcPr>
          <w:p w:rsidRPr="00E74965" w:rsidR="00CA22F5" w:rsidP="00D878F2" w:rsidRDefault="00CA22F5" w14:paraId="13BAB2D6" w14:textId="77777777">
            <w:pPr>
              <w:keepNext/>
              <w:keepLines/>
              <w:jc w:val="right"/>
              <w:rPr>
                <w:rFonts w:eastAsia="Times New Roman" w:cs="Arial"/>
                <w:color w:val="000000"/>
                <w:szCs w:val="24"/>
              </w:rPr>
            </w:pPr>
            <w:r w:rsidRPr="00E74965">
              <w:rPr>
                <w:rFonts w:cs="Arial"/>
                <w:color w:val="000000"/>
                <w:szCs w:val="24"/>
              </w:rPr>
              <w:t>7</w:t>
            </w:r>
          </w:p>
        </w:tc>
        <w:tc>
          <w:tcPr>
            <w:tcW w:w="1710" w:type="dxa"/>
            <w:tcBorders>
              <w:top w:val="nil"/>
              <w:left w:val="nil"/>
              <w:bottom w:val="single" w:color="auto" w:sz="8" w:space="0"/>
              <w:right w:val="nil"/>
            </w:tcBorders>
            <w:shd w:val="clear" w:color="auto" w:fill="auto"/>
            <w:noWrap/>
            <w:vAlign w:val="center"/>
            <w:hideMark/>
          </w:tcPr>
          <w:p w:rsidRPr="00E74965" w:rsidR="00CA22F5" w:rsidP="00D878F2" w:rsidRDefault="00CA22F5" w14:paraId="7C6B66F9" w14:textId="77777777">
            <w:pPr>
              <w:keepNext/>
              <w:keepLines/>
              <w:rPr>
                <w:rFonts w:eastAsia="Times New Roman" w:cs="Arial"/>
                <w:color w:val="000000"/>
                <w:szCs w:val="24"/>
              </w:rPr>
            </w:pPr>
            <w:r w:rsidRPr="00E74965">
              <w:rPr>
                <w:rFonts w:cs="Arial"/>
                <w:color w:val="000000"/>
                <w:szCs w:val="24"/>
              </w:rPr>
              <w:t> </w:t>
            </w:r>
          </w:p>
        </w:tc>
        <w:tc>
          <w:tcPr>
            <w:tcW w:w="1440" w:type="dxa"/>
            <w:tcBorders>
              <w:top w:val="nil"/>
              <w:left w:val="nil"/>
              <w:bottom w:val="single" w:color="auto" w:sz="8" w:space="0"/>
              <w:right w:val="single" w:color="auto" w:sz="8" w:space="0"/>
            </w:tcBorders>
            <w:shd w:val="clear" w:color="auto" w:fill="auto"/>
            <w:noWrap/>
            <w:vAlign w:val="center"/>
            <w:hideMark/>
          </w:tcPr>
          <w:p w:rsidRPr="00E74965" w:rsidR="00CA22F5" w:rsidP="00D878F2" w:rsidRDefault="00CA22F5" w14:paraId="3F5A62BE" w14:textId="77777777">
            <w:pPr>
              <w:keepNext/>
              <w:keepLines/>
              <w:rPr>
                <w:rFonts w:eastAsia="Times New Roman" w:cs="Arial"/>
                <w:color w:val="000000"/>
                <w:szCs w:val="24"/>
              </w:rPr>
            </w:pPr>
            <w:r w:rsidRPr="00E74965">
              <w:rPr>
                <w:rFonts w:cs="Arial"/>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098AF40F" w14:textId="77777777">
            <w:pPr>
              <w:keepNext/>
              <w:keepLines/>
              <w:jc w:val="right"/>
              <w:rPr>
                <w:rFonts w:eastAsia="Times New Roman" w:cs="Arial"/>
                <w:color w:val="000000"/>
                <w:szCs w:val="24"/>
              </w:rPr>
            </w:pPr>
            <w:r w:rsidRPr="00E74965">
              <w:rPr>
                <w:rFonts w:cs="Arial"/>
                <w:color w:val="000000"/>
                <w:szCs w:val="24"/>
              </w:rPr>
              <w:t>$34,167</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32C19F8B" w14:textId="77777777">
            <w:pPr>
              <w:keepNext/>
              <w:keepLines/>
              <w:jc w:val="right"/>
              <w:rPr>
                <w:rFonts w:eastAsia="Times New Roman" w:cs="Arial"/>
                <w:b/>
                <w:bCs/>
                <w:color w:val="000000"/>
                <w:szCs w:val="24"/>
              </w:rPr>
            </w:pPr>
            <w:r w:rsidRPr="00E74965">
              <w:rPr>
                <w:rFonts w:cs="Arial"/>
                <w:b/>
                <w:bCs/>
                <w:color w:val="000000"/>
                <w:szCs w:val="24"/>
              </w:rPr>
              <w:t xml:space="preserve">$227,778 </w:t>
            </w:r>
          </w:p>
        </w:tc>
      </w:tr>
      <w:tr w:rsidRPr="00E74965" w:rsidR="00CA22F5" w:rsidTr="00D878F2" w14:paraId="3C894C1E" w14:textId="77777777">
        <w:trPr>
          <w:cantSplit/>
          <w:trHeight w:val="315"/>
        </w:trPr>
        <w:tc>
          <w:tcPr>
            <w:tcW w:w="1970" w:type="dxa"/>
            <w:tcBorders>
              <w:top w:val="nil"/>
              <w:left w:val="single" w:color="auto" w:sz="8" w:space="0"/>
              <w:bottom w:val="single" w:color="auto" w:sz="8" w:space="0"/>
              <w:right w:val="single" w:color="000000" w:sz="8" w:space="0"/>
            </w:tcBorders>
            <w:shd w:val="clear" w:color="auto" w:fill="auto"/>
            <w:vAlign w:val="center"/>
            <w:hideMark/>
          </w:tcPr>
          <w:p w:rsidRPr="00E74965" w:rsidR="00CA22F5" w:rsidP="00D878F2" w:rsidRDefault="00CA22F5" w14:paraId="61B59761" w14:textId="77777777">
            <w:pPr>
              <w:keepNext/>
              <w:keepLines/>
              <w:rPr>
                <w:rFonts w:eastAsia="Times New Roman" w:cs="Arial"/>
                <w:b/>
                <w:bCs/>
                <w:color w:val="000000"/>
                <w:szCs w:val="24"/>
              </w:rPr>
            </w:pPr>
            <w:r w:rsidRPr="00E74965">
              <w:rPr>
                <w:rFonts w:eastAsia="Times New Roman" w:cs="Arial"/>
                <w:b/>
                <w:bCs/>
                <w:color w:val="000000"/>
                <w:szCs w:val="24"/>
              </w:rPr>
              <w:t>Total Costs</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0E7D5D8D" w14:textId="77777777">
            <w:pPr>
              <w:keepNext/>
              <w:keepLines/>
              <w:jc w:val="right"/>
              <w:rPr>
                <w:rFonts w:eastAsia="Times New Roman" w:cs="Arial"/>
                <w:b/>
                <w:color w:val="000000"/>
                <w:szCs w:val="24"/>
              </w:rPr>
            </w:pPr>
            <w:r w:rsidRPr="00E74965">
              <w:rPr>
                <w:rFonts w:cs="Arial"/>
                <w:b/>
                <w:bCs/>
                <w:color w:val="000000"/>
                <w:szCs w:val="24"/>
              </w:rPr>
              <w:t>1,348</w:t>
            </w:r>
          </w:p>
        </w:tc>
        <w:tc>
          <w:tcPr>
            <w:tcW w:w="1710" w:type="dxa"/>
            <w:tcBorders>
              <w:top w:val="nil"/>
              <w:left w:val="nil"/>
              <w:bottom w:val="single" w:color="auto" w:sz="8" w:space="0"/>
              <w:right w:val="nil"/>
            </w:tcBorders>
            <w:shd w:val="clear" w:color="auto" w:fill="auto"/>
            <w:vAlign w:val="center"/>
            <w:hideMark/>
          </w:tcPr>
          <w:p w:rsidRPr="00E74965" w:rsidR="00CA22F5" w:rsidP="00D878F2" w:rsidRDefault="00CA22F5" w14:paraId="7A7AA09E" w14:textId="77777777">
            <w:pPr>
              <w:keepNext/>
              <w:keepLines/>
              <w:rPr>
                <w:rFonts w:eastAsia="Times New Roman" w:cs="Arial"/>
                <w:b/>
                <w:color w:val="000000"/>
                <w:szCs w:val="24"/>
              </w:rPr>
            </w:pPr>
            <w:r w:rsidRPr="00E74965">
              <w:rPr>
                <w:rFonts w:cs="Arial"/>
                <w:b/>
                <w:bCs/>
                <w:color w:val="000000"/>
                <w:szCs w:val="24"/>
              </w:rPr>
              <w:t> </w:t>
            </w:r>
          </w:p>
        </w:tc>
        <w:tc>
          <w:tcPr>
            <w:tcW w:w="1440" w:type="dxa"/>
            <w:tcBorders>
              <w:top w:val="nil"/>
              <w:left w:val="nil"/>
              <w:bottom w:val="single" w:color="auto" w:sz="8" w:space="0"/>
              <w:right w:val="nil"/>
            </w:tcBorders>
            <w:shd w:val="clear" w:color="auto" w:fill="auto"/>
            <w:vAlign w:val="center"/>
            <w:hideMark/>
          </w:tcPr>
          <w:p w:rsidRPr="00E74965" w:rsidR="00CA22F5" w:rsidP="00D878F2" w:rsidRDefault="00CA22F5" w14:paraId="4D70C8A8" w14:textId="77777777">
            <w:pPr>
              <w:keepNext/>
              <w:keepLines/>
              <w:jc w:val="right"/>
              <w:rPr>
                <w:rFonts w:eastAsia="Times New Roman" w:cs="Arial"/>
                <w:b/>
                <w:color w:val="000000"/>
                <w:szCs w:val="24"/>
              </w:rPr>
            </w:pPr>
            <w:r w:rsidRPr="00E74965">
              <w:rPr>
                <w:rFonts w:cs="Arial"/>
                <w:b/>
                <w:bCs/>
                <w:color w:val="000000"/>
                <w:szCs w:val="24"/>
              </w:rPr>
              <w:t>581</w:t>
            </w:r>
          </w:p>
        </w:tc>
        <w:tc>
          <w:tcPr>
            <w:tcW w:w="1440" w:type="dxa"/>
            <w:tcBorders>
              <w:top w:val="nil"/>
              <w:left w:val="single" w:color="auto" w:sz="8" w:space="0"/>
              <w:bottom w:val="single" w:color="auto" w:sz="8" w:space="0"/>
              <w:right w:val="nil"/>
            </w:tcBorders>
            <w:shd w:val="clear" w:color="auto" w:fill="auto"/>
            <w:vAlign w:val="center"/>
            <w:hideMark/>
          </w:tcPr>
          <w:p w:rsidRPr="00E74965" w:rsidR="00CA22F5" w:rsidP="00D878F2" w:rsidRDefault="00CA22F5" w14:paraId="7ACEA739" w14:textId="77777777">
            <w:pPr>
              <w:keepNext/>
              <w:keepLines/>
              <w:rPr>
                <w:rFonts w:eastAsia="Times New Roman" w:cs="Arial"/>
                <w:b/>
                <w:bCs/>
                <w:color w:val="000000"/>
                <w:szCs w:val="24"/>
              </w:rPr>
            </w:pPr>
            <w:r w:rsidRPr="00E74965">
              <w:rPr>
                <w:rFonts w:cs="Arial"/>
                <w:b/>
                <w:bCs/>
                <w:color w:val="000000"/>
                <w:szCs w:val="24"/>
              </w:rPr>
              <w:t> </w:t>
            </w:r>
          </w:p>
        </w:tc>
        <w:tc>
          <w:tcPr>
            <w:tcW w:w="1440" w:type="dxa"/>
            <w:tcBorders>
              <w:top w:val="nil"/>
              <w:left w:val="nil"/>
              <w:bottom w:val="single" w:color="auto" w:sz="8" w:space="0"/>
              <w:right w:val="single" w:color="auto" w:sz="8" w:space="0"/>
            </w:tcBorders>
            <w:shd w:val="clear" w:color="auto" w:fill="auto"/>
            <w:vAlign w:val="center"/>
            <w:hideMark/>
          </w:tcPr>
          <w:p w:rsidRPr="00E74965" w:rsidR="00CA22F5" w:rsidP="00D878F2" w:rsidRDefault="00CA22F5" w14:paraId="64F23FDF" w14:textId="77777777">
            <w:pPr>
              <w:keepNext/>
              <w:keepLines/>
              <w:jc w:val="right"/>
              <w:rPr>
                <w:rFonts w:eastAsia="Times New Roman" w:cs="Arial"/>
                <w:b/>
                <w:bCs/>
                <w:color w:val="000000"/>
                <w:szCs w:val="24"/>
              </w:rPr>
            </w:pPr>
            <w:r w:rsidRPr="00E74965">
              <w:rPr>
                <w:rFonts w:cs="Arial"/>
                <w:b/>
                <w:bCs/>
                <w:color w:val="000000"/>
                <w:szCs w:val="24"/>
              </w:rPr>
              <w:t xml:space="preserve">$273,388 </w:t>
            </w:r>
          </w:p>
        </w:tc>
      </w:tr>
      <w:tr w:rsidRPr="00E74965" w:rsidR="00CA22F5" w:rsidTr="00D878F2" w14:paraId="1AB6FC1F" w14:textId="77777777">
        <w:trPr>
          <w:cantSplit/>
          <w:trHeight w:val="493"/>
        </w:trPr>
        <w:tc>
          <w:tcPr>
            <w:tcW w:w="9710" w:type="dxa"/>
            <w:gridSpan w:val="6"/>
            <w:tcBorders>
              <w:top w:val="single" w:color="auto" w:sz="8" w:space="0"/>
              <w:left w:val="single" w:color="auto" w:sz="8" w:space="0"/>
              <w:bottom w:val="single" w:color="auto" w:sz="8" w:space="0"/>
              <w:right w:val="single" w:color="000000" w:sz="8" w:space="0"/>
            </w:tcBorders>
            <w:shd w:val="clear" w:color="auto" w:fill="auto"/>
            <w:hideMark/>
          </w:tcPr>
          <w:p w:rsidRPr="00E74965" w:rsidR="00CA22F5" w:rsidP="00D878F2" w:rsidRDefault="00CA22F5" w14:paraId="7A39E945" w14:textId="77777777">
            <w:pPr>
              <w:keepNext/>
              <w:keepLines/>
              <w:rPr>
                <w:rFonts w:eastAsia="Times New Roman" w:cs="Arial"/>
                <w:color w:val="000000"/>
                <w:szCs w:val="24"/>
              </w:rPr>
            </w:pPr>
            <w:r w:rsidRPr="00E74965">
              <w:rPr>
                <w:rFonts w:eastAsia="Times New Roman" w:cs="Arial"/>
                <w:color w:val="000000"/>
                <w:szCs w:val="24"/>
                <w:vertAlign w:val="superscript"/>
              </w:rPr>
              <w:t>1</w:t>
            </w:r>
            <w:r w:rsidRPr="00E74965">
              <w:rPr>
                <w:rFonts w:eastAsia="Times New Roman" w:cs="Arial"/>
                <w:color w:val="000000"/>
                <w:szCs w:val="24"/>
              </w:rPr>
              <w:t xml:space="preserve"> Values may not calculate exactly due to rounding. Total burden and cost may be overestimated due to assumptions on the number of firms in consortia and first-time users of CDX.</w:t>
            </w:r>
          </w:p>
        </w:tc>
      </w:tr>
      <w:bookmarkEnd w:id="25"/>
    </w:tbl>
    <w:p w:rsidRPr="00E74965" w:rsidR="00CA22F5" w:rsidP="00CA22F5" w:rsidRDefault="00CA22F5" w14:paraId="78F2F512" w14:textId="77777777">
      <w:pPr>
        <w:pStyle w:val="NoSpacing"/>
        <w:keepNext/>
        <w:keepLines/>
        <w:rPr>
          <w:rFonts w:cs="Arial"/>
          <w:szCs w:val="24"/>
        </w:rPr>
      </w:pPr>
    </w:p>
    <w:p w:rsidRPr="00E74965" w:rsidR="00CA22F5" w:rsidP="00CA22F5" w:rsidRDefault="00CA22F5" w14:paraId="1BB09C24" w14:textId="77777777">
      <w:pPr>
        <w:pStyle w:val="NoSpacing"/>
        <w:rPr>
          <w:rFonts w:cs="Arial"/>
          <w:szCs w:val="24"/>
        </w:rPr>
      </w:pPr>
    </w:p>
    <w:p w:rsidRPr="00E74965" w:rsidR="00CA22F5" w:rsidP="00CA22F5" w:rsidRDefault="00CA22F5" w14:paraId="6162DA6E" w14:textId="77777777">
      <w:pPr>
        <w:pStyle w:val="Heading1"/>
        <w:numPr>
          <w:ilvl w:val="0"/>
          <w:numId w:val="3"/>
        </w:numPr>
        <w:rPr>
          <w:rFonts w:cs="Arial"/>
          <w:sz w:val="24"/>
          <w:szCs w:val="24"/>
        </w:rPr>
      </w:pPr>
      <w:r w:rsidRPr="00E74965">
        <w:rPr>
          <w:rFonts w:cs="Arial"/>
          <w:sz w:val="24"/>
          <w:szCs w:val="24"/>
        </w:rPr>
        <w:lastRenderedPageBreak/>
        <w:t>PRA Burden Statement</w:t>
      </w:r>
    </w:p>
    <w:p w:rsidRPr="00E74965" w:rsidR="00CA22F5" w:rsidP="00CA22F5" w:rsidRDefault="00CA22F5" w14:paraId="2862A77F" w14:textId="205591C9">
      <w:pPr>
        <w:rPr>
          <w:rFonts w:cs="Arial"/>
          <w:color w:val="000000" w:themeColor="text1"/>
          <w:szCs w:val="24"/>
        </w:rPr>
      </w:pPr>
      <w:r w:rsidRPr="00E74965">
        <w:rPr>
          <w:rFonts w:cs="Arial"/>
          <w:szCs w:val="24"/>
        </w:rPr>
        <w:t>Under the PRA, b</w:t>
      </w:r>
      <w:r w:rsidRPr="00E74965">
        <w:rPr>
          <w:rFonts w:cs="Arial"/>
          <w:szCs w:val="24"/>
          <w:lang w:bidi="en-US"/>
        </w:rPr>
        <w:t xml:space="preserve">urden is defined at </w:t>
      </w:r>
      <w:hyperlink w:history="1" w:anchor="5:3.0.2.3.9.0.48.3" r:id="rId19">
        <w:r w:rsidRPr="00E74965">
          <w:rPr>
            <w:rStyle w:val="Hyperlink"/>
            <w:rFonts w:cs="Arial"/>
            <w:szCs w:val="24"/>
            <w:lang w:bidi="en-US"/>
          </w:rPr>
          <w:t>5 CFR 1320.3(b)</w:t>
        </w:r>
      </w:hyperlink>
      <w:r w:rsidRPr="00E74965">
        <w:rPr>
          <w:rFonts w:cs="Arial"/>
          <w:szCs w:val="24"/>
          <w:lang w:bidi="en-US"/>
        </w:rPr>
        <w:t>.</w:t>
      </w:r>
      <w:r w:rsidRPr="00E74965">
        <w:rPr>
          <w:rFonts w:cs="Arial"/>
          <w:color w:val="000000" w:themeColor="text1"/>
          <w:szCs w:val="24"/>
        </w:rPr>
        <w:t xml:space="preserve"> This is a </w:t>
      </w:r>
      <w:r w:rsidRPr="00E74965" w:rsidR="00F72441">
        <w:rPr>
          <w:rFonts w:cs="Arial"/>
          <w:color w:val="000000" w:themeColor="text1"/>
          <w:szCs w:val="24"/>
        </w:rPr>
        <w:t>revised</w:t>
      </w:r>
      <w:r w:rsidRPr="00E74965">
        <w:rPr>
          <w:rFonts w:cs="Arial"/>
          <w:color w:val="000000" w:themeColor="text1"/>
          <w:szCs w:val="24"/>
        </w:rPr>
        <w:t>, rule-related information collection. The total burden requested for this ICR is 5</w:t>
      </w:r>
      <w:r w:rsidR="005716BF">
        <w:rPr>
          <w:rFonts w:cs="Arial"/>
          <w:color w:val="000000" w:themeColor="text1"/>
          <w:szCs w:val="24"/>
        </w:rPr>
        <w:t>81</w:t>
      </w:r>
      <w:r w:rsidRPr="00E74965">
        <w:rPr>
          <w:rFonts w:cs="Arial"/>
          <w:color w:val="000000" w:themeColor="text1"/>
          <w:szCs w:val="24"/>
        </w:rPr>
        <w:t xml:space="preserve"> hours per year, with a total of 1,348 respondents, and is estimated to average 0.43 hours per respondent. The total estimated annual reporting burden cost is $273,38</w:t>
      </w:r>
      <w:r w:rsidR="005716BF">
        <w:rPr>
          <w:rFonts w:cs="Arial"/>
          <w:color w:val="000000" w:themeColor="text1"/>
          <w:szCs w:val="24"/>
        </w:rPr>
        <w:t>8</w:t>
      </w:r>
      <w:r w:rsidRPr="00E74965">
        <w:rPr>
          <w:rFonts w:cs="Arial"/>
          <w:color w:val="000000" w:themeColor="text1"/>
          <w:szCs w:val="24"/>
        </w:rPr>
        <w:t xml:space="preserve">, which includes $0 annualized capital or operation and maintenance costs. </w:t>
      </w:r>
    </w:p>
    <w:p w:rsidRPr="00E74965" w:rsidR="00CA22F5" w:rsidP="00CA22F5" w:rsidRDefault="00CA22F5" w14:paraId="6BC07E70" w14:textId="77777777">
      <w:pPr>
        <w:pStyle w:val="NoSpacing"/>
        <w:rPr>
          <w:rFonts w:cs="Arial"/>
          <w:szCs w:val="24"/>
        </w:rPr>
      </w:pPr>
    </w:p>
    <w:p w:rsidRPr="00E74965" w:rsidR="00CA22F5" w:rsidP="00CA22F5" w:rsidRDefault="00CA22F5" w14:paraId="52BF7D95" w14:textId="10F81AD5">
      <w:pPr>
        <w:rPr>
          <w:rFonts w:cs="Arial"/>
          <w:szCs w:val="24"/>
        </w:rPr>
      </w:pPr>
      <w:r w:rsidRPr="00E74965">
        <w:rPr>
          <w:rFonts w:cs="Arial"/>
          <w:szCs w:val="24"/>
        </w:rPr>
        <w:t xml:space="preserve">You may submit comments regarding the accuracy of the provided burden estimates and any suggested methods for minimizing respondent burden, including the use of automated collection techniques. Comments, referencing Docket ID No. </w:t>
      </w:r>
      <w:r w:rsidRPr="00E74965">
        <w:rPr>
          <w:rFonts w:cs="Arial"/>
          <w:szCs w:val="24"/>
          <w:lang w:bidi="en-US"/>
        </w:rPr>
        <w:t>EPA-HQ-OPPT-</w:t>
      </w:r>
      <w:r w:rsidRPr="00E74965" w:rsidR="00814FE9">
        <w:rPr>
          <w:rFonts w:cs="Arial"/>
          <w:szCs w:val="24"/>
          <w:lang w:bidi="en-US"/>
        </w:rPr>
        <w:t>2020-0493</w:t>
      </w:r>
      <w:r w:rsidRPr="00E74965">
        <w:rPr>
          <w:rFonts w:cs="Arial"/>
          <w:szCs w:val="24"/>
          <w:lang w:bidi="en-US"/>
        </w:rPr>
        <w:t xml:space="preserve"> </w:t>
      </w:r>
      <w:r w:rsidRPr="00E74965">
        <w:rPr>
          <w:rFonts w:cs="Arial"/>
          <w:szCs w:val="24"/>
        </w:rPr>
        <w:t xml:space="preserve">and OMB Control No. 2070-0208 (EPA ICR No. </w:t>
      </w:r>
      <w:r w:rsidRPr="00E74965">
        <w:rPr>
          <w:rFonts w:cs="Arial"/>
          <w:szCs w:val="24"/>
          <w:lang w:bidi="en-US"/>
        </w:rPr>
        <w:t>2569.</w:t>
      </w:r>
      <w:r w:rsidRPr="00E74965" w:rsidR="00814FE9">
        <w:rPr>
          <w:rFonts w:cs="Arial"/>
          <w:szCs w:val="24"/>
          <w:lang w:bidi="en-US"/>
        </w:rPr>
        <w:t>0</w:t>
      </w:r>
      <w:r w:rsidRPr="00E74965" w:rsidR="00F72441">
        <w:rPr>
          <w:rFonts w:cs="Arial"/>
          <w:szCs w:val="24"/>
          <w:lang w:bidi="en-US"/>
        </w:rPr>
        <w:t>3</w:t>
      </w:r>
      <w:r w:rsidRPr="00E74965">
        <w:rPr>
          <w:rFonts w:cs="Arial"/>
          <w:szCs w:val="24"/>
        </w:rPr>
        <w:t xml:space="preserve">), may be submitted to EPA electronically through </w:t>
      </w:r>
      <w:hyperlink w:history="1" r:id="rId20">
        <w:r w:rsidRPr="00E74965">
          <w:rPr>
            <w:rStyle w:val="Hyperlink"/>
            <w:rFonts w:cs="Arial"/>
            <w:szCs w:val="24"/>
          </w:rPr>
          <w:t>http://www.regulations.gov</w:t>
        </w:r>
      </w:hyperlink>
      <w:r w:rsidRPr="00E74965">
        <w:rPr>
          <w:rFonts w:cs="Arial"/>
          <w:i/>
          <w:szCs w:val="24"/>
        </w:rPr>
        <w:t xml:space="preserve"> </w:t>
      </w:r>
      <w:r w:rsidRPr="00E74965">
        <w:rPr>
          <w:rFonts w:cs="Arial"/>
          <w:szCs w:val="24"/>
        </w:rPr>
        <w:t xml:space="preserve">and to OMB, addressed to “OMB Desk Officer for EPA” and referencing OMB Control No. 2070-0208 (EPA ICR No. </w:t>
      </w:r>
      <w:r w:rsidRPr="00E74965">
        <w:rPr>
          <w:rFonts w:cs="Arial"/>
          <w:szCs w:val="24"/>
          <w:lang w:bidi="en-US"/>
        </w:rPr>
        <w:t>2569.</w:t>
      </w:r>
      <w:r w:rsidRPr="00E74965" w:rsidR="00814FE9">
        <w:rPr>
          <w:rFonts w:cs="Arial"/>
          <w:szCs w:val="24"/>
          <w:lang w:bidi="en-US"/>
        </w:rPr>
        <w:t>0</w:t>
      </w:r>
      <w:r w:rsidRPr="00E74965" w:rsidR="00F72441">
        <w:rPr>
          <w:rFonts w:cs="Arial"/>
          <w:szCs w:val="24"/>
          <w:lang w:bidi="en-US"/>
        </w:rPr>
        <w:t>3</w:t>
      </w:r>
      <w:r w:rsidRPr="00E74965">
        <w:rPr>
          <w:rFonts w:cs="Arial"/>
          <w:szCs w:val="24"/>
        </w:rPr>
        <w:t xml:space="preserve">, via email to </w:t>
      </w:r>
      <w:hyperlink w:history="1" r:id="rId21">
        <w:r w:rsidRPr="00E74965">
          <w:rPr>
            <w:rFonts w:cs="Arial"/>
            <w:i/>
            <w:color w:val="0000FF"/>
            <w:szCs w:val="24"/>
            <w:u w:val="single"/>
          </w:rPr>
          <w:t>oira_submission@omb.eop.gov</w:t>
        </w:r>
      </w:hyperlink>
      <w:r w:rsidRPr="00E74965">
        <w:rPr>
          <w:rFonts w:cs="Arial"/>
          <w:szCs w:val="24"/>
        </w:rPr>
        <w:t xml:space="preserve">.  </w:t>
      </w:r>
    </w:p>
    <w:p w:rsidRPr="00E74965" w:rsidR="00C46CBF" w:rsidP="00973D5B" w:rsidRDefault="00C46CBF" w14:paraId="2FA1D791" w14:textId="4CA8982E">
      <w:pPr>
        <w:rPr>
          <w:rFonts w:cs="Arial"/>
          <w:szCs w:val="24"/>
        </w:rPr>
      </w:pPr>
      <w:bookmarkStart w:name="_Toc447203189" w:id="26"/>
      <w:bookmarkEnd w:id="24"/>
    </w:p>
    <w:p w:rsidRPr="00E74965" w:rsidR="00BD53A4" w:rsidP="00BD53A4" w:rsidRDefault="00BD53A4" w14:paraId="6ED79596" w14:textId="77777777">
      <w:pPr>
        <w:pStyle w:val="NoSpacing"/>
        <w:rPr>
          <w:rFonts w:cs="Arial"/>
          <w:szCs w:val="24"/>
        </w:rPr>
      </w:pPr>
    </w:p>
    <w:p w:rsidRPr="00E74965" w:rsidR="00973D5B" w:rsidP="00BD53A4" w:rsidRDefault="00973D5B" w14:paraId="5F92995F" w14:textId="77777777">
      <w:pPr>
        <w:pStyle w:val="NoSpacing"/>
        <w:rPr>
          <w:rFonts w:cs="Arial"/>
          <w:szCs w:val="24"/>
        </w:rPr>
      </w:pPr>
    </w:p>
    <w:p w:rsidRPr="00E74965" w:rsidR="002A5DBC" w:rsidP="00FD497D" w:rsidRDefault="002A5DBC" w14:paraId="1612B159" w14:textId="77777777">
      <w:pPr>
        <w:pStyle w:val="Heading1"/>
        <w:numPr>
          <w:ilvl w:val="0"/>
          <w:numId w:val="3"/>
        </w:numPr>
        <w:rPr>
          <w:rFonts w:cs="Arial"/>
          <w:sz w:val="24"/>
          <w:szCs w:val="24"/>
        </w:rPr>
      </w:pPr>
      <w:r w:rsidRPr="00E74965">
        <w:rPr>
          <w:rFonts w:cs="Arial"/>
          <w:sz w:val="24"/>
          <w:szCs w:val="24"/>
        </w:rPr>
        <w:t>References</w:t>
      </w:r>
      <w:bookmarkEnd w:id="26"/>
    </w:p>
    <w:p w:rsidRPr="00E74965" w:rsidR="00794756" w:rsidP="00794756" w:rsidRDefault="00794756" w14:paraId="662A6305" w14:textId="77777777">
      <w:pPr>
        <w:rPr>
          <w:rFonts w:cs="Arial"/>
          <w:szCs w:val="24"/>
        </w:rPr>
      </w:pPr>
      <w:r w:rsidRPr="00E74965">
        <w:rPr>
          <w:rFonts w:cs="Arial"/>
          <w:szCs w:val="24"/>
        </w:rPr>
        <w:t xml:space="preserve">Rice, C. (2002). Wage Rates for Economic Analysis of The Toxics Release Inventory Program. Office of Environmental Information: U.S. </w:t>
      </w:r>
      <w:r w:rsidRPr="00E74965" w:rsidR="00A345B9">
        <w:rPr>
          <w:rFonts w:cs="Arial"/>
          <w:szCs w:val="24"/>
        </w:rPr>
        <w:t>Environmental Protection Agency</w:t>
      </w:r>
      <w:r w:rsidRPr="00E74965" w:rsidR="00081249">
        <w:rPr>
          <w:rFonts w:cs="Arial"/>
          <w:szCs w:val="24"/>
        </w:rPr>
        <w:t>.</w:t>
      </w:r>
    </w:p>
    <w:p w:rsidRPr="00E74965" w:rsidR="00794756" w:rsidP="00794756" w:rsidRDefault="00794756" w14:paraId="03259FCC" w14:textId="77777777">
      <w:pPr>
        <w:rPr>
          <w:rFonts w:cs="Arial"/>
          <w:szCs w:val="24"/>
        </w:rPr>
      </w:pPr>
    </w:p>
    <w:p w:rsidRPr="00E74965" w:rsidR="00D42085" w:rsidP="00D42085" w:rsidRDefault="00D42085" w14:paraId="3ABEBC16" w14:textId="77777777">
      <w:pPr>
        <w:rPr>
          <w:rFonts w:cs="Arial"/>
          <w:szCs w:val="24"/>
        </w:rPr>
      </w:pPr>
      <w:r w:rsidRPr="00E74965">
        <w:rPr>
          <w:rFonts w:cs="Arial"/>
          <w:szCs w:val="24"/>
        </w:rPr>
        <w:t>U.S. Bureau of Labor Statistics (2020). Employer Costs for Employee Compensation (ECEC) Supplementary Tables: June 2020. 2020.</w:t>
      </w:r>
    </w:p>
    <w:p w:rsidRPr="00E74965" w:rsidR="00987C22" w:rsidP="00F81FD4" w:rsidRDefault="00987C22" w14:paraId="4306B6B2" w14:textId="77777777">
      <w:pPr>
        <w:pStyle w:val="NoSpacing"/>
        <w:rPr>
          <w:rFonts w:cs="Arial"/>
          <w:szCs w:val="24"/>
        </w:rPr>
      </w:pPr>
    </w:p>
    <w:p w:rsidRPr="00E74965" w:rsidR="00794756" w:rsidP="00B80285" w:rsidRDefault="00794756" w14:paraId="739BAED7" w14:textId="77777777">
      <w:pPr>
        <w:pStyle w:val="BodyText"/>
        <w:rPr>
          <w:rFonts w:cs="Arial"/>
          <w:szCs w:val="24"/>
        </w:rPr>
      </w:pPr>
      <w:r w:rsidRPr="00E74965">
        <w:rPr>
          <w:rFonts w:cs="Arial"/>
          <w:szCs w:val="24"/>
        </w:rPr>
        <w:t xml:space="preserve">U.S. Environmental Protection Agency (EPA). (2001) “Revised Economic Analysis for the Amended Inventory Update Rule (IUR).” Research Triangle Park. </w:t>
      </w:r>
    </w:p>
    <w:p w:rsidRPr="00E74965" w:rsidR="00C46CBF" w:rsidP="00C46CBF" w:rsidRDefault="00C46CBF" w14:paraId="36B00812" w14:textId="77777777">
      <w:pPr>
        <w:pStyle w:val="NoSpacing"/>
        <w:rPr>
          <w:rFonts w:cs="Arial"/>
          <w:szCs w:val="24"/>
        </w:rPr>
      </w:pPr>
    </w:p>
    <w:p w:rsidRPr="00E74965" w:rsidR="00C46CBF" w:rsidP="00FD497D" w:rsidRDefault="00C46CBF" w14:paraId="497CD6AB" w14:textId="77777777">
      <w:pPr>
        <w:pStyle w:val="NoSpacing"/>
        <w:rPr>
          <w:rFonts w:cs="Arial"/>
          <w:szCs w:val="24"/>
          <w:lang w:bidi="en-US"/>
        </w:rPr>
      </w:pPr>
    </w:p>
    <w:sectPr w:rsidRPr="00E74965" w:rsidR="00C46CBF" w:rsidSect="00FD497D">
      <w:footerReference w:type="default" r:id="rId22"/>
      <w:headerReference w:type="first" r:id="rId23"/>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F97A" w14:textId="77777777" w:rsidR="00D54787" w:rsidRDefault="00D54787" w:rsidP="002B34A0">
      <w:r>
        <w:separator/>
      </w:r>
    </w:p>
  </w:endnote>
  <w:endnote w:type="continuationSeparator" w:id="0">
    <w:p w14:paraId="646AE460" w14:textId="77777777" w:rsidR="00D54787" w:rsidRDefault="00D54787"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920684"/>
      <w:docPartObj>
        <w:docPartGallery w:val="Page Numbers (Bottom of Page)"/>
        <w:docPartUnique/>
      </w:docPartObj>
    </w:sdtPr>
    <w:sdtEndPr/>
    <w:sdtContent>
      <w:sdt>
        <w:sdtPr>
          <w:id w:val="-1801530361"/>
          <w:docPartObj>
            <w:docPartGallery w:val="Page Numbers (Top of Page)"/>
            <w:docPartUnique/>
          </w:docPartObj>
        </w:sdtPr>
        <w:sdtEndPr/>
        <w:sdtContent>
          <w:p w14:paraId="2F7154DE" w14:textId="69271141" w:rsidR="007C70BA" w:rsidRDefault="007C70BA" w:rsidP="00FD497D">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w:t>
            </w:r>
            <w:r w:rsidRPr="002B34A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1CC5" w14:textId="77777777" w:rsidR="00D54787" w:rsidRDefault="00D54787" w:rsidP="002B34A0">
      <w:r>
        <w:separator/>
      </w:r>
    </w:p>
  </w:footnote>
  <w:footnote w:type="continuationSeparator" w:id="0">
    <w:p w14:paraId="1D55CD92" w14:textId="77777777" w:rsidR="00D54787" w:rsidRDefault="00D54787" w:rsidP="002B34A0">
      <w:r>
        <w:continuationSeparator/>
      </w:r>
    </w:p>
  </w:footnote>
  <w:footnote w:id="1">
    <w:p w14:paraId="17419061" w14:textId="77777777" w:rsidR="00CA22F5" w:rsidRDefault="00CA22F5" w:rsidP="00CA22F5">
      <w:pPr>
        <w:pStyle w:val="FootnoteText"/>
      </w:pPr>
      <w:r w:rsidRPr="00042DC5">
        <w:rPr>
          <w:rStyle w:val="FootnoteReference"/>
          <w:vertAlign w:val="superscript"/>
        </w:rPr>
        <w:footnoteRef/>
      </w:r>
      <w:r>
        <w:t xml:space="preserve"> EPA expects a section 4 Test Rule and Enforceable Consent Agreement action to take two years. As a result, EPA expects to initiate two of each over the three years of this ICR. To simplify this analysis, EPA includes one of each of these actions each year. EPA expects this to be an overestimate of the total burden.   </w:t>
      </w:r>
    </w:p>
  </w:footnote>
  <w:footnote w:id="2">
    <w:p w14:paraId="494C8525" w14:textId="77777777" w:rsidR="00CA22F5" w:rsidRDefault="00CA22F5" w:rsidP="00CA22F5">
      <w:pPr>
        <w:pStyle w:val="FootnoteText"/>
      </w:pPr>
      <w:r w:rsidRPr="00C13C7B">
        <w:rPr>
          <w:rStyle w:val="FootnoteReference"/>
          <w:vertAlign w:val="superscript"/>
        </w:rPr>
        <w:footnoteRef/>
      </w:r>
      <w:r>
        <w:t xml:space="preserve"> See TSCA section 5 PMN ICR </w:t>
      </w:r>
      <w:hyperlink r:id="rId1" w:history="1">
        <w:r>
          <w:rPr>
            <w:rStyle w:val="Hyperlink"/>
            <w:rFonts w:eastAsia="Times New Roman"/>
          </w:rPr>
          <w:t>https://www.reginfo.gov/public/do/PRAViewICR?ref_nbr=201806-2070-001</w:t>
        </w:r>
      </w:hyperlink>
      <w:r>
        <w:rPr>
          <w:rFonts w:eastAsia="Times New Roman"/>
        </w:rPr>
        <w:t xml:space="preserve">. </w:t>
      </w:r>
    </w:p>
  </w:footnote>
  <w:footnote w:id="3">
    <w:p w14:paraId="179CC738" w14:textId="77777777" w:rsidR="00CA22F5" w:rsidRDefault="00CA22F5" w:rsidP="00CA22F5">
      <w:pPr>
        <w:pStyle w:val="FootnoteText"/>
      </w:pPr>
      <w:r w:rsidRPr="00C13C7B">
        <w:rPr>
          <w:rStyle w:val="FootnoteReference"/>
          <w:vertAlign w:val="superscript"/>
        </w:rPr>
        <w:footnoteRef/>
      </w:r>
      <w:r>
        <w:t xml:space="preserve"> See TSCA section 4 ICR</w:t>
      </w:r>
      <w:r>
        <w:rPr>
          <w:rFonts w:eastAsia="Times New Roman"/>
        </w:rPr>
        <w:t xml:space="preserve"> </w:t>
      </w:r>
      <w:hyperlink r:id="rId2" w:history="1">
        <w:r>
          <w:rPr>
            <w:rStyle w:val="Hyperlink"/>
            <w:rFonts w:eastAsia="Times New Roman"/>
          </w:rPr>
          <w:t>https://www.reginfo.gov/public/do/PRAViewICR?ref_nbr=201712-2070-004</w:t>
        </w:r>
      </w:hyperlink>
      <w:r>
        <w:rPr>
          <w:rFonts w:eastAsia="Times New Roman"/>
        </w:rPr>
        <w:t xml:space="preserve"> </w:t>
      </w:r>
    </w:p>
  </w:footnote>
  <w:footnote w:id="4">
    <w:p w14:paraId="74935C99" w14:textId="77777777" w:rsidR="00CA22F5" w:rsidRDefault="00CA22F5" w:rsidP="00CA22F5">
      <w:pPr>
        <w:pStyle w:val="FootnoteText"/>
      </w:pPr>
      <w:r w:rsidRPr="00C13C7B">
        <w:rPr>
          <w:rStyle w:val="FootnoteReference"/>
          <w:vertAlign w:val="superscript"/>
        </w:rPr>
        <w:footnoteRef/>
      </w:r>
      <w:r>
        <w:t xml:space="preserve"> See TSCA section 6 Risk Evaluations rule ICR </w:t>
      </w:r>
      <w:hyperlink r:id="rId3" w:history="1">
        <w:r>
          <w:rPr>
            <w:rStyle w:val="Hyperlink"/>
            <w:rFonts w:eastAsia="Times New Roman"/>
          </w:rPr>
          <w:t>https://www.reginfo.gov/public/do/PRAViewICR?ref_nbr=201707-2070-001</w:t>
        </w:r>
      </w:hyperlink>
      <w:r>
        <w:rPr>
          <w:rFonts w:eastAsia="Times New Roman"/>
        </w:rPr>
        <w:t xml:space="preserve"> </w:t>
      </w:r>
    </w:p>
  </w:footnote>
  <w:footnote w:id="5">
    <w:p w14:paraId="54544EB2" w14:textId="77777777" w:rsidR="00CA22F5" w:rsidRDefault="00CA22F5" w:rsidP="00CA22F5">
      <w:pPr>
        <w:pStyle w:val="FootnoteText"/>
      </w:pPr>
      <w:r w:rsidRPr="00C13C7B">
        <w:rPr>
          <w:rStyle w:val="FootnoteReference"/>
          <w:vertAlign w:val="superscript"/>
        </w:rPr>
        <w:footnoteRef/>
      </w:r>
      <w:r>
        <w:t xml:space="preserve"> See section 4 ICR </w:t>
      </w:r>
      <w:hyperlink r:id="rId4" w:history="1">
        <w:r w:rsidRPr="008C2A2A">
          <w:rPr>
            <w:rStyle w:val="Hyperlink"/>
          </w:rPr>
          <w:t>https://www.reginfo.gov/public/do/PRAICList?ref_nbr=201712-2070-004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F813" w14:textId="77777777" w:rsidR="008F76FB" w:rsidRDefault="008F76FB" w:rsidP="008F76FB">
    <w:pPr>
      <w:pStyle w:val="Header"/>
      <w:jc w:val="center"/>
      <w:rPr>
        <w:i/>
        <w:iCs/>
        <w:color w:val="FF0000"/>
      </w:rPr>
    </w:pPr>
    <w:r w:rsidRPr="007B631C">
      <w:rPr>
        <w:i/>
        <w:iCs/>
        <w:color w:val="FF0000"/>
      </w:rPr>
      <w:t xml:space="preserve">*** </w:t>
    </w:r>
    <w:r>
      <w:rPr>
        <w:i/>
        <w:iCs/>
        <w:color w:val="FF0000"/>
      </w:rPr>
      <w:t>EO 12866/13563</w:t>
    </w:r>
    <w:r w:rsidRPr="007B631C">
      <w:rPr>
        <w:i/>
        <w:iCs/>
        <w:color w:val="FF0000"/>
      </w:rPr>
      <w:t xml:space="preserve"> Review Draft – Deliberative – Do Not Cite, Quote or Release ***</w:t>
    </w:r>
  </w:p>
  <w:p w14:paraId="17E0B949" w14:textId="4DB391C6" w:rsidR="008F76FB" w:rsidRPr="00D3740F" w:rsidRDefault="008F76FB" w:rsidP="008F76FB">
    <w:pPr>
      <w:pStyle w:val="Header"/>
      <w:jc w:val="center"/>
      <w:rPr>
        <w:i/>
        <w:iCs/>
        <w:color w:val="0070C0"/>
      </w:rPr>
    </w:pPr>
    <w:r w:rsidRPr="00D3740F">
      <w:rPr>
        <w:i/>
        <w:iCs/>
        <w:color w:val="0070C0"/>
      </w:rPr>
      <w:fldChar w:fldCharType="begin"/>
    </w:r>
    <w:r w:rsidRPr="00D3740F">
      <w:rPr>
        <w:i/>
        <w:iCs/>
        <w:color w:val="0070C0"/>
      </w:rPr>
      <w:instrText xml:space="preserve"> FILENAME   \* MERGEFORMAT </w:instrText>
    </w:r>
    <w:r w:rsidRPr="00D3740F">
      <w:rPr>
        <w:i/>
        <w:iCs/>
        <w:color w:val="0070C0"/>
      </w:rPr>
      <w:fldChar w:fldCharType="separate"/>
    </w:r>
    <w:r w:rsidR="00D1270C">
      <w:rPr>
        <w:i/>
        <w:iCs/>
        <w:noProof/>
        <w:color w:val="0070C0"/>
      </w:rPr>
      <w:t>RIN2070-AK64_EO12866_TSCA Fees Revisions_NPRM_ICR_2020-10-01.docx</w:t>
    </w:r>
    <w:r w:rsidRPr="00D3740F">
      <w:rPr>
        <w:i/>
        <w:iCs/>
        <w:color w:val="0070C0"/>
      </w:rPr>
      <w:fldChar w:fldCharType="end"/>
    </w:r>
  </w:p>
  <w:p w14:paraId="2330EAD5" w14:textId="77777777" w:rsidR="008F76FB" w:rsidRDefault="008F76FB" w:rsidP="008F76FB">
    <w:pPr>
      <w:pBdr>
        <w:bottom w:val="single" w:sz="12" w:space="1" w:color="auto"/>
      </w:pBdr>
      <w:tabs>
        <w:tab w:val="right" w:pos="8640"/>
      </w:tabs>
      <w:adjustRightInd w:val="0"/>
      <w:ind w:left="-450"/>
    </w:pPr>
    <w:r>
      <w:rPr>
        <w:rFonts w:eastAsia="Times New Roman"/>
        <w:b/>
        <w:bCs/>
        <w:i/>
        <w:color w:val="00B050"/>
        <w:sz w:val="28"/>
        <w:szCs w:val="28"/>
      </w:rPr>
      <w:t>Draft document as submitted for review under EO 12866/13563</w:t>
    </w:r>
  </w:p>
  <w:p w14:paraId="383FCBC5" w14:textId="77777777" w:rsidR="007C70BA" w:rsidRPr="00BD53A4" w:rsidRDefault="007C70BA" w:rsidP="00BD53A4">
    <w:pPr>
      <w:widowControl w:val="0"/>
      <w:tabs>
        <w:tab w:val="center" w:pos="4320"/>
        <w:tab w:val="right" w:pos="8640"/>
      </w:tabs>
      <w:autoSpaceDE w:val="0"/>
      <w:autoSpaceDN w:val="0"/>
      <w:adjustRightInd w:val="0"/>
      <w:jc w:val="center"/>
      <w:rPr>
        <w:rFonts w:ascii="Times New Roman" w:eastAsia="Times New Roman" w:hAnsi="Times New Roman" w:cs="Times New Roman"/>
        <w:i/>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BD6750"/>
    <w:multiLevelType w:val="hybridMultilevel"/>
    <w:tmpl w:val="656E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707FA"/>
    <w:multiLevelType w:val="hybridMultilevel"/>
    <w:tmpl w:val="1C66C61A"/>
    <w:lvl w:ilvl="0" w:tplc="66F8CE7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80FF2"/>
    <w:multiLevelType w:val="multilevel"/>
    <w:tmpl w:val="BED805E8"/>
    <w:lvl w:ilvl="0">
      <w:start w:val="1"/>
      <w:numFmt w:val="decimal"/>
      <w:lvlText w:val="(%1)"/>
      <w:lvlJc w:val="left"/>
      <w:pPr>
        <w:tabs>
          <w:tab w:val="num" w:pos="720"/>
        </w:tabs>
        <w:ind w:left="720" w:hanging="360"/>
      </w:pPr>
      <w:rPr>
        <w:rFonts w:ascii="Arial" w:eastAsia="Times New Roman" w:hAnsi="Arial" w:cs="Aria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E5606"/>
    <w:multiLevelType w:val="hybridMultilevel"/>
    <w:tmpl w:val="D3ECAB9E"/>
    <w:lvl w:ilvl="0" w:tplc="C05E90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D63DA6"/>
    <w:multiLevelType w:val="singleLevel"/>
    <w:tmpl w:val="35A8CB6A"/>
    <w:lvl w:ilvl="0">
      <w:start w:val="1"/>
      <w:numFmt w:val="bullet"/>
      <w:pStyle w:val="Bullets"/>
      <w:lvlText w:val=""/>
      <w:lvlJc w:val="left"/>
      <w:pPr>
        <w:ind w:left="360" w:hanging="360"/>
      </w:pPr>
      <w:rPr>
        <w:rFonts w:ascii="Symbol" w:hAnsi="Symbol" w:hint="default"/>
        <w:color w:val="DA291C"/>
        <w:sz w:val="22"/>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1"/>
  </w:num>
  <w:num w:numId="5">
    <w:abstractNumId w:val="23"/>
  </w:num>
  <w:num w:numId="6">
    <w:abstractNumId w:val="17"/>
  </w:num>
  <w:num w:numId="7">
    <w:abstractNumId w:val="25"/>
  </w:num>
  <w:num w:numId="8">
    <w:abstractNumId w:val="16"/>
  </w:num>
  <w:num w:numId="9">
    <w:abstractNumId w:val="26"/>
  </w:num>
  <w:num w:numId="10">
    <w:abstractNumId w:val="11"/>
  </w:num>
  <w:num w:numId="11">
    <w:abstractNumId w:val="10"/>
  </w:num>
  <w:num w:numId="12">
    <w:abstractNumId w:val="6"/>
  </w:num>
  <w:num w:numId="13">
    <w:abstractNumId w:val="12"/>
  </w:num>
  <w:num w:numId="14">
    <w:abstractNumId w:val="24"/>
  </w:num>
  <w:num w:numId="15">
    <w:abstractNumId w:val="15"/>
  </w:num>
  <w:num w:numId="16">
    <w:abstractNumId w:val="20"/>
  </w:num>
  <w:num w:numId="17">
    <w:abstractNumId w:val="14"/>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7"/>
  </w:num>
  <w:num w:numId="24">
    <w:abstractNumId w:val="9"/>
  </w:num>
  <w:num w:numId="25">
    <w:abstractNumId w:val="19"/>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A0"/>
    <w:rsid w:val="000001B4"/>
    <w:rsid w:val="00003C59"/>
    <w:rsid w:val="00003EFE"/>
    <w:rsid w:val="00004710"/>
    <w:rsid w:val="00005662"/>
    <w:rsid w:val="000069E3"/>
    <w:rsid w:val="000102B1"/>
    <w:rsid w:val="0001042C"/>
    <w:rsid w:val="00011514"/>
    <w:rsid w:val="00012C7C"/>
    <w:rsid w:val="0001558A"/>
    <w:rsid w:val="0002070E"/>
    <w:rsid w:val="0002255B"/>
    <w:rsid w:val="00022B29"/>
    <w:rsid w:val="000244E2"/>
    <w:rsid w:val="00025468"/>
    <w:rsid w:val="000255F1"/>
    <w:rsid w:val="00030A58"/>
    <w:rsid w:val="00030D36"/>
    <w:rsid w:val="00031F7F"/>
    <w:rsid w:val="00032FBE"/>
    <w:rsid w:val="00034CB4"/>
    <w:rsid w:val="00035C5E"/>
    <w:rsid w:val="000441D5"/>
    <w:rsid w:val="0004568C"/>
    <w:rsid w:val="00051254"/>
    <w:rsid w:val="000525A8"/>
    <w:rsid w:val="00052FA1"/>
    <w:rsid w:val="000530F2"/>
    <w:rsid w:val="00053361"/>
    <w:rsid w:val="00053D9D"/>
    <w:rsid w:val="0005433B"/>
    <w:rsid w:val="00054FE9"/>
    <w:rsid w:val="00055451"/>
    <w:rsid w:val="00056B1D"/>
    <w:rsid w:val="00056CFA"/>
    <w:rsid w:val="00063D08"/>
    <w:rsid w:val="00067FDB"/>
    <w:rsid w:val="00070ACE"/>
    <w:rsid w:val="00070BCF"/>
    <w:rsid w:val="00071069"/>
    <w:rsid w:val="00071571"/>
    <w:rsid w:val="00077910"/>
    <w:rsid w:val="0008007A"/>
    <w:rsid w:val="00080514"/>
    <w:rsid w:val="00080D00"/>
    <w:rsid w:val="00081249"/>
    <w:rsid w:val="000812A8"/>
    <w:rsid w:val="00081D2D"/>
    <w:rsid w:val="00081FA0"/>
    <w:rsid w:val="000836DB"/>
    <w:rsid w:val="00086F52"/>
    <w:rsid w:val="000874F8"/>
    <w:rsid w:val="0009007E"/>
    <w:rsid w:val="00092D5D"/>
    <w:rsid w:val="00094137"/>
    <w:rsid w:val="00095683"/>
    <w:rsid w:val="00096E80"/>
    <w:rsid w:val="00097B26"/>
    <w:rsid w:val="000A02BA"/>
    <w:rsid w:val="000A185F"/>
    <w:rsid w:val="000A22C8"/>
    <w:rsid w:val="000A2F92"/>
    <w:rsid w:val="000A409C"/>
    <w:rsid w:val="000A45B1"/>
    <w:rsid w:val="000A475E"/>
    <w:rsid w:val="000A522E"/>
    <w:rsid w:val="000A63A0"/>
    <w:rsid w:val="000A65CA"/>
    <w:rsid w:val="000B186E"/>
    <w:rsid w:val="000B24B3"/>
    <w:rsid w:val="000B2A10"/>
    <w:rsid w:val="000B3E37"/>
    <w:rsid w:val="000B424E"/>
    <w:rsid w:val="000B46EF"/>
    <w:rsid w:val="000B530C"/>
    <w:rsid w:val="000C0271"/>
    <w:rsid w:val="000C09C9"/>
    <w:rsid w:val="000C42F1"/>
    <w:rsid w:val="000D0374"/>
    <w:rsid w:val="000D0F1B"/>
    <w:rsid w:val="000D1039"/>
    <w:rsid w:val="000D16B3"/>
    <w:rsid w:val="000D1990"/>
    <w:rsid w:val="000D3066"/>
    <w:rsid w:val="000D5722"/>
    <w:rsid w:val="000D7D7C"/>
    <w:rsid w:val="000D7F35"/>
    <w:rsid w:val="000E19FB"/>
    <w:rsid w:val="000E1C35"/>
    <w:rsid w:val="000E6951"/>
    <w:rsid w:val="000E778D"/>
    <w:rsid w:val="000E7B38"/>
    <w:rsid w:val="000F0C52"/>
    <w:rsid w:val="000F20E1"/>
    <w:rsid w:val="00100358"/>
    <w:rsid w:val="00102480"/>
    <w:rsid w:val="00103F89"/>
    <w:rsid w:val="00105F59"/>
    <w:rsid w:val="00106423"/>
    <w:rsid w:val="0010776C"/>
    <w:rsid w:val="00110EB7"/>
    <w:rsid w:val="00111C76"/>
    <w:rsid w:val="00117444"/>
    <w:rsid w:val="0011790C"/>
    <w:rsid w:val="001203BA"/>
    <w:rsid w:val="00121CD3"/>
    <w:rsid w:val="00121E4F"/>
    <w:rsid w:val="001234E6"/>
    <w:rsid w:val="00125B5B"/>
    <w:rsid w:val="00126B70"/>
    <w:rsid w:val="00126EAC"/>
    <w:rsid w:val="0013162B"/>
    <w:rsid w:val="00132E6E"/>
    <w:rsid w:val="00136A83"/>
    <w:rsid w:val="00136D0D"/>
    <w:rsid w:val="00136D8F"/>
    <w:rsid w:val="00136F1D"/>
    <w:rsid w:val="001415B4"/>
    <w:rsid w:val="001417FF"/>
    <w:rsid w:val="00144085"/>
    <w:rsid w:val="00146061"/>
    <w:rsid w:val="001462BA"/>
    <w:rsid w:val="00146704"/>
    <w:rsid w:val="001473DF"/>
    <w:rsid w:val="0015601E"/>
    <w:rsid w:val="00157337"/>
    <w:rsid w:val="001606AF"/>
    <w:rsid w:val="001635AE"/>
    <w:rsid w:val="00163F68"/>
    <w:rsid w:val="0016501F"/>
    <w:rsid w:val="00165581"/>
    <w:rsid w:val="0016777D"/>
    <w:rsid w:val="00167866"/>
    <w:rsid w:val="00171D01"/>
    <w:rsid w:val="00172099"/>
    <w:rsid w:val="00173301"/>
    <w:rsid w:val="0017447C"/>
    <w:rsid w:val="00175529"/>
    <w:rsid w:val="00176015"/>
    <w:rsid w:val="00176685"/>
    <w:rsid w:val="001809CF"/>
    <w:rsid w:val="00181C48"/>
    <w:rsid w:val="0018203B"/>
    <w:rsid w:val="0018266B"/>
    <w:rsid w:val="001843D8"/>
    <w:rsid w:val="0018440A"/>
    <w:rsid w:val="00185866"/>
    <w:rsid w:val="00191899"/>
    <w:rsid w:val="0019305C"/>
    <w:rsid w:val="0019470B"/>
    <w:rsid w:val="001A11AE"/>
    <w:rsid w:val="001A2515"/>
    <w:rsid w:val="001A42FB"/>
    <w:rsid w:val="001A61B9"/>
    <w:rsid w:val="001B03EA"/>
    <w:rsid w:val="001B0EFE"/>
    <w:rsid w:val="001B2877"/>
    <w:rsid w:val="001B5F39"/>
    <w:rsid w:val="001B7446"/>
    <w:rsid w:val="001B7FB8"/>
    <w:rsid w:val="001C248D"/>
    <w:rsid w:val="001C3BC2"/>
    <w:rsid w:val="001C4A80"/>
    <w:rsid w:val="001D3125"/>
    <w:rsid w:val="001D3543"/>
    <w:rsid w:val="001D41E1"/>
    <w:rsid w:val="001D5708"/>
    <w:rsid w:val="001D7822"/>
    <w:rsid w:val="001E01CF"/>
    <w:rsid w:val="001E06E3"/>
    <w:rsid w:val="001E1EE6"/>
    <w:rsid w:val="001E2772"/>
    <w:rsid w:val="001E28DD"/>
    <w:rsid w:val="001E3039"/>
    <w:rsid w:val="001E6980"/>
    <w:rsid w:val="001E7129"/>
    <w:rsid w:val="001F67AA"/>
    <w:rsid w:val="00200219"/>
    <w:rsid w:val="002011E3"/>
    <w:rsid w:val="00202503"/>
    <w:rsid w:val="00204C29"/>
    <w:rsid w:val="00204D3F"/>
    <w:rsid w:val="00207B77"/>
    <w:rsid w:val="00210657"/>
    <w:rsid w:val="00212522"/>
    <w:rsid w:val="002132E5"/>
    <w:rsid w:val="00215F6B"/>
    <w:rsid w:val="00220449"/>
    <w:rsid w:val="0022191B"/>
    <w:rsid w:val="00230A1C"/>
    <w:rsid w:val="00230D29"/>
    <w:rsid w:val="002313B6"/>
    <w:rsid w:val="002321AA"/>
    <w:rsid w:val="002361E1"/>
    <w:rsid w:val="00236CBE"/>
    <w:rsid w:val="002406C5"/>
    <w:rsid w:val="0024149B"/>
    <w:rsid w:val="002447F9"/>
    <w:rsid w:val="00244924"/>
    <w:rsid w:val="00246E64"/>
    <w:rsid w:val="00247F31"/>
    <w:rsid w:val="00250322"/>
    <w:rsid w:val="00251F61"/>
    <w:rsid w:val="002526AB"/>
    <w:rsid w:val="002529E5"/>
    <w:rsid w:val="00260275"/>
    <w:rsid w:val="002679E0"/>
    <w:rsid w:val="00267B9E"/>
    <w:rsid w:val="00270944"/>
    <w:rsid w:val="00271BE5"/>
    <w:rsid w:val="0027662F"/>
    <w:rsid w:val="00277C19"/>
    <w:rsid w:val="00280301"/>
    <w:rsid w:val="00282443"/>
    <w:rsid w:val="002840C6"/>
    <w:rsid w:val="002849FA"/>
    <w:rsid w:val="00284B0F"/>
    <w:rsid w:val="00284D84"/>
    <w:rsid w:val="00286621"/>
    <w:rsid w:val="00286682"/>
    <w:rsid w:val="00290EFD"/>
    <w:rsid w:val="00292275"/>
    <w:rsid w:val="00292F1B"/>
    <w:rsid w:val="002934B7"/>
    <w:rsid w:val="00293DB1"/>
    <w:rsid w:val="00294C0D"/>
    <w:rsid w:val="002951E5"/>
    <w:rsid w:val="00295815"/>
    <w:rsid w:val="00295A23"/>
    <w:rsid w:val="00296D25"/>
    <w:rsid w:val="002A0BEE"/>
    <w:rsid w:val="002A13C4"/>
    <w:rsid w:val="002A22F0"/>
    <w:rsid w:val="002A5DBC"/>
    <w:rsid w:val="002A6F04"/>
    <w:rsid w:val="002B125C"/>
    <w:rsid w:val="002B34A0"/>
    <w:rsid w:val="002B5F8D"/>
    <w:rsid w:val="002C15B0"/>
    <w:rsid w:val="002C1893"/>
    <w:rsid w:val="002C2AD8"/>
    <w:rsid w:val="002C395B"/>
    <w:rsid w:val="002C3E17"/>
    <w:rsid w:val="002C5AA8"/>
    <w:rsid w:val="002C5DC6"/>
    <w:rsid w:val="002C66D1"/>
    <w:rsid w:val="002D00BA"/>
    <w:rsid w:val="002D04A7"/>
    <w:rsid w:val="002D0FCC"/>
    <w:rsid w:val="002D2665"/>
    <w:rsid w:val="002D2B79"/>
    <w:rsid w:val="002D3008"/>
    <w:rsid w:val="002D36EA"/>
    <w:rsid w:val="002D371B"/>
    <w:rsid w:val="002E0400"/>
    <w:rsid w:val="002E1029"/>
    <w:rsid w:val="002E2BC0"/>
    <w:rsid w:val="002E3969"/>
    <w:rsid w:val="002E51C6"/>
    <w:rsid w:val="002E58DE"/>
    <w:rsid w:val="002E73BC"/>
    <w:rsid w:val="002F01B9"/>
    <w:rsid w:val="002F5C6B"/>
    <w:rsid w:val="002F7B06"/>
    <w:rsid w:val="00300831"/>
    <w:rsid w:val="00301205"/>
    <w:rsid w:val="00304F9B"/>
    <w:rsid w:val="003057D9"/>
    <w:rsid w:val="00310CD3"/>
    <w:rsid w:val="00316FC3"/>
    <w:rsid w:val="00317B10"/>
    <w:rsid w:val="00321D7B"/>
    <w:rsid w:val="0032236E"/>
    <w:rsid w:val="0032425B"/>
    <w:rsid w:val="00325A55"/>
    <w:rsid w:val="00325C05"/>
    <w:rsid w:val="00325E10"/>
    <w:rsid w:val="003269AC"/>
    <w:rsid w:val="00326BA2"/>
    <w:rsid w:val="00327C9E"/>
    <w:rsid w:val="00327CF3"/>
    <w:rsid w:val="00330422"/>
    <w:rsid w:val="00334223"/>
    <w:rsid w:val="00334380"/>
    <w:rsid w:val="0033540C"/>
    <w:rsid w:val="00335960"/>
    <w:rsid w:val="0033644F"/>
    <w:rsid w:val="0033668C"/>
    <w:rsid w:val="00340F3C"/>
    <w:rsid w:val="00342EA3"/>
    <w:rsid w:val="00343EF8"/>
    <w:rsid w:val="0034411C"/>
    <w:rsid w:val="0034717C"/>
    <w:rsid w:val="00347C15"/>
    <w:rsid w:val="00352760"/>
    <w:rsid w:val="0035280E"/>
    <w:rsid w:val="00352F6E"/>
    <w:rsid w:val="003552E0"/>
    <w:rsid w:val="00355DA6"/>
    <w:rsid w:val="00356529"/>
    <w:rsid w:val="00356731"/>
    <w:rsid w:val="00360250"/>
    <w:rsid w:val="0036061B"/>
    <w:rsid w:val="00360761"/>
    <w:rsid w:val="00360AD0"/>
    <w:rsid w:val="0036340C"/>
    <w:rsid w:val="0036430D"/>
    <w:rsid w:val="00364D69"/>
    <w:rsid w:val="00366294"/>
    <w:rsid w:val="0036683A"/>
    <w:rsid w:val="003676D1"/>
    <w:rsid w:val="0037166D"/>
    <w:rsid w:val="00371AF7"/>
    <w:rsid w:val="00371C40"/>
    <w:rsid w:val="003721D4"/>
    <w:rsid w:val="00372859"/>
    <w:rsid w:val="00374615"/>
    <w:rsid w:val="003750C6"/>
    <w:rsid w:val="003814D7"/>
    <w:rsid w:val="0038462B"/>
    <w:rsid w:val="003857D8"/>
    <w:rsid w:val="00386027"/>
    <w:rsid w:val="00387F20"/>
    <w:rsid w:val="003907B3"/>
    <w:rsid w:val="0039300D"/>
    <w:rsid w:val="00393451"/>
    <w:rsid w:val="003946EE"/>
    <w:rsid w:val="00396B3F"/>
    <w:rsid w:val="00396F7B"/>
    <w:rsid w:val="0039796F"/>
    <w:rsid w:val="00397D45"/>
    <w:rsid w:val="003A0601"/>
    <w:rsid w:val="003A1E25"/>
    <w:rsid w:val="003A268B"/>
    <w:rsid w:val="003A2D1D"/>
    <w:rsid w:val="003A46E9"/>
    <w:rsid w:val="003A5E99"/>
    <w:rsid w:val="003A6A0C"/>
    <w:rsid w:val="003A791C"/>
    <w:rsid w:val="003A7FD9"/>
    <w:rsid w:val="003B1154"/>
    <w:rsid w:val="003B53BD"/>
    <w:rsid w:val="003B7BC3"/>
    <w:rsid w:val="003C148D"/>
    <w:rsid w:val="003C1896"/>
    <w:rsid w:val="003C263B"/>
    <w:rsid w:val="003C26C1"/>
    <w:rsid w:val="003C30C1"/>
    <w:rsid w:val="003C76C7"/>
    <w:rsid w:val="003C7E78"/>
    <w:rsid w:val="003D08A0"/>
    <w:rsid w:val="003D180B"/>
    <w:rsid w:val="003D238F"/>
    <w:rsid w:val="003D2F08"/>
    <w:rsid w:val="003E14CD"/>
    <w:rsid w:val="003E39A7"/>
    <w:rsid w:val="003E530C"/>
    <w:rsid w:val="003E563D"/>
    <w:rsid w:val="003E6001"/>
    <w:rsid w:val="003E6143"/>
    <w:rsid w:val="003E75A8"/>
    <w:rsid w:val="003F1086"/>
    <w:rsid w:val="003F14B2"/>
    <w:rsid w:val="003F4389"/>
    <w:rsid w:val="003F5761"/>
    <w:rsid w:val="003F7760"/>
    <w:rsid w:val="003F7A09"/>
    <w:rsid w:val="00403F39"/>
    <w:rsid w:val="00404B68"/>
    <w:rsid w:val="00406130"/>
    <w:rsid w:val="00407BD1"/>
    <w:rsid w:val="004124F7"/>
    <w:rsid w:val="00412D81"/>
    <w:rsid w:val="00412E4C"/>
    <w:rsid w:val="00413204"/>
    <w:rsid w:val="0041558E"/>
    <w:rsid w:val="00416D2C"/>
    <w:rsid w:val="004206A2"/>
    <w:rsid w:val="004212D2"/>
    <w:rsid w:val="0042293B"/>
    <w:rsid w:val="00423275"/>
    <w:rsid w:val="004236AE"/>
    <w:rsid w:val="00423A88"/>
    <w:rsid w:val="00423BB7"/>
    <w:rsid w:val="0042487F"/>
    <w:rsid w:val="0042502D"/>
    <w:rsid w:val="0042678C"/>
    <w:rsid w:val="00430D9C"/>
    <w:rsid w:val="0043139C"/>
    <w:rsid w:val="00431657"/>
    <w:rsid w:val="00431F33"/>
    <w:rsid w:val="0043426C"/>
    <w:rsid w:val="004367D6"/>
    <w:rsid w:val="00437482"/>
    <w:rsid w:val="00440EF2"/>
    <w:rsid w:val="00441F7E"/>
    <w:rsid w:val="0044471A"/>
    <w:rsid w:val="00446301"/>
    <w:rsid w:val="00452297"/>
    <w:rsid w:val="00461D76"/>
    <w:rsid w:val="0046257F"/>
    <w:rsid w:val="00471836"/>
    <w:rsid w:val="004737A7"/>
    <w:rsid w:val="0047567E"/>
    <w:rsid w:val="00476F7F"/>
    <w:rsid w:val="0047703D"/>
    <w:rsid w:val="00480CAE"/>
    <w:rsid w:val="0048229D"/>
    <w:rsid w:val="00483E28"/>
    <w:rsid w:val="004842E9"/>
    <w:rsid w:val="00484B2B"/>
    <w:rsid w:val="004965C5"/>
    <w:rsid w:val="0049732F"/>
    <w:rsid w:val="00497BC4"/>
    <w:rsid w:val="004A033B"/>
    <w:rsid w:val="004A0C06"/>
    <w:rsid w:val="004A19BD"/>
    <w:rsid w:val="004A239F"/>
    <w:rsid w:val="004A492D"/>
    <w:rsid w:val="004B1DCA"/>
    <w:rsid w:val="004B3889"/>
    <w:rsid w:val="004B7815"/>
    <w:rsid w:val="004C096D"/>
    <w:rsid w:val="004C575A"/>
    <w:rsid w:val="004C615A"/>
    <w:rsid w:val="004C63FC"/>
    <w:rsid w:val="004C676E"/>
    <w:rsid w:val="004C6935"/>
    <w:rsid w:val="004C7770"/>
    <w:rsid w:val="004C7B40"/>
    <w:rsid w:val="004D0A9E"/>
    <w:rsid w:val="004D7591"/>
    <w:rsid w:val="004E1DF2"/>
    <w:rsid w:val="004E2485"/>
    <w:rsid w:val="004E33E1"/>
    <w:rsid w:val="004E33EC"/>
    <w:rsid w:val="004E341A"/>
    <w:rsid w:val="004E3826"/>
    <w:rsid w:val="004E387D"/>
    <w:rsid w:val="004E4981"/>
    <w:rsid w:val="004E61F0"/>
    <w:rsid w:val="004E7767"/>
    <w:rsid w:val="004E7FE4"/>
    <w:rsid w:val="004F4446"/>
    <w:rsid w:val="004F48A8"/>
    <w:rsid w:val="005001E4"/>
    <w:rsid w:val="005017EF"/>
    <w:rsid w:val="00501DF2"/>
    <w:rsid w:val="00503C49"/>
    <w:rsid w:val="005049FB"/>
    <w:rsid w:val="0050524A"/>
    <w:rsid w:val="005062AF"/>
    <w:rsid w:val="0051135E"/>
    <w:rsid w:val="0051161C"/>
    <w:rsid w:val="00512823"/>
    <w:rsid w:val="005140F3"/>
    <w:rsid w:val="00521347"/>
    <w:rsid w:val="00527E3B"/>
    <w:rsid w:val="0053065B"/>
    <w:rsid w:val="00531A17"/>
    <w:rsid w:val="00532AEF"/>
    <w:rsid w:val="00532B03"/>
    <w:rsid w:val="00534F9B"/>
    <w:rsid w:val="005357E6"/>
    <w:rsid w:val="00536EBE"/>
    <w:rsid w:val="00537DD1"/>
    <w:rsid w:val="00541D82"/>
    <w:rsid w:val="00544CF7"/>
    <w:rsid w:val="00550544"/>
    <w:rsid w:val="005508AE"/>
    <w:rsid w:val="00550A1F"/>
    <w:rsid w:val="00551F16"/>
    <w:rsid w:val="00556801"/>
    <w:rsid w:val="00556CC3"/>
    <w:rsid w:val="00563634"/>
    <w:rsid w:val="005666FA"/>
    <w:rsid w:val="00566E19"/>
    <w:rsid w:val="00570FC3"/>
    <w:rsid w:val="005716BF"/>
    <w:rsid w:val="00574388"/>
    <w:rsid w:val="00574A56"/>
    <w:rsid w:val="00575F41"/>
    <w:rsid w:val="00580718"/>
    <w:rsid w:val="00580AA0"/>
    <w:rsid w:val="00591280"/>
    <w:rsid w:val="005914B3"/>
    <w:rsid w:val="00591651"/>
    <w:rsid w:val="00595A26"/>
    <w:rsid w:val="00597302"/>
    <w:rsid w:val="005A1E50"/>
    <w:rsid w:val="005A30AA"/>
    <w:rsid w:val="005A31BA"/>
    <w:rsid w:val="005A411B"/>
    <w:rsid w:val="005A566C"/>
    <w:rsid w:val="005A6438"/>
    <w:rsid w:val="005A7AEA"/>
    <w:rsid w:val="005A7BF5"/>
    <w:rsid w:val="005B0214"/>
    <w:rsid w:val="005B0C89"/>
    <w:rsid w:val="005B1BE2"/>
    <w:rsid w:val="005B4716"/>
    <w:rsid w:val="005B4F77"/>
    <w:rsid w:val="005B6996"/>
    <w:rsid w:val="005C72EA"/>
    <w:rsid w:val="005D283C"/>
    <w:rsid w:val="005D3611"/>
    <w:rsid w:val="005D4AC2"/>
    <w:rsid w:val="005D6C36"/>
    <w:rsid w:val="005D7BD1"/>
    <w:rsid w:val="005E3164"/>
    <w:rsid w:val="005E5522"/>
    <w:rsid w:val="005E7D3F"/>
    <w:rsid w:val="005F359D"/>
    <w:rsid w:val="005F4BD9"/>
    <w:rsid w:val="005F7651"/>
    <w:rsid w:val="006023EF"/>
    <w:rsid w:val="00605066"/>
    <w:rsid w:val="00605607"/>
    <w:rsid w:val="00607C24"/>
    <w:rsid w:val="00611E72"/>
    <w:rsid w:val="0061240D"/>
    <w:rsid w:val="00624051"/>
    <w:rsid w:val="00625363"/>
    <w:rsid w:val="006253F1"/>
    <w:rsid w:val="00631575"/>
    <w:rsid w:val="00631EE9"/>
    <w:rsid w:val="00635782"/>
    <w:rsid w:val="00637AAC"/>
    <w:rsid w:val="00637FE8"/>
    <w:rsid w:val="006407F8"/>
    <w:rsid w:val="00640E29"/>
    <w:rsid w:val="00641732"/>
    <w:rsid w:val="00644578"/>
    <w:rsid w:val="0064488E"/>
    <w:rsid w:val="00645EFE"/>
    <w:rsid w:val="00647035"/>
    <w:rsid w:val="00647866"/>
    <w:rsid w:val="0064799A"/>
    <w:rsid w:val="006532BF"/>
    <w:rsid w:val="00654239"/>
    <w:rsid w:val="00654244"/>
    <w:rsid w:val="00654445"/>
    <w:rsid w:val="00654E8E"/>
    <w:rsid w:val="00660CEA"/>
    <w:rsid w:val="00662811"/>
    <w:rsid w:val="00665C30"/>
    <w:rsid w:val="00667805"/>
    <w:rsid w:val="00672040"/>
    <w:rsid w:val="00673434"/>
    <w:rsid w:val="00675BAE"/>
    <w:rsid w:val="00676283"/>
    <w:rsid w:val="00680F94"/>
    <w:rsid w:val="0068224E"/>
    <w:rsid w:val="00690CBF"/>
    <w:rsid w:val="00691208"/>
    <w:rsid w:val="00692305"/>
    <w:rsid w:val="0069338C"/>
    <w:rsid w:val="0069349F"/>
    <w:rsid w:val="00694FCA"/>
    <w:rsid w:val="00696C3C"/>
    <w:rsid w:val="00696F15"/>
    <w:rsid w:val="00697089"/>
    <w:rsid w:val="006A0683"/>
    <w:rsid w:val="006A29BC"/>
    <w:rsid w:val="006A3133"/>
    <w:rsid w:val="006A3609"/>
    <w:rsid w:val="006A384E"/>
    <w:rsid w:val="006A3A8A"/>
    <w:rsid w:val="006A4185"/>
    <w:rsid w:val="006A4CF9"/>
    <w:rsid w:val="006A65E1"/>
    <w:rsid w:val="006A6E98"/>
    <w:rsid w:val="006A7B38"/>
    <w:rsid w:val="006B090B"/>
    <w:rsid w:val="006B0CC4"/>
    <w:rsid w:val="006B0EF8"/>
    <w:rsid w:val="006B0F45"/>
    <w:rsid w:val="006B4509"/>
    <w:rsid w:val="006B51CE"/>
    <w:rsid w:val="006B6216"/>
    <w:rsid w:val="006B6311"/>
    <w:rsid w:val="006B653C"/>
    <w:rsid w:val="006B6ABE"/>
    <w:rsid w:val="006C0523"/>
    <w:rsid w:val="006C265E"/>
    <w:rsid w:val="006C41FB"/>
    <w:rsid w:val="006C4B33"/>
    <w:rsid w:val="006C58CA"/>
    <w:rsid w:val="006C6CA1"/>
    <w:rsid w:val="006C7C07"/>
    <w:rsid w:val="006D33FB"/>
    <w:rsid w:val="006D46ED"/>
    <w:rsid w:val="006D53DD"/>
    <w:rsid w:val="006D581B"/>
    <w:rsid w:val="006D7931"/>
    <w:rsid w:val="006D7B41"/>
    <w:rsid w:val="006E10DE"/>
    <w:rsid w:val="006E19A1"/>
    <w:rsid w:val="006E3237"/>
    <w:rsid w:val="006E344B"/>
    <w:rsid w:val="006F0D6F"/>
    <w:rsid w:val="006F1B29"/>
    <w:rsid w:val="00700045"/>
    <w:rsid w:val="00702929"/>
    <w:rsid w:val="00706899"/>
    <w:rsid w:val="00707599"/>
    <w:rsid w:val="0071097B"/>
    <w:rsid w:val="00721F73"/>
    <w:rsid w:val="00722434"/>
    <w:rsid w:val="0072355B"/>
    <w:rsid w:val="00724348"/>
    <w:rsid w:val="00724EC4"/>
    <w:rsid w:val="00727420"/>
    <w:rsid w:val="00727AD1"/>
    <w:rsid w:val="00731F56"/>
    <w:rsid w:val="007325B1"/>
    <w:rsid w:val="00733163"/>
    <w:rsid w:val="00733E58"/>
    <w:rsid w:val="00735492"/>
    <w:rsid w:val="00735A14"/>
    <w:rsid w:val="007363B2"/>
    <w:rsid w:val="00736648"/>
    <w:rsid w:val="00736998"/>
    <w:rsid w:val="00746158"/>
    <w:rsid w:val="00746333"/>
    <w:rsid w:val="007470B2"/>
    <w:rsid w:val="0075081D"/>
    <w:rsid w:val="00751189"/>
    <w:rsid w:val="00751BE4"/>
    <w:rsid w:val="00755EF6"/>
    <w:rsid w:val="00761599"/>
    <w:rsid w:val="00761B5D"/>
    <w:rsid w:val="0076331C"/>
    <w:rsid w:val="007658A4"/>
    <w:rsid w:val="00767352"/>
    <w:rsid w:val="00774041"/>
    <w:rsid w:val="007756F8"/>
    <w:rsid w:val="00776AFC"/>
    <w:rsid w:val="007778E2"/>
    <w:rsid w:val="00777A60"/>
    <w:rsid w:val="0078022B"/>
    <w:rsid w:val="00785E8C"/>
    <w:rsid w:val="00787EC1"/>
    <w:rsid w:val="007919E5"/>
    <w:rsid w:val="007927DC"/>
    <w:rsid w:val="00792DDB"/>
    <w:rsid w:val="00793390"/>
    <w:rsid w:val="00794756"/>
    <w:rsid w:val="00794D78"/>
    <w:rsid w:val="00796AA3"/>
    <w:rsid w:val="007A06CE"/>
    <w:rsid w:val="007A077F"/>
    <w:rsid w:val="007A1B37"/>
    <w:rsid w:val="007A3649"/>
    <w:rsid w:val="007A499E"/>
    <w:rsid w:val="007A7EB2"/>
    <w:rsid w:val="007B075C"/>
    <w:rsid w:val="007B08F5"/>
    <w:rsid w:val="007B4183"/>
    <w:rsid w:val="007B621D"/>
    <w:rsid w:val="007C12EF"/>
    <w:rsid w:val="007C2DB3"/>
    <w:rsid w:val="007C70BA"/>
    <w:rsid w:val="007D36AF"/>
    <w:rsid w:val="007E0ED3"/>
    <w:rsid w:val="007E3DA7"/>
    <w:rsid w:val="007E6CD9"/>
    <w:rsid w:val="007F3A74"/>
    <w:rsid w:val="007F4564"/>
    <w:rsid w:val="007F50C4"/>
    <w:rsid w:val="007F5223"/>
    <w:rsid w:val="007F773B"/>
    <w:rsid w:val="0080337B"/>
    <w:rsid w:val="00803F2D"/>
    <w:rsid w:val="00804E2F"/>
    <w:rsid w:val="0080693E"/>
    <w:rsid w:val="008110FB"/>
    <w:rsid w:val="00814FE9"/>
    <w:rsid w:val="008168B2"/>
    <w:rsid w:val="008226B6"/>
    <w:rsid w:val="008226F2"/>
    <w:rsid w:val="00822BFA"/>
    <w:rsid w:val="00822D03"/>
    <w:rsid w:val="00826A89"/>
    <w:rsid w:val="0083312A"/>
    <w:rsid w:val="0083466F"/>
    <w:rsid w:val="00835A3D"/>
    <w:rsid w:val="008410E7"/>
    <w:rsid w:val="0084126C"/>
    <w:rsid w:val="00841864"/>
    <w:rsid w:val="008426FE"/>
    <w:rsid w:val="008427A3"/>
    <w:rsid w:val="00842AA6"/>
    <w:rsid w:val="00842C8C"/>
    <w:rsid w:val="00843F2F"/>
    <w:rsid w:val="008444CB"/>
    <w:rsid w:val="00844D1C"/>
    <w:rsid w:val="008469F4"/>
    <w:rsid w:val="00847766"/>
    <w:rsid w:val="00851F51"/>
    <w:rsid w:val="008528EB"/>
    <w:rsid w:val="008569D9"/>
    <w:rsid w:val="00857C49"/>
    <w:rsid w:val="008648B5"/>
    <w:rsid w:val="00865AE8"/>
    <w:rsid w:val="008660C5"/>
    <w:rsid w:val="008675BB"/>
    <w:rsid w:val="00871408"/>
    <w:rsid w:val="00874232"/>
    <w:rsid w:val="00875475"/>
    <w:rsid w:val="0087637A"/>
    <w:rsid w:val="008763E7"/>
    <w:rsid w:val="008764B6"/>
    <w:rsid w:val="008766FD"/>
    <w:rsid w:val="00880280"/>
    <w:rsid w:val="00884766"/>
    <w:rsid w:val="0088633C"/>
    <w:rsid w:val="00886666"/>
    <w:rsid w:val="00886EEA"/>
    <w:rsid w:val="00892262"/>
    <w:rsid w:val="0089356F"/>
    <w:rsid w:val="008A08C9"/>
    <w:rsid w:val="008A1581"/>
    <w:rsid w:val="008A3C02"/>
    <w:rsid w:val="008A3D62"/>
    <w:rsid w:val="008A516A"/>
    <w:rsid w:val="008A6F6A"/>
    <w:rsid w:val="008B1AF9"/>
    <w:rsid w:val="008B2652"/>
    <w:rsid w:val="008B4785"/>
    <w:rsid w:val="008B7176"/>
    <w:rsid w:val="008C3615"/>
    <w:rsid w:val="008D26A9"/>
    <w:rsid w:val="008D2A4F"/>
    <w:rsid w:val="008D35D1"/>
    <w:rsid w:val="008D604D"/>
    <w:rsid w:val="008D7033"/>
    <w:rsid w:val="008E15A1"/>
    <w:rsid w:val="008E2711"/>
    <w:rsid w:val="008E2771"/>
    <w:rsid w:val="008E3649"/>
    <w:rsid w:val="008E3797"/>
    <w:rsid w:val="008E4D1D"/>
    <w:rsid w:val="008E63B5"/>
    <w:rsid w:val="008E6C60"/>
    <w:rsid w:val="008F1492"/>
    <w:rsid w:val="008F3996"/>
    <w:rsid w:val="008F3DD7"/>
    <w:rsid w:val="008F4003"/>
    <w:rsid w:val="008F76FB"/>
    <w:rsid w:val="00901041"/>
    <w:rsid w:val="00902078"/>
    <w:rsid w:val="00904514"/>
    <w:rsid w:val="00905427"/>
    <w:rsid w:val="009103F9"/>
    <w:rsid w:val="00910791"/>
    <w:rsid w:val="0091244B"/>
    <w:rsid w:val="00913DF3"/>
    <w:rsid w:val="00914485"/>
    <w:rsid w:val="009151E0"/>
    <w:rsid w:val="00915CA6"/>
    <w:rsid w:val="00916BA4"/>
    <w:rsid w:val="0091773D"/>
    <w:rsid w:val="00926C52"/>
    <w:rsid w:val="00930BD3"/>
    <w:rsid w:val="00930FCC"/>
    <w:rsid w:val="0093149D"/>
    <w:rsid w:val="00932407"/>
    <w:rsid w:val="00932F42"/>
    <w:rsid w:val="00933B3B"/>
    <w:rsid w:val="009371C4"/>
    <w:rsid w:val="009377D8"/>
    <w:rsid w:val="00937B61"/>
    <w:rsid w:val="0094063F"/>
    <w:rsid w:val="00941034"/>
    <w:rsid w:val="00942BAB"/>
    <w:rsid w:val="00943756"/>
    <w:rsid w:val="00943DF6"/>
    <w:rsid w:val="00944D8B"/>
    <w:rsid w:val="009462D5"/>
    <w:rsid w:val="00951447"/>
    <w:rsid w:val="00952831"/>
    <w:rsid w:val="00953144"/>
    <w:rsid w:val="00954AA2"/>
    <w:rsid w:val="00956FF7"/>
    <w:rsid w:val="0095717E"/>
    <w:rsid w:val="009574FB"/>
    <w:rsid w:val="00957E5C"/>
    <w:rsid w:val="00961018"/>
    <w:rsid w:val="009614EF"/>
    <w:rsid w:val="00963C71"/>
    <w:rsid w:val="0096646D"/>
    <w:rsid w:val="00966FA8"/>
    <w:rsid w:val="0096786C"/>
    <w:rsid w:val="009700C5"/>
    <w:rsid w:val="00971C70"/>
    <w:rsid w:val="00973D5B"/>
    <w:rsid w:val="009746B0"/>
    <w:rsid w:val="00975B75"/>
    <w:rsid w:val="0097715D"/>
    <w:rsid w:val="009772C5"/>
    <w:rsid w:val="009779DE"/>
    <w:rsid w:val="00981ED7"/>
    <w:rsid w:val="009837C4"/>
    <w:rsid w:val="00984C87"/>
    <w:rsid w:val="0098584B"/>
    <w:rsid w:val="00987C22"/>
    <w:rsid w:val="0099071F"/>
    <w:rsid w:val="009909A4"/>
    <w:rsid w:val="00990B05"/>
    <w:rsid w:val="00990D16"/>
    <w:rsid w:val="009920C4"/>
    <w:rsid w:val="00992286"/>
    <w:rsid w:val="00996704"/>
    <w:rsid w:val="009A3978"/>
    <w:rsid w:val="009A5254"/>
    <w:rsid w:val="009A6FD7"/>
    <w:rsid w:val="009A7344"/>
    <w:rsid w:val="009B060F"/>
    <w:rsid w:val="009B24C2"/>
    <w:rsid w:val="009B6193"/>
    <w:rsid w:val="009B6B48"/>
    <w:rsid w:val="009B7D75"/>
    <w:rsid w:val="009C196B"/>
    <w:rsid w:val="009C4CAC"/>
    <w:rsid w:val="009C6F48"/>
    <w:rsid w:val="009D1478"/>
    <w:rsid w:val="009D16EA"/>
    <w:rsid w:val="009D3D97"/>
    <w:rsid w:val="009D3FC5"/>
    <w:rsid w:val="009D497D"/>
    <w:rsid w:val="009D4AD6"/>
    <w:rsid w:val="009D68FF"/>
    <w:rsid w:val="009D77E6"/>
    <w:rsid w:val="009F2663"/>
    <w:rsid w:val="009F5C14"/>
    <w:rsid w:val="009F6013"/>
    <w:rsid w:val="00A04469"/>
    <w:rsid w:val="00A05BD4"/>
    <w:rsid w:val="00A07236"/>
    <w:rsid w:val="00A11389"/>
    <w:rsid w:val="00A1161B"/>
    <w:rsid w:val="00A12976"/>
    <w:rsid w:val="00A131BF"/>
    <w:rsid w:val="00A1513C"/>
    <w:rsid w:val="00A2087C"/>
    <w:rsid w:val="00A20CE9"/>
    <w:rsid w:val="00A212D3"/>
    <w:rsid w:val="00A233EC"/>
    <w:rsid w:val="00A266E3"/>
    <w:rsid w:val="00A277B5"/>
    <w:rsid w:val="00A301A8"/>
    <w:rsid w:val="00A30310"/>
    <w:rsid w:val="00A322C3"/>
    <w:rsid w:val="00A328FD"/>
    <w:rsid w:val="00A345B9"/>
    <w:rsid w:val="00A3495C"/>
    <w:rsid w:val="00A34D0D"/>
    <w:rsid w:val="00A3693A"/>
    <w:rsid w:val="00A412C0"/>
    <w:rsid w:val="00A4169D"/>
    <w:rsid w:val="00A42AA9"/>
    <w:rsid w:val="00A4319A"/>
    <w:rsid w:val="00A446D1"/>
    <w:rsid w:val="00A44D8A"/>
    <w:rsid w:val="00A46202"/>
    <w:rsid w:val="00A468E2"/>
    <w:rsid w:val="00A46991"/>
    <w:rsid w:val="00A503CA"/>
    <w:rsid w:val="00A5122C"/>
    <w:rsid w:val="00A5188E"/>
    <w:rsid w:val="00A53A79"/>
    <w:rsid w:val="00A5495D"/>
    <w:rsid w:val="00A568A1"/>
    <w:rsid w:val="00A57D08"/>
    <w:rsid w:val="00A62F3F"/>
    <w:rsid w:val="00A63AA3"/>
    <w:rsid w:val="00A66927"/>
    <w:rsid w:val="00A737F1"/>
    <w:rsid w:val="00A80A5F"/>
    <w:rsid w:val="00A82C34"/>
    <w:rsid w:val="00A84026"/>
    <w:rsid w:val="00A846D9"/>
    <w:rsid w:val="00A87385"/>
    <w:rsid w:val="00A87452"/>
    <w:rsid w:val="00A904E9"/>
    <w:rsid w:val="00A93298"/>
    <w:rsid w:val="00A9598B"/>
    <w:rsid w:val="00AA30FD"/>
    <w:rsid w:val="00AA45A6"/>
    <w:rsid w:val="00AA6F17"/>
    <w:rsid w:val="00AA73A3"/>
    <w:rsid w:val="00AA777E"/>
    <w:rsid w:val="00AB0AA4"/>
    <w:rsid w:val="00AB1434"/>
    <w:rsid w:val="00AB22ED"/>
    <w:rsid w:val="00AB3026"/>
    <w:rsid w:val="00AB57A5"/>
    <w:rsid w:val="00AB5C04"/>
    <w:rsid w:val="00AB5C53"/>
    <w:rsid w:val="00AB6E44"/>
    <w:rsid w:val="00AC0031"/>
    <w:rsid w:val="00AC260B"/>
    <w:rsid w:val="00AC2D0F"/>
    <w:rsid w:val="00AC71EB"/>
    <w:rsid w:val="00AD14D4"/>
    <w:rsid w:val="00AD5C47"/>
    <w:rsid w:val="00AD5F3D"/>
    <w:rsid w:val="00AD70A9"/>
    <w:rsid w:val="00AE3BE9"/>
    <w:rsid w:val="00AE4E19"/>
    <w:rsid w:val="00AE5001"/>
    <w:rsid w:val="00AE5D54"/>
    <w:rsid w:val="00AE609F"/>
    <w:rsid w:val="00AE6D32"/>
    <w:rsid w:val="00AE7157"/>
    <w:rsid w:val="00AF0DDD"/>
    <w:rsid w:val="00AF101E"/>
    <w:rsid w:val="00AF4CFB"/>
    <w:rsid w:val="00AF53E0"/>
    <w:rsid w:val="00AF5EBA"/>
    <w:rsid w:val="00AF6755"/>
    <w:rsid w:val="00AF6925"/>
    <w:rsid w:val="00B0057B"/>
    <w:rsid w:val="00B025D6"/>
    <w:rsid w:val="00B116F2"/>
    <w:rsid w:val="00B12414"/>
    <w:rsid w:val="00B14530"/>
    <w:rsid w:val="00B1466B"/>
    <w:rsid w:val="00B1587B"/>
    <w:rsid w:val="00B2037A"/>
    <w:rsid w:val="00B22528"/>
    <w:rsid w:val="00B267D3"/>
    <w:rsid w:val="00B26B2F"/>
    <w:rsid w:val="00B26E7A"/>
    <w:rsid w:val="00B302C6"/>
    <w:rsid w:val="00B34BBC"/>
    <w:rsid w:val="00B35FC9"/>
    <w:rsid w:val="00B366E9"/>
    <w:rsid w:val="00B40059"/>
    <w:rsid w:val="00B412A5"/>
    <w:rsid w:val="00B4381D"/>
    <w:rsid w:val="00B440E3"/>
    <w:rsid w:val="00B44AC6"/>
    <w:rsid w:val="00B4645B"/>
    <w:rsid w:val="00B464E8"/>
    <w:rsid w:val="00B4755C"/>
    <w:rsid w:val="00B516CE"/>
    <w:rsid w:val="00B530C1"/>
    <w:rsid w:val="00B55D88"/>
    <w:rsid w:val="00B628D9"/>
    <w:rsid w:val="00B63384"/>
    <w:rsid w:val="00B6603B"/>
    <w:rsid w:val="00B6613E"/>
    <w:rsid w:val="00B70752"/>
    <w:rsid w:val="00B71705"/>
    <w:rsid w:val="00B71800"/>
    <w:rsid w:val="00B7315B"/>
    <w:rsid w:val="00B737CA"/>
    <w:rsid w:val="00B73C22"/>
    <w:rsid w:val="00B7437D"/>
    <w:rsid w:val="00B744EE"/>
    <w:rsid w:val="00B75782"/>
    <w:rsid w:val="00B75F79"/>
    <w:rsid w:val="00B80285"/>
    <w:rsid w:val="00B80EE4"/>
    <w:rsid w:val="00B80F41"/>
    <w:rsid w:val="00B83574"/>
    <w:rsid w:val="00B8468B"/>
    <w:rsid w:val="00B900AD"/>
    <w:rsid w:val="00BA0426"/>
    <w:rsid w:val="00BA1CD4"/>
    <w:rsid w:val="00BA318E"/>
    <w:rsid w:val="00BA785D"/>
    <w:rsid w:val="00BB06BD"/>
    <w:rsid w:val="00BB1E37"/>
    <w:rsid w:val="00BB1FEB"/>
    <w:rsid w:val="00BB41F6"/>
    <w:rsid w:val="00BB57FB"/>
    <w:rsid w:val="00BB73AE"/>
    <w:rsid w:val="00BB7877"/>
    <w:rsid w:val="00BC1E84"/>
    <w:rsid w:val="00BC218F"/>
    <w:rsid w:val="00BC2963"/>
    <w:rsid w:val="00BC4C5F"/>
    <w:rsid w:val="00BC78BC"/>
    <w:rsid w:val="00BD0085"/>
    <w:rsid w:val="00BD0298"/>
    <w:rsid w:val="00BD1D8D"/>
    <w:rsid w:val="00BD217B"/>
    <w:rsid w:val="00BD2BFA"/>
    <w:rsid w:val="00BD46DF"/>
    <w:rsid w:val="00BD53A4"/>
    <w:rsid w:val="00BD5CAA"/>
    <w:rsid w:val="00BD6CBA"/>
    <w:rsid w:val="00BD757F"/>
    <w:rsid w:val="00BE0643"/>
    <w:rsid w:val="00BE066E"/>
    <w:rsid w:val="00BE3201"/>
    <w:rsid w:val="00BE5369"/>
    <w:rsid w:val="00BE5F80"/>
    <w:rsid w:val="00BE64E0"/>
    <w:rsid w:val="00BF03AD"/>
    <w:rsid w:val="00BF1A35"/>
    <w:rsid w:val="00BF281C"/>
    <w:rsid w:val="00BF7252"/>
    <w:rsid w:val="00C001AC"/>
    <w:rsid w:val="00C02691"/>
    <w:rsid w:val="00C0354B"/>
    <w:rsid w:val="00C062CB"/>
    <w:rsid w:val="00C06385"/>
    <w:rsid w:val="00C06E7A"/>
    <w:rsid w:val="00C11C59"/>
    <w:rsid w:val="00C11E60"/>
    <w:rsid w:val="00C13C7B"/>
    <w:rsid w:val="00C14235"/>
    <w:rsid w:val="00C14432"/>
    <w:rsid w:val="00C21419"/>
    <w:rsid w:val="00C22F46"/>
    <w:rsid w:val="00C25222"/>
    <w:rsid w:val="00C2660B"/>
    <w:rsid w:val="00C267CB"/>
    <w:rsid w:val="00C30F54"/>
    <w:rsid w:val="00C31803"/>
    <w:rsid w:val="00C31DCB"/>
    <w:rsid w:val="00C32E01"/>
    <w:rsid w:val="00C3422C"/>
    <w:rsid w:val="00C34DC8"/>
    <w:rsid w:val="00C35AC7"/>
    <w:rsid w:val="00C35E29"/>
    <w:rsid w:val="00C360B9"/>
    <w:rsid w:val="00C41E06"/>
    <w:rsid w:val="00C43817"/>
    <w:rsid w:val="00C46CBF"/>
    <w:rsid w:val="00C4742B"/>
    <w:rsid w:val="00C5231E"/>
    <w:rsid w:val="00C5262E"/>
    <w:rsid w:val="00C54579"/>
    <w:rsid w:val="00C600DC"/>
    <w:rsid w:val="00C622B8"/>
    <w:rsid w:val="00C62F93"/>
    <w:rsid w:val="00C63425"/>
    <w:rsid w:val="00C636A1"/>
    <w:rsid w:val="00C656B4"/>
    <w:rsid w:val="00C65AD4"/>
    <w:rsid w:val="00C6615B"/>
    <w:rsid w:val="00C662CD"/>
    <w:rsid w:val="00C66CD8"/>
    <w:rsid w:val="00C679EB"/>
    <w:rsid w:val="00C744AE"/>
    <w:rsid w:val="00C74E75"/>
    <w:rsid w:val="00C75732"/>
    <w:rsid w:val="00C76F17"/>
    <w:rsid w:val="00C80719"/>
    <w:rsid w:val="00C84265"/>
    <w:rsid w:val="00C85B59"/>
    <w:rsid w:val="00C85ED0"/>
    <w:rsid w:val="00C85F64"/>
    <w:rsid w:val="00C87678"/>
    <w:rsid w:val="00C8772F"/>
    <w:rsid w:val="00C944E8"/>
    <w:rsid w:val="00CA22F5"/>
    <w:rsid w:val="00CA3DA7"/>
    <w:rsid w:val="00CA4575"/>
    <w:rsid w:val="00CA4605"/>
    <w:rsid w:val="00CA4D5A"/>
    <w:rsid w:val="00CB2070"/>
    <w:rsid w:val="00CB4A57"/>
    <w:rsid w:val="00CB6CDD"/>
    <w:rsid w:val="00CC11EF"/>
    <w:rsid w:val="00CC1840"/>
    <w:rsid w:val="00CC2874"/>
    <w:rsid w:val="00CD1CF1"/>
    <w:rsid w:val="00CD4201"/>
    <w:rsid w:val="00CD5437"/>
    <w:rsid w:val="00CD5980"/>
    <w:rsid w:val="00CD59BE"/>
    <w:rsid w:val="00CD5A48"/>
    <w:rsid w:val="00CE12C8"/>
    <w:rsid w:val="00CE16A4"/>
    <w:rsid w:val="00CE1A7E"/>
    <w:rsid w:val="00CE293D"/>
    <w:rsid w:val="00CF0960"/>
    <w:rsid w:val="00CF1F3F"/>
    <w:rsid w:val="00CF4847"/>
    <w:rsid w:val="00CF6D5B"/>
    <w:rsid w:val="00D00CC6"/>
    <w:rsid w:val="00D01934"/>
    <w:rsid w:val="00D048FA"/>
    <w:rsid w:val="00D049C2"/>
    <w:rsid w:val="00D1270C"/>
    <w:rsid w:val="00D21819"/>
    <w:rsid w:val="00D21FAA"/>
    <w:rsid w:val="00D24E7A"/>
    <w:rsid w:val="00D25245"/>
    <w:rsid w:val="00D2572E"/>
    <w:rsid w:val="00D260BE"/>
    <w:rsid w:val="00D2670C"/>
    <w:rsid w:val="00D27C11"/>
    <w:rsid w:val="00D33DD6"/>
    <w:rsid w:val="00D3479F"/>
    <w:rsid w:val="00D358D9"/>
    <w:rsid w:val="00D36F33"/>
    <w:rsid w:val="00D3733D"/>
    <w:rsid w:val="00D377EF"/>
    <w:rsid w:val="00D42085"/>
    <w:rsid w:val="00D421B9"/>
    <w:rsid w:val="00D4574B"/>
    <w:rsid w:val="00D47701"/>
    <w:rsid w:val="00D4779C"/>
    <w:rsid w:val="00D5015E"/>
    <w:rsid w:val="00D53A9E"/>
    <w:rsid w:val="00D54787"/>
    <w:rsid w:val="00D562C1"/>
    <w:rsid w:val="00D60B43"/>
    <w:rsid w:val="00D62750"/>
    <w:rsid w:val="00D63126"/>
    <w:rsid w:val="00D651D2"/>
    <w:rsid w:val="00D65351"/>
    <w:rsid w:val="00D672FE"/>
    <w:rsid w:val="00D67C21"/>
    <w:rsid w:val="00D70814"/>
    <w:rsid w:val="00D71846"/>
    <w:rsid w:val="00D74614"/>
    <w:rsid w:val="00D74E75"/>
    <w:rsid w:val="00D75079"/>
    <w:rsid w:val="00D76B48"/>
    <w:rsid w:val="00D838D6"/>
    <w:rsid w:val="00D83F2E"/>
    <w:rsid w:val="00D8631D"/>
    <w:rsid w:val="00D86DF5"/>
    <w:rsid w:val="00D8731C"/>
    <w:rsid w:val="00D873E1"/>
    <w:rsid w:val="00D95B40"/>
    <w:rsid w:val="00D96504"/>
    <w:rsid w:val="00DA1962"/>
    <w:rsid w:val="00DA47BE"/>
    <w:rsid w:val="00DA4B3B"/>
    <w:rsid w:val="00DA4D51"/>
    <w:rsid w:val="00DB067F"/>
    <w:rsid w:val="00DB17AB"/>
    <w:rsid w:val="00DB65B3"/>
    <w:rsid w:val="00DB69FE"/>
    <w:rsid w:val="00DB6DC3"/>
    <w:rsid w:val="00DB7C34"/>
    <w:rsid w:val="00DB7F57"/>
    <w:rsid w:val="00DC0752"/>
    <w:rsid w:val="00DC2121"/>
    <w:rsid w:val="00DC2E81"/>
    <w:rsid w:val="00DC68F6"/>
    <w:rsid w:val="00DD3AA1"/>
    <w:rsid w:val="00DD5541"/>
    <w:rsid w:val="00DD5D7D"/>
    <w:rsid w:val="00DD66CB"/>
    <w:rsid w:val="00DD758B"/>
    <w:rsid w:val="00DE1015"/>
    <w:rsid w:val="00DE2104"/>
    <w:rsid w:val="00DE3EB7"/>
    <w:rsid w:val="00DE4106"/>
    <w:rsid w:val="00DE5648"/>
    <w:rsid w:val="00DE6946"/>
    <w:rsid w:val="00DF1387"/>
    <w:rsid w:val="00DF245B"/>
    <w:rsid w:val="00DF45B7"/>
    <w:rsid w:val="00DF53E1"/>
    <w:rsid w:val="00E01C78"/>
    <w:rsid w:val="00E02920"/>
    <w:rsid w:val="00E030DE"/>
    <w:rsid w:val="00E05D9D"/>
    <w:rsid w:val="00E07EAA"/>
    <w:rsid w:val="00E1095D"/>
    <w:rsid w:val="00E217AC"/>
    <w:rsid w:val="00E23A39"/>
    <w:rsid w:val="00E24AB5"/>
    <w:rsid w:val="00E25D46"/>
    <w:rsid w:val="00E33A13"/>
    <w:rsid w:val="00E40B93"/>
    <w:rsid w:val="00E422FE"/>
    <w:rsid w:val="00E42F58"/>
    <w:rsid w:val="00E44667"/>
    <w:rsid w:val="00E47DCF"/>
    <w:rsid w:val="00E50CF3"/>
    <w:rsid w:val="00E51904"/>
    <w:rsid w:val="00E571A7"/>
    <w:rsid w:val="00E62F2E"/>
    <w:rsid w:val="00E643DA"/>
    <w:rsid w:val="00E650C2"/>
    <w:rsid w:val="00E65DB2"/>
    <w:rsid w:val="00E67053"/>
    <w:rsid w:val="00E67B3B"/>
    <w:rsid w:val="00E706C3"/>
    <w:rsid w:val="00E73CDA"/>
    <w:rsid w:val="00E741A2"/>
    <w:rsid w:val="00E7491B"/>
    <w:rsid w:val="00E74965"/>
    <w:rsid w:val="00E7591A"/>
    <w:rsid w:val="00E808BE"/>
    <w:rsid w:val="00E8306D"/>
    <w:rsid w:val="00E8468E"/>
    <w:rsid w:val="00E85723"/>
    <w:rsid w:val="00E9323F"/>
    <w:rsid w:val="00E94D9A"/>
    <w:rsid w:val="00E94DDB"/>
    <w:rsid w:val="00E953E8"/>
    <w:rsid w:val="00E971AF"/>
    <w:rsid w:val="00E97E4F"/>
    <w:rsid w:val="00EA18A9"/>
    <w:rsid w:val="00EA260A"/>
    <w:rsid w:val="00EA2C44"/>
    <w:rsid w:val="00EA4817"/>
    <w:rsid w:val="00EA7743"/>
    <w:rsid w:val="00EB0C20"/>
    <w:rsid w:val="00EB2DAE"/>
    <w:rsid w:val="00EB3B66"/>
    <w:rsid w:val="00EB6143"/>
    <w:rsid w:val="00EB62AB"/>
    <w:rsid w:val="00EB62F7"/>
    <w:rsid w:val="00EB6901"/>
    <w:rsid w:val="00EB6DC1"/>
    <w:rsid w:val="00EC0D20"/>
    <w:rsid w:val="00EC2628"/>
    <w:rsid w:val="00EC3C02"/>
    <w:rsid w:val="00EC4165"/>
    <w:rsid w:val="00EC5C0D"/>
    <w:rsid w:val="00ED23D1"/>
    <w:rsid w:val="00ED28BB"/>
    <w:rsid w:val="00ED356D"/>
    <w:rsid w:val="00ED38D8"/>
    <w:rsid w:val="00ED48B9"/>
    <w:rsid w:val="00ED4B4E"/>
    <w:rsid w:val="00EE1DEB"/>
    <w:rsid w:val="00EE3D6D"/>
    <w:rsid w:val="00EE6696"/>
    <w:rsid w:val="00EE6976"/>
    <w:rsid w:val="00EE7D5D"/>
    <w:rsid w:val="00EF0B41"/>
    <w:rsid w:val="00EF45B5"/>
    <w:rsid w:val="00EF7443"/>
    <w:rsid w:val="00EF7C72"/>
    <w:rsid w:val="00F0035E"/>
    <w:rsid w:val="00F013B2"/>
    <w:rsid w:val="00F02D1D"/>
    <w:rsid w:val="00F0322F"/>
    <w:rsid w:val="00F03904"/>
    <w:rsid w:val="00F04535"/>
    <w:rsid w:val="00F06B4C"/>
    <w:rsid w:val="00F07228"/>
    <w:rsid w:val="00F11847"/>
    <w:rsid w:val="00F1407C"/>
    <w:rsid w:val="00F1637F"/>
    <w:rsid w:val="00F16CF5"/>
    <w:rsid w:val="00F20628"/>
    <w:rsid w:val="00F220DC"/>
    <w:rsid w:val="00F22AFD"/>
    <w:rsid w:val="00F24D66"/>
    <w:rsid w:val="00F260ED"/>
    <w:rsid w:val="00F30E98"/>
    <w:rsid w:val="00F31976"/>
    <w:rsid w:val="00F31B27"/>
    <w:rsid w:val="00F3647A"/>
    <w:rsid w:val="00F40219"/>
    <w:rsid w:val="00F41FE8"/>
    <w:rsid w:val="00F422C3"/>
    <w:rsid w:val="00F422C7"/>
    <w:rsid w:val="00F43336"/>
    <w:rsid w:val="00F44411"/>
    <w:rsid w:val="00F4454E"/>
    <w:rsid w:val="00F45153"/>
    <w:rsid w:val="00F53085"/>
    <w:rsid w:val="00F54137"/>
    <w:rsid w:val="00F55405"/>
    <w:rsid w:val="00F5691D"/>
    <w:rsid w:val="00F56F42"/>
    <w:rsid w:val="00F63E90"/>
    <w:rsid w:val="00F653B5"/>
    <w:rsid w:val="00F65D24"/>
    <w:rsid w:val="00F65E1C"/>
    <w:rsid w:val="00F72441"/>
    <w:rsid w:val="00F72FBC"/>
    <w:rsid w:val="00F748A8"/>
    <w:rsid w:val="00F76B26"/>
    <w:rsid w:val="00F81FD4"/>
    <w:rsid w:val="00F8275F"/>
    <w:rsid w:val="00F82FAD"/>
    <w:rsid w:val="00F8475E"/>
    <w:rsid w:val="00F847F6"/>
    <w:rsid w:val="00F8480C"/>
    <w:rsid w:val="00F854A7"/>
    <w:rsid w:val="00F90D38"/>
    <w:rsid w:val="00F93707"/>
    <w:rsid w:val="00F95261"/>
    <w:rsid w:val="00F95D12"/>
    <w:rsid w:val="00F96538"/>
    <w:rsid w:val="00F978BC"/>
    <w:rsid w:val="00FA0190"/>
    <w:rsid w:val="00FA3C69"/>
    <w:rsid w:val="00FA6BBA"/>
    <w:rsid w:val="00FB077A"/>
    <w:rsid w:val="00FB0FC4"/>
    <w:rsid w:val="00FB1C04"/>
    <w:rsid w:val="00FB26CB"/>
    <w:rsid w:val="00FB2C84"/>
    <w:rsid w:val="00FB4C77"/>
    <w:rsid w:val="00FC18EA"/>
    <w:rsid w:val="00FC583C"/>
    <w:rsid w:val="00FC6926"/>
    <w:rsid w:val="00FC6D19"/>
    <w:rsid w:val="00FD2D25"/>
    <w:rsid w:val="00FD3FCF"/>
    <w:rsid w:val="00FD497D"/>
    <w:rsid w:val="00FD5AA7"/>
    <w:rsid w:val="00FE1363"/>
    <w:rsid w:val="00FE2B03"/>
    <w:rsid w:val="00FE5445"/>
    <w:rsid w:val="00FE6240"/>
    <w:rsid w:val="00FE7F37"/>
    <w:rsid w:val="00FF1484"/>
    <w:rsid w:val="00FF1615"/>
    <w:rsid w:val="00FF2259"/>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D3D41"/>
  <w15:docId w15:val="{715ED044-D9CC-46CF-8A0F-F90D757F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Char,ALTS FOOTNOTE1,fn1"/>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aliases w:val="Caption1,Caption Char1 Char,Caption Char Char C... + 12 pt"/>
    <w:basedOn w:val="Normal"/>
    <w:next w:val="Normal"/>
    <w:link w:val="CaptionChar"/>
    <w:uiPriority w:val="18"/>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 w:type="paragraph" w:customStyle="1" w:styleId="Bullets">
    <w:name w:val="Bullets"/>
    <w:basedOn w:val="BodyText"/>
    <w:qFormat/>
    <w:rsid w:val="006A3A8A"/>
    <w:pPr>
      <w:numPr>
        <w:numId w:val="23"/>
      </w:numPr>
      <w:spacing w:line="264" w:lineRule="auto"/>
    </w:pPr>
    <w:rPr>
      <w:rFonts w:ascii="Times New Roman" w:eastAsia="Times New Roman" w:hAnsi="Times New Roman" w:cs="Times New Roman"/>
      <w:sz w:val="22"/>
      <w:szCs w:val="20"/>
      <w:lang w:bidi="ar-SA"/>
    </w:rPr>
  </w:style>
  <w:style w:type="paragraph" w:customStyle="1" w:styleId="NormalBullets1">
    <w:name w:val="Normal Bullets 1"/>
    <w:basedOn w:val="Bullets"/>
    <w:link w:val="NormalBullets1Char"/>
    <w:qFormat/>
    <w:rsid w:val="006A3A8A"/>
    <w:pPr>
      <w:ind w:left="1080"/>
    </w:pPr>
  </w:style>
  <w:style w:type="character" w:customStyle="1" w:styleId="NormalBullets1Char">
    <w:name w:val="Normal Bullets 1 Char"/>
    <w:basedOn w:val="DefaultParagraphFont"/>
    <w:link w:val="NormalBullets1"/>
    <w:rsid w:val="006A3A8A"/>
    <w:rPr>
      <w:rFonts w:ascii="Times New Roman" w:eastAsia="Times New Roman" w:hAnsi="Times New Roman" w:cs="Times New Roman"/>
      <w:szCs w:val="20"/>
    </w:rPr>
  </w:style>
  <w:style w:type="character" w:customStyle="1" w:styleId="CaptionChar">
    <w:name w:val="Caption Char"/>
    <w:aliases w:val="Caption1 Char,Caption Char1 Char Char,Caption Char Char C... + 12 pt Char"/>
    <w:basedOn w:val="DefaultParagraphFont"/>
    <w:link w:val="Caption"/>
    <w:uiPriority w:val="18"/>
    <w:rsid w:val="00A568A1"/>
    <w:rPr>
      <w:rFonts w:ascii="Arial" w:eastAsiaTheme="minorEastAsia" w:hAnsi="Arial"/>
      <w:b/>
      <w:bCs/>
      <w:color w:val="4F81BD" w:themeColor="accent1"/>
      <w:sz w:val="18"/>
      <w:szCs w:val="18"/>
      <w:lang w:bidi="en-US"/>
    </w:rPr>
  </w:style>
  <w:style w:type="character" w:customStyle="1" w:styleId="UnresolvedMention1">
    <w:name w:val="Unresolved Mention1"/>
    <w:basedOn w:val="DefaultParagraphFont"/>
    <w:uiPriority w:val="99"/>
    <w:semiHidden/>
    <w:unhideWhenUsed/>
    <w:rsid w:val="009574FB"/>
    <w:rPr>
      <w:color w:val="808080"/>
      <w:shd w:val="clear" w:color="auto" w:fill="E6E6E6"/>
    </w:rPr>
  </w:style>
  <w:style w:type="character" w:customStyle="1" w:styleId="UnresolvedMention2">
    <w:name w:val="Unresolved Mention2"/>
    <w:basedOn w:val="DefaultParagraphFont"/>
    <w:uiPriority w:val="99"/>
    <w:semiHidden/>
    <w:unhideWhenUsed/>
    <w:rsid w:val="00973D5B"/>
    <w:rPr>
      <w:color w:val="808080"/>
      <w:shd w:val="clear" w:color="auto" w:fill="E6E6E6"/>
    </w:rPr>
  </w:style>
  <w:style w:type="character" w:styleId="UnresolvedMention">
    <w:name w:val="Unresolved Mention"/>
    <w:basedOn w:val="DefaultParagraphFont"/>
    <w:uiPriority w:val="99"/>
    <w:semiHidden/>
    <w:unhideWhenUsed/>
    <w:rsid w:val="00DD5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8486">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55973415">
      <w:bodyDiv w:val="1"/>
      <w:marLeft w:val="0"/>
      <w:marRight w:val="0"/>
      <w:marTop w:val="0"/>
      <w:marBottom w:val="0"/>
      <w:divBdr>
        <w:top w:val="none" w:sz="0" w:space="0" w:color="auto"/>
        <w:left w:val="none" w:sz="0" w:space="0" w:color="auto"/>
        <w:bottom w:val="none" w:sz="0" w:space="0" w:color="auto"/>
        <w:right w:val="none" w:sz="0" w:space="0" w:color="auto"/>
      </w:divBdr>
    </w:div>
    <w:div w:id="650061345">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22669188">
      <w:bodyDiv w:val="1"/>
      <w:marLeft w:val="0"/>
      <w:marRight w:val="0"/>
      <w:marTop w:val="0"/>
      <w:marBottom w:val="0"/>
      <w:divBdr>
        <w:top w:val="none" w:sz="0" w:space="0" w:color="auto"/>
        <w:left w:val="none" w:sz="0" w:space="0" w:color="auto"/>
        <w:bottom w:val="none" w:sz="0" w:space="0" w:color="auto"/>
        <w:right w:val="none" w:sz="0" w:space="0" w:color="auto"/>
      </w:divBdr>
    </w:div>
    <w:div w:id="1576554510">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05515520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dockets" TargetMode="External"/><Relationship Id="rId18" Type="http://schemas.openxmlformats.org/officeDocument/2006/relationships/hyperlink" Target="https://www.epa.gov/tsca-fees/outreach-materials-tsca-administration-fees-rule" TargetMode="External"/><Relationship Id="rId3" Type="http://schemas.openxmlformats.org/officeDocument/2006/relationships/customXml" Target="../customXml/item3.xml"/><Relationship Id="rId21" Type="http://schemas.openxmlformats.org/officeDocument/2006/relationships/hyperlink" Target="mailto:oira_submission@omb.eop.gov" TargetMode="Externa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https://www.ecfr.gov/cgi-bin/retrieveECFR?gp=1&amp;SID=67b7f8b06cce47cf338b3b52057016a4&amp;ty=HTML&amp;h=L&amp;n=5y3.0.2.3.9&amp;r=PA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y.gov/public/home"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cfr.gov/cgi-bin/retrieveECFR?gp=1&amp;SID=67b7f8b06cce47cf338b3b52057016a4&amp;ty=HTML&amp;h=L&amp;n=5y3.0.2.3.9&amp;r=PAR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cfr.gov/cgi-bin/retrieveECFR?gp=1&amp;SID=67b7f8b06cce47cf338b3b52057016a4&amp;ty=HTML&amp;h=L&amp;n=5y3.0.2.3.9&amp;r=PA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1&amp;SID=67b7f8b06cce47cf338b3b52057016a4&amp;ty=HTML&amp;h=L&amp;n=5y3.0.2.3.9&amp;r=PAR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ICR?ref_nbr=201707-2070-001" TargetMode="External"/><Relationship Id="rId2" Type="http://schemas.openxmlformats.org/officeDocument/2006/relationships/hyperlink" Target="https://www.reginfo.gov/public/do/PRAViewICR?ref_nbr=201712-2070-004" TargetMode="External"/><Relationship Id="rId1" Type="http://schemas.openxmlformats.org/officeDocument/2006/relationships/hyperlink" Target="https://www.reginfo.gov/public/do/PRAViewICR?ref_nbr=201806-2070-001" TargetMode="External"/><Relationship Id="rId4" Type="http://schemas.openxmlformats.org/officeDocument/2006/relationships/hyperlink" Target="https://www.reginfo.gov/public/do/PRAICList?ref_nbr=201712-207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a5d1ca4e-0a3f-4119-b619-e20b93ebd1aa">
      <UserInfo>
        <DisplayName>Richmond, Jonah</DisplayName>
        <AccountId>470</AccountId>
        <AccountType/>
      </UserInfo>
      <UserInfo>
        <DisplayName>Price, Michelle</DisplayName>
        <AccountId>1662</AccountId>
        <AccountType/>
      </UserInfo>
    </SharedWithUsers>
    <FRN_x0020_List_x0020_Item_x0020_ID xmlns="118f882f-1e32-4cf2-ad69-9de43d57f4c6">3091</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9c7d555258b5f6a3fa0f9e197949a055">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65a897a3cac7bc3254ecb3ba4a6f3d0"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6DF8-55F2-4D2B-B2EA-BDFAD05F09B6}">
  <ds:schemaRefs>
    <ds:schemaRef ds:uri="http://schemas.microsoft.com/office/2006/metadata/properties"/>
    <ds:schemaRef ds:uri="http://schemas.microsoft.com/office/infopath/2007/PartnerControls"/>
    <ds:schemaRef ds:uri="http://schemas.microsoft.com/sharepoint.v3"/>
    <ds:schemaRef ds:uri="4ffa91fb-a0ff-4ac5-b2db-65c790d184a4"/>
    <ds:schemaRef ds:uri="a5d1ca4e-0a3f-4119-b619-e20b93ebd1aa"/>
    <ds:schemaRef ds:uri="118f882f-1e32-4cf2-ad69-9de43d57f4c6"/>
  </ds:schemaRefs>
</ds:datastoreItem>
</file>

<file path=customXml/itemProps2.xml><?xml version="1.0" encoding="utf-8"?>
<ds:datastoreItem xmlns:ds="http://schemas.openxmlformats.org/officeDocument/2006/customXml" ds:itemID="{158036CE-36DF-4F16-99DE-B9C4CF1024FC}">
  <ds:schemaRefs>
    <ds:schemaRef ds:uri="http://schemas.microsoft.com/sharepoint/v3/contenttype/forms"/>
  </ds:schemaRefs>
</ds:datastoreItem>
</file>

<file path=customXml/itemProps3.xml><?xml version="1.0" encoding="utf-8"?>
<ds:datastoreItem xmlns:ds="http://schemas.openxmlformats.org/officeDocument/2006/customXml" ds:itemID="{C2054332-DF7F-4636-9A0F-E651CDC95567}">
  <ds:schemaRefs>
    <ds:schemaRef ds:uri="Microsoft.SharePoint.Taxonomy.ContentTypeSync"/>
  </ds:schemaRefs>
</ds:datastoreItem>
</file>

<file path=customXml/itemProps4.xml><?xml version="1.0" encoding="utf-8"?>
<ds:datastoreItem xmlns:ds="http://schemas.openxmlformats.org/officeDocument/2006/customXml" ds:itemID="{B684D2AF-0540-4BE2-A1B8-BCE0EC50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989C2E-ADAD-42DD-8C75-7931E0DA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5631</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Schultz, Eric</cp:lastModifiedBy>
  <cp:revision>2</cp:revision>
  <cp:lastPrinted>2018-10-17T20:16:00Z</cp:lastPrinted>
  <dcterms:created xsi:type="dcterms:W3CDTF">2021-01-13T19:30:00Z</dcterms:created>
  <dcterms:modified xsi:type="dcterms:W3CDTF">2021-01-13T19:30:00Z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