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23" w:rsidP="008E2837" w:rsidRDefault="008E2837">
      <w:pPr>
        <w:pStyle w:val="NormalWeb"/>
        <w:spacing w:before="0" w:beforeAutospacing="0" w:after="0" w:afterAutospacing="0"/>
        <w:jc w:val="center"/>
        <w:rPr>
          <w:rFonts w:ascii="Arial" w:hAnsi="Arial" w:cs="Arial"/>
          <w:b/>
          <w:bCs/>
          <w:szCs w:val="20"/>
        </w:rPr>
      </w:pPr>
      <w:r w:rsidRPr="00596E30">
        <w:rPr>
          <w:rFonts w:ascii="Arial" w:hAnsi="Arial" w:cs="Arial"/>
          <w:b/>
          <w:bCs/>
          <w:szCs w:val="20"/>
        </w:rPr>
        <w:t>The Transportation Planning Excellence Awards (TPEA) Program</w:t>
      </w:r>
      <w:r w:rsidR="00345923">
        <w:rPr>
          <w:rFonts w:ascii="Arial" w:hAnsi="Arial" w:cs="Arial"/>
          <w:b/>
          <w:bCs/>
          <w:szCs w:val="20"/>
        </w:rPr>
        <w:t xml:space="preserve"> </w:t>
      </w:r>
    </w:p>
    <w:p w:rsidRPr="00596E30" w:rsidR="008E2837" w:rsidP="008E2837" w:rsidRDefault="00345923">
      <w:pPr>
        <w:pStyle w:val="NormalWeb"/>
        <w:spacing w:before="0" w:beforeAutospacing="0" w:after="0" w:afterAutospacing="0"/>
        <w:jc w:val="center"/>
        <w:rPr>
          <w:rFonts w:ascii="Arial" w:hAnsi="Arial" w:cs="Arial"/>
          <w:b/>
          <w:bCs/>
          <w:szCs w:val="20"/>
        </w:rPr>
      </w:pPr>
      <w:r>
        <w:rPr>
          <w:rFonts w:ascii="Arial" w:hAnsi="Arial" w:cs="Arial"/>
          <w:b/>
          <w:bCs/>
          <w:szCs w:val="20"/>
        </w:rPr>
        <w:t>(2125-0615)</w:t>
      </w:r>
    </w:p>
    <w:p w:rsidRPr="00596E30" w:rsidR="00F11639" w:rsidP="008E2837" w:rsidRDefault="00F11639">
      <w:pPr>
        <w:pStyle w:val="NormalWeb"/>
        <w:spacing w:before="0" w:beforeAutospacing="0" w:after="0" w:afterAutospacing="0"/>
        <w:jc w:val="center"/>
        <w:rPr>
          <w:rFonts w:ascii="Arial" w:hAnsi="Arial" w:cs="Arial"/>
          <w:b/>
          <w:bCs/>
          <w:szCs w:val="20"/>
        </w:rPr>
      </w:pPr>
      <w:r w:rsidRPr="00596E30">
        <w:rPr>
          <w:rFonts w:ascii="Arial" w:hAnsi="Arial" w:cs="Arial"/>
          <w:b/>
          <w:bCs/>
          <w:szCs w:val="20"/>
        </w:rPr>
        <w:t xml:space="preserve">Supporting Statement </w:t>
      </w:r>
    </w:p>
    <w:p w:rsidRPr="00596E30" w:rsidR="00AA4F28" w:rsidRDefault="00F11639">
      <w:pPr>
        <w:pStyle w:val="NormalWeb"/>
        <w:rPr>
          <w:rFonts w:ascii="Arial" w:hAnsi="Arial" w:cs="Arial"/>
          <w:sz w:val="20"/>
          <w:szCs w:val="20"/>
        </w:rPr>
      </w:pPr>
      <w:r w:rsidRPr="00596E30">
        <w:rPr>
          <w:rFonts w:ascii="Arial" w:hAnsi="Arial" w:cs="Arial"/>
          <w:sz w:val="20"/>
          <w:szCs w:val="20"/>
          <w:u w:val="single"/>
        </w:rPr>
        <w:t>Introduction</w:t>
      </w:r>
      <w:r w:rsidRPr="00596E30">
        <w:rPr>
          <w:rFonts w:ascii="Arial" w:hAnsi="Arial" w:cs="Arial"/>
          <w:sz w:val="20"/>
          <w:szCs w:val="20"/>
        </w:rPr>
        <w:t>:</w:t>
      </w:r>
      <w:r w:rsidRPr="00596E30" w:rsidR="00F42119">
        <w:rPr>
          <w:rFonts w:ascii="Arial" w:hAnsi="Arial" w:cs="Arial"/>
          <w:sz w:val="20"/>
          <w:szCs w:val="20"/>
        </w:rPr>
        <w:t xml:space="preserve">  </w:t>
      </w:r>
      <w:r w:rsidRPr="00596E30" w:rsidR="000355B7">
        <w:rPr>
          <w:rFonts w:ascii="Arial" w:hAnsi="Arial" w:cs="Arial"/>
          <w:sz w:val="20"/>
          <w:szCs w:val="20"/>
        </w:rPr>
        <w:t>T</w:t>
      </w:r>
      <w:r w:rsidRPr="00596E30" w:rsidR="00AA4F28">
        <w:rPr>
          <w:rFonts w:ascii="Arial" w:hAnsi="Arial" w:cs="Arial"/>
          <w:sz w:val="20"/>
          <w:szCs w:val="20"/>
        </w:rPr>
        <w:t>he Transportation Planning Excellence Awards (TPEA) Program</w:t>
      </w:r>
      <w:r w:rsidRPr="00596E30" w:rsidR="001661D1">
        <w:rPr>
          <w:rFonts w:ascii="Arial" w:hAnsi="Arial" w:cs="Arial"/>
          <w:sz w:val="20"/>
          <w:szCs w:val="20"/>
        </w:rPr>
        <w:t xml:space="preserve"> </w:t>
      </w:r>
      <w:r w:rsidRPr="00596E30" w:rsidR="00AA4F28">
        <w:rPr>
          <w:rFonts w:ascii="Arial" w:hAnsi="Arial" w:cs="Arial"/>
          <w:sz w:val="20"/>
          <w:szCs w:val="20"/>
        </w:rPr>
        <w:t xml:space="preserve">is a biennial awards program </w:t>
      </w:r>
      <w:r w:rsidR="00ED503C">
        <w:rPr>
          <w:rFonts w:ascii="Arial" w:hAnsi="Arial" w:cs="Arial"/>
          <w:sz w:val="20"/>
          <w:szCs w:val="20"/>
        </w:rPr>
        <w:t xml:space="preserve">that is managed and </w:t>
      </w:r>
      <w:r w:rsidRPr="00596E30" w:rsidR="00AA4F28">
        <w:rPr>
          <w:rFonts w:ascii="Arial" w:hAnsi="Arial" w:cs="Arial"/>
          <w:sz w:val="20"/>
          <w:szCs w:val="20"/>
        </w:rPr>
        <w:t xml:space="preserve">developed by the FHWA and the Federal Transit Administration (FTA) to recognize outstanding </w:t>
      </w:r>
      <w:r w:rsidRPr="00596E30" w:rsidR="000355B7">
        <w:rPr>
          <w:rFonts w:ascii="Arial" w:hAnsi="Arial" w:cs="Arial"/>
          <w:sz w:val="20"/>
          <w:szCs w:val="20"/>
        </w:rPr>
        <w:t xml:space="preserve">planning </w:t>
      </w:r>
      <w:r w:rsidRPr="00596E30" w:rsidR="00AA4F28">
        <w:rPr>
          <w:rFonts w:ascii="Arial" w:hAnsi="Arial" w:cs="Arial"/>
          <w:sz w:val="20"/>
          <w:szCs w:val="20"/>
        </w:rPr>
        <w:t>initiatives across the country.</w:t>
      </w:r>
    </w:p>
    <w:p w:rsidRPr="00596E30" w:rsidR="00F11639" w:rsidRDefault="00F11639">
      <w:pPr>
        <w:pStyle w:val="NormalWeb"/>
        <w:rPr>
          <w:rFonts w:ascii="Arial" w:hAnsi="Arial" w:cs="Arial"/>
          <w:sz w:val="20"/>
          <w:szCs w:val="20"/>
        </w:rPr>
      </w:pPr>
      <w:r w:rsidRPr="00596E30">
        <w:rPr>
          <w:rFonts w:ascii="Arial" w:hAnsi="Arial" w:cs="Arial"/>
          <w:sz w:val="20"/>
          <w:szCs w:val="20"/>
          <w:u w:val="single"/>
        </w:rPr>
        <w:t>Part A. Justification</w:t>
      </w:r>
      <w:r w:rsidRPr="00596E30">
        <w:rPr>
          <w:rFonts w:ascii="Arial" w:hAnsi="Arial" w:cs="Arial"/>
          <w:sz w:val="20"/>
          <w:szCs w:val="20"/>
        </w:rPr>
        <w:t>.</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1. </w:t>
      </w:r>
      <w:r w:rsidRPr="00596E30">
        <w:rPr>
          <w:rFonts w:ascii="Arial" w:hAnsi="Arial" w:cs="Arial"/>
          <w:sz w:val="20"/>
          <w:szCs w:val="20"/>
          <w:u w:val="single"/>
        </w:rPr>
        <w:t>Circumstances that make collection of information necessary</w:t>
      </w:r>
      <w:r w:rsidRPr="00596E30">
        <w:rPr>
          <w:rFonts w:ascii="Arial" w:hAnsi="Arial" w:cs="Arial"/>
          <w:sz w:val="20"/>
          <w:szCs w:val="20"/>
        </w:rPr>
        <w:t>:</w:t>
      </w:r>
    </w:p>
    <w:p w:rsidRPr="00596E30" w:rsidR="000355B7" w:rsidRDefault="00AA4F28">
      <w:pPr>
        <w:rPr>
          <w:rFonts w:ascii="Arial" w:hAnsi="Arial" w:cs="Arial"/>
          <w:color w:val="000000"/>
          <w:sz w:val="20"/>
          <w:szCs w:val="20"/>
        </w:rPr>
      </w:pPr>
      <w:r w:rsidRPr="00596E30">
        <w:rPr>
          <w:rFonts w:ascii="Arial" w:hAnsi="Arial" w:cs="Arial"/>
          <w:color w:val="000000"/>
          <w:sz w:val="20"/>
          <w:szCs w:val="20"/>
        </w:rPr>
        <w:t xml:space="preserve">For the TPEA Program, the information collection supports </w:t>
      </w:r>
      <w:r w:rsidRPr="00596E30" w:rsidR="00B24326">
        <w:rPr>
          <w:rFonts w:ascii="Arial" w:hAnsi="Arial" w:cs="Arial"/>
          <w:color w:val="000000"/>
          <w:sz w:val="20"/>
          <w:szCs w:val="20"/>
        </w:rPr>
        <w:t>FHWA’s vision</w:t>
      </w:r>
      <w:r w:rsidRPr="00596E30" w:rsidR="00D615B9">
        <w:rPr>
          <w:rFonts w:ascii="Arial" w:hAnsi="Arial" w:cs="Arial"/>
          <w:color w:val="000000"/>
          <w:sz w:val="20"/>
          <w:szCs w:val="20"/>
        </w:rPr>
        <w:t>, m</w:t>
      </w:r>
      <w:r w:rsidRPr="00596E30">
        <w:rPr>
          <w:rFonts w:ascii="Arial" w:hAnsi="Arial" w:cs="Arial"/>
          <w:color w:val="000000"/>
          <w:sz w:val="20"/>
          <w:szCs w:val="20"/>
        </w:rPr>
        <w:t>ission</w:t>
      </w:r>
      <w:r w:rsidRPr="00596E30" w:rsidR="00D615B9">
        <w:rPr>
          <w:rFonts w:ascii="Arial" w:hAnsi="Arial" w:cs="Arial"/>
          <w:color w:val="000000"/>
          <w:sz w:val="20"/>
          <w:szCs w:val="20"/>
        </w:rPr>
        <w:t>, and strategic goals</w:t>
      </w:r>
      <w:r w:rsidRPr="00596E30">
        <w:rPr>
          <w:rFonts w:ascii="Arial" w:hAnsi="Arial" w:cs="Arial"/>
          <w:color w:val="000000"/>
          <w:sz w:val="20"/>
          <w:szCs w:val="20"/>
        </w:rPr>
        <w:t xml:space="preserve"> by recognizing outstanding initiatives across the country to develop, plan and implement innovative transportation planning practices.  The information about the projects selected may be shared as a noteworthy practice for others.  The categories for submission include</w:t>
      </w:r>
      <w:r w:rsidRPr="00596E30" w:rsidR="000355B7">
        <w:rPr>
          <w:rFonts w:ascii="Arial" w:hAnsi="Arial" w:cs="Arial"/>
          <w:color w:val="000000"/>
          <w:sz w:val="20"/>
          <w:szCs w:val="20"/>
        </w:rPr>
        <w:t>:</w:t>
      </w:r>
      <w:r w:rsidRPr="00596E30">
        <w:rPr>
          <w:rFonts w:ascii="Arial" w:hAnsi="Arial" w:cs="Arial"/>
          <w:color w:val="000000"/>
          <w:sz w:val="20"/>
          <w:szCs w:val="20"/>
        </w:rPr>
        <w:t xml:space="preserve"> </w:t>
      </w:r>
    </w:p>
    <w:p w:rsidRPr="00596E30" w:rsidR="00AA4F28" w:rsidRDefault="00492C27">
      <w:pPr>
        <w:rPr>
          <w:rFonts w:ascii="Arial" w:hAnsi="Arial" w:cs="Arial"/>
          <w:color w:val="000000"/>
          <w:sz w:val="20"/>
          <w:szCs w:val="20"/>
        </w:rPr>
      </w:pPr>
      <w:r>
        <w:rPr>
          <w:rFonts w:ascii="Arial" w:hAnsi="Arial" w:cs="Arial"/>
          <w:color w:val="000000"/>
          <w:sz w:val="20"/>
          <w:szCs w:val="20"/>
        </w:rPr>
        <w:t xml:space="preserve">Accountability, Innovation, Infrastructure, and Safety. </w:t>
      </w:r>
      <w:r w:rsidRPr="00596E30" w:rsidR="000355B7">
        <w:rPr>
          <w:rFonts w:ascii="Arial" w:hAnsi="Arial" w:cs="Arial"/>
          <w:color w:val="000000"/>
          <w:sz w:val="20"/>
          <w:szCs w:val="20"/>
        </w:rPr>
        <w:t>T</w:t>
      </w:r>
      <w:r w:rsidRPr="00596E30" w:rsidR="00AA4F28">
        <w:rPr>
          <w:rFonts w:ascii="Arial" w:hAnsi="Arial" w:cs="Arial"/>
          <w:color w:val="000000"/>
          <w:sz w:val="20"/>
          <w:szCs w:val="20"/>
        </w:rPr>
        <w:t xml:space="preserve">ransportation stakeholders desire information and noteworthy practices from other regions, states, authorities and agencies that can provide techniques and efficient solutions that will result in an improved transportation system. </w:t>
      </w:r>
      <w:r w:rsidRPr="00596E30" w:rsidR="001661D1">
        <w:rPr>
          <w:rFonts w:ascii="Arial" w:hAnsi="Arial" w:cs="Arial"/>
          <w:color w:val="000000"/>
          <w:sz w:val="20"/>
          <w:szCs w:val="20"/>
        </w:rPr>
        <w:t xml:space="preserve"> </w:t>
      </w:r>
    </w:p>
    <w:p w:rsidRPr="00596E30" w:rsidR="005F71D7" w:rsidRDefault="00F11639">
      <w:pPr>
        <w:pStyle w:val="NormalWeb"/>
        <w:rPr>
          <w:rFonts w:ascii="Arial" w:hAnsi="Arial" w:cs="Arial"/>
          <w:sz w:val="20"/>
          <w:szCs w:val="20"/>
        </w:rPr>
      </w:pPr>
      <w:r w:rsidRPr="00596E30">
        <w:rPr>
          <w:rFonts w:ascii="Arial" w:hAnsi="Arial" w:cs="Arial"/>
          <w:sz w:val="20"/>
          <w:szCs w:val="20"/>
        </w:rPr>
        <w:t xml:space="preserve">2. </w:t>
      </w:r>
      <w:r w:rsidRPr="00596E30">
        <w:rPr>
          <w:rFonts w:ascii="Arial" w:hAnsi="Arial" w:cs="Arial"/>
          <w:sz w:val="20"/>
          <w:szCs w:val="20"/>
          <w:u w:val="single"/>
        </w:rPr>
        <w:t>How, by whom, and for what purpose is the information used</w:t>
      </w:r>
      <w:r w:rsidRPr="00596E30">
        <w:rPr>
          <w:rFonts w:ascii="Arial" w:hAnsi="Arial" w:cs="Arial"/>
          <w:sz w:val="20"/>
          <w:szCs w:val="20"/>
        </w:rPr>
        <w:t>:</w:t>
      </w:r>
    </w:p>
    <w:p w:rsidRPr="00596E30" w:rsidR="00AA4F28" w:rsidP="00AA4F28" w:rsidRDefault="00AA4F28">
      <w:pPr>
        <w:pStyle w:val="BodyTextIndent"/>
        <w:ind w:left="0"/>
        <w:rPr>
          <w:rFonts w:ascii="Arial" w:hAnsi="Arial"/>
          <w:color w:val="000000"/>
          <w:sz w:val="20"/>
        </w:rPr>
      </w:pPr>
      <w:r w:rsidRPr="00596E30">
        <w:rPr>
          <w:rFonts w:ascii="Arial" w:hAnsi="Arial"/>
          <w:sz w:val="20"/>
        </w:rPr>
        <w:t xml:space="preserve">For the TPEA Program, </w:t>
      </w:r>
      <w:r w:rsidRPr="00596E30" w:rsidR="00D615B9">
        <w:rPr>
          <w:rFonts w:ascii="Arial" w:hAnsi="Arial"/>
          <w:sz w:val="20"/>
        </w:rPr>
        <w:t xml:space="preserve">the </w:t>
      </w:r>
      <w:r w:rsidR="00492C27">
        <w:rPr>
          <w:rFonts w:ascii="Arial" w:hAnsi="Arial"/>
          <w:sz w:val="20"/>
        </w:rPr>
        <w:t xml:space="preserve">FHWA and </w:t>
      </w:r>
      <w:r w:rsidRPr="00596E30">
        <w:rPr>
          <w:rFonts w:ascii="Arial" w:hAnsi="Arial"/>
          <w:sz w:val="20"/>
        </w:rPr>
        <w:t>F</w:t>
      </w:r>
      <w:r w:rsidRPr="00596E30" w:rsidR="00D615B9">
        <w:rPr>
          <w:rFonts w:ascii="Arial" w:hAnsi="Arial"/>
          <w:sz w:val="20"/>
        </w:rPr>
        <w:t>ederal Transit Administration (F</w:t>
      </w:r>
      <w:r w:rsidRPr="00596E30">
        <w:rPr>
          <w:rFonts w:ascii="Arial" w:hAnsi="Arial"/>
          <w:sz w:val="20"/>
        </w:rPr>
        <w:t>TA</w:t>
      </w:r>
      <w:r w:rsidR="00492C27">
        <w:rPr>
          <w:rFonts w:ascii="Arial" w:hAnsi="Arial"/>
          <w:sz w:val="20"/>
        </w:rPr>
        <w:t>)</w:t>
      </w:r>
      <w:r w:rsidRPr="00596E30">
        <w:rPr>
          <w:rFonts w:ascii="Arial" w:hAnsi="Arial"/>
          <w:sz w:val="20"/>
        </w:rPr>
        <w:t xml:space="preserve"> sponsor the awards</w:t>
      </w:r>
      <w:r w:rsidRPr="00596E30" w:rsidR="00D615B9">
        <w:rPr>
          <w:rFonts w:ascii="Arial" w:hAnsi="Arial"/>
          <w:sz w:val="20"/>
        </w:rPr>
        <w:t xml:space="preserve"> program</w:t>
      </w:r>
      <w:r w:rsidRPr="00596E30">
        <w:rPr>
          <w:rFonts w:ascii="Arial" w:hAnsi="Arial"/>
          <w:sz w:val="20"/>
        </w:rPr>
        <w:t>.</w:t>
      </w:r>
      <w:r w:rsidRPr="00596E30">
        <w:rPr>
          <w:rFonts w:ascii="Arial" w:hAnsi="Arial"/>
          <w:b/>
          <w:sz w:val="20"/>
        </w:rPr>
        <w:t xml:space="preserve">  </w:t>
      </w:r>
      <w:r w:rsidRPr="00596E30">
        <w:rPr>
          <w:rFonts w:ascii="Arial" w:hAnsi="Arial"/>
          <w:color w:val="000000"/>
          <w:sz w:val="20"/>
        </w:rPr>
        <w:t xml:space="preserve">Each submittal is evaluated using criteria that are designed to address </w:t>
      </w:r>
      <w:proofErr w:type="gramStart"/>
      <w:r w:rsidRPr="00596E30">
        <w:rPr>
          <w:rFonts w:ascii="Arial" w:hAnsi="Arial"/>
          <w:color w:val="000000"/>
          <w:sz w:val="20"/>
        </w:rPr>
        <w:t>a number of</w:t>
      </w:r>
      <w:proofErr w:type="gramEnd"/>
      <w:r w:rsidRPr="00596E30">
        <w:rPr>
          <w:rFonts w:ascii="Arial" w:hAnsi="Arial"/>
          <w:color w:val="000000"/>
          <w:sz w:val="20"/>
        </w:rPr>
        <w:t xml:space="preserve"> areas that represent good transportation planning. Anyone may submit a nomination</w:t>
      </w:r>
      <w:r w:rsidRPr="00596E30" w:rsidR="00D615B9">
        <w:rPr>
          <w:rFonts w:ascii="Arial" w:hAnsi="Arial"/>
          <w:color w:val="000000"/>
          <w:sz w:val="20"/>
        </w:rPr>
        <w:t>; h</w:t>
      </w:r>
      <w:r w:rsidRPr="00596E30">
        <w:rPr>
          <w:rFonts w:ascii="Arial" w:hAnsi="Arial"/>
          <w:color w:val="000000"/>
          <w:sz w:val="20"/>
        </w:rPr>
        <w:t xml:space="preserve">owever, eligible nominations must be for a project, process, group, or individual involved in a project or process that has used </w:t>
      </w:r>
      <w:r w:rsidRPr="00596E30" w:rsidR="00D615B9">
        <w:rPr>
          <w:rFonts w:ascii="Arial" w:hAnsi="Arial"/>
          <w:color w:val="000000"/>
          <w:sz w:val="20"/>
        </w:rPr>
        <w:t xml:space="preserve">FHWA and/or FTA </w:t>
      </w:r>
      <w:r w:rsidRPr="00596E30">
        <w:rPr>
          <w:rFonts w:ascii="Arial" w:hAnsi="Arial"/>
          <w:color w:val="000000"/>
          <w:sz w:val="20"/>
        </w:rPr>
        <w:t xml:space="preserve">funding sources to make an outstanding contribution to the field of transportation planning. Winning entries are selected by an independent panel of judges representing diverse backgrounds and expertise. Information about the awards recipients and the submittal is made available on the </w:t>
      </w:r>
      <w:r w:rsidRPr="00596E30">
        <w:rPr>
          <w:rFonts w:ascii="Arial" w:hAnsi="Arial"/>
          <w:sz w:val="20"/>
        </w:rPr>
        <w:t xml:space="preserve">Transportation Planning Excellence Awards Program web site, in a published report, and in newsletters and articles. </w:t>
      </w:r>
    </w:p>
    <w:p w:rsidRPr="00596E30" w:rsidR="00AA4F28" w:rsidP="00AA4F28" w:rsidRDefault="00AA4F28">
      <w:pPr>
        <w:pStyle w:val="BodyTextIndent"/>
        <w:ind w:left="0"/>
        <w:rPr>
          <w:rFonts w:ascii="Arial" w:hAnsi="Arial" w:cs="Arial"/>
          <w:bCs/>
          <w:sz w:val="20"/>
          <w:szCs w:val="20"/>
        </w:rPr>
      </w:pPr>
      <w:r w:rsidRPr="00596E30">
        <w:rPr>
          <w:rFonts w:ascii="Arial" w:hAnsi="Arial" w:cs="Arial"/>
          <w:sz w:val="20"/>
          <w:szCs w:val="20"/>
        </w:rPr>
        <w:t>The purpose of the TPEA Program is to recognize outstanding initiatives across the country in the field of transportation planning that plan and implement innovative transportation planning practices. Recognition is given to projects that go beyond the standard practices and incorporate truly innovative and extraordinary efforts. Those innovative transportation planning practices include qualities such as public participation that is authentic and broadly inclusive, collaboration among jurisdictions, and plans that are truly comprehensive and well-integrated, leading to efficient project implementation that expands choice, mobility, and access.</w:t>
      </w:r>
      <w:r w:rsidRPr="00596E30">
        <w:rPr>
          <w:rFonts w:ascii="Arial" w:hAnsi="Arial" w:cs="Arial"/>
          <w:bCs/>
          <w:sz w:val="20"/>
          <w:szCs w:val="20"/>
        </w:rPr>
        <w:t xml:space="preserve"> </w:t>
      </w:r>
      <w:r w:rsidRPr="00596E30">
        <w:rPr>
          <w:rFonts w:ascii="Arial" w:hAnsi="Arial" w:cs="Arial"/>
          <w:color w:val="000000"/>
          <w:sz w:val="20"/>
          <w:szCs w:val="20"/>
        </w:rPr>
        <w:t xml:space="preserve">The </w:t>
      </w:r>
      <w:r w:rsidRPr="00596E30" w:rsidR="00D615B9">
        <w:rPr>
          <w:rFonts w:ascii="Arial" w:hAnsi="Arial" w:cs="Arial"/>
          <w:color w:val="000000"/>
          <w:sz w:val="20"/>
          <w:szCs w:val="20"/>
        </w:rPr>
        <w:t xml:space="preserve">TPEA </w:t>
      </w:r>
      <w:r w:rsidRPr="00596E30">
        <w:rPr>
          <w:rFonts w:ascii="Arial" w:hAnsi="Arial" w:cs="Arial"/>
          <w:color w:val="000000"/>
          <w:sz w:val="20"/>
          <w:szCs w:val="20"/>
        </w:rPr>
        <w:t>Program is open to all transportation professionals for plans, process, projects</w:t>
      </w:r>
      <w:r w:rsidRPr="00596E30" w:rsidR="000355B7">
        <w:rPr>
          <w:rFonts w:ascii="Arial" w:hAnsi="Arial" w:cs="Arial"/>
          <w:color w:val="000000"/>
          <w:sz w:val="20"/>
          <w:szCs w:val="20"/>
        </w:rPr>
        <w:t>,</w:t>
      </w:r>
      <w:r w:rsidRPr="00596E30">
        <w:rPr>
          <w:rFonts w:ascii="Arial" w:hAnsi="Arial" w:cs="Arial"/>
          <w:color w:val="000000"/>
          <w:sz w:val="20"/>
          <w:szCs w:val="20"/>
        </w:rPr>
        <w:t xml:space="preserve"> or people that have demonstrated outstanding work that would benefit others in the field.  </w:t>
      </w:r>
    </w:p>
    <w:p w:rsidRPr="00596E30" w:rsidR="000355B7" w:rsidP="000355B7" w:rsidRDefault="00AA4F28">
      <w:pPr>
        <w:rPr>
          <w:rFonts w:ascii="Arial" w:hAnsi="Arial" w:cs="Arial"/>
          <w:color w:val="000000"/>
          <w:sz w:val="20"/>
          <w:szCs w:val="20"/>
        </w:rPr>
      </w:pPr>
      <w:r w:rsidRPr="00596E30">
        <w:rPr>
          <w:rFonts w:ascii="Arial" w:hAnsi="Arial" w:cs="Arial"/>
          <w:bCs/>
          <w:sz w:val="20"/>
          <w:szCs w:val="20"/>
        </w:rPr>
        <w:t xml:space="preserve">The initiatives that are recognized serve </w:t>
      </w:r>
      <w:r w:rsidR="00A538B7">
        <w:rPr>
          <w:rFonts w:ascii="Arial" w:hAnsi="Arial" w:cs="Arial"/>
          <w:bCs/>
          <w:sz w:val="20"/>
          <w:szCs w:val="20"/>
        </w:rPr>
        <w:t>are exemplary</w:t>
      </w:r>
      <w:r w:rsidRPr="00596E30">
        <w:rPr>
          <w:rFonts w:ascii="Arial" w:hAnsi="Arial" w:cs="Arial"/>
          <w:bCs/>
          <w:sz w:val="20"/>
          <w:szCs w:val="20"/>
        </w:rPr>
        <w:t xml:space="preserve"> for other transportation stakeholders to improve the coordination, cooperation and consultation of the transportation planning process.  By sharing these outstanding initiatives throughout the transportation planning community, agencies support one another to raise the standard of transportation across the board.  This Program exemplifies the FHWA and FTA commitment to share </w:t>
      </w:r>
      <w:r w:rsidRPr="00C971A2">
        <w:rPr>
          <w:rFonts w:ascii="Arial" w:hAnsi="Arial" w:cs="Arial"/>
          <w:bCs/>
          <w:sz w:val="20"/>
          <w:szCs w:val="20"/>
        </w:rPr>
        <w:t xml:space="preserve">and promote innovative planning and implementation tools that are proven and implemented.  The </w:t>
      </w:r>
      <w:r w:rsidRPr="00C971A2" w:rsidR="00D615B9">
        <w:rPr>
          <w:rFonts w:ascii="Arial" w:hAnsi="Arial" w:cs="Arial"/>
          <w:bCs/>
          <w:sz w:val="20"/>
          <w:szCs w:val="20"/>
        </w:rPr>
        <w:t xml:space="preserve">TPEA </w:t>
      </w:r>
      <w:r w:rsidRPr="00C971A2">
        <w:rPr>
          <w:rFonts w:ascii="Arial" w:hAnsi="Arial" w:cs="Arial"/>
          <w:bCs/>
          <w:sz w:val="20"/>
          <w:szCs w:val="20"/>
        </w:rPr>
        <w:t xml:space="preserve">Program </w:t>
      </w:r>
      <w:r w:rsidRPr="00C971A2">
        <w:rPr>
          <w:rFonts w:ascii="Arial" w:hAnsi="Arial" w:cs="Arial"/>
          <w:color w:val="000000"/>
          <w:sz w:val="20"/>
          <w:szCs w:val="20"/>
        </w:rPr>
        <w:t xml:space="preserve">categories for submission include </w:t>
      </w:r>
      <w:r w:rsidR="00B775DA">
        <w:rPr>
          <w:rFonts w:ascii="Arial" w:hAnsi="Arial" w:cs="Arial"/>
          <w:color w:val="000000"/>
          <w:sz w:val="20"/>
          <w:szCs w:val="20"/>
        </w:rPr>
        <w:t xml:space="preserve">Accountability, Innovation, Infrastructure, and Safety. </w:t>
      </w:r>
    </w:p>
    <w:p w:rsidRPr="00596E30" w:rsidR="000355B7" w:rsidP="000355B7" w:rsidRDefault="000355B7">
      <w:pPr>
        <w:rPr>
          <w:rFonts w:ascii="Arial" w:hAnsi="Arial" w:cs="Arial"/>
          <w:color w:val="000000"/>
          <w:sz w:val="20"/>
          <w:szCs w:val="20"/>
        </w:rPr>
      </w:pPr>
    </w:p>
    <w:p w:rsidRPr="00596E30" w:rsidR="00FE4088" w:rsidP="000355B7" w:rsidRDefault="00596E30">
      <w:pPr>
        <w:rPr>
          <w:rFonts w:ascii="Arial" w:hAnsi="Arial" w:cs="Arial"/>
          <w:sz w:val="20"/>
          <w:szCs w:val="20"/>
          <w:u w:val="single"/>
        </w:rPr>
      </w:pPr>
      <w:r w:rsidRPr="00596E30">
        <w:rPr>
          <w:rFonts w:ascii="Arial" w:hAnsi="Arial" w:cs="Arial"/>
          <w:sz w:val="20"/>
          <w:szCs w:val="20"/>
        </w:rPr>
        <w:t xml:space="preserve">3. </w:t>
      </w:r>
      <w:r w:rsidRPr="00596E30" w:rsidR="005F71D7">
        <w:rPr>
          <w:rFonts w:ascii="Arial" w:hAnsi="Arial" w:cs="Arial"/>
          <w:sz w:val="20"/>
          <w:szCs w:val="20"/>
          <w:u w:val="single"/>
        </w:rPr>
        <w:t>Ext</w:t>
      </w:r>
      <w:r w:rsidRPr="00596E30" w:rsidR="00FE4088">
        <w:rPr>
          <w:rFonts w:ascii="Arial" w:hAnsi="Arial" w:cs="Arial"/>
          <w:sz w:val="20"/>
          <w:szCs w:val="20"/>
          <w:u w:val="single"/>
        </w:rPr>
        <w:t>ent of automated information collection:</w:t>
      </w:r>
    </w:p>
    <w:p w:rsidRPr="00596E30" w:rsidR="00AA4F28" w:rsidRDefault="00AA4F28">
      <w:pPr>
        <w:pStyle w:val="NormalWeb"/>
        <w:rPr>
          <w:rFonts w:ascii="Arial" w:hAnsi="Arial" w:cs="Arial"/>
          <w:sz w:val="20"/>
          <w:szCs w:val="20"/>
        </w:rPr>
      </w:pPr>
      <w:r w:rsidRPr="00596E30">
        <w:rPr>
          <w:rFonts w:ascii="Arial" w:hAnsi="Arial"/>
          <w:sz w:val="20"/>
        </w:rPr>
        <w:t>For the TPEA Program, t</w:t>
      </w:r>
      <w:r w:rsidRPr="00596E30">
        <w:rPr>
          <w:rFonts w:ascii="Arial" w:hAnsi="Arial" w:cs="Arial"/>
          <w:sz w:val="20"/>
          <w:szCs w:val="20"/>
        </w:rPr>
        <w:t xml:space="preserve">he on-line submission form is a tool for the submitters to nominate a process or group or individual.  The form is designed to be completed in approximately </w:t>
      </w:r>
      <w:r w:rsidR="001C57AA">
        <w:rPr>
          <w:rFonts w:ascii="Arial" w:hAnsi="Arial" w:cs="Arial"/>
          <w:sz w:val="20"/>
          <w:szCs w:val="20"/>
        </w:rPr>
        <w:t>6</w:t>
      </w:r>
      <w:r w:rsidRPr="00596E30">
        <w:rPr>
          <w:rFonts w:ascii="Arial" w:hAnsi="Arial" w:cs="Arial"/>
          <w:sz w:val="20"/>
          <w:szCs w:val="20"/>
        </w:rPr>
        <w:t xml:space="preserve">0 minutes.  This on-line submission form limits the length of responses by indicating the number of </w:t>
      </w:r>
      <w:r w:rsidRPr="00596E30">
        <w:rPr>
          <w:rFonts w:ascii="Arial" w:hAnsi="Arial" w:cs="Arial"/>
          <w:sz w:val="20"/>
          <w:szCs w:val="20"/>
        </w:rPr>
        <w:lastRenderedPageBreak/>
        <w:t xml:space="preserve">words that can be used for a response to each question to ensure that responses are concise and clear.  All information is submitted electronically and supporting documentation is optional.  </w:t>
      </w:r>
      <w:r w:rsidRPr="00596E30" w:rsidR="000A25B4">
        <w:rPr>
          <w:rFonts w:ascii="Arial" w:hAnsi="Arial" w:cs="Arial"/>
          <w:color w:val="000000"/>
          <w:sz w:val="20"/>
          <w:szCs w:val="20"/>
        </w:rPr>
        <w:t xml:space="preserve">No special equipment is required to apply.  </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4. </w:t>
      </w:r>
      <w:r w:rsidRPr="00596E30">
        <w:rPr>
          <w:rFonts w:ascii="Arial" w:hAnsi="Arial" w:cs="Arial"/>
          <w:sz w:val="20"/>
          <w:szCs w:val="20"/>
          <w:u w:val="single"/>
        </w:rPr>
        <w:t>Efforts to identify duplication</w:t>
      </w:r>
      <w:r w:rsidRPr="00596E30">
        <w:rPr>
          <w:rFonts w:ascii="Arial" w:hAnsi="Arial" w:cs="Arial"/>
          <w:sz w:val="20"/>
          <w:szCs w:val="20"/>
        </w:rPr>
        <w:t>:</w:t>
      </w:r>
    </w:p>
    <w:p w:rsidRPr="00596E30" w:rsidR="00AA4F28" w:rsidRDefault="00AA4F28">
      <w:pPr>
        <w:pStyle w:val="NormalWeb"/>
        <w:rPr>
          <w:rFonts w:ascii="Arial" w:hAnsi="Arial" w:cs="Arial"/>
          <w:sz w:val="20"/>
          <w:szCs w:val="20"/>
        </w:rPr>
      </w:pPr>
      <w:r w:rsidRPr="00596E30">
        <w:rPr>
          <w:rFonts w:ascii="Arial" w:hAnsi="Arial" w:cs="Arial"/>
          <w:sz w:val="20"/>
          <w:szCs w:val="20"/>
        </w:rPr>
        <w:t>The biennial TPEA</w:t>
      </w:r>
      <w:r w:rsidR="004E3DE4">
        <w:rPr>
          <w:rFonts w:ascii="Arial" w:hAnsi="Arial" w:cs="Arial"/>
          <w:sz w:val="20"/>
          <w:szCs w:val="20"/>
        </w:rPr>
        <w:t xml:space="preserve"> Awards </w:t>
      </w:r>
      <w:r w:rsidRPr="00596E30">
        <w:rPr>
          <w:rFonts w:ascii="Arial" w:hAnsi="Arial" w:cs="Arial"/>
          <w:sz w:val="20"/>
          <w:szCs w:val="20"/>
        </w:rPr>
        <w:t>Program facilitates the submittal of current pra</w:t>
      </w:r>
      <w:r w:rsidR="00181E87">
        <w:rPr>
          <w:rFonts w:ascii="Arial" w:hAnsi="Arial" w:cs="Arial"/>
          <w:sz w:val="20"/>
          <w:szCs w:val="20"/>
        </w:rPr>
        <w:t xml:space="preserve">ctices.  </w:t>
      </w:r>
      <w:proofErr w:type="gramStart"/>
      <w:r w:rsidR="00181E87">
        <w:rPr>
          <w:rFonts w:ascii="Arial" w:hAnsi="Arial" w:cs="Arial"/>
          <w:sz w:val="20"/>
          <w:szCs w:val="20"/>
        </w:rPr>
        <w:t xml:space="preserve">The </w:t>
      </w:r>
      <w:r w:rsidRPr="00596E30">
        <w:rPr>
          <w:rFonts w:ascii="Arial" w:hAnsi="Arial" w:cs="Arial"/>
          <w:sz w:val="20"/>
          <w:szCs w:val="20"/>
        </w:rPr>
        <w:t xml:space="preserve"> program</w:t>
      </w:r>
      <w:proofErr w:type="gramEnd"/>
      <w:r w:rsidRPr="00596E30">
        <w:rPr>
          <w:rFonts w:ascii="Arial" w:hAnsi="Arial" w:cs="Arial"/>
          <w:sz w:val="20"/>
          <w:szCs w:val="20"/>
        </w:rPr>
        <w:t xml:space="preserve"> </w:t>
      </w:r>
      <w:r w:rsidRPr="00596E30">
        <w:rPr>
          <w:rFonts w:ascii="Arial" w:hAnsi="Arial" w:cs="Arial"/>
          <w:color w:val="000000"/>
          <w:sz w:val="20"/>
          <w:szCs w:val="20"/>
        </w:rPr>
        <w:t>is open to all transportation stakeholders for plans, process’, projects or people that have</w:t>
      </w:r>
      <w:r w:rsidR="001F313F">
        <w:rPr>
          <w:rFonts w:ascii="Arial" w:hAnsi="Arial" w:cs="Arial"/>
          <w:color w:val="000000"/>
          <w:sz w:val="20"/>
          <w:szCs w:val="20"/>
        </w:rPr>
        <w:t xml:space="preserve"> recently</w:t>
      </w:r>
      <w:r w:rsidRPr="00596E30">
        <w:rPr>
          <w:rFonts w:ascii="Arial" w:hAnsi="Arial" w:cs="Arial"/>
          <w:color w:val="000000"/>
          <w:sz w:val="20"/>
          <w:szCs w:val="20"/>
        </w:rPr>
        <w:t xml:space="preserve"> demonstrated outstanding work </w:t>
      </w:r>
      <w:r w:rsidR="001F313F">
        <w:rPr>
          <w:rFonts w:ascii="Arial" w:hAnsi="Arial" w:cs="Arial"/>
          <w:color w:val="000000"/>
          <w:sz w:val="20"/>
          <w:szCs w:val="20"/>
        </w:rPr>
        <w:t>related to projects that have FHWA or FTA funding.</w:t>
      </w:r>
      <w:r w:rsidRPr="00596E30">
        <w:rPr>
          <w:rFonts w:ascii="Arial" w:hAnsi="Arial" w:cs="Arial"/>
          <w:color w:val="000000"/>
          <w:sz w:val="20"/>
          <w:szCs w:val="20"/>
        </w:rPr>
        <w:t xml:space="preserve">  FHWA and FTA work together to sponsor this single program for transportation planning excellence. </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5. </w:t>
      </w:r>
      <w:r w:rsidRPr="00596E30">
        <w:rPr>
          <w:rFonts w:ascii="Arial" w:hAnsi="Arial" w:cs="Arial"/>
          <w:sz w:val="20"/>
          <w:szCs w:val="20"/>
          <w:u w:val="single"/>
        </w:rPr>
        <w:t>Efforts to minimize the burden on small businesses</w:t>
      </w:r>
      <w:r w:rsidRPr="00596E30">
        <w:rPr>
          <w:rFonts w:ascii="Arial" w:hAnsi="Arial" w:cs="Arial"/>
          <w:sz w:val="20"/>
          <w:szCs w:val="20"/>
        </w:rPr>
        <w:t>:</w:t>
      </w:r>
    </w:p>
    <w:p w:rsidRPr="00596E30" w:rsidR="00F11639" w:rsidRDefault="007D1F72">
      <w:pPr>
        <w:rPr>
          <w:rFonts w:ascii="Arial" w:hAnsi="Arial" w:cs="Arial"/>
          <w:color w:val="000000"/>
          <w:sz w:val="20"/>
          <w:szCs w:val="20"/>
        </w:rPr>
      </w:pPr>
      <w:r w:rsidRPr="00596E30">
        <w:rPr>
          <w:rFonts w:ascii="Arial" w:hAnsi="Arial" w:cs="Arial"/>
          <w:color w:val="000000"/>
          <w:sz w:val="20"/>
          <w:szCs w:val="20"/>
        </w:rPr>
        <w:t xml:space="preserve">  </w:t>
      </w:r>
      <w:r w:rsidR="00F15703">
        <w:rPr>
          <w:rFonts w:ascii="Arial" w:hAnsi="Arial" w:cs="Arial"/>
          <w:color w:val="000000"/>
          <w:sz w:val="20"/>
          <w:szCs w:val="20"/>
        </w:rPr>
        <w:t>This collection will not affect small businesses.</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6. </w:t>
      </w:r>
      <w:r w:rsidRPr="00596E30">
        <w:rPr>
          <w:rFonts w:ascii="Arial" w:hAnsi="Arial" w:cs="Arial"/>
          <w:sz w:val="20"/>
          <w:szCs w:val="20"/>
          <w:u w:val="single"/>
        </w:rPr>
        <w:t>Impact of less frequent collection of information</w:t>
      </w:r>
      <w:r w:rsidRPr="00596E30">
        <w:rPr>
          <w:rFonts w:ascii="Arial" w:hAnsi="Arial" w:cs="Arial"/>
          <w:sz w:val="20"/>
          <w:szCs w:val="20"/>
        </w:rPr>
        <w:t>:</w:t>
      </w:r>
    </w:p>
    <w:p w:rsidRPr="00596E30" w:rsidR="00AA4F28" w:rsidP="00AA4F28" w:rsidRDefault="00AA4F28">
      <w:pPr>
        <w:rPr>
          <w:rFonts w:ascii="Arial" w:hAnsi="Arial" w:cs="Arial"/>
          <w:color w:val="FF0000"/>
          <w:sz w:val="20"/>
          <w:szCs w:val="20"/>
        </w:rPr>
      </w:pPr>
      <w:r w:rsidRPr="00596E30">
        <w:rPr>
          <w:rFonts w:ascii="Arial" w:hAnsi="Arial" w:cs="Arial"/>
          <w:sz w:val="20"/>
          <w:szCs w:val="20"/>
        </w:rPr>
        <w:t xml:space="preserve">The biennial TPEA Program facilitates the submittal of current, innovative practices.  If the program were less frequent, FHWA and FTA might miss opportunities to highlight significant planning process, project or people. </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7. </w:t>
      </w:r>
      <w:r w:rsidRPr="00596E30">
        <w:rPr>
          <w:rFonts w:ascii="Arial" w:hAnsi="Arial" w:cs="Arial"/>
          <w:sz w:val="20"/>
          <w:szCs w:val="20"/>
          <w:u w:val="single"/>
        </w:rPr>
        <w:t>Special circumstances</w:t>
      </w:r>
      <w:r w:rsidRPr="00596E30">
        <w:rPr>
          <w:rFonts w:ascii="Arial" w:hAnsi="Arial" w:cs="Arial"/>
          <w:sz w:val="20"/>
          <w:szCs w:val="20"/>
        </w:rPr>
        <w:t>:</w:t>
      </w:r>
    </w:p>
    <w:p w:rsidRPr="00596E30" w:rsidR="00F11639" w:rsidRDefault="008E2837">
      <w:pPr>
        <w:pStyle w:val="BodyText"/>
        <w:rPr>
          <w:color w:val="000000"/>
        </w:rPr>
      </w:pPr>
      <w:r w:rsidRPr="00596E30">
        <w:rPr>
          <w:color w:val="000000"/>
        </w:rPr>
        <w:t>No Special circumstances are required</w:t>
      </w:r>
      <w:r w:rsidRPr="00596E30" w:rsidR="007D1F72">
        <w:rPr>
          <w:color w:val="000000"/>
        </w:rPr>
        <w:t>.</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8. </w:t>
      </w:r>
      <w:r w:rsidRPr="00596E30">
        <w:rPr>
          <w:rFonts w:ascii="Arial" w:hAnsi="Arial" w:cs="Arial"/>
          <w:sz w:val="20"/>
          <w:szCs w:val="20"/>
          <w:u w:val="single"/>
        </w:rPr>
        <w:t>Compliance with 5 CFR 1320.8</w:t>
      </w:r>
      <w:r w:rsidRPr="00596E30">
        <w:rPr>
          <w:rFonts w:ascii="Arial" w:hAnsi="Arial" w:cs="Arial"/>
          <w:sz w:val="20"/>
          <w:szCs w:val="20"/>
        </w:rPr>
        <w:t>:</w:t>
      </w:r>
    </w:p>
    <w:p w:rsidRPr="00596E30" w:rsidR="00F11639" w:rsidRDefault="002F7100">
      <w:pPr>
        <w:pStyle w:val="BodyText"/>
        <w:rPr>
          <w:color w:val="000000"/>
        </w:rPr>
      </w:pPr>
      <w:r w:rsidRPr="00596E30">
        <w:rPr>
          <w:color w:val="000000"/>
        </w:rPr>
        <w:t xml:space="preserve">Federal Register Volume </w:t>
      </w:r>
      <w:r w:rsidRPr="00596E30" w:rsidR="00596E30">
        <w:rPr>
          <w:color w:val="000000"/>
        </w:rPr>
        <w:t>8</w:t>
      </w:r>
      <w:r w:rsidR="0040241D">
        <w:rPr>
          <w:color w:val="000000"/>
        </w:rPr>
        <w:t>4</w:t>
      </w:r>
      <w:r w:rsidRPr="00596E30">
        <w:rPr>
          <w:color w:val="000000"/>
        </w:rPr>
        <w:t xml:space="preserve">, Number </w:t>
      </w:r>
      <w:r w:rsidRPr="00596E30" w:rsidR="00596E30">
        <w:rPr>
          <w:color w:val="000000"/>
        </w:rPr>
        <w:t>1</w:t>
      </w:r>
      <w:r w:rsidR="0040241D">
        <w:rPr>
          <w:color w:val="000000"/>
        </w:rPr>
        <w:t>3</w:t>
      </w:r>
      <w:r w:rsidRPr="00596E30" w:rsidR="00596E30">
        <w:rPr>
          <w:color w:val="000000"/>
        </w:rPr>
        <w:t>3</w:t>
      </w:r>
      <w:r w:rsidRPr="00596E30">
        <w:rPr>
          <w:color w:val="000000"/>
        </w:rPr>
        <w:t xml:space="preserve">, </w:t>
      </w:r>
      <w:r w:rsidR="0040241D">
        <w:rPr>
          <w:color w:val="000000"/>
        </w:rPr>
        <w:t>May 9, 2019</w:t>
      </w:r>
      <w:r w:rsidRPr="00596E30">
        <w:rPr>
          <w:color w:val="000000"/>
        </w:rPr>
        <w:t>.</w:t>
      </w:r>
      <w:r w:rsidR="0040241D">
        <w:rPr>
          <w:color w:val="000000"/>
        </w:rPr>
        <w:t xml:space="preserve">  There were no comments received.</w:t>
      </w:r>
      <w:r w:rsidRPr="00596E30">
        <w:rPr>
          <w:color w:val="000000"/>
        </w:rPr>
        <w:t xml:space="preserve">  </w:t>
      </w:r>
    </w:p>
    <w:p w:rsidRPr="00596E30" w:rsidR="00F11639" w:rsidRDefault="00F11639">
      <w:pPr>
        <w:pStyle w:val="NormalWeb"/>
        <w:rPr>
          <w:rFonts w:ascii="Arial" w:hAnsi="Arial" w:cs="Arial"/>
          <w:color w:val="000000"/>
          <w:sz w:val="20"/>
          <w:szCs w:val="20"/>
        </w:rPr>
      </w:pPr>
      <w:r w:rsidRPr="00596E30">
        <w:rPr>
          <w:rFonts w:ascii="Arial" w:hAnsi="Arial" w:cs="Arial"/>
          <w:color w:val="000000"/>
          <w:sz w:val="20"/>
          <w:szCs w:val="20"/>
        </w:rPr>
        <w:t xml:space="preserve">9. </w:t>
      </w:r>
      <w:r w:rsidRPr="00596E30">
        <w:rPr>
          <w:rFonts w:ascii="Arial" w:hAnsi="Arial" w:cs="Arial"/>
          <w:color w:val="000000"/>
          <w:sz w:val="20"/>
          <w:szCs w:val="20"/>
          <w:u w:val="single"/>
        </w:rPr>
        <w:t>Payments or gifts to respondents</w:t>
      </w:r>
      <w:r w:rsidRPr="00596E30">
        <w:rPr>
          <w:rFonts w:ascii="Arial" w:hAnsi="Arial" w:cs="Arial"/>
          <w:color w:val="000000"/>
          <w:sz w:val="20"/>
          <w:szCs w:val="20"/>
        </w:rPr>
        <w:t>:</w:t>
      </w:r>
    </w:p>
    <w:p w:rsidRPr="00596E30" w:rsidR="007D1F72" w:rsidP="007D1F72" w:rsidRDefault="008E2837">
      <w:pPr>
        <w:pStyle w:val="BodyText"/>
        <w:rPr>
          <w:color w:val="000000"/>
        </w:rPr>
      </w:pPr>
      <w:r w:rsidRPr="00596E30">
        <w:rPr>
          <w:color w:val="000000"/>
        </w:rPr>
        <w:t>There will not be any payments or gifts to respondents</w:t>
      </w:r>
      <w:r w:rsidRPr="00596E30" w:rsidR="007D1F72">
        <w:rPr>
          <w:color w:val="000000"/>
        </w:rPr>
        <w:t>.</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10. </w:t>
      </w:r>
      <w:r w:rsidRPr="00596E30">
        <w:rPr>
          <w:rFonts w:ascii="Arial" w:hAnsi="Arial" w:cs="Arial"/>
          <w:sz w:val="20"/>
          <w:szCs w:val="20"/>
          <w:u w:val="single"/>
        </w:rPr>
        <w:t>Assurance of confidentiality</w:t>
      </w:r>
      <w:r w:rsidRPr="00596E30">
        <w:rPr>
          <w:rFonts w:ascii="Arial" w:hAnsi="Arial" w:cs="Arial"/>
          <w:sz w:val="20"/>
          <w:szCs w:val="20"/>
        </w:rPr>
        <w:t>:</w:t>
      </w:r>
    </w:p>
    <w:p w:rsidRPr="00596E30" w:rsidR="007D1F72" w:rsidP="007D1F72" w:rsidRDefault="008E2837">
      <w:pPr>
        <w:pStyle w:val="BodyText"/>
        <w:rPr>
          <w:color w:val="000000"/>
        </w:rPr>
      </w:pPr>
      <w:r w:rsidRPr="00596E30">
        <w:rPr>
          <w:color w:val="000000"/>
        </w:rPr>
        <w:t>FHWA will not provide assurance of confidentiality</w:t>
      </w:r>
      <w:r w:rsidRPr="00596E30" w:rsidR="007D1F72">
        <w:rPr>
          <w:color w:val="000000"/>
        </w:rPr>
        <w:t>.</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11. </w:t>
      </w:r>
      <w:r w:rsidRPr="00596E30">
        <w:rPr>
          <w:rFonts w:ascii="Arial" w:hAnsi="Arial" w:cs="Arial"/>
          <w:sz w:val="20"/>
          <w:szCs w:val="20"/>
          <w:u w:val="single"/>
        </w:rPr>
        <w:t>Justification for collection of sensitive information</w:t>
      </w:r>
      <w:r w:rsidRPr="00596E30">
        <w:rPr>
          <w:rFonts w:ascii="Arial" w:hAnsi="Arial" w:cs="Arial"/>
          <w:sz w:val="20"/>
          <w:szCs w:val="20"/>
        </w:rPr>
        <w:t>:</w:t>
      </w:r>
    </w:p>
    <w:p w:rsidRPr="00596E30" w:rsidR="007D1F72" w:rsidP="007D1F72" w:rsidRDefault="008E2837">
      <w:pPr>
        <w:pStyle w:val="BodyText"/>
        <w:rPr>
          <w:color w:val="000000"/>
        </w:rPr>
      </w:pPr>
      <w:r w:rsidRPr="00596E30">
        <w:rPr>
          <w:color w:val="000000"/>
        </w:rPr>
        <w:t>The information collected is not sensitive in nature</w:t>
      </w:r>
      <w:r w:rsidRPr="00596E30" w:rsidR="007D1F72">
        <w:rPr>
          <w:color w:val="000000"/>
        </w:rPr>
        <w:t>.</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12. </w:t>
      </w:r>
      <w:r w:rsidRPr="00596E30">
        <w:rPr>
          <w:rFonts w:ascii="Arial" w:hAnsi="Arial" w:cs="Arial"/>
          <w:sz w:val="20"/>
          <w:szCs w:val="20"/>
          <w:u w:val="single"/>
        </w:rPr>
        <w:t>Estimate of burden hours for information requested</w:t>
      </w:r>
      <w:r w:rsidRPr="00596E30">
        <w:rPr>
          <w:rFonts w:ascii="Arial" w:hAnsi="Arial" w:cs="Arial"/>
          <w:sz w:val="20"/>
          <w:szCs w:val="20"/>
        </w:rPr>
        <w:t>:</w:t>
      </w:r>
    </w:p>
    <w:p w:rsidRPr="00596E30" w:rsidR="00C51DCD" w:rsidRDefault="0030296D">
      <w:pPr>
        <w:pStyle w:val="NormalWeb"/>
        <w:rPr>
          <w:rFonts w:ascii="Arial" w:hAnsi="Arial" w:cs="Arial"/>
          <w:sz w:val="20"/>
          <w:szCs w:val="20"/>
        </w:rPr>
      </w:pPr>
      <w:r w:rsidRPr="00596E30">
        <w:rPr>
          <w:rFonts w:ascii="Arial" w:hAnsi="Arial" w:cs="Arial"/>
          <w:sz w:val="20"/>
          <w:szCs w:val="20"/>
        </w:rPr>
        <w:t xml:space="preserve">The </w:t>
      </w:r>
      <w:r w:rsidRPr="00596E30" w:rsidR="004A3233">
        <w:rPr>
          <w:rFonts w:ascii="Arial" w:hAnsi="Arial" w:cs="Arial"/>
          <w:sz w:val="20"/>
          <w:szCs w:val="20"/>
        </w:rPr>
        <w:t xml:space="preserve">FHWA anticipates that approximately </w:t>
      </w:r>
      <w:r w:rsidR="00B775DA">
        <w:rPr>
          <w:rFonts w:ascii="Arial" w:hAnsi="Arial" w:cs="Arial"/>
          <w:sz w:val="20"/>
          <w:szCs w:val="20"/>
        </w:rPr>
        <w:t>100</w:t>
      </w:r>
      <w:r w:rsidRPr="00596E30" w:rsidR="00B775DA">
        <w:rPr>
          <w:rFonts w:ascii="Arial" w:hAnsi="Arial" w:cs="Arial"/>
          <w:sz w:val="20"/>
          <w:szCs w:val="20"/>
        </w:rPr>
        <w:t xml:space="preserve"> </w:t>
      </w:r>
      <w:r w:rsidRPr="00596E30" w:rsidR="00CE37FE">
        <w:rPr>
          <w:rFonts w:ascii="Arial" w:hAnsi="Arial" w:cs="Arial"/>
          <w:sz w:val="20"/>
          <w:szCs w:val="20"/>
        </w:rPr>
        <w:t xml:space="preserve">TPEA award nomination </w:t>
      </w:r>
      <w:r w:rsidRPr="00596E30" w:rsidR="004A3233">
        <w:rPr>
          <w:rFonts w:ascii="Arial" w:hAnsi="Arial" w:cs="Arial"/>
          <w:sz w:val="20"/>
          <w:szCs w:val="20"/>
        </w:rPr>
        <w:t xml:space="preserve">applications will be submitted </w:t>
      </w:r>
      <w:r w:rsidRPr="00596E30" w:rsidR="00CE37FE">
        <w:rPr>
          <w:rFonts w:ascii="Arial" w:hAnsi="Arial" w:cs="Arial"/>
          <w:sz w:val="20"/>
          <w:szCs w:val="20"/>
        </w:rPr>
        <w:t xml:space="preserve">biennially for an average of </w:t>
      </w:r>
      <w:r w:rsidRPr="00596E30" w:rsidR="008E2837">
        <w:rPr>
          <w:rFonts w:ascii="Arial" w:hAnsi="Arial" w:cs="Arial"/>
          <w:sz w:val="20"/>
          <w:szCs w:val="20"/>
        </w:rPr>
        <w:t>75</w:t>
      </w:r>
      <w:r w:rsidRPr="00596E30">
        <w:rPr>
          <w:rFonts w:ascii="Arial" w:hAnsi="Arial" w:cs="Arial"/>
          <w:sz w:val="20"/>
          <w:szCs w:val="20"/>
        </w:rPr>
        <w:t xml:space="preserve"> </w:t>
      </w:r>
      <w:r w:rsidRPr="00596E30" w:rsidR="00CE37FE">
        <w:rPr>
          <w:rFonts w:ascii="Arial" w:hAnsi="Arial" w:cs="Arial"/>
          <w:sz w:val="20"/>
          <w:szCs w:val="20"/>
        </w:rPr>
        <w:t xml:space="preserve">annual burden hours. </w:t>
      </w:r>
    </w:p>
    <w:p w:rsidRPr="00596E30" w:rsidR="00DB178A" w:rsidP="00DB178A" w:rsidRDefault="00886535">
      <w:pPr>
        <w:rPr>
          <w:rFonts w:ascii="Arial" w:hAnsi="Arial" w:cs="Arial"/>
          <w:sz w:val="20"/>
          <w:szCs w:val="20"/>
        </w:rPr>
      </w:pPr>
      <w:r>
        <w:rPr>
          <w:rFonts w:ascii="Arial" w:hAnsi="Arial" w:cs="Arial"/>
          <w:sz w:val="20"/>
          <w:szCs w:val="20"/>
        </w:rPr>
        <w:t>60</w:t>
      </w:r>
      <w:r w:rsidRPr="00596E30" w:rsidR="00DB178A">
        <w:rPr>
          <w:rFonts w:ascii="Arial" w:hAnsi="Arial" w:cs="Arial"/>
          <w:sz w:val="20"/>
          <w:szCs w:val="20"/>
        </w:rPr>
        <w:t xml:space="preserve"> minutes to complete</w:t>
      </w:r>
    </w:p>
    <w:p w:rsidRPr="00596E30" w:rsidR="00DB178A" w:rsidP="00DB178A" w:rsidRDefault="00886535">
      <w:pPr>
        <w:rPr>
          <w:rFonts w:ascii="Arial" w:hAnsi="Arial" w:cs="Arial"/>
          <w:sz w:val="20"/>
          <w:szCs w:val="20"/>
        </w:rPr>
      </w:pPr>
      <w:r>
        <w:rPr>
          <w:rFonts w:ascii="Arial" w:hAnsi="Arial" w:cs="Arial"/>
          <w:sz w:val="20"/>
          <w:szCs w:val="20"/>
        </w:rPr>
        <w:t xml:space="preserve">100 </w:t>
      </w:r>
      <w:r w:rsidRPr="00596E30" w:rsidR="00DB178A">
        <w:rPr>
          <w:rFonts w:ascii="Arial" w:hAnsi="Arial" w:cs="Arial"/>
          <w:sz w:val="20"/>
          <w:szCs w:val="20"/>
        </w:rPr>
        <w:t>respondents</w:t>
      </w:r>
    </w:p>
    <w:p w:rsidR="00DB178A" w:rsidP="00DB178A" w:rsidRDefault="00EC3936">
      <w:pPr>
        <w:rPr>
          <w:rFonts w:ascii="Arial" w:hAnsi="Arial" w:cs="Arial"/>
          <w:sz w:val="20"/>
          <w:szCs w:val="20"/>
        </w:rPr>
      </w:pPr>
      <w:r>
        <w:rPr>
          <w:rFonts w:ascii="Arial" w:hAnsi="Arial" w:cs="Arial"/>
          <w:sz w:val="20"/>
          <w:szCs w:val="20"/>
        </w:rPr>
        <w:t>100</w:t>
      </w:r>
      <w:r w:rsidRPr="00596E30" w:rsidR="00DB178A">
        <w:rPr>
          <w:rFonts w:ascii="Arial" w:hAnsi="Arial" w:cs="Arial"/>
          <w:sz w:val="20"/>
          <w:szCs w:val="20"/>
        </w:rPr>
        <w:t xml:space="preserve"> burden hours annually</w:t>
      </w:r>
    </w:p>
    <w:p w:rsidR="00345923" w:rsidP="00DB178A" w:rsidRDefault="00345923">
      <w:pPr>
        <w:rPr>
          <w:rFonts w:ascii="Arial" w:hAnsi="Arial" w:cs="Arial"/>
          <w:sz w:val="20"/>
          <w:szCs w:val="20"/>
        </w:rPr>
      </w:pPr>
    </w:p>
    <w:p w:rsidRPr="00345923" w:rsidR="00345923" w:rsidP="00DB178A" w:rsidRDefault="00345923">
      <w:pPr>
        <w:rPr>
          <w:rFonts w:ascii="Arial" w:hAnsi="Arial" w:cs="Arial"/>
          <w:i/>
          <w:sz w:val="20"/>
          <w:szCs w:val="20"/>
        </w:rPr>
      </w:pPr>
      <w:r w:rsidRPr="00345923">
        <w:rPr>
          <w:rFonts w:ascii="Arial" w:hAnsi="Arial" w:cs="Arial"/>
          <w:b/>
          <w:sz w:val="20"/>
          <w:szCs w:val="20"/>
        </w:rPr>
        <w:t>Note</w:t>
      </w:r>
      <w:r w:rsidRPr="00345923">
        <w:rPr>
          <w:rFonts w:ascii="Arial" w:hAnsi="Arial" w:cs="Arial"/>
          <w:i/>
          <w:sz w:val="20"/>
          <w:szCs w:val="20"/>
        </w:rPr>
        <w:t xml:space="preserve">: </w:t>
      </w:r>
      <w:proofErr w:type="gramStart"/>
      <w:r w:rsidRPr="00345923">
        <w:rPr>
          <w:rFonts w:ascii="Arial" w:hAnsi="Arial" w:cs="Arial"/>
          <w:i/>
          <w:sz w:val="20"/>
          <w:szCs w:val="20"/>
        </w:rPr>
        <w:t>In order to</w:t>
      </w:r>
      <w:proofErr w:type="gramEnd"/>
      <w:r w:rsidRPr="00345923">
        <w:rPr>
          <w:rFonts w:ascii="Arial" w:hAnsi="Arial" w:cs="Arial"/>
          <w:i/>
          <w:sz w:val="20"/>
          <w:szCs w:val="20"/>
        </w:rPr>
        <w:t xml:space="preserve"> properly submit the biennial burden hours into ROCIS, FHWA has to add the hours of collection years 1 &amp; 3 and divide them by 3.</w:t>
      </w:r>
    </w:p>
    <w:p w:rsidRPr="00345923" w:rsidR="00345923" w:rsidP="00DB178A" w:rsidRDefault="00F15703">
      <w:pPr>
        <w:rPr>
          <w:rFonts w:ascii="Arial" w:hAnsi="Arial" w:cs="Arial"/>
          <w:i/>
          <w:sz w:val="20"/>
          <w:szCs w:val="20"/>
        </w:rPr>
      </w:pPr>
      <w:r>
        <w:rPr>
          <w:rFonts w:ascii="Arial" w:hAnsi="Arial" w:cs="Arial"/>
          <w:i/>
          <w:sz w:val="20"/>
          <w:szCs w:val="20"/>
        </w:rPr>
        <w:lastRenderedPageBreak/>
        <w:t>10</w:t>
      </w:r>
      <w:r w:rsidRPr="00345923" w:rsidR="00345923">
        <w:rPr>
          <w:rFonts w:ascii="Arial" w:hAnsi="Arial" w:cs="Arial"/>
          <w:i/>
          <w:sz w:val="20"/>
          <w:szCs w:val="20"/>
        </w:rPr>
        <w:t xml:space="preserve">0 </w:t>
      </w:r>
      <w:r w:rsidRPr="00345923" w:rsidR="00A96C35">
        <w:rPr>
          <w:rFonts w:ascii="Arial" w:hAnsi="Arial" w:cs="Arial"/>
          <w:i/>
          <w:sz w:val="20"/>
          <w:szCs w:val="20"/>
        </w:rPr>
        <w:t xml:space="preserve">Respondents </w:t>
      </w:r>
      <w:r w:rsidRPr="00345923" w:rsidR="00E6570D">
        <w:rPr>
          <w:rFonts w:ascii="Arial" w:hAnsi="Arial" w:cs="Arial"/>
          <w:i/>
          <w:sz w:val="20"/>
          <w:szCs w:val="20"/>
        </w:rPr>
        <w:t>X 2</w:t>
      </w:r>
      <w:r w:rsidRPr="00345923" w:rsidR="00345923">
        <w:rPr>
          <w:rFonts w:ascii="Arial" w:hAnsi="Arial" w:cs="Arial"/>
          <w:i/>
          <w:sz w:val="20"/>
          <w:szCs w:val="20"/>
        </w:rPr>
        <w:t xml:space="preserve"> = </w:t>
      </w:r>
      <w:r>
        <w:rPr>
          <w:rFonts w:ascii="Arial" w:hAnsi="Arial" w:cs="Arial"/>
          <w:i/>
          <w:sz w:val="20"/>
          <w:szCs w:val="20"/>
        </w:rPr>
        <w:t>2</w:t>
      </w:r>
      <w:r w:rsidRPr="00345923" w:rsidR="00345923">
        <w:rPr>
          <w:rFonts w:ascii="Arial" w:hAnsi="Arial" w:cs="Arial"/>
          <w:i/>
          <w:sz w:val="20"/>
          <w:szCs w:val="20"/>
        </w:rPr>
        <w:t xml:space="preserve">00 Respondents / 3 = </w:t>
      </w:r>
      <w:r>
        <w:rPr>
          <w:rFonts w:ascii="Arial" w:hAnsi="Arial" w:cs="Arial"/>
          <w:b/>
          <w:i/>
          <w:sz w:val="20"/>
          <w:szCs w:val="20"/>
        </w:rPr>
        <w:t>66</w:t>
      </w:r>
      <w:r w:rsidRPr="00345923" w:rsidR="00345923">
        <w:rPr>
          <w:rFonts w:ascii="Arial" w:hAnsi="Arial" w:cs="Arial"/>
          <w:b/>
          <w:i/>
          <w:sz w:val="20"/>
          <w:szCs w:val="20"/>
        </w:rPr>
        <w:t xml:space="preserve"> Respondents annually</w:t>
      </w:r>
      <w:r w:rsidRPr="00345923" w:rsidR="00345923">
        <w:rPr>
          <w:rFonts w:ascii="Arial" w:hAnsi="Arial" w:cs="Arial"/>
          <w:i/>
          <w:sz w:val="20"/>
          <w:szCs w:val="20"/>
        </w:rPr>
        <w:t>.</w:t>
      </w:r>
    </w:p>
    <w:p w:rsidRPr="00345923" w:rsidR="00345923" w:rsidP="00DB178A" w:rsidRDefault="00EC3936">
      <w:pPr>
        <w:rPr>
          <w:rFonts w:ascii="Arial" w:hAnsi="Arial" w:cs="Arial"/>
          <w:i/>
          <w:sz w:val="20"/>
          <w:szCs w:val="20"/>
        </w:rPr>
      </w:pPr>
      <w:r>
        <w:rPr>
          <w:rFonts w:ascii="Arial" w:hAnsi="Arial" w:cs="Arial"/>
          <w:i/>
          <w:sz w:val="20"/>
          <w:szCs w:val="20"/>
        </w:rPr>
        <w:t>100</w:t>
      </w:r>
      <w:r w:rsidRPr="00345923" w:rsidR="00345923">
        <w:rPr>
          <w:rFonts w:ascii="Arial" w:hAnsi="Arial" w:cs="Arial"/>
          <w:i/>
          <w:sz w:val="20"/>
          <w:szCs w:val="20"/>
        </w:rPr>
        <w:t xml:space="preserve"> </w:t>
      </w:r>
      <w:r w:rsidRPr="00345923" w:rsidR="00FA4C3B">
        <w:rPr>
          <w:rFonts w:ascii="Arial" w:hAnsi="Arial" w:cs="Arial"/>
          <w:i/>
          <w:sz w:val="20"/>
          <w:szCs w:val="20"/>
        </w:rPr>
        <w:t>hours X 2</w:t>
      </w:r>
      <w:r w:rsidRPr="00345923" w:rsidR="00345923">
        <w:rPr>
          <w:rFonts w:ascii="Arial" w:hAnsi="Arial" w:cs="Arial"/>
          <w:i/>
          <w:sz w:val="20"/>
          <w:szCs w:val="20"/>
        </w:rPr>
        <w:t xml:space="preserve"> = </w:t>
      </w:r>
      <w:r>
        <w:rPr>
          <w:rFonts w:ascii="Arial" w:hAnsi="Arial" w:cs="Arial"/>
          <w:i/>
          <w:sz w:val="20"/>
          <w:szCs w:val="20"/>
        </w:rPr>
        <w:t>200</w:t>
      </w:r>
      <w:r w:rsidRPr="00345923" w:rsidR="00345923">
        <w:rPr>
          <w:rFonts w:ascii="Arial" w:hAnsi="Arial" w:cs="Arial"/>
          <w:i/>
          <w:sz w:val="20"/>
          <w:szCs w:val="20"/>
        </w:rPr>
        <w:t xml:space="preserve"> hours / 3 = </w:t>
      </w:r>
      <w:r>
        <w:rPr>
          <w:rFonts w:ascii="Arial" w:hAnsi="Arial" w:cs="Arial"/>
          <w:b/>
          <w:i/>
          <w:sz w:val="20"/>
          <w:szCs w:val="20"/>
        </w:rPr>
        <w:t>66</w:t>
      </w:r>
      <w:r w:rsidRPr="00345923" w:rsidR="00345923">
        <w:rPr>
          <w:rFonts w:ascii="Arial" w:hAnsi="Arial" w:cs="Arial"/>
          <w:b/>
          <w:i/>
          <w:sz w:val="20"/>
          <w:szCs w:val="20"/>
        </w:rPr>
        <w:t xml:space="preserve"> annually hours</w:t>
      </w:r>
      <w:r w:rsidRPr="00345923" w:rsidR="00345923">
        <w:rPr>
          <w:rFonts w:ascii="Arial" w:hAnsi="Arial" w:cs="Arial"/>
          <w:i/>
          <w:sz w:val="20"/>
          <w:szCs w:val="20"/>
        </w:rPr>
        <w:t xml:space="preserve"> </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13. </w:t>
      </w:r>
      <w:r w:rsidRPr="00596E30">
        <w:rPr>
          <w:rFonts w:ascii="Arial" w:hAnsi="Arial" w:cs="Arial"/>
          <w:sz w:val="20"/>
          <w:szCs w:val="20"/>
          <w:u w:val="single"/>
        </w:rPr>
        <w:t>Estimate of total annual costs to respondents</w:t>
      </w:r>
      <w:r w:rsidRPr="00596E30">
        <w:rPr>
          <w:rFonts w:ascii="Arial" w:hAnsi="Arial" w:cs="Arial"/>
          <w:sz w:val="20"/>
          <w:szCs w:val="20"/>
        </w:rPr>
        <w:t>:</w:t>
      </w:r>
    </w:p>
    <w:p w:rsidRPr="00596E30" w:rsidR="004A52D6" w:rsidP="004A52D6" w:rsidRDefault="008E2837">
      <w:pPr>
        <w:pStyle w:val="BodyText"/>
        <w:rPr>
          <w:color w:val="000000"/>
        </w:rPr>
      </w:pPr>
      <w:r w:rsidRPr="00596E30">
        <w:rPr>
          <w:color w:val="000000"/>
        </w:rPr>
        <w:t>There will not be any cost to the respondents</w:t>
      </w:r>
      <w:r w:rsidRPr="00596E30" w:rsidR="004A52D6">
        <w:rPr>
          <w:color w:val="000000"/>
        </w:rPr>
        <w:t>.</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14. </w:t>
      </w:r>
      <w:r w:rsidRPr="00596E30">
        <w:rPr>
          <w:rFonts w:ascii="Arial" w:hAnsi="Arial" w:cs="Arial"/>
          <w:sz w:val="20"/>
          <w:szCs w:val="20"/>
          <w:u w:val="single"/>
        </w:rPr>
        <w:t>Estimate of cost to the Federal government</w:t>
      </w:r>
      <w:r w:rsidRPr="00596E30">
        <w:rPr>
          <w:rFonts w:ascii="Arial" w:hAnsi="Arial" w:cs="Arial"/>
          <w:sz w:val="20"/>
          <w:szCs w:val="20"/>
        </w:rPr>
        <w:t>:</w:t>
      </w:r>
    </w:p>
    <w:p w:rsidRPr="00596E30" w:rsidR="00AA4F28" w:rsidP="00AA4F28" w:rsidRDefault="00AA4F28">
      <w:pPr>
        <w:pStyle w:val="BodyText"/>
        <w:rPr>
          <w:color w:val="000000"/>
        </w:rPr>
      </w:pPr>
      <w:r w:rsidRPr="00596E30">
        <w:rPr>
          <w:color w:val="000000"/>
        </w:rPr>
        <w:t xml:space="preserve">The anticipated cost to the Federal government </w:t>
      </w:r>
      <w:r w:rsidRPr="00596E30" w:rsidR="0030296D">
        <w:rPr>
          <w:color w:val="000000"/>
        </w:rPr>
        <w:t xml:space="preserve">for the TPEA is </w:t>
      </w:r>
      <w:r w:rsidRPr="00596E30">
        <w:rPr>
          <w:color w:val="000000"/>
        </w:rPr>
        <w:t>$</w:t>
      </w:r>
      <w:r w:rsidRPr="00596E30" w:rsidR="00DB5865">
        <w:rPr>
          <w:color w:val="000000"/>
        </w:rPr>
        <w:t>20,970.56</w:t>
      </w:r>
      <w:r w:rsidRPr="00596E30">
        <w:rPr>
          <w:color w:val="000000"/>
        </w:rPr>
        <w:t xml:space="preserve">. </w:t>
      </w:r>
      <w:r w:rsidR="001A4EAF">
        <w:rPr>
          <w:color w:val="000000"/>
        </w:rPr>
        <w:t xml:space="preserve"> This figure is based on a GS-13</w:t>
      </w:r>
      <w:r w:rsidRPr="00596E30">
        <w:rPr>
          <w:color w:val="000000"/>
        </w:rPr>
        <w:t xml:space="preserve"> hourly staff salary of $</w:t>
      </w:r>
      <w:r w:rsidR="00D007D1">
        <w:rPr>
          <w:color w:val="000000"/>
        </w:rPr>
        <w:t>50.41</w:t>
      </w:r>
      <w:r w:rsidRPr="00596E30">
        <w:rPr>
          <w:color w:val="000000"/>
        </w:rPr>
        <w:t>and 416 hours (2,080 * 20% Staff Time) every other year to review, process, and manage the TPEA Program.</w:t>
      </w:r>
    </w:p>
    <w:p w:rsidRPr="00596E30" w:rsidR="00CE37FE" w:rsidP="00AA4F28" w:rsidRDefault="00CE37FE">
      <w:pPr>
        <w:pStyle w:val="BodyText"/>
        <w:rPr>
          <w:color w:val="000000"/>
        </w:rPr>
      </w:pPr>
    </w:p>
    <w:p w:rsidRPr="00596E30" w:rsidR="00AA4F28" w:rsidRDefault="00CE37FE">
      <w:pPr>
        <w:pStyle w:val="BodyText"/>
        <w:rPr>
          <w:color w:val="auto"/>
        </w:rPr>
      </w:pPr>
      <w:r w:rsidRPr="00596E30">
        <w:rPr>
          <w:color w:val="000000"/>
        </w:rPr>
        <w:t>Total Federal government cost is $</w:t>
      </w:r>
      <w:r w:rsidRPr="00596E30" w:rsidR="00C078CD">
        <w:rPr>
          <w:color w:val="000000"/>
        </w:rPr>
        <w:t>71,129</w:t>
      </w:r>
      <w:r w:rsidRPr="00596E30">
        <w:rPr>
          <w:color w:val="000000"/>
        </w:rPr>
        <w:t>.</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15. </w:t>
      </w:r>
      <w:r w:rsidRPr="00596E30">
        <w:rPr>
          <w:rFonts w:ascii="Arial" w:hAnsi="Arial" w:cs="Arial"/>
          <w:sz w:val="20"/>
          <w:szCs w:val="20"/>
          <w:u w:val="single"/>
        </w:rPr>
        <w:t>Explanation of program changes or adjustments</w:t>
      </w:r>
      <w:r w:rsidRPr="00596E30">
        <w:rPr>
          <w:rFonts w:ascii="Arial" w:hAnsi="Arial" w:cs="Arial"/>
          <w:sz w:val="20"/>
          <w:szCs w:val="20"/>
        </w:rPr>
        <w:t>:</w:t>
      </w:r>
    </w:p>
    <w:p w:rsidRPr="00596E30" w:rsidR="00DC3CD8" w:rsidRDefault="008E2837">
      <w:pPr>
        <w:pStyle w:val="NormalWeb"/>
        <w:rPr>
          <w:rFonts w:ascii="Arial" w:hAnsi="Arial" w:cs="Arial"/>
          <w:sz w:val="20"/>
          <w:szCs w:val="20"/>
        </w:rPr>
      </w:pPr>
      <w:r w:rsidRPr="00596E30">
        <w:rPr>
          <w:rFonts w:ascii="Arial" w:hAnsi="Arial" w:eastAsia="Times New Roman" w:cs="Arial"/>
          <w:sz w:val="20"/>
          <w:szCs w:val="20"/>
        </w:rPr>
        <w:t xml:space="preserve">Since our last </w:t>
      </w:r>
      <w:r w:rsidRPr="00596E30" w:rsidR="00A96C35">
        <w:rPr>
          <w:rFonts w:ascii="Arial" w:hAnsi="Arial" w:eastAsia="Times New Roman" w:cs="Arial"/>
          <w:sz w:val="20"/>
          <w:szCs w:val="20"/>
        </w:rPr>
        <w:t>collection,</w:t>
      </w:r>
      <w:r w:rsidRPr="00596E30" w:rsidR="00DC3CD8">
        <w:rPr>
          <w:rFonts w:ascii="Arial" w:hAnsi="Arial" w:eastAsia="Times New Roman" w:cs="Arial"/>
          <w:sz w:val="20"/>
          <w:szCs w:val="20"/>
        </w:rPr>
        <w:t xml:space="preserve"> we have had additional experience regarding the number of applications that can be expected, as well as additional data regarding the time necessary to complete the application.  This additional data and experience has shown that we can expect more applications than previously anticipated and applicants need more time per application.</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16. </w:t>
      </w:r>
      <w:r w:rsidRPr="00596E30">
        <w:rPr>
          <w:rFonts w:ascii="Arial" w:hAnsi="Arial" w:cs="Arial"/>
          <w:sz w:val="20"/>
          <w:szCs w:val="20"/>
          <w:u w:val="single"/>
        </w:rPr>
        <w:t>Publication of results of data collection</w:t>
      </w:r>
      <w:r w:rsidRPr="00596E30">
        <w:rPr>
          <w:rFonts w:ascii="Arial" w:hAnsi="Arial" w:cs="Arial"/>
          <w:sz w:val="20"/>
          <w:szCs w:val="20"/>
        </w:rPr>
        <w:t>:</w:t>
      </w:r>
    </w:p>
    <w:p w:rsidRPr="00596E30" w:rsidR="00AA4F28" w:rsidP="00AA4F28" w:rsidRDefault="00AA4F28">
      <w:pPr>
        <w:pStyle w:val="BodyText"/>
        <w:rPr>
          <w:color w:val="000000"/>
        </w:rPr>
      </w:pPr>
      <w:r w:rsidRPr="00596E30">
        <w:rPr>
          <w:color w:val="000000"/>
        </w:rPr>
        <w:t xml:space="preserve">For the TPEA Program, the results will be published on the TPEA web site; in a published </w:t>
      </w:r>
      <w:r w:rsidRPr="00596E30" w:rsidR="00FA4C3B">
        <w:rPr>
          <w:color w:val="000000"/>
        </w:rPr>
        <w:t>report,</w:t>
      </w:r>
      <w:r w:rsidRPr="00596E30">
        <w:rPr>
          <w:color w:val="000000"/>
        </w:rPr>
        <w:t xml:space="preserve"> approximately six months after recipients are recognized and in various newsletters; and possibly locally by the recipients.</w:t>
      </w:r>
      <w:bookmarkStart w:name="_GoBack" w:id="0"/>
      <w:bookmarkEnd w:id="0"/>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17. </w:t>
      </w:r>
      <w:r w:rsidRPr="00596E30">
        <w:rPr>
          <w:rFonts w:ascii="Arial" w:hAnsi="Arial" w:cs="Arial"/>
          <w:sz w:val="20"/>
          <w:szCs w:val="20"/>
          <w:u w:val="single"/>
        </w:rPr>
        <w:t>Approval for not displaying the expiration date of OMB approval</w:t>
      </w:r>
      <w:r w:rsidRPr="00596E30">
        <w:rPr>
          <w:rFonts w:ascii="Arial" w:hAnsi="Arial" w:cs="Arial"/>
          <w:sz w:val="20"/>
          <w:szCs w:val="20"/>
        </w:rPr>
        <w:t>:</w:t>
      </w:r>
    </w:p>
    <w:p w:rsidRPr="00596E30" w:rsidR="00F11639" w:rsidRDefault="007D1F72">
      <w:pPr>
        <w:pStyle w:val="BodyText"/>
        <w:rPr>
          <w:color w:val="000000"/>
        </w:rPr>
      </w:pPr>
      <w:r w:rsidRPr="00596E30">
        <w:rPr>
          <w:color w:val="000000"/>
        </w:rPr>
        <w:t xml:space="preserve">FHWA expects to </w:t>
      </w:r>
      <w:r w:rsidRPr="00596E30" w:rsidR="00465530">
        <w:rPr>
          <w:color w:val="000000"/>
        </w:rPr>
        <w:t>display</w:t>
      </w:r>
      <w:r w:rsidRPr="00596E30">
        <w:rPr>
          <w:color w:val="000000"/>
        </w:rPr>
        <w:t xml:space="preserve"> the expiration date of OMB approval on</w:t>
      </w:r>
      <w:r w:rsidRPr="00596E30" w:rsidR="00F0519E">
        <w:rPr>
          <w:color w:val="000000"/>
        </w:rPr>
        <w:t xml:space="preserve"> </w:t>
      </w:r>
      <w:r w:rsidRPr="00596E30">
        <w:rPr>
          <w:color w:val="000000"/>
        </w:rPr>
        <w:t>the</w:t>
      </w:r>
      <w:r w:rsidRPr="00596E30" w:rsidR="00F0519E">
        <w:rPr>
          <w:color w:val="000000"/>
        </w:rPr>
        <w:t xml:space="preserve"> TPEA application.</w:t>
      </w:r>
    </w:p>
    <w:p w:rsidRPr="00596E30" w:rsidR="00F11639" w:rsidRDefault="00F11639">
      <w:pPr>
        <w:pStyle w:val="NormalWeb"/>
        <w:rPr>
          <w:rFonts w:ascii="Arial" w:hAnsi="Arial" w:cs="Arial"/>
          <w:sz w:val="20"/>
          <w:szCs w:val="20"/>
        </w:rPr>
      </w:pPr>
      <w:r w:rsidRPr="00596E30">
        <w:rPr>
          <w:rFonts w:ascii="Arial" w:hAnsi="Arial" w:cs="Arial"/>
          <w:sz w:val="20"/>
          <w:szCs w:val="20"/>
        </w:rPr>
        <w:t xml:space="preserve">18. </w:t>
      </w:r>
      <w:r w:rsidRPr="00596E30">
        <w:rPr>
          <w:rFonts w:ascii="Arial" w:hAnsi="Arial" w:cs="Arial"/>
          <w:sz w:val="20"/>
          <w:szCs w:val="20"/>
          <w:u w:val="single"/>
        </w:rPr>
        <w:t>Exceptions to certification statement</w:t>
      </w:r>
      <w:r w:rsidRPr="00596E30">
        <w:rPr>
          <w:rFonts w:ascii="Arial" w:hAnsi="Arial" w:cs="Arial"/>
          <w:sz w:val="20"/>
          <w:szCs w:val="20"/>
        </w:rPr>
        <w:t>:</w:t>
      </w:r>
    </w:p>
    <w:p w:rsidRPr="005F71D7" w:rsidR="007D1F72" w:rsidP="007D1F72" w:rsidRDefault="00F72476">
      <w:pPr>
        <w:pStyle w:val="BodyText"/>
        <w:rPr>
          <w:color w:val="000000"/>
        </w:rPr>
      </w:pPr>
      <w:r w:rsidRPr="00596E30">
        <w:rPr>
          <w:color w:val="000000"/>
        </w:rPr>
        <w:t>There will not be any exceptions to the certification statement</w:t>
      </w:r>
      <w:r w:rsidRPr="00596E30" w:rsidR="007D1F72">
        <w:rPr>
          <w:color w:val="000000"/>
        </w:rPr>
        <w:t>.</w:t>
      </w:r>
    </w:p>
    <w:p w:rsidRPr="005F71D7" w:rsidR="00F11639" w:rsidRDefault="00F11639">
      <w:pPr>
        <w:rPr>
          <w:rFonts w:ascii="Arial" w:hAnsi="Arial" w:cs="Arial"/>
          <w:color w:val="FF0000"/>
          <w:sz w:val="20"/>
          <w:szCs w:val="20"/>
        </w:rPr>
      </w:pPr>
      <w:r w:rsidRPr="005F71D7">
        <w:rPr>
          <w:rFonts w:ascii="Arial" w:hAnsi="Arial" w:cs="Arial"/>
          <w:color w:val="FF0000"/>
          <w:sz w:val="20"/>
          <w:szCs w:val="20"/>
        </w:rPr>
        <w:br/>
      </w:r>
      <w:r w:rsidRPr="005F71D7">
        <w:rPr>
          <w:rFonts w:ascii="Arial" w:hAnsi="Arial" w:cs="Arial"/>
          <w:color w:val="FF0000"/>
          <w:sz w:val="20"/>
          <w:szCs w:val="20"/>
        </w:rPr>
        <w:br/>
      </w:r>
    </w:p>
    <w:sectPr w:rsidRPr="005F71D7" w:rsidR="00F116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ADE1117"/>
    <w:multiLevelType w:val="hybridMultilevel"/>
    <w:tmpl w:val="A330D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3612E3"/>
    <w:multiLevelType w:val="hybridMultilevel"/>
    <w:tmpl w:val="99BC474A"/>
    <w:lvl w:ilvl="0" w:tplc="0409000F">
      <w:start w:val="3"/>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99D31AB"/>
    <w:multiLevelType w:val="hybridMultilevel"/>
    <w:tmpl w:val="61CA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1DA4"/>
    <w:multiLevelType w:val="hybridMultilevel"/>
    <w:tmpl w:val="91B68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70D0C"/>
    <w:multiLevelType w:val="hybridMultilevel"/>
    <w:tmpl w:val="4426DEA0"/>
    <w:lvl w:ilvl="0" w:tplc="87D8E900">
      <w:start w:val="3"/>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4A12266"/>
    <w:multiLevelType w:val="hybridMultilevel"/>
    <w:tmpl w:val="F3CA1538"/>
    <w:lvl w:ilvl="0" w:tplc="3EA217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846992"/>
    <w:multiLevelType w:val="hybridMultilevel"/>
    <w:tmpl w:val="A540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47030"/>
    <w:multiLevelType w:val="hybridMultilevel"/>
    <w:tmpl w:val="3FF64236"/>
    <w:lvl w:ilvl="0" w:tplc="6888A47A">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0AA2A19"/>
    <w:multiLevelType w:val="hybridMultilevel"/>
    <w:tmpl w:val="C7D23BE2"/>
    <w:lvl w:ilvl="0" w:tplc="6888A47A">
      <w:numFmt w:val="bullet"/>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1776A7"/>
    <w:multiLevelType w:val="hybridMultilevel"/>
    <w:tmpl w:val="F0163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4"/>
  </w:num>
  <w:num w:numId="5">
    <w:abstractNumId w:val="1"/>
  </w:num>
  <w:num w:numId="6">
    <w:abstractNumId w:val="0"/>
  </w:num>
  <w:num w:numId="7">
    <w:abstractNumId w:val="2"/>
  </w:num>
  <w:num w:numId="8">
    <w:abstractNumId w:val="6"/>
  </w:num>
  <w:num w:numId="9">
    <w:abstractNumId w:val="9"/>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784"/>
    <w:rsid w:val="00013E25"/>
    <w:rsid w:val="00021AF0"/>
    <w:rsid w:val="000355B7"/>
    <w:rsid w:val="000667A3"/>
    <w:rsid w:val="000748AA"/>
    <w:rsid w:val="000958A4"/>
    <w:rsid w:val="000A25B4"/>
    <w:rsid w:val="000D1DE7"/>
    <w:rsid w:val="000F2C1A"/>
    <w:rsid w:val="00141D02"/>
    <w:rsid w:val="001504B4"/>
    <w:rsid w:val="00160139"/>
    <w:rsid w:val="00160C54"/>
    <w:rsid w:val="001661D1"/>
    <w:rsid w:val="00181E87"/>
    <w:rsid w:val="001A4EAF"/>
    <w:rsid w:val="001C57AA"/>
    <w:rsid w:val="001F313F"/>
    <w:rsid w:val="002943CB"/>
    <w:rsid w:val="002E3A44"/>
    <w:rsid w:val="002F7100"/>
    <w:rsid w:val="0030296D"/>
    <w:rsid w:val="00345923"/>
    <w:rsid w:val="0036560C"/>
    <w:rsid w:val="0038573D"/>
    <w:rsid w:val="00390A7B"/>
    <w:rsid w:val="003934D1"/>
    <w:rsid w:val="003A6766"/>
    <w:rsid w:val="003B1922"/>
    <w:rsid w:val="003F02B7"/>
    <w:rsid w:val="0040241D"/>
    <w:rsid w:val="0040445E"/>
    <w:rsid w:val="0040751F"/>
    <w:rsid w:val="004415BF"/>
    <w:rsid w:val="00465530"/>
    <w:rsid w:val="00492C27"/>
    <w:rsid w:val="004A28DB"/>
    <w:rsid w:val="004A3233"/>
    <w:rsid w:val="004A4703"/>
    <w:rsid w:val="004A52D6"/>
    <w:rsid w:val="004C2D9B"/>
    <w:rsid w:val="004E3DE4"/>
    <w:rsid w:val="00543DD3"/>
    <w:rsid w:val="0059042C"/>
    <w:rsid w:val="00596E30"/>
    <w:rsid w:val="005A5FD0"/>
    <w:rsid w:val="005E74DC"/>
    <w:rsid w:val="005F71D7"/>
    <w:rsid w:val="00602000"/>
    <w:rsid w:val="0060232C"/>
    <w:rsid w:val="00652640"/>
    <w:rsid w:val="006A7AC5"/>
    <w:rsid w:val="006E4C01"/>
    <w:rsid w:val="00706A6C"/>
    <w:rsid w:val="00753DF2"/>
    <w:rsid w:val="00754854"/>
    <w:rsid w:val="00792A14"/>
    <w:rsid w:val="007D1F72"/>
    <w:rsid w:val="00836AB5"/>
    <w:rsid w:val="008460CD"/>
    <w:rsid w:val="00855F16"/>
    <w:rsid w:val="00867B87"/>
    <w:rsid w:val="00886535"/>
    <w:rsid w:val="008E1B21"/>
    <w:rsid w:val="008E2837"/>
    <w:rsid w:val="008F7EBD"/>
    <w:rsid w:val="00927336"/>
    <w:rsid w:val="00930BD4"/>
    <w:rsid w:val="0096709E"/>
    <w:rsid w:val="009962BB"/>
    <w:rsid w:val="009F7085"/>
    <w:rsid w:val="00A50BDF"/>
    <w:rsid w:val="00A538B7"/>
    <w:rsid w:val="00A96C35"/>
    <w:rsid w:val="00AA4F28"/>
    <w:rsid w:val="00AB7009"/>
    <w:rsid w:val="00AC4FFB"/>
    <w:rsid w:val="00B24326"/>
    <w:rsid w:val="00B33784"/>
    <w:rsid w:val="00B56E85"/>
    <w:rsid w:val="00B775DA"/>
    <w:rsid w:val="00B8390B"/>
    <w:rsid w:val="00BE0316"/>
    <w:rsid w:val="00C078CD"/>
    <w:rsid w:val="00C51DCD"/>
    <w:rsid w:val="00C52301"/>
    <w:rsid w:val="00C620B2"/>
    <w:rsid w:val="00C721F0"/>
    <w:rsid w:val="00C94EA9"/>
    <w:rsid w:val="00C971A2"/>
    <w:rsid w:val="00CE37FE"/>
    <w:rsid w:val="00D007D1"/>
    <w:rsid w:val="00D1121F"/>
    <w:rsid w:val="00D46654"/>
    <w:rsid w:val="00D5731E"/>
    <w:rsid w:val="00D615B9"/>
    <w:rsid w:val="00D87292"/>
    <w:rsid w:val="00DB178A"/>
    <w:rsid w:val="00DB5865"/>
    <w:rsid w:val="00DC3CD8"/>
    <w:rsid w:val="00E6570D"/>
    <w:rsid w:val="00E9677A"/>
    <w:rsid w:val="00E97A98"/>
    <w:rsid w:val="00EC3936"/>
    <w:rsid w:val="00ED503C"/>
    <w:rsid w:val="00F0519E"/>
    <w:rsid w:val="00F11639"/>
    <w:rsid w:val="00F15703"/>
    <w:rsid w:val="00F235BB"/>
    <w:rsid w:val="00F42119"/>
    <w:rsid w:val="00F72476"/>
    <w:rsid w:val="00FA4C3B"/>
    <w:rsid w:val="00FE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E7E5E4A-68DF-4845-90DC-50D8BCA3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5F71D7"/>
    <w:pPr>
      <w:keepNext/>
      <w:outlineLvl w:val="2"/>
    </w:pPr>
    <w:rPr>
      <w:b/>
      <w:bCs/>
      <w:sz w:val="22"/>
      <w:szCs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BodyTextIndent">
    <w:name w:val="Body Text Indent"/>
    <w:basedOn w:val="Normal"/>
    <w:rsid w:val="000D1DE7"/>
    <w:pPr>
      <w:spacing w:after="120"/>
      <w:ind w:left="360"/>
    </w:pPr>
  </w:style>
  <w:style w:type="paragraph" w:styleId="BalloonText">
    <w:name w:val="Balloon Text"/>
    <w:basedOn w:val="Normal"/>
    <w:link w:val="BalloonTextChar"/>
    <w:rsid w:val="00855F16"/>
    <w:rPr>
      <w:rFonts w:ascii="Tahoma" w:hAnsi="Tahoma" w:cs="Tahoma"/>
      <w:sz w:val="16"/>
      <w:szCs w:val="16"/>
    </w:rPr>
  </w:style>
  <w:style w:type="character" w:customStyle="1" w:styleId="BalloonTextChar">
    <w:name w:val="Balloon Text Char"/>
    <w:link w:val="BalloonText"/>
    <w:rsid w:val="00855F16"/>
    <w:rPr>
      <w:rFonts w:ascii="Tahoma" w:hAnsi="Tahoma" w:cs="Tahoma"/>
      <w:sz w:val="16"/>
      <w:szCs w:val="16"/>
    </w:rPr>
  </w:style>
  <w:style w:type="character" w:styleId="CommentReference">
    <w:name w:val="annotation reference"/>
    <w:rsid w:val="00160C54"/>
    <w:rPr>
      <w:sz w:val="16"/>
      <w:szCs w:val="16"/>
    </w:rPr>
  </w:style>
  <w:style w:type="paragraph" w:styleId="CommentText">
    <w:name w:val="annotation text"/>
    <w:basedOn w:val="Normal"/>
    <w:link w:val="CommentTextChar"/>
    <w:rsid w:val="00160C54"/>
    <w:rPr>
      <w:sz w:val="20"/>
      <w:szCs w:val="20"/>
    </w:rPr>
  </w:style>
  <w:style w:type="character" w:customStyle="1" w:styleId="CommentTextChar">
    <w:name w:val="Comment Text Char"/>
    <w:basedOn w:val="DefaultParagraphFont"/>
    <w:link w:val="CommentText"/>
    <w:rsid w:val="00160C54"/>
  </w:style>
  <w:style w:type="paragraph" w:styleId="CommentSubject">
    <w:name w:val="annotation subject"/>
    <w:basedOn w:val="CommentText"/>
    <w:next w:val="CommentText"/>
    <w:link w:val="CommentSubjectChar"/>
    <w:rsid w:val="00160C54"/>
    <w:rPr>
      <w:b/>
      <w:bCs/>
    </w:rPr>
  </w:style>
  <w:style w:type="character" w:customStyle="1" w:styleId="CommentSubjectChar">
    <w:name w:val="Comment Subject Char"/>
    <w:link w:val="CommentSubject"/>
    <w:rsid w:val="00160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63347">
      <w:bodyDiv w:val="1"/>
      <w:marLeft w:val="0"/>
      <w:marRight w:val="0"/>
      <w:marTop w:val="0"/>
      <w:marBottom w:val="0"/>
      <w:divBdr>
        <w:top w:val="none" w:sz="0" w:space="0" w:color="auto"/>
        <w:left w:val="none" w:sz="0" w:space="0" w:color="auto"/>
        <w:bottom w:val="none" w:sz="0" w:space="0" w:color="auto"/>
        <w:right w:val="none" w:sz="0" w:space="0" w:color="auto"/>
      </w:divBdr>
    </w:div>
    <w:div w:id="2140680547">
      <w:bodyDiv w:val="1"/>
      <w:marLeft w:val="0"/>
      <w:marRight w:val="0"/>
      <w:marTop w:val="0"/>
      <w:marBottom w:val="0"/>
      <w:divBdr>
        <w:top w:val="none" w:sz="0" w:space="0" w:color="auto"/>
        <w:left w:val="none" w:sz="0" w:space="0" w:color="auto"/>
        <w:bottom w:val="none" w:sz="0" w:space="0" w:color="auto"/>
        <w:right w:val="none" w:sz="0" w:space="0" w:color="auto"/>
      </w:divBdr>
      <w:divsChild>
        <w:div w:id="68163399">
          <w:marLeft w:val="60"/>
          <w:marRight w:val="60"/>
          <w:marTop w:val="60"/>
          <w:marBottom w:val="6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FHWA</dc:creator>
  <cp:keywords/>
  <cp:lastModifiedBy>Howell, Michael (FHWA)</cp:lastModifiedBy>
  <cp:revision>2</cp:revision>
  <cp:lastPrinted>2020-03-03T19:35:00Z</cp:lastPrinted>
  <dcterms:created xsi:type="dcterms:W3CDTF">2021-01-28T19:16:00Z</dcterms:created>
  <dcterms:modified xsi:type="dcterms:W3CDTF">2021-01-28T19:16:00Z</dcterms:modified>
</cp:coreProperties>
</file>