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F54" w:rsidRDefault="00C06FFD">
      <w:pPr>
        <w:jc w:val="center"/>
        <w:rPr>
          <w:b/>
          <w:bCs/>
        </w:rPr>
      </w:pPr>
      <w:r>
        <w:rPr>
          <w:b/>
          <w:bCs/>
        </w:rPr>
        <w:t xml:space="preserve">Department </w:t>
      </w:r>
      <w:r>
        <w:rPr>
          <w:b/>
          <w:bCs/>
        </w:rPr>
        <w:tab/>
        <w:t>of Transportation</w:t>
      </w:r>
    </w:p>
    <w:p w:rsidR="00E61F54" w:rsidRDefault="00C06FFD">
      <w:pPr>
        <w:jc w:val="center"/>
        <w:rPr>
          <w:b/>
          <w:bCs/>
        </w:rPr>
      </w:pPr>
      <w:r>
        <w:rPr>
          <w:b/>
          <w:bCs/>
        </w:rPr>
        <w:t>Office of the Chief Information Officer</w:t>
      </w:r>
    </w:p>
    <w:p w:rsidR="00E61F54" w:rsidRDefault="00E61F54">
      <w:pPr>
        <w:jc w:val="center"/>
        <w:rPr>
          <w:bCs/>
        </w:rPr>
      </w:pPr>
    </w:p>
    <w:p w:rsidR="00E61F54" w:rsidRDefault="00C06FFD">
      <w:pPr>
        <w:jc w:val="center"/>
        <w:rPr>
          <w:b/>
          <w:bCs/>
        </w:rPr>
      </w:pPr>
      <w:r>
        <w:rPr>
          <w:b/>
          <w:bCs/>
        </w:rPr>
        <w:t xml:space="preserve">Supporting Statement </w:t>
      </w:r>
    </w:p>
    <w:p w:rsidR="00E61F54" w:rsidRDefault="00C06FFD">
      <w:pPr>
        <w:widowControl w:val="0"/>
        <w:tabs>
          <w:tab w:val="center" w:pos="4680"/>
        </w:tabs>
        <w:jc w:val="center"/>
        <w:rPr>
          <w:b/>
          <w:color w:val="FF0000"/>
          <w:szCs w:val="24"/>
        </w:rPr>
      </w:pPr>
      <w:r>
        <w:rPr>
          <w:b/>
          <w:bCs/>
        </w:rPr>
        <w:t>“</w:t>
      </w:r>
      <w:r>
        <w:rPr>
          <w:b/>
          <w:szCs w:val="24"/>
        </w:rPr>
        <w:t>Annual Report for Gas Distribution Operators</w:t>
      </w:r>
      <w:r>
        <w:rPr>
          <w:b/>
          <w:bCs/>
        </w:rPr>
        <w:t>”</w:t>
      </w:r>
    </w:p>
    <w:p w:rsidR="00E61F54" w:rsidRDefault="00C06FFD">
      <w:pPr>
        <w:jc w:val="center"/>
        <w:rPr>
          <w:b/>
          <w:bCs/>
        </w:rPr>
      </w:pPr>
      <w:r>
        <w:rPr>
          <w:b/>
          <w:bCs/>
        </w:rPr>
        <w:t>OMB Control No. 2137-0629</w:t>
      </w:r>
    </w:p>
    <w:p w:rsidR="00E61F54" w:rsidRDefault="00C06FFD">
      <w:pPr>
        <w:autoSpaceDE w:val="0"/>
        <w:autoSpaceDN w:val="0"/>
        <w:adjustRightInd w:val="0"/>
        <w:jc w:val="center"/>
        <w:rPr>
          <w:b/>
        </w:rPr>
      </w:pPr>
      <w:r>
        <w:rPr>
          <w:b/>
        </w:rPr>
        <w:t>Docket No. PHMSA-2018-0046</w:t>
      </w:r>
    </w:p>
    <w:p w:rsidR="00E61F54" w:rsidRDefault="00C06FFD">
      <w:pPr>
        <w:autoSpaceDE w:val="0"/>
        <w:autoSpaceDN w:val="0"/>
        <w:adjustRightInd w:val="0"/>
        <w:jc w:val="center"/>
        <w:rPr>
          <w:b/>
          <w:bCs/>
        </w:rPr>
      </w:pPr>
      <w:r>
        <w:rPr>
          <w:b/>
        </w:rPr>
        <w:t>RIN 2137-AF36</w:t>
      </w:r>
    </w:p>
    <w:p w:rsidR="00E61F54" w:rsidRDefault="00E61F54">
      <w:pPr>
        <w:jc w:val="center"/>
        <w:rPr>
          <w:bCs/>
        </w:rPr>
      </w:pPr>
    </w:p>
    <w:p w:rsidR="00E61F54" w:rsidRDefault="00C06FFD">
      <w:pPr>
        <w:rPr>
          <w:b/>
          <w:bCs/>
          <w:u w:val="single"/>
        </w:rPr>
      </w:pPr>
      <w:r>
        <w:rPr>
          <w:b/>
          <w:bCs/>
          <w:u w:val="single"/>
        </w:rPr>
        <w:t>INTRODUCTION</w:t>
      </w:r>
    </w:p>
    <w:p w:rsidR="00E61F54" w:rsidRDefault="00E61F54"/>
    <w:p w:rsidR="00E61F54" w:rsidRDefault="00C06FFD">
      <w:r>
        <w:t xml:space="preserve">The Pipeline and Hazardous Materials Safety Administration (PHMSA) requests approval from the Office of Management and Budget (OMB) for </w:t>
      </w:r>
      <w:r w:rsidR="0017403A">
        <w:t>a revision</w:t>
      </w:r>
      <w:r>
        <w:t xml:space="preserve"> of a currently approved collection entitled </w:t>
      </w:r>
      <w:r>
        <w:rPr>
          <w:bCs/>
        </w:rPr>
        <w:t xml:space="preserve">“Annual Report for Gas Distribution Operators” (OMB Control No. 2137-0629).  </w:t>
      </w:r>
      <w:r>
        <w:t xml:space="preserve">The current expiration date for this information collection is October 31, 2021.  </w:t>
      </w:r>
    </w:p>
    <w:p w:rsidR="00E61F54" w:rsidRDefault="00E61F54"/>
    <w:p w:rsidR="00E61F54" w:rsidRDefault="00C06FFD">
      <w:pPr>
        <w:widowControl w:val="0"/>
        <w:autoSpaceDE w:val="0"/>
        <w:autoSpaceDN w:val="0"/>
        <w:adjustRightInd w:val="0"/>
      </w:pPr>
      <w:r>
        <w:t xml:space="preserve">The </w:t>
      </w:r>
      <w:r w:rsidR="0017403A">
        <w:t xml:space="preserve">revision </w:t>
      </w:r>
      <w:bookmarkStart w:name="_GoBack" w:id="0"/>
      <w:bookmarkEnd w:id="0"/>
      <w:r>
        <w:t>of this information collection is necessary due to the following PHMSA action that will affect the current collection of information:</w:t>
      </w:r>
    </w:p>
    <w:p w:rsidR="00E61F54" w:rsidRDefault="00E61F54">
      <w:pPr>
        <w:widowControl w:val="0"/>
        <w:autoSpaceDE w:val="0"/>
        <w:autoSpaceDN w:val="0"/>
        <w:adjustRightInd w:val="0"/>
      </w:pPr>
    </w:p>
    <w:p w:rsidR="00E61F54" w:rsidRDefault="00C06FFD">
      <w:pPr>
        <w:autoSpaceDE w:val="0"/>
        <w:autoSpaceDN w:val="0"/>
        <w:rPr>
          <w:b/>
          <w:bCs/>
        </w:rPr>
      </w:pPr>
      <w:r>
        <w:rPr>
          <w:b/>
        </w:rPr>
        <w:t xml:space="preserve">Docket No. PHMSA-2018-0046 - </w:t>
      </w:r>
      <w:r>
        <w:rPr>
          <w:b/>
          <w:bCs/>
        </w:rPr>
        <w:t>Pipeline Safety:</w:t>
      </w:r>
      <w:r>
        <w:rPr>
          <w:rFonts w:ascii="Segoe UI" w:hAnsi="Segoe UI" w:cs="Segoe UI"/>
          <w:b/>
          <w:bCs/>
        </w:rPr>
        <w:t>  </w:t>
      </w:r>
      <w:r>
        <w:rPr>
          <w:b/>
          <w:bCs/>
        </w:rPr>
        <w:t>Gas Pipeline Regulatory Reform</w:t>
      </w:r>
    </w:p>
    <w:p w:rsidR="00E61F54" w:rsidRDefault="00E61F54">
      <w:pPr>
        <w:widowControl w:val="0"/>
        <w:tabs>
          <w:tab w:val="center" w:pos="4680"/>
        </w:tabs>
        <w:rPr>
          <w:b/>
          <w:color w:val="FF0000"/>
          <w:szCs w:val="24"/>
        </w:rPr>
      </w:pPr>
    </w:p>
    <w:p w:rsidR="00E61F54" w:rsidRDefault="00C06FFD">
      <w:pPr>
        <w:numPr>
          <w:ilvl w:val="0"/>
          <w:numId w:val="24"/>
        </w:numPr>
        <w:rPr>
          <w:szCs w:val="24"/>
        </w:rPr>
      </w:pPr>
      <w:r>
        <w:rPr>
          <w:szCs w:val="24"/>
        </w:rPr>
        <w:t>Revises form PHMSA F 7100.1</w:t>
      </w:r>
      <w:r>
        <w:rPr>
          <w:szCs w:val="24"/>
        </w:rPr>
        <w:noBreakHyphen/>
        <w:t xml:space="preserve">1 Annual Report—Gas Distribution System to collect annual number of mechanical joint failures.  </w:t>
      </w:r>
    </w:p>
    <w:p w:rsidR="00E61F54" w:rsidRDefault="00C06FFD">
      <w:pPr>
        <w:numPr>
          <w:ilvl w:val="0"/>
          <w:numId w:val="24"/>
        </w:numPr>
        <w:rPr>
          <w:szCs w:val="24"/>
        </w:rPr>
      </w:pPr>
      <w:r>
        <w:rPr>
          <w:szCs w:val="24"/>
        </w:rPr>
        <w:t xml:space="preserve">Adds </w:t>
      </w:r>
      <w:r w:rsidR="00AC3796">
        <w:rPr>
          <w:szCs w:val="24"/>
        </w:rPr>
        <w:t>723</w:t>
      </w:r>
      <w:r>
        <w:rPr>
          <w:szCs w:val="24"/>
        </w:rPr>
        <w:t xml:space="preserve"> burden hours to this information collection for </w:t>
      </w:r>
      <w:proofErr w:type="spellStart"/>
      <w:r>
        <w:rPr>
          <w:szCs w:val="24"/>
        </w:rPr>
        <w:t>resporting</w:t>
      </w:r>
      <w:proofErr w:type="spellEnd"/>
      <w:r>
        <w:rPr>
          <w:szCs w:val="24"/>
        </w:rPr>
        <w:t xml:space="preserve"> activities.</w:t>
      </w:r>
    </w:p>
    <w:p w:rsidR="00E61F54" w:rsidRDefault="00C06FFD">
      <w:pPr>
        <w:rPr>
          <w:szCs w:val="24"/>
        </w:rPr>
      </w:pPr>
      <w:r>
        <w:t xml:space="preserve"> </w:t>
      </w:r>
    </w:p>
    <w:p w:rsidR="00E61F54" w:rsidRDefault="00C06FFD">
      <w:pPr>
        <w:rPr>
          <w:b/>
          <w:szCs w:val="24"/>
        </w:rPr>
      </w:pPr>
      <w:r>
        <w:rPr>
          <w:b/>
          <w:szCs w:val="24"/>
        </w:rPr>
        <w:t>Part A. Justification</w:t>
      </w:r>
    </w:p>
    <w:p w:rsidR="00E61F54" w:rsidRDefault="00E61F54">
      <w:pPr>
        <w:jc w:val="center"/>
        <w:rPr>
          <w:b/>
          <w:szCs w:val="24"/>
        </w:rPr>
      </w:pPr>
    </w:p>
    <w:p w:rsidR="00E61F54" w:rsidRDefault="00C06FFD">
      <w:pPr>
        <w:numPr>
          <w:ilvl w:val="0"/>
          <w:numId w:val="16"/>
        </w:numPr>
        <w:tabs>
          <w:tab w:val="clear" w:pos="720"/>
          <w:tab w:val="num" w:pos="0"/>
          <w:tab w:val="left" w:pos="540"/>
        </w:tabs>
        <w:ind w:left="0" w:firstLine="0"/>
        <w:rPr>
          <w:color w:val="FF0000"/>
          <w:szCs w:val="24"/>
        </w:rPr>
      </w:pPr>
      <w:r>
        <w:rPr>
          <w:b/>
          <w:szCs w:val="24"/>
          <w:u w:val="single"/>
        </w:rPr>
        <w:t>Circumstances that make the collection of information necessary</w:t>
      </w:r>
      <w:r>
        <w:rPr>
          <w:b/>
          <w:szCs w:val="24"/>
        </w:rPr>
        <w:t xml:space="preserve">.  </w:t>
      </w:r>
    </w:p>
    <w:p w:rsidR="00E61F54" w:rsidRDefault="00E61F54">
      <w:pPr>
        <w:tabs>
          <w:tab w:val="left" w:pos="540"/>
        </w:tabs>
        <w:rPr>
          <w:color w:val="FF0000"/>
          <w:szCs w:val="24"/>
        </w:rPr>
      </w:pPr>
    </w:p>
    <w:p w:rsidR="00E61F54" w:rsidRDefault="00C06FFD">
      <w:r>
        <w:rPr>
          <w:szCs w:val="24"/>
        </w:rPr>
        <w:t>A</w:t>
      </w:r>
      <w:r>
        <w:t xml:space="preserve">nnual reports inform PHMSA and the public about the extent of gas distribution pipeline systems and leaks from these systems.  The National Transportation Safety Board (NTSB), the U.S. Department of Transportation’s Office of the Inspector General, and the General Accounting Office all urged PHMSA to collect this information.  The information is an essential part of PHMSA’s overall effort to characterize the extent and safety record of natural gas distribution pipeline systems.  </w:t>
      </w:r>
    </w:p>
    <w:p w:rsidR="00E61F54" w:rsidRDefault="00E61F54"/>
    <w:p w:rsidR="00E61F54" w:rsidRDefault="00C06FFD">
      <w:pPr>
        <w:rPr>
          <w:szCs w:val="24"/>
        </w:rPr>
      </w:pPr>
      <w:r>
        <w:t xml:space="preserve">The requirements for annual reporting are in 49 CFR Part 191.   The PHMSA delegation of authority is found in 49 CFR 1.97 which allows for PHMSA to exercise the authority vested in the Secretary in under Chapter 601 of title 49, U.S.C.  The specific legislative authority cites for the requirements in 49 CFR Part 191 include49 U.S.C. 60102, 60103, 60104, 60108, 60117, 60118, 60124 and 60139.  </w:t>
      </w:r>
    </w:p>
    <w:p w:rsidR="00E61F54" w:rsidRDefault="00E61F54">
      <w:pPr>
        <w:rPr>
          <w:szCs w:val="24"/>
        </w:rPr>
      </w:pPr>
    </w:p>
    <w:p w:rsidR="00E61F54" w:rsidRDefault="00C06FFD">
      <w:r>
        <w:rPr>
          <w:szCs w:val="24"/>
        </w:rPr>
        <w:t xml:space="preserve">This collection supports the DOT strategic safety mission by providing metrics that enable PHMSA to be aware </w:t>
      </w:r>
      <w:proofErr w:type="gramStart"/>
      <w:r>
        <w:rPr>
          <w:szCs w:val="24"/>
        </w:rPr>
        <w:t>of  and</w:t>
      </w:r>
      <w:proofErr w:type="gramEnd"/>
      <w:r>
        <w:rPr>
          <w:szCs w:val="24"/>
        </w:rPr>
        <w:t xml:space="preserve"> mitigate inherent risks in the operation of gas distribution pipelines.</w:t>
      </w:r>
    </w:p>
    <w:p w:rsidR="00E61F54" w:rsidRDefault="00E61F54">
      <w:pPr>
        <w:widowControl w:val="0"/>
        <w:tabs>
          <w:tab w:val="left" w:pos="540"/>
        </w:tabs>
        <w:ind w:left="1440"/>
        <w:rPr>
          <w:b/>
          <w:szCs w:val="24"/>
        </w:rPr>
      </w:pPr>
    </w:p>
    <w:p w:rsidR="00E61F54" w:rsidRDefault="00E61F54">
      <w:pPr>
        <w:widowControl w:val="0"/>
        <w:tabs>
          <w:tab w:val="left" w:pos="540"/>
        </w:tabs>
        <w:ind w:left="1440"/>
        <w:rPr>
          <w:b/>
          <w:szCs w:val="24"/>
        </w:rPr>
      </w:pPr>
    </w:p>
    <w:p w:rsidR="00E61F54" w:rsidRDefault="00C06FFD">
      <w:pPr>
        <w:widowControl w:val="0"/>
        <w:tabs>
          <w:tab w:val="left" w:pos="540"/>
        </w:tabs>
        <w:rPr>
          <w:b/>
          <w:szCs w:val="24"/>
        </w:rPr>
      </w:pPr>
      <w:r>
        <w:rPr>
          <w:b/>
          <w:szCs w:val="24"/>
        </w:rPr>
        <w:t xml:space="preserve">2. </w:t>
      </w:r>
      <w:r>
        <w:rPr>
          <w:b/>
          <w:szCs w:val="24"/>
        </w:rPr>
        <w:tab/>
      </w:r>
      <w:r>
        <w:rPr>
          <w:b/>
          <w:szCs w:val="24"/>
          <w:u w:val="single"/>
        </w:rPr>
        <w:t>How, by whom, and for what purpose the information is to be used</w:t>
      </w:r>
      <w:r>
        <w:rPr>
          <w:b/>
          <w:szCs w:val="24"/>
        </w:rPr>
        <w:t>.</w:t>
      </w:r>
      <w:r>
        <w:rPr>
          <w:szCs w:val="24"/>
        </w:rPr>
        <w:t xml:space="preserve">  </w:t>
      </w:r>
    </w:p>
    <w:p w:rsidR="00E61F54" w:rsidRDefault="00E61F54">
      <w:pPr>
        <w:widowControl w:val="0"/>
        <w:tabs>
          <w:tab w:val="left" w:pos="540"/>
        </w:tabs>
      </w:pPr>
    </w:p>
    <w:p w:rsidR="00E61F54" w:rsidRDefault="00C06FFD">
      <w:pPr>
        <w:widowControl w:val="0"/>
        <w:tabs>
          <w:tab w:val="left" w:pos="540"/>
        </w:tabs>
      </w:pPr>
      <w:r>
        <w:t xml:space="preserve">PHMSA uses this information collection to gather annual report data from gas distribution pipeline operators.    The annual report form collects data about the pipe material, size, and age.  </w:t>
      </w:r>
      <w:r>
        <w:lastRenderedPageBreak/>
        <w:t xml:space="preserve">The form also collects data on leaks from these systems as well as excavation damages.  PHMSA uses the information to track the extent of gas distribution systems and normalize incident and leak rates.  </w:t>
      </w:r>
    </w:p>
    <w:p w:rsidR="00E61F54" w:rsidRDefault="00C06FFD">
      <w:pPr>
        <w:widowControl w:val="0"/>
        <w:tabs>
          <w:tab w:val="left" w:pos="540"/>
        </w:tabs>
        <w:rPr>
          <w:b/>
          <w:szCs w:val="24"/>
        </w:rPr>
      </w:pPr>
      <w:r>
        <w:rPr>
          <w:b/>
          <w:szCs w:val="24"/>
        </w:rPr>
        <w:t xml:space="preserve"> </w:t>
      </w:r>
    </w:p>
    <w:p w:rsidR="00E61F54" w:rsidRDefault="00C06FFD">
      <w:pPr>
        <w:widowControl w:val="0"/>
        <w:tabs>
          <w:tab w:val="left" w:pos="540"/>
        </w:tabs>
        <w:rPr>
          <w:b/>
          <w:szCs w:val="24"/>
        </w:rPr>
      </w:pPr>
      <w:r>
        <w:rPr>
          <w:b/>
          <w:szCs w:val="24"/>
        </w:rPr>
        <w:t>3.</w:t>
      </w:r>
      <w:r>
        <w:rPr>
          <w:b/>
          <w:szCs w:val="24"/>
        </w:rPr>
        <w:tab/>
      </w:r>
      <w:r>
        <w:rPr>
          <w:b/>
          <w:szCs w:val="24"/>
          <w:u w:val="single"/>
        </w:rPr>
        <w:t>Extent of automated information collection</w:t>
      </w:r>
      <w:r>
        <w:rPr>
          <w:b/>
          <w:szCs w:val="24"/>
        </w:rPr>
        <w:t xml:space="preserve">.  </w:t>
      </w:r>
    </w:p>
    <w:p w:rsidR="00E61F54" w:rsidRDefault="00E61F54"/>
    <w:p w:rsidR="00E61F54" w:rsidRDefault="00C06FFD">
      <w:r>
        <w:t xml:space="preserve">PHMSA requires operators to submit all required reports electronically with an exception for those operators to whom electronic submissions would pose an undue burden and hardship.  Pipeline operators are encouraged to file the annual reports on-line at www.opsweb.phmsa.dot.gov.  </w:t>
      </w:r>
    </w:p>
    <w:p w:rsidR="00E61F54" w:rsidRDefault="00E61F54"/>
    <w:p w:rsidR="00E61F54" w:rsidRDefault="00E61F54"/>
    <w:p w:rsidR="00E61F54" w:rsidRDefault="00E61F54">
      <w:pPr>
        <w:widowControl w:val="0"/>
        <w:tabs>
          <w:tab w:val="left" w:pos="540"/>
        </w:tabs>
        <w:ind w:left="720"/>
        <w:rPr>
          <w:b/>
          <w:szCs w:val="24"/>
        </w:rPr>
      </w:pPr>
    </w:p>
    <w:p w:rsidR="00E61F54" w:rsidRDefault="00C06FFD">
      <w:pPr>
        <w:widowControl w:val="0"/>
        <w:numPr>
          <w:ilvl w:val="0"/>
          <w:numId w:val="11"/>
        </w:numPr>
        <w:tabs>
          <w:tab w:val="clear" w:pos="720"/>
          <w:tab w:val="num" w:pos="-90"/>
          <w:tab w:val="left" w:pos="0"/>
          <w:tab w:val="left" w:pos="540"/>
        </w:tabs>
        <w:ind w:left="-90" w:firstLine="0"/>
        <w:rPr>
          <w:b/>
          <w:szCs w:val="24"/>
          <w:u w:val="single"/>
        </w:rPr>
      </w:pPr>
      <w:r>
        <w:rPr>
          <w:b/>
          <w:szCs w:val="24"/>
          <w:u w:val="single"/>
        </w:rPr>
        <w:t>Describe efforts to identify duplication.</w:t>
      </w:r>
      <w:r>
        <w:rPr>
          <w:b/>
          <w:szCs w:val="24"/>
        </w:rPr>
        <w:t xml:space="preserve">   </w:t>
      </w:r>
    </w:p>
    <w:p w:rsidR="00E61F54" w:rsidRDefault="00E61F54"/>
    <w:p w:rsidR="00E61F54" w:rsidRDefault="00C06FFD">
      <w:r>
        <w:t>PHMSA is the only federal agency that collects information related to miles of mains, number of services, leaks, and excavation damages for gas distribution pipeline systems.  No similar information is requested by the government or industry.</w:t>
      </w:r>
    </w:p>
    <w:p w:rsidR="00E61F54" w:rsidRDefault="00E61F54">
      <w:pPr>
        <w:widowControl w:val="0"/>
        <w:tabs>
          <w:tab w:val="left" w:pos="0"/>
          <w:tab w:val="left" w:pos="540"/>
        </w:tabs>
        <w:ind w:left="-90"/>
        <w:rPr>
          <w:b/>
          <w:szCs w:val="24"/>
        </w:rPr>
      </w:pPr>
    </w:p>
    <w:p w:rsidR="00E61F54" w:rsidRDefault="00C06FFD">
      <w:pPr>
        <w:widowControl w:val="0"/>
        <w:tabs>
          <w:tab w:val="left" w:pos="540"/>
        </w:tabs>
        <w:ind w:left="720"/>
        <w:rPr>
          <w:szCs w:val="24"/>
        </w:rPr>
      </w:pPr>
      <w:r>
        <w:rPr>
          <w:szCs w:val="24"/>
        </w:rPr>
        <w:t xml:space="preserve">                      </w:t>
      </w:r>
    </w:p>
    <w:p w:rsidR="00E61F54" w:rsidRDefault="00C06FFD">
      <w:pPr>
        <w:widowControl w:val="0"/>
        <w:tabs>
          <w:tab w:val="left" w:pos="540"/>
        </w:tabs>
        <w:rPr>
          <w:b/>
          <w:szCs w:val="24"/>
        </w:rPr>
      </w:pPr>
      <w:r>
        <w:rPr>
          <w:b/>
          <w:szCs w:val="24"/>
        </w:rPr>
        <w:t>5.</w:t>
      </w:r>
      <w:r>
        <w:rPr>
          <w:b/>
          <w:szCs w:val="24"/>
        </w:rPr>
        <w:tab/>
      </w:r>
      <w:r>
        <w:rPr>
          <w:b/>
          <w:szCs w:val="24"/>
          <w:u w:val="single"/>
        </w:rPr>
        <w:t>Efforts to minimize the burden on small businesses</w:t>
      </w:r>
    </w:p>
    <w:p w:rsidR="00E61F54" w:rsidRDefault="00E61F54">
      <w:pPr>
        <w:widowControl w:val="0"/>
        <w:tabs>
          <w:tab w:val="left" w:pos="540"/>
        </w:tabs>
      </w:pPr>
    </w:p>
    <w:p w:rsidR="00E61F54" w:rsidRDefault="00C06FFD">
      <w:pPr>
        <w:widowControl w:val="0"/>
        <w:tabs>
          <w:tab w:val="left" w:pos="540"/>
        </w:tabs>
        <w:rPr>
          <w:b/>
          <w:szCs w:val="24"/>
        </w:rPr>
      </w:pPr>
      <w:r>
        <w:t>For PHMSA to be able to effectively carry out its legislative mandate and monitor natural gas pipeline safety, it is essential that both large and small operators of pipelines provide annual reports.</w:t>
      </w:r>
    </w:p>
    <w:p w:rsidR="00E61F54" w:rsidRDefault="00E61F54">
      <w:pPr>
        <w:widowControl w:val="0"/>
        <w:tabs>
          <w:tab w:val="left" w:pos="540"/>
        </w:tabs>
        <w:rPr>
          <w:b/>
          <w:szCs w:val="24"/>
        </w:rPr>
      </w:pPr>
    </w:p>
    <w:p w:rsidR="00E61F54" w:rsidRDefault="00E61F54">
      <w:pPr>
        <w:widowControl w:val="0"/>
        <w:tabs>
          <w:tab w:val="left" w:pos="0"/>
          <w:tab w:val="left" w:pos="540"/>
        </w:tabs>
        <w:ind w:left="-90"/>
        <w:rPr>
          <w:szCs w:val="24"/>
        </w:rPr>
      </w:pPr>
    </w:p>
    <w:p w:rsidR="00E61F54" w:rsidRDefault="00C06FFD">
      <w:pPr>
        <w:widowControl w:val="0"/>
        <w:tabs>
          <w:tab w:val="left" w:pos="540"/>
        </w:tabs>
        <w:rPr>
          <w:szCs w:val="24"/>
        </w:rPr>
      </w:pPr>
      <w:r>
        <w:rPr>
          <w:b/>
          <w:szCs w:val="24"/>
        </w:rPr>
        <w:t>6.</w:t>
      </w:r>
      <w:r>
        <w:rPr>
          <w:b/>
          <w:szCs w:val="24"/>
        </w:rPr>
        <w:tab/>
      </w:r>
      <w:r>
        <w:rPr>
          <w:b/>
          <w:szCs w:val="24"/>
          <w:u w:val="single"/>
        </w:rPr>
        <w:t>Impact of less frequent collection of information</w:t>
      </w:r>
      <w:r>
        <w:rPr>
          <w:szCs w:val="24"/>
        </w:rPr>
        <w:t xml:space="preserve">.  </w:t>
      </w:r>
    </w:p>
    <w:p w:rsidR="00E61F54" w:rsidRDefault="00E61F54">
      <w:pPr>
        <w:widowControl w:val="0"/>
        <w:tabs>
          <w:tab w:val="left" w:pos="540"/>
        </w:tabs>
        <w:rPr>
          <w:b/>
          <w:szCs w:val="24"/>
        </w:rPr>
      </w:pPr>
    </w:p>
    <w:p w:rsidR="00E61F54" w:rsidRDefault="00C06FFD">
      <w:r>
        <w:t xml:space="preserve">The biennial report to Congress mandated by 49 U.S.C. 60124(b) would not have current information without the annual reports.  Less frequent information collection could compromise the safety and economic viability of the </w:t>
      </w:r>
      <w:smartTag w:uri="urn:schemas-microsoft-com:office:smarttags" w:element="place">
        <w:smartTag w:uri="urn:schemas-microsoft-com:office:smarttags" w:element="country-region">
          <w:r>
            <w:t>U.S.</w:t>
          </w:r>
        </w:smartTag>
      </w:smartTag>
      <w:r>
        <w:t xml:space="preserve"> pipeline system.    </w:t>
      </w:r>
    </w:p>
    <w:p w:rsidR="00E61F54" w:rsidRDefault="00E61F54">
      <w:pPr>
        <w:widowControl w:val="0"/>
        <w:tabs>
          <w:tab w:val="left" w:pos="540"/>
        </w:tabs>
        <w:rPr>
          <w:szCs w:val="24"/>
        </w:rPr>
      </w:pPr>
    </w:p>
    <w:p w:rsidR="00E61F54" w:rsidRDefault="00C06FFD">
      <w:pPr>
        <w:widowControl w:val="0"/>
        <w:tabs>
          <w:tab w:val="left" w:pos="540"/>
        </w:tabs>
        <w:rPr>
          <w:b/>
          <w:szCs w:val="24"/>
        </w:rPr>
      </w:pPr>
      <w:r>
        <w:rPr>
          <w:b/>
          <w:szCs w:val="24"/>
        </w:rPr>
        <w:t>7.</w:t>
      </w:r>
      <w:r>
        <w:rPr>
          <w:b/>
          <w:szCs w:val="24"/>
        </w:rPr>
        <w:tab/>
      </w:r>
      <w:r>
        <w:rPr>
          <w:b/>
          <w:szCs w:val="24"/>
          <w:u w:val="single"/>
        </w:rPr>
        <w:t>Special Circumstances</w:t>
      </w:r>
      <w:r>
        <w:rPr>
          <w:b/>
          <w:szCs w:val="24"/>
        </w:rPr>
        <w:t xml:space="preserve">.  </w:t>
      </w:r>
    </w:p>
    <w:p w:rsidR="00E61F54" w:rsidRDefault="00E61F54">
      <w:pPr>
        <w:widowControl w:val="0"/>
        <w:tabs>
          <w:tab w:val="left" w:pos="540"/>
        </w:tabs>
        <w:rPr>
          <w:szCs w:val="24"/>
        </w:rPr>
      </w:pPr>
    </w:p>
    <w:p w:rsidR="00E61F54" w:rsidRDefault="00C06FFD">
      <w:r>
        <w:t>There are no special circumstances within this request.</w:t>
      </w:r>
    </w:p>
    <w:p w:rsidR="00E61F54" w:rsidRDefault="00C06FFD">
      <w:pPr>
        <w:widowControl w:val="0"/>
        <w:tabs>
          <w:tab w:val="left" w:pos="540"/>
        </w:tabs>
        <w:rPr>
          <w:szCs w:val="24"/>
        </w:rPr>
      </w:pPr>
      <w:r>
        <w:rPr>
          <w:szCs w:val="24"/>
        </w:rPr>
        <w:t xml:space="preserve"> </w:t>
      </w:r>
    </w:p>
    <w:p w:rsidR="00E61F54" w:rsidRDefault="00C06FFD">
      <w:pPr>
        <w:widowControl w:val="0"/>
        <w:tabs>
          <w:tab w:val="left" w:pos="540"/>
        </w:tabs>
        <w:rPr>
          <w:b/>
          <w:szCs w:val="24"/>
        </w:rPr>
      </w:pPr>
      <w:r>
        <w:rPr>
          <w:b/>
          <w:szCs w:val="24"/>
        </w:rPr>
        <w:t>8.</w:t>
      </w:r>
      <w:r>
        <w:rPr>
          <w:b/>
          <w:szCs w:val="24"/>
        </w:rPr>
        <w:tab/>
      </w:r>
      <w:r>
        <w:rPr>
          <w:b/>
          <w:szCs w:val="24"/>
          <w:u w:val="single"/>
        </w:rPr>
        <w:t>Compliance with 5 CFR 1320.8(d)</w:t>
      </w:r>
      <w:r>
        <w:rPr>
          <w:b/>
          <w:szCs w:val="24"/>
        </w:rPr>
        <w:t>.</w:t>
      </w:r>
      <w:r>
        <w:rPr>
          <w:szCs w:val="24"/>
        </w:rPr>
        <w:t xml:space="preserve">  </w:t>
      </w:r>
    </w:p>
    <w:p w:rsidR="00E61F54" w:rsidRDefault="00E61F54">
      <w:pPr>
        <w:widowControl w:val="0"/>
        <w:tabs>
          <w:tab w:val="left" w:pos="540"/>
        </w:tabs>
        <w:rPr>
          <w:szCs w:val="24"/>
        </w:rPr>
      </w:pPr>
    </w:p>
    <w:p w:rsidR="00E61F54" w:rsidRDefault="00C06FFD">
      <w:pPr>
        <w:jc w:val="both"/>
        <w:rPr>
          <w:rFonts w:cstheme="minorHAnsi"/>
        </w:rPr>
      </w:pPr>
      <w:r>
        <w:t xml:space="preserve">PHMSA published a Notice of Proposed Rulemaking [85 FR 35240] on June 9, 2020.   During the comment period, </w:t>
      </w:r>
      <w:proofErr w:type="spellStart"/>
      <w:r>
        <w:t>several</w:t>
      </w:r>
      <w:r w:rsidR="004C7568">
        <w:rPr>
          <w:rFonts w:cstheme="minorHAnsi"/>
        </w:rPr>
        <w:t>commenters</w:t>
      </w:r>
      <w:proofErr w:type="spellEnd"/>
      <w:r w:rsidR="004C7568">
        <w:rPr>
          <w:rFonts w:cstheme="minorHAnsi"/>
        </w:rPr>
        <w:t xml:space="preserve"> expressed concerns regarding PHMSA’s proposal to modify the Gas Distribution Annual Report (DOT Form PHMSA F 7100.1-1) to collect data on mechanical joint failures. A few commenters stated that modifications should not be made to Form </w:t>
      </w:r>
      <w:r w:rsidR="004C7568">
        <w:rPr>
          <w:rFonts w:cstheme="minorHAnsi"/>
        </w:rPr>
        <w:lastRenderedPageBreak/>
        <w:t>F 7100.1, noting that since no value was derived from independent reporting, it is reasonable to conclude that no new value will be created through tracking and reporting on the Form F 7100.1</w:t>
      </w:r>
    </w:p>
    <w:p w:rsidR="00C06FFD" w:rsidRDefault="00C06FFD">
      <w:pPr>
        <w:jc w:val="both"/>
        <w:rPr>
          <w:rFonts w:cstheme="minorHAnsi"/>
        </w:rPr>
      </w:pPr>
    </w:p>
    <w:p w:rsidR="00C06FFD" w:rsidP="00C06FFD" w:rsidRDefault="00C06FFD">
      <w:pPr>
        <w:rPr>
          <w:rFonts w:cstheme="minorHAnsi"/>
        </w:rPr>
      </w:pPr>
      <w:r>
        <w:rPr>
          <w:rFonts w:cstheme="minorHAnsi"/>
        </w:rPr>
        <w:t xml:space="preserve">NORMAC noted that modifying the Gas Distribution Annual Report could lead the user to jump to the conclusion that in any leak involving a mechanical joint, the mechanical fitting is “faulty”; when in reality the leak is caused by “Incorrect Operation”. </w:t>
      </w:r>
    </w:p>
    <w:p w:rsidR="00C06FFD" w:rsidRDefault="00C06FFD">
      <w:pPr>
        <w:jc w:val="both"/>
      </w:pPr>
    </w:p>
    <w:p w:rsidR="00C06FFD" w:rsidRDefault="00C06FFD">
      <w:pPr>
        <w:jc w:val="both"/>
      </w:pPr>
      <w:r>
        <w:t xml:space="preserve">PHMSA has addressed these and all other comments regarding the reporting of mechanical joint failures on the Gas Distribution Annual Report in the preamble section of the Final Rule. </w:t>
      </w:r>
    </w:p>
    <w:p w:rsidR="00E61F54" w:rsidRDefault="00E61F54">
      <w:pPr>
        <w:jc w:val="both"/>
      </w:pPr>
    </w:p>
    <w:p w:rsidR="00E61F54" w:rsidRDefault="00C06FFD">
      <w:pPr>
        <w:widowControl w:val="0"/>
        <w:numPr>
          <w:ilvl w:val="0"/>
          <w:numId w:val="9"/>
        </w:numPr>
        <w:tabs>
          <w:tab w:val="clear" w:pos="720"/>
          <w:tab w:val="num" w:pos="90"/>
          <w:tab w:val="left" w:pos="540"/>
        </w:tabs>
        <w:ind w:left="0" w:firstLine="0"/>
        <w:rPr>
          <w:b/>
          <w:szCs w:val="24"/>
        </w:rPr>
      </w:pPr>
      <w:r>
        <w:rPr>
          <w:b/>
          <w:szCs w:val="24"/>
          <w:u w:val="single"/>
        </w:rPr>
        <w:t>Payment or gifts to respondents.</w:t>
      </w:r>
      <w:r>
        <w:rPr>
          <w:b/>
          <w:szCs w:val="24"/>
        </w:rPr>
        <w:t xml:space="preserve">   </w:t>
      </w:r>
    </w:p>
    <w:p w:rsidR="00E61F54" w:rsidRDefault="00E61F54">
      <w:pPr>
        <w:widowControl w:val="0"/>
        <w:tabs>
          <w:tab w:val="left" w:pos="540"/>
        </w:tabs>
        <w:ind w:left="720"/>
        <w:rPr>
          <w:szCs w:val="24"/>
        </w:rPr>
      </w:pPr>
    </w:p>
    <w:p w:rsidR="00E61F54" w:rsidRDefault="00C06FFD">
      <w:pPr>
        <w:jc w:val="both"/>
      </w:pPr>
      <w:r>
        <w:t>There is no payment or gift provided to respondents associated with this collection of information.</w:t>
      </w:r>
    </w:p>
    <w:p w:rsidR="00E61F54" w:rsidRDefault="00E61F54">
      <w:pPr>
        <w:widowControl w:val="0"/>
        <w:tabs>
          <w:tab w:val="left" w:pos="540"/>
        </w:tabs>
        <w:rPr>
          <w:szCs w:val="24"/>
        </w:rPr>
      </w:pPr>
    </w:p>
    <w:p w:rsidR="00E61F54" w:rsidRDefault="00C06FFD">
      <w:pPr>
        <w:widowControl w:val="0"/>
        <w:tabs>
          <w:tab w:val="left" w:pos="540"/>
        </w:tabs>
        <w:rPr>
          <w:b/>
          <w:szCs w:val="24"/>
        </w:rPr>
      </w:pPr>
      <w:r>
        <w:rPr>
          <w:b/>
          <w:szCs w:val="24"/>
        </w:rPr>
        <w:t>10.</w:t>
      </w:r>
      <w:r>
        <w:rPr>
          <w:b/>
          <w:szCs w:val="24"/>
        </w:rPr>
        <w:tab/>
      </w:r>
      <w:r>
        <w:rPr>
          <w:b/>
          <w:szCs w:val="24"/>
          <w:u w:val="single"/>
        </w:rPr>
        <w:t>Assurance of confidentiality</w:t>
      </w:r>
      <w:r>
        <w:rPr>
          <w:b/>
          <w:szCs w:val="24"/>
        </w:rPr>
        <w:t xml:space="preserve">.  </w:t>
      </w:r>
    </w:p>
    <w:p w:rsidR="00E61F54" w:rsidRDefault="00E61F54">
      <w:pPr>
        <w:widowControl w:val="0"/>
        <w:tabs>
          <w:tab w:val="left" w:pos="540"/>
        </w:tabs>
        <w:rPr>
          <w:b/>
          <w:szCs w:val="24"/>
        </w:rPr>
      </w:pPr>
    </w:p>
    <w:p w:rsidR="00E61F54" w:rsidRDefault="00C06FFD">
      <w:pPr>
        <w:widowControl w:val="0"/>
        <w:tabs>
          <w:tab w:val="left" w:pos="540"/>
        </w:tabs>
        <w:rPr>
          <w:bCs/>
        </w:rPr>
      </w:pPr>
      <w:r>
        <w:rPr>
          <w:bCs/>
        </w:rPr>
        <w:t>PHMSA does not have the authority to assure confidentiality.</w:t>
      </w:r>
    </w:p>
    <w:p w:rsidR="00E61F54" w:rsidRDefault="00E61F54">
      <w:pPr>
        <w:widowControl w:val="0"/>
        <w:tabs>
          <w:tab w:val="left" w:pos="540"/>
        </w:tabs>
        <w:rPr>
          <w:b/>
          <w:szCs w:val="24"/>
        </w:rPr>
      </w:pPr>
    </w:p>
    <w:p w:rsidR="00E61F54" w:rsidRDefault="00C06FFD">
      <w:pPr>
        <w:widowControl w:val="0"/>
        <w:tabs>
          <w:tab w:val="left" w:pos="540"/>
        </w:tabs>
        <w:rPr>
          <w:b/>
          <w:szCs w:val="24"/>
        </w:rPr>
      </w:pPr>
      <w:r>
        <w:rPr>
          <w:b/>
          <w:szCs w:val="24"/>
        </w:rPr>
        <w:t>11.</w:t>
      </w:r>
      <w:r>
        <w:rPr>
          <w:b/>
          <w:szCs w:val="24"/>
        </w:rPr>
        <w:tab/>
      </w:r>
      <w:r>
        <w:rPr>
          <w:b/>
          <w:szCs w:val="24"/>
          <w:u w:val="single"/>
        </w:rPr>
        <w:t>Justification for collection of sensitive information</w:t>
      </w:r>
      <w:r>
        <w:rPr>
          <w:b/>
          <w:szCs w:val="24"/>
        </w:rPr>
        <w:t xml:space="preserve">.  </w:t>
      </w:r>
    </w:p>
    <w:p w:rsidR="00E61F54" w:rsidRDefault="00E61F54">
      <w:pPr>
        <w:widowControl w:val="0"/>
        <w:tabs>
          <w:tab w:val="left" w:pos="540"/>
        </w:tabs>
        <w:rPr>
          <w:b/>
          <w:szCs w:val="24"/>
        </w:rPr>
      </w:pPr>
    </w:p>
    <w:p w:rsidR="00E61F54" w:rsidRDefault="00C06FFD">
      <w:pPr>
        <w:widowControl w:val="0"/>
        <w:tabs>
          <w:tab w:val="left" w:pos="540"/>
        </w:tabs>
      </w:pPr>
      <w:r>
        <w:t>This information collection does not involve questions of a sensitive nature.</w:t>
      </w:r>
    </w:p>
    <w:p w:rsidR="00E61F54" w:rsidRDefault="00E61F54">
      <w:pPr>
        <w:widowControl w:val="0"/>
        <w:tabs>
          <w:tab w:val="left" w:pos="540"/>
        </w:tabs>
        <w:rPr>
          <w:b/>
          <w:szCs w:val="24"/>
        </w:rPr>
      </w:pPr>
    </w:p>
    <w:p w:rsidR="00E61F54" w:rsidRDefault="00C06FFD">
      <w:pPr>
        <w:widowControl w:val="0"/>
        <w:tabs>
          <w:tab w:val="left" w:pos="540"/>
        </w:tabs>
        <w:rPr>
          <w:b/>
          <w:szCs w:val="24"/>
        </w:rPr>
      </w:pPr>
      <w:r>
        <w:rPr>
          <w:b/>
          <w:szCs w:val="24"/>
        </w:rPr>
        <w:t>12.</w:t>
      </w:r>
      <w:r>
        <w:rPr>
          <w:b/>
          <w:szCs w:val="24"/>
        </w:rPr>
        <w:tab/>
      </w:r>
      <w:r>
        <w:rPr>
          <w:b/>
          <w:szCs w:val="24"/>
          <w:u w:val="single"/>
        </w:rPr>
        <w:t xml:space="preserve">Estimate of burden hours for information requested. </w:t>
      </w:r>
      <w:r>
        <w:rPr>
          <w:b/>
          <w:szCs w:val="24"/>
        </w:rPr>
        <w:t xml:space="preserve"> </w:t>
      </w:r>
    </w:p>
    <w:p w:rsidR="00E61F54" w:rsidRDefault="00E61F54">
      <w:pPr>
        <w:widowControl w:val="0"/>
        <w:tabs>
          <w:tab w:val="left" w:pos="540"/>
        </w:tabs>
        <w:rPr>
          <w:szCs w:val="24"/>
        </w:rPr>
      </w:pPr>
    </w:p>
    <w:p w:rsidR="00E61F54" w:rsidP="00812553" w:rsidRDefault="00C06FFD">
      <w:pPr>
        <w:widowControl w:val="0"/>
        <w:tabs>
          <w:tab w:val="left" w:pos="540"/>
        </w:tabs>
        <w:jc w:val="center"/>
        <w:rPr>
          <w:b/>
          <w:szCs w:val="24"/>
        </w:rPr>
      </w:pPr>
      <w:r w:rsidRPr="00812553">
        <w:rPr>
          <w:b/>
          <w:szCs w:val="24"/>
        </w:rPr>
        <w:t>Table 1: Estimated</w:t>
      </w:r>
      <w:r>
        <w:rPr>
          <w:b/>
          <w:szCs w:val="24"/>
        </w:rPr>
        <w:t xml:space="preserve"> Change in</w:t>
      </w:r>
      <w:r w:rsidRPr="00812553">
        <w:rPr>
          <w:b/>
          <w:szCs w:val="24"/>
        </w:rPr>
        <w:t xml:space="preserve">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00E61F54">
        <w:tc>
          <w:tcPr>
            <w:tcW w:w="4675" w:type="dxa"/>
            <w:shd w:val="clear" w:color="auto" w:fill="auto"/>
          </w:tcPr>
          <w:p w:rsidR="00E61F54" w:rsidRDefault="00C06FFD">
            <w:pPr>
              <w:autoSpaceDE w:val="0"/>
              <w:autoSpaceDN w:val="0"/>
              <w:adjustRightInd w:val="0"/>
            </w:pPr>
            <w:r>
              <w:t>Current Number of Responses: 1,446</w:t>
            </w:r>
          </w:p>
        </w:tc>
        <w:tc>
          <w:tcPr>
            <w:tcW w:w="4675" w:type="dxa"/>
            <w:shd w:val="clear" w:color="auto" w:fill="auto"/>
          </w:tcPr>
          <w:p w:rsidR="00E61F54" w:rsidRDefault="00C06FFD">
            <w:pPr>
              <w:autoSpaceDE w:val="0"/>
              <w:autoSpaceDN w:val="0"/>
              <w:adjustRightInd w:val="0"/>
            </w:pPr>
            <w:r>
              <w:t>Proposed Number of Reponses: 1,446</w:t>
            </w:r>
          </w:p>
        </w:tc>
      </w:tr>
      <w:tr w:rsidR="00E61F54">
        <w:tc>
          <w:tcPr>
            <w:tcW w:w="4675" w:type="dxa"/>
            <w:shd w:val="clear" w:color="auto" w:fill="auto"/>
          </w:tcPr>
          <w:p w:rsidR="00E61F54" w:rsidRDefault="00C06FFD">
            <w:pPr>
              <w:autoSpaceDE w:val="0"/>
              <w:autoSpaceDN w:val="0"/>
              <w:adjustRightInd w:val="0"/>
            </w:pPr>
            <w:r>
              <w:t>Current Burden Estimate: 24,582 hours</w:t>
            </w:r>
          </w:p>
        </w:tc>
        <w:tc>
          <w:tcPr>
            <w:tcW w:w="4675" w:type="dxa"/>
            <w:shd w:val="clear" w:color="auto" w:fill="auto"/>
          </w:tcPr>
          <w:p w:rsidR="00E61F54" w:rsidRDefault="00C06FFD">
            <w:pPr>
              <w:autoSpaceDE w:val="0"/>
              <w:autoSpaceDN w:val="0"/>
              <w:adjustRightInd w:val="0"/>
            </w:pPr>
            <w:r>
              <w:t xml:space="preserve">Proposed Burden Estimate: </w:t>
            </w:r>
            <w:r w:rsidR="00812553">
              <w:t>25,305</w:t>
            </w:r>
            <w:r>
              <w:t xml:space="preserve"> hours</w:t>
            </w:r>
          </w:p>
        </w:tc>
      </w:tr>
    </w:tbl>
    <w:p w:rsidR="00E61F54" w:rsidRDefault="00E61F54">
      <w:pPr>
        <w:widowControl w:val="0"/>
        <w:tabs>
          <w:tab w:val="left" w:pos="540"/>
        </w:tabs>
        <w:rPr>
          <w:b/>
          <w:szCs w:val="24"/>
        </w:rPr>
      </w:pPr>
    </w:p>
    <w:p w:rsidR="00E61F54" w:rsidRDefault="00E61F54">
      <w:pPr>
        <w:widowControl w:val="0"/>
        <w:tabs>
          <w:tab w:val="left" w:pos="270"/>
          <w:tab w:val="left" w:pos="540"/>
        </w:tabs>
        <w:rPr>
          <w:b/>
          <w:szCs w:val="24"/>
        </w:rPr>
      </w:pPr>
    </w:p>
    <w:p w:rsidR="00E61F54" w:rsidRDefault="00C06FFD">
      <w:pPr>
        <w:widowControl w:val="0"/>
        <w:tabs>
          <w:tab w:val="left" w:pos="270"/>
          <w:tab w:val="left" w:pos="540"/>
        </w:tabs>
        <w:rPr>
          <w:szCs w:val="24"/>
        </w:rPr>
      </w:pPr>
      <w:r>
        <w:rPr>
          <w:szCs w:val="24"/>
        </w:rPr>
        <w:t xml:space="preserve">There are approximately 1,446 gas distribution operators.  These operators are required to submit annual reports for their pipeline systems to PHMSA on a yearly basis.  PHMSA previously estimated that it would take each operator 17 hours to compile information pertaining to this report and to submit the requested data to PHMSA. </w:t>
      </w:r>
      <w:r>
        <w:rPr>
          <w:iCs/>
          <w:szCs w:val="24"/>
        </w:rPr>
        <w:t xml:space="preserve">PHMSA proposes to revise form F7100.1-1, the Gas Distribution Annual Report, to collect the total number of mechanical joint failures that occur within each calendar year. PHMSA estimates that it will take operators approximately 30 minutes (0.5 hours) to add this information to the annual report, assuming that reporting each mechanical joint failure takes 3 minutes and each operator has an average of approximately 9 mechanical joint failures per year on average.  As a result, the burden for this information collection will increase by approximately 723 hours </w:t>
      </w:r>
      <w:r>
        <w:rPr>
          <w:szCs w:val="24"/>
        </w:rPr>
        <w:t>for an estimated total burden of 25,305 hours (17.5 hours * 1,446 operators).</w:t>
      </w:r>
    </w:p>
    <w:p w:rsidR="00E61F54" w:rsidRDefault="00E61F54">
      <w:pPr>
        <w:widowControl w:val="0"/>
        <w:tabs>
          <w:tab w:val="left" w:pos="270"/>
          <w:tab w:val="left" w:pos="540"/>
        </w:tabs>
        <w:rPr>
          <w:szCs w:val="24"/>
        </w:rPr>
      </w:pPr>
    </w:p>
    <w:p w:rsidR="00E61F54" w:rsidRDefault="00C06FFD">
      <w:pPr>
        <w:widowControl w:val="0"/>
        <w:tabs>
          <w:tab w:val="left" w:pos="270"/>
          <w:tab w:val="left" w:pos="540"/>
        </w:tabs>
        <w:rPr>
          <w:szCs w:val="24"/>
        </w:rPr>
      </w:pPr>
      <w:r>
        <w:rPr>
          <w:szCs w:val="24"/>
        </w:rPr>
        <w:t>Table 2 below details this burden calculation:</w:t>
      </w:r>
    </w:p>
    <w:p w:rsidR="00E61F54" w:rsidRDefault="00E61F54">
      <w:pPr>
        <w:widowControl w:val="0"/>
        <w:tabs>
          <w:tab w:val="left" w:pos="270"/>
          <w:tab w:val="left" w:pos="540"/>
        </w:tabs>
        <w:rPr>
          <w:szCs w:val="24"/>
        </w:rPr>
      </w:pPr>
    </w:p>
    <w:p w:rsidRPr="00812553" w:rsidR="00E61F54" w:rsidP="00812553" w:rsidRDefault="00C06FFD">
      <w:pPr>
        <w:widowControl w:val="0"/>
        <w:tabs>
          <w:tab w:val="left" w:pos="270"/>
          <w:tab w:val="left" w:pos="540"/>
        </w:tabs>
        <w:jc w:val="center"/>
        <w:rPr>
          <w:b/>
          <w:szCs w:val="24"/>
        </w:rPr>
      </w:pPr>
      <w:r>
        <w:rPr>
          <w:b/>
          <w:szCs w:val="24"/>
        </w:rPr>
        <w:lastRenderedPageBreak/>
        <w:t>Table 2: Estimated Burden Calculation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1"/>
        <w:gridCol w:w="3118"/>
        <w:gridCol w:w="3111"/>
      </w:tblGrid>
      <w:tr w:rsidR="00E61F54">
        <w:tc>
          <w:tcPr>
            <w:tcW w:w="3192" w:type="dxa"/>
            <w:shd w:val="clear" w:color="auto" w:fill="auto"/>
          </w:tcPr>
          <w:p w:rsidR="00E61F54" w:rsidRDefault="00C06FFD">
            <w:pPr>
              <w:widowControl w:val="0"/>
              <w:tabs>
                <w:tab w:val="left" w:pos="540"/>
              </w:tabs>
              <w:jc w:val="center"/>
              <w:rPr>
                <w:b/>
                <w:szCs w:val="24"/>
              </w:rPr>
            </w:pPr>
            <w:r>
              <w:rPr>
                <w:b/>
                <w:szCs w:val="24"/>
              </w:rPr>
              <w:t>Number of Operators</w:t>
            </w:r>
          </w:p>
        </w:tc>
        <w:tc>
          <w:tcPr>
            <w:tcW w:w="3192" w:type="dxa"/>
            <w:shd w:val="clear" w:color="auto" w:fill="auto"/>
          </w:tcPr>
          <w:p w:rsidR="00E61F54" w:rsidRDefault="00C06FFD">
            <w:pPr>
              <w:widowControl w:val="0"/>
              <w:tabs>
                <w:tab w:val="left" w:pos="540"/>
              </w:tabs>
              <w:jc w:val="center"/>
              <w:rPr>
                <w:b/>
                <w:szCs w:val="24"/>
              </w:rPr>
            </w:pPr>
            <w:r>
              <w:rPr>
                <w:b/>
                <w:szCs w:val="24"/>
              </w:rPr>
              <w:t>Hours to Complete</w:t>
            </w:r>
          </w:p>
        </w:tc>
        <w:tc>
          <w:tcPr>
            <w:tcW w:w="3192" w:type="dxa"/>
            <w:shd w:val="clear" w:color="auto" w:fill="auto"/>
          </w:tcPr>
          <w:p w:rsidR="00E61F54" w:rsidRDefault="00C06FFD">
            <w:pPr>
              <w:widowControl w:val="0"/>
              <w:tabs>
                <w:tab w:val="left" w:pos="540"/>
              </w:tabs>
              <w:jc w:val="center"/>
              <w:rPr>
                <w:b/>
                <w:szCs w:val="24"/>
              </w:rPr>
            </w:pPr>
            <w:r>
              <w:rPr>
                <w:b/>
                <w:szCs w:val="24"/>
              </w:rPr>
              <w:t>Total Burden</w:t>
            </w:r>
          </w:p>
        </w:tc>
      </w:tr>
      <w:tr w:rsidR="00E61F54">
        <w:tc>
          <w:tcPr>
            <w:tcW w:w="3192" w:type="dxa"/>
            <w:shd w:val="clear" w:color="auto" w:fill="auto"/>
          </w:tcPr>
          <w:p w:rsidR="00E61F54" w:rsidRDefault="00C06FFD">
            <w:pPr>
              <w:widowControl w:val="0"/>
              <w:tabs>
                <w:tab w:val="left" w:pos="540"/>
              </w:tabs>
              <w:jc w:val="center"/>
              <w:rPr>
                <w:b/>
                <w:szCs w:val="24"/>
              </w:rPr>
            </w:pPr>
            <w:r>
              <w:rPr>
                <w:b/>
                <w:szCs w:val="24"/>
              </w:rPr>
              <w:t>1,446</w:t>
            </w:r>
          </w:p>
        </w:tc>
        <w:tc>
          <w:tcPr>
            <w:tcW w:w="3192" w:type="dxa"/>
            <w:shd w:val="clear" w:color="auto" w:fill="auto"/>
          </w:tcPr>
          <w:p w:rsidR="00E61F54" w:rsidRDefault="00C06FFD">
            <w:pPr>
              <w:widowControl w:val="0"/>
              <w:tabs>
                <w:tab w:val="left" w:pos="540"/>
              </w:tabs>
              <w:jc w:val="center"/>
              <w:rPr>
                <w:b/>
                <w:szCs w:val="24"/>
              </w:rPr>
            </w:pPr>
            <w:r>
              <w:rPr>
                <w:b/>
                <w:szCs w:val="24"/>
              </w:rPr>
              <w:t>17.5</w:t>
            </w:r>
          </w:p>
        </w:tc>
        <w:tc>
          <w:tcPr>
            <w:tcW w:w="3192" w:type="dxa"/>
            <w:shd w:val="clear" w:color="auto" w:fill="auto"/>
          </w:tcPr>
          <w:p w:rsidR="00E61F54" w:rsidRDefault="00C06FFD">
            <w:pPr>
              <w:widowControl w:val="0"/>
              <w:tabs>
                <w:tab w:val="left" w:pos="540"/>
              </w:tabs>
              <w:jc w:val="center"/>
              <w:rPr>
                <w:b/>
                <w:szCs w:val="24"/>
              </w:rPr>
            </w:pPr>
            <w:r>
              <w:rPr>
                <w:b/>
                <w:szCs w:val="24"/>
              </w:rPr>
              <w:t>25,305</w:t>
            </w:r>
          </w:p>
        </w:tc>
      </w:tr>
    </w:tbl>
    <w:p w:rsidR="00E61F54" w:rsidRDefault="00E61F54">
      <w:pPr>
        <w:widowControl w:val="0"/>
        <w:tabs>
          <w:tab w:val="left" w:pos="540"/>
        </w:tabs>
        <w:rPr>
          <w:b/>
          <w:szCs w:val="24"/>
        </w:rPr>
      </w:pPr>
    </w:p>
    <w:p w:rsidR="00E61F54" w:rsidRDefault="00E61F54">
      <w:pPr>
        <w:widowControl w:val="0"/>
        <w:tabs>
          <w:tab w:val="left" w:pos="540"/>
        </w:tabs>
        <w:rPr>
          <w:b/>
          <w:szCs w:val="24"/>
        </w:rPr>
      </w:pPr>
    </w:p>
    <w:p w:rsidR="00E61F54" w:rsidRDefault="00C06FFD">
      <w:pPr>
        <w:widowControl w:val="0"/>
        <w:tabs>
          <w:tab w:val="left" w:pos="540"/>
        </w:tabs>
        <w:rPr>
          <w:b/>
          <w:szCs w:val="24"/>
        </w:rPr>
      </w:pPr>
      <w:r>
        <w:rPr>
          <w:b/>
          <w:szCs w:val="24"/>
        </w:rPr>
        <w:t>13.</w:t>
      </w:r>
      <w:r>
        <w:rPr>
          <w:b/>
          <w:szCs w:val="24"/>
        </w:rPr>
        <w:tab/>
      </w:r>
      <w:r>
        <w:rPr>
          <w:b/>
          <w:szCs w:val="24"/>
          <w:u w:val="single"/>
        </w:rPr>
        <w:t>Estimate of the total annual costs burden</w:t>
      </w:r>
      <w:r>
        <w:rPr>
          <w:b/>
          <w:szCs w:val="24"/>
        </w:rPr>
        <w:t xml:space="preserve">.  </w:t>
      </w:r>
    </w:p>
    <w:p w:rsidR="00E61F54" w:rsidRDefault="00E61F54">
      <w:pPr>
        <w:widowControl w:val="0"/>
        <w:tabs>
          <w:tab w:val="left" w:pos="540"/>
        </w:tabs>
        <w:rPr>
          <w:b/>
          <w:szCs w:val="24"/>
        </w:rPr>
      </w:pPr>
    </w:p>
    <w:p w:rsidR="00E61F54" w:rsidRDefault="00C06FFD">
      <w:pPr>
        <w:widowControl w:val="0"/>
        <w:tabs>
          <w:tab w:val="left" w:pos="540"/>
        </w:tabs>
      </w:pPr>
      <w:r>
        <w:t>Preparing incident reports will require input from a diverse array of occupations, including technical input, legal review, database development/entry, and senior executive approval. PHMSA developed a weighted average labor cost based on wage rates for several relevant occupational categories that are likely to be involved in the reporting process. Table 3 below shows the calculations used to derive the average labor cost utilized by PHMSA. </w:t>
      </w:r>
    </w:p>
    <w:p w:rsidR="00812553" w:rsidP="00812553" w:rsidRDefault="00812553">
      <w:pPr>
        <w:widowControl w:val="0"/>
        <w:tabs>
          <w:tab w:val="left" w:pos="540"/>
        </w:tabs>
        <w:jc w:val="center"/>
        <w:rPr>
          <w:b/>
        </w:rPr>
      </w:pPr>
    </w:p>
    <w:p w:rsidR="00E61F54" w:rsidP="00812553" w:rsidRDefault="00C06FFD">
      <w:pPr>
        <w:widowControl w:val="0"/>
        <w:tabs>
          <w:tab w:val="left" w:pos="540"/>
        </w:tabs>
        <w:jc w:val="center"/>
        <w:rPr>
          <w:b/>
          <w:i/>
          <w:iCs/>
        </w:rPr>
      </w:pPr>
      <w:r>
        <w:rPr>
          <w:b/>
        </w:rPr>
        <w:t>Table 3: Estimated Labor Costs (2019 $)</w:t>
      </w:r>
    </w:p>
    <w:p w:rsidR="00E61F54" w:rsidRDefault="00E61F54">
      <w:pPr>
        <w:widowControl w:val="0"/>
        <w:tabs>
          <w:tab w:val="left" w:pos="540"/>
        </w:tabs>
        <w:rPr>
          <w:i/>
          <w:iCs/>
        </w:rPr>
      </w:pPr>
    </w:p>
    <w:tbl>
      <w:tblPr>
        <w:tblW w:w="9360" w:type="dxa"/>
        <w:tblInd w:w="260" w:type="dxa"/>
        <w:tblLook w:val="04A0" w:firstRow="1" w:lastRow="0" w:firstColumn="1" w:lastColumn="0" w:noHBand="0" w:noVBand="1"/>
      </w:tblPr>
      <w:tblGrid>
        <w:gridCol w:w="1997"/>
        <w:gridCol w:w="1697"/>
        <w:gridCol w:w="1989"/>
        <w:gridCol w:w="1990"/>
        <w:gridCol w:w="1687"/>
      </w:tblGrid>
      <w:tr w:rsidR="00E61F54">
        <w:trPr>
          <w:cantSplit/>
          <w:trHeight w:val="432" w:hRule="exact"/>
        </w:trPr>
        <w:tc>
          <w:tcPr>
            <w:tcW w:w="0" w:type="auto"/>
            <w:vMerge w:val="restart"/>
            <w:tcBorders>
              <w:top w:val="single" w:color="auto" w:sz="8" w:space="0"/>
              <w:left w:val="single" w:color="auto" w:sz="8" w:space="0"/>
              <w:bottom w:val="single" w:color="000000" w:sz="8" w:space="0"/>
              <w:right w:val="single" w:color="auto" w:sz="4" w:space="0"/>
            </w:tcBorders>
            <w:shd w:val="clear" w:color="auto" w:fill="D9E2F3" w:themeFill="accent1" w:themeFillTint="33"/>
            <w:noWrap/>
            <w:hideMark/>
          </w:tcPr>
          <w:p w:rsidR="00E61F54" w:rsidRDefault="00C06FFD">
            <w:pPr>
              <w:widowControl w:val="0"/>
              <w:tabs>
                <w:tab w:val="left" w:pos="540"/>
              </w:tabs>
              <w:rPr>
                <w:b/>
              </w:rPr>
            </w:pPr>
            <w:r>
              <w:rPr>
                <w:b/>
              </w:rPr>
              <w:t>Occupation Code</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D9E2F3" w:themeFill="accent1" w:themeFillTint="33"/>
            <w:hideMark/>
          </w:tcPr>
          <w:p w:rsidR="00E61F54" w:rsidRDefault="00C06FFD">
            <w:pPr>
              <w:widowControl w:val="0"/>
              <w:tabs>
                <w:tab w:val="left" w:pos="540"/>
              </w:tabs>
              <w:rPr>
                <w:b/>
              </w:rPr>
            </w:pPr>
            <w:r>
              <w:rPr>
                <w:b/>
              </w:rPr>
              <w:t>Occupation Category</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D9E2F3" w:themeFill="accent1" w:themeFillTint="33"/>
            <w:noWrap/>
            <w:hideMark/>
          </w:tcPr>
          <w:p w:rsidR="00E61F54" w:rsidRDefault="00C06FFD">
            <w:pPr>
              <w:widowControl w:val="0"/>
              <w:tabs>
                <w:tab w:val="left" w:pos="540"/>
              </w:tabs>
              <w:rPr>
                <w:b/>
              </w:rPr>
            </w:pPr>
            <w:r>
              <w:rPr>
                <w:b/>
              </w:rPr>
              <w:t>Mean Wage Rate</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D9E2F3" w:themeFill="accent1" w:themeFillTint="33"/>
            <w:noWrap/>
            <w:hideMark/>
          </w:tcPr>
          <w:p w:rsidR="00E61F54" w:rsidRDefault="00C06FFD">
            <w:pPr>
              <w:widowControl w:val="0"/>
              <w:tabs>
                <w:tab w:val="left" w:pos="540"/>
              </w:tabs>
              <w:rPr>
                <w:b/>
              </w:rPr>
            </w:pPr>
            <w:r>
              <w:rPr>
                <w:b/>
              </w:rPr>
              <w:t>Total Labor Cost</w:t>
            </w:r>
          </w:p>
        </w:tc>
        <w:tc>
          <w:tcPr>
            <w:tcW w:w="1687" w:type="dxa"/>
            <w:vMerge w:val="restart"/>
            <w:tcBorders>
              <w:top w:val="single" w:color="auto" w:sz="8" w:space="0"/>
              <w:left w:val="single" w:color="auto" w:sz="4" w:space="0"/>
              <w:bottom w:val="single" w:color="000000" w:sz="8" w:space="0"/>
              <w:right w:val="single" w:color="auto" w:sz="8" w:space="0"/>
            </w:tcBorders>
            <w:shd w:val="clear" w:color="auto" w:fill="D9E2F3" w:themeFill="accent1" w:themeFillTint="33"/>
            <w:hideMark/>
          </w:tcPr>
          <w:p w:rsidR="00E61F54" w:rsidRDefault="00C06FFD">
            <w:pPr>
              <w:widowControl w:val="0"/>
              <w:tabs>
                <w:tab w:val="left" w:pos="540"/>
              </w:tabs>
              <w:rPr>
                <w:b/>
              </w:rPr>
            </w:pPr>
            <w:r>
              <w:rPr>
                <w:b/>
              </w:rPr>
              <w:t>Estimated % of Reporting Hours</w:t>
            </w:r>
          </w:p>
        </w:tc>
      </w:tr>
      <w:tr w:rsidR="00E61F54">
        <w:trPr>
          <w:trHeight w:val="432" w:hRule="exact"/>
        </w:trPr>
        <w:tc>
          <w:tcPr>
            <w:tcW w:w="0" w:type="auto"/>
            <w:vMerge/>
            <w:tcBorders>
              <w:top w:val="single" w:color="auto" w:sz="8" w:space="0"/>
              <w:left w:val="single" w:color="auto" w:sz="8" w:space="0"/>
              <w:bottom w:val="single" w:color="000000" w:sz="8" w:space="0"/>
              <w:right w:val="single" w:color="auto" w:sz="4" w:space="0"/>
            </w:tcBorders>
            <w:shd w:val="clear" w:color="auto" w:fill="D9E2F3" w:themeFill="accent1" w:themeFillTint="33"/>
            <w:vAlign w:val="center"/>
            <w:hideMark/>
          </w:tcPr>
          <w:p w:rsidR="00E61F54" w:rsidRDefault="00E61F54">
            <w:pPr>
              <w:widowControl w:val="0"/>
              <w:tabs>
                <w:tab w:val="left" w:pos="540"/>
              </w:tabs>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00E61F54" w:rsidRDefault="00E61F54">
            <w:pPr>
              <w:widowControl w:val="0"/>
              <w:tabs>
                <w:tab w:val="left" w:pos="540"/>
              </w:tabs>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00E61F54" w:rsidRDefault="00E61F54">
            <w:pPr>
              <w:widowControl w:val="0"/>
              <w:tabs>
                <w:tab w:val="left" w:pos="540"/>
              </w:tabs>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00E61F54" w:rsidRDefault="00E61F54">
            <w:pPr>
              <w:widowControl w:val="0"/>
              <w:tabs>
                <w:tab w:val="left" w:pos="540"/>
              </w:tabs>
            </w:pPr>
          </w:p>
        </w:tc>
        <w:tc>
          <w:tcPr>
            <w:tcW w:w="1687" w:type="dxa"/>
            <w:vMerge/>
            <w:tcBorders>
              <w:top w:val="single" w:color="auto" w:sz="8" w:space="0"/>
              <w:left w:val="single" w:color="auto" w:sz="4" w:space="0"/>
              <w:bottom w:val="single" w:color="000000" w:sz="8" w:space="0"/>
              <w:right w:val="single" w:color="auto" w:sz="8" w:space="0"/>
            </w:tcBorders>
            <w:shd w:val="clear" w:color="auto" w:fill="D9E2F3" w:themeFill="accent1" w:themeFillTint="33"/>
            <w:vAlign w:val="center"/>
            <w:hideMark/>
          </w:tcPr>
          <w:p w:rsidR="00E61F54" w:rsidRDefault="00E61F54">
            <w:pPr>
              <w:widowControl w:val="0"/>
              <w:tabs>
                <w:tab w:val="left" w:pos="540"/>
              </w:tabs>
            </w:pPr>
          </w:p>
        </w:tc>
      </w:tr>
      <w:tr w:rsidR="00E61F54">
        <w:trPr>
          <w:trHeight w:val="88" w:hRule="exact"/>
        </w:trPr>
        <w:tc>
          <w:tcPr>
            <w:tcW w:w="0" w:type="auto"/>
            <w:vMerge/>
            <w:tcBorders>
              <w:top w:val="single" w:color="auto" w:sz="8" w:space="0"/>
              <w:left w:val="single" w:color="auto" w:sz="8" w:space="0"/>
              <w:bottom w:val="single" w:color="000000" w:sz="8" w:space="0"/>
              <w:right w:val="single" w:color="auto" w:sz="4" w:space="0"/>
            </w:tcBorders>
            <w:shd w:val="clear" w:color="auto" w:fill="D9E2F3" w:themeFill="accent1" w:themeFillTint="33"/>
            <w:vAlign w:val="center"/>
            <w:hideMark/>
          </w:tcPr>
          <w:p w:rsidR="00E61F54" w:rsidRDefault="00E61F54">
            <w:pPr>
              <w:widowControl w:val="0"/>
              <w:tabs>
                <w:tab w:val="left" w:pos="540"/>
              </w:tabs>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00E61F54" w:rsidRDefault="00E61F54">
            <w:pPr>
              <w:widowControl w:val="0"/>
              <w:tabs>
                <w:tab w:val="left" w:pos="540"/>
              </w:tabs>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00E61F54" w:rsidRDefault="00E61F54">
            <w:pPr>
              <w:widowControl w:val="0"/>
              <w:tabs>
                <w:tab w:val="left" w:pos="540"/>
              </w:tabs>
            </w:pPr>
          </w:p>
        </w:tc>
        <w:tc>
          <w:tcPr>
            <w:tcW w:w="0" w:type="auto"/>
            <w:vMerge/>
            <w:tcBorders>
              <w:top w:val="single" w:color="auto" w:sz="8" w:space="0"/>
              <w:left w:val="single" w:color="auto" w:sz="4" w:space="0"/>
              <w:bottom w:val="single" w:color="000000" w:sz="8" w:space="0"/>
              <w:right w:val="single" w:color="auto" w:sz="4" w:space="0"/>
            </w:tcBorders>
            <w:shd w:val="clear" w:color="auto" w:fill="D9E2F3" w:themeFill="accent1" w:themeFillTint="33"/>
            <w:vAlign w:val="center"/>
            <w:hideMark/>
          </w:tcPr>
          <w:p w:rsidR="00E61F54" w:rsidRDefault="00E61F54">
            <w:pPr>
              <w:widowControl w:val="0"/>
              <w:tabs>
                <w:tab w:val="left" w:pos="540"/>
              </w:tabs>
            </w:pPr>
          </w:p>
        </w:tc>
        <w:tc>
          <w:tcPr>
            <w:tcW w:w="1687" w:type="dxa"/>
            <w:vMerge/>
            <w:tcBorders>
              <w:top w:val="single" w:color="auto" w:sz="8" w:space="0"/>
              <w:left w:val="single" w:color="auto" w:sz="4" w:space="0"/>
              <w:bottom w:val="single" w:color="000000" w:sz="8" w:space="0"/>
              <w:right w:val="single" w:color="auto" w:sz="8" w:space="0"/>
            </w:tcBorders>
            <w:shd w:val="clear" w:color="auto" w:fill="D9E2F3" w:themeFill="accent1" w:themeFillTint="33"/>
            <w:vAlign w:val="center"/>
            <w:hideMark/>
          </w:tcPr>
          <w:p w:rsidR="00E61F54" w:rsidRDefault="00E61F54">
            <w:pPr>
              <w:widowControl w:val="0"/>
              <w:tabs>
                <w:tab w:val="left" w:pos="540"/>
              </w:tabs>
            </w:pPr>
          </w:p>
        </w:tc>
      </w:tr>
      <w:tr w:rsidR="00E61F54">
        <w:trPr>
          <w:trHeight w:val="677" w:hRule="exact"/>
        </w:trPr>
        <w:tc>
          <w:tcPr>
            <w:tcW w:w="0" w:type="auto"/>
            <w:tcBorders>
              <w:top w:val="nil"/>
              <w:left w:val="single" w:color="000000" w:sz="8" w:space="0"/>
              <w:bottom w:val="single" w:color="000000" w:sz="8" w:space="0"/>
              <w:right w:val="single" w:color="000000" w:sz="8" w:space="0"/>
            </w:tcBorders>
            <w:hideMark/>
          </w:tcPr>
          <w:p w:rsidR="00E61F54" w:rsidRDefault="00C06FFD">
            <w:pPr>
              <w:widowControl w:val="0"/>
              <w:tabs>
                <w:tab w:val="left" w:pos="540"/>
              </w:tabs>
            </w:pPr>
            <w:r>
              <w:t>13-1041</w:t>
            </w:r>
          </w:p>
        </w:tc>
        <w:tc>
          <w:tcPr>
            <w:tcW w:w="0" w:type="auto"/>
            <w:tcBorders>
              <w:top w:val="nil"/>
              <w:left w:val="nil"/>
              <w:bottom w:val="single" w:color="000000" w:sz="8" w:space="0"/>
              <w:right w:val="single" w:color="000000" w:sz="8" w:space="0"/>
            </w:tcBorders>
            <w:hideMark/>
          </w:tcPr>
          <w:p w:rsidR="00E61F54" w:rsidRDefault="00C06FFD">
            <w:pPr>
              <w:widowControl w:val="0"/>
              <w:tabs>
                <w:tab w:val="left" w:pos="540"/>
              </w:tabs>
            </w:pPr>
            <w:r>
              <w:t>Compliance Officers</w:t>
            </w:r>
          </w:p>
        </w:tc>
        <w:tc>
          <w:tcPr>
            <w:tcW w:w="0" w:type="auto"/>
            <w:tcBorders>
              <w:top w:val="single" w:color="000000" w:sz="8" w:space="0"/>
              <w:left w:val="nil"/>
              <w:bottom w:val="single" w:color="000000" w:sz="8" w:space="0"/>
              <w:right w:val="single" w:color="000000" w:sz="8" w:space="0"/>
            </w:tcBorders>
            <w:shd w:val="clear" w:color="000000" w:fill="FFFFFF"/>
            <w:hideMark/>
          </w:tcPr>
          <w:p w:rsidR="00E61F54" w:rsidRDefault="00C06FFD">
            <w:pPr>
              <w:widowControl w:val="0"/>
              <w:tabs>
                <w:tab w:val="left" w:pos="540"/>
              </w:tabs>
            </w:pPr>
            <w:r>
              <w:t>$38.05</w:t>
            </w:r>
          </w:p>
        </w:tc>
        <w:tc>
          <w:tcPr>
            <w:tcW w:w="0" w:type="auto"/>
            <w:tcBorders>
              <w:top w:val="nil"/>
              <w:left w:val="nil"/>
              <w:bottom w:val="single" w:color="000000" w:sz="8" w:space="0"/>
              <w:right w:val="single" w:color="000000" w:sz="8" w:space="0"/>
            </w:tcBorders>
            <w:hideMark/>
          </w:tcPr>
          <w:p w:rsidR="00E61F54" w:rsidRDefault="00C06FFD">
            <w:pPr>
              <w:widowControl w:val="0"/>
              <w:tabs>
                <w:tab w:val="left" w:pos="540"/>
              </w:tabs>
            </w:pPr>
            <w:r>
              <w:t>$54.75</w:t>
            </w:r>
          </w:p>
        </w:tc>
        <w:tc>
          <w:tcPr>
            <w:tcW w:w="1687" w:type="dxa"/>
            <w:tcBorders>
              <w:top w:val="nil"/>
              <w:left w:val="nil"/>
              <w:bottom w:val="single" w:color="000000" w:sz="8" w:space="0"/>
              <w:right w:val="single" w:color="000000" w:sz="8" w:space="0"/>
            </w:tcBorders>
            <w:hideMark/>
          </w:tcPr>
          <w:p w:rsidR="00E61F54" w:rsidRDefault="00C06FFD">
            <w:pPr>
              <w:widowControl w:val="0"/>
              <w:tabs>
                <w:tab w:val="left" w:pos="540"/>
              </w:tabs>
            </w:pPr>
            <w:r>
              <w:t>40%</w:t>
            </w:r>
          </w:p>
        </w:tc>
      </w:tr>
      <w:tr w:rsidR="00E61F54">
        <w:trPr>
          <w:trHeight w:val="432" w:hRule="exact"/>
        </w:trPr>
        <w:tc>
          <w:tcPr>
            <w:tcW w:w="0" w:type="auto"/>
            <w:tcBorders>
              <w:top w:val="nil"/>
              <w:left w:val="single" w:color="000000" w:sz="8" w:space="0"/>
              <w:bottom w:val="single" w:color="000000" w:sz="8" w:space="0"/>
              <w:right w:val="single" w:color="000000" w:sz="8" w:space="0"/>
            </w:tcBorders>
            <w:hideMark/>
          </w:tcPr>
          <w:p w:rsidR="00E61F54" w:rsidRDefault="00C06FFD">
            <w:pPr>
              <w:widowControl w:val="0"/>
              <w:tabs>
                <w:tab w:val="left" w:pos="540"/>
              </w:tabs>
            </w:pPr>
            <w:r>
              <w:t>23-1011</w:t>
            </w:r>
          </w:p>
        </w:tc>
        <w:tc>
          <w:tcPr>
            <w:tcW w:w="0" w:type="auto"/>
            <w:tcBorders>
              <w:top w:val="nil"/>
              <w:left w:val="nil"/>
              <w:bottom w:val="single" w:color="000000" w:sz="8" w:space="0"/>
              <w:right w:val="single" w:color="000000" w:sz="8" w:space="0"/>
            </w:tcBorders>
            <w:hideMark/>
          </w:tcPr>
          <w:p w:rsidR="00E61F54" w:rsidRDefault="00C06FFD">
            <w:pPr>
              <w:widowControl w:val="0"/>
              <w:tabs>
                <w:tab w:val="left" w:pos="540"/>
              </w:tabs>
            </w:pPr>
            <w:r>
              <w:t>Lawyers</w:t>
            </w:r>
          </w:p>
        </w:tc>
        <w:tc>
          <w:tcPr>
            <w:tcW w:w="0" w:type="auto"/>
            <w:tcBorders>
              <w:top w:val="single" w:color="000000" w:sz="8" w:space="0"/>
              <w:left w:val="nil"/>
              <w:bottom w:val="single" w:color="000000" w:sz="8" w:space="0"/>
              <w:right w:val="single" w:color="000000" w:sz="8" w:space="0"/>
            </w:tcBorders>
            <w:shd w:val="clear" w:color="000000" w:fill="FFFFFF"/>
            <w:hideMark/>
          </w:tcPr>
          <w:p w:rsidR="00E61F54" w:rsidRDefault="00C06FFD">
            <w:pPr>
              <w:widowControl w:val="0"/>
              <w:tabs>
                <w:tab w:val="left" w:pos="540"/>
              </w:tabs>
            </w:pPr>
            <w:r>
              <w:t>$69.86</w:t>
            </w:r>
          </w:p>
        </w:tc>
        <w:tc>
          <w:tcPr>
            <w:tcW w:w="0" w:type="auto"/>
            <w:tcBorders>
              <w:top w:val="nil"/>
              <w:left w:val="nil"/>
              <w:bottom w:val="single" w:color="000000" w:sz="8" w:space="0"/>
              <w:right w:val="single" w:color="000000" w:sz="8" w:space="0"/>
            </w:tcBorders>
            <w:hideMark/>
          </w:tcPr>
          <w:p w:rsidR="00E61F54" w:rsidRDefault="00C06FFD">
            <w:pPr>
              <w:widowControl w:val="0"/>
              <w:tabs>
                <w:tab w:val="left" w:pos="540"/>
              </w:tabs>
            </w:pPr>
            <w:r>
              <w:t>$100.52</w:t>
            </w:r>
          </w:p>
        </w:tc>
        <w:tc>
          <w:tcPr>
            <w:tcW w:w="1687" w:type="dxa"/>
            <w:tcBorders>
              <w:top w:val="nil"/>
              <w:left w:val="nil"/>
              <w:bottom w:val="single" w:color="000000" w:sz="8" w:space="0"/>
              <w:right w:val="single" w:color="000000" w:sz="8" w:space="0"/>
            </w:tcBorders>
            <w:hideMark/>
          </w:tcPr>
          <w:p w:rsidR="00E61F54" w:rsidRDefault="00C06FFD">
            <w:pPr>
              <w:widowControl w:val="0"/>
              <w:tabs>
                <w:tab w:val="left" w:pos="540"/>
              </w:tabs>
            </w:pPr>
            <w:r>
              <w:t>20%</w:t>
            </w:r>
          </w:p>
        </w:tc>
      </w:tr>
      <w:tr w:rsidR="00E61F54">
        <w:trPr>
          <w:trHeight w:val="821" w:hRule="exact"/>
        </w:trPr>
        <w:tc>
          <w:tcPr>
            <w:tcW w:w="0" w:type="auto"/>
            <w:tcBorders>
              <w:top w:val="nil"/>
              <w:left w:val="single" w:color="000000" w:sz="8" w:space="0"/>
              <w:bottom w:val="single" w:color="000000" w:sz="8" w:space="0"/>
              <w:right w:val="single" w:color="000000" w:sz="8" w:space="0"/>
            </w:tcBorders>
            <w:hideMark/>
          </w:tcPr>
          <w:p w:rsidR="00E61F54" w:rsidRDefault="00C06FFD">
            <w:pPr>
              <w:widowControl w:val="0"/>
              <w:tabs>
                <w:tab w:val="left" w:pos="540"/>
              </w:tabs>
            </w:pPr>
            <w:r>
              <w:t>17-2171</w:t>
            </w:r>
          </w:p>
        </w:tc>
        <w:tc>
          <w:tcPr>
            <w:tcW w:w="0" w:type="auto"/>
            <w:tcBorders>
              <w:top w:val="nil"/>
              <w:left w:val="nil"/>
              <w:bottom w:val="single" w:color="000000" w:sz="8" w:space="0"/>
              <w:right w:val="single" w:color="000000" w:sz="8" w:space="0"/>
            </w:tcBorders>
            <w:hideMark/>
          </w:tcPr>
          <w:p w:rsidR="00E61F54" w:rsidRDefault="00C06FFD">
            <w:pPr>
              <w:widowControl w:val="0"/>
              <w:tabs>
                <w:tab w:val="left" w:pos="540"/>
              </w:tabs>
            </w:pPr>
            <w:r>
              <w:t>Petroleum Engineers</w:t>
            </w:r>
          </w:p>
        </w:tc>
        <w:tc>
          <w:tcPr>
            <w:tcW w:w="0" w:type="auto"/>
            <w:tcBorders>
              <w:top w:val="single" w:color="000000" w:sz="8" w:space="0"/>
              <w:left w:val="nil"/>
              <w:bottom w:val="single" w:color="000000" w:sz="8" w:space="0"/>
              <w:right w:val="single" w:color="000000" w:sz="8" w:space="0"/>
            </w:tcBorders>
            <w:shd w:val="clear" w:color="000000" w:fill="FFFFFF"/>
            <w:hideMark/>
          </w:tcPr>
          <w:p w:rsidR="00E61F54" w:rsidRDefault="00C06FFD">
            <w:pPr>
              <w:widowControl w:val="0"/>
              <w:tabs>
                <w:tab w:val="left" w:pos="540"/>
              </w:tabs>
            </w:pPr>
            <w:r>
              <w:t>$59.72</w:t>
            </w:r>
          </w:p>
        </w:tc>
        <w:tc>
          <w:tcPr>
            <w:tcW w:w="0" w:type="auto"/>
            <w:tcBorders>
              <w:top w:val="nil"/>
              <w:left w:val="nil"/>
              <w:bottom w:val="single" w:color="000000" w:sz="8" w:space="0"/>
              <w:right w:val="single" w:color="000000" w:sz="8" w:space="0"/>
            </w:tcBorders>
            <w:hideMark/>
          </w:tcPr>
          <w:p w:rsidR="00E61F54" w:rsidRDefault="00C06FFD">
            <w:pPr>
              <w:widowControl w:val="0"/>
              <w:tabs>
                <w:tab w:val="left" w:pos="540"/>
              </w:tabs>
            </w:pPr>
            <w:r>
              <w:t>$85.93</w:t>
            </w:r>
          </w:p>
        </w:tc>
        <w:tc>
          <w:tcPr>
            <w:tcW w:w="1687" w:type="dxa"/>
            <w:tcBorders>
              <w:top w:val="nil"/>
              <w:left w:val="nil"/>
              <w:bottom w:val="single" w:color="000000" w:sz="8" w:space="0"/>
              <w:right w:val="single" w:color="000000" w:sz="8" w:space="0"/>
            </w:tcBorders>
            <w:hideMark/>
          </w:tcPr>
          <w:p w:rsidR="00E61F54" w:rsidRDefault="00C06FFD">
            <w:pPr>
              <w:widowControl w:val="0"/>
              <w:tabs>
                <w:tab w:val="left" w:pos="540"/>
              </w:tabs>
            </w:pPr>
            <w:r>
              <w:t>20%</w:t>
            </w:r>
          </w:p>
        </w:tc>
      </w:tr>
      <w:tr w:rsidR="00E61F54">
        <w:trPr>
          <w:trHeight w:val="704" w:hRule="exact"/>
        </w:trPr>
        <w:tc>
          <w:tcPr>
            <w:tcW w:w="0" w:type="auto"/>
            <w:tcBorders>
              <w:top w:val="nil"/>
              <w:left w:val="single" w:color="000000" w:sz="8" w:space="0"/>
              <w:bottom w:val="single" w:color="000000" w:sz="8" w:space="0"/>
              <w:right w:val="single" w:color="000000" w:sz="8" w:space="0"/>
            </w:tcBorders>
            <w:hideMark/>
          </w:tcPr>
          <w:p w:rsidR="00E61F54" w:rsidRDefault="00C06FFD">
            <w:pPr>
              <w:widowControl w:val="0"/>
              <w:tabs>
                <w:tab w:val="left" w:pos="540"/>
              </w:tabs>
            </w:pPr>
            <w:r>
              <w:t>11-1000</w:t>
            </w:r>
          </w:p>
        </w:tc>
        <w:tc>
          <w:tcPr>
            <w:tcW w:w="0" w:type="auto"/>
            <w:tcBorders>
              <w:top w:val="nil"/>
              <w:left w:val="nil"/>
              <w:bottom w:val="single" w:color="000000" w:sz="8" w:space="0"/>
              <w:right w:val="single" w:color="000000" w:sz="8" w:space="0"/>
            </w:tcBorders>
            <w:hideMark/>
          </w:tcPr>
          <w:p w:rsidR="00E61F54" w:rsidRDefault="00C06FFD">
            <w:pPr>
              <w:widowControl w:val="0"/>
              <w:tabs>
                <w:tab w:val="left" w:pos="540"/>
              </w:tabs>
            </w:pPr>
            <w:r>
              <w:t>Top Executives</w:t>
            </w:r>
          </w:p>
        </w:tc>
        <w:tc>
          <w:tcPr>
            <w:tcW w:w="0" w:type="auto"/>
            <w:tcBorders>
              <w:top w:val="single" w:color="000000" w:sz="8" w:space="0"/>
              <w:left w:val="nil"/>
              <w:bottom w:val="single" w:color="000000" w:sz="8" w:space="0"/>
              <w:right w:val="single" w:color="000000" w:sz="8" w:space="0"/>
            </w:tcBorders>
            <w:shd w:val="clear" w:color="000000" w:fill="FFFFFF"/>
            <w:hideMark/>
          </w:tcPr>
          <w:p w:rsidR="00E61F54" w:rsidRDefault="00C06FFD">
            <w:pPr>
              <w:widowControl w:val="0"/>
              <w:tabs>
                <w:tab w:val="left" w:pos="540"/>
              </w:tabs>
            </w:pPr>
            <w:r>
              <w:t>$57.60</w:t>
            </w:r>
          </w:p>
        </w:tc>
        <w:tc>
          <w:tcPr>
            <w:tcW w:w="0" w:type="auto"/>
            <w:tcBorders>
              <w:top w:val="nil"/>
              <w:left w:val="nil"/>
              <w:bottom w:val="single" w:color="000000" w:sz="8" w:space="0"/>
              <w:right w:val="single" w:color="000000" w:sz="8" w:space="0"/>
            </w:tcBorders>
            <w:hideMark/>
          </w:tcPr>
          <w:p w:rsidR="00E61F54" w:rsidRDefault="00C06FFD">
            <w:pPr>
              <w:widowControl w:val="0"/>
              <w:tabs>
                <w:tab w:val="left" w:pos="540"/>
              </w:tabs>
            </w:pPr>
            <w:r>
              <w:t>$82.88</w:t>
            </w:r>
          </w:p>
        </w:tc>
        <w:tc>
          <w:tcPr>
            <w:tcW w:w="1687" w:type="dxa"/>
            <w:tcBorders>
              <w:top w:val="nil"/>
              <w:left w:val="nil"/>
              <w:bottom w:val="single" w:color="000000" w:sz="8" w:space="0"/>
              <w:right w:val="single" w:color="000000" w:sz="8" w:space="0"/>
            </w:tcBorders>
            <w:hideMark/>
          </w:tcPr>
          <w:p w:rsidR="00E61F54" w:rsidRDefault="00C06FFD">
            <w:pPr>
              <w:widowControl w:val="0"/>
              <w:tabs>
                <w:tab w:val="left" w:pos="540"/>
              </w:tabs>
            </w:pPr>
            <w:r>
              <w:t>10%</w:t>
            </w:r>
          </w:p>
        </w:tc>
      </w:tr>
      <w:tr w:rsidR="00E61F54">
        <w:trPr>
          <w:trHeight w:val="1172" w:hRule="exact"/>
        </w:trPr>
        <w:tc>
          <w:tcPr>
            <w:tcW w:w="0" w:type="auto"/>
            <w:tcBorders>
              <w:top w:val="nil"/>
              <w:left w:val="single" w:color="000000" w:sz="8" w:space="0"/>
              <w:bottom w:val="single" w:color="000000" w:sz="8" w:space="0"/>
              <w:right w:val="single" w:color="000000" w:sz="8" w:space="0"/>
            </w:tcBorders>
            <w:hideMark/>
          </w:tcPr>
          <w:p w:rsidR="00E61F54" w:rsidRDefault="00C06FFD">
            <w:pPr>
              <w:widowControl w:val="0"/>
              <w:tabs>
                <w:tab w:val="left" w:pos="540"/>
              </w:tabs>
            </w:pPr>
            <w:r>
              <w:t>15-1240</w:t>
            </w:r>
          </w:p>
        </w:tc>
        <w:tc>
          <w:tcPr>
            <w:tcW w:w="0" w:type="auto"/>
            <w:tcBorders>
              <w:top w:val="nil"/>
              <w:left w:val="nil"/>
              <w:bottom w:val="single" w:color="000000" w:sz="8" w:space="0"/>
              <w:right w:val="single" w:color="000000" w:sz="8" w:space="0"/>
            </w:tcBorders>
            <w:hideMark/>
          </w:tcPr>
          <w:p w:rsidR="00E61F54" w:rsidRDefault="00C06FFD">
            <w:pPr>
              <w:widowControl w:val="0"/>
              <w:tabs>
                <w:tab w:val="left" w:pos="540"/>
              </w:tabs>
            </w:pPr>
            <w:r>
              <w:t>Database and Network Administrators and Architects</w:t>
            </w:r>
          </w:p>
        </w:tc>
        <w:tc>
          <w:tcPr>
            <w:tcW w:w="0" w:type="auto"/>
            <w:tcBorders>
              <w:top w:val="single" w:color="000000" w:sz="8" w:space="0"/>
              <w:left w:val="nil"/>
              <w:bottom w:val="single" w:color="000000" w:sz="8" w:space="0"/>
              <w:right w:val="single" w:color="000000" w:sz="8" w:space="0"/>
            </w:tcBorders>
            <w:shd w:val="clear" w:color="000000" w:fill="FFFFFF"/>
            <w:hideMark/>
          </w:tcPr>
          <w:p w:rsidR="00E61F54" w:rsidRDefault="00C06FFD">
            <w:pPr>
              <w:widowControl w:val="0"/>
              <w:tabs>
                <w:tab w:val="left" w:pos="540"/>
              </w:tabs>
            </w:pPr>
            <w:r>
              <w:t>$45.72</w:t>
            </w:r>
          </w:p>
        </w:tc>
        <w:tc>
          <w:tcPr>
            <w:tcW w:w="0" w:type="auto"/>
            <w:tcBorders>
              <w:top w:val="nil"/>
              <w:left w:val="nil"/>
              <w:bottom w:val="single" w:color="000000" w:sz="8" w:space="0"/>
              <w:right w:val="single" w:color="000000" w:sz="8" w:space="0"/>
            </w:tcBorders>
            <w:hideMark/>
          </w:tcPr>
          <w:p w:rsidR="00E61F54" w:rsidRDefault="00C06FFD">
            <w:pPr>
              <w:widowControl w:val="0"/>
              <w:tabs>
                <w:tab w:val="left" w:pos="540"/>
              </w:tabs>
            </w:pPr>
            <w:r>
              <w:t>$65.78</w:t>
            </w:r>
          </w:p>
        </w:tc>
        <w:tc>
          <w:tcPr>
            <w:tcW w:w="1687" w:type="dxa"/>
            <w:tcBorders>
              <w:top w:val="nil"/>
              <w:left w:val="nil"/>
              <w:bottom w:val="single" w:color="000000" w:sz="8" w:space="0"/>
              <w:right w:val="single" w:color="000000" w:sz="8" w:space="0"/>
            </w:tcBorders>
            <w:hideMark/>
          </w:tcPr>
          <w:p w:rsidR="00E61F54" w:rsidRDefault="00C06FFD">
            <w:pPr>
              <w:widowControl w:val="0"/>
              <w:tabs>
                <w:tab w:val="left" w:pos="540"/>
              </w:tabs>
            </w:pPr>
            <w:r>
              <w:t>10%</w:t>
            </w:r>
          </w:p>
        </w:tc>
      </w:tr>
      <w:tr w:rsidR="00E61F54">
        <w:trPr>
          <w:trHeight w:val="812" w:hRule="exact"/>
        </w:trPr>
        <w:tc>
          <w:tcPr>
            <w:tcW w:w="0" w:type="auto"/>
            <w:tcBorders>
              <w:top w:val="nil"/>
              <w:left w:val="single" w:color="000000" w:sz="8" w:space="0"/>
              <w:bottom w:val="single" w:color="000000" w:sz="8" w:space="0"/>
              <w:right w:val="single" w:color="000000" w:sz="8" w:space="0"/>
            </w:tcBorders>
            <w:shd w:val="clear" w:color="auto" w:fill="D9E2F3" w:themeFill="accent1" w:themeFillTint="33"/>
            <w:hideMark/>
          </w:tcPr>
          <w:p w:rsidR="00E61F54" w:rsidRDefault="00C06FFD">
            <w:pPr>
              <w:widowControl w:val="0"/>
              <w:tabs>
                <w:tab w:val="left" w:pos="540"/>
              </w:tabs>
            </w:pPr>
            <w:r>
              <w:t>Total</w:t>
            </w:r>
          </w:p>
        </w:tc>
        <w:tc>
          <w:tcPr>
            <w:tcW w:w="0" w:type="auto"/>
            <w:tcBorders>
              <w:top w:val="nil"/>
              <w:left w:val="nil"/>
              <w:bottom w:val="single" w:color="000000" w:sz="8" w:space="0"/>
              <w:right w:val="single" w:color="000000" w:sz="8" w:space="0"/>
            </w:tcBorders>
            <w:shd w:val="clear" w:color="auto" w:fill="D9E2F3" w:themeFill="accent1" w:themeFillTint="33"/>
            <w:hideMark/>
          </w:tcPr>
          <w:p w:rsidR="00E61F54" w:rsidRDefault="00C06FFD">
            <w:pPr>
              <w:widowControl w:val="0"/>
              <w:tabs>
                <w:tab w:val="left" w:pos="540"/>
              </w:tabs>
            </w:pPr>
            <w:r>
              <w:t>Average Loaded Wage Rate</w:t>
            </w:r>
          </w:p>
        </w:tc>
        <w:tc>
          <w:tcPr>
            <w:tcW w:w="0" w:type="auto"/>
            <w:tcBorders>
              <w:top w:val="single" w:color="000000" w:sz="8" w:space="0"/>
              <w:left w:val="nil"/>
              <w:bottom w:val="single" w:color="000000" w:sz="8" w:space="0"/>
              <w:right w:val="single" w:color="000000" w:sz="8" w:space="0"/>
            </w:tcBorders>
            <w:shd w:val="clear" w:color="auto" w:fill="D9E2F3" w:themeFill="accent1" w:themeFillTint="33"/>
            <w:hideMark/>
          </w:tcPr>
          <w:p w:rsidR="00E61F54" w:rsidRDefault="00C06FFD">
            <w:pPr>
              <w:widowControl w:val="0"/>
              <w:tabs>
                <w:tab w:val="left" w:pos="540"/>
              </w:tabs>
            </w:pPr>
            <w:r>
              <w:t>$51.47</w:t>
            </w:r>
          </w:p>
        </w:tc>
        <w:tc>
          <w:tcPr>
            <w:tcW w:w="0" w:type="auto"/>
            <w:tcBorders>
              <w:top w:val="nil"/>
              <w:left w:val="nil"/>
              <w:bottom w:val="single" w:color="000000" w:sz="8" w:space="0"/>
              <w:right w:val="single" w:color="000000" w:sz="8" w:space="0"/>
            </w:tcBorders>
            <w:shd w:val="clear" w:color="auto" w:fill="D9E2F3" w:themeFill="accent1" w:themeFillTint="33"/>
            <w:hideMark/>
          </w:tcPr>
          <w:p w:rsidR="00E61F54" w:rsidRDefault="00C06FFD">
            <w:pPr>
              <w:widowControl w:val="0"/>
              <w:tabs>
                <w:tab w:val="left" w:pos="540"/>
              </w:tabs>
            </w:pPr>
            <w:r>
              <w:t>$74.05</w:t>
            </w:r>
          </w:p>
        </w:tc>
        <w:tc>
          <w:tcPr>
            <w:tcW w:w="1687" w:type="dxa"/>
            <w:tcBorders>
              <w:top w:val="nil"/>
              <w:left w:val="nil"/>
              <w:bottom w:val="single" w:color="000000" w:sz="8" w:space="0"/>
              <w:right w:val="single" w:color="000000" w:sz="8" w:space="0"/>
            </w:tcBorders>
            <w:shd w:val="clear" w:color="auto" w:fill="D9E2F3" w:themeFill="accent1" w:themeFillTint="33"/>
            <w:hideMark/>
          </w:tcPr>
          <w:p w:rsidR="00E61F54" w:rsidRDefault="00C06FFD">
            <w:pPr>
              <w:widowControl w:val="0"/>
              <w:tabs>
                <w:tab w:val="left" w:pos="540"/>
              </w:tabs>
            </w:pPr>
            <w:r>
              <w:t>100%</w:t>
            </w:r>
          </w:p>
        </w:tc>
      </w:tr>
    </w:tbl>
    <w:p w:rsidRPr="00812553" w:rsidR="00E61F54" w:rsidP="00812553" w:rsidRDefault="00C06FFD">
      <w:pPr>
        <w:widowControl w:val="0"/>
        <w:tabs>
          <w:tab w:val="left" w:pos="540"/>
        </w:tabs>
        <w:ind w:left="540"/>
        <w:rPr>
          <w:sz w:val="20"/>
        </w:rPr>
      </w:pPr>
      <w:r w:rsidRPr="00812553">
        <w:rPr>
          <w:sz w:val="20"/>
        </w:rPr>
        <w:t xml:space="preserve">Source: U.S. Department of Labor’s BLS March 2020 Occupational Employment Statistics (2019 Data), modified July 6, 2020, </w:t>
      </w:r>
      <w:hyperlink w:tgtFrame="_blank" w:history="1" r:id="rId10">
        <w:r w:rsidRPr="00812553">
          <w:rPr>
            <w:rStyle w:val="Hyperlink"/>
            <w:sz w:val="20"/>
          </w:rPr>
          <w:t>www.bls.gov/oes/tables.htm</w:t>
        </w:r>
      </w:hyperlink>
      <w:r w:rsidRPr="00812553">
        <w:rPr>
          <w:sz w:val="20"/>
        </w:rPr>
        <w:t>. [NAICS code: 486200 - Pipeline Transportation of Natural Gas] </w:t>
      </w:r>
    </w:p>
    <w:p w:rsidRPr="00812553" w:rsidR="00E61F54" w:rsidP="00812553" w:rsidRDefault="00C06FFD">
      <w:pPr>
        <w:widowControl w:val="0"/>
        <w:tabs>
          <w:tab w:val="left" w:pos="540"/>
        </w:tabs>
        <w:ind w:left="540"/>
        <w:rPr>
          <w:sz w:val="20"/>
        </w:rPr>
      </w:pPr>
      <w:r w:rsidRPr="00812553">
        <w:rPr>
          <w:sz w:val="20"/>
        </w:rPr>
        <w:t>Note: The wage rate was scaled upward to account for the total cost of performing these tasks. Wages composed an estimated 69.5% of total employee costs for private industry workers (BLS 2019), https://www.bls.gov/news.release/archives/ecec_06182019.pdf </w:t>
      </w:r>
    </w:p>
    <w:p w:rsidR="00E61F54" w:rsidRDefault="00C06FFD">
      <w:pPr>
        <w:widowControl w:val="0"/>
        <w:tabs>
          <w:tab w:val="left" w:pos="540"/>
        </w:tabs>
      </w:pPr>
      <w:r>
        <w:t> </w:t>
      </w:r>
    </w:p>
    <w:p w:rsidR="00E61F54" w:rsidRDefault="00C06FFD">
      <w:pPr>
        <w:widowControl w:val="0"/>
        <w:tabs>
          <w:tab w:val="left" w:pos="540"/>
        </w:tabs>
      </w:pPr>
      <w:r>
        <w:t xml:space="preserve">For each category of labor cost, PHMSA calculated those values based on the BLS data indicating that wages constitute 69.5 percent of total labor cost. For example, the total labor cost </w:t>
      </w:r>
      <w:r>
        <w:lastRenderedPageBreak/>
        <w:t>for compliance officers (second row of Table 2) is computed as follows: $38 / 69.5% = $54.75. </w:t>
      </w:r>
    </w:p>
    <w:p w:rsidR="00E61F54" w:rsidRDefault="00E61F54">
      <w:pPr>
        <w:widowControl w:val="0"/>
        <w:tabs>
          <w:tab w:val="left" w:pos="540"/>
        </w:tabs>
      </w:pPr>
    </w:p>
    <w:p w:rsidR="00E61F54" w:rsidRDefault="00C06FFD">
      <w:pPr>
        <w:widowControl w:val="0"/>
        <w:tabs>
          <w:tab w:val="left" w:pos="540"/>
        </w:tabs>
      </w:pPr>
      <w:r>
        <w:t>Based on these calculations, PHMSA estimates an average loaded wage rate of $74.05 per hour. This figure was calculated from the wage rates for the various occupation codes in North American Industry Classification System (NAICS) 486200 – Pipeline Transportation of Natural Gas.</w:t>
      </w:r>
    </w:p>
    <w:p w:rsidR="00E61F54" w:rsidRDefault="00E61F54"/>
    <w:p w:rsidR="00E61F54" w:rsidRDefault="00C06FFD">
      <w:r>
        <w:t>The total annual estimated costs for this information collection with all of the incorporated proposals would be $1,873,835 ($74.05 * 25,305 hours).</w:t>
      </w:r>
    </w:p>
    <w:p w:rsidR="00E61F54" w:rsidRDefault="00E61F54">
      <w:pPr>
        <w:rPr>
          <w:b/>
          <w:szCs w:val="24"/>
        </w:rPr>
      </w:pPr>
    </w:p>
    <w:p w:rsidR="00E61F54" w:rsidRDefault="00C06FFD">
      <w:pPr>
        <w:widowControl w:val="0"/>
        <w:tabs>
          <w:tab w:val="left" w:pos="540"/>
        </w:tabs>
        <w:rPr>
          <w:b/>
          <w:szCs w:val="24"/>
        </w:rPr>
      </w:pPr>
      <w:r>
        <w:rPr>
          <w:b/>
          <w:szCs w:val="24"/>
        </w:rPr>
        <w:t>14.</w:t>
      </w:r>
      <w:r>
        <w:rPr>
          <w:b/>
          <w:szCs w:val="24"/>
        </w:rPr>
        <w:tab/>
      </w:r>
      <w:r>
        <w:rPr>
          <w:b/>
          <w:szCs w:val="24"/>
          <w:u w:val="single"/>
        </w:rPr>
        <w:t>Estimates of costs to the Federal Government</w:t>
      </w:r>
      <w:r>
        <w:rPr>
          <w:b/>
          <w:szCs w:val="24"/>
        </w:rPr>
        <w:t xml:space="preserve">.  </w:t>
      </w:r>
    </w:p>
    <w:p w:rsidR="00E61F54" w:rsidRDefault="00E61F54">
      <w:pPr>
        <w:widowControl w:val="0"/>
        <w:tabs>
          <w:tab w:val="left" w:pos="540"/>
        </w:tabs>
        <w:rPr>
          <w:b/>
          <w:szCs w:val="24"/>
        </w:rPr>
      </w:pPr>
    </w:p>
    <w:p w:rsidR="00E61F54" w:rsidRDefault="00C06FFD">
      <w:pPr>
        <w:widowControl w:val="0"/>
        <w:tabs>
          <w:tab w:val="left" w:pos="540"/>
        </w:tabs>
      </w:pPr>
      <w:r>
        <w:t xml:space="preserve">The estimated cost to the Federal Government for the development, maintenance, and operation of the </w:t>
      </w:r>
      <w:proofErr w:type="spellStart"/>
      <w:r>
        <w:t>the</w:t>
      </w:r>
      <w:proofErr w:type="spellEnd"/>
      <w:r>
        <w:t xml:space="preserve"> Gas Distribution Annual Report data collection is approximately </w:t>
      </w:r>
      <w:r w:rsidRPr="008A6895">
        <w:t>$76,700.00</w:t>
      </w:r>
      <w:r>
        <w:t xml:space="preserve">.  This estimate includes the costs of acquiring contractor time (3 man months total using a blended rate for developers, database admin, and analysts for requirements and testing.  This also includes the  annual Operations &amp;Maintenance costs which are estimated to be $15,000 for contractor support to address any issues, correct operator reports, if needed, and to patch/upgrade software and hardware as required.  There is an additional $1, 700 for Federal FTE to manage the operations and maintenance of the application, which includes user support.  </w:t>
      </w:r>
    </w:p>
    <w:p w:rsidR="00E61F54" w:rsidRDefault="00E61F54">
      <w:pPr>
        <w:widowControl w:val="0"/>
        <w:tabs>
          <w:tab w:val="left" w:pos="540"/>
        </w:tabs>
        <w:rPr>
          <w:color w:val="FF0000"/>
          <w:szCs w:val="24"/>
        </w:rPr>
      </w:pPr>
    </w:p>
    <w:p w:rsidR="00E61F54" w:rsidRDefault="00C06FFD">
      <w:pPr>
        <w:widowControl w:val="0"/>
        <w:numPr>
          <w:ilvl w:val="0"/>
          <w:numId w:val="10"/>
        </w:numPr>
        <w:tabs>
          <w:tab w:val="clear" w:pos="720"/>
          <w:tab w:val="num" w:pos="0"/>
          <w:tab w:val="left" w:pos="540"/>
        </w:tabs>
        <w:ind w:left="0" w:firstLine="0"/>
        <w:rPr>
          <w:b/>
          <w:szCs w:val="24"/>
        </w:rPr>
      </w:pPr>
      <w:r>
        <w:rPr>
          <w:b/>
          <w:szCs w:val="24"/>
          <w:u w:val="single"/>
        </w:rPr>
        <w:t>Explanation of the program change or adjustments</w:t>
      </w:r>
      <w:r>
        <w:rPr>
          <w:b/>
          <w:szCs w:val="24"/>
        </w:rPr>
        <w:t xml:space="preserve">.  </w:t>
      </w:r>
    </w:p>
    <w:p w:rsidR="00E61F54" w:rsidRDefault="00E61F54">
      <w:pPr>
        <w:autoSpaceDE w:val="0"/>
        <w:autoSpaceDN w:val="0"/>
        <w:rPr>
          <w:szCs w:val="24"/>
        </w:rPr>
      </w:pPr>
    </w:p>
    <w:p w:rsidR="00E61F54" w:rsidRDefault="00C06FFD">
      <w:pPr>
        <w:autoSpaceDE w:val="0"/>
        <w:autoSpaceDN w:val="0"/>
        <w:rPr>
          <w:szCs w:val="24"/>
        </w:rPr>
      </w:pPr>
      <w:r>
        <w:t xml:space="preserve">Due to </w:t>
      </w:r>
      <w:r>
        <w:rPr>
          <w:bCs/>
        </w:rPr>
        <w:t>the provisions in the Pipeline Safety:</w:t>
      </w:r>
      <w:r>
        <w:rPr>
          <w:rFonts w:ascii="Segoe UI" w:hAnsi="Segoe UI" w:cs="Segoe UI"/>
          <w:bCs/>
        </w:rPr>
        <w:t>  </w:t>
      </w:r>
      <w:r>
        <w:rPr>
          <w:bCs/>
        </w:rPr>
        <w:t xml:space="preserve">Gas Pipeline Regulatory Reform </w:t>
      </w:r>
      <w:r w:rsidR="00812553">
        <w:rPr>
          <w:bCs/>
        </w:rPr>
        <w:t>Final Rule</w:t>
      </w:r>
      <w:r>
        <w:rPr>
          <w:bCs/>
        </w:rPr>
        <w:t xml:space="preserve">, </w:t>
      </w:r>
      <w:r>
        <w:rPr>
          <w:iCs/>
        </w:rPr>
        <w:t>PHMSA is revising the Gas Distribution Annual Report to collect the total number of mechanical joint failures that occur within a calendar year.</w:t>
      </w:r>
    </w:p>
    <w:p w:rsidR="00E61F54" w:rsidRDefault="00E61F54">
      <w:pPr>
        <w:widowControl w:val="0"/>
        <w:tabs>
          <w:tab w:val="left" w:pos="540"/>
        </w:tabs>
        <w:rPr>
          <w:b/>
          <w:szCs w:val="24"/>
        </w:rPr>
      </w:pPr>
    </w:p>
    <w:p w:rsidR="00E61F54" w:rsidRDefault="00C06FFD">
      <w:pPr>
        <w:widowControl w:val="0"/>
        <w:tabs>
          <w:tab w:val="left" w:pos="540"/>
        </w:tabs>
        <w:rPr>
          <w:b/>
          <w:szCs w:val="24"/>
        </w:rPr>
      </w:pPr>
      <w:r>
        <w:rPr>
          <w:b/>
          <w:szCs w:val="24"/>
        </w:rPr>
        <w:t>16.</w:t>
      </w:r>
      <w:r>
        <w:rPr>
          <w:b/>
          <w:szCs w:val="24"/>
        </w:rPr>
        <w:tab/>
      </w:r>
      <w:r>
        <w:rPr>
          <w:b/>
          <w:szCs w:val="24"/>
          <w:u w:val="single"/>
        </w:rPr>
        <w:t>Publication of results of data collection</w:t>
      </w:r>
      <w:r>
        <w:rPr>
          <w:b/>
          <w:szCs w:val="24"/>
        </w:rPr>
        <w:t xml:space="preserve">.  </w:t>
      </w:r>
    </w:p>
    <w:p w:rsidR="00E61F54" w:rsidRDefault="00E61F54">
      <w:pPr>
        <w:widowControl w:val="0"/>
        <w:tabs>
          <w:tab w:val="left" w:pos="540"/>
        </w:tabs>
        <w:ind w:left="720"/>
        <w:rPr>
          <w:b/>
          <w:szCs w:val="24"/>
        </w:rPr>
      </w:pPr>
    </w:p>
    <w:p w:rsidR="00E61F54" w:rsidRDefault="00C06FFD">
      <w:pPr>
        <w:rPr>
          <w:i/>
        </w:rPr>
      </w:pPr>
      <w:r>
        <w:t>PHMSA summarizes the annual report data on its public website and makes the entire data set available for download.</w:t>
      </w:r>
    </w:p>
    <w:p w:rsidR="00E61F54" w:rsidRDefault="00E61F54">
      <w:pPr>
        <w:widowControl w:val="0"/>
        <w:tabs>
          <w:tab w:val="left" w:pos="540"/>
        </w:tabs>
        <w:rPr>
          <w:szCs w:val="24"/>
        </w:rPr>
      </w:pPr>
    </w:p>
    <w:p w:rsidR="00E61F54" w:rsidRDefault="00C06FFD">
      <w:pPr>
        <w:widowControl w:val="0"/>
        <w:tabs>
          <w:tab w:val="left" w:pos="540"/>
        </w:tabs>
        <w:rPr>
          <w:b/>
          <w:szCs w:val="24"/>
        </w:rPr>
      </w:pPr>
      <w:r>
        <w:rPr>
          <w:b/>
          <w:szCs w:val="24"/>
        </w:rPr>
        <w:t>17.</w:t>
      </w:r>
      <w:r>
        <w:rPr>
          <w:b/>
          <w:szCs w:val="24"/>
        </w:rPr>
        <w:tab/>
      </w:r>
      <w:r>
        <w:rPr>
          <w:b/>
          <w:szCs w:val="24"/>
          <w:u w:val="single"/>
        </w:rPr>
        <w:t>Approval for not displaying the expiration date of OMB approval</w:t>
      </w:r>
      <w:r>
        <w:rPr>
          <w:b/>
          <w:szCs w:val="24"/>
        </w:rPr>
        <w:t xml:space="preserve">.  </w:t>
      </w:r>
    </w:p>
    <w:p w:rsidR="00E61F54" w:rsidRDefault="00E61F54">
      <w:pPr>
        <w:widowControl w:val="0"/>
        <w:tabs>
          <w:tab w:val="left" w:pos="540"/>
        </w:tabs>
        <w:rPr>
          <w:b/>
          <w:szCs w:val="24"/>
        </w:rPr>
      </w:pPr>
    </w:p>
    <w:p w:rsidR="00E61F54" w:rsidRDefault="00C06FFD">
      <w:r>
        <w:t>PHMSA will display the expiration date.</w:t>
      </w:r>
    </w:p>
    <w:p w:rsidR="00E61F54" w:rsidRDefault="00E61F54">
      <w:pPr>
        <w:widowControl w:val="0"/>
        <w:tabs>
          <w:tab w:val="left" w:pos="540"/>
        </w:tabs>
        <w:rPr>
          <w:b/>
          <w:szCs w:val="24"/>
        </w:rPr>
      </w:pPr>
    </w:p>
    <w:p w:rsidR="00E61F54" w:rsidRDefault="00C06FFD">
      <w:pPr>
        <w:widowControl w:val="0"/>
        <w:numPr>
          <w:ilvl w:val="0"/>
          <w:numId w:val="18"/>
        </w:numPr>
        <w:tabs>
          <w:tab w:val="clear" w:pos="900"/>
          <w:tab w:val="num" w:pos="0"/>
          <w:tab w:val="left" w:pos="540"/>
        </w:tabs>
        <w:ind w:left="0" w:firstLine="0"/>
        <w:rPr>
          <w:bCs/>
        </w:rPr>
      </w:pPr>
      <w:r>
        <w:rPr>
          <w:b/>
          <w:szCs w:val="24"/>
          <w:u w:val="single"/>
        </w:rPr>
        <w:t>Exceptions to the certification statement</w:t>
      </w:r>
      <w:r>
        <w:rPr>
          <w:b/>
          <w:szCs w:val="24"/>
        </w:rPr>
        <w:t xml:space="preserve">.  </w:t>
      </w:r>
    </w:p>
    <w:p w:rsidR="00E61F54" w:rsidRDefault="00E61F54">
      <w:pPr>
        <w:widowControl w:val="0"/>
        <w:tabs>
          <w:tab w:val="left" w:pos="540"/>
        </w:tabs>
        <w:rPr>
          <w:b/>
          <w:szCs w:val="24"/>
          <w:u w:val="single"/>
        </w:rPr>
      </w:pPr>
    </w:p>
    <w:p w:rsidR="00E61F54" w:rsidRDefault="00C06FFD">
      <w:pPr>
        <w:widowControl w:val="0"/>
        <w:tabs>
          <w:tab w:val="left" w:pos="540"/>
        </w:tabs>
        <w:rPr>
          <w:bCs/>
        </w:rPr>
      </w:pPr>
      <w:r>
        <w:rPr>
          <w:bCs/>
        </w:rPr>
        <w:t>There are no exceptions to the certification statement.</w:t>
      </w:r>
      <w:r>
        <w:rPr>
          <w:b/>
          <w:szCs w:val="24"/>
        </w:rPr>
        <w:t xml:space="preserve"> </w:t>
      </w:r>
    </w:p>
    <w:p w:rsidR="00E61F54" w:rsidRDefault="00C06FFD">
      <w:pPr>
        <w:widowControl w:val="0"/>
        <w:tabs>
          <w:tab w:val="left" w:pos="540"/>
        </w:tabs>
        <w:rPr>
          <w:b/>
          <w:szCs w:val="24"/>
        </w:rPr>
      </w:pPr>
      <w:r>
        <w:rPr>
          <w:b/>
          <w:szCs w:val="24"/>
        </w:rPr>
        <w:t xml:space="preserve"> </w:t>
      </w:r>
    </w:p>
    <w:p w:rsidR="00E61F54" w:rsidRDefault="00E61F54">
      <w:pPr>
        <w:widowControl w:val="0"/>
        <w:ind w:left="720"/>
        <w:rPr>
          <w:szCs w:val="24"/>
        </w:rPr>
      </w:pPr>
    </w:p>
    <w:sectPr w:rsidR="00E61F54">
      <w:headerReference w:type="even" r:id="rId11"/>
      <w:headerReference w:type="default" r:id="rId12"/>
      <w:footerReference w:type="even" r:id="rId13"/>
      <w:footerReference w:type="default" r:id="rId14"/>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F54" w:rsidRDefault="00C06FFD">
      <w:r>
        <w:separator/>
      </w:r>
    </w:p>
  </w:endnote>
  <w:endnote w:type="continuationSeparator" w:id="0">
    <w:p w:rsidR="00E61F54" w:rsidRDefault="00C0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F54" w:rsidRDefault="00E61F54">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F54" w:rsidRDefault="00E61F54">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F54" w:rsidRDefault="00C06FFD">
      <w:r>
        <w:separator/>
      </w:r>
    </w:p>
  </w:footnote>
  <w:footnote w:type="continuationSeparator" w:id="0">
    <w:p w:rsidR="00E61F54" w:rsidRDefault="00C0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F54" w:rsidRDefault="00C06F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403A">
      <w:rPr>
        <w:rStyle w:val="PageNumber"/>
        <w:noProof/>
      </w:rPr>
      <w:t>4</w:t>
    </w:r>
    <w:r>
      <w:rPr>
        <w:rStyle w:val="PageNumber"/>
      </w:rPr>
      <w:fldChar w:fldCharType="end"/>
    </w:r>
  </w:p>
  <w:p w:rsidR="00E61F54" w:rsidRDefault="00E61F54">
    <w:pPr>
      <w:widowControl w:val="0"/>
    </w:pPr>
  </w:p>
  <w:p w:rsidR="00E61F54" w:rsidRDefault="00E61F54">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F54" w:rsidRDefault="00C06F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403A">
      <w:rPr>
        <w:rStyle w:val="PageNumber"/>
        <w:noProof/>
      </w:rPr>
      <w:t>5</w:t>
    </w:r>
    <w:r>
      <w:rPr>
        <w:rStyle w:val="PageNumber"/>
      </w:rPr>
      <w:fldChar w:fldCharType="end"/>
    </w:r>
  </w:p>
  <w:p w:rsidR="00E61F54" w:rsidRDefault="00E61F54">
    <w:pPr>
      <w:widowControl w:val="0"/>
    </w:pPr>
  </w:p>
  <w:p w:rsidR="00E61F54" w:rsidRDefault="00E61F54">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15:restartNumberingAfterBreak="0">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15:restartNumberingAfterBreak="0">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15:restartNumberingAfterBreak="0">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15:restartNumberingAfterBreak="0">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15:restartNumberingAfterBreak="0">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2629F4"/>
    <w:multiLevelType w:val="hybridMultilevel"/>
    <w:tmpl w:val="3D22CB70"/>
    <w:lvl w:ilvl="0" w:tplc="133658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0"/>
  </w:num>
  <w:num w:numId="10">
    <w:abstractNumId w:val="16"/>
  </w:num>
  <w:num w:numId="11">
    <w:abstractNumId w:val="18"/>
  </w:num>
  <w:num w:numId="12">
    <w:abstractNumId w:val="8"/>
  </w:num>
  <w:num w:numId="13">
    <w:abstractNumId w:val="11"/>
  </w:num>
  <w:num w:numId="14">
    <w:abstractNumId w:val="14"/>
  </w:num>
  <w:num w:numId="15">
    <w:abstractNumId w:val="17"/>
  </w:num>
  <w:num w:numId="16">
    <w:abstractNumId w:val="12"/>
  </w:num>
  <w:num w:numId="17">
    <w:abstractNumId w:val="21"/>
  </w:num>
  <w:num w:numId="18">
    <w:abstractNumId w:val="15"/>
  </w:num>
  <w:num w:numId="19">
    <w:abstractNumId w:val="10"/>
  </w:num>
  <w:num w:numId="20">
    <w:abstractNumId w:val="23"/>
  </w:num>
  <w:num w:numId="21">
    <w:abstractNumId w:val="13"/>
  </w:num>
  <w:num w:numId="22">
    <w:abstractNumId w:val="19"/>
  </w:num>
  <w:num w:numId="23">
    <w:abstractNumId w:val="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F54"/>
    <w:rsid w:val="0017403A"/>
    <w:rsid w:val="004C7568"/>
    <w:rsid w:val="00812553"/>
    <w:rsid w:val="008A6895"/>
    <w:rsid w:val="00AC3796"/>
    <w:rsid w:val="00C06FFD"/>
    <w:rsid w:val="00E61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A8BB1AC"/>
  <w15:chartTrackingRefBased/>
  <w15:docId w15:val="{18228B6F-22EA-4C8B-B76A-5A85F03F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uiPriority w:val="99"/>
    <w:unhideWhenUsed/>
    <w:rPr>
      <w:sz w:val="16"/>
      <w:szCs w:val="16"/>
    </w:rPr>
  </w:style>
  <w:style w:type="character" w:styleId="FootnoteReference">
    <w:name w:val="footnote reference"/>
    <w:rPr>
      <w:rFonts w:ascii="Times New Roman" w:hAnsi="Times New Roman"/>
      <w:vertAlign w:val="superscript"/>
    </w:rPr>
  </w:style>
  <w:style w:type="paragraph" w:styleId="FootnoteText">
    <w:name w:val="footnote text"/>
    <w:basedOn w:val="Normal"/>
    <w:link w:val="FootnoteTextChar"/>
    <w:pPr>
      <w:widowControl w:val="0"/>
      <w:autoSpaceDE w:val="0"/>
      <w:autoSpaceDN w:val="0"/>
      <w:adjustRightInd w:val="0"/>
    </w:pPr>
    <w:rPr>
      <w:sz w:val="20"/>
    </w:rPr>
  </w:style>
  <w:style w:type="character" w:customStyle="1" w:styleId="FootnoteTextChar">
    <w:name w:val="Footnote Text Char"/>
    <w:basedOn w:val="DefaultParagraphFont"/>
    <w:link w:val="FootnoteText"/>
  </w:style>
  <w:style w:type="character" w:styleId="Hyperlink">
    <w:name w:val="Hyperlink"/>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ls.gov/oes/table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B9934-E710-4008-A6E5-87173975F22B}">
  <ds:schemaRef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8EE4F96-BE1E-4425-AA33-8AC34A855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BAD07E6-CF61-4CAB-B6E1-60C47BE26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1522</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10370</CharactersWithSpaces>
  <SharedDoc>false</SharedDoc>
  <HLinks>
    <vt:vector size="6" baseType="variant">
      <vt:variant>
        <vt:i4>2031655</vt:i4>
      </vt:variant>
      <vt:variant>
        <vt:i4>0</vt:i4>
      </vt:variant>
      <vt:variant>
        <vt:i4>0</vt:i4>
      </vt:variant>
      <vt:variant>
        <vt:i4>5</vt:i4>
      </vt:variant>
      <vt:variant>
        <vt:lpwstr>https://www.bls.gov/oes/current/naics3_486000.htm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frauser1</dc:creator>
  <cp:keywords/>
  <cp:lastModifiedBy>Hill, Angela (PHMSA)</cp:lastModifiedBy>
  <cp:revision>2</cp:revision>
  <cp:lastPrinted>2009-07-23T15:59:00Z</cp:lastPrinted>
  <dcterms:created xsi:type="dcterms:W3CDTF">2021-02-11T16:47:00Z</dcterms:created>
  <dcterms:modified xsi:type="dcterms:W3CDTF">2021-02-11T16:47:00Z</dcterms:modified>
</cp:coreProperties>
</file>