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C5555" w:rsidR="00FC5555" w:rsidP="00FC5555" w:rsidRDefault="00FC5555" w14:paraId="71ECAE77" w14:textId="3D48A42A">
      <w:pPr>
        <w:jc w:val="center"/>
        <w:rPr>
          <w:b/>
        </w:rPr>
      </w:pPr>
      <w:r w:rsidRPr="00FC5555">
        <w:rPr>
          <w:b/>
        </w:rPr>
        <w:t>Supporting Statement for Paperwork Reduction Act Submission, Part A</w:t>
      </w:r>
    </w:p>
    <w:p w:rsidR="00FC5555" w:rsidP="00FC5555" w:rsidRDefault="00AB27C6" w14:paraId="1FEE061D" w14:textId="07FECFF5">
      <w:pPr>
        <w:jc w:val="center"/>
        <w:rPr>
          <w:b/>
        </w:rPr>
      </w:pPr>
      <w:r>
        <w:rPr>
          <w:b/>
        </w:rPr>
        <w:t>Rental Assistance Demonstration (</w:t>
      </w:r>
      <w:r w:rsidRPr="002065A4" w:rsidR="002065A4">
        <w:rPr>
          <w:b/>
        </w:rPr>
        <w:t>RAD</w:t>
      </w:r>
      <w:r>
        <w:rPr>
          <w:b/>
        </w:rPr>
        <w:t>)</w:t>
      </w:r>
      <w:r w:rsidRPr="002065A4" w:rsidR="002065A4">
        <w:rPr>
          <w:b/>
        </w:rPr>
        <w:t xml:space="preserve"> Choice Mobility</w:t>
      </w:r>
      <w:r>
        <w:rPr>
          <w:b/>
        </w:rPr>
        <w:t xml:space="preserve"> and</w:t>
      </w:r>
      <w:r w:rsidRPr="002065A4" w:rsidR="002065A4">
        <w:rPr>
          <w:b/>
        </w:rPr>
        <w:t xml:space="preserve"> Long-term Affordability </w:t>
      </w:r>
      <w:r>
        <w:rPr>
          <w:b/>
        </w:rPr>
        <w:t>Evaluation</w:t>
      </w:r>
    </w:p>
    <w:p w:rsidRPr="00FC5555" w:rsidR="004B7012" w:rsidP="00FC5555" w:rsidRDefault="004B7012" w14:paraId="557C91F1" w14:textId="751E171B">
      <w:pPr>
        <w:jc w:val="center"/>
        <w:rPr>
          <w:b/>
        </w:rPr>
      </w:pPr>
      <w:r>
        <w:rPr>
          <w:b/>
        </w:rPr>
        <w:t>(OMB Number 2528-New)</w:t>
      </w:r>
    </w:p>
    <w:p w:rsidRPr="004D5244" w:rsidR="00C71131" w:rsidP="009F7B85" w:rsidRDefault="00C71131" w14:paraId="2C0A1F95" w14:textId="77777777">
      <w:pPr>
        <w:pStyle w:val="Heading2"/>
        <w:numPr>
          <w:ilvl w:val="4"/>
          <w:numId w:val="7"/>
        </w:numPr>
        <w:ind w:left="360"/>
        <w:rPr>
          <w:rFonts w:ascii="Times New Roman" w:hAnsi="Times New Roman" w:cs="Times New Roman"/>
          <w:color w:val="auto"/>
          <w:sz w:val="24"/>
        </w:rPr>
      </w:pPr>
      <w:bookmarkStart w:name="_Toc390342965" w:id="0"/>
      <w:r w:rsidRPr="004D5244">
        <w:rPr>
          <w:rFonts w:ascii="Times New Roman" w:hAnsi="Times New Roman" w:cs="Times New Roman"/>
          <w:color w:val="auto"/>
          <w:sz w:val="24"/>
        </w:rPr>
        <w:t>JUSTIFICATION</w:t>
      </w:r>
      <w:bookmarkEnd w:id="0"/>
    </w:p>
    <w:p w:rsidR="00C71131" w:rsidP="009F7B85" w:rsidRDefault="002503AA" w14:paraId="1B6A6415" w14:textId="01E5866A">
      <w:pPr>
        <w:numPr>
          <w:ilvl w:val="0"/>
          <w:numId w:val="5"/>
        </w:numPr>
        <w:ind w:left="360"/>
      </w:pPr>
      <w:r w:rsidRPr="008064C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71131">
        <w:rPr>
          <w:b/>
          <w:bCs/>
          <w:u w:val="single"/>
        </w:rPr>
        <w:t>.</w:t>
      </w:r>
    </w:p>
    <w:p w:rsidR="00C71131" w:rsidP="00C71131" w:rsidRDefault="00C71131" w14:paraId="5B8E4202" w14:textId="77777777">
      <w:pPr>
        <w:jc w:val="both"/>
      </w:pPr>
    </w:p>
    <w:p w:rsidR="00AB538B" w:rsidP="004B7012" w:rsidRDefault="004B7012" w14:paraId="10EAD279" w14:textId="73AFFD1B">
      <w:pPr>
        <w:tabs>
          <w:tab w:val="left" w:pos="360"/>
        </w:tabs>
        <w:autoSpaceDE w:val="0"/>
        <w:autoSpaceDN w:val="0"/>
        <w:adjustRightInd w:val="0"/>
        <w:jc w:val="both"/>
      </w:pPr>
      <w:r>
        <w:t xml:space="preserve">This ICR is a new request. </w:t>
      </w:r>
      <w:r w:rsidRPr="00203821" w:rsidR="00AB538B">
        <w:t>The R</w:t>
      </w:r>
      <w:r w:rsidR="00AB538B">
        <w:t>ental Assistance Demonstration (R</w:t>
      </w:r>
      <w:r w:rsidRPr="00203821" w:rsidR="00AB538B">
        <w:t>AD</w:t>
      </w:r>
      <w:r w:rsidR="00AB538B">
        <w:t>)</w:t>
      </w:r>
      <w:r w:rsidRPr="00203821" w:rsidR="00AB538B">
        <w:t xml:space="preserve"> was authorized under the Consolidated and Further Continuing Appropriations Act of 2012 to enable </w:t>
      </w:r>
      <w:r w:rsidR="00F755DD">
        <w:t>Public Housing Agencies (</w:t>
      </w:r>
      <w:r w:rsidRPr="00203821" w:rsidR="00AB538B">
        <w:t>PHAs</w:t>
      </w:r>
      <w:r w:rsidR="00F755DD">
        <w:t>)</w:t>
      </w:r>
      <w:r w:rsidRPr="00203821" w:rsidR="00AB538B">
        <w:t xml:space="preserve"> to convert public housing into project-based Section 8 housing</w:t>
      </w:r>
      <w:r w:rsidR="00AB538B">
        <w:t xml:space="preserve">. Conversion </w:t>
      </w:r>
      <w:r w:rsidRPr="00203821" w:rsidR="00AB538B">
        <w:t>address</w:t>
      </w:r>
      <w:r w:rsidR="00AB538B">
        <w:t>es</w:t>
      </w:r>
      <w:r w:rsidRPr="00203821" w:rsidR="00AB538B">
        <w:t xml:space="preserve"> </w:t>
      </w:r>
      <w:r w:rsidR="00AB538B">
        <w:t xml:space="preserve">projects’ </w:t>
      </w:r>
      <w:r w:rsidRPr="00203821" w:rsidR="00AB538B">
        <w:t>short-term capital needs and preserve</w:t>
      </w:r>
      <w:r w:rsidR="00AB538B">
        <w:t>s</w:t>
      </w:r>
      <w:r w:rsidRPr="00203821" w:rsidR="00AB538B">
        <w:t xml:space="preserve"> </w:t>
      </w:r>
      <w:r w:rsidR="00AB538B">
        <w:t xml:space="preserve">their </w:t>
      </w:r>
      <w:r w:rsidRPr="00203821" w:rsidR="00AB538B">
        <w:t>long-</w:t>
      </w:r>
      <w:r w:rsidR="00F755DD">
        <w:t>term</w:t>
      </w:r>
      <w:r w:rsidR="00EF0128">
        <w:t xml:space="preserve"> physical and financial</w:t>
      </w:r>
      <w:r w:rsidRPr="00203821" w:rsidR="00AB538B">
        <w:t xml:space="preserve"> viability</w:t>
      </w:r>
      <w:r w:rsidR="00AB538B">
        <w:t>,</w:t>
      </w:r>
      <w:r w:rsidRPr="00203821" w:rsidR="00AB538B">
        <w:t xml:space="preserve"> while </w:t>
      </w:r>
      <w:r w:rsidR="00AB538B">
        <w:t xml:space="preserve">other program requirements </w:t>
      </w:r>
      <w:r w:rsidRPr="00203821" w:rsidR="00AB538B">
        <w:t>protect resident rights</w:t>
      </w:r>
      <w:r w:rsidR="00AB538B">
        <w:t xml:space="preserve">. The program can also </w:t>
      </w:r>
      <w:r w:rsidRPr="00203821" w:rsidR="00AB538B">
        <w:t xml:space="preserve">offer tenant-based vouchers </w:t>
      </w:r>
      <w:r w:rsidR="00AB538B">
        <w:t>under the c</w:t>
      </w:r>
      <w:r w:rsidRPr="00203821" w:rsidR="00AB538B">
        <w:t xml:space="preserve">hoice </w:t>
      </w:r>
      <w:r w:rsidR="00AB538B">
        <w:t>m</w:t>
      </w:r>
      <w:r w:rsidRPr="00203821" w:rsidR="00AB538B">
        <w:t>obility option</w:t>
      </w:r>
      <w:r w:rsidR="00AB538B">
        <w:t xml:space="preserve"> to</w:t>
      </w:r>
      <w:r w:rsidRPr="005C7F13" w:rsidR="00AB538B">
        <w:t xml:space="preserve"> residents</w:t>
      </w:r>
      <w:r w:rsidR="00AB538B">
        <w:t xml:space="preserve"> after they have lived in the converted property for </w:t>
      </w:r>
      <w:proofErr w:type="gramStart"/>
      <w:r w:rsidR="00AB538B">
        <w:t>a period of time</w:t>
      </w:r>
      <w:proofErr w:type="gramEnd"/>
      <w:r w:rsidR="009B608A">
        <w:t>.</w:t>
      </w:r>
    </w:p>
    <w:p w:rsidR="00AB538B" w:rsidP="00A50C15" w:rsidRDefault="00AB538B" w14:paraId="337E312A" w14:textId="77777777">
      <w:pPr>
        <w:tabs>
          <w:tab w:val="left" w:pos="360"/>
        </w:tabs>
        <w:autoSpaceDE w:val="0"/>
        <w:autoSpaceDN w:val="0"/>
        <w:adjustRightInd w:val="0"/>
        <w:jc w:val="both"/>
      </w:pPr>
    </w:p>
    <w:p w:rsidR="00FF5917" w:rsidP="00FF5917" w:rsidRDefault="00FF5917" w14:paraId="77A5F4BE" w14:textId="19E8AAC3">
      <w:pPr>
        <w:jc w:val="both"/>
      </w:pPr>
      <w:r>
        <w:t xml:space="preserve">Participation in RAD is voluntary for PHAs. </w:t>
      </w:r>
      <w:r w:rsidRPr="00A53728">
        <w:t xml:space="preserve">Before applying for RAD, the PHA must </w:t>
      </w:r>
      <w:r>
        <w:t>set</w:t>
      </w:r>
      <w:r w:rsidRPr="00A53728">
        <w:t xml:space="preserve"> initial goals for the conversion and identify potential and available resources for meeting </w:t>
      </w:r>
      <w:r>
        <w:t xml:space="preserve">those </w:t>
      </w:r>
      <w:r w:rsidRPr="00A53728">
        <w:t xml:space="preserve">goals. </w:t>
      </w:r>
      <w:r>
        <w:t>P</w:t>
      </w:r>
      <w:r w:rsidRPr="00A53728">
        <w:t xml:space="preserve">lanning begins with identifying projects </w:t>
      </w:r>
      <w:r>
        <w:t xml:space="preserve">to be </w:t>
      </w:r>
      <w:r w:rsidRPr="00A53728">
        <w:t>conver</w:t>
      </w:r>
      <w:r>
        <w:t>ted</w:t>
      </w:r>
      <w:r w:rsidRPr="00A53728">
        <w:t xml:space="preserve">. PHAs need to communicate with residents regarding the </w:t>
      </w:r>
      <w:r>
        <w:t xml:space="preserve">intended </w:t>
      </w:r>
      <w:r w:rsidRPr="00A53728">
        <w:t xml:space="preserve">conversion </w:t>
      </w:r>
      <w:r>
        <w:t>before</w:t>
      </w:r>
      <w:r w:rsidRPr="00A53728">
        <w:t xml:space="preserve"> appl</w:t>
      </w:r>
      <w:r>
        <w:t>ying under RAD and</w:t>
      </w:r>
      <w:r w:rsidRPr="00A53728">
        <w:t xml:space="preserve"> </w:t>
      </w:r>
      <w:r>
        <w:t>must hold</w:t>
      </w:r>
      <w:r w:rsidRPr="00A53728">
        <w:t xml:space="preserve"> at least two resident meetings.</w:t>
      </w:r>
      <w:r>
        <w:t xml:space="preserve"> The PHA prepares and submits the RAD application to HUD’s Office of Recapitalization, which reviews it and works with the PHA to obtain initial approval through a</w:t>
      </w:r>
      <w:r w:rsidRPr="001E4DF6">
        <w:t xml:space="preserve"> Commitment to </w:t>
      </w:r>
      <w:proofErr w:type="gramStart"/>
      <w:r w:rsidRPr="001E4DF6">
        <w:t>enter into</w:t>
      </w:r>
      <w:proofErr w:type="gramEnd"/>
      <w:r w:rsidRPr="001E4DF6">
        <w:t xml:space="preserve"> a Housing Assistance Payment (CHAP)</w:t>
      </w:r>
      <w:r>
        <w:t xml:space="preserve"> contract. After several weeks or months, during which the PHA secures financing commitments and finalizes its conversion plans, HUD issues a RAD Conversion Commitment (RCC). After receiving HUD’s final approval, the RAD transaction can go to closing, where all legal documents are executed, and the conversion goes into effect. </w:t>
      </w:r>
      <w:r w:rsidRPr="00482206">
        <w:t xml:space="preserve">Units that convert under RAD are removed from the public housing program. </w:t>
      </w:r>
    </w:p>
    <w:p w:rsidRPr="00A53728" w:rsidR="00FF5917" w:rsidP="00FF5917" w:rsidRDefault="00FF5917" w14:paraId="34AB05ED" w14:textId="77777777"/>
    <w:p w:rsidR="00FF5917" w:rsidP="00FF5917" w:rsidRDefault="00FF5917" w14:paraId="200F13F7" w14:textId="77777777">
      <w:pPr>
        <w:jc w:val="both"/>
      </w:pPr>
      <w:r>
        <w:t xml:space="preserve">After closing, converted properties replace their conventional public housing support (funded through Section 9 of the U.S. Housing Act of 1937) with an assisted housing subsidy (funded through Section 8 of the U.S. Housing Act of 1937). The Section 8 contract is project-based, long-term, and subject to the requirement that it be renewed. In addition, at the choice of the PHA, the Section 8 contract can be either PBV, which is administered by HUD’s Office of Public and Indian Housing (PIH), or PBRA, which is administered by HUD’s Office of Multifamily Housing. </w:t>
      </w:r>
    </w:p>
    <w:p w:rsidR="00FF5917" w:rsidP="00FF5917" w:rsidRDefault="00FF5917" w14:paraId="7D7DAD6A" w14:textId="77777777">
      <w:pPr>
        <w:jc w:val="both"/>
      </w:pPr>
    </w:p>
    <w:p w:rsidR="00FF5917" w:rsidP="00FF5917" w:rsidRDefault="00FF5917" w14:paraId="5972AEAC" w14:textId="77777777">
      <w:pPr>
        <w:jc w:val="both"/>
      </w:pPr>
      <w:r>
        <w:t xml:space="preserve">By leveraging their projects’ PBV or PBRA subsidies after conversion, PHAs can finance debt and access other external funds, which could include grants and private-sector equity investment as well as Low-Income Housing Tax Credits (LIHTCs) and other tax credits or incentives. PHAs can then use those funds, in conjunction with internal PHA resources and other external sources in the form of grants, “soft loans,” and deferred fees, to recapitalize, rehabilitate, or replace projects. Some properties use RAD to reposition themselves onto a new regulatory platform and to fund replacement reserves for future rehabilitation costs. Other projects use RAD to pay for upfront construction expenses to rehabilitate existing buildings or, in the case of new construction, </w:t>
      </w:r>
      <w:r>
        <w:lastRenderedPageBreak/>
        <w:t>to demolish dilapidated structures and build new ones in their place. In some circumstances, the PHA can transfer the Section 8 contract to a different property, which is known as a Transfer of Assistance (TOA).</w:t>
      </w:r>
    </w:p>
    <w:p w:rsidR="00FF5917" w:rsidP="00A50C15" w:rsidRDefault="00FF5917" w14:paraId="3DAB9360" w14:textId="10B1614D">
      <w:pPr>
        <w:tabs>
          <w:tab w:val="left" w:pos="360"/>
        </w:tabs>
        <w:autoSpaceDE w:val="0"/>
        <w:autoSpaceDN w:val="0"/>
        <w:adjustRightInd w:val="0"/>
        <w:jc w:val="both"/>
      </w:pPr>
    </w:p>
    <w:p w:rsidR="009C1593" w:rsidP="009C1593" w:rsidRDefault="009C1593" w14:paraId="44B33116" w14:textId="77777777">
      <w:pPr>
        <w:jc w:val="both"/>
      </w:pPr>
      <w:r w:rsidRPr="00932473">
        <w:t>The RAD program includes significant protections and mobility rights for public housing residents. These protections were put in place during the design of the RAD program to ensure that current residents benefit from the RAD conversion. As part of these protections, RAD requires that PHAs adhere to specific guidelines regarding communication with residents and any disruptions in tenants</w:t>
      </w:r>
      <w:r>
        <w:t>’</w:t>
      </w:r>
      <w:r w:rsidRPr="00932473">
        <w:t xml:space="preserve"> ability to occupy their unit during the RAD conversion and associated construction or rehabilitation.</w:t>
      </w:r>
      <w:r>
        <w:t xml:space="preserve"> </w:t>
      </w:r>
      <w:r w:rsidRPr="00794F72">
        <w:t>Tenants retain almost all their rights as public housing residents and retain access to their affordable unit. For instance, they cannot be rescreened; they will continue to pay no more than 30 percent of their adjusted income for rent; they retain the</w:t>
      </w:r>
      <w:r>
        <w:t>ir</w:t>
      </w:r>
      <w:r w:rsidRPr="00794F72">
        <w:t xml:space="preserve"> grievance and organizing rights, as well as access to </w:t>
      </w:r>
      <w:r>
        <w:t xml:space="preserve">supportive </w:t>
      </w:r>
      <w:r w:rsidRPr="00794F72">
        <w:t xml:space="preserve">programs given to public housing residents; and in RAD conversions that involve any displacement of residents, those residents have a </w:t>
      </w:r>
      <w:r>
        <w:t>“</w:t>
      </w:r>
      <w:r w:rsidRPr="00794F72">
        <w:t>right to return,</w:t>
      </w:r>
      <w:r>
        <w:t>”</w:t>
      </w:r>
      <w:r w:rsidRPr="00794F72">
        <w:t xml:space="preserve"> either to the same unit or to an equivalent or larger unit in the replacement building.</w:t>
      </w:r>
    </w:p>
    <w:p w:rsidR="009C1593" w:rsidP="009C1593" w:rsidRDefault="009C1593" w14:paraId="296EE1AD" w14:textId="77777777">
      <w:pPr>
        <w:jc w:val="both"/>
      </w:pPr>
    </w:p>
    <w:p w:rsidR="009C1593" w:rsidP="009C1593" w:rsidRDefault="009C1593" w14:paraId="1DD464AB" w14:textId="77777777">
      <w:pPr>
        <w:jc w:val="both"/>
      </w:pPr>
      <w:r w:rsidRPr="00551AAC">
        <w:t xml:space="preserve">Finally, residents have a right </w:t>
      </w:r>
      <w:r>
        <w:t xml:space="preserve">under RAD </w:t>
      </w:r>
      <w:r w:rsidRPr="00551AAC">
        <w:t xml:space="preserve">called </w:t>
      </w:r>
      <w:r>
        <w:t>c</w:t>
      </w:r>
      <w:r w:rsidRPr="00551AAC">
        <w:t xml:space="preserve">hoice </w:t>
      </w:r>
      <w:r>
        <w:t>m</w:t>
      </w:r>
      <w:r w:rsidRPr="00551AAC">
        <w:t>obility</w:t>
      </w:r>
      <w:r>
        <w:t>:</w:t>
      </w:r>
      <w:r w:rsidRPr="00551AAC">
        <w:t xml:space="preserve"> All properties that convert assistance must provide residents the choice </w:t>
      </w:r>
      <w:r>
        <w:t>of</w:t>
      </w:r>
      <w:r w:rsidRPr="00551AAC">
        <w:t xml:space="preserve"> mov</w:t>
      </w:r>
      <w:r>
        <w:t>ing</w:t>
      </w:r>
      <w:r w:rsidRPr="00551AAC">
        <w:t xml:space="preserve"> with continuing tenant-based rental assistance </w:t>
      </w:r>
      <w:r>
        <w:t xml:space="preserve">using a Housing Choice Voucher (HCV) </w:t>
      </w:r>
      <w:r w:rsidRPr="00551AAC">
        <w:t>within a</w:t>
      </w:r>
      <w:r>
        <w:t>n</w:t>
      </w:r>
      <w:r w:rsidRPr="00551AAC">
        <w:t xml:space="preserve"> </w:t>
      </w:r>
      <w:r>
        <w:t xml:space="preserve">established </w:t>
      </w:r>
      <w:r w:rsidRPr="00551AAC">
        <w:t>time after conversion, which is 1 year if the project converts to PBV and 2 years if the project converts to PBRA.</w:t>
      </w:r>
      <w:r>
        <w:t xml:space="preserve"> </w:t>
      </w:r>
      <w:r w:rsidRPr="00551AAC">
        <w:t xml:space="preserve">Choice </w:t>
      </w:r>
      <w:r>
        <w:t>m</w:t>
      </w:r>
      <w:r w:rsidRPr="00551AAC">
        <w:t xml:space="preserve">obility does not mean that a voucher will be received immediately upon request; rather, the household is placed at the top of the </w:t>
      </w:r>
      <w:r>
        <w:t xml:space="preserve">housing </w:t>
      </w:r>
      <w:r w:rsidRPr="00551AAC">
        <w:t>authority</w:t>
      </w:r>
      <w:r>
        <w:t>’</w:t>
      </w:r>
      <w:r w:rsidRPr="00551AAC">
        <w:t>s HCV waiting list and will receive a voucher when one becomes available.</w:t>
      </w:r>
      <w:r>
        <w:t xml:space="preserve"> </w:t>
      </w:r>
      <w:r w:rsidRPr="00713387">
        <w:t>There are</w:t>
      </w:r>
      <w:r>
        <w:t>, however,</w:t>
      </w:r>
      <w:r w:rsidRPr="00713387">
        <w:t xml:space="preserve"> a limited number of good-cause exceptions for PHAs with insufficient vouchers to support this housing option.</w:t>
      </w:r>
    </w:p>
    <w:p w:rsidR="009C1593" w:rsidP="009C1593" w:rsidRDefault="009C1593" w14:paraId="7826BE26" w14:textId="77777777">
      <w:pPr>
        <w:jc w:val="both"/>
      </w:pPr>
    </w:p>
    <w:p w:rsidR="00A50C15" w:rsidP="00A8588B" w:rsidRDefault="009C1593" w14:paraId="47F19B5C" w14:textId="6AF918AD">
      <w:pPr>
        <w:jc w:val="both"/>
      </w:pPr>
      <w:r>
        <w:rPr>
          <w:rFonts w:eastAsia="Calibri"/>
        </w:rPr>
        <w:t>This Paperwork Reduction Act (PRA) submission includes the instrumentation required for use under the RAD evaluation.</w:t>
      </w:r>
      <w:r w:rsidR="00A8588B">
        <w:rPr>
          <w:rFonts w:eastAsia="Calibri"/>
        </w:rPr>
        <w:t xml:space="preserve"> </w:t>
      </w:r>
      <w:r w:rsidR="003C1195">
        <w:t xml:space="preserve">This study follows-up previous work that HUD funded to understand the impacts of RAD. In this study, HUD </w:t>
      </w:r>
      <w:r w:rsidR="00D21A93">
        <w:t xml:space="preserve">is focusing on </w:t>
      </w:r>
      <w:r w:rsidR="00200B52">
        <w:t>choice mobility, long-term preservation, asset management</w:t>
      </w:r>
      <w:r w:rsidR="00FB161B">
        <w:t>, and PHA’s organizational changes</w:t>
      </w:r>
      <w:r w:rsidR="00200B52">
        <w:t>.</w:t>
      </w:r>
      <w:r w:rsidR="00170FA9">
        <w:t xml:space="preserve"> These topics grow out of the previous evaluation of RAD, which found tenants to be unaware of but interested in choice mobility, while PHAs seemed ambivalent about it. The current study probes the implementation and impact of this program in greater depth. The previous study also found that RAD improved the financial performance of converted properties, but these findings were limited by the small number of projects that were studied and the short time for measuring long-term impacts. The current study returns to this issue with a larger study population and a longer perspective. </w:t>
      </w:r>
      <w:r w:rsidR="00C33134">
        <w:t>The</w:t>
      </w:r>
      <w:r w:rsidR="00170FA9">
        <w:t xml:space="preserve"> previous study discovered a wide gap in the amount of information available for assessing PBV versus PBRA conversions. The current study focuses on how well these two project types are being monitored and overseen compared with industry best practices.</w:t>
      </w:r>
      <w:r w:rsidR="007E27F9">
        <w:t xml:space="preserve"> Finally, the current study uses a qualitative study to </w:t>
      </w:r>
      <w:r w:rsidR="00F84A84">
        <w:t>assess</w:t>
      </w:r>
      <w:r w:rsidR="007E27F9">
        <w:t xml:space="preserve"> </w:t>
      </w:r>
      <w:r w:rsidR="0013615E">
        <w:t>how</w:t>
      </w:r>
      <w:r w:rsidRPr="002F4F61" w:rsidR="002F4F61">
        <w:t xml:space="preserve"> </w:t>
      </w:r>
      <w:r w:rsidR="0013615E">
        <w:t xml:space="preserve">participation in </w:t>
      </w:r>
      <w:r w:rsidRPr="002F4F61" w:rsidR="002F4F61">
        <w:t xml:space="preserve">RAD </w:t>
      </w:r>
      <w:r w:rsidR="0013615E">
        <w:t>is affecting</w:t>
      </w:r>
      <w:r w:rsidRPr="002F4F61" w:rsidR="002F4F61">
        <w:t xml:space="preserve"> PHA’s organization, functions, structure, staffing, and resources</w:t>
      </w:r>
      <w:r w:rsidR="0013615E">
        <w:t>.</w:t>
      </w:r>
    </w:p>
    <w:p w:rsidR="003B45BA" w:rsidP="00A8588B" w:rsidRDefault="003B45BA" w14:paraId="197182DA" w14:textId="3A505FAD">
      <w:pPr>
        <w:jc w:val="both"/>
      </w:pPr>
    </w:p>
    <w:p w:rsidRPr="007A0E24" w:rsidR="007A7028" w:rsidP="007A7028" w:rsidRDefault="007A7028" w14:paraId="11D87445" w14:textId="77777777">
      <w:r w:rsidRPr="007A0E24">
        <w:t>Data are collected under Title 12, U.S.C. Sec. 1701Z-1 and 2.</w:t>
      </w:r>
    </w:p>
    <w:p w:rsidRPr="007A7028" w:rsidR="003B45BA" w:rsidP="007A7028" w:rsidRDefault="003B45BA" w14:paraId="38733B27" w14:textId="610A63F7">
      <w:pPr>
        <w:jc w:val="both"/>
        <w:rPr>
          <w:rFonts w:eastAsia="Calibri"/>
        </w:rPr>
      </w:pPr>
    </w:p>
    <w:p w:rsidR="00C71131" w:rsidP="00C71131" w:rsidRDefault="00C71131" w14:paraId="165DBC6D" w14:textId="77777777"/>
    <w:p w:rsidRPr="004D5244" w:rsidR="00C71131" w:rsidP="009F7B85" w:rsidRDefault="00C71131" w14:paraId="25125F1E" w14:textId="5BF775FE">
      <w:pPr>
        <w:numPr>
          <w:ilvl w:val="0"/>
          <w:numId w:val="5"/>
        </w:numPr>
        <w:ind w:left="360"/>
        <w:jc w:val="both"/>
        <w:rPr>
          <w:b/>
          <w:bCs/>
          <w:u w:val="single"/>
        </w:rPr>
      </w:pPr>
      <w:r w:rsidRPr="004D5244">
        <w:rPr>
          <w:b/>
          <w:bCs/>
          <w:u w:val="single"/>
        </w:rPr>
        <w:lastRenderedPageBreak/>
        <w:fldChar w:fldCharType="begin"/>
      </w:r>
      <w:r w:rsidRPr="004D5244">
        <w:rPr>
          <w:b/>
          <w:bCs/>
          <w:u w:val="single"/>
        </w:rPr>
        <w:instrText xml:space="preserve"> SEQ CHAPTER \h \r 1</w:instrText>
      </w:r>
      <w:r w:rsidRPr="004D5244">
        <w:rPr>
          <w:b/>
          <w:bCs/>
          <w:u w:val="single"/>
        </w:rPr>
        <w:fldChar w:fldCharType="end"/>
      </w:r>
      <w:r w:rsidRPr="008064C8" w:rsidR="00755D0B">
        <w:rPr>
          <w:b/>
        </w:rPr>
        <w:t>Indicate how, by whom and for what purpose the information is to be used.  Except for a new collection, indicate the actual use the agency has made of the information received from the current collection</w:t>
      </w:r>
      <w:r w:rsidR="0048556C">
        <w:rPr>
          <w:b/>
          <w:bCs/>
          <w:u w:val="single"/>
        </w:rPr>
        <w:t>.</w:t>
      </w:r>
    </w:p>
    <w:p w:rsidR="00C71131" w:rsidP="00E03615" w:rsidRDefault="00C71131" w14:paraId="1E9AB825" w14:textId="3331A02B">
      <w:pPr>
        <w:pStyle w:val="ListNumber-Last"/>
        <w:numPr>
          <w:ilvl w:val="0"/>
          <w:numId w:val="0"/>
        </w:numPr>
      </w:pPr>
      <w:r w:rsidRPr="00607001">
        <w:t>The information</w:t>
      </w:r>
      <w:r w:rsidR="00E03615">
        <w:t xml:space="preserve"> collect</w:t>
      </w:r>
      <w:r w:rsidR="00363215">
        <w:t>ed</w:t>
      </w:r>
      <w:r w:rsidR="00E03615">
        <w:t xml:space="preserve"> through this study</w:t>
      </w:r>
      <w:r w:rsidRPr="00607001">
        <w:t xml:space="preserve"> will be used by HUD </w:t>
      </w:r>
      <w:r w:rsidR="006C20B0">
        <w:t>to</w:t>
      </w:r>
      <w:r w:rsidR="00C25D59">
        <w:t xml:space="preserve"> evaluate:</w:t>
      </w:r>
      <w:r w:rsidR="00E01DCA">
        <w:t xml:space="preserve"> </w:t>
      </w:r>
      <w:r w:rsidR="00E03615">
        <w:t>1) the implementation and impact of the choice mobility option; 2) the impact of RAD on long-</w:t>
      </w:r>
      <w:r w:rsidR="00CB238F">
        <w:t xml:space="preserve">term </w:t>
      </w:r>
      <w:r w:rsidR="00E03615">
        <w:t>preservation and the financial viability of converted properties; 3) the adequacy of asset management for RAD conversions under Project-Based Vouchers (PBVs) and Project-Based Rental Assistance (PBRA)</w:t>
      </w:r>
      <w:r w:rsidR="00CB238F">
        <w:t xml:space="preserve">; and 4) </w:t>
      </w:r>
      <w:r w:rsidR="00D63B57">
        <w:t xml:space="preserve">effect of RAD on </w:t>
      </w:r>
      <w:r w:rsidRPr="002F4F61" w:rsidR="00CB238F">
        <w:t>PHA’s organization, functions, structure, staffing, and resources</w:t>
      </w:r>
      <w:r w:rsidR="00E03615">
        <w:t xml:space="preserve">.  </w:t>
      </w:r>
      <w:r w:rsidR="00951E00">
        <w:t>The study has four major components:</w:t>
      </w:r>
    </w:p>
    <w:p w:rsidR="00951E00" w:rsidP="00951E00" w:rsidRDefault="00951E00" w14:paraId="11DA6BB0" w14:textId="4C693823">
      <w:pPr>
        <w:pStyle w:val="ListNumber-Last"/>
        <w:numPr>
          <w:ilvl w:val="0"/>
          <w:numId w:val="33"/>
        </w:numPr>
      </w:pPr>
      <w:r w:rsidRPr="00951E00">
        <w:rPr>
          <w:b/>
          <w:bCs/>
        </w:rPr>
        <w:t>Choice Mobility Option</w:t>
      </w:r>
      <w:r>
        <w:t xml:space="preserve">. </w:t>
      </w:r>
      <w:r w:rsidRPr="00A1377B" w:rsidR="00A1377B">
        <w:t xml:space="preserve">The goal of this </w:t>
      </w:r>
      <w:r w:rsidR="00262C5E">
        <w:t>study</w:t>
      </w:r>
      <w:r w:rsidRPr="00A1377B" w:rsidR="00A1377B">
        <w:t xml:space="preserve"> is to evaluate the implementation of the RAD choice mobility option and its impact on property outcomes, tenant outcomes, and the voucher program. </w:t>
      </w:r>
      <w:r w:rsidR="004753C0">
        <w:t xml:space="preserve">The </w:t>
      </w:r>
      <w:r w:rsidRPr="004753C0" w:rsidR="004753C0">
        <w:rPr>
          <w:bCs/>
        </w:rPr>
        <w:t>choice mobility option gives residents in RAD conversions the right to request a voucher and receive rental assistance to lease a housing unit in the private housing market</w:t>
      </w:r>
      <w:r w:rsidR="004753C0">
        <w:rPr>
          <w:bCs/>
        </w:rPr>
        <w:t>.</w:t>
      </w:r>
      <w:r w:rsidR="00245B4A">
        <w:rPr>
          <w:bCs/>
        </w:rPr>
        <w:t xml:space="preserve"> </w:t>
      </w:r>
      <w:bookmarkStart w:name="_Hlk58848151" w:id="1"/>
      <w:r w:rsidRPr="004753C0" w:rsidR="00262C5E">
        <w:rPr>
          <w:bCs/>
        </w:rPr>
        <w:t xml:space="preserve">The main data sources for </w:t>
      </w:r>
      <w:r w:rsidR="00262C5E">
        <w:rPr>
          <w:bCs/>
        </w:rPr>
        <w:t xml:space="preserve">this study are </w:t>
      </w:r>
      <w:bookmarkEnd w:id="1"/>
      <w:r w:rsidR="00262C5E">
        <w:rPr>
          <w:bCs/>
        </w:rPr>
        <w:t xml:space="preserve">HUD administrative data, </w:t>
      </w:r>
      <w:r w:rsidRPr="00874435" w:rsidR="00262C5E">
        <w:t>public use data</w:t>
      </w:r>
      <w:r w:rsidR="00262C5E">
        <w:t xml:space="preserve"> </w:t>
      </w:r>
      <w:r w:rsidRPr="00245B4A" w:rsidR="00262C5E">
        <w:t>on neighborhoods and local housing market conditions</w:t>
      </w:r>
      <w:r w:rsidR="00262C5E">
        <w:t xml:space="preserve">, </w:t>
      </w:r>
      <w:r w:rsidRPr="004753C0" w:rsidR="00262C5E">
        <w:rPr>
          <w:bCs/>
        </w:rPr>
        <w:t xml:space="preserve">and survey responses from RAD PHAs, </w:t>
      </w:r>
      <w:r w:rsidR="00262C5E">
        <w:rPr>
          <w:bCs/>
        </w:rPr>
        <w:t xml:space="preserve">RAD </w:t>
      </w:r>
      <w:r w:rsidRPr="004753C0" w:rsidR="00262C5E">
        <w:rPr>
          <w:bCs/>
        </w:rPr>
        <w:t>property owners, and residents</w:t>
      </w:r>
      <w:r w:rsidR="00262C5E">
        <w:rPr>
          <w:bCs/>
        </w:rPr>
        <w:t xml:space="preserve">. The choice mobility option study </w:t>
      </w:r>
      <w:r w:rsidRPr="00262C5E" w:rsidR="00262C5E">
        <w:rPr>
          <w:bCs/>
        </w:rPr>
        <w:t xml:space="preserve">will </w:t>
      </w:r>
      <w:r w:rsidR="00262C5E">
        <w:rPr>
          <w:bCs/>
        </w:rPr>
        <w:t>use primarily</w:t>
      </w:r>
      <w:r w:rsidRPr="00262C5E" w:rsidR="00262C5E">
        <w:rPr>
          <w:bCs/>
        </w:rPr>
        <w:t xml:space="preserve"> descriptive statistics, frequency counts and percentage distributions</w:t>
      </w:r>
      <w:r w:rsidR="00262C5E">
        <w:rPr>
          <w:bCs/>
        </w:rPr>
        <w:t xml:space="preserve"> and </w:t>
      </w:r>
      <w:r w:rsidRPr="00262C5E" w:rsidR="00262C5E">
        <w:rPr>
          <w:bCs/>
        </w:rPr>
        <w:t xml:space="preserve">test </w:t>
      </w:r>
      <w:r w:rsidR="00262C5E">
        <w:rPr>
          <w:bCs/>
        </w:rPr>
        <w:t xml:space="preserve">survey </w:t>
      </w:r>
      <w:r w:rsidRPr="00262C5E" w:rsidR="00262C5E">
        <w:rPr>
          <w:bCs/>
        </w:rPr>
        <w:t>results on key questions using t-tests or ANOVA to highlight significant differences, both for one-way tabulations and cross tabulations for comparisons of interest</w:t>
      </w:r>
      <w:r w:rsidR="00262C5E">
        <w:rPr>
          <w:bCs/>
        </w:rPr>
        <w:t>.</w:t>
      </w:r>
    </w:p>
    <w:p w:rsidR="00951E00" w:rsidP="00951E00" w:rsidRDefault="00951E00" w14:paraId="606548FA" w14:textId="3305CECC">
      <w:pPr>
        <w:pStyle w:val="ListNumber-Last"/>
        <w:numPr>
          <w:ilvl w:val="0"/>
          <w:numId w:val="33"/>
        </w:numPr>
      </w:pPr>
      <w:r w:rsidRPr="00951E00">
        <w:rPr>
          <w:b/>
          <w:bCs/>
        </w:rPr>
        <w:t>Long-Term Preservation and Financial Viability</w:t>
      </w:r>
      <w:r>
        <w:t xml:space="preserve">. </w:t>
      </w:r>
      <w:r w:rsidRPr="00245B4A" w:rsidR="00245B4A">
        <w:t xml:space="preserve">The goal of this </w:t>
      </w:r>
      <w:r w:rsidR="00262C5E">
        <w:t>study</w:t>
      </w:r>
      <w:r w:rsidRPr="00245B4A" w:rsidR="00245B4A">
        <w:t xml:space="preserve"> is to evaluate the effectiveness of PHAs at preserving RAD conversions over the long run and sustaining their financial viability, which are the principal objectives of RAD. The study defines long-term preservation as the ability of a property to meet its capital needs over a 20-year period; it defines financial viability as the ability of a property to meet its current and near-term obligations</w:t>
      </w:r>
      <w:r w:rsidR="00A1377B">
        <w:t>.</w:t>
      </w:r>
      <w:r w:rsidR="00262C5E">
        <w:t xml:space="preserve"> </w:t>
      </w:r>
      <w:r w:rsidRPr="004753C0" w:rsidR="00262C5E">
        <w:rPr>
          <w:bCs/>
        </w:rPr>
        <w:t xml:space="preserve">The main data sources for </w:t>
      </w:r>
      <w:r w:rsidR="00262C5E">
        <w:rPr>
          <w:bCs/>
        </w:rPr>
        <w:t xml:space="preserve">this study are HUD administrative data, </w:t>
      </w:r>
      <w:r w:rsidRPr="00874435" w:rsidR="00262C5E">
        <w:t>public use data</w:t>
      </w:r>
      <w:r w:rsidR="00262C5E">
        <w:t xml:space="preserve"> </w:t>
      </w:r>
      <w:r w:rsidRPr="00245B4A" w:rsidR="00262C5E">
        <w:t>on neighborhoods and local housing market conditions</w:t>
      </w:r>
      <w:r w:rsidR="00262C5E">
        <w:t>, property financial statements,</w:t>
      </w:r>
      <w:r w:rsidRPr="004753C0" w:rsidR="00262C5E">
        <w:rPr>
          <w:bCs/>
        </w:rPr>
        <w:t xml:space="preserve"> and survey responses from RAD PHAs</w:t>
      </w:r>
      <w:r w:rsidR="00262C5E">
        <w:rPr>
          <w:bCs/>
        </w:rPr>
        <w:t xml:space="preserve"> and RAD </w:t>
      </w:r>
      <w:r w:rsidRPr="004753C0" w:rsidR="00262C5E">
        <w:rPr>
          <w:bCs/>
        </w:rPr>
        <w:t>property owners</w:t>
      </w:r>
      <w:r w:rsidR="00262C5E">
        <w:rPr>
          <w:bCs/>
        </w:rPr>
        <w:t xml:space="preserve">. The long-term preservation and financial viability study </w:t>
      </w:r>
      <w:proofErr w:type="gramStart"/>
      <w:r w:rsidR="000F777E">
        <w:rPr>
          <w:bCs/>
        </w:rPr>
        <w:t>compare</w:t>
      </w:r>
      <w:r w:rsidR="006305FE">
        <w:rPr>
          <w:bCs/>
        </w:rPr>
        <w:t>s</w:t>
      </w:r>
      <w:proofErr w:type="gramEnd"/>
      <w:r w:rsidR="00262C5E">
        <w:rPr>
          <w:bCs/>
        </w:rPr>
        <w:t xml:space="preserve"> financial measures before and after (difference-in-difference) the conversion for </w:t>
      </w:r>
      <w:r w:rsidR="00262C5E">
        <w:t xml:space="preserve">the following pairwise </w:t>
      </w:r>
      <w:r w:rsidRPr="00CD7531" w:rsidR="00262C5E">
        <w:t>groups</w:t>
      </w:r>
      <w:r w:rsidR="00262C5E">
        <w:t>: RAD vs. public housing; RAD PBRA vs. non-RAD PBRA (with and without FHA insurance); and RAD PBV vs. non-RAD PBV</w:t>
      </w:r>
      <w:r w:rsidR="00BD2AF0">
        <w:t>.</w:t>
      </w:r>
    </w:p>
    <w:p w:rsidR="00951E00" w:rsidP="00CF56D4" w:rsidRDefault="00951E00" w14:paraId="4CD10363" w14:textId="62018C4E">
      <w:pPr>
        <w:pStyle w:val="ListNumber-Last"/>
        <w:numPr>
          <w:ilvl w:val="0"/>
          <w:numId w:val="33"/>
        </w:numPr>
      </w:pPr>
      <w:r w:rsidRPr="00951E00">
        <w:rPr>
          <w:b/>
          <w:bCs/>
        </w:rPr>
        <w:t>Asset Management</w:t>
      </w:r>
      <w:r>
        <w:t xml:space="preserve">. </w:t>
      </w:r>
      <w:r w:rsidRPr="00262C5E" w:rsidR="00262C5E">
        <w:t xml:space="preserve">The goal of this study is to describe and assess how well HUD, PHAs, and other parties manage affordable housing assets for both </w:t>
      </w:r>
      <w:r w:rsidR="00262C5E">
        <w:t xml:space="preserve">RAD </w:t>
      </w:r>
      <w:r w:rsidRPr="00262C5E" w:rsidR="00262C5E">
        <w:t xml:space="preserve">PBV and </w:t>
      </w:r>
      <w:r w:rsidR="00262C5E">
        <w:t xml:space="preserve">RAD </w:t>
      </w:r>
      <w:r w:rsidRPr="00262C5E" w:rsidR="00262C5E">
        <w:t xml:space="preserve">PBRA conversions. </w:t>
      </w:r>
      <w:r w:rsidR="00262C5E">
        <w:t>The study</w:t>
      </w:r>
      <w:r w:rsidRPr="00262C5E" w:rsidR="00262C5E">
        <w:t xml:space="preserve"> conceive</w:t>
      </w:r>
      <w:r w:rsidR="00262C5E">
        <w:t>s</w:t>
      </w:r>
      <w:r w:rsidRPr="00262C5E" w:rsidR="00262C5E">
        <w:t xml:space="preserve"> of asset management as a process to enhance the financial performance of converted properties and preserve their use as long-term affordable housing</w:t>
      </w:r>
      <w:r w:rsidR="00262C5E">
        <w:t>. The</w:t>
      </w:r>
      <w:r w:rsidRPr="00262C5E" w:rsidR="00262C5E">
        <w:t xml:space="preserve"> study design uses current state/future state gap analysis, along the lines of a business process improvement methodology. </w:t>
      </w:r>
      <w:r w:rsidR="00CF56D4">
        <w:t xml:space="preserve">The study uses </w:t>
      </w:r>
      <w:r w:rsidRPr="00262C5E" w:rsidR="00CF56D4">
        <w:t>literature review and interviews with real estate practitioners</w:t>
      </w:r>
      <w:r w:rsidRPr="004753C0" w:rsidR="00CF56D4">
        <w:rPr>
          <w:bCs/>
        </w:rPr>
        <w:t xml:space="preserve"> </w:t>
      </w:r>
      <w:r w:rsidR="00CF56D4">
        <w:rPr>
          <w:bCs/>
        </w:rPr>
        <w:t xml:space="preserve">to define </w:t>
      </w:r>
      <w:r w:rsidRPr="00262C5E" w:rsidR="00CF56D4">
        <w:t>asset management best practices</w:t>
      </w:r>
      <w:r w:rsidRPr="004753C0" w:rsidR="00CF56D4">
        <w:rPr>
          <w:bCs/>
        </w:rPr>
        <w:t xml:space="preserve"> </w:t>
      </w:r>
      <w:r w:rsidR="00CF56D4">
        <w:rPr>
          <w:bCs/>
        </w:rPr>
        <w:t xml:space="preserve">and </w:t>
      </w:r>
      <w:r w:rsidRPr="004753C0" w:rsidR="00CF56D4">
        <w:rPr>
          <w:bCs/>
        </w:rPr>
        <w:t>survey responses from</w:t>
      </w:r>
      <w:r w:rsidRPr="00262C5E" w:rsidR="00262C5E">
        <w:t xml:space="preserve"> RAD PHAs and </w:t>
      </w:r>
      <w:r w:rsidR="00CF56D4">
        <w:t xml:space="preserve">RAD </w:t>
      </w:r>
      <w:r w:rsidRPr="00262C5E" w:rsidR="00262C5E">
        <w:t>property owners</w:t>
      </w:r>
      <w:r w:rsidR="00CF56D4">
        <w:t xml:space="preserve"> to assess</w:t>
      </w:r>
      <w:r w:rsidRPr="00262C5E" w:rsidR="00CF56D4">
        <w:t xml:space="preserve"> </w:t>
      </w:r>
      <w:r w:rsidR="00CF56D4">
        <w:t>current asset management practices</w:t>
      </w:r>
      <w:r w:rsidRPr="00262C5E" w:rsidR="00262C5E">
        <w:t xml:space="preserve">. The analysis compares current </w:t>
      </w:r>
      <w:r w:rsidR="00CF56D4">
        <w:t>practices</w:t>
      </w:r>
      <w:r w:rsidRPr="00262C5E" w:rsidR="00262C5E">
        <w:t xml:space="preserve"> with the best practices drawn from the documentary literature and experts</w:t>
      </w:r>
      <w:r w:rsidR="00262C5E">
        <w:t>.</w:t>
      </w:r>
    </w:p>
    <w:p w:rsidRPr="00D74A5C" w:rsidR="00245B4A" w:rsidP="00D74A5C" w:rsidRDefault="00951E00" w14:paraId="272E1E76" w14:textId="68EDFAD7">
      <w:pPr>
        <w:pStyle w:val="ListNumber-Last"/>
        <w:numPr>
          <w:ilvl w:val="0"/>
          <w:numId w:val="33"/>
        </w:numPr>
        <w:rPr>
          <w:bCs/>
        </w:rPr>
      </w:pPr>
      <w:r w:rsidRPr="00951E00">
        <w:rPr>
          <w:b/>
          <w:bCs/>
        </w:rPr>
        <w:t>PHA Organizational Change</w:t>
      </w:r>
      <w:r>
        <w:t>.</w:t>
      </w:r>
      <w:bookmarkStart w:name="_Toc511237086" w:id="2"/>
      <w:bookmarkStart w:name="_Toc511323996" w:id="3"/>
      <w:r w:rsidR="00D74A5C">
        <w:t xml:space="preserve"> </w:t>
      </w:r>
      <w:r w:rsidR="000B7613">
        <w:t>The goal of this</w:t>
      </w:r>
      <w:r w:rsidRPr="000B7613" w:rsidR="000B7613">
        <w:t xml:space="preserve"> study </w:t>
      </w:r>
      <w:r w:rsidR="000B7613">
        <w:t xml:space="preserve">is to understand </w:t>
      </w:r>
      <w:r w:rsidRPr="000B7613" w:rsidR="000B7613">
        <w:t xml:space="preserve">the effect of RAD on PHA organization and operations, including staffing, structure, management practices, </w:t>
      </w:r>
      <w:r w:rsidRPr="000B7613" w:rsidR="000B7613">
        <w:lastRenderedPageBreak/>
        <w:t>and fiscal impacts</w:t>
      </w:r>
      <w:r w:rsidR="000B7613">
        <w:t xml:space="preserve">. </w:t>
      </w:r>
      <w:r w:rsidRPr="000B7613" w:rsidR="000B7613">
        <w:t>The main data sources for this study are</w:t>
      </w:r>
      <w:r w:rsidR="000B7613">
        <w:t xml:space="preserve"> HUD </w:t>
      </w:r>
      <w:r w:rsidRPr="00797D52" w:rsidR="000B7613">
        <w:t xml:space="preserve">administrative data, PHA documents, and </w:t>
      </w:r>
      <w:r w:rsidR="000B7613">
        <w:t xml:space="preserve">in-person </w:t>
      </w:r>
      <w:r w:rsidRPr="00797D52" w:rsidR="000B7613">
        <w:t>interviews with</w:t>
      </w:r>
      <w:r w:rsidR="000B7613">
        <w:t xml:space="preserve"> </w:t>
      </w:r>
      <w:r w:rsidR="00324E16">
        <w:t xml:space="preserve">a sample of </w:t>
      </w:r>
      <w:r w:rsidR="000B7613">
        <w:t xml:space="preserve">RAD PHAs. The study will use </w:t>
      </w:r>
      <w:r w:rsidR="00324E16">
        <w:t xml:space="preserve">a </w:t>
      </w:r>
      <w:r w:rsidR="000B7613">
        <w:t xml:space="preserve">qualitative framework analysis </w:t>
      </w:r>
      <w:r w:rsidR="00324E16">
        <w:t xml:space="preserve">approach </w:t>
      </w:r>
      <w:r w:rsidR="000B7613">
        <w:t>that include</w:t>
      </w:r>
      <w:r w:rsidR="00324E16">
        <w:t>s</w:t>
      </w:r>
      <w:r w:rsidR="000B7613">
        <w:t xml:space="preserve"> the </w:t>
      </w:r>
      <w:r w:rsidR="00324E16">
        <w:t>development</w:t>
      </w:r>
      <w:r w:rsidR="000B7613">
        <w:t xml:space="preserve"> of a descriptive framework, development of a codebook, identification of </w:t>
      </w:r>
      <w:r w:rsidR="00324E16">
        <w:t xml:space="preserve">emerging </w:t>
      </w:r>
      <w:r w:rsidR="000B7613">
        <w:t xml:space="preserve">themes, </w:t>
      </w:r>
      <w:r w:rsidR="00324E16">
        <w:t>and interpretation of results.</w:t>
      </w:r>
    </w:p>
    <w:p w:rsidRPr="00B84101" w:rsidR="00127522" w:rsidP="00BE4C9B" w:rsidRDefault="00127522" w14:paraId="077C73DA" w14:textId="4AC4E246">
      <w:pPr>
        <w:pStyle w:val="BodyText"/>
        <w:rPr>
          <w:b/>
          <w:sz w:val="24"/>
          <w:szCs w:val="24"/>
        </w:rPr>
      </w:pPr>
      <w:r w:rsidRPr="00B84101">
        <w:rPr>
          <w:b/>
          <w:sz w:val="24"/>
          <w:szCs w:val="24"/>
        </w:rPr>
        <w:t>Information Collection in This ICR</w:t>
      </w:r>
      <w:bookmarkEnd w:id="2"/>
      <w:bookmarkEnd w:id="3"/>
    </w:p>
    <w:p w:rsidR="00840ED8" w:rsidP="00840ED8" w:rsidRDefault="007E70E7" w14:paraId="1076605F" w14:textId="3B47C152">
      <w:pPr>
        <w:spacing w:line="276" w:lineRule="auto"/>
      </w:pPr>
      <w:r>
        <w:rPr>
          <w:rFonts w:eastAsia="Calibri"/>
          <w:bCs/>
        </w:rPr>
        <w:t xml:space="preserve">HUD is seeking onetime approval for the administration of the </w:t>
      </w:r>
      <w:r w:rsidR="00344E1B">
        <w:rPr>
          <w:rFonts w:eastAsia="Calibri"/>
          <w:bCs/>
        </w:rPr>
        <w:t xml:space="preserve">five </w:t>
      </w:r>
      <w:r>
        <w:rPr>
          <w:rFonts w:eastAsia="Calibri"/>
          <w:bCs/>
        </w:rPr>
        <w:t xml:space="preserve">instruments within this </w:t>
      </w:r>
      <w:r w:rsidR="00344E1B">
        <w:rPr>
          <w:rFonts w:eastAsia="Calibri"/>
          <w:bCs/>
        </w:rPr>
        <w:t>Information Collection Request (</w:t>
      </w:r>
      <w:r>
        <w:rPr>
          <w:rFonts w:eastAsia="Calibri"/>
          <w:bCs/>
        </w:rPr>
        <w:t>ICR</w:t>
      </w:r>
      <w:r w:rsidR="00344E1B">
        <w:rPr>
          <w:rFonts w:eastAsia="Calibri"/>
          <w:bCs/>
        </w:rPr>
        <w:t>)</w:t>
      </w:r>
      <w:r>
        <w:rPr>
          <w:rFonts w:eastAsia="Calibri"/>
          <w:bCs/>
        </w:rPr>
        <w:t>, including</w:t>
      </w:r>
      <w:r w:rsidR="00840ED8">
        <w:t>:</w:t>
      </w:r>
    </w:p>
    <w:p w:rsidR="00840ED8" w:rsidP="000F777E" w:rsidRDefault="00840ED8" w14:paraId="66ED7B92" w14:textId="4D0CE542">
      <w:pPr>
        <w:pStyle w:val="ListParagraph"/>
        <w:numPr>
          <w:ilvl w:val="0"/>
          <w:numId w:val="34"/>
        </w:numPr>
        <w:spacing w:line="276" w:lineRule="auto"/>
      </w:pPr>
      <w:bookmarkStart w:name="_Hlk59185494" w:id="4"/>
      <w:r>
        <w:t>Census of RAD PHAs</w:t>
      </w:r>
      <w:r w:rsidR="00D422AC">
        <w:t xml:space="preserve"> (Appendix A)</w:t>
      </w:r>
      <w:r w:rsidR="00DA123B">
        <w:t>.</w:t>
      </w:r>
    </w:p>
    <w:p w:rsidR="00840ED8" w:rsidP="000F777E" w:rsidRDefault="00351A8E" w14:paraId="3FAA7172" w14:textId="7EA94942">
      <w:pPr>
        <w:pStyle w:val="ListParagraph"/>
        <w:numPr>
          <w:ilvl w:val="0"/>
          <w:numId w:val="34"/>
        </w:numPr>
        <w:spacing w:line="276" w:lineRule="auto"/>
      </w:pPr>
      <w:r>
        <w:t xml:space="preserve">Survey </w:t>
      </w:r>
      <w:r w:rsidR="00840ED8">
        <w:t xml:space="preserve">of RAD </w:t>
      </w:r>
      <w:r w:rsidR="00F437D9">
        <w:t xml:space="preserve">non-PHA </w:t>
      </w:r>
      <w:r w:rsidR="00840ED8">
        <w:t>property owners</w:t>
      </w:r>
      <w:r w:rsidR="00D422AC">
        <w:t xml:space="preserve"> (Appendix B)</w:t>
      </w:r>
      <w:r w:rsidR="00DA123B">
        <w:t xml:space="preserve">. </w:t>
      </w:r>
    </w:p>
    <w:p w:rsidR="00840ED8" w:rsidP="000F777E" w:rsidRDefault="00084D89" w14:paraId="08CF015A" w14:textId="3AB8D627">
      <w:pPr>
        <w:pStyle w:val="ListParagraph"/>
        <w:numPr>
          <w:ilvl w:val="0"/>
          <w:numId w:val="34"/>
        </w:numPr>
        <w:spacing w:line="276" w:lineRule="auto"/>
      </w:pPr>
      <w:r>
        <w:t>Survey of a s</w:t>
      </w:r>
      <w:r w:rsidR="00EF5664">
        <w:t xml:space="preserve">ample </w:t>
      </w:r>
      <w:r w:rsidR="00840ED8">
        <w:t>of choice mobility residents</w:t>
      </w:r>
      <w:r w:rsidR="00D422AC">
        <w:t xml:space="preserve"> (Appendix C)</w:t>
      </w:r>
      <w:r w:rsidR="00840ED8">
        <w:t xml:space="preserve">. </w:t>
      </w:r>
    </w:p>
    <w:p w:rsidR="00522CB4" w:rsidP="000F777E" w:rsidRDefault="00840ED8" w14:paraId="134B3EB6" w14:textId="73AC5F86">
      <w:pPr>
        <w:pStyle w:val="ListParagraph"/>
        <w:numPr>
          <w:ilvl w:val="0"/>
          <w:numId w:val="34"/>
        </w:numPr>
        <w:spacing w:line="276" w:lineRule="auto"/>
      </w:pPr>
      <w:r>
        <w:t xml:space="preserve">Survey of </w:t>
      </w:r>
      <w:r w:rsidR="00084D89">
        <w:t xml:space="preserve">a sample of </w:t>
      </w:r>
      <w:r>
        <w:t>non-choice mobility residents</w:t>
      </w:r>
      <w:r w:rsidR="00D422AC">
        <w:t xml:space="preserve"> (Appendix D)</w:t>
      </w:r>
      <w:r w:rsidR="00D5187D">
        <w:t xml:space="preserve">. </w:t>
      </w:r>
    </w:p>
    <w:p w:rsidR="00344E1B" w:rsidP="000F777E" w:rsidRDefault="00824956" w14:paraId="0E30D00B" w14:textId="301F80BE">
      <w:pPr>
        <w:pStyle w:val="ListParagraph"/>
        <w:numPr>
          <w:ilvl w:val="0"/>
          <w:numId w:val="34"/>
        </w:numPr>
        <w:spacing w:line="276" w:lineRule="auto"/>
      </w:pPr>
      <w:r>
        <w:t>Qualitative i</w:t>
      </w:r>
      <w:r w:rsidR="00344E1B">
        <w:t xml:space="preserve">nterviews </w:t>
      </w:r>
      <w:r>
        <w:t>with a sample of PHAs</w:t>
      </w:r>
      <w:r w:rsidR="00D422AC">
        <w:t xml:space="preserve"> (Appendix E)</w:t>
      </w:r>
      <w:r>
        <w:t>.</w:t>
      </w:r>
    </w:p>
    <w:bookmarkEnd w:id="4"/>
    <w:p w:rsidR="00A45EC8" w:rsidP="00C71131" w:rsidRDefault="00A45EC8" w14:paraId="0B4102A3" w14:textId="580EEBFF">
      <w:pPr>
        <w:autoSpaceDE w:val="0"/>
        <w:autoSpaceDN w:val="0"/>
        <w:adjustRightInd w:val="0"/>
        <w:jc w:val="both"/>
      </w:pPr>
    </w:p>
    <w:p w:rsidRPr="00874435" w:rsidR="00BE4C9B" w:rsidP="00837875" w:rsidRDefault="00BE4C9B" w14:paraId="09FFEE84" w14:textId="7D9841A7">
      <w:pPr>
        <w:pStyle w:val="BodyText"/>
        <w:jc w:val="both"/>
        <w:rPr>
          <w:sz w:val="24"/>
          <w:szCs w:val="24"/>
        </w:rPr>
      </w:pPr>
      <w:proofErr w:type="gramStart"/>
      <w:r w:rsidRPr="00874435">
        <w:rPr>
          <w:sz w:val="24"/>
          <w:szCs w:val="24"/>
        </w:rPr>
        <w:t>All of</w:t>
      </w:r>
      <w:proofErr w:type="gramEnd"/>
      <w:r w:rsidRPr="00874435">
        <w:rPr>
          <w:sz w:val="24"/>
          <w:szCs w:val="24"/>
        </w:rPr>
        <w:t xml:space="preserve"> the data collection in this ICR will be </w:t>
      </w:r>
      <w:r>
        <w:rPr>
          <w:sz w:val="24"/>
          <w:szCs w:val="24"/>
        </w:rPr>
        <w:t>performed</w:t>
      </w:r>
      <w:r w:rsidRPr="00874435">
        <w:rPr>
          <w:sz w:val="24"/>
          <w:szCs w:val="24"/>
        </w:rPr>
        <w:t xml:space="preserve"> by </w:t>
      </w:r>
      <w:proofErr w:type="spellStart"/>
      <w:r w:rsidR="00C16C01">
        <w:rPr>
          <w:sz w:val="24"/>
          <w:szCs w:val="24"/>
        </w:rPr>
        <w:t>Econometrica</w:t>
      </w:r>
      <w:proofErr w:type="spellEnd"/>
      <w:r w:rsidRPr="00874435">
        <w:rPr>
          <w:sz w:val="24"/>
          <w:szCs w:val="24"/>
        </w:rPr>
        <w:t xml:space="preserve"> and its subcontractor </w:t>
      </w:r>
      <w:r w:rsidR="00C16C01">
        <w:rPr>
          <w:sz w:val="24"/>
          <w:szCs w:val="24"/>
        </w:rPr>
        <w:t>Urban Institute and SSRS</w:t>
      </w:r>
      <w:r w:rsidRPr="00874435">
        <w:rPr>
          <w:sz w:val="24"/>
          <w:szCs w:val="24"/>
        </w:rPr>
        <w:t xml:space="preserve">. Each data collection activity is described below, followed by a summary table presenting the justification for each data collection instrument. </w:t>
      </w:r>
    </w:p>
    <w:p w:rsidR="00A45EC8" w:rsidP="00837875" w:rsidRDefault="001E66C7" w14:paraId="4F808C19" w14:textId="30EECCB6">
      <w:pPr>
        <w:spacing w:line="276" w:lineRule="auto"/>
        <w:jc w:val="both"/>
      </w:pPr>
      <w:r w:rsidRPr="001E66C7">
        <w:rPr>
          <w:b/>
          <w:bCs/>
        </w:rPr>
        <w:t>Census of RAD PHAs</w:t>
      </w:r>
      <w:r>
        <w:t xml:space="preserve">. </w:t>
      </w:r>
      <w:r w:rsidRPr="0021057A" w:rsidR="007F690D">
        <w:t xml:space="preserve">The web-based census of approximately 500 participating PHAs with RAD conversions will collect data about </w:t>
      </w:r>
      <w:r w:rsidR="00D422AC">
        <w:t xml:space="preserve">the implementation of the choice mobility option and RAD </w:t>
      </w:r>
      <w:r w:rsidRPr="0021057A" w:rsidR="007F690D">
        <w:t xml:space="preserve">PBV and PBRA </w:t>
      </w:r>
      <w:r w:rsidR="00D422AC">
        <w:t xml:space="preserve">financial and </w:t>
      </w:r>
      <w:r w:rsidRPr="0021057A" w:rsidR="007F690D">
        <w:t>asset management</w:t>
      </w:r>
      <w:r w:rsidRPr="004A1079" w:rsidR="004A1079">
        <w:t xml:space="preserve"> </w:t>
      </w:r>
      <w:r w:rsidR="004A1079">
        <w:t>information</w:t>
      </w:r>
      <w:r w:rsidRPr="0021057A" w:rsidR="007F690D">
        <w:t xml:space="preserve">. The </w:t>
      </w:r>
      <w:r w:rsidR="007F690D">
        <w:rPr>
          <w:rFonts w:eastAsia="Calibri"/>
          <w:bCs/>
        </w:rPr>
        <w:t>census will</w:t>
      </w:r>
      <w:r w:rsidRPr="00321852" w:rsidR="00321852">
        <w:t xml:space="preserve"> </w:t>
      </w:r>
      <w:r w:rsidR="00321852">
        <w:t xml:space="preserve">provide comprehensive information about the first three research </w:t>
      </w:r>
      <w:r w:rsidR="00324E16">
        <w:t xml:space="preserve">components </w:t>
      </w:r>
      <w:r w:rsidR="00321852">
        <w:t xml:space="preserve">(choice mobility, long-term </w:t>
      </w:r>
      <w:r w:rsidR="00324E16">
        <w:t xml:space="preserve">preservation and </w:t>
      </w:r>
      <w:r w:rsidR="00321852">
        <w:t>financial viability, and asset management).</w:t>
      </w:r>
      <w:r w:rsidR="007F690D">
        <w:t xml:space="preserve"> </w:t>
      </w:r>
      <w:r w:rsidR="00A45EC8">
        <w:t xml:space="preserve">By systematically </w:t>
      </w:r>
      <w:r w:rsidR="003932C8">
        <w:t>reaching out to all parties involved in RAD</w:t>
      </w:r>
      <w:r w:rsidR="00D74A5C">
        <w:t>,</w:t>
      </w:r>
      <w:r w:rsidR="003932C8">
        <w:t xml:space="preserve"> the team will </w:t>
      </w:r>
      <w:r w:rsidR="00640E4E">
        <w:t xml:space="preserve">be able to </w:t>
      </w:r>
      <w:r w:rsidR="003932C8">
        <w:t xml:space="preserve">gather information about the program. </w:t>
      </w:r>
      <w:r w:rsidR="00640E4E">
        <w:t>The analysis of this information will fulfil the purpose of the IC</w:t>
      </w:r>
      <w:r w:rsidR="00084D89">
        <w:t>R</w:t>
      </w:r>
      <w:r w:rsidR="00640E4E">
        <w:t xml:space="preserve"> to evaluate key aspect</w:t>
      </w:r>
      <w:r w:rsidR="00084D89">
        <w:t>s</w:t>
      </w:r>
      <w:r w:rsidR="00640E4E">
        <w:t xml:space="preserve"> of RAD. </w:t>
      </w:r>
      <w:r w:rsidRPr="0037047C" w:rsidR="00E13316">
        <w:t xml:space="preserve">The </w:t>
      </w:r>
      <w:r w:rsidRPr="0037047C" w:rsidR="007C7438">
        <w:t xml:space="preserve">recruitment email and </w:t>
      </w:r>
      <w:r w:rsidRPr="0037047C" w:rsidR="00E13316">
        <w:t xml:space="preserve">census </w:t>
      </w:r>
      <w:r w:rsidRPr="0037047C" w:rsidR="007C7438">
        <w:t>of</w:t>
      </w:r>
      <w:r w:rsidRPr="0037047C" w:rsidR="00E13316">
        <w:t xml:space="preserve"> RAD PHAs </w:t>
      </w:r>
      <w:r w:rsidR="0025293C">
        <w:t>are</w:t>
      </w:r>
      <w:r w:rsidRPr="0037047C" w:rsidR="0025293C">
        <w:t xml:space="preserve"> </w:t>
      </w:r>
      <w:r w:rsidRPr="0037047C" w:rsidR="00E13316">
        <w:t>submitted as Appendix A.</w:t>
      </w:r>
    </w:p>
    <w:p w:rsidR="00721E51" w:rsidP="00837875" w:rsidRDefault="00721E51" w14:paraId="5682E500" w14:textId="77777777">
      <w:pPr>
        <w:autoSpaceDE w:val="0"/>
        <w:autoSpaceDN w:val="0"/>
        <w:adjustRightInd w:val="0"/>
        <w:jc w:val="both"/>
      </w:pPr>
    </w:p>
    <w:p w:rsidRPr="0037047C" w:rsidR="00721E51" w:rsidP="00837875" w:rsidRDefault="001E66C7" w14:paraId="681CDF18" w14:textId="60A71D8B">
      <w:pPr>
        <w:jc w:val="both"/>
      </w:pPr>
      <w:r w:rsidRPr="007E66FF">
        <w:rPr>
          <w:b/>
          <w:bCs/>
        </w:rPr>
        <w:t>Survey of RAD non-PHA property owners</w:t>
      </w:r>
      <w:r>
        <w:t xml:space="preserve">. </w:t>
      </w:r>
      <w:r w:rsidR="007F690D">
        <w:t xml:space="preserve">The information collection is a </w:t>
      </w:r>
      <w:r w:rsidR="00951E00">
        <w:t xml:space="preserve">web-based </w:t>
      </w:r>
      <w:r w:rsidR="007F690D">
        <w:t xml:space="preserve">survey </w:t>
      </w:r>
      <w:r w:rsidRPr="0021057A" w:rsidR="00721E51">
        <w:t>of</w:t>
      </w:r>
      <w:r w:rsidRPr="0021057A" w:rsidR="0021057A">
        <w:t xml:space="preserve"> approximately 350</w:t>
      </w:r>
      <w:r w:rsidRPr="0021057A" w:rsidR="00721E51">
        <w:t xml:space="preserve"> </w:t>
      </w:r>
      <w:r w:rsidR="00940377">
        <w:t xml:space="preserve">non-PHA </w:t>
      </w:r>
      <w:r w:rsidRPr="0021057A" w:rsidR="00721E51">
        <w:t xml:space="preserve">project owners/operators </w:t>
      </w:r>
      <w:r w:rsidR="007F690D">
        <w:t>to</w:t>
      </w:r>
      <w:r w:rsidRPr="0021057A" w:rsidR="007F690D">
        <w:t xml:space="preserve"> </w:t>
      </w:r>
      <w:r w:rsidR="007F690D">
        <w:t>gather</w:t>
      </w:r>
      <w:r w:rsidRPr="0021057A" w:rsidR="007F690D">
        <w:t xml:space="preserve"> </w:t>
      </w:r>
      <w:r w:rsidRPr="0021057A" w:rsidR="00721E51">
        <w:t xml:space="preserve">information about </w:t>
      </w:r>
      <w:r w:rsidR="00FB2E4A">
        <w:t>the implementation of the choice mobility option</w:t>
      </w:r>
      <w:r w:rsidR="007E2823">
        <w:t xml:space="preserve">, </w:t>
      </w:r>
      <w:r w:rsidRPr="0021057A" w:rsidR="00721E51">
        <w:t xml:space="preserve">PBV </w:t>
      </w:r>
      <w:r w:rsidR="006623CA">
        <w:t>financial condition</w:t>
      </w:r>
      <w:r w:rsidR="007E2823">
        <w:t>,</w:t>
      </w:r>
      <w:r w:rsidR="006623CA">
        <w:t xml:space="preserve"> </w:t>
      </w:r>
      <w:r w:rsidRPr="0021057A" w:rsidR="00721E51">
        <w:t xml:space="preserve">and </w:t>
      </w:r>
      <w:r w:rsidR="006623CA">
        <w:t xml:space="preserve">PBV and </w:t>
      </w:r>
      <w:r w:rsidRPr="0021057A" w:rsidR="00721E51">
        <w:t>PBRA asset management.</w:t>
      </w:r>
      <w:r w:rsidR="007442F7">
        <w:t xml:space="preserve"> The </w:t>
      </w:r>
      <w:r w:rsidR="00951E00">
        <w:t xml:space="preserve">survey </w:t>
      </w:r>
      <w:r w:rsidRPr="0021057A" w:rsidR="0021057A">
        <w:t xml:space="preserve">will provide more detail and a more complete picture of PBV and PBRA asset management </w:t>
      </w:r>
      <w:r w:rsidR="00D422AC">
        <w:t xml:space="preserve">and the use of choice mobility </w:t>
      </w:r>
      <w:r w:rsidR="00951E00">
        <w:t xml:space="preserve">and impact on properties </w:t>
      </w:r>
      <w:r w:rsidRPr="0021057A" w:rsidR="0021057A">
        <w:t>after conversion under RAD.</w:t>
      </w:r>
      <w:r w:rsidR="00E13316">
        <w:t xml:space="preserve"> </w:t>
      </w:r>
      <w:r w:rsidRPr="0037047C" w:rsidR="00E13316">
        <w:t xml:space="preserve">The </w:t>
      </w:r>
      <w:r w:rsidRPr="0037047C" w:rsidR="007C7438">
        <w:t xml:space="preserve">recruitment email and </w:t>
      </w:r>
      <w:r w:rsidRPr="0037047C" w:rsidR="00E13316">
        <w:t xml:space="preserve">survey </w:t>
      </w:r>
      <w:r w:rsidRPr="0037047C" w:rsidR="007C7438">
        <w:t>of</w:t>
      </w:r>
      <w:r w:rsidRPr="0037047C" w:rsidR="00E13316">
        <w:t xml:space="preserve"> RAD non-PHA property owners </w:t>
      </w:r>
      <w:r w:rsidRPr="0037047C" w:rsidR="008157A6">
        <w:t>are</w:t>
      </w:r>
      <w:r w:rsidRPr="0037047C" w:rsidR="00E13316">
        <w:t xml:space="preserve"> submitted as Appendix B.</w:t>
      </w:r>
    </w:p>
    <w:p w:rsidRPr="0037047C" w:rsidR="00EF5664" w:rsidP="00837875" w:rsidRDefault="00EF5664" w14:paraId="7AC0EA3B" w14:textId="77777777">
      <w:pPr>
        <w:jc w:val="both"/>
      </w:pPr>
    </w:p>
    <w:p w:rsidRPr="0021057A" w:rsidR="00EF5664" w:rsidP="00837875" w:rsidRDefault="007E66FF" w14:paraId="55E6C721" w14:textId="32236F4D">
      <w:pPr>
        <w:jc w:val="both"/>
      </w:pPr>
      <w:r w:rsidRPr="0037047C">
        <w:rPr>
          <w:b/>
          <w:bCs/>
        </w:rPr>
        <w:t>Survey of a sample of choice mobility residents</w:t>
      </w:r>
      <w:r w:rsidRPr="0037047C">
        <w:t xml:space="preserve">. </w:t>
      </w:r>
      <w:r w:rsidRPr="0037047C" w:rsidR="00EF5664">
        <w:t xml:space="preserve">The </w:t>
      </w:r>
      <w:r w:rsidRPr="0037047C" w:rsidR="00951E00">
        <w:t xml:space="preserve">information collection is a web-based and paper survey of a </w:t>
      </w:r>
      <w:r w:rsidRPr="0037047C" w:rsidR="00EF5664">
        <w:t xml:space="preserve">sample of </w:t>
      </w:r>
      <w:r w:rsidRPr="0037047C" w:rsidR="00951E00">
        <w:t xml:space="preserve">residents who used the </w:t>
      </w:r>
      <w:r w:rsidRPr="0037047C" w:rsidR="00EF5664">
        <w:t xml:space="preserve">choice mobility </w:t>
      </w:r>
      <w:r w:rsidRPr="0037047C" w:rsidR="00951E00">
        <w:t>option according to HUD administrative data</w:t>
      </w:r>
      <w:r w:rsidRPr="0037047C" w:rsidR="00EF5664">
        <w:t xml:space="preserve">. </w:t>
      </w:r>
      <w:r w:rsidRPr="0037047C" w:rsidR="00324E16">
        <w:t>The survey</w:t>
      </w:r>
      <w:r w:rsidRPr="0037047C" w:rsidR="00EF5664">
        <w:t xml:space="preserve"> will </w:t>
      </w:r>
      <w:r w:rsidRPr="0037047C" w:rsidR="00324E16">
        <w:t>provide information about former RAD residents' experience using the choice mobility option, the reasons for moving, and satisfaction with the unit, property, and neighborhood</w:t>
      </w:r>
      <w:r w:rsidRPr="0037047C" w:rsidR="00EF5664">
        <w:t>.</w:t>
      </w:r>
      <w:r w:rsidRPr="0037047C" w:rsidR="00A44CFD">
        <w:t xml:space="preserve"> This is a survey of approximately </w:t>
      </w:r>
      <w:r w:rsidRPr="0037047C" w:rsidR="00AC3F4E">
        <w:t>1,1</w:t>
      </w:r>
      <w:r w:rsidRPr="0037047C" w:rsidR="002166A9">
        <w:t>80</w:t>
      </w:r>
      <w:r w:rsidRPr="0037047C" w:rsidR="00AC3F4E">
        <w:t xml:space="preserve"> respondents.</w:t>
      </w:r>
      <w:r w:rsidRPr="0037047C" w:rsidR="00E13316">
        <w:t xml:space="preserve"> The </w:t>
      </w:r>
      <w:r w:rsidRPr="0037047C" w:rsidR="007C7438">
        <w:t xml:space="preserve">recruitment materials, informed consent, and </w:t>
      </w:r>
      <w:r w:rsidRPr="0037047C" w:rsidR="00E13316">
        <w:t xml:space="preserve">survey </w:t>
      </w:r>
      <w:r w:rsidRPr="0037047C" w:rsidR="007C7438">
        <w:t>of</w:t>
      </w:r>
      <w:r w:rsidRPr="0037047C" w:rsidR="00E13316">
        <w:t xml:space="preserve"> choice mobility residents </w:t>
      </w:r>
      <w:r w:rsidRPr="0037047C" w:rsidR="008157A6">
        <w:t>are</w:t>
      </w:r>
      <w:r w:rsidRPr="0037047C" w:rsidR="00E13316">
        <w:t xml:space="preserve"> submitted as Appendix C.</w:t>
      </w:r>
      <w:r w:rsidRPr="0037047C" w:rsidR="00AC3F4E">
        <w:t xml:space="preserve"> </w:t>
      </w:r>
    </w:p>
    <w:p w:rsidR="003932C8" w:rsidP="00837875" w:rsidRDefault="003932C8" w14:paraId="6DF4DDD3" w14:textId="65EED7E5">
      <w:pPr>
        <w:autoSpaceDE w:val="0"/>
        <w:autoSpaceDN w:val="0"/>
        <w:adjustRightInd w:val="0"/>
        <w:jc w:val="both"/>
      </w:pPr>
    </w:p>
    <w:p w:rsidRPr="0021057A" w:rsidR="00AC3F4E" w:rsidP="00837875" w:rsidRDefault="007E66FF" w14:paraId="2F6B5510" w14:textId="71C19DCA">
      <w:pPr>
        <w:jc w:val="both"/>
      </w:pPr>
      <w:r w:rsidRPr="007E66FF">
        <w:rPr>
          <w:b/>
          <w:bCs/>
        </w:rPr>
        <w:lastRenderedPageBreak/>
        <w:t>Survey of a sample of non-choice mobility residents</w:t>
      </w:r>
      <w:r>
        <w:t xml:space="preserve">. </w:t>
      </w:r>
      <w:r w:rsidR="003932C8">
        <w:t xml:space="preserve">The </w:t>
      </w:r>
      <w:r w:rsidR="00951E00">
        <w:t xml:space="preserve">information collection is a web-based and paper </w:t>
      </w:r>
      <w:r w:rsidR="003932C8">
        <w:t xml:space="preserve">survey of a sample of </w:t>
      </w:r>
      <w:r w:rsidR="00951E00">
        <w:t xml:space="preserve">residents who live </w:t>
      </w:r>
      <w:r w:rsidR="00E13316">
        <w:t xml:space="preserve">in a RAD property, are eligible for the </w:t>
      </w:r>
      <w:r w:rsidR="003932C8">
        <w:t xml:space="preserve">choice mobility </w:t>
      </w:r>
      <w:r w:rsidR="007B3B0E">
        <w:t>option but</w:t>
      </w:r>
      <w:r w:rsidR="00E13316">
        <w:t xml:space="preserve"> have not moved out from the RAD property and </w:t>
      </w:r>
      <w:r w:rsidR="007A36CE">
        <w:t xml:space="preserve">have not </w:t>
      </w:r>
      <w:r w:rsidR="00E13316">
        <w:t xml:space="preserve">used the choice mobility option. </w:t>
      </w:r>
      <w:r w:rsidR="00324E16">
        <w:t xml:space="preserve">The survey will provide information about RAD residents’ knowledge of the choice mobility option, the reasons for not moving, and satisfaction with the unit, property, and neighborhood. </w:t>
      </w:r>
      <w:r w:rsidR="00E13316">
        <w:t xml:space="preserve">This sample of </w:t>
      </w:r>
      <w:r w:rsidR="003932C8">
        <w:t xml:space="preserve">residents </w:t>
      </w:r>
      <w:r w:rsidR="001E134F">
        <w:t xml:space="preserve">will serve as </w:t>
      </w:r>
      <w:r w:rsidR="003932C8">
        <w:t xml:space="preserve">a comparison group for the </w:t>
      </w:r>
      <w:r w:rsidR="00853926">
        <w:t>survey of the residents who used the choice mobility option. This is vital for a statistically valid analysis. It will provide insight as to the reasons for any different outcomes for the two groups</w:t>
      </w:r>
      <w:r w:rsidR="001E134F">
        <w:t xml:space="preserve">. This data collection is linked to the survey of choice mobility residents. </w:t>
      </w:r>
      <w:r w:rsidR="00AC3F4E">
        <w:t xml:space="preserve">This is a survey of approximately 420 respondents. </w:t>
      </w:r>
      <w:r w:rsidRPr="0037047C" w:rsidR="007C7438">
        <w:t xml:space="preserve">The recruitment materials, informed consent, and survey of non-choice mobility residents </w:t>
      </w:r>
      <w:r w:rsidRPr="0037047C" w:rsidR="001859E5">
        <w:t>are</w:t>
      </w:r>
      <w:r w:rsidRPr="0037047C" w:rsidR="007C7438">
        <w:t xml:space="preserve"> submitted as Appendix D.</w:t>
      </w:r>
    </w:p>
    <w:p w:rsidR="003932C8" w:rsidP="00C71131" w:rsidRDefault="003932C8" w14:paraId="16DD49EE" w14:textId="43AB04DA">
      <w:pPr>
        <w:autoSpaceDE w:val="0"/>
        <w:autoSpaceDN w:val="0"/>
        <w:adjustRightInd w:val="0"/>
        <w:jc w:val="both"/>
      </w:pPr>
    </w:p>
    <w:p w:rsidR="00771BBA" w:rsidP="00837875" w:rsidRDefault="007E66FF" w14:paraId="17D4D424" w14:textId="307B8ED6">
      <w:pPr>
        <w:jc w:val="both"/>
      </w:pPr>
      <w:r w:rsidRPr="007E66FF">
        <w:rPr>
          <w:b/>
          <w:bCs/>
        </w:rPr>
        <w:t xml:space="preserve">Qualitative </w:t>
      </w:r>
      <w:r w:rsidR="00816876">
        <w:rPr>
          <w:b/>
          <w:bCs/>
        </w:rPr>
        <w:t>I</w:t>
      </w:r>
      <w:r w:rsidRPr="007E66FF">
        <w:rPr>
          <w:b/>
          <w:bCs/>
        </w:rPr>
        <w:t>nterviews</w:t>
      </w:r>
      <w:r w:rsidR="00816876">
        <w:rPr>
          <w:b/>
          <w:bCs/>
        </w:rPr>
        <w:t xml:space="preserve"> with a sample of PHAs</w:t>
      </w:r>
      <w:r>
        <w:t xml:space="preserve">. </w:t>
      </w:r>
      <w:r w:rsidR="00E13316">
        <w:t xml:space="preserve">The fifth information collection </w:t>
      </w:r>
      <w:r w:rsidR="001F6E50">
        <w:t>is a series of</w:t>
      </w:r>
      <w:r w:rsidR="00E13316">
        <w:t xml:space="preserve"> </w:t>
      </w:r>
      <w:r w:rsidR="00E5078A">
        <w:t xml:space="preserve">interviews </w:t>
      </w:r>
      <w:r w:rsidR="005A2556">
        <w:t xml:space="preserve">with PHA staff </w:t>
      </w:r>
      <w:r w:rsidR="00E13316">
        <w:t xml:space="preserve">that are expected to </w:t>
      </w:r>
      <w:r w:rsidR="001E134F">
        <w:t xml:space="preserve">be conducted </w:t>
      </w:r>
      <w:r w:rsidR="00E13316">
        <w:t xml:space="preserve">in-person during site visits </w:t>
      </w:r>
      <w:r w:rsidR="001E134F">
        <w:t>at approximately 25 PHAs</w:t>
      </w:r>
      <w:r w:rsidR="005A2556">
        <w:t>. I</w:t>
      </w:r>
      <w:r w:rsidR="00E13316">
        <w:t xml:space="preserve">f travel restrictions </w:t>
      </w:r>
      <w:r w:rsidR="007C7438">
        <w:t>due</w:t>
      </w:r>
      <w:r w:rsidR="00E13316">
        <w:t xml:space="preserve"> </w:t>
      </w:r>
      <w:r w:rsidR="007C7438">
        <w:t>to</w:t>
      </w:r>
      <w:r w:rsidR="00E13316">
        <w:t xml:space="preserve"> the pandemic have </w:t>
      </w:r>
      <w:r w:rsidR="005A2556">
        <w:t xml:space="preserve">not </w:t>
      </w:r>
      <w:r w:rsidR="00E13316">
        <w:t>been lifted</w:t>
      </w:r>
      <w:r w:rsidR="005A2556">
        <w:t>, the study will conduct virtual site-visits and video or telephone interviews</w:t>
      </w:r>
      <w:r w:rsidR="001E134F">
        <w:t xml:space="preserve">. </w:t>
      </w:r>
      <w:r w:rsidR="00F418CB">
        <w:t xml:space="preserve">The </w:t>
      </w:r>
      <w:r w:rsidR="005A2556">
        <w:t>interviews will provide qualitative data about changes in</w:t>
      </w:r>
      <w:r w:rsidR="00771BBA">
        <w:t xml:space="preserve"> PHA organization and operations, staffing, structure, management practices, and fiscal impacts</w:t>
      </w:r>
      <w:r w:rsidR="005A2556">
        <w:t xml:space="preserve"> </w:t>
      </w:r>
      <w:proofErr w:type="gramStart"/>
      <w:r w:rsidR="005A2556">
        <w:t>as a result of</w:t>
      </w:r>
      <w:proofErr w:type="gramEnd"/>
      <w:r w:rsidR="005A2556">
        <w:t xml:space="preserve"> the RAD conversions</w:t>
      </w:r>
      <w:r w:rsidR="00771BBA">
        <w:t xml:space="preserve">. </w:t>
      </w:r>
      <w:r w:rsidRPr="00E13316" w:rsidR="007C7438">
        <w:t xml:space="preserve">The </w:t>
      </w:r>
      <w:r w:rsidR="007C7438">
        <w:t xml:space="preserve">recruitment letter and interview guides of qualitative interviews with PHAs </w:t>
      </w:r>
      <w:r w:rsidR="001859E5">
        <w:t>are</w:t>
      </w:r>
      <w:r w:rsidRPr="00E13316" w:rsidR="007C7438">
        <w:t xml:space="preserve"> submitted as Appendix </w:t>
      </w:r>
      <w:r w:rsidR="007C7438">
        <w:t>E.</w:t>
      </w:r>
    </w:p>
    <w:p w:rsidR="001E134F" w:rsidP="00837875" w:rsidRDefault="001E134F" w14:paraId="6F6B039E" w14:textId="5ADB3521">
      <w:pPr>
        <w:autoSpaceDE w:val="0"/>
        <w:autoSpaceDN w:val="0"/>
        <w:adjustRightInd w:val="0"/>
        <w:jc w:val="both"/>
      </w:pPr>
    </w:p>
    <w:p w:rsidRPr="00751E9E" w:rsidR="00C71131" w:rsidP="00837875" w:rsidRDefault="00C71131" w14:paraId="6B6688A8" w14:textId="2F058E0F">
      <w:pPr>
        <w:jc w:val="both"/>
      </w:pPr>
      <w:r w:rsidRPr="00050CB9">
        <w:t>Th</w:t>
      </w:r>
      <w:r>
        <w:t>e</w:t>
      </w:r>
      <w:r w:rsidRPr="00050CB9">
        <w:t xml:space="preserve"> </w:t>
      </w:r>
      <w:r>
        <w:t xml:space="preserve">findings from </w:t>
      </w:r>
      <w:r w:rsidR="007E70E7">
        <w:t>the</w:t>
      </w:r>
      <w:r>
        <w:t xml:space="preserve"> evaluation will be presented in interim </w:t>
      </w:r>
      <w:r w:rsidR="00522CB4">
        <w:t>an</w:t>
      </w:r>
      <w:r w:rsidR="002D66E2">
        <w:t xml:space="preserve">d </w:t>
      </w:r>
      <w:r w:rsidR="00522CB4">
        <w:t xml:space="preserve">final </w:t>
      </w:r>
      <w:r>
        <w:t>report</w:t>
      </w:r>
      <w:r w:rsidR="002D66E2">
        <w:t xml:space="preserve">s </w:t>
      </w:r>
      <w:r>
        <w:t xml:space="preserve">to </w:t>
      </w:r>
      <w:r w:rsidR="00D61861">
        <w:t>the Office of Policy Development and Research (</w:t>
      </w:r>
      <w:r>
        <w:t>PD&amp;R</w:t>
      </w:r>
      <w:r w:rsidR="00D61861">
        <w:t>)</w:t>
      </w:r>
      <w:r w:rsidRPr="00050CB9">
        <w:t xml:space="preserve">. </w:t>
      </w:r>
      <w:r>
        <w:t>PD&amp;R</w:t>
      </w:r>
      <w:r w:rsidRPr="00BE055D">
        <w:t xml:space="preserve"> disseminates studies and publications through </w:t>
      </w:r>
      <w:r w:rsidR="007E70E7">
        <w:t xml:space="preserve">their </w:t>
      </w:r>
      <w:r w:rsidR="00D5187D">
        <w:t>W</w:t>
      </w:r>
      <w:r w:rsidR="007E70E7">
        <w:t>eb</w:t>
      </w:r>
      <w:r w:rsidR="00D5187D">
        <w:t xml:space="preserve"> </w:t>
      </w:r>
      <w:r w:rsidR="007E70E7">
        <w:t xml:space="preserve">site at </w:t>
      </w:r>
      <w:hyperlink w:history="1" r:id="rId11">
        <w:r w:rsidRPr="00244A3A" w:rsidR="007E70E7">
          <w:rPr>
            <w:rStyle w:val="Hyperlink"/>
          </w:rPr>
          <w:t>www.huduser.org</w:t>
        </w:r>
      </w:hyperlink>
      <w:r w:rsidR="00D5187D">
        <w:t xml:space="preserve">. </w:t>
      </w:r>
      <w:r w:rsidR="007E70E7">
        <w:t>HUD publication</w:t>
      </w:r>
      <w:r>
        <w:t xml:space="preserve"> policies and procedures comply with all applicable Information Quality Guidelines.</w:t>
      </w:r>
      <w:r>
        <w:rPr>
          <w:rStyle w:val="FootnoteReference"/>
        </w:rPr>
        <w:footnoteReference w:id="1"/>
      </w:r>
    </w:p>
    <w:p w:rsidR="00964E3D" w:rsidP="00837875" w:rsidRDefault="00964E3D" w14:paraId="79EA2962" w14:textId="6AE9B53A">
      <w:pPr>
        <w:jc w:val="both"/>
      </w:pPr>
    </w:p>
    <w:p w:rsidR="00125867" w:rsidP="00837875" w:rsidRDefault="00524CF5" w14:paraId="22DA4FE2" w14:textId="6BD684C6">
      <w:pPr>
        <w:jc w:val="both"/>
      </w:pPr>
      <w:r>
        <w:rPr>
          <w:b/>
        </w:rPr>
        <w:t>Table</w:t>
      </w:r>
      <w:r w:rsidRPr="00874435" w:rsidR="00125867">
        <w:rPr>
          <w:b/>
        </w:rPr>
        <w:t xml:space="preserve"> 1</w:t>
      </w:r>
      <w:r w:rsidR="00925C91">
        <w:rPr>
          <w:b/>
        </w:rPr>
        <w:t xml:space="preserve"> </w:t>
      </w:r>
      <w:r w:rsidRPr="00B7535E" w:rsidR="00925C91">
        <w:rPr>
          <w:bCs/>
        </w:rPr>
        <w:t>summarizes</w:t>
      </w:r>
      <w:r w:rsidR="00925C91">
        <w:rPr>
          <w:b/>
        </w:rPr>
        <w:t xml:space="preserve"> </w:t>
      </w:r>
      <w:r w:rsidRPr="00874435" w:rsidR="00125867">
        <w:t xml:space="preserve">the </w:t>
      </w:r>
      <w:r w:rsidR="00925C91">
        <w:t>need for each of the</w:t>
      </w:r>
      <w:r w:rsidRPr="00874435" w:rsidR="00925C91">
        <w:t xml:space="preserve"> </w:t>
      </w:r>
      <w:r w:rsidRPr="00874435" w:rsidR="00125867">
        <w:t>of information collection</w:t>
      </w:r>
      <w:r>
        <w:t>s and each of the separate</w:t>
      </w:r>
      <w:r w:rsidRPr="00874435" w:rsidR="00125867">
        <w:t xml:space="preserve"> data collection instrument</w:t>
      </w:r>
      <w:r>
        <w:t>s.</w:t>
      </w:r>
    </w:p>
    <w:p w:rsidR="00C807BE" w:rsidP="00C71131" w:rsidRDefault="00C807BE" w14:paraId="06C3C0AE" w14:textId="1FD54CEE">
      <w:pPr>
        <w:jc w:val="both"/>
      </w:pPr>
    </w:p>
    <w:p w:rsidRPr="0076142F" w:rsidR="00454F1C" w:rsidP="00B7535E" w:rsidRDefault="00524CF5" w14:paraId="54F51715" w14:textId="3A7FB6B6">
      <w:pPr>
        <w:pStyle w:val="TableCaption"/>
      </w:pPr>
      <w:r>
        <w:t xml:space="preserve">Table </w:t>
      </w:r>
      <w:r w:rsidR="00053080">
        <w:fldChar w:fldCharType="begin"/>
      </w:r>
      <w:r w:rsidR="00053080">
        <w:instrText xml:space="preserve"> SEQ Table \* ARABIC </w:instrText>
      </w:r>
      <w:r w:rsidR="00053080">
        <w:fldChar w:fldCharType="separate"/>
      </w:r>
      <w:r w:rsidR="00F20F82">
        <w:rPr>
          <w:noProof/>
        </w:rPr>
        <w:t>1</w:t>
      </w:r>
      <w:r w:rsidR="00053080">
        <w:rPr>
          <w:noProof/>
        </w:rPr>
        <w:fldChar w:fldCharType="end"/>
      </w:r>
      <w:r>
        <w:t xml:space="preserve">. </w:t>
      </w:r>
      <w:r w:rsidRPr="0076142F" w:rsidR="0076142F">
        <w:t>Justification of Data Collection Instruments</w:t>
      </w:r>
    </w:p>
    <w:tbl>
      <w:tblPr>
        <w:tblStyle w:val="EconometricaTableStyle"/>
        <w:tblW w:w="0" w:type="auto"/>
        <w:tblLook w:val="04A0" w:firstRow="1" w:lastRow="0" w:firstColumn="1" w:lastColumn="0" w:noHBand="0" w:noVBand="1"/>
      </w:tblPr>
      <w:tblGrid>
        <w:gridCol w:w="1885"/>
        <w:gridCol w:w="7465"/>
      </w:tblGrid>
      <w:tr w:rsidRPr="00BE139E" w:rsidR="0076142F" w:rsidTr="009643A3" w14:paraId="64BB2F65" w14:textId="77777777">
        <w:trPr>
          <w:cnfStyle w:val="100000000000" w:firstRow="1" w:lastRow="0" w:firstColumn="0" w:lastColumn="0" w:oddVBand="0" w:evenVBand="0" w:oddHBand="0" w:evenHBand="0" w:firstRowFirstColumn="0" w:firstRowLastColumn="0" w:lastRowFirstColumn="0" w:lastRowLastColumn="0"/>
          <w:tblHeader/>
        </w:trPr>
        <w:tc>
          <w:tcPr>
            <w:tcW w:w="1885" w:type="dxa"/>
          </w:tcPr>
          <w:p w:rsidRPr="00BE139E" w:rsidR="0076142F" w:rsidP="00C71131" w:rsidRDefault="0076142F" w14:paraId="65F2A49C" w14:textId="7EF11D9F">
            <w:pPr>
              <w:jc w:val="both"/>
              <w:rPr>
                <w:b w:val="0"/>
                <w:bCs/>
                <w:sz w:val="20"/>
                <w:szCs w:val="20"/>
              </w:rPr>
            </w:pPr>
            <w:r w:rsidRPr="00BE139E">
              <w:rPr>
                <w:bCs/>
                <w:sz w:val="20"/>
                <w:szCs w:val="20"/>
              </w:rPr>
              <w:t>Instruments</w:t>
            </w:r>
          </w:p>
        </w:tc>
        <w:tc>
          <w:tcPr>
            <w:tcW w:w="7465" w:type="dxa"/>
          </w:tcPr>
          <w:p w:rsidRPr="00BE139E" w:rsidR="0076142F" w:rsidP="00C71131" w:rsidRDefault="0076142F" w14:paraId="28A1DD80" w14:textId="471A3AD7">
            <w:pPr>
              <w:jc w:val="both"/>
              <w:rPr>
                <w:b w:val="0"/>
                <w:bCs/>
                <w:sz w:val="20"/>
                <w:szCs w:val="20"/>
              </w:rPr>
            </w:pPr>
            <w:r w:rsidRPr="00BE139E">
              <w:rPr>
                <w:bCs/>
                <w:sz w:val="20"/>
                <w:szCs w:val="20"/>
              </w:rPr>
              <w:t>Respondents, Content, and Reason for Inclusion</w:t>
            </w:r>
          </w:p>
        </w:tc>
      </w:tr>
      <w:tr w:rsidR="0076142F" w:rsidTr="009643A3" w14:paraId="6E0CDE72" w14:textId="77777777">
        <w:trPr>
          <w:cnfStyle w:val="000000100000" w:firstRow="0" w:lastRow="0" w:firstColumn="0" w:lastColumn="0" w:oddVBand="0" w:evenVBand="0" w:oddHBand="1" w:evenHBand="0" w:firstRowFirstColumn="0" w:firstRowLastColumn="0" w:lastRowFirstColumn="0" w:lastRowLastColumn="0"/>
          <w:cantSplit w:val="0"/>
        </w:trPr>
        <w:tc>
          <w:tcPr>
            <w:tcW w:w="1885" w:type="dxa"/>
          </w:tcPr>
          <w:p w:rsidRPr="00BE139E" w:rsidR="0076142F" w:rsidP="001A54AA" w:rsidRDefault="0076142F" w14:paraId="7C1622DC" w14:textId="7669F473">
            <w:pPr>
              <w:rPr>
                <w:b/>
                <w:bCs/>
                <w:sz w:val="20"/>
                <w:szCs w:val="20"/>
              </w:rPr>
            </w:pPr>
            <w:r w:rsidRPr="00BE139E">
              <w:rPr>
                <w:b/>
                <w:bCs/>
                <w:sz w:val="20"/>
                <w:szCs w:val="20"/>
              </w:rPr>
              <w:t>Census of RAD PHA (Appendix A)</w:t>
            </w:r>
          </w:p>
        </w:tc>
        <w:tc>
          <w:tcPr>
            <w:tcW w:w="7465" w:type="dxa"/>
          </w:tcPr>
          <w:p w:rsidRPr="00414247" w:rsidR="00A52CB5" w:rsidP="00C71131" w:rsidRDefault="0076142F" w14:paraId="5D8E329B" w14:textId="188D1AB2">
            <w:pPr>
              <w:jc w:val="both"/>
              <w:rPr>
                <w:sz w:val="20"/>
                <w:szCs w:val="20"/>
              </w:rPr>
            </w:pPr>
            <w:r w:rsidRPr="00BE139E">
              <w:rPr>
                <w:b/>
                <w:bCs/>
                <w:sz w:val="20"/>
                <w:szCs w:val="20"/>
              </w:rPr>
              <w:t>Respondents</w:t>
            </w:r>
            <w:r>
              <w:rPr>
                <w:sz w:val="20"/>
                <w:szCs w:val="20"/>
              </w:rPr>
              <w:t xml:space="preserve">: </w:t>
            </w:r>
            <w:r w:rsidR="00E267C0">
              <w:rPr>
                <w:sz w:val="20"/>
                <w:szCs w:val="20"/>
              </w:rPr>
              <w:t>PHA Executive Director and other relevant staff</w:t>
            </w:r>
            <w:r w:rsidR="00222402">
              <w:rPr>
                <w:sz w:val="20"/>
                <w:szCs w:val="20"/>
              </w:rPr>
              <w:t xml:space="preserve"> at approximate</w:t>
            </w:r>
            <w:r w:rsidR="00ED5C45">
              <w:rPr>
                <w:sz w:val="20"/>
                <w:szCs w:val="20"/>
              </w:rPr>
              <w:t>ly</w:t>
            </w:r>
            <w:r w:rsidR="00693AEA">
              <w:rPr>
                <w:sz w:val="20"/>
                <w:szCs w:val="20"/>
              </w:rPr>
              <w:t xml:space="preserve"> 500 </w:t>
            </w:r>
            <w:r w:rsidR="00222402">
              <w:rPr>
                <w:sz w:val="20"/>
                <w:szCs w:val="20"/>
              </w:rPr>
              <w:t>RAD PHAs</w:t>
            </w:r>
          </w:p>
          <w:p w:rsidR="00414247" w:rsidP="00C71131" w:rsidRDefault="00414247" w14:paraId="43E536AF" w14:textId="77777777">
            <w:pPr>
              <w:jc w:val="both"/>
              <w:rPr>
                <w:b/>
                <w:bCs/>
                <w:sz w:val="20"/>
                <w:szCs w:val="20"/>
              </w:rPr>
            </w:pPr>
          </w:p>
          <w:p w:rsidR="0076142F" w:rsidP="00C71131" w:rsidRDefault="0076142F" w14:paraId="2B816EA0" w14:textId="5C8A622D">
            <w:pPr>
              <w:jc w:val="both"/>
              <w:rPr>
                <w:sz w:val="20"/>
                <w:szCs w:val="20"/>
              </w:rPr>
            </w:pPr>
            <w:r w:rsidRPr="00BE139E">
              <w:rPr>
                <w:b/>
                <w:bCs/>
                <w:sz w:val="20"/>
                <w:szCs w:val="20"/>
              </w:rPr>
              <w:t>Content</w:t>
            </w:r>
            <w:r>
              <w:rPr>
                <w:sz w:val="20"/>
                <w:szCs w:val="20"/>
              </w:rPr>
              <w:t xml:space="preserve">: </w:t>
            </w:r>
          </w:p>
          <w:p w:rsidRPr="00414247" w:rsidR="00A52CB5" w:rsidP="00414247" w:rsidRDefault="00A52CB5" w14:paraId="22CF7D85" w14:textId="761EE864">
            <w:pPr>
              <w:pStyle w:val="ListParagraph"/>
              <w:numPr>
                <w:ilvl w:val="0"/>
                <w:numId w:val="18"/>
              </w:numPr>
              <w:jc w:val="both"/>
              <w:rPr>
                <w:sz w:val="20"/>
                <w:szCs w:val="20"/>
              </w:rPr>
            </w:pPr>
            <w:r w:rsidRPr="00414247">
              <w:rPr>
                <w:sz w:val="20"/>
                <w:szCs w:val="20"/>
              </w:rPr>
              <w:t>Background and RAD Property Information</w:t>
            </w:r>
          </w:p>
          <w:p w:rsidRPr="00414247" w:rsidR="00A52CB5" w:rsidP="00414247" w:rsidRDefault="001A54AA" w14:paraId="215ADC8E" w14:textId="0192AA49">
            <w:pPr>
              <w:pStyle w:val="ListParagraph"/>
              <w:numPr>
                <w:ilvl w:val="0"/>
                <w:numId w:val="18"/>
              </w:numPr>
              <w:jc w:val="both"/>
              <w:rPr>
                <w:sz w:val="20"/>
                <w:szCs w:val="20"/>
              </w:rPr>
            </w:pPr>
            <w:r w:rsidRPr="00414247">
              <w:rPr>
                <w:sz w:val="20"/>
                <w:szCs w:val="20"/>
              </w:rPr>
              <w:t>Financial Information</w:t>
            </w:r>
          </w:p>
          <w:p w:rsidRPr="00414247" w:rsidR="001A54AA" w:rsidP="00414247" w:rsidRDefault="00E22B8E" w14:paraId="729B65FE" w14:textId="1EF4417F">
            <w:pPr>
              <w:pStyle w:val="ListParagraph"/>
              <w:numPr>
                <w:ilvl w:val="0"/>
                <w:numId w:val="18"/>
              </w:numPr>
              <w:jc w:val="both"/>
              <w:rPr>
                <w:sz w:val="20"/>
                <w:szCs w:val="20"/>
              </w:rPr>
            </w:pPr>
            <w:r w:rsidRPr="00414247">
              <w:rPr>
                <w:sz w:val="20"/>
                <w:szCs w:val="20"/>
              </w:rPr>
              <w:t>Implementation of Choice</w:t>
            </w:r>
            <w:r w:rsidR="00F4284B">
              <w:rPr>
                <w:sz w:val="20"/>
                <w:szCs w:val="20"/>
              </w:rPr>
              <w:t xml:space="preserve"> Mobility</w:t>
            </w:r>
          </w:p>
          <w:p w:rsidRPr="00414247" w:rsidR="00E22B8E" w:rsidP="00414247" w:rsidRDefault="00E22B8E" w14:paraId="5E9B0916" w14:textId="06F1BFD1">
            <w:pPr>
              <w:pStyle w:val="ListParagraph"/>
              <w:numPr>
                <w:ilvl w:val="0"/>
                <w:numId w:val="18"/>
              </w:numPr>
              <w:jc w:val="both"/>
              <w:rPr>
                <w:sz w:val="20"/>
                <w:szCs w:val="20"/>
              </w:rPr>
            </w:pPr>
            <w:r w:rsidRPr="00414247">
              <w:rPr>
                <w:sz w:val="20"/>
                <w:szCs w:val="20"/>
              </w:rPr>
              <w:t>Asset Management</w:t>
            </w:r>
          </w:p>
          <w:p w:rsidR="00E22B8E" w:rsidP="00C71131" w:rsidRDefault="00E22B8E" w14:paraId="035863E9" w14:textId="752EA69E">
            <w:pPr>
              <w:jc w:val="both"/>
              <w:rPr>
                <w:b/>
                <w:bCs/>
                <w:sz w:val="20"/>
                <w:szCs w:val="20"/>
              </w:rPr>
            </w:pPr>
          </w:p>
          <w:p w:rsidRPr="0076142F" w:rsidR="0076142F" w:rsidP="00C71131" w:rsidRDefault="0076142F" w14:paraId="784444B5" w14:textId="4CC6E630">
            <w:pPr>
              <w:jc w:val="both"/>
              <w:rPr>
                <w:sz w:val="20"/>
                <w:szCs w:val="20"/>
              </w:rPr>
            </w:pPr>
            <w:r w:rsidRPr="00BE139E">
              <w:rPr>
                <w:b/>
                <w:bCs/>
                <w:sz w:val="20"/>
                <w:szCs w:val="20"/>
              </w:rPr>
              <w:t>Reason</w:t>
            </w:r>
            <w:r>
              <w:rPr>
                <w:sz w:val="20"/>
                <w:szCs w:val="20"/>
              </w:rPr>
              <w:t>:</w:t>
            </w:r>
            <w:r w:rsidR="001D54E0">
              <w:rPr>
                <w:sz w:val="20"/>
                <w:szCs w:val="20"/>
              </w:rPr>
              <w:t xml:space="preserve"> </w:t>
            </w:r>
            <w:r w:rsidR="00466F1C">
              <w:rPr>
                <w:sz w:val="20"/>
                <w:szCs w:val="20"/>
              </w:rPr>
              <w:t xml:space="preserve">The census of RAD PHA will obtain RAD property </w:t>
            </w:r>
            <w:r w:rsidR="000E0888">
              <w:rPr>
                <w:sz w:val="20"/>
                <w:szCs w:val="20"/>
              </w:rPr>
              <w:t xml:space="preserve">ownership and financial information that is </w:t>
            </w:r>
            <w:r w:rsidR="00115B29">
              <w:rPr>
                <w:sz w:val="20"/>
                <w:szCs w:val="20"/>
              </w:rPr>
              <w:t>un</w:t>
            </w:r>
            <w:r w:rsidR="000E0888">
              <w:rPr>
                <w:sz w:val="20"/>
                <w:szCs w:val="20"/>
              </w:rPr>
              <w:t>available in HUD system</w:t>
            </w:r>
            <w:r w:rsidR="00115B29">
              <w:rPr>
                <w:sz w:val="20"/>
                <w:szCs w:val="20"/>
              </w:rPr>
              <w:t>s</w:t>
            </w:r>
            <w:r w:rsidR="000E0888">
              <w:rPr>
                <w:sz w:val="20"/>
                <w:szCs w:val="20"/>
              </w:rPr>
              <w:t xml:space="preserve"> and critical to assess the long-term </w:t>
            </w:r>
            <w:r w:rsidR="00214660">
              <w:rPr>
                <w:sz w:val="20"/>
                <w:szCs w:val="20"/>
              </w:rPr>
              <w:t xml:space="preserve">preservation and </w:t>
            </w:r>
            <w:r w:rsidR="000E0888">
              <w:rPr>
                <w:sz w:val="20"/>
                <w:szCs w:val="20"/>
              </w:rPr>
              <w:t>fi</w:t>
            </w:r>
            <w:r w:rsidR="008555A8">
              <w:rPr>
                <w:sz w:val="20"/>
                <w:szCs w:val="20"/>
              </w:rPr>
              <w:t>na</w:t>
            </w:r>
            <w:r w:rsidR="000E0888">
              <w:rPr>
                <w:sz w:val="20"/>
                <w:szCs w:val="20"/>
              </w:rPr>
              <w:t xml:space="preserve">ncial viability of RAD properties. </w:t>
            </w:r>
            <w:r w:rsidR="00A853B9">
              <w:rPr>
                <w:sz w:val="20"/>
                <w:szCs w:val="20"/>
              </w:rPr>
              <w:t xml:space="preserve">The census will </w:t>
            </w:r>
            <w:r w:rsidR="00115B29">
              <w:rPr>
                <w:sz w:val="20"/>
                <w:szCs w:val="20"/>
              </w:rPr>
              <w:t xml:space="preserve">also </w:t>
            </w:r>
            <w:r w:rsidR="00A853B9">
              <w:rPr>
                <w:sz w:val="20"/>
                <w:szCs w:val="20"/>
              </w:rPr>
              <w:t xml:space="preserve">collect information </w:t>
            </w:r>
            <w:r w:rsidR="00732B6F">
              <w:rPr>
                <w:sz w:val="20"/>
                <w:szCs w:val="20"/>
              </w:rPr>
              <w:t xml:space="preserve">to assess the </w:t>
            </w:r>
            <w:r w:rsidR="008F32AD">
              <w:rPr>
                <w:sz w:val="20"/>
                <w:szCs w:val="20"/>
              </w:rPr>
              <w:t xml:space="preserve">implementation and </w:t>
            </w:r>
            <w:r w:rsidR="00732B6F">
              <w:rPr>
                <w:sz w:val="20"/>
                <w:szCs w:val="20"/>
              </w:rPr>
              <w:t xml:space="preserve">impact of the choice mobility option on residents, </w:t>
            </w:r>
            <w:r w:rsidR="00C32116">
              <w:rPr>
                <w:sz w:val="20"/>
                <w:szCs w:val="20"/>
              </w:rPr>
              <w:t>properties</w:t>
            </w:r>
            <w:r w:rsidR="00732B6F">
              <w:rPr>
                <w:sz w:val="20"/>
                <w:szCs w:val="20"/>
              </w:rPr>
              <w:t xml:space="preserve">, and the </w:t>
            </w:r>
            <w:r w:rsidR="00C32116">
              <w:rPr>
                <w:sz w:val="20"/>
                <w:szCs w:val="20"/>
              </w:rPr>
              <w:t>voucher</w:t>
            </w:r>
            <w:r w:rsidR="00732B6F">
              <w:rPr>
                <w:sz w:val="20"/>
                <w:szCs w:val="20"/>
              </w:rPr>
              <w:t xml:space="preserve"> program</w:t>
            </w:r>
            <w:r w:rsidR="00C32116">
              <w:rPr>
                <w:sz w:val="20"/>
                <w:szCs w:val="20"/>
              </w:rPr>
              <w:t xml:space="preserve">. The </w:t>
            </w:r>
            <w:r w:rsidR="008E3957">
              <w:rPr>
                <w:sz w:val="20"/>
                <w:szCs w:val="20"/>
              </w:rPr>
              <w:t>census</w:t>
            </w:r>
            <w:r w:rsidR="00C32116">
              <w:rPr>
                <w:sz w:val="20"/>
                <w:szCs w:val="20"/>
              </w:rPr>
              <w:t xml:space="preserve"> will ask about the availability of voucher</w:t>
            </w:r>
            <w:r w:rsidR="008F32AD">
              <w:rPr>
                <w:sz w:val="20"/>
                <w:szCs w:val="20"/>
              </w:rPr>
              <w:t>s</w:t>
            </w:r>
            <w:r w:rsidR="00C32116">
              <w:rPr>
                <w:sz w:val="20"/>
                <w:szCs w:val="20"/>
              </w:rPr>
              <w:t xml:space="preserve"> for choice mobility, </w:t>
            </w:r>
            <w:r w:rsidR="00EB040B">
              <w:rPr>
                <w:sz w:val="20"/>
                <w:szCs w:val="20"/>
              </w:rPr>
              <w:t xml:space="preserve">choice mobility requests, </w:t>
            </w:r>
            <w:r w:rsidR="000961B8">
              <w:rPr>
                <w:sz w:val="20"/>
                <w:szCs w:val="20"/>
              </w:rPr>
              <w:t xml:space="preserve">waitlist management, </w:t>
            </w:r>
            <w:r w:rsidR="002475C8">
              <w:rPr>
                <w:sz w:val="20"/>
                <w:szCs w:val="20"/>
              </w:rPr>
              <w:t xml:space="preserve">choice mobility lease-up, </w:t>
            </w:r>
            <w:r w:rsidR="00D8084F">
              <w:rPr>
                <w:sz w:val="20"/>
                <w:szCs w:val="20"/>
              </w:rPr>
              <w:t xml:space="preserve">and outreach and communication. </w:t>
            </w:r>
            <w:r w:rsidR="003410D5">
              <w:rPr>
                <w:sz w:val="20"/>
                <w:szCs w:val="20"/>
              </w:rPr>
              <w:t xml:space="preserve">Finally, the </w:t>
            </w:r>
            <w:r w:rsidR="008E3957">
              <w:rPr>
                <w:sz w:val="20"/>
                <w:szCs w:val="20"/>
              </w:rPr>
              <w:t>census</w:t>
            </w:r>
            <w:r w:rsidR="003410D5">
              <w:rPr>
                <w:sz w:val="20"/>
                <w:szCs w:val="20"/>
              </w:rPr>
              <w:t xml:space="preserve"> will </w:t>
            </w:r>
            <w:r w:rsidR="008E24D8">
              <w:rPr>
                <w:sz w:val="20"/>
                <w:szCs w:val="20"/>
              </w:rPr>
              <w:t xml:space="preserve">ask about </w:t>
            </w:r>
            <w:r w:rsidR="00CA2EDC">
              <w:rPr>
                <w:sz w:val="20"/>
                <w:szCs w:val="20"/>
              </w:rPr>
              <w:t xml:space="preserve">asset </w:t>
            </w:r>
            <w:r w:rsidR="00CA2EDC">
              <w:rPr>
                <w:sz w:val="20"/>
                <w:szCs w:val="20"/>
              </w:rPr>
              <w:lastRenderedPageBreak/>
              <w:t>management</w:t>
            </w:r>
            <w:r w:rsidR="003410D5">
              <w:rPr>
                <w:sz w:val="20"/>
                <w:szCs w:val="20"/>
              </w:rPr>
              <w:t xml:space="preserve"> </w:t>
            </w:r>
            <w:r w:rsidR="00DE6E48">
              <w:rPr>
                <w:sz w:val="20"/>
                <w:szCs w:val="20"/>
              </w:rPr>
              <w:t xml:space="preserve">oversight and </w:t>
            </w:r>
            <w:r w:rsidR="00CA2EDC">
              <w:rPr>
                <w:sz w:val="20"/>
                <w:szCs w:val="20"/>
              </w:rPr>
              <w:t>activities</w:t>
            </w:r>
            <w:r w:rsidR="008E24D8">
              <w:rPr>
                <w:sz w:val="20"/>
                <w:szCs w:val="20"/>
              </w:rPr>
              <w:t xml:space="preserve"> to determine the quality of</w:t>
            </w:r>
            <w:r w:rsidR="00D02C5E">
              <w:rPr>
                <w:sz w:val="20"/>
                <w:szCs w:val="20"/>
              </w:rPr>
              <w:t xml:space="preserve"> asset management of RAD properties</w:t>
            </w:r>
            <w:r w:rsidR="001A7651">
              <w:rPr>
                <w:sz w:val="20"/>
                <w:szCs w:val="20"/>
              </w:rPr>
              <w:t xml:space="preserve"> owned by the PHA</w:t>
            </w:r>
            <w:r w:rsidR="00E00ED7">
              <w:rPr>
                <w:sz w:val="20"/>
                <w:szCs w:val="20"/>
              </w:rPr>
              <w:t>.</w:t>
            </w:r>
          </w:p>
        </w:tc>
      </w:tr>
      <w:tr w:rsidR="0076142F" w:rsidTr="009643A3" w14:paraId="6CF8ED9B" w14:textId="77777777">
        <w:tc>
          <w:tcPr>
            <w:tcW w:w="1885" w:type="dxa"/>
          </w:tcPr>
          <w:p w:rsidRPr="00BE139E" w:rsidR="0076142F" w:rsidP="001A54AA" w:rsidRDefault="00BE139E" w14:paraId="7EBE9DA4" w14:textId="42AE6DD5">
            <w:pPr>
              <w:rPr>
                <w:b/>
                <w:bCs/>
                <w:sz w:val="20"/>
                <w:szCs w:val="20"/>
              </w:rPr>
            </w:pPr>
            <w:r w:rsidRPr="00BE139E">
              <w:rPr>
                <w:b/>
                <w:bCs/>
                <w:sz w:val="20"/>
                <w:szCs w:val="20"/>
              </w:rPr>
              <w:lastRenderedPageBreak/>
              <w:t xml:space="preserve">Survey of RAD </w:t>
            </w:r>
            <w:r w:rsidR="00CC0AB4">
              <w:rPr>
                <w:b/>
                <w:bCs/>
                <w:sz w:val="20"/>
                <w:szCs w:val="20"/>
              </w:rPr>
              <w:t xml:space="preserve">Non-PHA </w:t>
            </w:r>
            <w:r w:rsidRPr="00BE139E">
              <w:rPr>
                <w:b/>
                <w:bCs/>
                <w:sz w:val="20"/>
                <w:szCs w:val="20"/>
              </w:rPr>
              <w:t>Property Owner (Appendix B)</w:t>
            </w:r>
          </w:p>
        </w:tc>
        <w:tc>
          <w:tcPr>
            <w:tcW w:w="7465" w:type="dxa"/>
          </w:tcPr>
          <w:p w:rsidR="00A05C24" w:rsidP="00A05C24" w:rsidRDefault="00A05C24" w14:paraId="4508AC92" w14:textId="57E8C8FE">
            <w:pPr>
              <w:jc w:val="both"/>
              <w:rPr>
                <w:sz w:val="20"/>
                <w:szCs w:val="20"/>
              </w:rPr>
            </w:pPr>
            <w:r w:rsidRPr="00BE139E">
              <w:rPr>
                <w:b/>
                <w:bCs/>
                <w:sz w:val="20"/>
                <w:szCs w:val="20"/>
              </w:rPr>
              <w:t>Respondents</w:t>
            </w:r>
            <w:r>
              <w:rPr>
                <w:sz w:val="20"/>
                <w:szCs w:val="20"/>
              </w:rPr>
              <w:t xml:space="preserve">: </w:t>
            </w:r>
            <w:r w:rsidR="0052292A">
              <w:rPr>
                <w:sz w:val="20"/>
                <w:szCs w:val="20"/>
              </w:rPr>
              <w:t>Non-PHA owners of RAD properties</w:t>
            </w:r>
            <w:r w:rsidR="00E4231B">
              <w:rPr>
                <w:sz w:val="20"/>
                <w:szCs w:val="20"/>
              </w:rPr>
              <w:t>, estimated to be a</w:t>
            </w:r>
            <w:r w:rsidR="007040E7">
              <w:rPr>
                <w:sz w:val="20"/>
                <w:szCs w:val="20"/>
              </w:rPr>
              <w:t xml:space="preserve">pproximately </w:t>
            </w:r>
            <w:r w:rsidR="008E6258">
              <w:rPr>
                <w:sz w:val="20"/>
                <w:szCs w:val="20"/>
              </w:rPr>
              <w:t>3</w:t>
            </w:r>
            <w:r w:rsidR="007040E7">
              <w:rPr>
                <w:sz w:val="20"/>
                <w:szCs w:val="20"/>
              </w:rPr>
              <w:t>50.</w:t>
            </w:r>
          </w:p>
          <w:p w:rsidR="00A52CB5" w:rsidP="00A05C24" w:rsidRDefault="00A52CB5" w14:paraId="64310A1C" w14:textId="77777777">
            <w:pPr>
              <w:jc w:val="both"/>
              <w:rPr>
                <w:b/>
                <w:bCs/>
                <w:sz w:val="20"/>
                <w:szCs w:val="20"/>
              </w:rPr>
            </w:pPr>
          </w:p>
          <w:p w:rsidR="00A05C24" w:rsidP="00A05C24" w:rsidRDefault="00A05C24" w14:paraId="78D1482F" w14:textId="24EDCB99">
            <w:pPr>
              <w:jc w:val="both"/>
              <w:rPr>
                <w:sz w:val="20"/>
                <w:szCs w:val="20"/>
              </w:rPr>
            </w:pPr>
            <w:r w:rsidRPr="00BE139E">
              <w:rPr>
                <w:b/>
                <w:bCs/>
                <w:sz w:val="20"/>
                <w:szCs w:val="20"/>
              </w:rPr>
              <w:t>Content</w:t>
            </w:r>
            <w:r>
              <w:rPr>
                <w:sz w:val="20"/>
                <w:szCs w:val="20"/>
              </w:rPr>
              <w:t xml:space="preserve">: </w:t>
            </w:r>
          </w:p>
          <w:p w:rsidR="00822A20" w:rsidRDefault="00061869" w14:paraId="78EBCD7E" w14:textId="1E3664F9">
            <w:pPr>
              <w:numPr>
                <w:ilvl w:val="0"/>
                <w:numId w:val="30"/>
              </w:numPr>
              <w:ind w:left="763"/>
              <w:jc w:val="both"/>
              <w:rPr>
                <w:sz w:val="20"/>
                <w:szCs w:val="20"/>
              </w:rPr>
            </w:pPr>
            <w:r w:rsidRPr="00214660">
              <w:rPr>
                <w:sz w:val="20"/>
                <w:szCs w:val="20"/>
              </w:rPr>
              <w:t>Implementation of Choice</w:t>
            </w:r>
            <w:r w:rsidR="008A7E1E">
              <w:rPr>
                <w:sz w:val="20"/>
                <w:szCs w:val="20"/>
              </w:rPr>
              <w:t xml:space="preserve"> Mobility</w:t>
            </w:r>
          </w:p>
          <w:p w:rsidR="009E1A22" w:rsidRDefault="009E1A22" w14:paraId="135FB4F5" w14:textId="07999059">
            <w:pPr>
              <w:numPr>
                <w:ilvl w:val="0"/>
                <w:numId w:val="30"/>
              </w:numPr>
              <w:ind w:left="763"/>
              <w:jc w:val="both"/>
              <w:rPr>
                <w:sz w:val="20"/>
                <w:szCs w:val="20"/>
              </w:rPr>
            </w:pPr>
            <w:r>
              <w:rPr>
                <w:sz w:val="20"/>
                <w:szCs w:val="20"/>
              </w:rPr>
              <w:t>Background and RAD Property Information</w:t>
            </w:r>
          </w:p>
          <w:p w:rsidR="00061869" w:rsidRDefault="00061869" w14:paraId="10090610" w14:textId="38BF55FD">
            <w:pPr>
              <w:numPr>
                <w:ilvl w:val="0"/>
                <w:numId w:val="30"/>
              </w:numPr>
              <w:ind w:left="763"/>
              <w:contextualSpacing/>
              <w:jc w:val="both"/>
              <w:rPr>
                <w:sz w:val="20"/>
                <w:szCs w:val="20"/>
              </w:rPr>
            </w:pPr>
            <w:r>
              <w:rPr>
                <w:sz w:val="20"/>
                <w:szCs w:val="20"/>
              </w:rPr>
              <w:t>Asset Management</w:t>
            </w:r>
          </w:p>
          <w:p w:rsidRPr="00F02B8A" w:rsidR="00061869" w:rsidP="0037047C" w:rsidRDefault="009E1A22" w14:paraId="19D8EC0E" w14:textId="20022692">
            <w:pPr>
              <w:numPr>
                <w:ilvl w:val="0"/>
                <w:numId w:val="30"/>
              </w:numPr>
              <w:ind w:left="763"/>
              <w:contextualSpacing/>
              <w:jc w:val="both"/>
              <w:rPr>
                <w:sz w:val="20"/>
                <w:szCs w:val="20"/>
              </w:rPr>
            </w:pPr>
            <w:r>
              <w:rPr>
                <w:sz w:val="20"/>
                <w:szCs w:val="20"/>
              </w:rPr>
              <w:t>Financial Information</w:t>
            </w:r>
          </w:p>
          <w:p w:rsidR="00061869" w:rsidP="00105D03" w:rsidRDefault="00061869" w14:paraId="6B5D05D8" w14:textId="77777777">
            <w:pPr>
              <w:jc w:val="both"/>
              <w:rPr>
                <w:b/>
                <w:bCs/>
                <w:sz w:val="20"/>
                <w:szCs w:val="20"/>
              </w:rPr>
            </w:pPr>
          </w:p>
          <w:p w:rsidRPr="0076142F" w:rsidR="0076142F" w:rsidP="00105D03" w:rsidRDefault="00A05C24" w14:paraId="71B2A1DF" w14:textId="579FD60F">
            <w:pPr>
              <w:jc w:val="both"/>
              <w:rPr>
                <w:sz w:val="20"/>
                <w:szCs w:val="20"/>
              </w:rPr>
            </w:pPr>
            <w:r w:rsidRPr="00BE139E">
              <w:rPr>
                <w:b/>
                <w:bCs/>
                <w:sz w:val="20"/>
                <w:szCs w:val="20"/>
              </w:rPr>
              <w:t>Reason</w:t>
            </w:r>
            <w:r>
              <w:rPr>
                <w:sz w:val="20"/>
                <w:szCs w:val="20"/>
              </w:rPr>
              <w:t>:</w:t>
            </w:r>
            <w:r w:rsidR="00987FF7">
              <w:rPr>
                <w:sz w:val="20"/>
                <w:szCs w:val="20"/>
              </w:rPr>
              <w:t xml:space="preserve"> </w:t>
            </w:r>
            <w:r w:rsidR="001A7651">
              <w:rPr>
                <w:sz w:val="20"/>
                <w:szCs w:val="20"/>
              </w:rPr>
              <w:t xml:space="preserve">The survey will </w:t>
            </w:r>
            <w:r w:rsidRPr="007B7937" w:rsidR="007B7937">
              <w:rPr>
                <w:sz w:val="20"/>
                <w:szCs w:val="20"/>
              </w:rPr>
              <w:t xml:space="preserve">obtain project financial information </w:t>
            </w:r>
            <w:r w:rsidR="001A7651">
              <w:rPr>
                <w:sz w:val="20"/>
                <w:szCs w:val="20"/>
              </w:rPr>
              <w:t>for RAD properties that are not</w:t>
            </w:r>
            <w:r w:rsidR="007B7937">
              <w:rPr>
                <w:sz w:val="20"/>
                <w:szCs w:val="20"/>
              </w:rPr>
              <w:t xml:space="preserve"> </w:t>
            </w:r>
            <w:r w:rsidR="001A7651">
              <w:rPr>
                <w:sz w:val="20"/>
                <w:szCs w:val="20"/>
              </w:rPr>
              <w:t>primar</w:t>
            </w:r>
            <w:r w:rsidR="00A03175">
              <w:rPr>
                <w:sz w:val="20"/>
                <w:szCs w:val="20"/>
              </w:rPr>
              <w:t>il</w:t>
            </w:r>
            <w:r w:rsidR="001A7651">
              <w:rPr>
                <w:sz w:val="20"/>
                <w:szCs w:val="20"/>
              </w:rPr>
              <w:t>y owned and operated by PHAs</w:t>
            </w:r>
            <w:r w:rsidRPr="007B7937" w:rsidR="007B7937">
              <w:rPr>
                <w:sz w:val="20"/>
                <w:szCs w:val="20"/>
              </w:rPr>
              <w:t>.</w:t>
            </w:r>
            <w:r w:rsidR="001A7651">
              <w:rPr>
                <w:sz w:val="20"/>
                <w:szCs w:val="20"/>
              </w:rPr>
              <w:t xml:space="preserve"> The </w:t>
            </w:r>
            <w:r w:rsidR="00061869">
              <w:rPr>
                <w:sz w:val="20"/>
                <w:szCs w:val="20"/>
              </w:rPr>
              <w:t>survey</w:t>
            </w:r>
            <w:r w:rsidR="001A7651">
              <w:rPr>
                <w:sz w:val="20"/>
                <w:szCs w:val="20"/>
              </w:rPr>
              <w:t xml:space="preserve"> will collect information to assess the role of property owners on the implementation of the choice mobility option and the impact of the option on properties</w:t>
            </w:r>
            <w:r w:rsidR="00061869">
              <w:rPr>
                <w:sz w:val="20"/>
                <w:szCs w:val="20"/>
              </w:rPr>
              <w:t>’ turnover and maintenance</w:t>
            </w:r>
            <w:r w:rsidR="001A7651">
              <w:rPr>
                <w:sz w:val="20"/>
                <w:szCs w:val="20"/>
              </w:rPr>
              <w:t xml:space="preserve">. </w:t>
            </w:r>
            <w:r w:rsidRPr="001A7651" w:rsidR="001A7651">
              <w:rPr>
                <w:sz w:val="20"/>
                <w:szCs w:val="20"/>
              </w:rPr>
              <w:t xml:space="preserve">Finally, the </w:t>
            </w:r>
            <w:r w:rsidR="001A7651">
              <w:rPr>
                <w:sz w:val="20"/>
                <w:szCs w:val="20"/>
              </w:rPr>
              <w:t>survey</w:t>
            </w:r>
            <w:r w:rsidRPr="001A7651" w:rsidR="001A7651">
              <w:rPr>
                <w:sz w:val="20"/>
                <w:szCs w:val="20"/>
              </w:rPr>
              <w:t xml:space="preserve"> will ask about asset management oversight and activities to determine the quality of asset management of RAD properties </w:t>
            </w:r>
            <w:r w:rsidR="001A7651">
              <w:rPr>
                <w:sz w:val="20"/>
                <w:szCs w:val="20"/>
              </w:rPr>
              <w:t>that are not primar</w:t>
            </w:r>
            <w:r w:rsidR="00B0037E">
              <w:rPr>
                <w:sz w:val="20"/>
                <w:szCs w:val="20"/>
              </w:rPr>
              <w:t>il</w:t>
            </w:r>
            <w:r w:rsidR="001A7651">
              <w:rPr>
                <w:sz w:val="20"/>
                <w:szCs w:val="20"/>
              </w:rPr>
              <w:t>y owned and operated</w:t>
            </w:r>
            <w:r w:rsidRPr="001A7651" w:rsidR="001A7651">
              <w:rPr>
                <w:sz w:val="20"/>
                <w:szCs w:val="20"/>
              </w:rPr>
              <w:t xml:space="preserve"> by PHA</w:t>
            </w:r>
            <w:r w:rsidR="001A7651">
              <w:rPr>
                <w:sz w:val="20"/>
                <w:szCs w:val="20"/>
              </w:rPr>
              <w:t>s</w:t>
            </w:r>
            <w:r w:rsidRPr="007B7937" w:rsidR="007B7937">
              <w:rPr>
                <w:sz w:val="20"/>
                <w:szCs w:val="20"/>
              </w:rPr>
              <w:t>.</w:t>
            </w:r>
          </w:p>
        </w:tc>
      </w:tr>
      <w:tr w:rsidR="0076142F" w:rsidTr="009643A3" w14:paraId="41899509" w14:textId="77777777">
        <w:trPr>
          <w:cnfStyle w:val="000000100000" w:firstRow="0" w:lastRow="0" w:firstColumn="0" w:lastColumn="0" w:oddVBand="0" w:evenVBand="0" w:oddHBand="1" w:evenHBand="0" w:firstRowFirstColumn="0" w:firstRowLastColumn="0" w:lastRowFirstColumn="0" w:lastRowLastColumn="0"/>
        </w:trPr>
        <w:tc>
          <w:tcPr>
            <w:tcW w:w="1885" w:type="dxa"/>
          </w:tcPr>
          <w:p w:rsidRPr="00A05C24" w:rsidR="0076142F" w:rsidP="001A54AA" w:rsidRDefault="00BE139E" w14:paraId="24C04E6B" w14:textId="3502C357">
            <w:pPr>
              <w:rPr>
                <w:b/>
                <w:bCs/>
                <w:sz w:val="20"/>
                <w:szCs w:val="20"/>
              </w:rPr>
            </w:pPr>
            <w:r w:rsidRPr="00A05C24">
              <w:rPr>
                <w:b/>
                <w:bCs/>
                <w:sz w:val="20"/>
                <w:szCs w:val="20"/>
              </w:rPr>
              <w:t>Survey of choice mobility residents</w:t>
            </w:r>
            <w:r w:rsidR="00A05C24">
              <w:rPr>
                <w:b/>
                <w:bCs/>
                <w:sz w:val="20"/>
                <w:szCs w:val="20"/>
              </w:rPr>
              <w:t xml:space="preserve"> </w:t>
            </w:r>
            <w:r w:rsidRPr="00BE139E" w:rsidR="00A05C24">
              <w:rPr>
                <w:b/>
                <w:bCs/>
                <w:sz w:val="20"/>
                <w:szCs w:val="20"/>
              </w:rPr>
              <w:t xml:space="preserve">(Appendix </w:t>
            </w:r>
            <w:r w:rsidR="00A05C24">
              <w:rPr>
                <w:b/>
                <w:bCs/>
                <w:sz w:val="20"/>
                <w:szCs w:val="20"/>
              </w:rPr>
              <w:t>C</w:t>
            </w:r>
            <w:r w:rsidRPr="00BE139E" w:rsidR="00A05C24">
              <w:rPr>
                <w:b/>
                <w:bCs/>
                <w:sz w:val="20"/>
                <w:szCs w:val="20"/>
              </w:rPr>
              <w:t>)</w:t>
            </w:r>
          </w:p>
        </w:tc>
        <w:tc>
          <w:tcPr>
            <w:tcW w:w="7465" w:type="dxa"/>
          </w:tcPr>
          <w:p w:rsidR="00A05C24" w:rsidP="00A05C24" w:rsidRDefault="00A05C24" w14:paraId="1B1B377C" w14:textId="249625C1">
            <w:pPr>
              <w:jc w:val="both"/>
              <w:rPr>
                <w:sz w:val="20"/>
                <w:szCs w:val="20"/>
              </w:rPr>
            </w:pPr>
            <w:r w:rsidRPr="00BE139E">
              <w:rPr>
                <w:b/>
                <w:bCs/>
                <w:sz w:val="20"/>
                <w:szCs w:val="20"/>
              </w:rPr>
              <w:t>Respondents</w:t>
            </w:r>
            <w:r>
              <w:rPr>
                <w:sz w:val="20"/>
                <w:szCs w:val="20"/>
              </w:rPr>
              <w:t xml:space="preserve">: </w:t>
            </w:r>
            <w:r w:rsidR="00510266">
              <w:rPr>
                <w:sz w:val="20"/>
                <w:szCs w:val="20"/>
              </w:rPr>
              <w:t xml:space="preserve">RAD </w:t>
            </w:r>
            <w:r w:rsidR="000A6842">
              <w:rPr>
                <w:sz w:val="20"/>
                <w:szCs w:val="20"/>
              </w:rPr>
              <w:t>residents who have used the choice mobility option</w:t>
            </w:r>
            <w:r w:rsidR="00F837DB">
              <w:rPr>
                <w:sz w:val="20"/>
                <w:szCs w:val="20"/>
              </w:rPr>
              <w:t>; sample of approximately 1,180 residents.</w:t>
            </w:r>
          </w:p>
          <w:p w:rsidR="00A52CB5" w:rsidP="00A05C24" w:rsidRDefault="00A52CB5" w14:paraId="693F6869" w14:textId="77777777">
            <w:pPr>
              <w:jc w:val="both"/>
              <w:rPr>
                <w:b/>
                <w:bCs/>
                <w:sz w:val="20"/>
                <w:szCs w:val="20"/>
              </w:rPr>
            </w:pPr>
          </w:p>
          <w:p w:rsidR="00A05C24" w:rsidP="00A05C24" w:rsidRDefault="00A05C24" w14:paraId="7E2C4312" w14:textId="7D3B7150">
            <w:pPr>
              <w:jc w:val="both"/>
              <w:rPr>
                <w:sz w:val="20"/>
                <w:szCs w:val="20"/>
              </w:rPr>
            </w:pPr>
            <w:r w:rsidRPr="00BE139E">
              <w:rPr>
                <w:b/>
                <w:bCs/>
                <w:sz w:val="20"/>
                <w:szCs w:val="20"/>
              </w:rPr>
              <w:t>Content</w:t>
            </w:r>
            <w:r>
              <w:rPr>
                <w:sz w:val="20"/>
                <w:szCs w:val="20"/>
              </w:rPr>
              <w:t xml:space="preserve">: </w:t>
            </w:r>
          </w:p>
          <w:p w:rsidR="00B21CCE" w:rsidP="0023348B" w:rsidRDefault="00061869" w14:paraId="54141E5D" w14:textId="59BEEC99">
            <w:pPr>
              <w:pStyle w:val="ListParagraph"/>
              <w:numPr>
                <w:ilvl w:val="0"/>
                <w:numId w:val="29"/>
              </w:numPr>
              <w:jc w:val="both"/>
              <w:rPr>
                <w:sz w:val="20"/>
                <w:szCs w:val="20"/>
              </w:rPr>
            </w:pPr>
            <w:r>
              <w:rPr>
                <w:sz w:val="20"/>
                <w:szCs w:val="20"/>
              </w:rPr>
              <w:t>Background</w:t>
            </w:r>
          </w:p>
          <w:p w:rsidR="00061869" w:rsidP="0023348B" w:rsidRDefault="00061869" w14:paraId="420008EA" w14:textId="05154B14">
            <w:pPr>
              <w:pStyle w:val="ListParagraph"/>
              <w:numPr>
                <w:ilvl w:val="0"/>
                <w:numId w:val="29"/>
              </w:numPr>
              <w:jc w:val="both"/>
              <w:rPr>
                <w:sz w:val="20"/>
                <w:szCs w:val="20"/>
              </w:rPr>
            </w:pPr>
            <w:r w:rsidRPr="00061869">
              <w:rPr>
                <w:sz w:val="20"/>
                <w:szCs w:val="20"/>
              </w:rPr>
              <w:t>Communications About Using a Voucher to Move</w:t>
            </w:r>
          </w:p>
          <w:p w:rsidR="00061869" w:rsidP="0023348B" w:rsidRDefault="00061869" w14:paraId="1CEDE30F" w14:textId="4A9AEFAD">
            <w:pPr>
              <w:pStyle w:val="ListParagraph"/>
              <w:numPr>
                <w:ilvl w:val="0"/>
                <w:numId w:val="29"/>
              </w:numPr>
              <w:jc w:val="both"/>
              <w:rPr>
                <w:sz w:val="20"/>
                <w:szCs w:val="20"/>
              </w:rPr>
            </w:pPr>
            <w:r w:rsidRPr="00061869">
              <w:rPr>
                <w:sz w:val="20"/>
                <w:szCs w:val="20"/>
              </w:rPr>
              <w:t>Using the Voucher to Move</w:t>
            </w:r>
          </w:p>
          <w:p w:rsidR="00061869" w:rsidP="0023348B" w:rsidRDefault="00061869" w14:paraId="34E99A96" w14:textId="3D7CD00B">
            <w:pPr>
              <w:pStyle w:val="ListParagraph"/>
              <w:numPr>
                <w:ilvl w:val="0"/>
                <w:numId w:val="29"/>
              </w:numPr>
              <w:jc w:val="both"/>
              <w:rPr>
                <w:sz w:val="20"/>
                <w:szCs w:val="20"/>
              </w:rPr>
            </w:pPr>
            <w:r w:rsidRPr="00061869">
              <w:rPr>
                <w:sz w:val="20"/>
                <w:szCs w:val="20"/>
              </w:rPr>
              <w:t>Neighborhood Quality</w:t>
            </w:r>
          </w:p>
          <w:p w:rsidR="00061869" w:rsidP="0023348B" w:rsidRDefault="00061869" w14:paraId="7497222F" w14:textId="35DA3A3D">
            <w:pPr>
              <w:pStyle w:val="ListParagraph"/>
              <w:numPr>
                <w:ilvl w:val="0"/>
                <w:numId w:val="29"/>
              </w:numPr>
              <w:jc w:val="both"/>
              <w:rPr>
                <w:sz w:val="20"/>
                <w:szCs w:val="20"/>
              </w:rPr>
            </w:pPr>
            <w:r w:rsidRPr="00061869">
              <w:rPr>
                <w:sz w:val="20"/>
                <w:szCs w:val="20"/>
              </w:rPr>
              <w:t>Housing Quality and Property Maintenance</w:t>
            </w:r>
          </w:p>
          <w:p w:rsidR="00510266" w:rsidP="00510266" w:rsidRDefault="00510266" w14:paraId="2E3EB7CC" w14:textId="77777777">
            <w:pPr>
              <w:pStyle w:val="ListParagraph"/>
              <w:numPr>
                <w:ilvl w:val="0"/>
                <w:numId w:val="29"/>
              </w:numPr>
              <w:jc w:val="both"/>
              <w:rPr>
                <w:sz w:val="20"/>
                <w:szCs w:val="20"/>
              </w:rPr>
            </w:pPr>
            <w:r w:rsidRPr="00061869">
              <w:rPr>
                <w:sz w:val="20"/>
                <w:szCs w:val="20"/>
              </w:rPr>
              <w:t>Housing Costs</w:t>
            </w:r>
          </w:p>
          <w:p w:rsidR="00061869" w:rsidP="0023348B" w:rsidRDefault="00061869" w14:paraId="0FF9194B" w14:textId="65524053">
            <w:pPr>
              <w:pStyle w:val="ListParagraph"/>
              <w:numPr>
                <w:ilvl w:val="0"/>
                <w:numId w:val="29"/>
              </w:numPr>
              <w:jc w:val="both"/>
              <w:rPr>
                <w:sz w:val="20"/>
                <w:szCs w:val="20"/>
              </w:rPr>
            </w:pPr>
            <w:r w:rsidRPr="00061869">
              <w:rPr>
                <w:sz w:val="20"/>
                <w:szCs w:val="20"/>
              </w:rPr>
              <w:t>Employment</w:t>
            </w:r>
          </w:p>
          <w:p w:rsidR="00214660" w:rsidP="0023348B" w:rsidRDefault="00214660" w14:paraId="1F7A9695" w14:textId="1D22C637">
            <w:pPr>
              <w:pStyle w:val="ListParagraph"/>
              <w:numPr>
                <w:ilvl w:val="0"/>
                <w:numId w:val="29"/>
              </w:numPr>
              <w:jc w:val="both"/>
              <w:rPr>
                <w:sz w:val="20"/>
                <w:szCs w:val="20"/>
              </w:rPr>
            </w:pPr>
            <w:r>
              <w:rPr>
                <w:sz w:val="20"/>
                <w:szCs w:val="20"/>
              </w:rPr>
              <w:t>Health</w:t>
            </w:r>
          </w:p>
          <w:p w:rsidRPr="0023348B" w:rsidR="00214660" w:rsidP="0023348B" w:rsidRDefault="00214660" w14:paraId="5A1AFB67" w14:textId="68473971">
            <w:pPr>
              <w:pStyle w:val="ListParagraph"/>
              <w:numPr>
                <w:ilvl w:val="0"/>
                <w:numId w:val="29"/>
              </w:numPr>
              <w:jc w:val="both"/>
              <w:rPr>
                <w:sz w:val="20"/>
                <w:szCs w:val="20"/>
              </w:rPr>
            </w:pPr>
            <w:r w:rsidRPr="00214660">
              <w:rPr>
                <w:sz w:val="20"/>
                <w:szCs w:val="20"/>
              </w:rPr>
              <w:t>Resident Characteristics and Household Composition</w:t>
            </w:r>
          </w:p>
          <w:p w:rsidR="00CE73DB" w:rsidP="00A05C24" w:rsidRDefault="00CE73DB" w14:paraId="0E3FF360" w14:textId="77777777">
            <w:pPr>
              <w:jc w:val="both"/>
              <w:rPr>
                <w:b/>
                <w:bCs/>
                <w:sz w:val="20"/>
                <w:szCs w:val="20"/>
              </w:rPr>
            </w:pPr>
          </w:p>
          <w:p w:rsidRPr="0076142F" w:rsidR="0076142F" w:rsidP="00C71131" w:rsidRDefault="00A05C24" w14:paraId="008D2323" w14:textId="2E3E9050">
            <w:pPr>
              <w:jc w:val="both"/>
              <w:rPr>
                <w:sz w:val="20"/>
                <w:szCs w:val="20"/>
              </w:rPr>
            </w:pPr>
            <w:r w:rsidRPr="00BE139E">
              <w:rPr>
                <w:b/>
                <w:bCs/>
                <w:sz w:val="20"/>
                <w:szCs w:val="20"/>
              </w:rPr>
              <w:t>Reason</w:t>
            </w:r>
            <w:r>
              <w:rPr>
                <w:sz w:val="20"/>
                <w:szCs w:val="20"/>
              </w:rPr>
              <w:t>:</w:t>
            </w:r>
            <w:r w:rsidR="00755DF8">
              <w:rPr>
                <w:sz w:val="20"/>
                <w:szCs w:val="20"/>
              </w:rPr>
              <w:t xml:space="preserve"> The </w:t>
            </w:r>
            <w:r w:rsidR="00214660">
              <w:rPr>
                <w:sz w:val="20"/>
                <w:szCs w:val="20"/>
              </w:rPr>
              <w:t>survey will</w:t>
            </w:r>
            <w:r w:rsidR="00755DF8">
              <w:rPr>
                <w:sz w:val="20"/>
                <w:szCs w:val="20"/>
              </w:rPr>
              <w:t xml:space="preserve"> </w:t>
            </w:r>
            <w:r w:rsidR="00A66AD5">
              <w:rPr>
                <w:sz w:val="20"/>
                <w:szCs w:val="20"/>
              </w:rPr>
              <w:t>obtain information about resident experience with choice mobility</w:t>
            </w:r>
            <w:r w:rsidR="00214660">
              <w:rPr>
                <w:sz w:val="20"/>
                <w:szCs w:val="20"/>
              </w:rPr>
              <w:t xml:space="preserve"> option and the reasons </w:t>
            </w:r>
            <w:r w:rsidR="00271D1F">
              <w:rPr>
                <w:sz w:val="20"/>
                <w:szCs w:val="20"/>
              </w:rPr>
              <w:t>for</w:t>
            </w:r>
            <w:r w:rsidR="00214660">
              <w:rPr>
                <w:sz w:val="20"/>
                <w:szCs w:val="20"/>
              </w:rPr>
              <w:t xml:space="preserve"> mov</w:t>
            </w:r>
            <w:r w:rsidR="00271D1F">
              <w:rPr>
                <w:sz w:val="20"/>
                <w:szCs w:val="20"/>
              </w:rPr>
              <w:t>ing</w:t>
            </w:r>
            <w:r w:rsidR="00214660">
              <w:rPr>
                <w:sz w:val="20"/>
                <w:szCs w:val="20"/>
              </w:rPr>
              <w:t>. The survey will capture perception</w:t>
            </w:r>
            <w:r w:rsidR="00271D1F">
              <w:rPr>
                <w:sz w:val="20"/>
                <w:szCs w:val="20"/>
              </w:rPr>
              <w:t>s</w:t>
            </w:r>
            <w:r w:rsidR="00214660">
              <w:rPr>
                <w:sz w:val="20"/>
                <w:szCs w:val="20"/>
              </w:rPr>
              <w:t xml:space="preserve"> of neighborhood quality, housing cost and quality, and </w:t>
            </w:r>
            <w:r w:rsidR="00510266">
              <w:rPr>
                <w:sz w:val="20"/>
                <w:szCs w:val="20"/>
              </w:rPr>
              <w:t xml:space="preserve">satisfaction with </w:t>
            </w:r>
            <w:r w:rsidR="00214660">
              <w:rPr>
                <w:sz w:val="20"/>
                <w:szCs w:val="20"/>
              </w:rPr>
              <w:t xml:space="preserve">property maintenance to understand if choice mobility option is used to move to better </w:t>
            </w:r>
            <w:r w:rsidR="00510266">
              <w:rPr>
                <w:sz w:val="20"/>
                <w:szCs w:val="20"/>
              </w:rPr>
              <w:t>units, properties,</w:t>
            </w:r>
            <w:r w:rsidR="00214660">
              <w:rPr>
                <w:sz w:val="20"/>
                <w:szCs w:val="20"/>
              </w:rPr>
              <w:t xml:space="preserve"> and neighborhoods. Finally, the survey will ask about employment and health status and r</w:t>
            </w:r>
            <w:r w:rsidRPr="00214660" w:rsidR="00214660">
              <w:rPr>
                <w:sz w:val="20"/>
                <w:szCs w:val="20"/>
              </w:rPr>
              <w:t xml:space="preserve">esident </w:t>
            </w:r>
            <w:r w:rsidR="00214660">
              <w:rPr>
                <w:sz w:val="20"/>
                <w:szCs w:val="20"/>
              </w:rPr>
              <w:t>and household c</w:t>
            </w:r>
            <w:r w:rsidRPr="00214660" w:rsidR="00214660">
              <w:rPr>
                <w:sz w:val="20"/>
                <w:szCs w:val="20"/>
              </w:rPr>
              <w:t>haracteristics</w:t>
            </w:r>
            <w:r w:rsidR="00214660">
              <w:rPr>
                <w:sz w:val="20"/>
                <w:szCs w:val="20"/>
              </w:rPr>
              <w:t xml:space="preserve"> that could affect the ability to use </w:t>
            </w:r>
            <w:r w:rsidR="007C3CBA">
              <w:rPr>
                <w:sz w:val="20"/>
                <w:szCs w:val="20"/>
              </w:rPr>
              <w:t>the</w:t>
            </w:r>
            <w:r w:rsidR="00214660">
              <w:rPr>
                <w:sz w:val="20"/>
                <w:szCs w:val="20"/>
              </w:rPr>
              <w:t xml:space="preserve"> choice </w:t>
            </w:r>
            <w:r w:rsidR="00510266">
              <w:rPr>
                <w:sz w:val="20"/>
                <w:szCs w:val="20"/>
              </w:rPr>
              <w:t>mobility option and move</w:t>
            </w:r>
            <w:r w:rsidR="00710A15">
              <w:rPr>
                <w:sz w:val="20"/>
                <w:szCs w:val="20"/>
              </w:rPr>
              <w:t xml:space="preserve">. </w:t>
            </w:r>
          </w:p>
        </w:tc>
      </w:tr>
      <w:tr w:rsidR="00BE139E" w:rsidTr="009643A3" w14:paraId="173A60CC" w14:textId="77777777">
        <w:tc>
          <w:tcPr>
            <w:tcW w:w="1885" w:type="dxa"/>
          </w:tcPr>
          <w:p w:rsidRPr="00A05C24" w:rsidR="00BE139E" w:rsidP="001A54AA" w:rsidRDefault="00BE139E" w14:paraId="6B3198B4" w14:textId="7EDF644F">
            <w:pPr>
              <w:rPr>
                <w:b/>
                <w:bCs/>
                <w:sz w:val="20"/>
                <w:szCs w:val="20"/>
              </w:rPr>
            </w:pPr>
            <w:r w:rsidRPr="00A05C24">
              <w:rPr>
                <w:b/>
                <w:bCs/>
                <w:sz w:val="20"/>
                <w:szCs w:val="20"/>
              </w:rPr>
              <w:lastRenderedPageBreak/>
              <w:t>Survey of non-choice mobility residents</w:t>
            </w:r>
            <w:r w:rsidR="00A05C24">
              <w:rPr>
                <w:b/>
                <w:bCs/>
                <w:sz w:val="20"/>
                <w:szCs w:val="20"/>
              </w:rPr>
              <w:t xml:space="preserve"> </w:t>
            </w:r>
            <w:r w:rsidRPr="00BE139E" w:rsidR="00A05C24">
              <w:rPr>
                <w:b/>
                <w:bCs/>
                <w:sz w:val="20"/>
                <w:szCs w:val="20"/>
              </w:rPr>
              <w:t xml:space="preserve">(Appendix </w:t>
            </w:r>
            <w:r w:rsidR="00A05C24">
              <w:rPr>
                <w:b/>
                <w:bCs/>
                <w:sz w:val="20"/>
                <w:szCs w:val="20"/>
              </w:rPr>
              <w:t>D)</w:t>
            </w:r>
          </w:p>
        </w:tc>
        <w:tc>
          <w:tcPr>
            <w:tcW w:w="7465" w:type="dxa"/>
          </w:tcPr>
          <w:p w:rsidR="00A05C24" w:rsidP="00A05C24" w:rsidRDefault="00A05C24" w14:paraId="26362065" w14:textId="7D678505">
            <w:pPr>
              <w:jc w:val="both"/>
              <w:rPr>
                <w:sz w:val="20"/>
                <w:szCs w:val="20"/>
              </w:rPr>
            </w:pPr>
            <w:r w:rsidRPr="00BE139E">
              <w:rPr>
                <w:b/>
                <w:bCs/>
                <w:sz w:val="20"/>
                <w:szCs w:val="20"/>
              </w:rPr>
              <w:t>Respondents</w:t>
            </w:r>
            <w:r>
              <w:rPr>
                <w:sz w:val="20"/>
                <w:szCs w:val="20"/>
              </w:rPr>
              <w:t xml:space="preserve">: </w:t>
            </w:r>
            <w:r w:rsidR="00510266">
              <w:rPr>
                <w:sz w:val="20"/>
                <w:szCs w:val="20"/>
              </w:rPr>
              <w:t xml:space="preserve">RAD </w:t>
            </w:r>
            <w:r w:rsidR="000A6842">
              <w:rPr>
                <w:sz w:val="20"/>
                <w:szCs w:val="20"/>
              </w:rPr>
              <w:t xml:space="preserve">residents who </w:t>
            </w:r>
            <w:r w:rsidR="00510266">
              <w:rPr>
                <w:sz w:val="20"/>
                <w:szCs w:val="20"/>
              </w:rPr>
              <w:t xml:space="preserve">are eligible but </w:t>
            </w:r>
            <w:r w:rsidR="000A6842">
              <w:rPr>
                <w:sz w:val="20"/>
                <w:szCs w:val="20"/>
              </w:rPr>
              <w:t>have not used the choice mobility option</w:t>
            </w:r>
            <w:r w:rsidR="00F837DB">
              <w:rPr>
                <w:sz w:val="20"/>
                <w:szCs w:val="20"/>
              </w:rPr>
              <w:t xml:space="preserve">; sample </w:t>
            </w:r>
            <w:r w:rsidR="00510266">
              <w:rPr>
                <w:sz w:val="20"/>
                <w:szCs w:val="20"/>
              </w:rPr>
              <w:t xml:space="preserve">of </w:t>
            </w:r>
            <w:r w:rsidR="009C73C6">
              <w:rPr>
                <w:sz w:val="20"/>
                <w:szCs w:val="20"/>
              </w:rPr>
              <w:t xml:space="preserve">approximately 420 residents. </w:t>
            </w:r>
          </w:p>
          <w:p w:rsidR="00A52CB5" w:rsidP="00A05C24" w:rsidRDefault="00A52CB5" w14:paraId="59834D7D" w14:textId="77777777">
            <w:pPr>
              <w:jc w:val="both"/>
              <w:rPr>
                <w:b/>
                <w:bCs/>
                <w:sz w:val="20"/>
                <w:szCs w:val="20"/>
              </w:rPr>
            </w:pPr>
          </w:p>
          <w:p w:rsidR="00A05C24" w:rsidP="00A05C24" w:rsidRDefault="00A05C24" w14:paraId="058593EB" w14:textId="5CA8F9C8">
            <w:pPr>
              <w:jc w:val="both"/>
              <w:rPr>
                <w:sz w:val="20"/>
                <w:szCs w:val="20"/>
              </w:rPr>
            </w:pPr>
            <w:r w:rsidRPr="00BE139E">
              <w:rPr>
                <w:b/>
                <w:bCs/>
                <w:sz w:val="20"/>
                <w:szCs w:val="20"/>
              </w:rPr>
              <w:t>Content</w:t>
            </w:r>
            <w:r>
              <w:rPr>
                <w:sz w:val="20"/>
                <w:szCs w:val="20"/>
              </w:rPr>
              <w:t xml:space="preserve">: </w:t>
            </w:r>
          </w:p>
          <w:p w:rsidR="00510266" w:rsidP="00510266" w:rsidRDefault="00510266" w14:paraId="03B8D319" w14:textId="77777777">
            <w:pPr>
              <w:pStyle w:val="ListParagraph"/>
              <w:numPr>
                <w:ilvl w:val="0"/>
                <w:numId w:val="29"/>
              </w:numPr>
              <w:jc w:val="both"/>
              <w:rPr>
                <w:sz w:val="20"/>
                <w:szCs w:val="20"/>
              </w:rPr>
            </w:pPr>
            <w:r>
              <w:rPr>
                <w:sz w:val="20"/>
                <w:szCs w:val="20"/>
              </w:rPr>
              <w:t>Background</w:t>
            </w:r>
          </w:p>
          <w:p w:rsidR="00510266" w:rsidP="00510266" w:rsidRDefault="00510266" w14:paraId="51D00586" w14:textId="77777777">
            <w:pPr>
              <w:pStyle w:val="ListParagraph"/>
              <w:numPr>
                <w:ilvl w:val="0"/>
                <w:numId w:val="29"/>
              </w:numPr>
              <w:jc w:val="both"/>
              <w:rPr>
                <w:sz w:val="20"/>
                <w:szCs w:val="20"/>
              </w:rPr>
            </w:pPr>
            <w:r w:rsidRPr="00061869">
              <w:rPr>
                <w:sz w:val="20"/>
                <w:szCs w:val="20"/>
              </w:rPr>
              <w:t>Neighborhood Quality</w:t>
            </w:r>
          </w:p>
          <w:p w:rsidR="00510266" w:rsidP="00510266" w:rsidRDefault="00510266" w14:paraId="6308D327" w14:textId="77777777">
            <w:pPr>
              <w:pStyle w:val="ListParagraph"/>
              <w:numPr>
                <w:ilvl w:val="0"/>
                <w:numId w:val="29"/>
              </w:numPr>
              <w:jc w:val="both"/>
              <w:rPr>
                <w:sz w:val="20"/>
                <w:szCs w:val="20"/>
              </w:rPr>
            </w:pPr>
            <w:r w:rsidRPr="00061869">
              <w:rPr>
                <w:sz w:val="20"/>
                <w:szCs w:val="20"/>
              </w:rPr>
              <w:t>Housing Quality and Property Maintenance</w:t>
            </w:r>
          </w:p>
          <w:p w:rsidR="00510266" w:rsidP="00510266" w:rsidRDefault="00510266" w14:paraId="3ED7867B" w14:textId="77777777">
            <w:pPr>
              <w:pStyle w:val="ListParagraph"/>
              <w:numPr>
                <w:ilvl w:val="0"/>
                <w:numId w:val="29"/>
              </w:numPr>
              <w:jc w:val="both"/>
              <w:rPr>
                <w:sz w:val="20"/>
                <w:szCs w:val="20"/>
              </w:rPr>
            </w:pPr>
            <w:r w:rsidRPr="00061869">
              <w:rPr>
                <w:sz w:val="20"/>
                <w:szCs w:val="20"/>
              </w:rPr>
              <w:t>Housing Costs</w:t>
            </w:r>
          </w:p>
          <w:p w:rsidR="00510266" w:rsidP="00510266" w:rsidRDefault="00510266" w14:paraId="6D22BA57" w14:textId="77777777">
            <w:pPr>
              <w:pStyle w:val="ListParagraph"/>
              <w:numPr>
                <w:ilvl w:val="0"/>
                <w:numId w:val="29"/>
              </w:numPr>
              <w:jc w:val="both"/>
              <w:rPr>
                <w:sz w:val="20"/>
                <w:szCs w:val="20"/>
              </w:rPr>
            </w:pPr>
            <w:r w:rsidRPr="00061869">
              <w:rPr>
                <w:sz w:val="20"/>
                <w:szCs w:val="20"/>
              </w:rPr>
              <w:t>Employment</w:t>
            </w:r>
          </w:p>
          <w:p w:rsidR="00510266" w:rsidP="00510266" w:rsidRDefault="00510266" w14:paraId="68538FAB" w14:textId="77777777">
            <w:pPr>
              <w:pStyle w:val="ListParagraph"/>
              <w:numPr>
                <w:ilvl w:val="0"/>
                <w:numId w:val="29"/>
              </w:numPr>
              <w:jc w:val="both"/>
              <w:rPr>
                <w:sz w:val="20"/>
                <w:szCs w:val="20"/>
              </w:rPr>
            </w:pPr>
            <w:r>
              <w:rPr>
                <w:sz w:val="20"/>
                <w:szCs w:val="20"/>
              </w:rPr>
              <w:t>Health</w:t>
            </w:r>
          </w:p>
          <w:p w:rsidR="00510266" w:rsidP="00510266" w:rsidRDefault="00510266" w14:paraId="68BB7AE5" w14:textId="4423EA10">
            <w:pPr>
              <w:pStyle w:val="ListParagraph"/>
              <w:numPr>
                <w:ilvl w:val="0"/>
                <w:numId w:val="29"/>
              </w:numPr>
              <w:jc w:val="both"/>
              <w:rPr>
                <w:sz w:val="20"/>
                <w:szCs w:val="20"/>
              </w:rPr>
            </w:pPr>
            <w:r w:rsidRPr="00214660">
              <w:rPr>
                <w:sz w:val="20"/>
                <w:szCs w:val="20"/>
              </w:rPr>
              <w:t>Resident Characteristics and Household Composition</w:t>
            </w:r>
          </w:p>
          <w:p w:rsidR="00510266" w:rsidP="00510266" w:rsidRDefault="00510266" w14:paraId="30D736F0" w14:textId="054A0348">
            <w:pPr>
              <w:pStyle w:val="ListParagraph"/>
              <w:numPr>
                <w:ilvl w:val="0"/>
                <w:numId w:val="29"/>
              </w:numPr>
              <w:jc w:val="both"/>
              <w:rPr>
                <w:sz w:val="20"/>
                <w:szCs w:val="20"/>
              </w:rPr>
            </w:pPr>
            <w:r>
              <w:rPr>
                <w:sz w:val="20"/>
                <w:szCs w:val="20"/>
              </w:rPr>
              <w:t>Decision to Request a Voucher to Move</w:t>
            </w:r>
          </w:p>
          <w:p w:rsidR="00510266" w:rsidP="0037047C" w:rsidRDefault="00510266" w14:paraId="7D306A63" w14:textId="77777777">
            <w:pPr>
              <w:pStyle w:val="ListParagraph"/>
              <w:numPr>
                <w:ilvl w:val="0"/>
                <w:numId w:val="29"/>
              </w:numPr>
              <w:jc w:val="both"/>
              <w:rPr>
                <w:sz w:val="20"/>
                <w:szCs w:val="20"/>
              </w:rPr>
            </w:pPr>
            <w:r w:rsidRPr="00510266">
              <w:rPr>
                <w:sz w:val="20"/>
                <w:szCs w:val="20"/>
              </w:rPr>
              <w:t>Not Requesting the Voucher to Move</w:t>
            </w:r>
          </w:p>
          <w:p w:rsidRPr="0037047C" w:rsidR="00CE73DB" w:rsidP="0037047C" w:rsidRDefault="00510266" w14:paraId="16604BA0" w14:textId="33A4D2FA">
            <w:pPr>
              <w:pStyle w:val="ListParagraph"/>
              <w:numPr>
                <w:ilvl w:val="0"/>
                <w:numId w:val="29"/>
              </w:numPr>
              <w:jc w:val="both"/>
              <w:rPr>
                <w:sz w:val="20"/>
                <w:szCs w:val="20"/>
              </w:rPr>
            </w:pPr>
            <w:r w:rsidRPr="0037047C">
              <w:rPr>
                <w:sz w:val="20"/>
                <w:szCs w:val="20"/>
              </w:rPr>
              <w:t>Requesting the Voucher to Move</w:t>
            </w:r>
          </w:p>
          <w:p w:rsidR="00510266" w:rsidP="00C71131" w:rsidRDefault="00510266" w14:paraId="124F41E1" w14:textId="77777777">
            <w:pPr>
              <w:jc w:val="both"/>
              <w:rPr>
                <w:b/>
                <w:bCs/>
                <w:sz w:val="20"/>
                <w:szCs w:val="20"/>
              </w:rPr>
            </w:pPr>
          </w:p>
          <w:p w:rsidRPr="0076142F" w:rsidR="00BE139E" w:rsidP="00C71131" w:rsidRDefault="00A05C24" w14:paraId="68BC3497" w14:textId="1BE84372">
            <w:pPr>
              <w:jc w:val="both"/>
              <w:rPr>
                <w:sz w:val="20"/>
                <w:szCs w:val="20"/>
              </w:rPr>
            </w:pPr>
            <w:r w:rsidRPr="00BE139E">
              <w:rPr>
                <w:b/>
                <w:bCs/>
                <w:sz w:val="20"/>
                <w:szCs w:val="20"/>
              </w:rPr>
              <w:t>Reason</w:t>
            </w:r>
            <w:r>
              <w:rPr>
                <w:sz w:val="20"/>
                <w:szCs w:val="20"/>
              </w:rPr>
              <w:t>:</w:t>
            </w:r>
            <w:r w:rsidR="00710A15">
              <w:rPr>
                <w:sz w:val="20"/>
                <w:szCs w:val="20"/>
              </w:rPr>
              <w:t xml:space="preserve"> The </w:t>
            </w:r>
            <w:r w:rsidR="00510266">
              <w:rPr>
                <w:sz w:val="20"/>
                <w:szCs w:val="20"/>
              </w:rPr>
              <w:t>survey will capture perception</w:t>
            </w:r>
            <w:r w:rsidR="00781D10">
              <w:rPr>
                <w:sz w:val="20"/>
                <w:szCs w:val="20"/>
              </w:rPr>
              <w:t>s</w:t>
            </w:r>
            <w:r w:rsidR="00510266">
              <w:rPr>
                <w:sz w:val="20"/>
                <w:szCs w:val="20"/>
              </w:rPr>
              <w:t xml:space="preserve"> of neighborhood quality, housing cost and quality, and satisfaction with property maintenance to understand if choice mobility option was not used to move because residents are satisfied with their RAD units, properties, and neighborhoods. The survey will ask about employment and health status and r</w:t>
            </w:r>
            <w:r w:rsidRPr="00214660" w:rsidR="00510266">
              <w:rPr>
                <w:sz w:val="20"/>
                <w:szCs w:val="20"/>
              </w:rPr>
              <w:t xml:space="preserve">esident </w:t>
            </w:r>
            <w:r w:rsidR="00510266">
              <w:rPr>
                <w:sz w:val="20"/>
                <w:szCs w:val="20"/>
              </w:rPr>
              <w:t>and household c</w:t>
            </w:r>
            <w:r w:rsidRPr="00214660" w:rsidR="00510266">
              <w:rPr>
                <w:sz w:val="20"/>
                <w:szCs w:val="20"/>
              </w:rPr>
              <w:t>haracteristics</w:t>
            </w:r>
            <w:r w:rsidR="00510266">
              <w:rPr>
                <w:sz w:val="20"/>
                <w:szCs w:val="20"/>
              </w:rPr>
              <w:t xml:space="preserve"> that could affect the ability to use </w:t>
            </w:r>
            <w:r w:rsidR="00215C88">
              <w:rPr>
                <w:sz w:val="20"/>
                <w:szCs w:val="20"/>
              </w:rPr>
              <w:t>the</w:t>
            </w:r>
            <w:r w:rsidR="00510266">
              <w:rPr>
                <w:sz w:val="20"/>
                <w:szCs w:val="20"/>
              </w:rPr>
              <w:t xml:space="preserve"> choice mobility option and move. Finally, the survey will ask whether residents </w:t>
            </w:r>
            <w:r w:rsidR="00215C88">
              <w:rPr>
                <w:sz w:val="20"/>
                <w:szCs w:val="20"/>
              </w:rPr>
              <w:t xml:space="preserve">did/did not </w:t>
            </w:r>
            <w:r w:rsidR="00510266">
              <w:rPr>
                <w:sz w:val="20"/>
                <w:szCs w:val="20"/>
              </w:rPr>
              <w:t>request a voucher and the reasons for requesting/not requesting a voucher under the choice mobility option</w:t>
            </w:r>
            <w:r w:rsidR="00710A15">
              <w:rPr>
                <w:sz w:val="20"/>
                <w:szCs w:val="20"/>
              </w:rPr>
              <w:t>.</w:t>
            </w:r>
          </w:p>
        </w:tc>
      </w:tr>
      <w:tr w:rsidR="0076142F" w:rsidTr="009643A3" w14:paraId="73F65739" w14:textId="77777777">
        <w:trPr>
          <w:cnfStyle w:val="000000100000" w:firstRow="0" w:lastRow="0" w:firstColumn="0" w:lastColumn="0" w:oddVBand="0" w:evenVBand="0" w:oddHBand="1" w:evenHBand="0" w:firstRowFirstColumn="0" w:firstRowLastColumn="0" w:lastRowFirstColumn="0" w:lastRowLastColumn="0"/>
        </w:trPr>
        <w:tc>
          <w:tcPr>
            <w:tcW w:w="1885" w:type="dxa"/>
          </w:tcPr>
          <w:p w:rsidRPr="00A05C24" w:rsidR="0076142F" w:rsidP="001A54AA" w:rsidRDefault="00BE139E" w14:paraId="56275143" w14:textId="3821B530">
            <w:pPr>
              <w:rPr>
                <w:b/>
                <w:bCs/>
                <w:sz w:val="20"/>
                <w:szCs w:val="20"/>
              </w:rPr>
            </w:pPr>
            <w:r w:rsidRPr="00A05C24">
              <w:rPr>
                <w:b/>
                <w:bCs/>
                <w:sz w:val="20"/>
                <w:szCs w:val="20"/>
              </w:rPr>
              <w:t>Qualitative interviews with PHAs</w:t>
            </w:r>
            <w:r w:rsidR="00A05C24">
              <w:rPr>
                <w:b/>
                <w:bCs/>
                <w:sz w:val="20"/>
                <w:szCs w:val="20"/>
              </w:rPr>
              <w:t xml:space="preserve"> </w:t>
            </w:r>
            <w:r w:rsidRPr="00BE139E" w:rsidR="00A05C24">
              <w:rPr>
                <w:b/>
                <w:bCs/>
                <w:sz w:val="20"/>
                <w:szCs w:val="20"/>
              </w:rPr>
              <w:t xml:space="preserve">(Appendix </w:t>
            </w:r>
            <w:r w:rsidR="00A05C24">
              <w:rPr>
                <w:b/>
                <w:bCs/>
                <w:sz w:val="20"/>
                <w:szCs w:val="20"/>
              </w:rPr>
              <w:t>E)</w:t>
            </w:r>
          </w:p>
        </w:tc>
        <w:tc>
          <w:tcPr>
            <w:tcW w:w="7465" w:type="dxa"/>
          </w:tcPr>
          <w:p w:rsidR="00A05C24" w:rsidP="00A05C24" w:rsidRDefault="00A05C24" w14:paraId="6367F6AD" w14:textId="09622AA7">
            <w:pPr>
              <w:jc w:val="both"/>
              <w:rPr>
                <w:sz w:val="20"/>
                <w:szCs w:val="20"/>
              </w:rPr>
            </w:pPr>
            <w:r w:rsidRPr="00BE139E">
              <w:rPr>
                <w:b/>
                <w:bCs/>
                <w:sz w:val="20"/>
                <w:szCs w:val="20"/>
              </w:rPr>
              <w:t>Respondents</w:t>
            </w:r>
            <w:r>
              <w:rPr>
                <w:sz w:val="20"/>
                <w:szCs w:val="20"/>
              </w:rPr>
              <w:t xml:space="preserve">: </w:t>
            </w:r>
            <w:r w:rsidR="000A6842">
              <w:rPr>
                <w:sz w:val="20"/>
                <w:szCs w:val="20"/>
              </w:rPr>
              <w:t xml:space="preserve">Representative group of 25 PHAs </w:t>
            </w:r>
            <w:r w:rsidR="008B3099">
              <w:rPr>
                <w:sz w:val="20"/>
                <w:szCs w:val="20"/>
              </w:rPr>
              <w:t xml:space="preserve">with RAD conversions. </w:t>
            </w:r>
          </w:p>
          <w:p w:rsidR="00A52CB5" w:rsidP="00A05C24" w:rsidRDefault="00A52CB5" w14:paraId="24CF204E" w14:textId="77777777">
            <w:pPr>
              <w:jc w:val="both"/>
              <w:rPr>
                <w:b/>
                <w:bCs/>
                <w:sz w:val="20"/>
                <w:szCs w:val="20"/>
              </w:rPr>
            </w:pPr>
          </w:p>
          <w:p w:rsidR="00A05C24" w:rsidP="00A05C24" w:rsidRDefault="00A05C24" w14:paraId="266F2DAE" w14:textId="7BEB6DFD">
            <w:pPr>
              <w:jc w:val="both"/>
              <w:rPr>
                <w:sz w:val="20"/>
                <w:szCs w:val="20"/>
              </w:rPr>
            </w:pPr>
            <w:r w:rsidRPr="00BE139E">
              <w:rPr>
                <w:b/>
                <w:bCs/>
                <w:sz w:val="20"/>
                <w:szCs w:val="20"/>
              </w:rPr>
              <w:t>Content</w:t>
            </w:r>
            <w:r>
              <w:rPr>
                <w:sz w:val="20"/>
                <w:szCs w:val="20"/>
              </w:rPr>
              <w:t xml:space="preserve">: </w:t>
            </w:r>
          </w:p>
          <w:p w:rsidRPr="00B0342A" w:rsidR="00B0342A" w:rsidP="00B0342A" w:rsidRDefault="00E34FA7" w14:paraId="0756687F" w14:textId="0137F435">
            <w:pPr>
              <w:pStyle w:val="ListParagraph"/>
              <w:numPr>
                <w:ilvl w:val="0"/>
                <w:numId w:val="31"/>
              </w:numPr>
              <w:jc w:val="both"/>
              <w:rPr>
                <w:sz w:val="20"/>
                <w:szCs w:val="20"/>
              </w:rPr>
            </w:pPr>
            <w:r>
              <w:rPr>
                <w:sz w:val="20"/>
                <w:szCs w:val="20"/>
              </w:rPr>
              <w:t>Types of</w:t>
            </w:r>
            <w:r w:rsidRPr="00B0342A" w:rsidR="00B0342A">
              <w:rPr>
                <w:sz w:val="20"/>
                <w:szCs w:val="20"/>
              </w:rPr>
              <w:t xml:space="preserve"> ownership structure</w:t>
            </w:r>
          </w:p>
          <w:p w:rsidRPr="00B0342A" w:rsidR="00B0342A" w:rsidP="00B0342A" w:rsidRDefault="00E34FA7" w14:paraId="18F3772D" w14:textId="6E53554D">
            <w:pPr>
              <w:pStyle w:val="ListParagraph"/>
              <w:numPr>
                <w:ilvl w:val="0"/>
                <w:numId w:val="31"/>
              </w:numPr>
              <w:jc w:val="both"/>
              <w:rPr>
                <w:sz w:val="20"/>
                <w:szCs w:val="20"/>
              </w:rPr>
            </w:pPr>
            <w:r>
              <w:rPr>
                <w:sz w:val="20"/>
                <w:szCs w:val="20"/>
              </w:rPr>
              <w:t>O</w:t>
            </w:r>
            <w:r w:rsidRPr="00B0342A" w:rsidR="00B0342A">
              <w:rPr>
                <w:sz w:val="20"/>
                <w:szCs w:val="20"/>
              </w:rPr>
              <w:t xml:space="preserve">rganizational changes </w:t>
            </w:r>
          </w:p>
          <w:p w:rsidRPr="00B0342A" w:rsidR="00B0342A" w:rsidP="00B0342A" w:rsidRDefault="00E34FA7" w14:paraId="4F2FC52D" w14:textId="319B2321">
            <w:pPr>
              <w:pStyle w:val="ListParagraph"/>
              <w:numPr>
                <w:ilvl w:val="0"/>
                <w:numId w:val="31"/>
              </w:numPr>
              <w:jc w:val="both"/>
              <w:rPr>
                <w:sz w:val="20"/>
                <w:szCs w:val="20"/>
              </w:rPr>
            </w:pPr>
            <w:r>
              <w:rPr>
                <w:sz w:val="20"/>
                <w:szCs w:val="20"/>
              </w:rPr>
              <w:t>C</w:t>
            </w:r>
            <w:r w:rsidRPr="00B0342A" w:rsidR="00B0342A">
              <w:rPr>
                <w:sz w:val="20"/>
                <w:szCs w:val="20"/>
              </w:rPr>
              <w:t xml:space="preserve">hanges in functions </w:t>
            </w:r>
            <w:r>
              <w:rPr>
                <w:sz w:val="20"/>
                <w:szCs w:val="20"/>
              </w:rPr>
              <w:t>and</w:t>
            </w:r>
            <w:r w:rsidRPr="00B0342A" w:rsidR="00B0342A">
              <w:rPr>
                <w:sz w:val="20"/>
                <w:szCs w:val="20"/>
              </w:rPr>
              <w:t xml:space="preserve"> staffing</w:t>
            </w:r>
          </w:p>
          <w:p w:rsidRPr="0037047C" w:rsidR="00B0342A" w:rsidP="00E34FA7" w:rsidRDefault="00E34FA7" w14:paraId="44AC7402" w14:textId="03D74EEB">
            <w:pPr>
              <w:pStyle w:val="ListParagraph"/>
              <w:numPr>
                <w:ilvl w:val="0"/>
                <w:numId w:val="31"/>
              </w:numPr>
              <w:jc w:val="both"/>
              <w:rPr>
                <w:sz w:val="20"/>
                <w:szCs w:val="20"/>
              </w:rPr>
            </w:pPr>
            <w:r>
              <w:rPr>
                <w:sz w:val="20"/>
                <w:szCs w:val="20"/>
              </w:rPr>
              <w:t xml:space="preserve">Changes in </w:t>
            </w:r>
            <w:r w:rsidRPr="0037047C" w:rsidR="00B0342A">
              <w:rPr>
                <w:sz w:val="20"/>
                <w:szCs w:val="20"/>
              </w:rPr>
              <w:t>operating costs</w:t>
            </w:r>
          </w:p>
          <w:p w:rsidR="00B0342A" w:rsidP="00B0342A" w:rsidRDefault="00E34FA7" w14:paraId="11E7831E" w14:textId="526D5C98">
            <w:pPr>
              <w:pStyle w:val="ListParagraph"/>
              <w:numPr>
                <w:ilvl w:val="0"/>
                <w:numId w:val="31"/>
              </w:numPr>
              <w:jc w:val="both"/>
              <w:rPr>
                <w:sz w:val="20"/>
                <w:szCs w:val="20"/>
              </w:rPr>
            </w:pPr>
            <w:r>
              <w:rPr>
                <w:sz w:val="20"/>
                <w:szCs w:val="20"/>
              </w:rPr>
              <w:t>Effect on administrative</w:t>
            </w:r>
            <w:r w:rsidRPr="00B0342A" w:rsidR="00B0342A">
              <w:rPr>
                <w:sz w:val="20"/>
                <w:szCs w:val="20"/>
              </w:rPr>
              <w:t xml:space="preserve"> fees</w:t>
            </w:r>
          </w:p>
          <w:p w:rsidRPr="00B0342A" w:rsidR="00B0342A" w:rsidP="00B0342A" w:rsidRDefault="00B0342A" w14:paraId="4FAAC033" w14:textId="77777777">
            <w:pPr>
              <w:jc w:val="both"/>
              <w:rPr>
                <w:sz w:val="20"/>
                <w:szCs w:val="20"/>
              </w:rPr>
            </w:pPr>
          </w:p>
          <w:p w:rsidRPr="0076142F" w:rsidR="0076142F" w:rsidP="00C71131" w:rsidRDefault="00A05C24" w14:paraId="3D655839" w14:textId="3B71D811">
            <w:pPr>
              <w:jc w:val="both"/>
              <w:rPr>
                <w:sz w:val="20"/>
                <w:szCs w:val="20"/>
              </w:rPr>
            </w:pPr>
            <w:r w:rsidRPr="00BE139E">
              <w:rPr>
                <w:b/>
                <w:bCs/>
                <w:sz w:val="20"/>
                <w:szCs w:val="20"/>
              </w:rPr>
              <w:t>Reason</w:t>
            </w:r>
            <w:r>
              <w:rPr>
                <w:sz w:val="20"/>
                <w:szCs w:val="20"/>
              </w:rPr>
              <w:t>:</w:t>
            </w:r>
            <w:r w:rsidR="00B0342A">
              <w:rPr>
                <w:sz w:val="20"/>
                <w:szCs w:val="20"/>
              </w:rPr>
              <w:t xml:space="preserve"> </w:t>
            </w:r>
            <w:r w:rsidR="00E34FA7">
              <w:rPr>
                <w:sz w:val="20"/>
                <w:szCs w:val="20"/>
              </w:rPr>
              <w:t xml:space="preserve">The interviews are expected to be conducted with </w:t>
            </w:r>
            <w:r w:rsidRPr="00E34FA7" w:rsidR="00E34FA7">
              <w:rPr>
                <w:sz w:val="20"/>
                <w:szCs w:val="20"/>
              </w:rPr>
              <w:t xml:space="preserve">PHA executive directors, staff dedicated to RAD projects, finance or </w:t>
            </w:r>
            <w:r w:rsidR="00E34FA7">
              <w:rPr>
                <w:sz w:val="20"/>
                <w:szCs w:val="20"/>
              </w:rPr>
              <w:t>b</w:t>
            </w:r>
            <w:r w:rsidRPr="00E34FA7" w:rsidR="00E34FA7">
              <w:rPr>
                <w:sz w:val="20"/>
                <w:szCs w:val="20"/>
              </w:rPr>
              <w:t>udget directors, asset managers, and/or directors of public housing and voucher programs</w:t>
            </w:r>
            <w:r w:rsidR="00E34FA7">
              <w:rPr>
                <w:sz w:val="20"/>
                <w:szCs w:val="20"/>
              </w:rPr>
              <w:t xml:space="preserve">. The interviews will provide qualitative data to </w:t>
            </w:r>
            <w:r w:rsidR="00E91C8B">
              <w:rPr>
                <w:sz w:val="20"/>
                <w:szCs w:val="20"/>
              </w:rPr>
              <w:t>understand how</w:t>
            </w:r>
            <w:r w:rsidRPr="008102CC" w:rsidR="008102CC">
              <w:rPr>
                <w:sz w:val="20"/>
                <w:szCs w:val="20"/>
              </w:rPr>
              <w:t xml:space="preserve"> the different types of ownership structures may impact the organization of the PHA. Different activities, such as new construction or rehabilitation, may require organizational adjustments. </w:t>
            </w:r>
            <w:r w:rsidR="002953EC">
              <w:rPr>
                <w:sz w:val="20"/>
                <w:szCs w:val="20"/>
              </w:rPr>
              <w:t>A</w:t>
            </w:r>
            <w:r w:rsidR="00CE491A">
              <w:rPr>
                <w:sz w:val="20"/>
                <w:szCs w:val="20"/>
              </w:rPr>
              <w:t>djustments</w:t>
            </w:r>
            <w:r w:rsidRPr="008102CC" w:rsidR="008102CC">
              <w:rPr>
                <w:sz w:val="20"/>
                <w:szCs w:val="20"/>
              </w:rPr>
              <w:t xml:space="preserve"> may also be affected by the previous experience of PHAs </w:t>
            </w:r>
            <w:r w:rsidR="00E91C8B">
              <w:rPr>
                <w:sz w:val="20"/>
                <w:szCs w:val="20"/>
              </w:rPr>
              <w:t>with</w:t>
            </w:r>
            <w:r w:rsidRPr="008102CC" w:rsidR="008102CC">
              <w:rPr>
                <w:sz w:val="20"/>
                <w:szCs w:val="20"/>
              </w:rPr>
              <w:t xml:space="preserve"> these types of activities. PHAs may change their property management practices or outsource them, which could have a direct impact on organizational responsibilities. If not all the properties have been converted under RAD, we are interested in examining how the PHA handles that organizationally.</w:t>
            </w:r>
          </w:p>
        </w:tc>
      </w:tr>
    </w:tbl>
    <w:p w:rsidR="0076142F" w:rsidP="00C71131" w:rsidRDefault="0076142F" w14:paraId="24586551" w14:textId="19BF6F8F">
      <w:pPr>
        <w:jc w:val="both"/>
      </w:pPr>
    </w:p>
    <w:p w:rsidR="003767CE" w:rsidP="00C71131" w:rsidRDefault="003767CE" w14:paraId="60277134" w14:textId="77777777">
      <w:pPr>
        <w:jc w:val="both"/>
      </w:pPr>
    </w:p>
    <w:p w:rsidRPr="00213087" w:rsidR="00C71131" w:rsidP="00213087" w:rsidRDefault="003B2150" w14:paraId="71A1831A" w14:textId="6037A659">
      <w:pPr>
        <w:pStyle w:val="ListParagraph"/>
        <w:numPr>
          <w:ilvl w:val="0"/>
          <w:numId w:val="5"/>
        </w:numPr>
        <w:jc w:val="both"/>
        <w:rPr>
          <w:b/>
          <w:bCs/>
          <w:u w:val="single"/>
        </w:rPr>
      </w:pPr>
      <w:r w:rsidRPr="00213087">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213087" w:rsidR="00C71131">
        <w:rPr>
          <w:b/>
          <w:bCs/>
        </w:rPr>
        <w:t>.</w:t>
      </w:r>
    </w:p>
    <w:p w:rsidR="00C71131" w:rsidP="00C71131" w:rsidRDefault="00C71131" w14:paraId="5C2F72E8" w14:textId="77777777"/>
    <w:p w:rsidR="00C71131" w:rsidP="003767CE" w:rsidRDefault="00A03570" w14:paraId="23580EDE" w14:textId="3FA4E69E">
      <w:pPr>
        <w:jc w:val="both"/>
      </w:pPr>
      <w:r>
        <w:t>Our information</w:t>
      </w:r>
      <w:r w:rsidRPr="008F642C">
        <w:t xml:space="preserve"> </w:t>
      </w:r>
      <w:r w:rsidRPr="008F642C" w:rsidR="00C71131">
        <w:t>collection</w:t>
      </w:r>
      <w:r>
        <w:t xml:space="preserve">s </w:t>
      </w:r>
      <w:r w:rsidRPr="008F642C" w:rsidR="00C71131">
        <w:t>i</w:t>
      </w:r>
      <w:r w:rsidR="00C71131">
        <w:t xml:space="preserve">nclude </w:t>
      </w:r>
      <w:r w:rsidR="00D5187D">
        <w:t>(1</w:t>
      </w:r>
      <w:r w:rsidR="00530043">
        <w:t xml:space="preserve">) in-person/virtual interviews as part of </w:t>
      </w:r>
      <w:r w:rsidR="00203C12">
        <w:t xml:space="preserve">site visits, (2) web-based censuses and surveys of PHA staff, owners and managers of RAD properties, and </w:t>
      </w:r>
      <w:r w:rsidR="00DF61BF">
        <w:t>residents</w:t>
      </w:r>
      <w:r w:rsidR="004E7FCC">
        <w:t xml:space="preserve">, </w:t>
      </w:r>
      <w:r w:rsidR="004E7FCC">
        <w:lastRenderedPageBreak/>
        <w:t>and (3) telephone surveys of non-respondents to the web-based survey</w:t>
      </w:r>
      <w:r w:rsidR="00084D89">
        <w:t>.</w:t>
      </w:r>
      <w:r w:rsidR="00DF61BF">
        <w:t xml:space="preserve"> </w:t>
      </w:r>
      <w:r w:rsidR="00A304D3">
        <w:t>I</w:t>
      </w:r>
      <w:r w:rsidRPr="00412FC5" w:rsidR="00412FC5">
        <w:t xml:space="preserve">f travel restrictions are in place </w:t>
      </w:r>
      <w:r w:rsidR="00BE3C04">
        <w:t>or if travel is otherwise deemed inadvi</w:t>
      </w:r>
      <w:r w:rsidR="00937569">
        <w:t>s</w:t>
      </w:r>
      <w:r w:rsidR="00BE3C04">
        <w:t xml:space="preserve">able </w:t>
      </w:r>
      <w:r w:rsidRPr="00412FC5" w:rsidR="00412FC5">
        <w:t>due to Covid-19</w:t>
      </w:r>
      <w:r w:rsidR="003823E9">
        <w:t xml:space="preserve">, concerns about </w:t>
      </w:r>
      <w:r w:rsidR="00DD0427">
        <w:t xml:space="preserve">the adequacy of </w:t>
      </w:r>
      <w:r w:rsidR="003823E9">
        <w:t>testing,</w:t>
      </w:r>
      <w:r w:rsidR="00937569">
        <w:t xml:space="preserve"> </w:t>
      </w:r>
      <w:r w:rsidR="0035358B">
        <w:t xml:space="preserve">social unrest, </w:t>
      </w:r>
      <w:r w:rsidR="00937569">
        <w:t>or other reasons</w:t>
      </w:r>
      <w:r w:rsidR="00A304D3">
        <w:t>,</w:t>
      </w:r>
      <w:r w:rsidRPr="00412FC5" w:rsidR="00412FC5">
        <w:t xml:space="preserve"> interviews will be conducted virtually</w:t>
      </w:r>
      <w:r w:rsidR="00A304D3">
        <w:t xml:space="preserve"> using</w:t>
      </w:r>
      <w:r w:rsidR="00F615EC">
        <w:t xml:space="preserve"> common videoconferencing services, such as </w:t>
      </w:r>
      <w:r w:rsidRPr="00412FC5" w:rsidR="00412FC5">
        <w:t>Zoom</w:t>
      </w:r>
      <w:r w:rsidR="004C14DE">
        <w:t xml:space="preserve"> </w:t>
      </w:r>
      <w:r w:rsidR="00E81C7C">
        <w:t>or</w:t>
      </w:r>
      <w:r w:rsidR="004C14DE">
        <w:t xml:space="preserve"> Teams</w:t>
      </w:r>
      <w:r w:rsidRPr="00412FC5" w:rsidR="00412FC5">
        <w:t xml:space="preserve">. </w:t>
      </w:r>
      <w:r w:rsidR="004C14DE">
        <w:t>In all cases, respondents will also be provided a toll-free telephone number</w:t>
      </w:r>
      <w:r w:rsidR="007F257C">
        <w:t xml:space="preserve"> as an alternate mode of access. </w:t>
      </w:r>
      <w:r w:rsidR="00C71131">
        <w:t>Web-based surveys are now widely used in social science research</w:t>
      </w:r>
      <w:r w:rsidR="00DE04DD">
        <w:t>, through which t</w:t>
      </w:r>
      <w:r w:rsidR="00C71131">
        <w:t xml:space="preserve">he recipients </w:t>
      </w:r>
      <w:proofErr w:type="gramStart"/>
      <w:r w:rsidR="00C71131">
        <w:t>have the ability to</w:t>
      </w:r>
      <w:proofErr w:type="gramEnd"/>
      <w:r w:rsidR="00C71131">
        <w:t xml:space="preserve"> complete the survey </w:t>
      </w:r>
      <w:r w:rsidR="00DE04DD">
        <w:t>online</w:t>
      </w:r>
      <w:r w:rsidR="00C71131">
        <w:t xml:space="preserve"> at their convenience. The </w:t>
      </w:r>
      <w:r w:rsidR="000453FE">
        <w:t>web</w:t>
      </w:r>
      <w:r w:rsidR="00F10980">
        <w:t>-based survey instrument</w:t>
      </w:r>
      <w:r w:rsidR="00C71131">
        <w:t xml:space="preserve"> contains instructions, help screens, definitions, </w:t>
      </w:r>
      <w:r w:rsidR="00DE04DD">
        <w:t>automated skip patterns</w:t>
      </w:r>
      <w:r w:rsidR="004501DB">
        <w:t>,</w:t>
      </w:r>
      <w:r w:rsidR="00DE04DD">
        <w:t xml:space="preserve"> </w:t>
      </w:r>
      <w:r w:rsidR="00C71131">
        <w:t xml:space="preserve">and other aids that guide respondents through the </w:t>
      </w:r>
      <w:r w:rsidR="00DE04DD">
        <w:t>survey</w:t>
      </w:r>
      <w:r w:rsidR="003E3BCB">
        <w:t xml:space="preserve"> and reduce respondent burden</w:t>
      </w:r>
      <w:r w:rsidR="00C71131">
        <w:t xml:space="preserve">. </w:t>
      </w:r>
    </w:p>
    <w:p w:rsidR="006960CE" w:rsidP="003767CE" w:rsidRDefault="006960CE" w14:paraId="62254B7A" w14:textId="4BCD6CC6">
      <w:pPr>
        <w:jc w:val="both"/>
      </w:pPr>
    </w:p>
    <w:p w:rsidR="009F072D" w:rsidP="003767CE" w:rsidRDefault="006960CE" w14:paraId="428F0E48" w14:textId="41B90A08">
      <w:pPr>
        <w:jc w:val="both"/>
      </w:pPr>
      <w:r>
        <w:t xml:space="preserve">We will conduct the census of RAD PHAs using a web-based data collection instrument that we will invite PHA staff from PHAs with RAD conversions to complete. </w:t>
      </w:r>
      <w:r w:rsidR="009938FB">
        <w:t xml:space="preserve">A web-based instrument will also be used for the </w:t>
      </w:r>
      <w:r w:rsidR="007726E6">
        <w:t xml:space="preserve">census of all property owners/managers involved with our sample of PHAs with RAD conversions identified in </w:t>
      </w:r>
      <w:r w:rsidR="009938FB">
        <w:t>the prior surveys/censuses</w:t>
      </w:r>
      <w:r w:rsidR="007726E6">
        <w:t xml:space="preserve">. </w:t>
      </w:r>
    </w:p>
    <w:p w:rsidR="009F072D" w:rsidP="003767CE" w:rsidRDefault="009F072D" w14:paraId="4555CC4F" w14:textId="77777777">
      <w:pPr>
        <w:jc w:val="both"/>
      </w:pPr>
    </w:p>
    <w:p w:rsidR="007726E6" w:rsidP="003767CE" w:rsidRDefault="007726E6" w14:paraId="4ECAEF48" w14:textId="59DCF04E">
      <w:pPr>
        <w:jc w:val="both"/>
      </w:pPr>
      <w:r>
        <w:t>We will also</w:t>
      </w:r>
      <w:r w:rsidR="009F072D">
        <w:t xml:space="preserve"> use a web-</w:t>
      </w:r>
      <w:r w:rsidR="005A437C">
        <w:t>based instrument to</w:t>
      </w:r>
      <w:r>
        <w:t xml:space="preserve"> conduct a </w:t>
      </w:r>
      <w:r w:rsidR="00084D89">
        <w:t xml:space="preserve">survey of a </w:t>
      </w:r>
      <w:r w:rsidR="00EF5664">
        <w:t xml:space="preserve">sample </w:t>
      </w:r>
      <w:r>
        <w:t xml:space="preserve">of residents of RAD-converted developments who used choice mobility and a </w:t>
      </w:r>
      <w:r w:rsidR="00084D89">
        <w:t xml:space="preserve">survey of a </w:t>
      </w:r>
      <w:r>
        <w:t xml:space="preserve">sample of residents who were eligible to use choice mobility but remained in their RAD-converted developments. </w:t>
      </w:r>
    </w:p>
    <w:p w:rsidR="00C71131" w:rsidP="00C71131" w:rsidRDefault="00C71131" w14:paraId="043F134C" w14:textId="77777777">
      <w:pPr>
        <w:jc w:val="both"/>
      </w:pPr>
    </w:p>
    <w:p w:rsidR="00C71131" w:rsidP="00C71131" w:rsidRDefault="00C71131" w14:paraId="36632038" w14:textId="77777777">
      <w:pPr>
        <w:keepNext/>
        <w:jc w:val="both"/>
      </w:pPr>
      <w:r>
        <w:t>Additional key features include:</w:t>
      </w:r>
    </w:p>
    <w:p w:rsidR="00C71131" w:rsidP="009F7B85" w:rsidRDefault="00C71131" w14:paraId="13D7DA4A" w14:textId="77777777">
      <w:pPr>
        <w:keepNext/>
        <w:numPr>
          <w:ilvl w:val="0"/>
          <w:numId w:val="1"/>
        </w:numPr>
        <w:spacing w:before="120"/>
        <w:jc w:val="both"/>
      </w:pPr>
      <w:r>
        <w:t>Secure data entry.</w:t>
      </w:r>
    </w:p>
    <w:p w:rsidR="00C71131" w:rsidP="009F7B85" w:rsidRDefault="00C71131" w14:paraId="5ADE0978" w14:textId="77777777">
      <w:pPr>
        <w:keepNext/>
        <w:numPr>
          <w:ilvl w:val="0"/>
          <w:numId w:val="1"/>
        </w:numPr>
        <w:jc w:val="both"/>
      </w:pPr>
      <w:r>
        <w:t xml:space="preserve">User </w:t>
      </w:r>
      <w:proofErr w:type="gramStart"/>
      <w:r>
        <w:t>login</w:t>
      </w:r>
      <w:proofErr w:type="gramEnd"/>
      <w:r>
        <w:t xml:space="preserve"> save/review and submit capabilities.</w:t>
      </w:r>
    </w:p>
    <w:p w:rsidR="00C71131" w:rsidP="009F7B85" w:rsidRDefault="00C71131" w14:paraId="131E3077" w14:textId="77777777">
      <w:pPr>
        <w:numPr>
          <w:ilvl w:val="0"/>
          <w:numId w:val="1"/>
        </w:numPr>
        <w:jc w:val="both"/>
      </w:pPr>
      <w:r>
        <w:t>Navigation to access different sections.</w:t>
      </w:r>
    </w:p>
    <w:p w:rsidR="00C71131" w:rsidP="009F7B85" w:rsidRDefault="00C71131" w14:paraId="0835FFFA" w14:textId="77777777">
      <w:pPr>
        <w:numPr>
          <w:ilvl w:val="0"/>
          <w:numId w:val="1"/>
        </w:numPr>
        <w:jc w:val="both"/>
      </w:pPr>
      <w:r>
        <w:t>Navigation to access different screens sequentially or non-sequentially.</w:t>
      </w:r>
    </w:p>
    <w:p w:rsidR="00C71131" w:rsidP="009F7B85" w:rsidRDefault="00C71131" w14:paraId="1AA9DCE2" w14:textId="77777777">
      <w:pPr>
        <w:numPr>
          <w:ilvl w:val="0"/>
          <w:numId w:val="1"/>
        </w:numPr>
        <w:jc w:val="both"/>
      </w:pPr>
      <w:r>
        <w:t>Interactive features to address questions.</w:t>
      </w:r>
    </w:p>
    <w:p w:rsidR="00C71131" w:rsidP="00C71131" w:rsidRDefault="00C71131" w14:paraId="018B9363" w14:textId="77777777">
      <w:pPr>
        <w:jc w:val="both"/>
      </w:pPr>
    </w:p>
    <w:p w:rsidR="00C71131" w:rsidP="00C71131" w:rsidRDefault="00C71131" w14:paraId="62A1E2CD" w14:textId="3B111404">
      <w:pPr>
        <w:jc w:val="both"/>
      </w:pPr>
      <w:r>
        <w:t>We will launch the survey via an integrated system capable of sending personalized email cover letters, tracking which of the respondents have not completed the survey, and sending out reminders.</w:t>
      </w:r>
      <w:r w:rsidR="00B2750A">
        <w:t xml:space="preserve"> The survey will be administered by SSRS, a survey research firm.</w:t>
      </w:r>
      <w:r>
        <w:t xml:space="preserve"> The responses will be shared with </w:t>
      </w:r>
      <w:proofErr w:type="spellStart"/>
      <w:r>
        <w:t>Econometrica</w:t>
      </w:r>
      <w:proofErr w:type="spellEnd"/>
      <w:r>
        <w:t xml:space="preserve"> team members only</w:t>
      </w:r>
      <w:r w:rsidR="00D5187D">
        <w:t xml:space="preserve">. </w:t>
      </w:r>
      <w:r w:rsidR="00F56261">
        <w:t>One hundred</w:t>
      </w:r>
      <w:r w:rsidR="00025663">
        <w:t xml:space="preserve"> percent</w:t>
      </w:r>
      <w:r w:rsidR="00DE04DD">
        <w:t xml:space="preserve"> of the data gathered through the </w:t>
      </w:r>
      <w:r w:rsidR="00D5187D">
        <w:t>W</w:t>
      </w:r>
      <w:r w:rsidR="00DE04DD">
        <w:t>eb survey will be collected electronically.</w:t>
      </w:r>
    </w:p>
    <w:p w:rsidR="00A03570" w:rsidP="00C71131" w:rsidRDefault="00A03570" w14:paraId="1939B054" w14:textId="3D26681D">
      <w:pPr>
        <w:jc w:val="both"/>
      </w:pPr>
    </w:p>
    <w:p w:rsidR="00A03570" w:rsidP="00C71131" w:rsidRDefault="00A03570" w14:paraId="057507DD" w14:textId="616E984F">
      <w:pPr>
        <w:jc w:val="both"/>
      </w:pPr>
      <w:r>
        <w:t xml:space="preserve">Using a web-based system for most of the data collection efforts will reduce the burden on the respondents by reducing the time involved to complete and submit the information. </w:t>
      </w:r>
      <w:r w:rsidR="00A00063">
        <w:t xml:space="preserve">Burden will also be reduced for all data requests by sharing some of the questions ahead of time and allowing participants to prepare for in-person or telephone interviews. </w:t>
      </w:r>
    </w:p>
    <w:p w:rsidR="00940377" w:rsidP="00C71131" w:rsidRDefault="00940377" w14:paraId="1E88C833" w14:textId="77777777">
      <w:pPr>
        <w:jc w:val="both"/>
      </w:pPr>
    </w:p>
    <w:p w:rsidR="00940377" w:rsidP="00C71131" w:rsidRDefault="00940377" w14:paraId="00750F38" w14:textId="6EBDBA91">
      <w:pPr>
        <w:jc w:val="both"/>
      </w:pPr>
      <w:r>
        <w:t>The use of a phone-in option for completion of the resident survey will reduce the burden represented by a web survey for residents without a data plan or with data caps.</w:t>
      </w:r>
    </w:p>
    <w:p w:rsidR="00C71131" w:rsidP="00C71131" w:rsidRDefault="00C71131" w14:paraId="7786C842" w14:textId="750900C5">
      <w:pPr>
        <w:jc w:val="both"/>
      </w:pPr>
    </w:p>
    <w:p w:rsidR="00C53D5E" w:rsidP="00C71131" w:rsidRDefault="00C53D5E" w14:paraId="756F8517" w14:textId="31DE584C">
      <w:pPr>
        <w:jc w:val="both"/>
      </w:pPr>
      <w:r>
        <w:t>For the interviews with PHA staff about the impact of RAD on PHA organization</w:t>
      </w:r>
      <w:r w:rsidR="0019753C">
        <w:t xml:space="preserve">, we will reduce the burden on staff </w:t>
      </w:r>
      <w:r w:rsidR="00E416E8">
        <w:t xml:space="preserve">who are interviewed </w:t>
      </w:r>
      <w:r w:rsidR="0019753C">
        <w:t xml:space="preserve">by </w:t>
      </w:r>
      <w:r w:rsidR="00C07B3F">
        <w:t xml:space="preserve">identifying relevant staff prior to the site visit, </w:t>
      </w:r>
      <w:r w:rsidR="0019753C">
        <w:t>providing advance copies of the interview protocols</w:t>
      </w:r>
      <w:r w:rsidR="00782745">
        <w:t xml:space="preserve">, </w:t>
      </w:r>
      <w:r w:rsidR="00C07B3F">
        <w:t xml:space="preserve">and </w:t>
      </w:r>
      <w:r w:rsidR="00782745">
        <w:t xml:space="preserve">recording </w:t>
      </w:r>
      <w:r w:rsidR="00E416E8">
        <w:t>and preparing transcripts of the interviews (if interviewees agree)</w:t>
      </w:r>
      <w:r w:rsidR="00C07B3F">
        <w:t>.</w:t>
      </w:r>
    </w:p>
    <w:p w:rsidR="00C53D5E" w:rsidP="00C71131" w:rsidRDefault="00C53D5E" w14:paraId="26AE0C5A" w14:textId="77777777">
      <w:pPr>
        <w:jc w:val="both"/>
      </w:pPr>
    </w:p>
    <w:p w:rsidR="00C71131" w:rsidP="00C71131" w:rsidRDefault="00C71131" w14:paraId="1C66CBEC" w14:textId="77777777">
      <w:pPr>
        <w:jc w:val="both"/>
      </w:pPr>
      <w:r>
        <w:t xml:space="preserve">All information will be protected and held confidentially. </w:t>
      </w:r>
    </w:p>
    <w:p w:rsidR="00C71131" w:rsidP="00C71131" w:rsidRDefault="00C71131" w14:paraId="2EA9CE90" w14:textId="77777777">
      <w:pPr>
        <w:jc w:val="both"/>
      </w:pPr>
    </w:p>
    <w:p w:rsidRPr="004D5244" w:rsidR="00C71131" w:rsidP="00213087" w:rsidRDefault="0092442D" w14:paraId="43663C22" w14:textId="03B98749">
      <w:pPr>
        <w:keepNext/>
        <w:numPr>
          <w:ilvl w:val="0"/>
          <w:numId w:val="5"/>
        </w:numPr>
        <w:ind w:left="360"/>
        <w:jc w:val="both"/>
        <w:rPr>
          <w:b/>
          <w:bCs/>
          <w:u w:val="single"/>
        </w:rPr>
      </w:pPr>
      <w:r w:rsidRPr="008064C8">
        <w:rPr>
          <w:b/>
        </w:rPr>
        <w:t>Describe efforts to identify duplication.  Show specifically why any similar information already available cannot be used or modified for use for the purposes described in Item 2 above</w:t>
      </w:r>
      <w:r w:rsidRPr="00CF3FC4" w:rsidR="00C71131">
        <w:rPr>
          <w:b/>
          <w:bCs/>
        </w:rPr>
        <w:t>.</w:t>
      </w:r>
    </w:p>
    <w:p w:rsidR="00C71131" w:rsidP="00A02F4D" w:rsidRDefault="00213922" w14:paraId="441DCBAE" w14:textId="16DC40BA">
      <w:pPr>
        <w:keepNext/>
        <w:spacing w:before="120"/>
        <w:jc w:val="both"/>
      </w:pPr>
      <w:r>
        <w:t xml:space="preserve">There is no existing data source that can readily be analyzed to document the program impact </w:t>
      </w:r>
      <w:r w:rsidR="008551AA">
        <w:t xml:space="preserve">as required under the </w:t>
      </w:r>
      <w:r>
        <w:t>program’s authorizing statute</w:t>
      </w:r>
      <w:r w:rsidR="008551AA">
        <w:t xml:space="preserve">, </w:t>
      </w:r>
      <w:r>
        <w:t xml:space="preserve">namely </w:t>
      </w:r>
      <w:r w:rsidR="000C39CA">
        <w:t>(</w:t>
      </w:r>
      <w:r w:rsidR="008551AA">
        <w:t>1) th</w:t>
      </w:r>
      <w:r w:rsidRPr="004D5244">
        <w:t>e preservation and improvement</w:t>
      </w:r>
      <w:r w:rsidR="008551AA">
        <w:t xml:space="preserve"> of former public housing units, </w:t>
      </w:r>
      <w:r w:rsidR="000C39CA">
        <w:t>(</w:t>
      </w:r>
      <w:r w:rsidR="008551AA">
        <w:t>2) t</w:t>
      </w:r>
      <w:r w:rsidRPr="004D5244">
        <w:t xml:space="preserve">he amount of private capital leveraged </w:t>
      </w:r>
      <w:proofErr w:type="gramStart"/>
      <w:r w:rsidRPr="004D5244">
        <w:t>as a result of</w:t>
      </w:r>
      <w:proofErr w:type="gramEnd"/>
      <w:r w:rsidRPr="004D5244">
        <w:t xml:space="preserve"> such conve</w:t>
      </w:r>
      <w:r w:rsidR="008551AA">
        <w:t xml:space="preserve">rsions, and </w:t>
      </w:r>
      <w:r w:rsidR="000C39CA">
        <w:t>(</w:t>
      </w:r>
      <w:r w:rsidR="008551AA">
        <w:t>3) t</w:t>
      </w:r>
      <w:r w:rsidRPr="004D5244">
        <w:t>he effect of conversion on residents</w:t>
      </w:r>
      <w:r w:rsidR="00D5187D">
        <w:t xml:space="preserve">. </w:t>
      </w:r>
      <w:r w:rsidR="00BF3B15">
        <w:t xml:space="preserve">All available </w:t>
      </w:r>
      <w:r w:rsidR="00C71131">
        <w:t>data from HUD administrative sources and RAD applications will be incorporated into the analysis file by the research team.</w:t>
      </w:r>
    </w:p>
    <w:p w:rsidR="00C71131" w:rsidP="00C71131" w:rsidRDefault="00C71131" w14:paraId="461B9832" w14:textId="77777777">
      <w:pPr>
        <w:jc w:val="both"/>
      </w:pPr>
    </w:p>
    <w:p w:rsidRPr="00A37991" w:rsidR="00C71131" w:rsidP="00C71131" w:rsidRDefault="00C71131" w14:paraId="2BAA82AB" w14:textId="4E7E315E">
      <w:pPr>
        <w:jc w:val="both"/>
      </w:pPr>
      <w:r w:rsidRPr="00A37991">
        <w:t xml:space="preserve">The proposed </w:t>
      </w:r>
      <w:r w:rsidR="00A0247E">
        <w:t xml:space="preserve">surveys and censuses are </w:t>
      </w:r>
      <w:r w:rsidRPr="00A37991">
        <w:t xml:space="preserve">specific to the RAD evaluation. Residents </w:t>
      </w:r>
      <w:r w:rsidR="00A0247E">
        <w:t>may have</w:t>
      </w:r>
      <w:r w:rsidRPr="00A37991">
        <w:t xml:space="preserve"> been asked to </w:t>
      </w:r>
      <w:r w:rsidR="00A0247E">
        <w:t xml:space="preserve">participate in the </w:t>
      </w:r>
      <w:r w:rsidR="006910D3">
        <w:t xml:space="preserve">prior RAD evaluation but the information being requested for this project is different </w:t>
      </w:r>
      <w:proofErr w:type="gramStart"/>
      <w:r w:rsidR="006910D3">
        <w:t>and also</w:t>
      </w:r>
      <w:proofErr w:type="gramEnd"/>
      <w:r w:rsidR="006910D3">
        <w:t xml:space="preserve"> at a different point in time. It is unique to this</w:t>
      </w:r>
      <w:r w:rsidRPr="00A37991">
        <w:t xml:space="preserve"> study. Additional contact information requested is not reliably available from other sources, such as the PHA.</w:t>
      </w:r>
    </w:p>
    <w:p w:rsidR="00C71131" w:rsidP="00C71131" w:rsidRDefault="00C71131" w14:paraId="47639F0E" w14:textId="77777777">
      <w:pPr>
        <w:jc w:val="both"/>
        <w:rPr>
          <w:b/>
          <w:bCs/>
        </w:rPr>
      </w:pPr>
    </w:p>
    <w:p w:rsidRPr="004D5244" w:rsidR="00C71131" w:rsidP="00213087" w:rsidRDefault="003B1927" w14:paraId="53D9BA1F" w14:textId="5F8553E2">
      <w:pPr>
        <w:numPr>
          <w:ilvl w:val="0"/>
          <w:numId w:val="5"/>
        </w:numPr>
        <w:ind w:left="360"/>
        <w:jc w:val="both"/>
        <w:rPr>
          <w:b/>
          <w:bCs/>
          <w:u w:val="single"/>
        </w:rPr>
      </w:pPr>
      <w:r w:rsidRPr="008064C8">
        <w:rPr>
          <w:b/>
        </w:rPr>
        <w:t>If the collection of information impacts small businesses or other small entities (Item 5 of OMB Form 83-I) describe any methods used to minimize burden</w:t>
      </w:r>
      <w:r w:rsidRPr="004D5244" w:rsidR="00C71131">
        <w:rPr>
          <w:b/>
          <w:bCs/>
          <w:u w:val="single"/>
        </w:rPr>
        <w:t xml:space="preserve">. </w:t>
      </w:r>
    </w:p>
    <w:p w:rsidR="00C71131" w:rsidP="00C71131" w:rsidRDefault="00C71131" w14:paraId="62C60F87" w14:textId="77777777">
      <w:pPr>
        <w:jc w:val="both"/>
        <w:rPr>
          <w:color w:val="000000"/>
        </w:rPr>
      </w:pPr>
    </w:p>
    <w:p w:rsidR="00C71131" w:rsidP="00C71131" w:rsidRDefault="00C71131" w14:paraId="634E86D5" w14:textId="001AC9C4">
      <w:pPr>
        <w:jc w:val="both"/>
      </w:pPr>
      <w:r>
        <w:rPr>
          <w:color w:val="000000"/>
        </w:rPr>
        <w:t>Small businesses or other small entities are not part of the target population of th</w:t>
      </w:r>
      <w:r w:rsidR="008551AA">
        <w:rPr>
          <w:color w:val="000000"/>
        </w:rPr>
        <w:t>is</w:t>
      </w:r>
      <w:r>
        <w:rPr>
          <w:color w:val="000000"/>
        </w:rPr>
        <w:t xml:space="preserve"> information collection effort</w:t>
      </w:r>
      <w:r w:rsidRPr="00A10661">
        <w:t>. The</w:t>
      </w:r>
      <w:r>
        <w:t xml:space="preserve"> information collection is limited to RAD program participants, other public housing developments that are </w:t>
      </w:r>
      <w:proofErr w:type="gramStart"/>
      <w:r>
        <w:t>similar to</w:t>
      </w:r>
      <w:proofErr w:type="gramEnd"/>
      <w:r>
        <w:t xml:space="preserve"> the program participants chosen for comparison, PHA representatives, PHA partners, </w:t>
      </w:r>
      <w:r w:rsidR="00EF2B40">
        <w:t>owners and managers of RAD properties</w:t>
      </w:r>
      <w:r>
        <w:t>, and residents who will be asked to complet</w:t>
      </w:r>
      <w:r w:rsidR="00EF2B40">
        <w:t>e a survey</w:t>
      </w:r>
      <w:r>
        <w:t xml:space="preserve">. </w:t>
      </w:r>
    </w:p>
    <w:p w:rsidR="008551AA" w:rsidP="00C71131" w:rsidRDefault="008551AA" w14:paraId="56977C95" w14:textId="77777777">
      <w:pPr>
        <w:jc w:val="both"/>
      </w:pPr>
    </w:p>
    <w:p w:rsidR="00C71131" w:rsidP="00213087" w:rsidRDefault="00E47A4F" w14:paraId="0C934CDA" w14:textId="335B23E0">
      <w:pPr>
        <w:numPr>
          <w:ilvl w:val="0"/>
          <w:numId w:val="5"/>
        </w:numPr>
        <w:ind w:left="360"/>
        <w:jc w:val="both"/>
      </w:pPr>
      <w:r w:rsidRPr="008064C8">
        <w:rPr>
          <w:b/>
        </w:rPr>
        <w:t>Describe the consequence to Federal program or policy activities if the collection is not conducted or is conducted less frequently, as well as any technical or legal obstacles to reducing burden</w:t>
      </w:r>
      <w:r w:rsidR="00C71131">
        <w:rPr>
          <w:b/>
          <w:bCs/>
        </w:rPr>
        <w:t>.</w:t>
      </w:r>
      <w:r w:rsidR="00C71131">
        <w:t xml:space="preserve"> </w:t>
      </w:r>
    </w:p>
    <w:p w:rsidR="00C71131" w:rsidP="00C71131" w:rsidRDefault="00C71131" w14:paraId="09F8102E" w14:textId="77777777">
      <w:pPr>
        <w:jc w:val="both"/>
      </w:pPr>
    </w:p>
    <w:p w:rsidR="00A57F1F" w:rsidP="003257AB" w:rsidRDefault="00D03452" w14:paraId="43F07A55" w14:textId="478EE4EC">
      <w:pPr>
        <w:tabs>
          <w:tab w:val="left" w:pos="360"/>
        </w:tabs>
        <w:autoSpaceDE w:val="0"/>
        <w:autoSpaceDN w:val="0"/>
        <w:adjustRightInd w:val="0"/>
        <w:jc w:val="both"/>
      </w:pPr>
      <w:r>
        <w:t xml:space="preserve">Collecting data directly from PHA staff, development owners, and residents is the best and only way to </w:t>
      </w:r>
      <w:r w:rsidR="00AE0BA2">
        <w:t xml:space="preserve">reliably evaluate the </w:t>
      </w:r>
      <w:r w:rsidR="001F37A6">
        <w:t xml:space="preserve">impact of the </w:t>
      </w:r>
      <w:r w:rsidR="00AE0BA2">
        <w:t>RAD program</w:t>
      </w:r>
      <w:r w:rsidR="001F37A6">
        <w:t xml:space="preserve"> in the topic areas covered by this study</w:t>
      </w:r>
      <w:r w:rsidR="00AE0BA2">
        <w:t xml:space="preserve">. HUD’s ability to </w:t>
      </w:r>
      <w:r w:rsidR="00500D89">
        <w:t xml:space="preserve">obtain this information is vital for reporting the impact of the program on residents as well as for assessing </w:t>
      </w:r>
      <w:r w:rsidR="008A1882">
        <w:t xml:space="preserve">long-term </w:t>
      </w:r>
      <w:r w:rsidR="00C004F9">
        <w:t xml:space="preserve">financial viability, </w:t>
      </w:r>
      <w:r w:rsidR="008A1882">
        <w:t>asset management</w:t>
      </w:r>
      <w:r w:rsidR="00C004F9">
        <w:t xml:space="preserve">, and effect </w:t>
      </w:r>
      <w:r w:rsidR="00796B98">
        <w:t>on</w:t>
      </w:r>
      <w:r w:rsidR="00C004F9">
        <w:t xml:space="preserve"> PHA</w:t>
      </w:r>
      <w:r w:rsidR="00796B98">
        <w:t>s</w:t>
      </w:r>
      <w:r w:rsidR="008A1882">
        <w:t xml:space="preserve">. </w:t>
      </w:r>
    </w:p>
    <w:p w:rsidR="00A57F1F" w:rsidP="004F6330" w:rsidRDefault="00A57F1F" w14:paraId="6F41C5F8" w14:textId="77777777">
      <w:pPr>
        <w:jc w:val="both"/>
      </w:pPr>
    </w:p>
    <w:p w:rsidR="00C71131" w:rsidP="004F6330" w:rsidRDefault="008551AA" w14:paraId="222D6B28" w14:textId="5D6E65BC">
      <w:pPr>
        <w:jc w:val="both"/>
      </w:pPr>
      <w:r>
        <w:t>This is a onetime data collection effort, and an inability to collect this data will render HUD unable to assess the</w:t>
      </w:r>
      <w:r w:rsidR="00FD3587">
        <w:t xml:space="preserve"> overall</w:t>
      </w:r>
      <w:r>
        <w:t xml:space="preserve"> impact of the</w:t>
      </w:r>
      <w:r w:rsidR="00EB45D0">
        <w:t xml:space="preserve"> RAD</w:t>
      </w:r>
      <w:r>
        <w:t xml:space="preserve"> program.</w:t>
      </w:r>
    </w:p>
    <w:p w:rsidR="001C697F" w:rsidP="004F6330" w:rsidRDefault="001C697F" w14:paraId="43749C06" w14:textId="77777777">
      <w:pPr>
        <w:jc w:val="both"/>
      </w:pPr>
    </w:p>
    <w:p w:rsidRPr="00252691" w:rsidR="003B6E58" w:rsidP="00213087" w:rsidRDefault="003B6E58" w14:paraId="2CEBE47F" w14:textId="55E93CC2">
      <w:pPr>
        <w:pStyle w:val="ListParagraph"/>
        <w:numPr>
          <w:ilvl w:val="0"/>
          <w:numId w:val="5"/>
        </w:numPr>
        <w:tabs>
          <w:tab w:val="left" w:pos="360"/>
        </w:tabs>
        <w:overflowPunct w:val="0"/>
        <w:autoSpaceDE w:val="0"/>
        <w:autoSpaceDN w:val="0"/>
        <w:adjustRightInd w:val="0"/>
        <w:ind w:left="360"/>
        <w:rPr>
          <w:b/>
        </w:rPr>
      </w:pPr>
      <w:r w:rsidRPr="00252691">
        <w:rPr>
          <w:b/>
        </w:rPr>
        <w:t xml:space="preserve">Explain any special circumstances that would cause an information collection to be conducted in a manner: </w:t>
      </w:r>
    </w:p>
    <w:p w:rsidR="00C71131" w:rsidP="00C71131" w:rsidRDefault="00C71131" w14:paraId="38722A93" w14:textId="77777777"/>
    <w:p w:rsidR="001D69CD" w:rsidP="008E69E8" w:rsidRDefault="00C71131" w14:paraId="20BE44DA" w14:textId="4A41151C">
      <w:pPr>
        <w:widowControl w:val="0"/>
        <w:ind w:left="40"/>
        <w:jc w:val="both"/>
      </w:pPr>
      <w:r>
        <w:t xml:space="preserve">The proposed data collection activities are consistent with the guidelines set forth in 5 CFR 1320.6 (Controlling Paperwork Burdens on the Public – General Information Collection Guidelines). </w:t>
      </w:r>
      <w:r>
        <w:rPr>
          <w:color w:val="000000"/>
        </w:rPr>
        <w:t xml:space="preserve">There are no special circumstances that would require this information collection to be conducted in </w:t>
      </w:r>
      <w:r w:rsidR="007C29B4">
        <w:rPr>
          <w:color w:val="000000"/>
        </w:rPr>
        <w:t>a</w:t>
      </w:r>
      <w:r w:rsidR="00556CD1">
        <w:rPr>
          <w:color w:val="000000"/>
        </w:rPr>
        <w:t xml:space="preserve"> manner that would be inconsistent with OMB guidelines</w:t>
      </w:r>
      <w:r>
        <w:rPr>
          <w:color w:val="000000"/>
        </w:rPr>
        <w:t>.</w:t>
      </w:r>
      <w:r w:rsidR="008E69E8">
        <w:rPr>
          <w:color w:val="000000"/>
        </w:rPr>
        <w:t xml:space="preserve"> </w:t>
      </w:r>
      <w:r w:rsidR="001D69CD">
        <w:t xml:space="preserve">The following below are </w:t>
      </w:r>
      <w:r w:rsidR="001D69CD">
        <w:rPr>
          <w:b/>
        </w:rPr>
        <w:t>“Not Applicable”</w:t>
      </w:r>
      <w:r w:rsidR="001D69CD">
        <w:t xml:space="preserve"> to this collection:</w:t>
      </w:r>
    </w:p>
    <w:p w:rsidRPr="008E69E8" w:rsidR="008E69E8" w:rsidP="008E69E8" w:rsidRDefault="008E69E8" w14:paraId="3DD3B93A" w14:textId="77777777">
      <w:pPr>
        <w:widowControl w:val="0"/>
        <w:ind w:left="40"/>
        <w:jc w:val="both"/>
        <w:rPr>
          <w:color w:val="000000"/>
        </w:rPr>
      </w:pPr>
    </w:p>
    <w:p w:rsidRPr="00AD2A34" w:rsidR="00AD2A34" w:rsidP="00AD2A34" w:rsidRDefault="00AD2A34" w14:paraId="48197208" w14:textId="5059C4BC">
      <w:pPr>
        <w:pStyle w:val="ListParagraph"/>
        <w:widowControl w:val="0"/>
        <w:numPr>
          <w:ilvl w:val="0"/>
          <w:numId w:val="21"/>
        </w:numPr>
        <w:jc w:val="both"/>
        <w:rPr>
          <w:color w:val="000000"/>
        </w:rPr>
      </w:pPr>
      <w:r w:rsidRPr="00AD2A34">
        <w:rPr>
          <w:color w:val="000000"/>
        </w:rPr>
        <w:t>requiring respondents to report information to the agency more than quarterly – “</w:t>
      </w:r>
      <w:r w:rsidRPr="00550823">
        <w:rPr>
          <w:b/>
          <w:bCs/>
          <w:color w:val="000000"/>
        </w:rPr>
        <w:t>Not Applicable</w:t>
      </w:r>
      <w:proofErr w:type="gramStart"/>
      <w:r w:rsidRPr="00AD2A34">
        <w:rPr>
          <w:color w:val="000000"/>
        </w:rPr>
        <w:t>”;</w:t>
      </w:r>
      <w:proofErr w:type="gramEnd"/>
      <w:r w:rsidRPr="00AD2A34">
        <w:rPr>
          <w:color w:val="000000"/>
        </w:rPr>
        <w:t xml:space="preserve"> </w:t>
      </w:r>
    </w:p>
    <w:p w:rsidRPr="00AD2A34" w:rsidR="00AD2A34" w:rsidP="00AD2A34" w:rsidRDefault="00AD2A34" w14:paraId="13387866" w14:textId="38531CF6">
      <w:pPr>
        <w:pStyle w:val="ListParagraph"/>
        <w:widowControl w:val="0"/>
        <w:numPr>
          <w:ilvl w:val="0"/>
          <w:numId w:val="21"/>
        </w:numPr>
        <w:jc w:val="both"/>
        <w:rPr>
          <w:color w:val="000000"/>
        </w:rPr>
      </w:pPr>
      <w:r w:rsidRPr="00AD2A34">
        <w:rPr>
          <w:color w:val="000000"/>
        </w:rPr>
        <w:t>requiring respondents to prepare a written response to a collection of information in fewer than 30 days after receipt of it – “</w:t>
      </w:r>
      <w:r w:rsidRPr="00550823">
        <w:rPr>
          <w:b/>
          <w:bCs/>
          <w:color w:val="000000"/>
        </w:rPr>
        <w:t>Not Applicable</w:t>
      </w:r>
      <w:proofErr w:type="gramStart"/>
      <w:r w:rsidRPr="00AD2A34">
        <w:rPr>
          <w:color w:val="000000"/>
        </w:rPr>
        <w:t>”;</w:t>
      </w:r>
      <w:proofErr w:type="gramEnd"/>
      <w:r w:rsidRPr="00AD2A34">
        <w:rPr>
          <w:color w:val="000000"/>
        </w:rPr>
        <w:t xml:space="preserve"> </w:t>
      </w:r>
    </w:p>
    <w:p w:rsidRPr="00AD2A34" w:rsidR="00AD2A34" w:rsidP="00AD2A34" w:rsidRDefault="00AD2A34" w14:paraId="786F8C36" w14:textId="5742C7B3">
      <w:pPr>
        <w:pStyle w:val="ListParagraph"/>
        <w:widowControl w:val="0"/>
        <w:numPr>
          <w:ilvl w:val="0"/>
          <w:numId w:val="21"/>
        </w:numPr>
        <w:jc w:val="both"/>
        <w:rPr>
          <w:color w:val="000000"/>
        </w:rPr>
      </w:pPr>
      <w:r w:rsidRPr="00AD2A34">
        <w:rPr>
          <w:color w:val="000000"/>
        </w:rPr>
        <w:t>requiring respondents to submit more than an original and two copies of any document – “</w:t>
      </w:r>
      <w:r w:rsidRPr="00550823">
        <w:rPr>
          <w:b/>
          <w:bCs/>
          <w:color w:val="000000"/>
        </w:rPr>
        <w:t>Not Applicable</w:t>
      </w:r>
      <w:proofErr w:type="gramStart"/>
      <w:r w:rsidRPr="00AD2A34">
        <w:rPr>
          <w:color w:val="000000"/>
        </w:rPr>
        <w:t>”;</w:t>
      </w:r>
      <w:proofErr w:type="gramEnd"/>
      <w:r w:rsidRPr="00AD2A34">
        <w:rPr>
          <w:color w:val="000000"/>
        </w:rPr>
        <w:t xml:space="preserve"> </w:t>
      </w:r>
    </w:p>
    <w:p w:rsidRPr="00AD2A34" w:rsidR="00AD2A34" w:rsidP="00AD2A34" w:rsidRDefault="00AD2A34" w14:paraId="6A62E56E" w14:textId="13FED89A">
      <w:pPr>
        <w:pStyle w:val="ListParagraph"/>
        <w:widowControl w:val="0"/>
        <w:numPr>
          <w:ilvl w:val="0"/>
          <w:numId w:val="21"/>
        </w:numPr>
        <w:jc w:val="both"/>
        <w:rPr>
          <w:color w:val="000000"/>
        </w:rPr>
      </w:pPr>
      <w:r w:rsidRPr="00AD2A34">
        <w:rPr>
          <w:color w:val="000000"/>
        </w:rPr>
        <w:t>requiring respondents to retain records other than health, medical, government contract, grant-in-aid, or tax records for more than three years – “</w:t>
      </w:r>
      <w:r w:rsidRPr="00550823">
        <w:rPr>
          <w:b/>
          <w:bCs/>
          <w:color w:val="000000"/>
        </w:rPr>
        <w:t>Not Applicable</w:t>
      </w:r>
      <w:proofErr w:type="gramStart"/>
      <w:r w:rsidRPr="00AD2A34">
        <w:rPr>
          <w:color w:val="000000"/>
        </w:rPr>
        <w:t>”;</w:t>
      </w:r>
      <w:proofErr w:type="gramEnd"/>
      <w:r w:rsidRPr="00AD2A34">
        <w:rPr>
          <w:color w:val="000000"/>
        </w:rPr>
        <w:t xml:space="preserve"> </w:t>
      </w:r>
    </w:p>
    <w:p w:rsidRPr="00AD2A34" w:rsidR="00AD2A34" w:rsidP="00AD2A34" w:rsidRDefault="00AD2A34" w14:paraId="6F08A9DD" w14:textId="40D47C0E">
      <w:pPr>
        <w:pStyle w:val="ListParagraph"/>
        <w:widowControl w:val="0"/>
        <w:numPr>
          <w:ilvl w:val="0"/>
          <w:numId w:val="21"/>
        </w:numPr>
        <w:jc w:val="both"/>
        <w:rPr>
          <w:color w:val="000000"/>
        </w:rPr>
      </w:pPr>
      <w:r w:rsidRPr="00AD2A34">
        <w:rPr>
          <w:color w:val="000000"/>
        </w:rPr>
        <w:t>in connection with a statistical survey, that is not designed to produce valid and reliable results than can be generalized to the universe of study – “</w:t>
      </w:r>
      <w:r w:rsidRPr="00550823">
        <w:rPr>
          <w:b/>
          <w:bCs/>
          <w:color w:val="000000"/>
        </w:rPr>
        <w:t>Not Applicable</w:t>
      </w:r>
      <w:proofErr w:type="gramStart"/>
      <w:r w:rsidRPr="00AD2A34">
        <w:rPr>
          <w:color w:val="000000"/>
        </w:rPr>
        <w:t>”;</w:t>
      </w:r>
      <w:proofErr w:type="gramEnd"/>
      <w:r w:rsidRPr="00AD2A34">
        <w:rPr>
          <w:color w:val="000000"/>
        </w:rPr>
        <w:t xml:space="preserve"> </w:t>
      </w:r>
    </w:p>
    <w:p w:rsidRPr="00AD2A34" w:rsidR="00AD2A34" w:rsidP="00AD2A34" w:rsidRDefault="00AD2A34" w14:paraId="3A697B9F" w14:textId="09343962">
      <w:pPr>
        <w:pStyle w:val="ListParagraph"/>
        <w:widowControl w:val="0"/>
        <w:numPr>
          <w:ilvl w:val="0"/>
          <w:numId w:val="21"/>
        </w:numPr>
        <w:jc w:val="both"/>
        <w:rPr>
          <w:color w:val="000000"/>
        </w:rPr>
      </w:pPr>
      <w:r w:rsidRPr="00AD2A34">
        <w:rPr>
          <w:color w:val="000000"/>
        </w:rPr>
        <w:t>requiring the use of a statistical data classification that has not been reviewed and approved by OMB – “</w:t>
      </w:r>
      <w:r w:rsidRPr="00550823">
        <w:rPr>
          <w:b/>
          <w:bCs/>
          <w:color w:val="000000"/>
        </w:rPr>
        <w:t>Not Applicable</w:t>
      </w:r>
      <w:proofErr w:type="gramStart"/>
      <w:r w:rsidRPr="00AD2A34">
        <w:rPr>
          <w:color w:val="000000"/>
        </w:rPr>
        <w:t>”;</w:t>
      </w:r>
      <w:proofErr w:type="gramEnd"/>
      <w:r w:rsidRPr="00AD2A34">
        <w:rPr>
          <w:color w:val="000000"/>
        </w:rPr>
        <w:t xml:space="preserve"> </w:t>
      </w:r>
    </w:p>
    <w:p w:rsidRPr="00AD2A34" w:rsidR="00AD2A34" w:rsidP="00AD2A34" w:rsidRDefault="00AD2A34" w14:paraId="7BB851CF" w14:textId="39A08E33">
      <w:pPr>
        <w:pStyle w:val="ListParagraph"/>
        <w:widowControl w:val="0"/>
        <w:numPr>
          <w:ilvl w:val="0"/>
          <w:numId w:val="21"/>
        </w:numPr>
        <w:jc w:val="both"/>
        <w:rPr>
          <w:color w:val="000000"/>
        </w:rPr>
      </w:pPr>
      <w:r w:rsidRPr="00AD2A34">
        <w:rPr>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550823">
        <w:rPr>
          <w:b/>
          <w:bCs/>
          <w:color w:val="000000"/>
        </w:rPr>
        <w:t>Not Applicable</w:t>
      </w:r>
      <w:r w:rsidRPr="00AD2A34">
        <w:rPr>
          <w:color w:val="000000"/>
        </w:rPr>
        <w:t xml:space="preserve">”; or </w:t>
      </w:r>
    </w:p>
    <w:p w:rsidRPr="00AD2A34" w:rsidR="001D69CD" w:rsidP="00AD2A34" w:rsidRDefault="00AD2A34" w14:paraId="0EE93168" w14:textId="547F5D5F">
      <w:pPr>
        <w:pStyle w:val="ListParagraph"/>
        <w:widowControl w:val="0"/>
        <w:numPr>
          <w:ilvl w:val="0"/>
          <w:numId w:val="21"/>
        </w:numPr>
        <w:jc w:val="both"/>
        <w:rPr>
          <w:color w:val="000000"/>
        </w:rPr>
      </w:pPr>
      <w:r w:rsidRPr="00AD2A34">
        <w:rPr>
          <w:color w:val="000000"/>
        </w:rPr>
        <w:t>requiring respondents to submit proprietary trade secret, or other confidential information unless the agency can demonstrate that it has instituted procedures to protect the information's confidentiality to the extent permitted by law – “</w:t>
      </w:r>
      <w:r w:rsidRPr="00550823">
        <w:rPr>
          <w:b/>
          <w:bCs/>
          <w:color w:val="000000"/>
        </w:rPr>
        <w:t>Not Applicable</w:t>
      </w:r>
      <w:r w:rsidRPr="00AD2A34">
        <w:rPr>
          <w:color w:val="000000"/>
        </w:rPr>
        <w:t>”.</w:t>
      </w:r>
    </w:p>
    <w:p w:rsidR="00FD3587" w:rsidP="00C71131" w:rsidRDefault="00FD3587" w14:paraId="12FB2826" w14:textId="77777777">
      <w:pPr>
        <w:widowControl w:val="0"/>
        <w:ind w:left="40"/>
        <w:jc w:val="both"/>
        <w:rPr>
          <w:color w:val="000000"/>
        </w:rPr>
      </w:pPr>
    </w:p>
    <w:p w:rsidRPr="00252691" w:rsidR="00252691" w:rsidP="00213087" w:rsidRDefault="00252691" w14:paraId="2D9E3AE2" w14:textId="01EC3D38">
      <w:pPr>
        <w:pStyle w:val="ListParagraph"/>
        <w:numPr>
          <w:ilvl w:val="0"/>
          <w:numId w:val="5"/>
        </w:numPr>
        <w:tabs>
          <w:tab w:val="left" w:pos="360"/>
        </w:tabs>
        <w:ind w:left="360"/>
        <w:rPr>
          <w:b/>
        </w:rPr>
      </w:pPr>
      <w:r w:rsidRPr="00252691">
        <w:rPr>
          <w:b/>
        </w:rPr>
        <w:t xml:space="preserve">If applicable, provide a copy and identify the date and page number of </w:t>
      </w:r>
      <w:proofErr w:type="gramStart"/>
      <w:r w:rsidRPr="00252691">
        <w:rPr>
          <w:b/>
        </w:rPr>
        <w:t>publication</w:t>
      </w:r>
      <w:proofErr w:type="gramEnd"/>
      <w:r w:rsidRPr="00252691">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252691" w:rsidR="00252691" w:rsidP="00252691" w:rsidRDefault="00252691" w14:paraId="2A45C632" w14:textId="77777777">
      <w:pPr>
        <w:pStyle w:val="ListParagraph"/>
        <w:numPr>
          <w:ilvl w:val="0"/>
          <w:numId w:val="23"/>
        </w:numPr>
        <w:tabs>
          <w:tab w:val="left" w:pos="360"/>
        </w:tabs>
        <w:overflowPunct w:val="0"/>
        <w:autoSpaceDE w:val="0"/>
        <w:autoSpaceDN w:val="0"/>
        <w:adjustRightInd w:val="0"/>
        <w:ind w:left="720"/>
        <w:rPr>
          <w:b/>
        </w:rPr>
      </w:pPr>
      <w:r w:rsidRPr="00252691">
        <w:rPr>
          <w:b/>
        </w:rPr>
        <w:t xml:space="preserve">Describe efforts to consult with persons outside the agency to obtain their views on </w:t>
      </w:r>
      <w:bookmarkStart w:name="_Hlk57103004" w:id="5"/>
      <w:r w:rsidRPr="00252691">
        <w:rPr>
          <w:b/>
        </w:rPr>
        <w:t xml:space="preserve">the availability of data, frequency of collection, the clarity of instructions and recordkeeping disclosure, or reporting format (if any) and the data elements to be recorded, </w:t>
      </w:r>
      <w:bookmarkEnd w:id="5"/>
      <w:r w:rsidRPr="00252691">
        <w:rPr>
          <w:b/>
        </w:rPr>
        <w:t>disclosed, or reported.</w:t>
      </w:r>
    </w:p>
    <w:p w:rsidRPr="00252691" w:rsidR="00D53D6D" w:rsidP="00252691" w:rsidRDefault="00252691" w14:paraId="483FFC44" w14:textId="215C7F5C">
      <w:pPr>
        <w:pStyle w:val="ListParagraph"/>
        <w:keepLines/>
        <w:numPr>
          <w:ilvl w:val="0"/>
          <w:numId w:val="23"/>
        </w:numPr>
        <w:tabs>
          <w:tab w:val="left" w:pos="360"/>
        </w:tabs>
        <w:overflowPunct w:val="0"/>
        <w:autoSpaceDE w:val="0"/>
        <w:autoSpaceDN w:val="0"/>
        <w:adjustRightInd w:val="0"/>
        <w:spacing w:after="80"/>
        <w:ind w:left="720"/>
        <w:rPr>
          <w:b/>
        </w:rPr>
      </w:pPr>
      <w:r w:rsidRPr="00252691">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252691" w:rsidR="00FD2A38">
        <w:rPr>
          <w:b/>
          <w:u w:val="single"/>
        </w:rPr>
        <w:t>.</w:t>
      </w:r>
    </w:p>
    <w:p w:rsidR="00C71131" w:rsidP="00A02F4D" w:rsidRDefault="00C71131" w14:paraId="59BD9AF6" w14:textId="77777777">
      <w:pPr>
        <w:keepNext/>
        <w:keepLines/>
        <w:ind w:left="360"/>
        <w:jc w:val="both"/>
      </w:pPr>
    </w:p>
    <w:p w:rsidR="00556CD1" w:rsidP="003257AB" w:rsidRDefault="00556CD1" w14:paraId="59EEBC89" w14:textId="7B690ABA">
      <w:pPr>
        <w:jc w:val="both"/>
      </w:pPr>
      <w:r w:rsidRPr="00B75F95">
        <w:t xml:space="preserve">In accordance with the Paperwork Reduction Act of 1995, HUD published a </w:t>
      </w:r>
      <w:r w:rsidR="00DE747A">
        <w:t xml:space="preserve">60-Day Notice of Proposed Information Collection </w:t>
      </w:r>
      <w:r w:rsidRPr="00B75F95">
        <w:t xml:space="preserve">in the </w:t>
      </w:r>
      <w:r w:rsidRPr="00B75F95">
        <w:rPr>
          <w:i/>
        </w:rPr>
        <w:t xml:space="preserve">Federal </w:t>
      </w:r>
      <w:r w:rsidRPr="002032BF">
        <w:rPr>
          <w:i/>
        </w:rPr>
        <w:t>Register</w:t>
      </w:r>
      <w:r w:rsidRPr="002032BF">
        <w:t xml:space="preserve"> on</w:t>
      </w:r>
      <w:r w:rsidR="00822254">
        <w:t xml:space="preserve"> June 9, 2020</w:t>
      </w:r>
      <w:r>
        <w:t xml:space="preserve">. </w:t>
      </w:r>
      <w:r w:rsidRPr="002032BF">
        <w:t>The docket number was</w:t>
      </w:r>
      <w:r>
        <w:t xml:space="preserve"> </w:t>
      </w:r>
      <w:r w:rsidRPr="002032BF">
        <w:rPr>
          <w:b/>
        </w:rPr>
        <w:t>FR-</w:t>
      </w:r>
      <w:r w:rsidR="00822254">
        <w:rPr>
          <w:b/>
        </w:rPr>
        <w:t>7029-N-05</w:t>
      </w:r>
      <w:r w:rsidR="00DE747A">
        <w:t xml:space="preserve">, and the </w:t>
      </w:r>
      <w:r w:rsidRPr="00A02F4D">
        <w:rPr>
          <w:iCs/>
        </w:rPr>
        <w:t>notice</w:t>
      </w:r>
      <w:r w:rsidRPr="00DE747A">
        <w:t xml:space="preserve"> </w:t>
      </w:r>
      <w:r w:rsidRPr="00B75F95">
        <w:t>appeared on pages</w:t>
      </w:r>
      <w:r w:rsidR="00822254">
        <w:t xml:space="preserve"> 3532</w:t>
      </w:r>
      <w:r w:rsidR="000B7374">
        <w:t>8-35329</w:t>
      </w:r>
      <w:r>
        <w:t xml:space="preserve">. </w:t>
      </w:r>
      <w:r w:rsidRPr="00B75F95">
        <w:t xml:space="preserve">The notice provided a 60-day period for public comments, and comments were due by </w:t>
      </w:r>
      <w:r w:rsidR="000F2E6C">
        <w:t>August 10, 2020</w:t>
      </w:r>
      <w:r w:rsidR="00D5187D">
        <w:t xml:space="preserve">. </w:t>
      </w:r>
      <w:r w:rsidR="00B61CDF">
        <w:t>HUD</w:t>
      </w:r>
      <w:r w:rsidR="00F374C7">
        <w:t xml:space="preserve"> received a request from </w:t>
      </w:r>
      <w:r w:rsidR="00B53FFF">
        <w:t xml:space="preserve">Mr. </w:t>
      </w:r>
      <w:r w:rsidR="00F374C7">
        <w:t xml:space="preserve">Jim Armstrong, </w:t>
      </w:r>
      <w:r w:rsidR="00F82BBB">
        <w:t xml:space="preserve">who works with the </w:t>
      </w:r>
      <w:r w:rsidRPr="00F82BBB" w:rsidR="00F82BBB">
        <w:t>Public Housing Authorities Directors Association</w:t>
      </w:r>
      <w:r w:rsidR="00D66CBE">
        <w:t xml:space="preserve"> (PHADA)</w:t>
      </w:r>
      <w:r w:rsidR="00901B66">
        <w:t xml:space="preserve">, to </w:t>
      </w:r>
      <w:r w:rsidR="00B61CDF">
        <w:t>obtain</w:t>
      </w:r>
      <w:r w:rsidR="00901B66">
        <w:t xml:space="preserve"> the draft survey instruments. </w:t>
      </w:r>
      <w:r w:rsidR="00B61CDF">
        <w:t>HUD submitted the</w:t>
      </w:r>
      <w:r w:rsidR="00901B66">
        <w:t xml:space="preserve"> draft survey instruments </w:t>
      </w:r>
      <w:r w:rsidR="00A17220">
        <w:t xml:space="preserve">to </w:t>
      </w:r>
      <w:r w:rsidR="00B53FFF">
        <w:t>Mr. Armstrong</w:t>
      </w:r>
      <w:r w:rsidR="00A17220">
        <w:t xml:space="preserve"> on 7/9/2020.</w:t>
      </w:r>
      <w:r w:rsidR="00873CFB">
        <w:t xml:space="preserve"> On </w:t>
      </w:r>
      <w:r w:rsidR="008D4C64">
        <w:t>8/</w:t>
      </w:r>
      <w:r w:rsidR="002E7B63">
        <w:t xml:space="preserve">7/2020, HUD received comments from </w:t>
      </w:r>
      <w:r w:rsidR="00B53FFF">
        <w:t xml:space="preserve">Mr. </w:t>
      </w:r>
      <w:r w:rsidR="002E7B63">
        <w:t xml:space="preserve">David Weber, </w:t>
      </w:r>
      <w:r w:rsidR="0020242D">
        <w:t xml:space="preserve">a policy analysis at </w:t>
      </w:r>
      <w:r w:rsidR="002E7B63">
        <w:t xml:space="preserve">PHADA. HUD submitted a response to </w:t>
      </w:r>
      <w:r w:rsidR="00B53FFF">
        <w:t>Mr. David Weber</w:t>
      </w:r>
      <w:r w:rsidR="002E7B63">
        <w:t xml:space="preserve"> addressing </w:t>
      </w:r>
      <w:r w:rsidR="00DC52E7">
        <w:t>his</w:t>
      </w:r>
      <w:r w:rsidR="002E7B63">
        <w:t xml:space="preserve"> comments </w:t>
      </w:r>
      <w:r w:rsidR="006B738D">
        <w:t>on 2/</w:t>
      </w:r>
      <w:r w:rsidR="00B53FFF">
        <w:t>24</w:t>
      </w:r>
      <w:r w:rsidR="006B738D">
        <w:t>/2021.</w:t>
      </w:r>
    </w:p>
    <w:p w:rsidR="00551E35" w:rsidP="003257AB" w:rsidRDefault="00551E35" w14:paraId="148A3227" w14:textId="14B2CC80">
      <w:pPr>
        <w:jc w:val="both"/>
      </w:pPr>
    </w:p>
    <w:p w:rsidR="00A80A74" w:rsidP="003257AB" w:rsidRDefault="00213087" w14:paraId="444B6BC5" w14:textId="0A81FF30">
      <w:pPr>
        <w:jc w:val="both"/>
      </w:pPr>
      <w:r w:rsidRPr="00213087">
        <w:t xml:space="preserve">The </w:t>
      </w:r>
      <w:r w:rsidRPr="006D398E" w:rsidR="006D398E">
        <w:t>RAD</w:t>
      </w:r>
      <w:r w:rsidR="006D398E">
        <w:t xml:space="preserve"> </w:t>
      </w:r>
      <w:r w:rsidRPr="006D398E" w:rsidR="006D398E">
        <w:t xml:space="preserve">Choice Mobility and Long-term Affordability Evaluation </w:t>
      </w:r>
      <w:r w:rsidRPr="00213087">
        <w:t xml:space="preserve">was developed and is being implemented with the assistance of </w:t>
      </w:r>
      <w:proofErr w:type="spellStart"/>
      <w:r>
        <w:t>Econometrica</w:t>
      </w:r>
      <w:proofErr w:type="spellEnd"/>
      <w:r>
        <w:t xml:space="preserve"> Inc, The Urban Institute, and SSRS,</w:t>
      </w:r>
      <w:r w:rsidRPr="00213087">
        <w:t xml:space="preserve"> the study’s </w:t>
      </w:r>
      <w:r>
        <w:t>prime and sub-</w:t>
      </w:r>
      <w:r w:rsidRPr="00213087">
        <w:t>contractor</w:t>
      </w:r>
      <w:r>
        <w:t>s, respectively</w:t>
      </w:r>
      <w:r w:rsidRPr="00213087">
        <w:t xml:space="preserve">. </w:t>
      </w:r>
      <w:r w:rsidR="00551E35">
        <w:t>In addition, the res</w:t>
      </w:r>
      <w:r w:rsidR="000858B8">
        <w:t>earch includes an outside Technical Expert Panel (TEP</w:t>
      </w:r>
      <w:r w:rsidR="00B41617">
        <w:t>)</w:t>
      </w:r>
      <w:r w:rsidR="000858B8">
        <w:t xml:space="preserve">, consisting of </w:t>
      </w:r>
      <w:r w:rsidR="009B4B0E">
        <w:t xml:space="preserve">eight professionals with knowledge and experience of a range of relevant disciplines, including </w:t>
      </w:r>
      <w:r w:rsidR="00DB187C">
        <w:t>the asset management of affordable housing, data systems used in asset management, public housing autho</w:t>
      </w:r>
      <w:r w:rsidR="00D335AC">
        <w:t>rity programs and practices, including the HCV program, the choice mobility option,</w:t>
      </w:r>
      <w:r w:rsidR="0069526A">
        <w:t xml:space="preserve"> financial performance metrics for public and assisted housing, real estate </w:t>
      </w:r>
      <w:r w:rsidR="001E38BC">
        <w:t>management, survey methods, research design, and statistical analysis.  See the table below</w:t>
      </w:r>
      <w:r w:rsidR="00B41617">
        <w:t xml:space="preserve"> for the members of the TEP</w:t>
      </w:r>
      <w:r w:rsidR="001E38BC">
        <w:t>.  These professionals reviewed and commented on the research design</w:t>
      </w:r>
      <w:r w:rsidR="009B588B">
        <w:t xml:space="preserve"> and met in a working group in January 2020, were they provided input on </w:t>
      </w:r>
      <w:r w:rsidR="00213A87">
        <w:t xml:space="preserve">the proposed data collection, including </w:t>
      </w:r>
      <w:r w:rsidRPr="00213A87" w:rsidR="00213A87">
        <w:t xml:space="preserve">the availability of data, frequency of collection, the clarity of instructions and recordkeeping disclosure, and the data elements to be </w:t>
      </w:r>
      <w:r w:rsidR="003F1976">
        <w:t>collected.</w:t>
      </w:r>
    </w:p>
    <w:p w:rsidR="00A80A74" w:rsidP="003257AB" w:rsidRDefault="00A80A74" w14:paraId="67AE17FC" w14:textId="14C06628">
      <w:pPr>
        <w:jc w:val="both"/>
      </w:pPr>
    </w:p>
    <w:p w:rsidR="006D367E" w:rsidP="00B41617" w:rsidRDefault="00B41617" w14:paraId="0597A08F" w14:textId="69581A32">
      <w:pPr>
        <w:pStyle w:val="TableCaption"/>
      </w:pPr>
      <w:r>
        <w:t xml:space="preserve">Table </w:t>
      </w:r>
      <w:r w:rsidR="00053080">
        <w:fldChar w:fldCharType="begin"/>
      </w:r>
      <w:r w:rsidR="00053080">
        <w:instrText xml:space="preserve"> SEQ Table \* ARABIC </w:instrText>
      </w:r>
      <w:r w:rsidR="00053080">
        <w:fldChar w:fldCharType="separate"/>
      </w:r>
      <w:r w:rsidR="00F20F82">
        <w:rPr>
          <w:noProof/>
        </w:rPr>
        <w:t>2</w:t>
      </w:r>
      <w:r w:rsidR="00053080">
        <w:rPr>
          <w:noProof/>
        </w:rPr>
        <w:fldChar w:fldCharType="end"/>
      </w:r>
      <w:r>
        <w:t>.  TEP Members</w:t>
      </w:r>
    </w:p>
    <w:tbl>
      <w:tblPr>
        <w:tblStyle w:val="TableGrid"/>
        <w:tblW w:w="9355" w:type="dxa"/>
        <w:tblLook w:val="04A0" w:firstRow="1" w:lastRow="0" w:firstColumn="1" w:lastColumn="0" w:noHBand="0" w:noVBand="1"/>
      </w:tblPr>
      <w:tblGrid>
        <w:gridCol w:w="2585"/>
        <w:gridCol w:w="2180"/>
        <w:gridCol w:w="4590"/>
      </w:tblGrid>
      <w:tr w:rsidR="006D367E" w:rsidTr="00CE3D1D" w14:paraId="78187E95" w14:textId="77777777">
        <w:trPr>
          <w:tblHeader/>
        </w:trPr>
        <w:tc>
          <w:tcPr>
            <w:tcW w:w="2585" w:type="dxa"/>
          </w:tcPr>
          <w:p w:rsidRPr="00C932B9" w:rsidR="006D367E" w:rsidP="00A729AB" w:rsidRDefault="006D367E" w14:paraId="03188BF5" w14:textId="77777777">
            <w:pPr>
              <w:spacing w:before="20"/>
              <w:contextualSpacing/>
              <w:rPr>
                <w:b/>
              </w:rPr>
            </w:pPr>
            <w:bookmarkStart w:name="_Hlk22806088" w:id="6"/>
            <w:r w:rsidRPr="00C932B9">
              <w:rPr>
                <w:b/>
              </w:rPr>
              <w:t>Area of Expertise</w:t>
            </w:r>
          </w:p>
        </w:tc>
        <w:tc>
          <w:tcPr>
            <w:tcW w:w="2180" w:type="dxa"/>
          </w:tcPr>
          <w:p w:rsidRPr="00C932B9" w:rsidR="006D367E" w:rsidP="00A729AB" w:rsidRDefault="006D367E" w14:paraId="5FBDF877" w14:textId="77777777">
            <w:pPr>
              <w:spacing w:before="20"/>
              <w:contextualSpacing/>
              <w:jc w:val="both"/>
              <w:rPr>
                <w:b/>
              </w:rPr>
            </w:pPr>
            <w:r w:rsidRPr="00C932B9">
              <w:rPr>
                <w:b/>
              </w:rPr>
              <w:t>Name</w:t>
            </w:r>
          </w:p>
        </w:tc>
        <w:tc>
          <w:tcPr>
            <w:tcW w:w="4590" w:type="dxa"/>
          </w:tcPr>
          <w:p w:rsidRPr="00C932B9" w:rsidR="006D367E" w:rsidP="00A729AB" w:rsidRDefault="006D367E" w14:paraId="15F1CB7F" w14:textId="77777777">
            <w:pPr>
              <w:spacing w:before="20"/>
              <w:contextualSpacing/>
              <w:rPr>
                <w:b/>
              </w:rPr>
            </w:pPr>
            <w:r w:rsidRPr="00C932B9">
              <w:rPr>
                <w:b/>
              </w:rPr>
              <w:t>Title and Affiliation</w:t>
            </w:r>
          </w:p>
        </w:tc>
      </w:tr>
      <w:tr w:rsidR="006D367E" w:rsidTr="00CE3D1D" w14:paraId="2D589453" w14:textId="77777777">
        <w:tc>
          <w:tcPr>
            <w:tcW w:w="2585" w:type="dxa"/>
            <w:vMerge w:val="restart"/>
          </w:tcPr>
          <w:p w:rsidRPr="00CE3D1D" w:rsidR="006D367E" w:rsidP="00A729AB" w:rsidRDefault="006D367E" w14:paraId="5EBD03DA" w14:textId="77777777">
            <w:pPr>
              <w:spacing w:before="20"/>
              <w:contextualSpacing/>
              <w:rPr>
                <w:sz w:val="22"/>
                <w:szCs w:val="22"/>
              </w:rPr>
            </w:pPr>
            <w:r w:rsidRPr="00CE3D1D">
              <w:rPr>
                <w:sz w:val="22"/>
                <w:szCs w:val="22"/>
              </w:rPr>
              <w:t>Real Estate Asset Management</w:t>
            </w:r>
          </w:p>
        </w:tc>
        <w:tc>
          <w:tcPr>
            <w:tcW w:w="2180" w:type="dxa"/>
          </w:tcPr>
          <w:p w:rsidRPr="00CE3D1D" w:rsidR="006D367E" w:rsidP="00A729AB" w:rsidRDefault="006D367E" w14:paraId="1449A76D" w14:textId="77777777">
            <w:pPr>
              <w:spacing w:before="20"/>
              <w:contextualSpacing/>
              <w:jc w:val="both"/>
              <w:rPr>
                <w:sz w:val="22"/>
                <w:szCs w:val="22"/>
              </w:rPr>
            </w:pPr>
            <w:r w:rsidRPr="00CE3D1D">
              <w:rPr>
                <w:sz w:val="22"/>
                <w:szCs w:val="22"/>
              </w:rPr>
              <w:t>Peter Desjardins</w:t>
            </w:r>
          </w:p>
        </w:tc>
        <w:tc>
          <w:tcPr>
            <w:tcW w:w="4590" w:type="dxa"/>
          </w:tcPr>
          <w:p w:rsidRPr="00CE3D1D" w:rsidR="006D367E" w:rsidP="00A729AB" w:rsidRDefault="006D367E" w14:paraId="68A8C348" w14:textId="77777777">
            <w:pPr>
              <w:spacing w:before="20"/>
              <w:contextualSpacing/>
              <w:rPr>
                <w:sz w:val="22"/>
                <w:szCs w:val="22"/>
              </w:rPr>
            </w:pPr>
            <w:r w:rsidRPr="00CE3D1D">
              <w:rPr>
                <w:sz w:val="22"/>
                <w:szCs w:val="22"/>
              </w:rPr>
              <w:t>Vice President of Asset Management, Volunteers of America</w:t>
            </w:r>
          </w:p>
        </w:tc>
      </w:tr>
      <w:tr w:rsidR="006D367E" w:rsidTr="00CE3D1D" w14:paraId="46C9AC9A" w14:textId="77777777">
        <w:tc>
          <w:tcPr>
            <w:tcW w:w="2585" w:type="dxa"/>
            <w:vMerge/>
          </w:tcPr>
          <w:p w:rsidRPr="00CE3D1D" w:rsidR="006D367E" w:rsidP="00A729AB" w:rsidRDefault="006D367E" w14:paraId="3A3EEE99" w14:textId="77777777">
            <w:pPr>
              <w:spacing w:before="20"/>
              <w:contextualSpacing/>
              <w:rPr>
                <w:sz w:val="22"/>
                <w:szCs w:val="22"/>
              </w:rPr>
            </w:pPr>
          </w:p>
        </w:tc>
        <w:tc>
          <w:tcPr>
            <w:tcW w:w="2180" w:type="dxa"/>
          </w:tcPr>
          <w:p w:rsidRPr="00CE3D1D" w:rsidR="006D367E" w:rsidP="00A729AB" w:rsidRDefault="006D367E" w14:paraId="1B543123" w14:textId="77777777">
            <w:pPr>
              <w:spacing w:before="20"/>
              <w:contextualSpacing/>
              <w:jc w:val="both"/>
              <w:rPr>
                <w:sz w:val="22"/>
                <w:szCs w:val="22"/>
              </w:rPr>
            </w:pPr>
            <w:r w:rsidRPr="00CE3D1D">
              <w:rPr>
                <w:sz w:val="22"/>
                <w:szCs w:val="22"/>
              </w:rPr>
              <w:t>Jenny Netzer</w:t>
            </w:r>
          </w:p>
        </w:tc>
        <w:tc>
          <w:tcPr>
            <w:tcW w:w="4590" w:type="dxa"/>
          </w:tcPr>
          <w:p w:rsidRPr="00CE3D1D" w:rsidR="006D367E" w:rsidP="00A729AB" w:rsidRDefault="006D367E" w14:paraId="07EDBF1F" w14:textId="77777777">
            <w:pPr>
              <w:spacing w:before="20"/>
              <w:contextualSpacing/>
              <w:rPr>
                <w:sz w:val="22"/>
                <w:szCs w:val="22"/>
              </w:rPr>
            </w:pPr>
            <w:r w:rsidRPr="00CE3D1D">
              <w:rPr>
                <w:sz w:val="22"/>
                <w:szCs w:val="22"/>
              </w:rPr>
              <w:t>Chief Executive Officer, TCAM- MRI</w:t>
            </w:r>
          </w:p>
        </w:tc>
      </w:tr>
      <w:tr w:rsidR="006D367E" w:rsidTr="00CE3D1D" w14:paraId="68C5AE76" w14:textId="77777777">
        <w:trPr>
          <w:trHeight w:val="620"/>
        </w:trPr>
        <w:tc>
          <w:tcPr>
            <w:tcW w:w="2585" w:type="dxa"/>
            <w:vMerge w:val="restart"/>
          </w:tcPr>
          <w:p w:rsidRPr="00CE3D1D" w:rsidR="006D367E" w:rsidP="00A729AB" w:rsidRDefault="006D367E" w14:paraId="41EF6D75" w14:textId="77777777">
            <w:pPr>
              <w:spacing w:before="20"/>
              <w:contextualSpacing/>
              <w:rPr>
                <w:sz w:val="22"/>
                <w:szCs w:val="22"/>
              </w:rPr>
            </w:pPr>
            <w:r w:rsidRPr="00CE3D1D">
              <w:rPr>
                <w:sz w:val="22"/>
                <w:szCs w:val="22"/>
              </w:rPr>
              <w:t>Choice Mobility Option</w:t>
            </w:r>
          </w:p>
        </w:tc>
        <w:tc>
          <w:tcPr>
            <w:tcW w:w="2180" w:type="dxa"/>
          </w:tcPr>
          <w:p w:rsidRPr="00CE3D1D" w:rsidR="006D367E" w:rsidP="00A729AB" w:rsidRDefault="006D367E" w14:paraId="1946EF5B" w14:textId="77777777">
            <w:pPr>
              <w:spacing w:before="20"/>
              <w:contextualSpacing/>
              <w:rPr>
                <w:sz w:val="22"/>
                <w:szCs w:val="22"/>
              </w:rPr>
            </w:pPr>
            <w:r w:rsidRPr="00CE3D1D">
              <w:rPr>
                <w:sz w:val="22"/>
                <w:szCs w:val="22"/>
              </w:rPr>
              <w:t>Amy Ginger</w:t>
            </w:r>
          </w:p>
        </w:tc>
        <w:tc>
          <w:tcPr>
            <w:tcW w:w="4590" w:type="dxa"/>
          </w:tcPr>
          <w:p w:rsidRPr="00CE3D1D" w:rsidR="006D367E" w:rsidP="00A729AB" w:rsidRDefault="006D367E" w14:paraId="51594555" w14:textId="77777777">
            <w:pPr>
              <w:spacing w:before="20"/>
              <w:contextualSpacing/>
              <w:rPr>
                <w:sz w:val="22"/>
                <w:szCs w:val="22"/>
              </w:rPr>
            </w:pPr>
            <w:r w:rsidRPr="00CE3D1D">
              <w:rPr>
                <w:sz w:val="22"/>
                <w:szCs w:val="22"/>
              </w:rPr>
              <w:t>Deputy Director of Operations, Department of Housing and Community Development, Fairfax County</w:t>
            </w:r>
          </w:p>
        </w:tc>
      </w:tr>
      <w:tr w:rsidR="006D367E" w:rsidTr="00CE3D1D" w14:paraId="17B9121F" w14:textId="77777777">
        <w:tc>
          <w:tcPr>
            <w:tcW w:w="2585" w:type="dxa"/>
            <w:vMerge/>
          </w:tcPr>
          <w:p w:rsidRPr="00CE3D1D" w:rsidR="006D367E" w:rsidP="00A729AB" w:rsidRDefault="006D367E" w14:paraId="02C2C3E1" w14:textId="77777777">
            <w:pPr>
              <w:spacing w:before="20"/>
              <w:contextualSpacing/>
              <w:rPr>
                <w:sz w:val="22"/>
                <w:szCs w:val="22"/>
              </w:rPr>
            </w:pPr>
          </w:p>
        </w:tc>
        <w:tc>
          <w:tcPr>
            <w:tcW w:w="2180" w:type="dxa"/>
          </w:tcPr>
          <w:p w:rsidRPr="00CE3D1D" w:rsidR="006D367E" w:rsidP="00A729AB" w:rsidRDefault="006D367E" w14:paraId="04E14E82" w14:textId="77777777">
            <w:pPr>
              <w:spacing w:before="20"/>
              <w:contextualSpacing/>
              <w:rPr>
                <w:sz w:val="22"/>
                <w:szCs w:val="22"/>
              </w:rPr>
            </w:pPr>
            <w:r w:rsidRPr="00CE3D1D">
              <w:rPr>
                <w:sz w:val="22"/>
                <w:szCs w:val="22"/>
              </w:rPr>
              <w:t>Megan Haberle</w:t>
            </w:r>
          </w:p>
        </w:tc>
        <w:tc>
          <w:tcPr>
            <w:tcW w:w="4590" w:type="dxa"/>
          </w:tcPr>
          <w:p w:rsidRPr="00CE3D1D" w:rsidR="006D367E" w:rsidP="00A729AB" w:rsidRDefault="006D367E" w14:paraId="528D7472" w14:textId="77777777">
            <w:pPr>
              <w:spacing w:before="20"/>
              <w:contextualSpacing/>
              <w:rPr>
                <w:sz w:val="22"/>
                <w:szCs w:val="22"/>
              </w:rPr>
            </w:pPr>
            <w:r w:rsidRPr="00CE3D1D">
              <w:rPr>
                <w:sz w:val="22"/>
                <w:szCs w:val="22"/>
              </w:rPr>
              <w:t>Deputy Director of Poverty &amp; Race Research Action Council (PRRAC)</w:t>
            </w:r>
          </w:p>
        </w:tc>
      </w:tr>
      <w:tr w:rsidR="006D367E" w:rsidTr="00CE3D1D" w14:paraId="604ED63B" w14:textId="77777777">
        <w:tc>
          <w:tcPr>
            <w:tcW w:w="2585" w:type="dxa"/>
            <w:vMerge w:val="restart"/>
          </w:tcPr>
          <w:p w:rsidRPr="00CE3D1D" w:rsidR="006D367E" w:rsidP="00A729AB" w:rsidRDefault="006D367E" w14:paraId="31F8FC37" w14:textId="77777777">
            <w:pPr>
              <w:spacing w:before="20"/>
              <w:contextualSpacing/>
              <w:rPr>
                <w:sz w:val="22"/>
                <w:szCs w:val="22"/>
              </w:rPr>
            </w:pPr>
            <w:r w:rsidRPr="00CE3D1D">
              <w:rPr>
                <w:sz w:val="22"/>
                <w:szCs w:val="22"/>
              </w:rPr>
              <w:t>Financial Performance of Affordable Housing Properties</w:t>
            </w:r>
          </w:p>
        </w:tc>
        <w:tc>
          <w:tcPr>
            <w:tcW w:w="2180" w:type="dxa"/>
          </w:tcPr>
          <w:p w:rsidRPr="00CE3D1D" w:rsidR="006D367E" w:rsidP="00A729AB" w:rsidRDefault="006D367E" w14:paraId="37F0925D" w14:textId="77777777">
            <w:pPr>
              <w:spacing w:before="20"/>
              <w:contextualSpacing/>
              <w:rPr>
                <w:sz w:val="22"/>
                <w:szCs w:val="22"/>
              </w:rPr>
            </w:pPr>
            <w:r w:rsidRPr="00CE3D1D">
              <w:rPr>
                <w:sz w:val="22"/>
                <w:szCs w:val="22"/>
              </w:rPr>
              <w:t>Michael Petro</w:t>
            </w:r>
          </w:p>
        </w:tc>
        <w:tc>
          <w:tcPr>
            <w:tcW w:w="4590" w:type="dxa"/>
          </w:tcPr>
          <w:p w:rsidRPr="00CE3D1D" w:rsidR="006D367E" w:rsidP="00A729AB" w:rsidRDefault="006D367E" w14:paraId="232BBF19" w14:textId="77777777">
            <w:pPr>
              <w:spacing w:before="20"/>
              <w:contextualSpacing/>
              <w:rPr>
                <w:sz w:val="22"/>
                <w:szCs w:val="22"/>
              </w:rPr>
            </w:pPr>
            <w:r w:rsidRPr="00CE3D1D">
              <w:rPr>
                <w:sz w:val="22"/>
                <w:szCs w:val="22"/>
              </w:rPr>
              <w:t>Vice President of Finance, Nan McKay &amp; Associates</w:t>
            </w:r>
          </w:p>
        </w:tc>
      </w:tr>
      <w:tr w:rsidR="006D367E" w:rsidTr="00CE3D1D" w14:paraId="15A4C3C5" w14:textId="77777777">
        <w:tc>
          <w:tcPr>
            <w:tcW w:w="2585" w:type="dxa"/>
            <w:vMerge/>
          </w:tcPr>
          <w:p w:rsidRPr="00CE3D1D" w:rsidR="006D367E" w:rsidP="00A729AB" w:rsidRDefault="006D367E" w14:paraId="4B7D7F75" w14:textId="77777777">
            <w:pPr>
              <w:spacing w:before="20"/>
              <w:contextualSpacing/>
              <w:rPr>
                <w:sz w:val="22"/>
                <w:szCs w:val="22"/>
              </w:rPr>
            </w:pPr>
          </w:p>
        </w:tc>
        <w:tc>
          <w:tcPr>
            <w:tcW w:w="2180" w:type="dxa"/>
          </w:tcPr>
          <w:p w:rsidRPr="00CE3D1D" w:rsidR="006D367E" w:rsidP="00A729AB" w:rsidRDefault="006D367E" w14:paraId="288F862B" w14:textId="77777777">
            <w:pPr>
              <w:spacing w:before="20"/>
              <w:contextualSpacing/>
              <w:rPr>
                <w:sz w:val="22"/>
                <w:szCs w:val="22"/>
              </w:rPr>
            </w:pPr>
            <w:r w:rsidRPr="00CE3D1D">
              <w:rPr>
                <w:sz w:val="22"/>
                <w:szCs w:val="22"/>
              </w:rPr>
              <w:t>Dustin Read, J.D., Ph.D.</w:t>
            </w:r>
          </w:p>
        </w:tc>
        <w:tc>
          <w:tcPr>
            <w:tcW w:w="4590" w:type="dxa"/>
          </w:tcPr>
          <w:p w:rsidRPr="00CE3D1D" w:rsidR="006D367E" w:rsidP="00A729AB" w:rsidRDefault="006D367E" w14:paraId="251AF138" w14:textId="77777777">
            <w:pPr>
              <w:spacing w:before="20"/>
              <w:contextualSpacing/>
              <w:rPr>
                <w:sz w:val="22"/>
                <w:szCs w:val="22"/>
              </w:rPr>
            </w:pPr>
            <w:r w:rsidRPr="00CE3D1D">
              <w:rPr>
                <w:sz w:val="22"/>
                <w:szCs w:val="22"/>
              </w:rPr>
              <w:t>Associate Professor of Real Estate, Virginia Tech University</w:t>
            </w:r>
          </w:p>
        </w:tc>
      </w:tr>
      <w:tr w:rsidR="006D367E" w:rsidTr="00CE3D1D" w14:paraId="6ED08F47" w14:textId="77777777">
        <w:trPr>
          <w:trHeight w:val="737"/>
        </w:trPr>
        <w:tc>
          <w:tcPr>
            <w:tcW w:w="2585" w:type="dxa"/>
          </w:tcPr>
          <w:p w:rsidRPr="00CE3D1D" w:rsidR="006D367E" w:rsidP="00A729AB" w:rsidRDefault="006D367E" w14:paraId="6CF7088C" w14:textId="77777777">
            <w:pPr>
              <w:spacing w:before="20"/>
              <w:contextualSpacing/>
              <w:rPr>
                <w:sz w:val="22"/>
                <w:szCs w:val="22"/>
              </w:rPr>
            </w:pPr>
            <w:r w:rsidRPr="00CE3D1D">
              <w:rPr>
                <w:sz w:val="22"/>
                <w:szCs w:val="22"/>
              </w:rPr>
              <w:t>Quasi-experimental research design methods</w:t>
            </w:r>
          </w:p>
        </w:tc>
        <w:tc>
          <w:tcPr>
            <w:tcW w:w="2180" w:type="dxa"/>
          </w:tcPr>
          <w:p w:rsidRPr="00CE3D1D" w:rsidR="006D367E" w:rsidP="00A729AB" w:rsidRDefault="006D367E" w14:paraId="5C0FD499" w14:textId="77777777">
            <w:pPr>
              <w:spacing w:before="20"/>
              <w:contextualSpacing/>
              <w:rPr>
                <w:sz w:val="22"/>
                <w:szCs w:val="22"/>
              </w:rPr>
            </w:pPr>
            <w:r w:rsidRPr="00CE3D1D">
              <w:rPr>
                <w:sz w:val="22"/>
                <w:szCs w:val="22"/>
              </w:rPr>
              <w:t>Michael Brick, Ph.D.</w:t>
            </w:r>
          </w:p>
        </w:tc>
        <w:tc>
          <w:tcPr>
            <w:tcW w:w="4590" w:type="dxa"/>
          </w:tcPr>
          <w:p w:rsidRPr="00CE3D1D" w:rsidR="006D367E" w:rsidP="00A729AB" w:rsidRDefault="006D367E" w14:paraId="665BE798" w14:textId="77777777">
            <w:pPr>
              <w:spacing w:before="20"/>
              <w:contextualSpacing/>
              <w:rPr>
                <w:sz w:val="22"/>
                <w:szCs w:val="22"/>
              </w:rPr>
            </w:pPr>
            <w:r w:rsidRPr="00CE3D1D">
              <w:rPr>
                <w:sz w:val="22"/>
                <w:szCs w:val="22"/>
              </w:rPr>
              <w:t xml:space="preserve">Senior Vice President, Statistical Sciences &amp; Research, </w:t>
            </w:r>
            <w:proofErr w:type="spellStart"/>
            <w:r w:rsidRPr="00CE3D1D">
              <w:rPr>
                <w:sz w:val="22"/>
                <w:szCs w:val="22"/>
              </w:rPr>
              <w:t>Westat</w:t>
            </w:r>
            <w:proofErr w:type="spellEnd"/>
          </w:p>
        </w:tc>
      </w:tr>
      <w:tr w:rsidR="006D367E" w:rsidTr="00CE3D1D" w14:paraId="7D9B46B3" w14:textId="77777777">
        <w:tc>
          <w:tcPr>
            <w:tcW w:w="2585" w:type="dxa"/>
          </w:tcPr>
          <w:p w:rsidRPr="00CE3D1D" w:rsidR="006D367E" w:rsidP="00A729AB" w:rsidRDefault="006D367E" w14:paraId="5215878F" w14:textId="77777777">
            <w:pPr>
              <w:spacing w:before="20"/>
              <w:contextualSpacing/>
              <w:rPr>
                <w:sz w:val="22"/>
                <w:szCs w:val="22"/>
              </w:rPr>
            </w:pPr>
            <w:r w:rsidRPr="00CE3D1D">
              <w:rPr>
                <w:sz w:val="22"/>
                <w:szCs w:val="22"/>
              </w:rPr>
              <w:t>Survey research methods</w:t>
            </w:r>
          </w:p>
        </w:tc>
        <w:tc>
          <w:tcPr>
            <w:tcW w:w="2180" w:type="dxa"/>
          </w:tcPr>
          <w:p w:rsidRPr="00CE3D1D" w:rsidR="006D367E" w:rsidP="00A729AB" w:rsidRDefault="006D367E" w14:paraId="1EFE6107" w14:textId="77777777">
            <w:pPr>
              <w:spacing w:before="20"/>
              <w:contextualSpacing/>
              <w:rPr>
                <w:sz w:val="22"/>
                <w:szCs w:val="22"/>
              </w:rPr>
            </w:pPr>
            <w:r w:rsidRPr="00CE3D1D">
              <w:rPr>
                <w:sz w:val="22"/>
                <w:szCs w:val="22"/>
              </w:rPr>
              <w:t>Steve Bell, Ph.D.</w:t>
            </w:r>
          </w:p>
        </w:tc>
        <w:tc>
          <w:tcPr>
            <w:tcW w:w="4590" w:type="dxa"/>
          </w:tcPr>
          <w:p w:rsidRPr="00CE3D1D" w:rsidR="006D367E" w:rsidP="00A729AB" w:rsidRDefault="006D367E" w14:paraId="1FDD087C" w14:textId="77777777">
            <w:pPr>
              <w:spacing w:before="20"/>
              <w:contextualSpacing/>
              <w:rPr>
                <w:sz w:val="22"/>
                <w:szCs w:val="22"/>
              </w:rPr>
            </w:pPr>
            <w:r w:rsidRPr="00CE3D1D">
              <w:rPr>
                <w:sz w:val="22"/>
                <w:szCs w:val="22"/>
              </w:rPr>
              <w:t xml:space="preserve">Vice President. Economist, </w:t>
            </w:r>
            <w:proofErr w:type="spellStart"/>
            <w:r w:rsidRPr="00CE3D1D">
              <w:rPr>
                <w:sz w:val="22"/>
                <w:szCs w:val="22"/>
              </w:rPr>
              <w:t>Westat</w:t>
            </w:r>
            <w:proofErr w:type="spellEnd"/>
          </w:p>
        </w:tc>
      </w:tr>
      <w:bookmarkEnd w:id="6"/>
    </w:tbl>
    <w:p w:rsidR="006D367E" w:rsidP="003257AB" w:rsidRDefault="006D367E" w14:paraId="3DB81735" w14:textId="77777777">
      <w:pPr>
        <w:jc w:val="both"/>
      </w:pPr>
    </w:p>
    <w:p w:rsidR="00C71131" w:rsidP="003257AB" w:rsidRDefault="00A80A74" w14:paraId="36C3C690" w14:textId="7F6A2EDA">
      <w:pPr>
        <w:jc w:val="both"/>
      </w:pPr>
      <w:proofErr w:type="spellStart"/>
      <w:r>
        <w:t>Econometrica</w:t>
      </w:r>
      <w:proofErr w:type="spellEnd"/>
      <w:r>
        <w:t xml:space="preserve"> and the Urban Institute conducted virtual interviews at nine sites with PHA staff, property managers, and residents. These interviews informed the development of survey instruments by confirming the availability of data and collecting information on context to ensure questions are relevant.</w:t>
      </w:r>
    </w:p>
    <w:p w:rsidR="00940377" w:rsidP="003257AB" w:rsidRDefault="00940377" w14:paraId="3B88AF8B" w14:textId="77777777">
      <w:pPr>
        <w:jc w:val="both"/>
      </w:pPr>
    </w:p>
    <w:p w:rsidR="00C71131" w:rsidP="00213087" w:rsidRDefault="00C71131" w14:paraId="0FA54048" w14:textId="77777777">
      <w:pPr>
        <w:numPr>
          <w:ilvl w:val="0"/>
          <w:numId w:val="5"/>
        </w:numPr>
        <w:ind w:left="360"/>
        <w:jc w:val="both"/>
      </w:pPr>
      <w:r>
        <w:rPr>
          <w:b/>
          <w:bCs/>
          <w:u w:val="single"/>
        </w:rPr>
        <w:t>Explain any decisions to provide payments or gifts to respondents, other than remuneration of contractors or grantees</w:t>
      </w:r>
      <w:r w:rsidRPr="004D5244">
        <w:rPr>
          <w:b/>
          <w:bCs/>
          <w:u w:val="single"/>
        </w:rPr>
        <w:t>.</w:t>
      </w:r>
    </w:p>
    <w:p w:rsidR="00C71131" w:rsidP="003257AB" w:rsidRDefault="00C71131" w14:paraId="519FC5F3" w14:textId="1F6345D3">
      <w:pPr>
        <w:autoSpaceDE w:val="0"/>
        <w:autoSpaceDN w:val="0"/>
        <w:adjustRightInd w:val="0"/>
        <w:jc w:val="both"/>
      </w:pPr>
    </w:p>
    <w:p w:rsidRPr="0036328A" w:rsidR="00220CCC" w:rsidP="004B3D62" w:rsidRDefault="00220CCC" w14:paraId="40B85DB8" w14:textId="3FBC6E32">
      <w:pPr>
        <w:tabs>
          <w:tab w:val="left" w:pos="360"/>
        </w:tabs>
        <w:spacing w:after="120"/>
      </w:pPr>
      <w:r w:rsidRPr="0036328A">
        <w:rPr>
          <w:color w:val="000000"/>
        </w:rPr>
        <w:t>There are no payments or gifts to respondents</w:t>
      </w:r>
      <w:r>
        <w:rPr>
          <w:color w:val="000000"/>
        </w:rPr>
        <w:t xml:space="preserve"> </w:t>
      </w:r>
      <w:r w:rsidR="00D71608">
        <w:rPr>
          <w:color w:val="000000"/>
        </w:rPr>
        <w:t>of</w:t>
      </w:r>
      <w:r>
        <w:rPr>
          <w:color w:val="000000"/>
        </w:rPr>
        <w:t xml:space="preserve"> the </w:t>
      </w:r>
      <w:r w:rsidR="00C718A7">
        <w:rPr>
          <w:color w:val="000000"/>
        </w:rPr>
        <w:t>c</w:t>
      </w:r>
      <w:r w:rsidRPr="00220CCC">
        <w:rPr>
          <w:color w:val="000000"/>
        </w:rPr>
        <w:t>ensus of RAD PHA</w:t>
      </w:r>
      <w:r>
        <w:rPr>
          <w:color w:val="000000"/>
        </w:rPr>
        <w:t xml:space="preserve">, </w:t>
      </w:r>
      <w:r w:rsidR="00D71608">
        <w:rPr>
          <w:color w:val="000000"/>
        </w:rPr>
        <w:t xml:space="preserve">the </w:t>
      </w:r>
      <w:r>
        <w:rPr>
          <w:color w:val="000000"/>
        </w:rPr>
        <w:t xml:space="preserve">survey of RAD property owners, </w:t>
      </w:r>
      <w:r w:rsidR="00C718A7">
        <w:rPr>
          <w:color w:val="000000"/>
        </w:rPr>
        <w:t>and</w:t>
      </w:r>
      <w:r w:rsidRPr="00C718A7" w:rsidR="00C718A7">
        <w:t xml:space="preserve"> </w:t>
      </w:r>
      <w:r w:rsidR="00D71608">
        <w:t xml:space="preserve">the </w:t>
      </w:r>
      <w:r w:rsidR="00C718A7">
        <w:rPr>
          <w:color w:val="000000"/>
        </w:rPr>
        <w:t>q</w:t>
      </w:r>
      <w:r w:rsidRPr="00C718A7" w:rsidR="00C718A7">
        <w:rPr>
          <w:color w:val="000000"/>
        </w:rPr>
        <w:t>ualitative interviews with PHAs</w:t>
      </w:r>
      <w:r w:rsidRPr="0036328A">
        <w:rPr>
          <w:color w:val="000000"/>
        </w:rPr>
        <w:t>.</w:t>
      </w:r>
    </w:p>
    <w:p w:rsidR="00B138BE" w:rsidP="003257AB" w:rsidRDefault="00B138BE" w14:paraId="3E7A6C32" w14:textId="6A054677">
      <w:pPr>
        <w:autoSpaceDE w:val="0"/>
        <w:autoSpaceDN w:val="0"/>
        <w:adjustRightInd w:val="0"/>
        <w:jc w:val="both"/>
      </w:pPr>
      <w:r>
        <w:t xml:space="preserve">The study design involves offering a combination of unconditional and post-survey incentives to </w:t>
      </w:r>
      <w:r w:rsidR="00CA791D">
        <w:t xml:space="preserve">respondents of the two </w:t>
      </w:r>
      <w:r w:rsidR="00AE1D55">
        <w:t>resident</w:t>
      </w:r>
      <w:r w:rsidR="00CA791D">
        <w:t xml:space="preserve"> surveys</w:t>
      </w:r>
      <w:r w:rsidR="00AE1D55">
        <w:t xml:space="preserve">, who are currently or were at one time living in RAD developments. These types of incentive are shown to improve response rates. </w:t>
      </w:r>
    </w:p>
    <w:p w:rsidR="00B138BE" w:rsidP="004673A6" w:rsidRDefault="00B138BE" w14:paraId="22367CED" w14:textId="77777777">
      <w:pPr>
        <w:autoSpaceDE w:val="0"/>
        <w:autoSpaceDN w:val="0"/>
        <w:adjustRightInd w:val="0"/>
        <w:jc w:val="both"/>
      </w:pPr>
    </w:p>
    <w:p w:rsidR="004673A6" w:rsidP="00F91FD5" w:rsidRDefault="004673A6" w14:paraId="00C0A360" w14:textId="0BFBB5F2">
      <w:pPr>
        <w:autoSpaceDE w:val="0"/>
        <w:autoSpaceDN w:val="0"/>
        <w:adjustRightInd w:val="0"/>
        <w:jc w:val="both"/>
      </w:pPr>
      <w:r>
        <w:lastRenderedPageBreak/>
        <w:t xml:space="preserve">The letter inviting residents to take the survey will include a small </w:t>
      </w:r>
      <w:r w:rsidR="001B29CC">
        <w:t xml:space="preserve">unconditional </w:t>
      </w:r>
      <w:r>
        <w:t xml:space="preserve">pre-incentive of $5. Those who complete the survey will then receive a $45 incentive. </w:t>
      </w:r>
      <w:r w:rsidR="001C7E90">
        <w:t xml:space="preserve">Those who do not respond to the initial letter will receive </w:t>
      </w:r>
      <w:r w:rsidR="00F91FD5">
        <w:t xml:space="preserve">two reminders and, finally, a hard copy of the survey to fill. </w:t>
      </w:r>
      <w:r w:rsidR="00CB4F5B">
        <w:t xml:space="preserve">If the response rate is below 80 percent following the letter reminder, a sample of non-responders will be selected for attempted contact by phone. Those who complete the survey by phone will receive the $45 incentive, plus an additional $10 incentive.  </w:t>
      </w:r>
    </w:p>
    <w:p w:rsidR="00C71131" w:rsidP="003257AB" w:rsidRDefault="00C71131" w14:paraId="51A6F4EF" w14:textId="77777777">
      <w:pPr>
        <w:jc w:val="both"/>
      </w:pPr>
    </w:p>
    <w:p w:rsidR="00C71131" w:rsidP="00213087" w:rsidRDefault="00C568E1" w14:paraId="0D0F4646" w14:textId="4BDC35ED">
      <w:pPr>
        <w:numPr>
          <w:ilvl w:val="0"/>
          <w:numId w:val="5"/>
        </w:numPr>
        <w:ind w:left="360"/>
        <w:jc w:val="both"/>
      </w:pPr>
      <w:r w:rsidRPr="00C568E1">
        <w:rPr>
          <w:b/>
          <w:bCs/>
          <w:u w:val="single"/>
        </w:rPr>
        <w:t xml:space="preserve">Describe any assurance of confidentiality provided to respondents and the basis for assurance in statute, </w:t>
      </w:r>
      <w:proofErr w:type="gramStart"/>
      <w:r w:rsidRPr="00C568E1">
        <w:rPr>
          <w:b/>
          <w:bCs/>
          <w:u w:val="single"/>
        </w:rPr>
        <w:t>regulation</w:t>
      </w:r>
      <w:proofErr w:type="gramEnd"/>
      <w:r w:rsidRPr="00C568E1">
        <w:rPr>
          <w:b/>
          <w:bCs/>
          <w:u w:val="single"/>
        </w:rPr>
        <w:t xml:space="preserve"> or agency policy</w:t>
      </w:r>
      <w:r w:rsidR="00FD2A38">
        <w:rPr>
          <w:b/>
          <w:bCs/>
          <w:u w:val="single"/>
        </w:rPr>
        <w:t>.</w:t>
      </w:r>
    </w:p>
    <w:p w:rsidR="00C71131" w:rsidP="003257AB" w:rsidRDefault="00C71131" w14:paraId="1E07AFEB" w14:textId="77777777">
      <w:pPr>
        <w:pStyle w:val="Title"/>
        <w:jc w:val="both"/>
        <w:rPr>
          <w:color w:val="000000"/>
          <w:sz w:val="24"/>
          <w:szCs w:val="20"/>
        </w:rPr>
      </w:pPr>
    </w:p>
    <w:p w:rsidR="00C71131" w:rsidP="000C39CA" w:rsidRDefault="00844032" w14:paraId="27F47E99" w14:textId="77777777">
      <w:pPr>
        <w:pStyle w:val="Title"/>
        <w:jc w:val="both"/>
        <w:rPr>
          <w:sz w:val="24"/>
        </w:rPr>
      </w:pPr>
      <w:r>
        <w:rPr>
          <w:color w:val="000000"/>
          <w:sz w:val="24"/>
          <w:szCs w:val="20"/>
        </w:rPr>
        <w:t xml:space="preserve">HUD’s contractor, </w:t>
      </w:r>
      <w:proofErr w:type="spellStart"/>
      <w:r w:rsidR="00C71131">
        <w:rPr>
          <w:color w:val="000000"/>
          <w:sz w:val="24"/>
          <w:szCs w:val="20"/>
        </w:rPr>
        <w:t>Econometrica</w:t>
      </w:r>
      <w:proofErr w:type="spellEnd"/>
      <w:r>
        <w:rPr>
          <w:color w:val="000000"/>
          <w:sz w:val="24"/>
          <w:szCs w:val="20"/>
        </w:rPr>
        <w:t>,</w:t>
      </w:r>
      <w:r w:rsidR="00676160">
        <w:rPr>
          <w:color w:val="000000"/>
          <w:sz w:val="24"/>
          <w:szCs w:val="20"/>
        </w:rPr>
        <w:t xml:space="preserve"> </w:t>
      </w:r>
      <w:r w:rsidR="00C71131">
        <w:rPr>
          <w:color w:val="000000"/>
          <w:sz w:val="24"/>
          <w:szCs w:val="20"/>
        </w:rPr>
        <w:t>provides</w:t>
      </w:r>
      <w:r>
        <w:rPr>
          <w:color w:val="000000"/>
          <w:sz w:val="24"/>
          <w:szCs w:val="20"/>
        </w:rPr>
        <w:t xml:space="preserve"> written </w:t>
      </w:r>
      <w:r w:rsidR="00C71131">
        <w:rPr>
          <w:color w:val="000000"/>
          <w:sz w:val="24"/>
          <w:szCs w:val="20"/>
        </w:rPr>
        <w:t>assurances of confidentiality</w:t>
      </w:r>
      <w:r>
        <w:rPr>
          <w:color w:val="000000"/>
          <w:sz w:val="24"/>
          <w:szCs w:val="20"/>
        </w:rPr>
        <w:t xml:space="preserve"> to all survey respondents</w:t>
      </w:r>
      <w:r w:rsidR="00C71131">
        <w:rPr>
          <w:color w:val="000000"/>
          <w:sz w:val="24"/>
          <w:szCs w:val="20"/>
        </w:rPr>
        <w:t xml:space="preserve">. </w:t>
      </w:r>
      <w:proofErr w:type="spellStart"/>
      <w:r w:rsidR="00C71131">
        <w:rPr>
          <w:color w:val="000000"/>
          <w:sz w:val="24"/>
          <w:szCs w:val="20"/>
        </w:rPr>
        <w:t>Econometrica</w:t>
      </w:r>
      <w:proofErr w:type="spellEnd"/>
      <w:r w:rsidR="00C71131">
        <w:rPr>
          <w:color w:val="000000"/>
          <w:sz w:val="24"/>
          <w:szCs w:val="20"/>
        </w:rPr>
        <w:t xml:space="preserve"> has established stringent procedures and safeguards for securing and protecting against inappropriate disclosure or release of confidential information that will be collected during this evaluation.</w:t>
      </w:r>
      <w:r w:rsidR="00C71131">
        <w:rPr>
          <w:color w:val="000000"/>
          <w:szCs w:val="20"/>
        </w:rPr>
        <w:t xml:space="preserve"> </w:t>
      </w:r>
      <w:r w:rsidR="00C71131">
        <w:rPr>
          <w:color w:val="000000"/>
          <w:sz w:val="24"/>
        </w:rPr>
        <w:t>Where opinions are elicited</w:t>
      </w:r>
      <w:r w:rsidR="00A02F4D">
        <w:rPr>
          <w:color w:val="000000"/>
          <w:sz w:val="24"/>
        </w:rPr>
        <w:t xml:space="preserve"> from individuals</w:t>
      </w:r>
      <w:r w:rsidR="00C71131">
        <w:rPr>
          <w:color w:val="000000"/>
          <w:sz w:val="24"/>
        </w:rPr>
        <w:t>, the confidentiality agreement stands; t</w:t>
      </w:r>
      <w:r w:rsidR="00C71131">
        <w:rPr>
          <w:sz w:val="24"/>
        </w:rPr>
        <w:t xml:space="preserve">he data that </w:t>
      </w:r>
      <w:proofErr w:type="spellStart"/>
      <w:r w:rsidR="00C71131">
        <w:rPr>
          <w:sz w:val="24"/>
        </w:rPr>
        <w:t>Econometrica</w:t>
      </w:r>
      <w:proofErr w:type="spellEnd"/>
      <w:r w:rsidR="00C71131">
        <w:rPr>
          <w:sz w:val="24"/>
        </w:rPr>
        <w:t xml:space="preserve"> provides to HUD will be purged of information that would enable the Department to identify a specific </w:t>
      </w:r>
      <w:r w:rsidR="00A02F4D">
        <w:rPr>
          <w:sz w:val="24"/>
        </w:rPr>
        <w:t>individual</w:t>
      </w:r>
      <w:r w:rsidR="001E077E">
        <w:rPr>
          <w:sz w:val="24"/>
        </w:rPr>
        <w:t>, including a PHA</w:t>
      </w:r>
      <w:r w:rsidR="00513D0D">
        <w:rPr>
          <w:sz w:val="24"/>
        </w:rPr>
        <w:t xml:space="preserve"> official</w:t>
      </w:r>
      <w:r w:rsidR="001E077E">
        <w:rPr>
          <w:sz w:val="24"/>
        </w:rPr>
        <w:t xml:space="preserve">, </w:t>
      </w:r>
      <w:r w:rsidR="00C71131">
        <w:rPr>
          <w:sz w:val="24"/>
        </w:rPr>
        <w:t xml:space="preserve">offering personal </w:t>
      </w:r>
      <w:r w:rsidR="00513D0D">
        <w:rPr>
          <w:sz w:val="24"/>
        </w:rPr>
        <w:t xml:space="preserve">and confidential </w:t>
      </w:r>
      <w:r w:rsidR="00C71131">
        <w:rPr>
          <w:sz w:val="24"/>
        </w:rPr>
        <w:t>opinions.</w:t>
      </w:r>
      <w:r w:rsidR="00FF15C7">
        <w:rPr>
          <w:sz w:val="24"/>
        </w:rPr>
        <w:t xml:space="preserve">  This will not apply to the bulk of information that is collected, but only to that information that is of a personal and confidential nature as indicated on the survey.</w:t>
      </w:r>
    </w:p>
    <w:p w:rsidR="00C71131" w:rsidP="003257AB" w:rsidRDefault="00C71131" w14:paraId="69A97E35" w14:textId="77777777">
      <w:pPr>
        <w:pStyle w:val="Title"/>
        <w:jc w:val="both"/>
        <w:rPr>
          <w:sz w:val="24"/>
        </w:rPr>
      </w:pPr>
    </w:p>
    <w:p w:rsidR="00C71131" w:rsidP="000C39CA" w:rsidRDefault="002910B7" w14:paraId="265BB429" w14:textId="42E89365">
      <w:pPr>
        <w:jc w:val="both"/>
        <w:rPr>
          <w:color w:val="000000"/>
          <w:szCs w:val="20"/>
        </w:rPr>
      </w:pPr>
      <w:r w:rsidRPr="00874435">
        <w:t xml:space="preserve">All respondents included in the study will be informed that information they provide will be used only for the purpose of this research. </w:t>
      </w:r>
      <w:r w:rsidR="00C71131">
        <w:rPr>
          <w:color w:val="000000"/>
          <w:szCs w:val="20"/>
        </w:rPr>
        <w:t xml:space="preserve">The information </w:t>
      </w:r>
      <w:r w:rsidR="00844032">
        <w:rPr>
          <w:color w:val="000000"/>
          <w:szCs w:val="20"/>
        </w:rPr>
        <w:t>will not be used by HUD for grantee monitoring</w:t>
      </w:r>
      <w:r w:rsidR="00C71131">
        <w:rPr>
          <w:color w:val="000000"/>
          <w:szCs w:val="20"/>
        </w:rPr>
        <w:t xml:space="preserve">. All </w:t>
      </w:r>
      <w:proofErr w:type="spellStart"/>
      <w:r w:rsidR="00C71131">
        <w:rPr>
          <w:color w:val="000000"/>
          <w:szCs w:val="20"/>
        </w:rPr>
        <w:t>Econometrica</w:t>
      </w:r>
      <w:proofErr w:type="spellEnd"/>
      <w:r w:rsidR="00C71131">
        <w:rPr>
          <w:color w:val="000000"/>
          <w:szCs w:val="20"/>
        </w:rPr>
        <w:t xml:space="preserve"> team members that will have access to these data will sign “Assurances of Confidentiality” pledges</w:t>
      </w:r>
      <w:r w:rsidR="00D5187D">
        <w:rPr>
          <w:color w:val="000000"/>
          <w:szCs w:val="20"/>
        </w:rPr>
        <w:t xml:space="preserve">. </w:t>
      </w:r>
    </w:p>
    <w:p w:rsidR="00C71131" w:rsidP="00602B5A" w:rsidRDefault="00C71131" w14:paraId="271B5ADE" w14:textId="77777777">
      <w:pPr>
        <w:pStyle w:val="Title"/>
        <w:jc w:val="both"/>
        <w:rPr>
          <w:sz w:val="24"/>
        </w:rPr>
      </w:pPr>
    </w:p>
    <w:p w:rsidR="00C71131" w:rsidP="001403ED" w:rsidRDefault="00C71131" w14:paraId="5F79C58C" w14:textId="77777777">
      <w:pPr>
        <w:pStyle w:val="Title"/>
        <w:jc w:val="both"/>
        <w:rPr>
          <w:sz w:val="24"/>
        </w:rPr>
      </w:pPr>
      <w:r>
        <w:rPr>
          <w:sz w:val="24"/>
        </w:rPr>
        <w:t xml:space="preserve">The statutory authority related to HUD’s ability to conduct research through a contract with </w:t>
      </w:r>
      <w:proofErr w:type="spellStart"/>
      <w:r>
        <w:rPr>
          <w:sz w:val="24"/>
        </w:rPr>
        <w:t>Econometrica</w:t>
      </w:r>
      <w:proofErr w:type="spellEnd"/>
      <w:r w:rsidR="00243411">
        <w:rPr>
          <w:sz w:val="24"/>
        </w:rPr>
        <w:t xml:space="preserve"> </w:t>
      </w:r>
      <w:r>
        <w:rPr>
          <w:sz w:val="24"/>
        </w:rPr>
        <w:t>is summarized below:</w:t>
      </w:r>
    </w:p>
    <w:p w:rsidRPr="004712CA" w:rsidR="00C71131" w:rsidP="009F7B85" w:rsidRDefault="00C71131" w14:paraId="5D9C6FF6" w14:textId="77777777">
      <w:pPr>
        <w:numPr>
          <w:ilvl w:val="1"/>
          <w:numId w:val="6"/>
        </w:numPr>
        <w:autoSpaceDE w:val="0"/>
        <w:autoSpaceDN w:val="0"/>
        <w:adjustRightInd w:val="0"/>
        <w:spacing w:before="120"/>
        <w:ind w:left="720"/>
        <w:jc w:val="both"/>
      </w:pPr>
      <w:r w:rsidRPr="004712CA">
        <w:t>Section 3(b) of the Department of Housing and Urban Development Act, as amended, 42 U.S.C. 3532, authorizes the Secretary to “conduct continuing comprehensive studies, and make available findings, with respect to the problems of housing and urban development.”</w:t>
      </w:r>
    </w:p>
    <w:p w:rsidRPr="004712CA" w:rsidR="00C71131" w:rsidP="009F7B85" w:rsidRDefault="00C71131" w14:paraId="558023FB" w14:textId="77777777">
      <w:pPr>
        <w:numPr>
          <w:ilvl w:val="1"/>
          <w:numId w:val="6"/>
        </w:numPr>
        <w:autoSpaceDE w:val="0"/>
        <w:autoSpaceDN w:val="0"/>
        <w:adjustRightInd w:val="0"/>
        <w:spacing w:before="120"/>
        <w:ind w:left="720"/>
        <w:jc w:val="both"/>
      </w:pPr>
      <w:r w:rsidRPr="004712CA">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rsidRPr="004D5244" w:rsidR="00C71131" w:rsidP="009F7B85" w:rsidRDefault="00C71131" w14:paraId="2FF13870" w14:textId="77777777">
      <w:pPr>
        <w:numPr>
          <w:ilvl w:val="1"/>
          <w:numId w:val="6"/>
        </w:numPr>
        <w:autoSpaceDE w:val="0"/>
        <w:autoSpaceDN w:val="0"/>
        <w:adjustRightInd w:val="0"/>
        <w:spacing w:before="120"/>
        <w:ind w:left="720"/>
        <w:jc w:val="both"/>
      </w:pPr>
      <w:r w:rsidRPr="004D5244">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w:t>
      </w:r>
      <w:proofErr w:type="spellStart"/>
      <w:r w:rsidRPr="004D5244">
        <w:t>ny</w:t>
      </w:r>
      <w:proofErr w:type="spellEnd"/>
      <w:r w:rsidRPr="004D5244">
        <w:t xml:space="preserve">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C71131" w:rsidP="00C71131" w:rsidRDefault="00C71131" w14:paraId="540EFBE0" w14:textId="77777777">
      <w:pPr>
        <w:jc w:val="both"/>
        <w:rPr>
          <w:color w:val="000000"/>
        </w:rPr>
      </w:pPr>
    </w:p>
    <w:p w:rsidRPr="0029334A" w:rsidR="00C71131" w:rsidP="00C71131" w:rsidRDefault="001131D6" w14:paraId="3AD43BE3" w14:textId="6BAAFF67">
      <w:pPr>
        <w:jc w:val="both"/>
        <w:rPr>
          <w:color w:val="000000"/>
        </w:rPr>
      </w:pPr>
      <w:r>
        <w:rPr>
          <w:color w:val="000000"/>
        </w:rPr>
        <w:lastRenderedPageBreak/>
        <w:t xml:space="preserve">Prior to beginning data collection, HUD will </w:t>
      </w:r>
      <w:r w:rsidR="00C726DC">
        <w:rPr>
          <w:color w:val="000000"/>
        </w:rPr>
        <w:t xml:space="preserve">revise </w:t>
      </w:r>
      <w:r w:rsidR="00B3146A">
        <w:rPr>
          <w:color w:val="000000"/>
        </w:rPr>
        <w:t xml:space="preserve">the </w:t>
      </w:r>
      <w:r>
        <w:rPr>
          <w:color w:val="000000"/>
        </w:rPr>
        <w:t>System of Records Notice (SORN)</w:t>
      </w:r>
      <w:r w:rsidR="00BA23BE">
        <w:rPr>
          <w:color w:val="000000"/>
        </w:rPr>
        <w:t xml:space="preserve"> </w:t>
      </w:r>
      <w:r w:rsidR="00ED3701">
        <w:rPr>
          <w:color w:val="000000"/>
        </w:rPr>
        <w:t xml:space="preserve">no. </w:t>
      </w:r>
      <w:r w:rsidR="00DC4D9D">
        <w:rPr>
          <w:color w:val="000000"/>
        </w:rPr>
        <w:t>PD</w:t>
      </w:r>
      <w:r w:rsidR="00746A31">
        <w:rPr>
          <w:color w:val="000000"/>
        </w:rPr>
        <w:t>&amp;</w:t>
      </w:r>
      <w:r w:rsidR="00DC4D9D">
        <w:rPr>
          <w:color w:val="000000"/>
        </w:rPr>
        <w:t>R</w:t>
      </w:r>
      <w:r w:rsidR="00746A31">
        <w:rPr>
          <w:color w:val="000000"/>
        </w:rPr>
        <w:t xml:space="preserve">/RRE.01, </w:t>
      </w:r>
      <w:r w:rsidR="00ED3701">
        <w:rPr>
          <w:color w:val="000000"/>
        </w:rPr>
        <w:t xml:space="preserve">“Rental Assistance Demonstration (RAD) Program Evaluation Data </w:t>
      </w:r>
      <w:r w:rsidR="00137268">
        <w:rPr>
          <w:color w:val="000000"/>
        </w:rPr>
        <w:t>F</w:t>
      </w:r>
      <w:r w:rsidR="00ED3701">
        <w:rPr>
          <w:color w:val="000000"/>
        </w:rPr>
        <w:t>iles</w:t>
      </w:r>
      <w:r w:rsidR="00137268">
        <w:rPr>
          <w:color w:val="000000"/>
        </w:rPr>
        <w:t xml:space="preserve">,” </w:t>
      </w:r>
      <w:r w:rsidR="00746A31">
        <w:rPr>
          <w:color w:val="000000"/>
        </w:rPr>
        <w:t xml:space="preserve">approved on </w:t>
      </w:r>
      <w:r w:rsidR="00ED3701">
        <w:rPr>
          <w:color w:val="000000"/>
        </w:rPr>
        <w:t>02/23/2015</w:t>
      </w:r>
      <w:r w:rsidR="00D5187D">
        <w:rPr>
          <w:color w:val="000000"/>
        </w:rPr>
        <w:t xml:space="preserve">. </w:t>
      </w:r>
      <w:r w:rsidR="008E7544">
        <w:rPr>
          <w:color w:val="000000"/>
        </w:rPr>
        <w:t xml:space="preserve">This SORN was established for the prior evaluation of the RAD program. </w:t>
      </w:r>
    </w:p>
    <w:p w:rsidR="00C71131" w:rsidP="00C71131" w:rsidRDefault="00C71131" w14:paraId="7B0A4C8D" w14:textId="77777777">
      <w:pPr>
        <w:autoSpaceDE w:val="0"/>
        <w:autoSpaceDN w:val="0"/>
        <w:adjustRightInd w:val="0"/>
        <w:jc w:val="both"/>
      </w:pPr>
    </w:p>
    <w:p w:rsidR="00C71131" w:rsidP="00C71131" w:rsidRDefault="00C71131" w14:paraId="5527BC4D" w14:textId="527FB95D">
      <w:pPr>
        <w:autoSpaceDE w:val="0"/>
        <w:autoSpaceDN w:val="0"/>
        <w:adjustRightInd w:val="0"/>
        <w:jc w:val="both"/>
      </w:pPr>
      <w:r w:rsidRPr="00C57AA9">
        <w:t xml:space="preserve">Each contact person selected to respond to the </w:t>
      </w:r>
      <w:r w:rsidR="00EE2181">
        <w:t>w</w:t>
      </w:r>
      <w:r>
        <w:t xml:space="preserve">eb </w:t>
      </w:r>
      <w:r w:rsidRPr="00C57AA9">
        <w:t xml:space="preserve">survey will be given a </w:t>
      </w:r>
      <w:r w:rsidR="004E7FCC">
        <w:t>link</w:t>
      </w:r>
      <w:r w:rsidRPr="00C57AA9" w:rsidR="004E7FCC">
        <w:t xml:space="preserve"> </w:t>
      </w:r>
      <w:r w:rsidRPr="00C57AA9">
        <w:t xml:space="preserve">to access and complete the survey. </w:t>
      </w:r>
      <w:r>
        <w:t xml:space="preserve">For the Web survey respondents and the interviewees, </w:t>
      </w:r>
      <w:proofErr w:type="spellStart"/>
      <w:r w:rsidRPr="00C57AA9">
        <w:t>Econometrica</w:t>
      </w:r>
      <w:proofErr w:type="spellEnd"/>
      <w:r w:rsidRPr="00C57AA9">
        <w:t xml:space="preserve"> will provide a clear overview of the study’s purpose, </w:t>
      </w:r>
      <w:r>
        <w:t>reasons why it would be in the interest of the program</w:t>
      </w:r>
      <w:r w:rsidRPr="00C57AA9">
        <w:t xml:space="preserve"> to respond</w:t>
      </w:r>
      <w:r>
        <w:t>, an</w:t>
      </w:r>
      <w:r w:rsidRPr="00C57AA9">
        <w:t xml:space="preserve"> assurance as to the legitimacy of the survey</w:t>
      </w:r>
      <w:r>
        <w:t>,</w:t>
      </w:r>
      <w:r w:rsidRPr="00C57AA9">
        <w:t xml:space="preserve"> and the name of a person </w:t>
      </w:r>
      <w:r>
        <w:t xml:space="preserve">the respondent </w:t>
      </w:r>
      <w:r w:rsidRPr="00C57AA9">
        <w:t xml:space="preserve">can contact </w:t>
      </w:r>
      <w:r>
        <w:t xml:space="preserve">directly if the respondent has </w:t>
      </w:r>
      <w:r w:rsidRPr="00C57AA9">
        <w:t>questions.</w:t>
      </w:r>
      <w:r>
        <w:t xml:space="preserve"> </w:t>
      </w:r>
    </w:p>
    <w:p w:rsidR="00C71131" w:rsidP="00C71131" w:rsidRDefault="00C71131" w14:paraId="706FB235" w14:textId="71221A31">
      <w:pPr>
        <w:autoSpaceDE w:val="0"/>
        <w:autoSpaceDN w:val="0"/>
        <w:adjustRightInd w:val="0"/>
        <w:jc w:val="both"/>
      </w:pPr>
    </w:p>
    <w:p w:rsidRPr="00D91360" w:rsidR="00C71131" w:rsidP="009B1465" w:rsidRDefault="00AA0086" w14:paraId="08148C1A" w14:textId="7153419E">
      <w:pPr>
        <w:autoSpaceDE w:val="0"/>
        <w:autoSpaceDN w:val="0"/>
        <w:adjustRightInd w:val="0"/>
        <w:jc w:val="both"/>
      </w:pPr>
      <w:r>
        <w:t xml:space="preserve">All research protocols have been reviewed and approved by Urban Institute’s internal Institutional Review Board (IRB). </w:t>
      </w:r>
      <w:r w:rsidRPr="00D91360" w:rsidR="00C71131">
        <w:t xml:space="preserve">The Urban Institute maintains an Institutional Review </w:t>
      </w:r>
      <w:r w:rsidR="00C71131">
        <w:t>B</w:t>
      </w:r>
      <w:r w:rsidRPr="00D91360" w:rsidR="00C71131">
        <w:t>oard (IRB) to ensure that research practices and procedures effectively protect the rights and welfare of human subjects, consistent with the requirements set forth in Title 45, Part 46</w:t>
      </w:r>
      <w:r w:rsidR="00C71131">
        <w:t>,</w:t>
      </w:r>
      <w:r w:rsidRPr="00D91360" w:rsidR="00C71131">
        <w:t xml:space="preserve"> of the </w:t>
      </w:r>
      <w:r w:rsidRPr="00D91360" w:rsidR="00C71131">
        <w:rPr>
          <w:i/>
        </w:rPr>
        <w:t>Code of Federal Regulations</w:t>
      </w:r>
      <w:r w:rsidRPr="00D91360" w:rsidR="00C71131">
        <w:t xml:space="preserve"> (45 </w:t>
      </w:r>
      <w:r w:rsidRPr="004D5244" w:rsidR="00C71131">
        <w:t>CFR</w:t>
      </w:r>
      <w:r w:rsidRPr="00D91360" w:rsidR="00C71131">
        <w:t xml:space="preserve"> 46). The Urban Institute’s policy is that all research involving human subjects must adhere to the following principles, among others: </w:t>
      </w:r>
    </w:p>
    <w:p w:rsidRPr="00D91360" w:rsidR="00C71131" w:rsidP="009F7B85" w:rsidRDefault="00C71131" w14:paraId="174F63D7" w14:textId="77777777">
      <w:pPr>
        <w:numPr>
          <w:ilvl w:val="0"/>
          <w:numId w:val="2"/>
        </w:numPr>
        <w:spacing w:before="120"/>
        <w:jc w:val="both"/>
      </w:pPr>
      <w:r w:rsidRPr="00D91360">
        <w:t>Risks to human subjects from research must be reasonable in r</w:t>
      </w:r>
      <w:r w:rsidR="00ED067B">
        <w:t>elation to anticipated benefits</w:t>
      </w:r>
      <w:r w:rsidRPr="00D91360">
        <w:t xml:space="preserve"> and must be minimized to the extent possible</w:t>
      </w:r>
      <w:r>
        <w:t>.</w:t>
      </w:r>
    </w:p>
    <w:p w:rsidRPr="00D91360" w:rsidR="00C71131" w:rsidP="009F7B85" w:rsidRDefault="00C71131" w14:paraId="5BB5F0E4" w14:textId="77777777">
      <w:pPr>
        <w:numPr>
          <w:ilvl w:val="0"/>
          <w:numId w:val="2"/>
        </w:numPr>
        <w:spacing w:before="120"/>
        <w:jc w:val="both"/>
      </w:pPr>
      <w:r w:rsidRPr="00D91360">
        <w:t>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w:t>
      </w:r>
      <w:r>
        <w:t>.</w:t>
      </w:r>
    </w:p>
    <w:p w:rsidRPr="00D91360" w:rsidR="00C71131" w:rsidP="009F7B85" w:rsidRDefault="00C71131" w14:paraId="6DE74719" w14:textId="77777777">
      <w:pPr>
        <w:numPr>
          <w:ilvl w:val="0"/>
          <w:numId w:val="2"/>
        </w:numPr>
        <w:spacing w:before="120"/>
        <w:jc w:val="both"/>
      </w:pPr>
      <w:r w:rsidRPr="00D91360">
        <w:t>Adequate provision must be made to protect the privacy of human subjects and to maintain the confidentiality of data that are collected, where promised and as appropriate.</w:t>
      </w:r>
    </w:p>
    <w:p w:rsidRPr="00D91360" w:rsidR="009B1465" w:rsidP="00C71131" w:rsidRDefault="009B1465" w14:paraId="53413A57" w14:textId="77777777">
      <w:pPr>
        <w:jc w:val="both"/>
      </w:pPr>
    </w:p>
    <w:p w:rsidRPr="00D91360" w:rsidR="00C71131" w:rsidP="00C71131" w:rsidRDefault="00C71131" w14:paraId="6C7DE73C" w14:textId="2A3B3F81">
      <w:pPr>
        <w:jc w:val="both"/>
      </w:pPr>
      <w:r w:rsidRPr="00D91360">
        <w:t xml:space="preserve">In accordance with these policies, the </w:t>
      </w:r>
      <w:r w:rsidR="009B1465">
        <w:t>full research team</w:t>
      </w:r>
      <w:r w:rsidRPr="00D91360">
        <w:t xml:space="preserve"> will maintain the following procedures</w:t>
      </w:r>
      <w:r>
        <w:t>:</w:t>
      </w:r>
    </w:p>
    <w:p w:rsidRPr="00D91360" w:rsidR="00C71131" w:rsidP="009F7B85" w:rsidRDefault="00CD2BB7" w14:paraId="351CECD2" w14:textId="1ED7BAF5">
      <w:pPr>
        <w:numPr>
          <w:ilvl w:val="0"/>
          <w:numId w:val="3"/>
        </w:numPr>
        <w:spacing w:before="120"/>
        <w:jc w:val="both"/>
      </w:pPr>
      <w:r>
        <w:t xml:space="preserve">Prior to collecting data from </w:t>
      </w:r>
      <w:r w:rsidR="00216183">
        <w:t>all respondents</w:t>
      </w:r>
      <w:r w:rsidRPr="00707E13" w:rsidR="00707E13">
        <w:t xml:space="preserve">, </w:t>
      </w:r>
      <w:r w:rsidRPr="00A02F4D" w:rsidR="00707E13">
        <w:rPr>
          <w:b/>
        </w:rPr>
        <w:t>informed consent</w:t>
      </w:r>
      <w:r w:rsidRPr="00707E13" w:rsidR="00707E13">
        <w:t xml:space="preserve"> will be administered. They will be given a clear overview of the study and its goals, the data security plan, the staff confidentiality agreement, and our methods for safeguarding anonymity in our reports and publications</w:t>
      </w:r>
      <w:r w:rsidR="00A02F4D">
        <w:t xml:space="preserve">. </w:t>
      </w:r>
      <w:r w:rsidRPr="00D91360" w:rsidR="00C71131">
        <w:t xml:space="preserve">We will stress the voluntary nature of participation and make clear that there are no negative consequences for those who choose not to participate. </w:t>
      </w:r>
      <w:r w:rsidR="00201E2D">
        <w:t>For residents, this</w:t>
      </w:r>
      <w:r w:rsidR="0075335E">
        <w:t xml:space="preserve"> </w:t>
      </w:r>
      <w:r w:rsidRPr="00D91360" w:rsidR="00C71131">
        <w:t xml:space="preserve">information will be provided in letter </w:t>
      </w:r>
      <w:r w:rsidR="0075335E">
        <w:t>requesting their participation</w:t>
      </w:r>
      <w:r w:rsidR="00F53B72">
        <w:t xml:space="preserve"> and in the survey introduction</w:t>
      </w:r>
      <w:r w:rsidR="0075335E">
        <w:t xml:space="preserve">. </w:t>
      </w:r>
      <w:r w:rsidR="00F53B72">
        <w:t>For PHA and property owner/operator respondents, the information will be provided in the invitation emails and in the survey introduction.</w:t>
      </w:r>
    </w:p>
    <w:p w:rsidR="00C71131" w:rsidP="009F7B85" w:rsidRDefault="00C71131" w14:paraId="31B6103A" w14:textId="33CA88F8">
      <w:pPr>
        <w:numPr>
          <w:ilvl w:val="0"/>
          <w:numId w:val="3"/>
        </w:numPr>
        <w:spacing w:before="120"/>
        <w:jc w:val="both"/>
      </w:pPr>
      <w:r w:rsidRPr="00D91360">
        <w:t xml:space="preserve">The </w:t>
      </w:r>
      <w:r w:rsidR="0075335E">
        <w:t>research team</w:t>
      </w:r>
      <w:r w:rsidRPr="00D91360">
        <w:t xml:space="preserve"> will safeguard the information gathered. Data gathered from the </w:t>
      </w:r>
      <w:r w:rsidR="0075335E">
        <w:t>census of residents</w:t>
      </w:r>
      <w:r w:rsidRPr="00D91360">
        <w:t xml:space="preserve"> will be analyzed and discussed exclusively in the aggregate; no published reports using the data will single out any </w:t>
      </w:r>
      <w:proofErr w:type="gramStart"/>
      <w:r w:rsidRPr="00D91360">
        <w:t>particular residents</w:t>
      </w:r>
      <w:proofErr w:type="gramEnd"/>
      <w:r w:rsidRPr="00D91360">
        <w:t xml:space="preserve">. Information identifying </w:t>
      </w:r>
      <w:proofErr w:type="gramStart"/>
      <w:r w:rsidRPr="00D91360">
        <w:t>particular respondents</w:t>
      </w:r>
      <w:proofErr w:type="gramEnd"/>
      <w:r w:rsidRPr="00D91360">
        <w:t xml:space="preserve"> will be shared </w:t>
      </w:r>
      <w:r w:rsidR="00EF5372">
        <w:t xml:space="preserve">only </w:t>
      </w:r>
      <w:r w:rsidRPr="00D91360">
        <w:t xml:space="preserve">with staff </w:t>
      </w:r>
      <w:r>
        <w:t xml:space="preserve">members </w:t>
      </w:r>
      <w:r w:rsidRPr="00D91360">
        <w:t xml:space="preserve">who have signed Data Confidentiality Pledges and who need the information for research purposes. All such staff </w:t>
      </w:r>
      <w:r>
        <w:t xml:space="preserve">members </w:t>
      </w:r>
      <w:r w:rsidRPr="00D91360">
        <w:t>will sign this pledge. Hard</w:t>
      </w:r>
      <w:r>
        <w:t>-</w:t>
      </w:r>
      <w:r w:rsidRPr="00D91360">
        <w:t xml:space="preserve">copy materials containing respondent identifying information will be locked up when not in use, and electronic materials with identifying information will be stored on a secure server in password-protected and/or encrypted files, where appropriate. </w:t>
      </w:r>
    </w:p>
    <w:p w:rsidRPr="00D91360" w:rsidR="00904B95" w:rsidP="00904B95" w:rsidRDefault="00904B95" w14:paraId="4BC99A82" w14:textId="77777777">
      <w:pPr>
        <w:spacing w:before="120"/>
        <w:jc w:val="both"/>
      </w:pPr>
    </w:p>
    <w:p w:rsidR="00904B95" w:rsidP="00904B95" w:rsidRDefault="00904B95" w14:paraId="4BA1055F" w14:textId="04A9139A">
      <w:pPr>
        <w:jc w:val="both"/>
      </w:pPr>
      <w:r>
        <w:lastRenderedPageBreak/>
        <w:t xml:space="preserve">We will </w:t>
      </w:r>
      <w:proofErr w:type="gramStart"/>
      <w:r>
        <w:t>make arrangements</w:t>
      </w:r>
      <w:proofErr w:type="gramEnd"/>
      <w:r>
        <w:t xml:space="preserve"> for HUD to transfer administrative data on residents through Secure File Transfer Protocol (SFTP) or another secure method. All raw and summarized data will be securely stored per HUD protocol, including proper password protection and encryption, as required, for files containing PII. We will also ensure that all data and summary files are de-identified before transfer to HUD.</w:t>
      </w:r>
    </w:p>
    <w:p w:rsidR="00C71131" w:rsidP="00C71131" w:rsidRDefault="00C71131" w14:paraId="3099560A" w14:textId="77777777"/>
    <w:p w:rsidRPr="00F958B6" w:rsidR="00C71131" w:rsidP="00213087" w:rsidRDefault="009E5173" w14:paraId="058696BA" w14:textId="46660044">
      <w:pPr>
        <w:numPr>
          <w:ilvl w:val="0"/>
          <w:numId w:val="5"/>
        </w:numPr>
        <w:ind w:left="360"/>
        <w:jc w:val="both"/>
      </w:pPr>
      <w:r w:rsidRPr="00F958B6">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F958B6" w:rsidR="00FD2A38">
        <w:rPr>
          <w:b/>
          <w:bCs/>
        </w:rPr>
        <w:t>.</w:t>
      </w:r>
    </w:p>
    <w:p w:rsidR="00676160" w:rsidP="00C71131" w:rsidRDefault="00676160" w14:paraId="17510FED" w14:textId="77777777"/>
    <w:p w:rsidR="00E87B29" w:rsidP="00C71131" w:rsidRDefault="009F65C3" w14:paraId="5AF36EAA" w14:textId="0AC4AE99">
      <w:r w:rsidRPr="009F65C3">
        <w:t xml:space="preserve">The </w:t>
      </w:r>
      <w:r w:rsidR="009E5173">
        <w:t xml:space="preserve">two </w:t>
      </w:r>
      <w:r w:rsidRPr="009F65C3">
        <w:t>resident survey</w:t>
      </w:r>
      <w:r w:rsidR="009E5173">
        <w:t>s</w:t>
      </w:r>
      <w:r w:rsidRPr="009F65C3">
        <w:t xml:space="preserve"> include questions on household rent and utility payments,</w:t>
      </w:r>
      <w:r w:rsidR="00A809D0">
        <w:t xml:space="preserve"> as well as</w:t>
      </w:r>
      <w:r w:rsidRPr="009F65C3">
        <w:t xml:space="preserve"> employment</w:t>
      </w:r>
      <w:r w:rsidR="00A809D0">
        <w:t xml:space="preserve"> and </w:t>
      </w:r>
      <w:r w:rsidRPr="009F65C3">
        <w:t xml:space="preserve">for </w:t>
      </w:r>
      <w:r w:rsidR="00A809D0">
        <w:t>residents’</w:t>
      </w:r>
      <w:r w:rsidRPr="009F65C3">
        <w:t xml:space="preserve"> general assessment of their own health.</w:t>
      </w:r>
    </w:p>
    <w:p w:rsidR="00794F21" w:rsidP="00C71131" w:rsidRDefault="00794F21" w14:paraId="18E59BDE" w14:textId="0E2F6053"/>
    <w:p w:rsidR="00A809D0" w:rsidP="00A809D0" w:rsidRDefault="00A809D0" w14:paraId="6AC791F4" w14:textId="48C9CF31">
      <w:r>
        <w:rPr>
          <w:rFonts w:cstheme="minorHAnsi"/>
        </w:rPr>
        <w:t xml:space="preserve">It is necessary to ask for information about rent and utility payments to help the research team understand the impact of choice mobility on residents’ </w:t>
      </w:r>
      <w:r w:rsidR="00152AF1">
        <w:rPr>
          <w:rFonts w:cstheme="minorHAnsi"/>
        </w:rPr>
        <w:t>direct living costs</w:t>
      </w:r>
      <w:r w:rsidR="00BF17D5">
        <w:rPr>
          <w:rFonts w:cstheme="minorHAnsi"/>
        </w:rPr>
        <w:t xml:space="preserve">, i.e., </w:t>
      </w:r>
      <w:r>
        <w:rPr>
          <w:rFonts w:cstheme="minorHAnsi"/>
        </w:rPr>
        <w:t>rent and utility payments. Specifically, the research seeks to understand whether households who use a choice mobility voucher to move, end up paying more</w:t>
      </w:r>
      <w:r w:rsidR="00BF17D5">
        <w:rPr>
          <w:rFonts w:cstheme="minorHAnsi"/>
        </w:rPr>
        <w:t>, the same</w:t>
      </w:r>
      <w:r>
        <w:rPr>
          <w:rFonts w:cstheme="minorHAnsi"/>
        </w:rPr>
        <w:t xml:space="preserve"> or less for rent and utilities and whether they have difficulty paying their utility bills.</w:t>
      </w:r>
    </w:p>
    <w:p w:rsidR="00A809D0" w:rsidP="00C71131" w:rsidRDefault="00A809D0" w14:paraId="6CA1971F" w14:textId="77777777">
      <w:pPr>
        <w:rPr>
          <w:rFonts w:cstheme="minorHAnsi"/>
        </w:rPr>
      </w:pPr>
    </w:p>
    <w:p w:rsidR="00794F21" w:rsidP="00C71131" w:rsidRDefault="00794F21" w14:paraId="000D322F" w14:textId="5E835D1C">
      <w:pPr>
        <w:rPr>
          <w:rFonts w:cstheme="minorHAnsi"/>
        </w:rPr>
      </w:pPr>
      <w:r>
        <w:rPr>
          <w:rFonts w:cstheme="minorHAnsi"/>
        </w:rPr>
        <w:t xml:space="preserve">The surveys ask about employment and health because these factors affect households’ </w:t>
      </w:r>
      <w:r w:rsidR="008142AD">
        <w:rPr>
          <w:rFonts w:cstheme="minorHAnsi"/>
        </w:rPr>
        <w:t xml:space="preserve">willingness </w:t>
      </w:r>
      <w:r w:rsidR="00F02F19">
        <w:rPr>
          <w:rFonts w:cstheme="minorHAnsi"/>
        </w:rPr>
        <w:t xml:space="preserve">and </w:t>
      </w:r>
      <w:r w:rsidR="00F57A9C">
        <w:rPr>
          <w:rFonts w:cstheme="minorHAnsi"/>
        </w:rPr>
        <w:t xml:space="preserve">motivation </w:t>
      </w:r>
      <w:r>
        <w:rPr>
          <w:rFonts w:cstheme="minorHAnsi"/>
        </w:rPr>
        <w:t>to move</w:t>
      </w:r>
      <w:r w:rsidR="008142AD">
        <w:rPr>
          <w:rFonts w:cstheme="minorHAnsi"/>
        </w:rPr>
        <w:t xml:space="preserve"> or stay</w:t>
      </w:r>
      <w:r>
        <w:rPr>
          <w:rFonts w:cstheme="minorHAnsi"/>
        </w:rPr>
        <w:t xml:space="preserve">. </w:t>
      </w:r>
      <w:r w:rsidR="00A809D0">
        <w:rPr>
          <w:rFonts w:cstheme="minorHAnsi"/>
        </w:rPr>
        <w:t>The research seeks to understand whether households use choice mobility voucher</w:t>
      </w:r>
      <w:r w:rsidR="006570BA">
        <w:rPr>
          <w:rFonts w:cstheme="minorHAnsi"/>
        </w:rPr>
        <w:t>s</w:t>
      </w:r>
      <w:r w:rsidR="00A809D0">
        <w:rPr>
          <w:rFonts w:cstheme="minorHAnsi"/>
        </w:rPr>
        <w:t xml:space="preserve"> </w:t>
      </w:r>
      <w:r w:rsidR="00003144">
        <w:rPr>
          <w:rFonts w:cstheme="minorHAnsi"/>
        </w:rPr>
        <w:t xml:space="preserve">to improve their health or employment prospects, or whether they choose to remain in their existing unit </w:t>
      </w:r>
      <w:r w:rsidR="00A809D0">
        <w:rPr>
          <w:rFonts w:cstheme="minorHAnsi"/>
        </w:rPr>
        <w:t xml:space="preserve">to </w:t>
      </w:r>
      <w:r w:rsidR="009C69B0">
        <w:rPr>
          <w:rFonts w:cstheme="minorHAnsi"/>
        </w:rPr>
        <w:t>preserve current health</w:t>
      </w:r>
      <w:r w:rsidR="000D0CEF">
        <w:rPr>
          <w:rFonts w:cstheme="minorHAnsi"/>
        </w:rPr>
        <w:t xml:space="preserve"> or employment relations</w:t>
      </w:r>
      <w:r w:rsidR="00A809D0">
        <w:rPr>
          <w:rFonts w:cstheme="minorHAnsi"/>
        </w:rPr>
        <w:t xml:space="preserve">. Health and employment information will be used </w:t>
      </w:r>
      <w:r w:rsidR="00A93CD1">
        <w:rPr>
          <w:rFonts w:cstheme="minorHAnsi"/>
        </w:rPr>
        <w:t xml:space="preserve">along with other information </w:t>
      </w:r>
      <w:r w:rsidR="00A809D0">
        <w:rPr>
          <w:rFonts w:cstheme="minorHAnsi"/>
        </w:rPr>
        <w:t xml:space="preserve">as explanatory variables to understand why some households use choice mobility vouchers and other households do not. </w:t>
      </w:r>
    </w:p>
    <w:p w:rsidR="00C71131" w:rsidP="00C71131" w:rsidRDefault="00C71131" w14:paraId="7BE496EF" w14:textId="77777777"/>
    <w:p w:rsidRPr="00122D0B" w:rsidR="00122D0B" w:rsidP="006D398E" w:rsidRDefault="00122D0B" w14:paraId="601A82D9" w14:textId="6FAAD3CE">
      <w:pPr>
        <w:pStyle w:val="ListParagraph"/>
        <w:numPr>
          <w:ilvl w:val="0"/>
          <w:numId w:val="5"/>
        </w:numPr>
        <w:tabs>
          <w:tab w:val="left" w:pos="360"/>
        </w:tabs>
        <w:ind w:left="360"/>
        <w:rPr>
          <w:b/>
        </w:rPr>
      </w:pPr>
      <w:r w:rsidRPr="00122D0B">
        <w:rPr>
          <w:b/>
        </w:rPr>
        <w:t xml:space="preserve">Provide estimates of the hour burden of the collection of information.  The statement should: </w:t>
      </w:r>
    </w:p>
    <w:p w:rsidRPr="00F76E86" w:rsidR="00122D0B" w:rsidP="00F76E86" w:rsidRDefault="00122D0B" w14:paraId="741AAFE5" w14:textId="77777777">
      <w:pPr>
        <w:pStyle w:val="ListParagraph"/>
        <w:numPr>
          <w:ilvl w:val="0"/>
          <w:numId w:val="26"/>
        </w:numPr>
        <w:tabs>
          <w:tab w:val="left" w:pos="720"/>
        </w:tabs>
        <w:overflowPunct w:val="0"/>
        <w:autoSpaceDE w:val="0"/>
        <w:autoSpaceDN w:val="0"/>
        <w:adjustRightInd w:val="0"/>
        <w:rPr>
          <w:b/>
        </w:rPr>
      </w:pPr>
      <w:r w:rsidRPr="00F76E86">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F76E86">
        <w:rPr>
          <w:b/>
        </w:rPr>
        <w:t>practices;</w:t>
      </w:r>
      <w:proofErr w:type="gramEnd"/>
      <w:r w:rsidRPr="00F76E86">
        <w:rPr>
          <w:b/>
        </w:rPr>
        <w:t xml:space="preserve"> </w:t>
      </w:r>
    </w:p>
    <w:p w:rsidRPr="00122D0B" w:rsidR="00122D0B" w:rsidP="00F76E86" w:rsidRDefault="00122D0B" w14:paraId="3EDAE811" w14:textId="77777777">
      <w:pPr>
        <w:pStyle w:val="ListParagraph"/>
        <w:numPr>
          <w:ilvl w:val="0"/>
          <w:numId w:val="25"/>
        </w:numPr>
        <w:tabs>
          <w:tab w:val="left" w:pos="720"/>
        </w:tabs>
        <w:overflowPunct w:val="0"/>
        <w:autoSpaceDE w:val="0"/>
        <w:autoSpaceDN w:val="0"/>
        <w:adjustRightInd w:val="0"/>
        <w:ind w:left="720"/>
        <w:rPr>
          <w:b/>
        </w:rPr>
      </w:pPr>
      <w:r w:rsidRPr="00122D0B">
        <w:rPr>
          <w:b/>
        </w:rPr>
        <w:t>if this request covers more than one form, provide separate hour burden estimates for each form and aggregate the hour burdens in Item 13 of OMB Form 83-</w:t>
      </w:r>
      <w:proofErr w:type="gramStart"/>
      <w:r w:rsidRPr="00122D0B">
        <w:rPr>
          <w:b/>
        </w:rPr>
        <w:t>I;</w:t>
      </w:r>
      <w:proofErr w:type="gramEnd"/>
      <w:r w:rsidRPr="00122D0B">
        <w:rPr>
          <w:b/>
        </w:rPr>
        <w:t xml:space="preserve"> and </w:t>
      </w:r>
    </w:p>
    <w:p w:rsidRPr="00F76E86" w:rsidR="00C71131" w:rsidP="00F76E86" w:rsidRDefault="00122D0B" w14:paraId="0B7F3DCC" w14:textId="1A14FB65">
      <w:pPr>
        <w:pStyle w:val="ListParagraph"/>
        <w:keepLines/>
        <w:numPr>
          <w:ilvl w:val="0"/>
          <w:numId w:val="25"/>
        </w:numPr>
        <w:tabs>
          <w:tab w:val="left" w:pos="720"/>
        </w:tabs>
        <w:overflowPunct w:val="0"/>
        <w:autoSpaceDE w:val="0"/>
        <w:autoSpaceDN w:val="0"/>
        <w:adjustRightInd w:val="0"/>
        <w:spacing w:after="80"/>
        <w:ind w:left="720"/>
        <w:rPr>
          <w:b/>
        </w:rPr>
      </w:pPr>
      <w:r w:rsidRPr="00122D0B">
        <w:rPr>
          <w:b/>
        </w:rPr>
        <w:lastRenderedPageBreak/>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122D0B" w:rsidR="000E4191">
        <w:rPr>
          <w:b/>
        </w:rPr>
        <w:t>Instead,</w:t>
      </w:r>
      <w:r w:rsidRPr="00122D0B">
        <w:rPr>
          <w:b/>
        </w:rPr>
        <w:t xml:space="preserve"> this cost should be included in Item 13</w:t>
      </w:r>
      <w:r w:rsidRPr="00F958B6" w:rsidR="00C71131">
        <w:rPr>
          <w:b/>
          <w:bCs/>
        </w:rPr>
        <w:t>.</w:t>
      </w:r>
    </w:p>
    <w:p w:rsidR="00C71131" w:rsidP="00C71131" w:rsidRDefault="00C71131" w14:paraId="2B726F09" w14:textId="77777777">
      <w:pPr>
        <w:jc w:val="both"/>
      </w:pPr>
    </w:p>
    <w:p w:rsidR="00C71131" w:rsidP="00C71131" w:rsidRDefault="001978C5" w14:paraId="573A75BF" w14:textId="6B3D8110">
      <w:pPr>
        <w:jc w:val="both"/>
      </w:pPr>
      <w:r>
        <w:rPr>
          <w:i/>
        </w:rPr>
        <w:t xml:space="preserve">Burden </w:t>
      </w:r>
      <w:proofErr w:type="spellStart"/>
      <w:r>
        <w:rPr>
          <w:i/>
        </w:rPr>
        <w:t>Hours:</w:t>
      </w:r>
      <w:r w:rsidR="009F603E">
        <w:fldChar w:fldCharType="begin"/>
      </w:r>
      <w:r w:rsidR="009F603E">
        <w:instrText xml:space="preserve"> REF _Ref59100747 \h </w:instrText>
      </w:r>
      <w:r w:rsidR="009F603E">
        <w:fldChar w:fldCharType="separate"/>
      </w:r>
      <w:r w:rsidR="009F603E">
        <w:t>Table</w:t>
      </w:r>
      <w:proofErr w:type="spellEnd"/>
      <w:r w:rsidR="009F603E">
        <w:t xml:space="preserve"> </w:t>
      </w:r>
      <w:r w:rsidR="009F603E">
        <w:rPr>
          <w:noProof/>
        </w:rPr>
        <w:t>3</w:t>
      </w:r>
      <w:r w:rsidR="009F603E">
        <w:fldChar w:fldCharType="end"/>
      </w:r>
      <w:r w:rsidR="00DF0C63">
        <w:t xml:space="preserve"> </w:t>
      </w:r>
      <w:r w:rsidR="00C71131">
        <w:t>demonstrate</w:t>
      </w:r>
      <w:r w:rsidR="00DF0C63">
        <w:t>s</w:t>
      </w:r>
      <w:r w:rsidRPr="009267B3" w:rsidR="00C71131">
        <w:t xml:space="preserve"> how the burden hours are calculated</w:t>
      </w:r>
      <w:r w:rsidR="00FF4A1E">
        <w:t>.</w:t>
      </w:r>
    </w:p>
    <w:p w:rsidR="001C697F" w:rsidP="00C71131" w:rsidRDefault="001C697F" w14:paraId="11E1CF0E" w14:textId="4CBBC25E">
      <w:pPr>
        <w:jc w:val="both"/>
      </w:pPr>
    </w:p>
    <w:p w:rsidRPr="00483588" w:rsidR="008240B5" w:rsidP="000E4191" w:rsidRDefault="000E4191" w14:paraId="0DD8EF12" w14:textId="557F347A">
      <w:pPr>
        <w:pStyle w:val="TableCaption"/>
      </w:pPr>
      <w:bookmarkStart w:name="_Ref59100747" w:id="7"/>
      <w:bookmarkStart w:name="_Toc28012065" w:id="8"/>
      <w:bookmarkStart w:name="_Toc29811083" w:id="9"/>
      <w:r>
        <w:t xml:space="preserve">Table </w:t>
      </w:r>
      <w:r w:rsidR="00053080">
        <w:fldChar w:fldCharType="begin"/>
      </w:r>
      <w:r w:rsidR="00053080">
        <w:instrText xml:space="preserve"> SEQ Table \* ARABIC </w:instrText>
      </w:r>
      <w:r w:rsidR="00053080">
        <w:fldChar w:fldCharType="separate"/>
      </w:r>
      <w:r w:rsidR="00F20F82">
        <w:rPr>
          <w:noProof/>
        </w:rPr>
        <w:t>3</w:t>
      </w:r>
      <w:r w:rsidR="00053080">
        <w:rPr>
          <w:noProof/>
        </w:rPr>
        <w:fldChar w:fldCharType="end"/>
      </w:r>
      <w:bookmarkEnd w:id="7"/>
      <w:r>
        <w:rPr>
          <w:noProof/>
        </w:rPr>
        <w:t>.</w:t>
      </w:r>
      <w:r w:rsidR="008240B5">
        <w:tab/>
      </w:r>
      <w:r w:rsidRPr="00483588" w:rsidR="008240B5">
        <w:t>Response Burden Table</w:t>
      </w:r>
      <w:bookmarkEnd w:id="8"/>
      <w:bookmarkEnd w:id="9"/>
    </w:p>
    <w:tbl>
      <w:tblPr>
        <w:tblStyle w:val="EconometricaTableStyle"/>
        <w:tblW w:w="0" w:type="auto"/>
        <w:tblLook w:val="04A0" w:firstRow="1" w:lastRow="0" w:firstColumn="1" w:lastColumn="0" w:noHBand="0" w:noVBand="1"/>
      </w:tblPr>
      <w:tblGrid>
        <w:gridCol w:w="1459"/>
        <w:gridCol w:w="1358"/>
        <w:gridCol w:w="1104"/>
        <w:gridCol w:w="1154"/>
        <w:gridCol w:w="1054"/>
        <w:gridCol w:w="1099"/>
        <w:gridCol w:w="1045"/>
        <w:gridCol w:w="1087"/>
      </w:tblGrid>
      <w:tr w:rsidRPr="00C22C0E" w:rsidR="00127E5B" w:rsidTr="00A729AB" w14:paraId="39CE8862"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rsidRPr="00C22C0E" w:rsidR="008240B5" w:rsidP="00A729AB" w:rsidRDefault="008240B5" w14:paraId="565839C3" w14:textId="77777777">
            <w:pPr>
              <w:pStyle w:val="TableColumnHeading"/>
              <w:rPr>
                <w:sz w:val="20"/>
              </w:rPr>
            </w:pPr>
            <w:r w:rsidRPr="00C22C0E">
              <w:rPr>
                <w:sz w:val="20"/>
              </w:rPr>
              <w:t>Information Collection</w:t>
            </w:r>
          </w:p>
        </w:tc>
        <w:tc>
          <w:tcPr>
            <w:tcW w:w="0" w:type="auto"/>
          </w:tcPr>
          <w:p w:rsidRPr="00C22C0E" w:rsidR="008240B5" w:rsidP="00A729AB" w:rsidRDefault="008240B5" w14:paraId="11ACDED6" w14:textId="77777777">
            <w:pPr>
              <w:pStyle w:val="TableColumnHeading"/>
              <w:rPr>
                <w:b w:val="0"/>
                <w:sz w:val="20"/>
              </w:rPr>
            </w:pPr>
            <w:r w:rsidRPr="00C22C0E">
              <w:rPr>
                <w:sz w:val="20"/>
              </w:rPr>
              <w:t>Number of Respondents</w:t>
            </w:r>
          </w:p>
        </w:tc>
        <w:tc>
          <w:tcPr>
            <w:tcW w:w="0" w:type="auto"/>
          </w:tcPr>
          <w:p w:rsidRPr="00C22C0E" w:rsidR="008240B5" w:rsidP="00A729AB" w:rsidRDefault="008240B5" w14:paraId="2FED67EC" w14:textId="77777777">
            <w:pPr>
              <w:pStyle w:val="TableColumnHeading"/>
              <w:rPr>
                <w:sz w:val="20"/>
              </w:rPr>
            </w:pPr>
            <w:r w:rsidRPr="00C22C0E">
              <w:rPr>
                <w:sz w:val="20"/>
              </w:rPr>
              <w:t xml:space="preserve">Frequency of Response </w:t>
            </w:r>
          </w:p>
        </w:tc>
        <w:tc>
          <w:tcPr>
            <w:tcW w:w="1154" w:type="dxa"/>
          </w:tcPr>
          <w:p w:rsidRPr="00C22C0E" w:rsidR="008240B5" w:rsidP="00A729AB" w:rsidRDefault="008240B5" w14:paraId="41B89AB5" w14:textId="77777777">
            <w:pPr>
              <w:pStyle w:val="TableColumnHeading"/>
              <w:rPr>
                <w:sz w:val="20"/>
              </w:rPr>
            </w:pPr>
            <w:r w:rsidRPr="00C22C0E">
              <w:rPr>
                <w:sz w:val="20"/>
              </w:rPr>
              <w:t>Responses per Annum</w:t>
            </w:r>
          </w:p>
        </w:tc>
        <w:tc>
          <w:tcPr>
            <w:tcW w:w="1054" w:type="dxa"/>
          </w:tcPr>
          <w:p w:rsidRPr="00C22C0E" w:rsidR="008240B5" w:rsidP="00A729AB" w:rsidRDefault="008240B5" w14:paraId="6213E0A7" w14:textId="5F8732DD">
            <w:pPr>
              <w:pStyle w:val="TableColumnHeading"/>
              <w:rPr>
                <w:sz w:val="20"/>
              </w:rPr>
            </w:pPr>
            <w:r w:rsidRPr="00C22C0E">
              <w:rPr>
                <w:sz w:val="20"/>
              </w:rPr>
              <w:t xml:space="preserve">Burden </w:t>
            </w:r>
            <w:r w:rsidR="006D398E">
              <w:rPr>
                <w:sz w:val="20"/>
              </w:rPr>
              <w:t xml:space="preserve">Hour </w:t>
            </w:r>
            <w:r w:rsidRPr="00C22C0E">
              <w:rPr>
                <w:sz w:val="20"/>
              </w:rPr>
              <w:t>per Response</w:t>
            </w:r>
          </w:p>
        </w:tc>
        <w:tc>
          <w:tcPr>
            <w:tcW w:w="1099" w:type="dxa"/>
          </w:tcPr>
          <w:p w:rsidRPr="00C22C0E" w:rsidR="008240B5" w:rsidP="00A729AB" w:rsidRDefault="008240B5" w14:paraId="2F9E4AC6" w14:textId="77777777">
            <w:pPr>
              <w:pStyle w:val="TableColumnHeading"/>
              <w:rPr>
                <w:sz w:val="20"/>
              </w:rPr>
            </w:pPr>
            <w:r w:rsidRPr="00C22C0E">
              <w:rPr>
                <w:sz w:val="20"/>
              </w:rPr>
              <w:t>Annual Burden Hours</w:t>
            </w:r>
          </w:p>
        </w:tc>
        <w:tc>
          <w:tcPr>
            <w:tcW w:w="0" w:type="auto"/>
          </w:tcPr>
          <w:p w:rsidRPr="00C22C0E" w:rsidR="008240B5" w:rsidP="00A729AB" w:rsidRDefault="008240B5" w14:paraId="66A75B2E" w14:textId="77777777">
            <w:pPr>
              <w:pStyle w:val="TableColumnHeading"/>
              <w:rPr>
                <w:b w:val="0"/>
                <w:sz w:val="20"/>
              </w:rPr>
            </w:pPr>
            <w:r w:rsidRPr="00C22C0E">
              <w:rPr>
                <w:sz w:val="20"/>
              </w:rPr>
              <w:t>Hourly Cost per</w:t>
            </w:r>
            <w:r>
              <w:rPr>
                <w:b w:val="0"/>
                <w:sz w:val="20"/>
              </w:rPr>
              <w:br/>
            </w:r>
            <w:r w:rsidRPr="00C22C0E">
              <w:rPr>
                <w:sz w:val="20"/>
              </w:rPr>
              <w:t>Response</w:t>
            </w:r>
          </w:p>
        </w:tc>
        <w:tc>
          <w:tcPr>
            <w:tcW w:w="0" w:type="auto"/>
          </w:tcPr>
          <w:p w:rsidRPr="00C22C0E" w:rsidR="008240B5" w:rsidP="00A729AB" w:rsidRDefault="008240B5" w14:paraId="3D61D7F7" w14:textId="77777777">
            <w:pPr>
              <w:pStyle w:val="TableColumnHeading"/>
              <w:rPr>
                <w:b w:val="0"/>
                <w:sz w:val="20"/>
              </w:rPr>
            </w:pPr>
            <w:r w:rsidRPr="00C22C0E">
              <w:rPr>
                <w:sz w:val="20"/>
              </w:rPr>
              <w:t xml:space="preserve">Annual </w:t>
            </w:r>
          </w:p>
          <w:p w:rsidRPr="00C22C0E" w:rsidR="008240B5" w:rsidP="00A729AB" w:rsidRDefault="008240B5" w14:paraId="6DA6F9EA" w14:textId="77777777">
            <w:pPr>
              <w:pStyle w:val="TableColumnHeading"/>
              <w:rPr>
                <w:sz w:val="20"/>
              </w:rPr>
            </w:pPr>
            <w:r w:rsidRPr="00C22C0E">
              <w:rPr>
                <w:sz w:val="20"/>
              </w:rPr>
              <w:t>Cost</w:t>
            </w:r>
          </w:p>
        </w:tc>
      </w:tr>
      <w:tr w:rsidRPr="00734FDF" w:rsidR="00127E5B" w:rsidTr="00A729AB" w14:paraId="60C3C374"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F747AC" w:rsidR="008240B5" w:rsidP="00A729AB" w:rsidRDefault="009B5B08" w14:paraId="569EAE3D" w14:textId="3D995546">
            <w:pPr>
              <w:pStyle w:val="TableCellGeneralText"/>
            </w:pPr>
            <w:r w:rsidRPr="00BE139E">
              <w:rPr>
                <w:b/>
                <w:szCs w:val="20"/>
              </w:rPr>
              <w:t>Census of RAD PHA</w:t>
            </w:r>
          </w:p>
        </w:tc>
        <w:tc>
          <w:tcPr>
            <w:tcW w:w="0" w:type="auto"/>
          </w:tcPr>
          <w:p w:rsidRPr="00F747AC" w:rsidR="008240B5" w:rsidP="0037047C" w:rsidRDefault="00127E5B" w14:paraId="208F313B" w14:textId="65C88497">
            <w:pPr>
              <w:pStyle w:val="TableCellNumbers"/>
              <w:jc w:val="center"/>
            </w:pPr>
            <w:r>
              <w:t>400</w:t>
            </w:r>
          </w:p>
        </w:tc>
        <w:tc>
          <w:tcPr>
            <w:tcW w:w="0" w:type="auto"/>
          </w:tcPr>
          <w:p w:rsidRPr="00F747AC" w:rsidR="008240B5" w:rsidP="0037047C" w:rsidRDefault="006D398E" w14:paraId="30605A75" w14:textId="60B7384D">
            <w:pPr>
              <w:pStyle w:val="TableCellNumbers"/>
              <w:jc w:val="center"/>
            </w:pPr>
            <w:r>
              <w:t>1</w:t>
            </w:r>
          </w:p>
        </w:tc>
        <w:tc>
          <w:tcPr>
            <w:tcW w:w="1154" w:type="dxa"/>
          </w:tcPr>
          <w:p w:rsidRPr="00F747AC" w:rsidR="008240B5" w:rsidP="0037047C" w:rsidRDefault="00224202" w14:paraId="7B7B12EA" w14:textId="318D31DC">
            <w:pPr>
              <w:pStyle w:val="TableCellNumbers"/>
              <w:jc w:val="center"/>
            </w:pPr>
            <w:r>
              <w:t>400</w:t>
            </w:r>
          </w:p>
        </w:tc>
        <w:tc>
          <w:tcPr>
            <w:tcW w:w="1054" w:type="dxa"/>
          </w:tcPr>
          <w:p w:rsidRPr="00F747AC" w:rsidR="008240B5" w:rsidP="0037047C" w:rsidRDefault="006D398E" w14:paraId="3B91A819" w14:textId="6FF7D104">
            <w:pPr>
              <w:pStyle w:val="TableCellNumbers"/>
              <w:jc w:val="center"/>
            </w:pPr>
            <w:r>
              <w:t>0.75</w:t>
            </w:r>
          </w:p>
        </w:tc>
        <w:tc>
          <w:tcPr>
            <w:tcW w:w="1099" w:type="dxa"/>
          </w:tcPr>
          <w:p w:rsidRPr="00F747AC" w:rsidR="008240B5" w:rsidP="0037047C" w:rsidRDefault="006D398E" w14:paraId="5DEAA21E" w14:textId="58938FD0">
            <w:pPr>
              <w:pStyle w:val="TableCellNumbers"/>
              <w:jc w:val="center"/>
            </w:pPr>
            <w:r>
              <w:t>3</w:t>
            </w:r>
            <w:r w:rsidR="00127E5B">
              <w:t>00</w:t>
            </w:r>
            <w:r>
              <w:t>.00</w:t>
            </w:r>
          </w:p>
        </w:tc>
        <w:tc>
          <w:tcPr>
            <w:tcW w:w="0" w:type="auto"/>
          </w:tcPr>
          <w:p w:rsidRPr="00F747AC" w:rsidR="008240B5" w:rsidP="00A729AB" w:rsidRDefault="008240B5" w14:paraId="0D5A4D57" w14:textId="77777777">
            <w:pPr>
              <w:pStyle w:val="TableCellNumbers"/>
            </w:pPr>
            <w:r>
              <w:t xml:space="preserve">$34.46 </w:t>
            </w:r>
          </w:p>
        </w:tc>
        <w:tc>
          <w:tcPr>
            <w:tcW w:w="0" w:type="auto"/>
          </w:tcPr>
          <w:p w:rsidRPr="00F747AC" w:rsidR="008240B5" w:rsidP="00A729AB" w:rsidRDefault="008240B5" w14:paraId="5C55C06B" w14:textId="3000FB2D">
            <w:pPr>
              <w:pStyle w:val="TableCellNumbers"/>
            </w:pPr>
            <w:r>
              <w:t>$</w:t>
            </w:r>
            <w:r w:rsidR="00127E5B">
              <w:t>10,338.00</w:t>
            </w:r>
            <w:r>
              <w:t xml:space="preserve"> </w:t>
            </w:r>
          </w:p>
        </w:tc>
      </w:tr>
      <w:tr w:rsidRPr="00734FDF" w:rsidR="00127E5B" w:rsidTr="00A729AB" w14:paraId="249F9E81" w14:textId="77777777">
        <w:tc>
          <w:tcPr>
            <w:tcW w:w="0" w:type="auto"/>
          </w:tcPr>
          <w:p w:rsidRPr="00F747AC" w:rsidR="008240B5" w:rsidP="00A729AB" w:rsidRDefault="009B5B08" w14:paraId="512E1946" w14:textId="53A34388">
            <w:pPr>
              <w:pStyle w:val="TableCellGeneralText"/>
            </w:pPr>
            <w:r w:rsidRPr="00BE139E">
              <w:rPr>
                <w:b/>
                <w:szCs w:val="20"/>
              </w:rPr>
              <w:t>Survey of RAD</w:t>
            </w:r>
            <w:r w:rsidR="007040E7">
              <w:rPr>
                <w:b/>
                <w:szCs w:val="20"/>
              </w:rPr>
              <w:t xml:space="preserve"> non-PHA</w:t>
            </w:r>
            <w:r w:rsidRPr="00BE139E">
              <w:rPr>
                <w:b/>
                <w:szCs w:val="20"/>
              </w:rPr>
              <w:t xml:space="preserve"> Property Owner</w:t>
            </w:r>
            <w:r w:rsidR="002718D3">
              <w:rPr>
                <w:b/>
                <w:szCs w:val="20"/>
              </w:rPr>
              <w:t>s</w:t>
            </w:r>
          </w:p>
        </w:tc>
        <w:tc>
          <w:tcPr>
            <w:tcW w:w="0" w:type="auto"/>
          </w:tcPr>
          <w:p w:rsidRPr="00F747AC" w:rsidR="008240B5" w:rsidP="0037047C" w:rsidRDefault="00127E5B" w14:paraId="708C6DFD" w14:textId="30B0B44E">
            <w:pPr>
              <w:pStyle w:val="TableCellNumbers"/>
              <w:jc w:val="center"/>
            </w:pPr>
            <w:r>
              <w:t>228</w:t>
            </w:r>
          </w:p>
        </w:tc>
        <w:tc>
          <w:tcPr>
            <w:tcW w:w="0" w:type="auto"/>
          </w:tcPr>
          <w:p w:rsidRPr="00F747AC" w:rsidR="008240B5" w:rsidP="0037047C" w:rsidRDefault="006D398E" w14:paraId="566481C3" w14:textId="7759DB4A">
            <w:pPr>
              <w:pStyle w:val="TableCellNumbers"/>
              <w:jc w:val="center"/>
            </w:pPr>
            <w:r>
              <w:t>1</w:t>
            </w:r>
          </w:p>
        </w:tc>
        <w:tc>
          <w:tcPr>
            <w:tcW w:w="1154" w:type="dxa"/>
          </w:tcPr>
          <w:p w:rsidRPr="00F747AC" w:rsidR="008240B5" w:rsidP="0037047C" w:rsidRDefault="00224202" w14:paraId="68D3039C" w14:textId="10BE7FE5">
            <w:pPr>
              <w:pStyle w:val="TableCellNumbers"/>
              <w:jc w:val="center"/>
            </w:pPr>
            <w:r>
              <w:t>228</w:t>
            </w:r>
          </w:p>
        </w:tc>
        <w:tc>
          <w:tcPr>
            <w:tcW w:w="1054" w:type="dxa"/>
          </w:tcPr>
          <w:p w:rsidRPr="00F747AC" w:rsidR="008240B5" w:rsidP="0037047C" w:rsidRDefault="006D398E" w14:paraId="023E557C" w14:textId="4D3EA2A3">
            <w:pPr>
              <w:pStyle w:val="TableCellNumbers"/>
              <w:jc w:val="center"/>
            </w:pPr>
            <w:r>
              <w:t>0.33</w:t>
            </w:r>
          </w:p>
        </w:tc>
        <w:tc>
          <w:tcPr>
            <w:tcW w:w="1099" w:type="dxa"/>
          </w:tcPr>
          <w:p w:rsidRPr="00F747AC" w:rsidR="008240B5" w:rsidP="0037047C" w:rsidRDefault="00127E5B" w14:paraId="2C623969" w14:textId="0601EEB4">
            <w:pPr>
              <w:pStyle w:val="TableCellNumbers"/>
              <w:jc w:val="center"/>
            </w:pPr>
            <w:r>
              <w:t>75.24</w:t>
            </w:r>
          </w:p>
        </w:tc>
        <w:tc>
          <w:tcPr>
            <w:tcW w:w="0" w:type="auto"/>
          </w:tcPr>
          <w:p w:rsidRPr="00F747AC" w:rsidR="008240B5" w:rsidP="00A729AB" w:rsidRDefault="008240B5" w14:paraId="4F412FF0" w14:textId="77777777">
            <w:pPr>
              <w:pStyle w:val="TableCellNumbers"/>
            </w:pPr>
            <w:r>
              <w:t xml:space="preserve">$34.46 </w:t>
            </w:r>
          </w:p>
        </w:tc>
        <w:tc>
          <w:tcPr>
            <w:tcW w:w="0" w:type="auto"/>
          </w:tcPr>
          <w:p w:rsidRPr="00F747AC" w:rsidR="008240B5" w:rsidP="00A729AB" w:rsidRDefault="008240B5" w14:paraId="12D8DCE9" w14:textId="132F251E">
            <w:pPr>
              <w:pStyle w:val="TableCellNumbers"/>
            </w:pPr>
            <w:r>
              <w:t>$</w:t>
            </w:r>
            <w:r w:rsidR="00127E5B">
              <w:t>2,592.77</w:t>
            </w:r>
          </w:p>
        </w:tc>
      </w:tr>
      <w:tr w:rsidRPr="00734FDF" w:rsidR="00127E5B" w:rsidTr="00A729AB" w14:paraId="5B1296B2"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F747AC" w:rsidR="008240B5" w:rsidP="009F65C3" w:rsidRDefault="009B5B08" w14:paraId="1A9075C2" w14:textId="6AE17A1D">
            <w:pPr>
              <w:pStyle w:val="TableCellGeneralText"/>
            </w:pPr>
            <w:r w:rsidRPr="00A05C24">
              <w:rPr>
                <w:b/>
                <w:bCs w:val="0"/>
                <w:szCs w:val="20"/>
              </w:rPr>
              <w:t>Survey of choice mobility residents</w:t>
            </w:r>
          </w:p>
        </w:tc>
        <w:tc>
          <w:tcPr>
            <w:tcW w:w="0" w:type="auto"/>
          </w:tcPr>
          <w:p w:rsidRPr="00F747AC" w:rsidR="008240B5" w:rsidP="0037047C" w:rsidRDefault="00127E5B" w14:paraId="3302647A" w14:textId="78773BE5">
            <w:pPr>
              <w:pStyle w:val="TableCellNumbers"/>
              <w:jc w:val="center"/>
            </w:pPr>
            <w:r>
              <w:t>708</w:t>
            </w:r>
          </w:p>
        </w:tc>
        <w:tc>
          <w:tcPr>
            <w:tcW w:w="0" w:type="auto"/>
          </w:tcPr>
          <w:p w:rsidRPr="00F747AC" w:rsidR="008240B5" w:rsidP="0037047C" w:rsidRDefault="006D398E" w14:paraId="7DD55D5B" w14:textId="149844E8">
            <w:pPr>
              <w:pStyle w:val="TableCellNumbers"/>
              <w:jc w:val="center"/>
            </w:pPr>
            <w:r>
              <w:t>1</w:t>
            </w:r>
          </w:p>
        </w:tc>
        <w:tc>
          <w:tcPr>
            <w:tcW w:w="1154" w:type="dxa"/>
          </w:tcPr>
          <w:p w:rsidRPr="00F747AC" w:rsidR="008240B5" w:rsidP="0037047C" w:rsidRDefault="00224202" w14:paraId="7D6B5F5F" w14:textId="773D25CA">
            <w:pPr>
              <w:pStyle w:val="TableCellNumbers"/>
              <w:jc w:val="center"/>
            </w:pPr>
            <w:r>
              <w:t>708</w:t>
            </w:r>
          </w:p>
        </w:tc>
        <w:tc>
          <w:tcPr>
            <w:tcW w:w="1054" w:type="dxa"/>
          </w:tcPr>
          <w:p w:rsidRPr="00F747AC" w:rsidR="008240B5" w:rsidP="0037047C" w:rsidRDefault="006D398E" w14:paraId="1B36AE55" w14:textId="30982A7C">
            <w:pPr>
              <w:pStyle w:val="TableCellNumbers"/>
              <w:jc w:val="center"/>
            </w:pPr>
            <w:r>
              <w:t>0.33</w:t>
            </w:r>
          </w:p>
        </w:tc>
        <w:tc>
          <w:tcPr>
            <w:tcW w:w="1099" w:type="dxa"/>
          </w:tcPr>
          <w:p w:rsidRPr="00F747AC" w:rsidR="008240B5" w:rsidP="0037047C" w:rsidRDefault="00127E5B" w14:paraId="1BCABF3C" w14:textId="1141C006">
            <w:pPr>
              <w:pStyle w:val="TableCellNumbers"/>
              <w:jc w:val="center"/>
            </w:pPr>
            <w:r>
              <w:t>233.64</w:t>
            </w:r>
          </w:p>
        </w:tc>
        <w:tc>
          <w:tcPr>
            <w:tcW w:w="0" w:type="auto"/>
          </w:tcPr>
          <w:p w:rsidRPr="00F747AC" w:rsidR="008240B5" w:rsidP="00A729AB" w:rsidRDefault="008240B5" w14:paraId="4C1717CB" w14:textId="77777777">
            <w:pPr>
              <w:pStyle w:val="TableCellNumbers"/>
            </w:pPr>
            <w:r>
              <w:t xml:space="preserve">$28.62 </w:t>
            </w:r>
          </w:p>
        </w:tc>
        <w:tc>
          <w:tcPr>
            <w:tcW w:w="0" w:type="auto"/>
          </w:tcPr>
          <w:p w:rsidRPr="00F747AC" w:rsidR="008240B5" w:rsidP="00EF5664" w:rsidRDefault="008240B5" w14:paraId="2CF8AD06" w14:textId="22705529">
            <w:pPr>
              <w:pStyle w:val="TableCellNumbers"/>
            </w:pPr>
            <w:r>
              <w:t>$</w:t>
            </w:r>
            <w:r w:rsidR="00127E5B">
              <w:t>6,686.78</w:t>
            </w:r>
            <w:r>
              <w:t xml:space="preserve"> </w:t>
            </w:r>
          </w:p>
        </w:tc>
      </w:tr>
      <w:tr w:rsidRPr="00734FDF" w:rsidR="00127E5B" w:rsidTr="00A729AB" w14:paraId="0BF70499" w14:textId="77777777">
        <w:tc>
          <w:tcPr>
            <w:tcW w:w="0" w:type="auto"/>
          </w:tcPr>
          <w:p w:rsidRPr="00F747AC" w:rsidR="008240B5" w:rsidP="00A729AB" w:rsidRDefault="008D0A81" w14:paraId="732C0A7F" w14:textId="633F6CF4">
            <w:pPr>
              <w:pStyle w:val="TableCellGeneralText"/>
            </w:pPr>
            <w:r w:rsidRPr="00A05C24">
              <w:rPr>
                <w:b/>
                <w:bCs w:val="0"/>
                <w:szCs w:val="20"/>
              </w:rPr>
              <w:t>Survey of non-choice mobility residents</w:t>
            </w:r>
          </w:p>
        </w:tc>
        <w:tc>
          <w:tcPr>
            <w:tcW w:w="0" w:type="auto"/>
          </w:tcPr>
          <w:p w:rsidRPr="00F747AC" w:rsidR="008240B5" w:rsidP="0037047C" w:rsidRDefault="00127E5B" w14:paraId="7B9B9030" w14:textId="4A7FDB76">
            <w:pPr>
              <w:pStyle w:val="TableCellNumbers"/>
              <w:jc w:val="center"/>
            </w:pPr>
            <w:r>
              <w:t>231</w:t>
            </w:r>
          </w:p>
        </w:tc>
        <w:tc>
          <w:tcPr>
            <w:tcW w:w="0" w:type="auto"/>
          </w:tcPr>
          <w:p w:rsidRPr="00F747AC" w:rsidR="008240B5" w:rsidP="0037047C" w:rsidRDefault="006D398E" w14:paraId="19F76A91" w14:textId="4B735E11">
            <w:pPr>
              <w:pStyle w:val="TableCellNumbers"/>
              <w:jc w:val="center"/>
            </w:pPr>
            <w:r>
              <w:t>1</w:t>
            </w:r>
          </w:p>
        </w:tc>
        <w:tc>
          <w:tcPr>
            <w:tcW w:w="1154" w:type="dxa"/>
          </w:tcPr>
          <w:p w:rsidRPr="00F747AC" w:rsidR="008240B5" w:rsidP="0037047C" w:rsidRDefault="00224202" w14:paraId="43BFEA28" w14:textId="7FDFC006">
            <w:pPr>
              <w:pStyle w:val="TableCellNumbers"/>
              <w:jc w:val="center"/>
            </w:pPr>
            <w:r>
              <w:t>231</w:t>
            </w:r>
          </w:p>
        </w:tc>
        <w:tc>
          <w:tcPr>
            <w:tcW w:w="1054" w:type="dxa"/>
          </w:tcPr>
          <w:p w:rsidRPr="00F747AC" w:rsidR="008240B5" w:rsidP="0037047C" w:rsidRDefault="006D398E" w14:paraId="3486E430" w14:textId="23EC9575">
            <w:pPr>
              <w:pStyle w:val="TableCellNumbers"/>
              <w:jc w:val="center"/>
            </w:pPr>
            <w:r>
              <w:t>0.33</w:t>
            </w:r>
          </w:p>
        </w:tc>
        <w:tc>
          <w:tcPr>
            <w:tcW w:w="1099" w:type="dxa"/>
          </w:tcPr>
          <w:p w:rsidRPr="00F747AC" w:rsidR="008240B5" w:rsidP="0037047C" w:rsidRDefault="00127E5B" w14:paraId="35ECCF3E" w14:textId="26132858">
            <w:pPr>
              <w:pStyle w:val="TableCellNumbers"/>
              <w:jc w:val="center"/>
            </w:pPr>
            <w:r>
              <w:t>76.23</w:t>
            </w:r>
          </w:p>
        </w:tc>
        <w:tc>
          <w:tcPr>
            <w:tcW w:w="0" w:type="auto"/>
          </w:tcPr>
          <w:p w:rsidRPr="00F747AC" w:rsidR="008240B5" w:rsidP="00A729AB" w:rsidRDefault="008240B5" w14:paraId="58D75424" w14:textId="77777777">
            <w:pPr>
              <w:pStyle w:val="TableCellNumbers"/>
            </w:pPr>
            <w:r>
              <w:t xml:space="preserve">$28.62 </w:t>
            </w:r>
          </w:p>
        </w:tc>
        <w:tc>
          <w:tcPr>
            <w:tcW w:w="0" w:type="auto"/>
          </w:tcPr>
          <w:p w:rsidRPr="00F747AC" w:rsidR="008240B5" w:rsidP="00EF5664" w:rsidRDefault="008240B5" w14:paraId="57C3C204" w14:textId="47FF6FB7">
            <w:pPr>
              <w:pStyle w:val="TableCellNumbers"/>
            </w:pPr>
            <w:r>
              <w:t>$</w:t>
            </w:r>
            <w:r w:rsidR="00127E5B">
              <w:t>2,181.70</w:t>
            </w:r>
            <w:r>
              <w:t xml:space="preserve"> </w:t>
            </w:r>
          </w:p>
        </w:tc>
      </w:tr>
      <w:tr w:rsidRPr="00734FDF" w:rsidR="00127E5B" w:rsidTr="00A729AB" w14:paraId="35775DF3"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A05C24" w:rsidR="00FD5C21" w:rsidP="00A729AB" w:rsidRDefault="00396EDC" w14:paraId="49652A07" w14:textId="7B10F438">
            <w:pPr>
              <w:pStyle w:val="TableCellGeneralText"/>
              <w:rPr>
                <w:b/>
                <w:bCs w:val="0"/>
                <w:szCs w:val="20"/>
              </w:rPr>
            </w:pPr>
            <w:r>
              <w:rPr>
                <w:b/>
                <w:bCs w:val="0"/>
                <w:szCs w:val="20"/>
              </w:rPr>
              <w:t xml:space="preserve">Interview of </w:t>
            </w:r>
            <w:r w:rsidR="00461B1A">
              <w:rPr>
                <w:b/>
                <w:bCs w:val="0"/>
                <w:szCs w:val="20"/>
              </w:rPr>
              <w:t>PHA</w:t>
            </w:r>
            <w:r>
              <w:rPr>
                <w:b/>
                <w:bCs w:val="0"/>
                <w:szCs w:val="20"/>
              </w:rPr>
              <w:t xml:space="preserve"> staff on</w:t>
            </w:r>
            <w:r w:rsidR="00461B1A">
              <w:rPr>
                <w:b/>
                <w:bCs w:val="0"/>
                <w:szCs w:val="20"/>
              </w:rPr>
              <w:t xml:space="preserve"> </w:t>
            </w:r>
            <w:r>
              <w:rPr>
                <w:b/>
                <w:bCs w:val="0"/>
                <w:szCs w:val="20"/>
              </w:rPr>
              <w:t>o</w:t>
            </w:r>
            <w:r w:rsidR="00461B1A">
              <w:rPr>
                <w:b/>
                <w:bCs w:val="0"/>
                <w:szCs w:val="20"/>
              </w:rPr>
              <w:t xml:space="preserve">rganizational </w:t>
            </w:r>
            <w:r>
              <w:rPr>
                <w:b/>
                <w:bCs w:val="0"/>
                <w:szCs w:val="20"/>
              </w:rPr>
              <w:t>c</w:t>
            </w:r>
            <w:r w:rsidR="00461B1A">
              <w:rPr>
                <w:b/>
                <w:bCs w:val="0"/>
                <w:szCs w:val="20"/>
              </w:rPr>
              <w:t>hange</w:t>
            </w:r>
            <w:r>
              <w:rPr>
                <w:b/>
                <w:bCs w:val="0"/>
                <w:szCs w:val="20"/>
              </w:rPr>
              <w:t>s</w:t>
            </w:r>
          </w:p>
        </w:tc>
        <w:tc>
          <w:tcPr>
            <w:tcW w:w="0" w:type="auto"/>
          </w:tcPr>
          <w:p w:rsidR="00FD5C21" w:rsidP="0037047C" w:rsidRDefault="003305DD" w14:paraId="490A1C18" w14:textId="273F32AA">
            <w:pPr>
              <w:pStyle w:val="TableCellNumbers"/>
              <w:jc w:val="center"/>
            </w:pPr>
            <w:r>
              <w:t>25</w:t>
            </w:r>
            <w:r w:rsidR="00522D1A">
              <w:t>0</w:t>
            </w:r>
          </w:p>
        </w:tc>
        <w:tc>
          <w:tcPr>
            <w:tcW w:w="0" w:type="auto"/>
          </w:tcPr>
          <w:p w:rsidR="00FD5C21" w:rsidP="0037047C" w:rsidRDefault="006D398E" w14:paraId="23E49E7C" w14:textId="3E875BE1">
            <w:pPr>
              <w:pStyle w:val="TableCellNumbers"/>
              <w:jc w:val="center"/>
            </w:pPr>
            <w:r>
              <w:t>1</w:t>
            </w:r>
          </w:p>
        </w:tc>
        <w:tc>
          <w:tcPr>
            <w:tcW w:w="1154" w:type="dxa"/>
          </w:tcPr>
          <w:p w:rsidR="00FD5C21" w:rsidP="0037047C" w:rsidRDefault="00224202" w14:paraId="14A0C5C1" w14:textId="45D699F2">
            <w:pPr>
              <w:pStyle w:val="TableCellNumbers"/>
              <w:jc w:val="center"/>
            </w:pPr>
            <w:r>
              <w:t>250</w:t>
            </w:r>
          </w:p>
        </w:tc>
        <w:tc>
          <w:tcPr>
            <w:tcW w:w="1054" w:type="dxa"/>
          </w:tcPr>
          <w:p w:rsidRPr="00F747AC" w:rsidR="00FD5C21" w:rsidP="0037047C" w:rsidRDefault="006D398E" w14:paraId="76CF3442" w14:textId="69DCA273">
            <w:pPr>
              <w:pStyle w:val="TableCellNumbers"/>
              <w:jc w:val="center"/>
            </w:pPr>
            <w:r>
              <w:t>1.5</w:t>
            </w:r>
          </w:p>
        </w:tc>
        <w:tc>
          <w:tcPr>
            <w:tcW w:w="1099" w:type="dxa"/>
          </w:tcPr>
          <w:p w:rsidR="00FD5C21" w:rsidP="0037047C" w:rsidRDefault="00522D1A" w14:paraId="0614BC32" w14:textId="5050FC34">
            <w:pPr>
              <w:pStyle w:val="TableCellNumbers"/>
              <w:jc w:val="center"/>
            </w:pPr>
            <w:r>
              <w:t>375.00</w:t>
            </w:r>
          </w:p>
        </w:tc>
        <w:tc>
          <w:tcPr>
            <w:tcW w:w="0" w:type="auto"/>
          </w:tcPr>
          <w:p w:rsidR="00FD5C21" w:rsidP="00A729AB" w:rsidRDefault="00F00B9C" w14:paraId="64847326" w14:textId="6AF3E273">
            <w:pPr>
              <w:pStyle w:val="TableCellNumbers"/>
            </w:pPr>
            <w:r>
              <w:t>$34.46</w:t>
            </w:r>
          </w:p>
        </w:tc>
        <w:tc>
          <w:tcPr>
            <w:tcW w:w="0" w:type="auto"/>
          </w:tcPr>
          <w:p w:rsidR="00FD5C21" w:rsidP="00EF5664" w:rsidRDefault="00164F89" w14:paraId="4842605B" w14:textId="4DE83C58">
            <w:pPr>
              <w:pStyle w:val="TableCellNumbers"/>
            </w:pPr>
            <w:r>
              <w:t>$</w:t>
            </w:r>
            <w:r w:rsidR="00522D1A">
              <w:t>12,922.50</w:t>
            </w:r>
          </w:p>
        </w:tc>
      </w:tr>
      <w:tr w:rsidRPr="00CA0D1B" w:rsidR="00127E5B" w:rsidTr="00A729AB" w14:paraId="0984454C" w14:textId="77777777">
        <w:tc>
          <w:tcPr>
            <w:tcW w:w="0" w:type="auto"/>
            <w:shd w:val="clear" w:color="auto" w:fill="DBDBDB"/>
          </w:tcPr>
          <w:p w:rsidRPr="00CA0D1B" w:rsidR="008240B5" w:rsidP="00A729AB" w:rsidRDefault="008240B5" w14:paraId="1E781FB3" w14:textId="77777777">
            <w:pPr>
              <w:pStyle w:val="TableCellGeneralText"/>
              <w:rPr>
                <w:b/>
                <w:bCs w:val="0"/>
              </w:rPr>
            </w:pPr>
            <w:r w:rsidRPr="00CA0D1B">
              <w:rPr>
                <w:b/>
                <w:bCs w:val="0"/>
              </w:rPr>
              <w:t>Total</w:t>
            </w:r>
          </w:p>
        </w:tc>
        <w:tc>
          <w:tcPr>
            <w:tcW w:w="0" w:type="auto"/>
            <w:shd w:val="clear" w:color="auto" w:fill="DBDBDB"/>
          </w:tcPr>
          <w:p w:rsidRPr="00CA0D1B" w:rsidR="008240B5" w:rsidP="0037047C" w:rsidRDefault="00127E5B" w14:paraId="0164DFC3" w14:textId="6D0F4062">
            <w:pPr>
              <w:pStyle w:val="TableCellNumbers"/>
              <w:jc w:val="center"/>
              <w:rPr>
                <w:b/>
                <w:bCs w:val="0"/>
              </w:rPr>
            </w:pPr>
            <w:r>
              <w:rPr>
                <w:b/>
                <w:bCs w:val="0"/>
              </w:rPr>
              <w:t>1,817</w:t>
            </w:r>
          </w:p>
        </w:tc>
        <w:tc>
          <w:tcPr>
            <w:tcW w:w="0" w:type="auto"/>
            <w:shd w:val="clear" w:color="auto" w:fill="DBDBDB"/>
          </w:tcPr>
          <w:p w:rsidRPr="00CA0D1B" w:rsidR="008240B5" w:rsidP="0037047C" w:rsidRDefault="008240B5" w14:paraId="15E8E521" w14:textId="77777777">
            <w:pPr>
              <w:pStyle w:val="TableCellNumbers"/>
              <w:jc w:val="center"/>
              <w:rPr>
                <w:b/>
                <w:bCs w:val="0"/>
              </w:rPr>
            </w:pPr>
            <w:r>
              <w:rPr>
                <w:b/>
                <w:bCs w:val="0"/>
              </w:rPr>
              <w:t>N/A</w:t>
            </w:r>
          </w:p>
        </w:tc>
        <w:tc>
          <w:tcPr>
            <w:tcW w:w="1154" w:type="dxa"/>
            <w:shd w:val="clear" w:color="auto" w:fill="DBDBDB"/>
          </w:tcPr>
          <w:p w:rsidRPr="00CA0D1B" w:rsidR="008240B5" w:rsidP="0037047C" w:rsidRDefault="00042A85" w14:paraId="22AAD9B0" w14:textId="54DCA4D1">
            <w:pPr>
              <w:pStyle w:val="TableCellNumbers"/>
              <w:jc w:val="center"/>
              <w:rPr>
                <w:b/>
                <w:bCs w:val="0"/>
              </w:rPr>
            </w:pPr>
            <w:r>
              <w:rPr>
                <w:b/>
                <w:bCs w:val="0"/>
              </w:rPr>
              <w:t>1,817</w:t>
            </w:r>
          </w:p>
        </w:tc>
        <w:tc>
          <w:tcPr>
            <w:tcW w:w="1054" w:type="dxa"/>
            <w:shd w:val="clear" w:color="auto" w:fill="DBDBDB"/>
          </w:tcPr>
          <w:p w:rsidRPr="00CA0D1B" w:rsidR="008240B5" w:rsidP="0037047C" w:rsidRDefault="008240B5" w14:paraId="0F6E0AD9" w14:textId="77777777">
            <w:pPr>
              <w:pStyle w:val="TableCellNumbers"/>
              <w:jc w:val="center"/>
              <w:rPr>
                <w:b/>
                <w:bCs w:val="0"/>
              </w:rPr>
            </w:pPr>
            <w:r>
              <w:rPr>
                <w:b/>
                <w:bCs w:val="0"/>
              </w:rPr>
              <w:t>N</w:t>
            </w:r>
            <w:r w:rsidRPr="00CA0D1B">
              <w:rPr>
                <w:b/>
                <w:bCs w:val="0"/>
              </w:rPr>
              <w:t>/</w:t>
            </w:r>
            <w:r>
              <w:rPr>
                <w:b/>
                <w:bCs w:val="0"/>
              </w:rPr>
              <w:t>A</w:t>
            </w:r>
          </w:p>
        </w:tc>
        <w:tc>
          <w:tcPr>
            <w:tcW w:w="1099" w:type="dxa"/>
            <w:shd w:val="clear" w:color="auto" w:fill="DBDBDB"/>
          </w:tcPr>
          <w:p w:rsidRPr="00CA0D1B" w:rsidR="008240B5" w:rsidP="0037047C" w:rsidRDefault="005228BF" w14:paraId="0BA2D0C2" w14:textId="4CE9EF42">
            <w:pPr>
              <w:pStyle w:val="TableCellNumbers"/>
              <w:jc w:val="center"/>
              <w:rPr>
                <w:b/>
                <w:bCs w:val="0"/>
              </w:rPr>
            </w:pPr>
            <w:r>
              <w:rPr>
                <w:b/>
                <w:bCs w:val="0"/>
              </w:rPr>
              <w:t>1</w:t>
            </w:r>
            <w:r w:rsidR="00F958B6">
              <w:rPr>
                <w:b/>
                <w:bCs w:val="0"/>
              </w:rPr>
              <w:t>,</w:t>
            </w:r>
            <w:r w:rsidR="00127E5B">
              <w:rPr>
                <w:b/>
                <w:bCs w:val="0"/>
              </w:rPr>
              <w:t>060.11</w:t>
            </w:r>
          </w:p>
        </w:tc>
        <w:tc>
          <w:tcPr>
            <w:tcW w:w="0" w:type="auto"/>
            <w:shd w:val="clear" w:color="auto" w:fill="DBDBDB"/>
          </w:tcPr>
          <w:p w:rsidRPr="00CA0D1B" w:rsidR="008240B5" w:rsidP="00A729AB" w:rsidRDefault="006C6947" w14:paraId="002F5ADD" w14:textId="3BED1B7D">
            <w:pPr>
              <w:pStyle w:val="TableCellNumbers"/>
              <w:rPr>
                <w:b/>
                <w:bCs w:val="0"/>
              </w:rPr>
            </w:pPr>
            <w:r>
              <w:rPr>
                <w:b/>
                <w:bCs w:val="0"/>
              </w:rPr>
              <w:t>N</w:t>
            </w:r>
            <w:r w:rsidRPr="00CA0D1B" w:rsidR="008240B5">
              <w:rPr>
                <w:b/>
                <w:bCs w:val="0"/>
              </w:rPr>
              <w:t>/</w:t>
            </w:r>
            <w:r>
              <w:rPr>
                <w:b/>
                <w:bCs w:val="0"/>
              </w:rPr>
              <w:t>A</w:t>
            </w:r>
          </w:p>
        </w:tc>
        <w:tc>
          <w:tcPr>
            <w:tcW w:w="0" w:type="auto"/>
            <w:shd w:val="clear" w:color="auto" w:fill="DBDBDB"/>
          </w:tcPr>
          <w:p w:rsidRPr="00CA0D1B" w:rsidR="008240B5" w:rsidP="00A729AB" w:rsidRDefault="008240B5" w14:paraId="33BD8AD8" w14:textId="124452A5">
            <w:pPr>
              <w:pStyle w:val="TableCellNumbers"/>
              <w:rPr>
                <w:b/>
                <w:bCs w:val="0"/>
              </w:rPr>
            </w:pPr>
            <w:r w:rsidRPr="00CA0D1B">
              <w:rPr>
                <w:b/>
                <w:bCs w:val="0"/>
              </w:rPr>
              <w:t>$</w:t>
            </w:r>
            <w:r w:rsidR="00127E5B">
              <w:rPr>
                <w:b/>
                <w:bCs w:val="0"/>
              </w:rPr>
              <w:t>34,721.75</w:t>
            </w:r>
          </w:p>
        </w:tc>
      </w:tr>
    </w:tbl>
    <w:p w:rsidRPr="000D748F" w:rsidR="008240B5" w:rsidP="008240B5" w:rsidRDefault="008240B5" w14:paraId="32631D09" w14:textId="77777777">
      <w:pPr>
        <w:rPr>
          <w:sz w:val="20"/>
          <w:szCs w:val="20"/>
        </w:rPr>
      </w:pPr>
      <w:r w:rsidRPr="000D748F">
        <w:rPr>
          <w:sz w:val="20"/>
          <w:szCs w:val="20"/>
        </w:rPr>
        <w:t xml:space="preserve">Source:  Table B-3. Average hourly and weekly earnings of all employees on private nonfarm payrolls by industry sector, seasonally adjusted.  </w:t>
      </w:r>
      <w:r w:rsidRPr="008F7E25">
        <w:rPr>
          <w:sz w:val="20"/>
          <w:szCs w:val="20"/>
        </w:rPr>
        <w:t xml:space="preserve">U.S. Bureau of Labor Statistics.  </w:t>
      </w:r>
      <w:r>
        <w:rPr>
          <w:sz w:val="20"/>
          <w:szCs w:val="20"/>
        </w:rPr>
        <w:t>March 2020</w:t>
      </w:r>
      <w:r w:rsidRPr="008F7E25">
        <w:rPr>
          <w:sz w:val="20"/>
          <w:szCs w:val="20"/>
        </w:rPr>
        <w:t>(P) for all private sector ($28.</w:t>
      </w:r>
      <w:r>
        <w:rPr>
          <w:sz w:val="20"/>
          <w:szCs w:val="20"/>
        </w:rPr>
        <w:t>6</w:t>
      </w:r>
      <w:r w:rsidRPr="008F7E25">
        <w:rPr>
          <w:sz w:val="20"/>
          <w:szCs w:val="20"/>
        </w:rPr>
        <w:t>2) and professional and business services ($34.</w:t>
      </w:r>
      <w:r>
        <w:rPr>
          <w:sz w:val="20"/>
          <w:szCs w:val="20"/>
        </w:rPr>
        <w:t>46</w:t>
      </w:r>
      <w:r w:rsidRPr="008F7E25">
        <w:rPr>
          <w:sz w:val="20"/>
          <w:szCs w:val="20"/>
        </w:rPr>
        <w:t>).</w:t>
      </w:r>
      <w:r>
        <w:rPr>
          <w:sz w:val="20"/>
          <w:szCs w:val="20"/>
        </w:rPr>
        <w:t xml:space="preserve">  </w:t>
      </w:r>
      <w:r w:rsidRPr="00D5728B">
        <w:rPr>
          <w:sz w:val="20"/>
          <w:szCs w:val="20"/>
        </w:rPr>
        <w:t>https://www.bls.gov/news.release/empsit.t19.htm</w:t>
      </w:r>
      <w:r>
        <w:rPr>
          <w:sz w:val="20"/>
          <w:szCs w:val="20"/>
        </w:rPr>
        <w:t>.</w:t>
      </w:r>
    </w:p>
    <w:p w:rsidR="008240B5" w:rsidP="00C71131" w:rsidRDefault="008240B5" w14:paraId="5A1C6198" w14:textId="77777777">
      <w:pPr>
        <w:jc w:val="both"/>
      </w:pPr>
    </w:p>
    <w:p w:rsidRPr="00F958B6" w:rsidR="001978C5" w:rsidP="00213087" w:rsidRDefault="005F671E" w14:paraId="0D5A18A1" w14:textId="31F953FF">
      <w:pPr>
        <w:keepNext/>
        <w:numPr>
          <w:ilvl w:val="0"/>
          <w:numId w:val="5"/>
        </w:numPr>
        <w:ind w:left="360"/>
        <w:jc w:val="both"/>
      </w:pPr>
      <w:r w:rsidRPr="00F958B6">
        <w:rPr>
          <w:b/>
          <w:bCs/>
        </w:rPr>
        <w:t>Provide an estimate of the total annual cost burden to respondents or recordkeepers resulting from the collection of information (do not include the cost of any hour burden shown in Items 12 and 14)</w:t>
      </w:r>
      <w:r w:rsidRPr="00F958B6" w:rsidR="00FD2A38">
        <w:rPr>
          <w:b/>
          <w:bCs/>
        </w:rPr>
        <w:t>.</w:t>
      </w:r>
      <w:r w:rsidRPr="00F958B6" w:rsidR="001978C5">
        <w:rPr>
          <w:b/>
          <w:bCs/>
        </w:rPr>
        <w:t xml:space="preserve"> </w:t>
      </w:r>
    </w:p>
    <w:p w:rsidRPr="00E841EC" w:rsidR="001978C5" w:rsidP="00A02F4D" w:rsidRDefault="001978C5" w14:paraId="546F910F" w14:textId="77777777">
      <w:pPr>
        <w:jc w:val="both"/>
      </w:pPr>
    </w:p>
    <w:p w:rsidRPr="00EE35E1" w:rsidR="00EE35E1" w:rsidP="00EE35E1" w:rsidRDefault="00EE35E1" w14:paraId="377D4D70" w14:textId="1AA6C93B">
      <w:pPr>
        <w:pStyle w:val="ListParagraph"/>
        <w:numPr>
          <w:ilvl w:val="0"/>
          <w:numId w:val="27"/>
        </w:numPr>
        <w:rPr>
          <w:b/>
          <w:bCs/>
        </w:rPr>
      </w:pPr>
      <w:r w:rsidRPr="00EE35E1">
        <w:rPr>
          <w:b/>
          <w:bCs/>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EE35E1">
        <w:rPr>
          <w:b/>
          <w:bCs/>
        </w:rPr>
        <w:t>take into account</w:t>
      </w:r>
      <w:proofErr w:type="gramEnd"/>
      <w:r w:rsidRPr="00EE35E1">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E35E1">
        <w:rPr>
          <w:b/>
          <w:bCs/>
        </w:rPr>
        <w:t>time period</w:t>
      </w:r>
      <w:proofErr w:type="gramEnd"/>
      <w:r w:rsidRPr="00EE35E1">
        <w:rPr>
          <w:b/>
          <w:bCs/>
        </w:rPr>
        <w:t xml:space="preserve"> over which costs will be incurred.  Capital and start-up costs include, among other items, preparations for </w:t>
      </w:r>
      <w:r w:rsidRPr="00EE35E1">
        <w:rPr>
          <w:b/>
          <w:bCs/>
        </w:rPr>
        <w:lastRenderedPageBreak/>
        <w:t xml:space="preserve">collecting information such as purchasing computers and software; monitoring, sampling, drilling and testing equipment; and record storage </w:t>
      </w:r>
      <w:proofErr w:type="gramStart"/>
      <w:r w:rsidRPr="00EE35E1">
        <w:rPr>
          <w:b/>
          <w:bCs/>
        </w:rPr>
        <w:t>facilities;</w:t>
      </w:r>
      <w:proofErr w:type="gramEnd"/>
      <w:r w:rsidRPr="00EE35E1">
        <w:rPr>
          <w:b/>
          <w:bCs/>
        </w:rPr>
        <w:t xml:space="preserve"> </w:t>
      </w:r>
    </w:p>
    <w:p w:rsidRPr="00EE35E1" w:rsidR="00EE35E1" w:rsidP="00EE35E1" w:rsidRDefault="00EE35E1" w14:paraId="5D1094A2" w14:textId="093EBC32">
      <w:pPr>
        <w:pStyle w:val="ListParagraph"/>
        <w:numPr>
          <w:ilvl w:val="0"/>
          <w:numId w:val="27"/>
        </w:numPr>
        <w:rPr>
          <w:b/>
          <w:bCs/>
        </w:rPr>
      </w:pPr>
      <w:r w:rsidRPr="00EE35E1">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E35E1" w:rsidR="00EE35E1" w:rsidP="00EE35E1" w:rsidRDefault="005E53AD" w14:paraId="23E5DA51" w14:textId="505E14B5">
      <w:pPr>
        <w:pStyle w:val="ListParagraph"/>
        <w:numPr>
          <w:ilvl w:val="0"/>
          <w:numId w:val="27"/>
        </w:numPr>
        <w:rPr>
          <w:b/>
          <w:bCs/>
        </w:rPr>
      </w:pPr>
      <w:r>
        <w:rPr>
          <w:b/>
          <w:bCs/>
        </w:rPr>
        <w:t>G</w:t>
      </w:r>
      <w:r w:rsidRPr="00EE35E1" w:rsidR="00EE35E1">
        <w:rPr>
          <w:b/>
          <w:bCs/>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E35E1" w:rsidP="00EE35E1" w:rsidRDefault="00EE35E1" w14:paraId="428310B6" w14:textId="77777777"/>
    <w:p w:rsidRPr="00FB6008" w:rsidR="001978C5" w:rsidP="001978C5" w:rsidRDefault="001978C5" w14:paraId="571CCB9B" w14:textId="5E5CA9AA">
      <w:r w:rsidRPr="00FB6008">
        <w:t xml:space="preserve">This data collection effort involves no recordkeeping or reporting costs for respondents other than the time burden to respond to questions on the data collection instruments as described </w:t>
      </w:r>
      <w:r>
        <w:t xml:space="preserve">in item </w:t>
      </w:r>
      <w:r w:rsidRPr="00FB6008">
        <w:t xml:space="preserve">12 above. There is no known cost burden to the respondents. </w:t>
      </w:r>
    </w:p>
    <w:p w:rsidRPr="00E841EC" w:rsidR="00C71131" w:rsidP="00C71131" w:rsidRDefault="00C71131" w14:paraId="06BBED60" w14:textId="77777777">
      <w:pPr>
        <w:jc w:val="both"/>
      </w:pPr>
    </w:p>
    <w:p w:rsidRPr="00F958B6" w:rsidR="00C71131" w:rsidP="00213087" w:rsidRDefault="00CC4491" w14:paraId="728E3D36" w14:textId="693C7FAA">
      <w:pPr>
        <w:numPr>
          <w:ilvl w:val="0"/>
          <w:numId w:val="5"/>
        </w:numPr>
        <w:ind w:left="360"/>
        <w:jc w:val="both"/>
      </w:pPr>
      <w:r w:rsidRPr="00F958B6">
        <w:rPr>
          <w:b/>
          <w:bCs/>
        </w:rPr>
        <w:t>Provide estimates of annualized cost to the Federal government.  Also, provide a</w:t>
      </w:r>
      <w:r w:rsidRPr="00CC4491">
        <w:rPr>
          <w:b/>
          <w:bCs/>
          <w:u w:val="single"/>
        </w:rPr>
        <w:t xml:space="preserve"> </w:t>
      </w:r>
      <w:r w:rsidRPr="00F958B6">
        <w:rPr>
          <w:b/>
          <w:bCs/>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F958B6" w:rsidR="00C71131">
        <w:rPr>
          <w:b/>
          <w:bCs/>
        </w:rPr>
        <w:t>.</w:t>
      </w:r>
    </w:p>
    <w:p w:rsidR="00C71131" w:rsidP="00C71131" w:rsidRDefault="00C71131" w14:paraId="55CF2971" w14:textId="77777777">
      <w:pPr>
        <w:ind w:left="25"/>
        <w:jc w:val="both"/>
      </w:pPr>
    </w:p>
    <w:p w:rsidR="00200681" w:rsidP="00200681" w:rsidRDefault="00084550" w14:paraId="4A39B1DE" w14:textId="48DD7EF2">
      <w:pPr>
        <w:spacing w:after="200"/>
      </w:pPr>
      <w:r w:rsidRPr="00F11ACE">
        <w:t>Th</w:t>
      </w:r>
      <w:r>
        <w:t xml:space="preserve">is data collection </w:t>
      </w:r>
      <w:r w:rsidR="005C4FBC">
        <w:t>for the RAD</w:t>
      </w:r>
      <w:r w:rsidRPr="00390C93" w:rsidR="005C4FBC">
        <w:t xml:space="preserve"> Choice Mobility and Long-term Affordability Evaluation</w:t>
      </w:r>
      <w:r w:rsidR="005C4FBC">
        <w:t xml:space="preserve"> </w:t>
      </w:r>
      <w:r w:rsidRPr="00F11ACE">
        <w:t xml:space="preserve">is being carried out under a HUD </w:t>
      </w:r>
      <w:r w:rsidR="005C4FBC">
        <w:t>c</w:t>
      </w:r>
      <w:r w:rsidRPr="00F11ACE">
        <w:t xml:space="preserve">ontract with </w:t>
      </w:r>
      <w:proofErr w:type="spellStart"/>
      <w:r w:rsidRPr="001348A4" w:rsidR="00F70EE0">
        <w:t>Econometrica</w:t>
      </w:r>
      <w:proofErr w:type="spellEnd"/>
      <w:r w:rsidRPr="001348A4" w:rsidR="00F70EE0">
        <w:t xml:space="preserve"> and its subcontractor</w:t>
      </w:r>
      <w:r w:rsidR="00F70EE0">
        <w:t>s</w:t>
      </w:r>
      <w:r w:rsidRPr="001348A4" w:rsidR="00F70EE0">
        <w:t>, the Urban Institute and SSRS</w:t>
      </w:r>
      <w:r>
        <w:t xml:space="preserve">. </w:t>
      </w:r>
      <w:r w:rsidR="00200681">
        <w:t xml:space="preserve">The estimated cost to the </w:t>
      </w:r>
      <w:r w:rsidR="005C5A13">
        <w:t>F</w:t>
      </w:r>
      <w:r w:rsidR="00200681">
        <w:t xml:space="preserve">ederal government for </w:t>
      </w:r>
      <w:r w:rsidR="005C4FBC">
        <w:t>this</w:t>
      </w:r>
      <w:r w:rsidR="00200681">
        <w:t xml:space="preserve"> data collection totals $</w:t>
      </w:r>
      <w:r w:rsidRPr="00390C93" w:rsidR="00390C93">
        <w:t>583,290</w:t>
      </w:r>
      <w:r w:rsidRPr="003A6AEA" w:rsidR="00200681">
        <w:t xml:space="preserve">. </w:t>
      </w:r>
    </w:p>
    <w:p w:rsidR="00200681" w:rsidP="00200681" w:rsidRDefault="002A3E17" w14:paraId="22696B1D" w14:textId="745BE21A">
      <w:pPr>
        <w:spacing w:after="200"/>
      </w:pPr>
      <w:r>
        <w:t xml:space="preserve">The cost </w:t>
      </w:r>
      <w:r w:rsidR="00E37EB5">
        <w:t>of the data collection</w:t>
      </w:r>
      <w:r>
        <w:t xml:space="preserve"> </w:t>
      </w:r>
      <w:r w:rsidR="00E37EB5">
        <w:t xml:space="preserve">to the </w:t>
      </w:r>
      <w:r w:rsidR="005C5A13">
        <w:t>F</w:t>
      </w:r>
      <w:r w:rsidR="00E37EB5">
        <w:t xml:space="preserve">ederal </w:t>
      </w:r>
      <w:r w:rsidR="005C5A13">
        <w:t xml:space="preserve">government </w:t>
      </w:r>
      <w:r>
        <w:t>is based on</w:t>
      </w:r>
      <w:r w:rsidR="001348A4">
        <w:t>: (i)</w:t>
      </w:r>
      <w:r>
        <w:t xml:space="preserve"> </w:t>
      </w:r>
      <w:r w:rsidR="00392D61">
        <w:t>900 contractor</w:t>
      </w:r>
      <w:r w:rsidR="00FC75EA">
        <w:t>’s</w:t>
      </w:r>
      <w:r w:rsidR="00392D61">
        <w:t xml:space="preserve"> labor hour</w:t>
      </w:r>
      <w:r w:rsidR="006C5A84">
        <w:t>s</w:t>
      </w:r>
      <w:r w:rsidR="00392D61">
        <w:t xml:space="preserve"> to d</w:t>
      </w:r>
      <w:r w:rsidRPr="00392D61" w:rsidR="00392D61">
        <w:t xml:space="preserve">evelop and </w:t>
      </w:r>
      <w:r w:rsidR="00FC75EA">
        <w:t>complete</w:t>
      </w:r>
      <w:r w:rsidR="00392D61">
        <w:t xml:space="preserve"> surveys and interviews for the study</w:t>
      </w:r>
      <w:r w:rsidR="006C5A84">
        <w:t xml:space="preserve">; </w:t>
      </w:r>
      <w:r w:rsidR="001348A4">
        <w:t xml:space="preserve">(ii) </w:t>
      </w:r>
      <w:r w:rsidR="00FC75EA">
        <w:t>3</w:t>
      </w:r>
      <w:r w:rsidR="006C5A84">
        <w:t>,</w:t>
      </w:r>
      <w:r w:rsidR="00FC75EA">
        <w:t>285 contractor’s labor hour</w:t>
      </w:r>
      <w:r w:rsidR="006C5A84">
        <w:t>s</w:t>
      </w:r>
      <w:r w:rsidRPr="00FC75EA" w:rsidR="00FC75EA">
        <w:t xml:space="preserve"> to </w:t>
      </w:r>
      <w:r w:rsidR="006C5A84">
        <w:t>m</w:t>
      </w:r>
      <w:r w:rsidRPr="00FC75EA" w:rsidR="00FC75EA">
        <w:t xml:space="preserve">aintain </w:t>
      </w:r>
      <w:r w:rsidR="006C5A84">
        <w:t>survey w</w:t>
      </w:r>
      <w:r w:rsidRPr="00FC75EA" w:rsidR="00FC75EA">
        <w:t xml:space="preserve">ebsite, </w:t>
      </w:r>
      <w:r w:rsidR="006C5A84">
        <w:t>c</w:t>
      </w:r>
      <w:r w:rsidRPr="00FC75EA" w:rsidR="00FC75EA">
        <w:t xml:space="preserve">ontact </w:t>
      </w:r>
      <w:r w:rsidR="006C5A84">
        <w:t>n</w:t>
      </w:r>
      <w:r w:rsidRPr="00FC75EA" w:rsidR="00FC75EA">
        <w:t>on-</w:t>
      </w:r>
      <w:r w:rsidR="006C5A84">
        <w:t>r</w:t>
      </w:r>
      <w:r w:rsidRPr="00FC75EA" w:rsidR="00FC75EA">
        <w:t>espondents</w:t>
      </w:r>
      <w:r w:rsidR="0050435C">
        <w:t>,</w:t>
      </w:r>
      <w:r w:rsidRPr="00FC75EA" w:rsidR="00FC75EA">
        <w:t xml:space="preserve"> and </w:t>
      </w:r>
      <w:r w:rsidR="006C5A84">
        <w:t>a</w:t>
      </w:r>
      <w:r w:rsidRPr="00FC75EA" w:rsidR="00FC75EA">
        <w:t xml:space="preserve">nswer </w:t>
      </w:r>
      <w:r w:rsidR="006C5A84">
        <w:t>q</w:t>
      </w:r>
      <w:r w:rsidRPr="00FC75EA" w:rsidR="00FC75EA">
        <w:t>uestions</w:t>
      </w:r>
      <w:r w:rsidR="006C5A84">
        <w:t xml:space="preserve">; and </w:t>
      </w:r>
      <w:r w:rsidR="001348A4">
        <w:t xml:space="preserve">(iii) </w:t>
      </w:r>
      <w:r w:rsidRPr="004003C1" w:rsidR="004003C1">
        <w:t>$52,080</w:t>
      </w:r>
      <w:r w:rsidR="004D7B85">
        <w:t xml:space="preserve"> in incentives to </w:t>
      </w:r>
      <w:r w:rsidR="001348A4">
        <w:t>respondents of</w:t>
      </w:r>
      <w:r w:rsidR="004D7B85">
        <w:t xml:space="preserve"> the </w:t>
      </w:r>
      <w:r w:rsidR="001348A4">
        <w:t>survey</w:t>
      </w:r>
      <w:r w:rsidR="005C5A13">
        <w:t>s</w:t>
      </w:r>
      <w:r w:rsidR="001348A4">
        <w:t xml:space="preserve"> </w:t>
      </w:r>
      <w:proofErr w:type="gramStart"/>
      <w:r w:rsidR="001348A4">
        <w:t xml:space="preserve">to </w:t>
      </w:r>
      <w:r w:rsidRPr="001348A4" w:rsidR="001348A4">
        <w:t>choice</w:t>
      </w:r>
      <w:proofErr w:type="gramEnd"/>
      <w:r w:rsidRPr="001348A4" w:rsidR="001348A4">
        <w:t xml:space="preserve"> mobility residents</w:t>
      </w:r>
      <w:r w:rsidR="001348A4">
        <w:t xml:space="preserve"> and to non-</w:t>
      </w:r>
      <w:r w:rsidRPr="001348A4" w:rsidR="001348A4">
        <w:t>choice mobility residents</w:t>
      </w:r>
      <w:r w:rsidR="00200681">
        <w:t>.</w:t>
      </w:r>
    </w:p>
    <w:p w:rsidRPr="00FB6008" w:rsidR="00200681" w:rsidP="00200681" w:rsidRDefault="00200681" w14:paraId="413F0CBB" w14:textId="77777777">
      <w:pPr>
        <w:spacing w:after="200"/>
      </w:pPr>
      <w:r>
        <w:t>The data collection costs are one-time costs based on the competitively bid and awarded contract for this study.</w:t>
      </w:r>
    </w:p>
    <w:p w:rsidRPr="00F958B6" w:rsidR="00C71131" w:rsidP="00213087" w:rsidRDefault="00FF3279" w14:paraId="63EB4CC7" w14:textId="55915F7F">
      <w:pPr>
        <w:keepNext/>
        <w:numPr>
          <w:ilvl w:val="0"/>
          <w:numId w:val="5"/>
        </w:numPr>
        <w:ind w:left="360"/>
        <w:jc w:val="both"/>
      </w:pPr>
      <w:r w:rsidRPr="00F958B6">
        <w:rPr>
          <w:b/>
          <w:bCs/>
        </w:rPr>
        <w:t>Explain the reasons for any program changes or adjustments reported in Items 13 and 14 of the OMB Form 83-I</w:t>
      </w:r>
      <w:r w:rsidRPr="00F958B6" w:rsidR="00C71131">
        <w:rPr>
          <w:b/>
          <w:bCs/>
        </w:rPr>
        <w:t>.</w:t>
      </w:r>
    </w:p>
    <w:p w:rsidR="00C71131" w:rsidP="00C71131" w:rsidRDefault="00C71131" w14:paraId="54ED547F" w14:textId="77777777">
      <w:pPr>
        <w:keepNext/>
        <w:keepLines/>
      </w:pPr>
    </w:p>
    <w:p w:rsidR="00C71131" w:rsidP="00C71131" w:rsidRDefault="009F7E9B" w14:paraId="2FCF5CB0" w14:textId="60D19BC9">
      <w:pPr>
        <w:keepNext/>
        <w:keepLines/>
      </w:pPr>
      <w:r>
        <w:t>This ICR is a new request and does not result from any program changes or adjustments.</w:t>
      </w:r>
    </w:p>
    <w:p w:rsidR="00D43558" w:rsidP="00C71131" w:rsidRDefault="00D43558" w14:paraId="64524CF4" w14:textId="77777777">
      <w:pPr>
        <w:keepNext/>
        <w:keepLines/>
      </w:pPr>
    </w:p>
    <w:p w:rsidRPr="00F958B6" w:rsidR="00C71131" w:rsidP="00213087" w:rsidRDefault="00305A00" w14:paraId="0B5FE5B9" w14:textId="27A37FA8">
      <w:pPr>
        <w:numPr>
          <w:ilvl w:val="0"/>
          <w:numId w:val="5"/>
        </w:numPr>
        <w:ind w:left="360"/>
        <w:jc w:val="both"/>
      </w:pPr>
      <w:r w:rsidRPr="00F958B6">
        <w:rPr>
          <w:b/>
          <w:bCs/>
        </w:rPr>
        <w:t xml:space="preserve">For collection of information whose results will be published, outline plans for tabulation and publication.  Address any complex analytical techniques that will be used.  Provide </w:t>
      </w:r>
      <w:r w:rsidRPr="00F958B6">
        <w:rPr>
          <w:b/>
          <w:bCs/>
        </w:rPr>
        <w:lastRenderedPageBreak/>
        <w:t>the time schedule for the entire project, including beginning and ending dates of the collection of information, completion of report, publication dates, and other actions</w:t>
      </w:r>
      <w:r w:rsidRPr="00F958B6" w:rsidR="00C71131">
        <w:rPr>
          <w:b/>
          <w:bCs/>
        </w:rPr>
        <w:t>.</w:t>
      </w:r>
    </w:p>
    <w:p w:rsidR="00C71131" w:rsidP="00C71131" w:rsidRDefault="00C71131" w14:paraId="78FCB056" w14:textId="77777777"/>
    <w:p w:rsidR="005D285D" w:rsidP="005D285D" w:rsidRDefault="005D285D" w14:paraId="1105D40C" w14:textId="36F14FAF">
      <w:pPr>
        <w:jc w:val="both"/>
      </w:pPr>
      <w:r>
        <w:t xml:space="preserve">The results of the evaluation covered by this ICR will be </w:t>
      </w:r>
      <w:r w:rsidR="00CD2BB7">
        <w:t>documented</w:t>
      </w:r>
      <w:r>
        <w:t xml:space="preserve"> in a </w:t>
      </w:r>
      <w:r w:rsidR="00906A3F">
        <w:t xml:space="preserve">second interim report and a </w:t>
      </w:r>
      <w:r w:rsidR="00B456F7">
        <w:t xml:space="preserve">final </w:t>
      </w:r>
      <w:r>
        <w:t xml:space="preserve">report to HUD, </w:t>
      </w:r>
      <w:r w:rsidR="00906A3F">
        <w:t xml:space="preserve">the latter of </w:t>
      </w:r>
      <w:r>
        <w:t xml:space="preserve">which is currently scheduled to be delivered </w:t>
      </w:r>
      <w:r w:rsidRPr="00D27AF1">
        <w:t xml:space="preserve">in </w:t>
      </w:r>
      <w:r w:rsidRPr="00D27AF1" w:rsidR="00156577">
        <w:t xml:space="preserve">November </w:t>
      </w:r>
      <w:r w:rsidRPr="00D27AF1" w:rsidR="00D27AF1">
        <w:t>2021</w:t>
      </w:r>
      <w:r>
        <w:t>.</w:t>
      </w:r>
      <w:r w:rsidRPr="00F64846">
        <w:t xml:space="preserve"> </w:t>
      </w:r>
      <w:r>
        <w:t xml:space="preserve">In this report, </w:t>
      </w:r>
      <w:proofErr w:type="spellStart"/>
      <w:r>
        <w:t>Econometrica</w:t>
      </w:r>
      <w:proofErr w:type="spellEnd"/>
      <w:r>
        <w:t xml:space="preserve"> will provide summary aggregated data documenting study findings</w:t>
      </w:r>
      <w:r w:rsidR="00D5187D">
        <w:t xml:space="preserve">. </w:t>
      </w:r>
      <w:r>
        <w:t>HUD plans to publish the findi</w:t>
      </w:r>
      <w:r w:rsidR="00FD2A38">
        <w:t>ngs of the evaluation on their W</w:t>
      </w:r>
      <w:r>
        <w:t>eb</w:t>
      </w:r>
      <w:r w:rsidR="00FD2A38">
        <w:t xml:space="preserve"> </w:t>
      </w:r>
      <w:r>
        <w:t xml:space="preserve">site, located at </w:t>
      </w:r>
      <w:hyperlink w:history="1" r:id="rId12">
        <w:r w:rsidRPr="00F16E23">
          <w:rPr>
            <w:rStyle w:val="Hyperlink"/>
          </w:rPr>
          <w:t>www.huduser.org</w:t>
        </w:r>
      </w:hyperlink>
      <w:r>
        <w:t>, at the conclusion of the study</w:t>
      </w:r>
      <w:r w:rsidR="00D5187D">
        <w:t xml:space="preserve">. </w:t>
      </w:r>
    </w:p>
    <w:p w:rsidR="00CD2BB7" w:rsidP="005D285D" w:rsidRDefault="00CD2BB7" w14:paraId="27A48D21" w14:textId="77777777">
      <w:pPr>
        <w:jc w:val="both"/>
      </w:pPr>
    </w:p>
    <w:p w:rsidR="00C71131" w:rsidP="00C71131" w:rsidRDefault="005D285D" w14:paraId="52BDFC69" w14:textId="33119245">
      <w:pPr>
        <w:jc w:val="both"/>
      </w:pPr>
      <w:r>
        <w:t xml:space="preserve">Data will be collected and stored </w:t>
      </w:r>
      <w:r w:rsidR="003B68AD">
        <w:t xml:space="preserve">in </w:t>
      </w:r>
      <w:r>
        <w:t>Microsoft Excel</w:t>
      </w:r>
      <w:r w:rsidR="003B68AD">
        <w:t xml:space="preserve"> files</w:t>
      </w:r>
      <w:r>
        <w:t xml:space="preserve">. Data analysis will be primarily conducted using </w:t>
      </w:r>
      <w:r w:rsidR="00C71131">
        <w:t>SAS</w:t>
      </w:r>
      <w:r w:rsidR="00CB4F5B">
        <w:t xml:space="preserve"> or Stata</w:t>
      </w:r>
      <w:r>
        <w:t xml:space="preserve">. </w:t>
      </w:r>
    </w:p>
    <w:p w:rsidR="00C71131" w:rsidP="00C71131" w:rsidRDefault="00C71131" w14:paraId="5D892B7F" w14:textId="77777777">
      <w:pPr>
        <w:jc w:val="both"/>
      </w:pPr>
    </w:p>
    <w:p w:rsidR="004105E5" w:rsidP="004F304A" w:rsidRDefault="00F20F82" w14:paraId="0089CFDA" w14:textId="0F05BDCF">
      <w:pPr>
        <w:jc w:val="both"/>
      </w:pPr>
      <w:r>
        <w:fldChar w:fldCharType="begin"/>
      </w:r>
      <w:r>
        <w:instrText xml:space="preserve"> REF _Ref59100859 \h </w:instrText>
      </w:r>
      <w:r>
        <w:fldChar w:fldCharType="separate"/>
      </w:r>
      <w:r>
        <w:t xml:space="preserve">Table </w:t>
      </w:r>
      <w:r>
        <w:rPr>
          <w:noProof/>
        </w:rPr>
        <w:t>5</w:t>
      </w:r>
      <w:r>
        <w:fldChar w:fldCharType="end"/>
      </w:r>
      <w:r w:rsidR="001E077E">
        <w:t xml:space="preserve"> provides a timeline for the </w:t>
      </w:r>
      <w:r w:rsidR="0005124B">
        <w:t xml:space="preserve">data collection </w:t>
      </w:r>
      <w:r w:rsidR="00953195">
        <w:t xml:space="preserve">for the three </w:t>
      </w:r>
      <w:r w:rsidR="001E077E">
        <w:t>study components.</w:t>
      </w:r>
    </w:p>
    <w:p w:rsidR="00E550AE" w:rsidP="00C71131" w:rsidRDefault="00E550AE" w14:paraId="660383A6" w14:textId="77777777">
      <w:pPr>
        <w:rPr>
          <w:rFonts w:ascii="Arial" w:hAnsi="Arial" w:cs="Arial"/>
          <w:b/>
        </w:rPr>
      </w:pPr>
    </w:p>
    <w:p w:rsidR="004105E5" w:rsidP="00F20F82" w:rsidRDefault="00F20F82" w14:paraId="41F78F46" w14:textId="7FB3DC09">
      <w:pPr>
        <w:pStyle w:val="TableCaption"/>
      </w:pPr>
      <w:bookmarkStart w:name="_Ref59100859" w:id="10"/>
      <w:r>
        <w:t xml:space="preserve">Table </w:t>
      </w:r>
      <w:r w:rsidR="00053080">
        <w:fldChar w:fldCharType="begin"/>
      </w:r>
      <w:r w:rsidR="00053080">
        <w:instrText xml:space="preserve"> SEQ Table \* ARABIC </w:instrText>
      </w:r>
      <w:r w:rsidR="00053080">
        <w:fldChar w:fldCharType="separate"/>
      </w:r>
      <w:r>
        <w:rPr>
          <w:noProof/>
        </w:rPr>
        <w:t>5</w:t>
      </w:r>
      <w:r w:rsidR="00053080">
        <w:rPr>
          <w:noProof/>
        </w:rPr>
        <w:fldChar w:fldCharType="end"/>
      </w:r>
      <w:bookmarkEnd w:id="10"/>
      <w:r>
        <w:t xml:space="preserve">. </w:t>
      </w:r>
      <w:r w:rsidR="00526E42">
        <w:t xml:space="preserve">Data Collection </w:t>
      </w:r>
      <w:r w:rsidR="001C374E">
        <w:t xml:space="preserve">and Reporting </w:t>
      </w:r>
      <w:r w:rsidRPr="003257AB" w:rsidR="004105E5">
        <w:t>Timeline</w:t>
      </w:r>
    </w:p>
    <w:tbl>
      <w:tblPr>
        <w:tblStyle w:val="EconometricaTableStyle"/>
        <w:tblW w:w="9268" w:type="dxa"/>
        <w:tblLook w:val="04A0" w:firstRow="1" w:lastRow="0" w:firstColumn="1" w:lastColumn="0" w:noHBand="0" w:noVBand="1"/>
      </w:tblPr>
      <w:tblGrid>
        <w:gridCol w:w="3420"/>
        <w:gridCol w:w="2700"/>
        <w:gridCol w:w="3148"/>
      </w:tblGrid>
      <w:tr w:rsidRPr="00C22C0E" w:rsidR="004F304A" w:rsidTr="004F304A" w14:paraId="38D2EB2F" w14:textId="58DBF000">
        <w:trPr>
          <w:cnfStyle w:val="100000000000" w:firstRow="1" w:lastRow="0" w:firstColumn="0" w:lastColumn="0" w:oddVBand="0" w:evenVBand="0" w:oddHBand="0" w:evenHBand="0" w:firstRowFirstColumn="0" w:firstRowLastColumn="0" w:lastRowFirstColumn="0" w:lastRowLastColumn="0"/>
          <w:tblHeader/>
        </w:trPr>
        <w:tc>
          <w:tcPr>
            <w:tcW w:w="3420" w:type="dxa"/>
          </w:tcPr>
          <w:p w:rsidRPr="00C22C0E" w:rsidR="004F304A" w:rsidP="00A729AB" w:rsidRDefault="004F304A" w14:paraId="07CE62BF" w14:textId="73EC4E64">
            <w:pPr>
              <w:pStyle w:val="TableColumnHeading"/>
              <w:rPr>
                <w:sz w:val="20"/>
              </w:rPr>
            </w:pPr>
            <w:r>
              <w:rPr>
                <w:sz w:val="20"/>
              </w:rPr>
              <w:t>Task</w:t>
            </w:r>
          </w:p>
        </w:tc>
        <w:tc>
          <w:tcPr>
            <w:tcW w:w="2700" w:type="dxa"/>
          </w:tcPr>
          <w:p w:rsidRPr="00C22C0E" w:rsidR="004F304A" w:rsidP="004F304A" w:rsidRDefault="007A12B5" w14:paraId="13AEED51" w14:textId="638D0FF6">
            <w:pPr>
              <w:pStyle w:val="TableColumnHeading"/>
              <w:jc w:val="left"/>
              <w:rPr>
                <w:b w:val="0"/>
                <w:sz w:val="20"/>
              </w:rPr>
            </w:pPr>
            <w:r>
              <w:rPr>
                <w:sz w:val="20"/>
              </w:rPr>
              <w:t xml:space="preserve">Start </w:t>
            </w:r>
            <w:r w:rsidR="004F304A">
              <w:rPr>
                <w:sz w:val="20"/>
              </w:rPr>
              <w:t xml:space="preserve">Date </w:t>
            </w:r>
          </w:p>
        </w:tc>
        <w:tc>
          <w:tcPr>
            <w:tcW w:w="3148" w:type="dxa"/>
          </w:tcPr>
          <w:p w:rsidR="004F304A" w:rsidP="004F304A" w:rsidRDefault="004F304A" w14:paraId="0893220B" w14:textId="552EEAB3">
            <w:pPr>
              <w:pStyle w:val="TableColumnHeading"/>
              <w:jc w:val="left"/>
              <w:rPr>
                <w:sz w:val="20"/>
              </w:rPr>
            </w:pPr>
            <w:r>
              <w:rPr>
                <w:sz w:val="20"/>
              </w:rPr>
              <w:t>End Date</w:t>
            </w:r>
          </w:p>
        </w:tc>
      </w:tr>
      <w:tr w:rsidRPr="00F747AC" w:rsidR="004F304A" w:rsidTr="004F304A" w14:paraId="083FDC14" w14:textId="7D536312">
        <w:trPr>
          <w:cnfStyle w:val="000000100000" w:firstRow="0" w:lastRow="0" w:firstColumn="0" w:lastColumn="0" w:oddVBand="0" w:evenVBand="0" w:oddHBand="1" w:evenHBand="0" w:firstRowFirstColumn="0" w:firstRowLastColumn="0" w:lastRowFirstColumn="0" w:lastRowLastColumn="0"/>
        </w:trPr>
        <w:tc>
          <w:tcPr>
            <w:tcW w:w="3420" w:type="dxa"/>
          </w:tcPr>
          <w:p w:rsidRPr="00F747AC" w:rsidR="004F304A" w:rsidP="00A729AB" w:rsidRDefault="009B5B08" w14:paraId="59DB1B0A" w14:textId="3639BCE0">
            <w:pPr>
              <w:pStyle w:val="TableCellGeneralText"/>
            </w:pPr>
            <w:r w:rsidRPr="00BE139E">
              <w:rPr>
                <w:b/>
                <w:szCs w:val="20"/>
              </w:rPr>
              <w:t>Census of RAD PHA</w:t>
            </w:r>
            <w:r w:rsidR="00A01293">
              <w:rPr>
                <w:b/>
                <w:szCs w:val="20"/>
              </w:rPr>
              <w:t>s</w:t>
            </w:r>
            <w:r w:rsidRPr="00BE139E">
              <w:rPr>
                <w:b/>
                <w:szCs w:val="20"/>
              </w:rPr>
              <w:t xml:space="preserve"> </w:t>
            </w:r>
          </w:p>
        </w:tc>
        <w:tc>
          <w:tcPr>
            <w:tcW w:w="2700" w:type="dxa"/>
          </w:tcPr>
          <w:p w:rsidRPr="00F747AC" w:rsidR="004F304A" w:rsidP="00A729AB" w:rsidRDefault="00964130" w14:paraId="45A93AC1" w14:textId="46F4E361">
            <w:pPr>
              <w:pStyle w:val="TableCellNumbers"/>
            </w:pPr>
            <w:r>
              <w:t>OMB approval date</w:t>
            </w:r>
          </w:p>
        </w:tc>
        <w:tc>
          <w:tcPr>
            <w:tcW w:w="3148" w:type="dxa"/>
          </w:tcPr>
          <w:p w:rsidRPr="00F747AC" w:rsidR="004F304A" w:rsidP="00A729AB" w:rsidRDefault="00751EAC" w14:paraId="030CB73C" w14:textId="69F76D0C">
            <w:pPr>
              <w:pStyle w:val="TableCellNumbers"/>
            </w:pPr>
            <w:r>
              <w:t>3 months after OMB approval</w:t>
            </w:r>
          </w:p>
        </w:tc>
      </w:tr>
      <w:tr w:rsidRPr="00F747AC" w:rsidR="00F47103" w:rsidTr="00A729AB" w14:paraId="0334F32F" w14:textId="77777777">
        <w:tc>
          <w:tcPr>
            <w:tcW w:w="3420" w:type="dxa"/>
          </w:tcPr>
          <w:p w:rsidRPr="00A05C24" w:rsidR="00F47103" w:rsidP="00A729AB" w:rsidRDefault="00F47103" w14:paraId="6BA8C0BE" w14:textId="77777777">
            <w:pPr>
              <w:pStyle w:val="TableCellGeneralText"/>
              <w:rPr>
                <w:b/>
                <w:bCs w:val="0"/>
                <w:szCs w:val="20"/>
              </w:rPr>
            </w:pPr>
            <w:r>
              <w:rPr>
                <w:b/>
                <w:bCs w:val="0"/>
                <w:szCs w:val="20"/>
              </w:rPr>
              <w:t>Second interim report</w:t>
            </w:r>
          </w:p>
        </w:tc>
        <w:tc>
          <w:tcPr>
            <w:tcW w:w="2700" w:type="dxa"/>
            <w:vAlign w:val="top"/>
          </w:tcPr>
          <w:p w:rsidRPr="00383778" w:rsidR="00F47103" w:rsidP="00A729AB" w:rsidRDefault="0047783B" w14:paraId="43F72200" w14:textId="5428A473">
            <w:pPr>
              <w:pStyle w:val="TableCellNumbers"/>
            </w:pPr>
            <w:r>
              <w:t>A</w:t>
            </w:r>
            <w:r w:rsidR="00C722D2">
              <w:t xml:space="preserve">fter </w:t>
            </w:r>
            <w:r>
              <w:t>completing Census RAD PHA</w:t>
            </w:r>
            <w:r w:rsidR="00A01293">
              <w:t>s</w:t>
            </w:r>
            <w:r w:rsidR="001C4AAD">
              <w:t xml:space="preserve"> </w:t>
            </w:r>
          </w:p>
        </w:tc>
        <w:tc>
          <w:tcPr>
            <w:tcW w:w="3148" w:type="dxa"/>
            <w:vAlign w:val="top"/>
          </w:tcPr>
          <w:p w:rsidRPr="00383778" w:rsidR="00F47103" w:rsidP="00A729AB" w:rsidRDefault="00682B37" w14:paraId="7AE01FE8" w14:textId="4CCBD616">
            <w:pPr>
              <w:pStyle w:val="TableCellNumbers"/>
            </w:pPr>
            <w:r>
              <w:t>2</w:t>
            </w:r>
            <w:r w:rsidR="00E004EA">
              <w:t xml:space="preserve"> months after </w:t>
            </w:r>
            <w:r>
              <w:t>start date</w:t>
            </w:r>
          </w:p>
        </w:tc>
      </w:tr>
      <w:tr w:rsidRPr="00F747AC" w:rsidR="004F304A" w:rsidTr="004F304A" w14:paraId="03A44E86" w14:textId="5991E1B4">
        <w:trPr>
          <w:cnfStyle w:val="000000100000" w:firstRow="0" w:lastRow="0" w:firstColumn="0" w:lastColumn="0" w:oddVBand="0" w:evenVBand="0" w:oddHBand="1" w:evenHBand="0" w:firstRowFirstColumn="0" w:firstRowLastColumn="0" w:lastRowFirstColumn="0" w:lastRowLastColumn="0"/>
        </w:trPr>
        <w:tc>
          <w:tcPr>
            <w:tcW w:w="3420" w:type="dxa"/>
          </w:tcPr>
          <w:p w:rsidRPr="00F747AC" w:rsidR="004F304A" w:rsidP="00A729AB" w:rsidRDefault="00DB6D48" w14:paraId="14EA9634" w14:textId="40E8091D">
            <w:pPr>
              <w:pStyle w:val="TableCellGeneralText"/>
            </w:pPr>
            <w:r w:rsidRPr="00BE139E">
              <w:rPr>
                <w:b/>
                <w:szCs w:val="20"/>
              </w:rPr>
              <w:t xml:space="preserve">Survey of RAD </w:t>
            </w:r>
            <w:r w:rsidR="00F47103">
              <w:rPr>
                <w:b/>
                <w:szCs w:val="20"/>
              </w:rPr>
              <w:t xml:space="preserve">non-PHA </w:t>
            </w:r>
            <w:r w:rsidRPr="00BE139E">
              <w:rPr>
                <w:b/>
                <w:szCs w:val="20"/>
              </w:rPr>
              <w:t>Property Owner</w:t>
            </w:r>
            <w:r w:rsidR="00F47103">
              <w:rPr>
                <w:b/>
                <w:szCs w:val="20"/>
              </w:rPr>
              <w:t>s</w:t>
            </w:r>
          </w:p>
        </w:tc>
        <w:tc>
          <w:tcPr>
            <w:tcW w:w="2700" w:type="dxa"/>
          </w:tcPr>
          <w:p w:rsidRPr="00F747AC" w:rsidR="004F304A" w:rsidP="00F53B72" w:rsidRDefault="00DA33D6" w14:paraId="0690FF71" w14:textId="44251D9C">
            <w:pPr>
              <w:pStyle w:val="TableCellNumbers"/>
            </w:pPr>
            <w:r>
              <w:t xml:space="preserve">2 months after completing </w:t>
            </w:r>
            <w:r w:rsidR="00F53B72">
              <w:t xml:space="preserve">RAD PHA </w:t>
            </w:r>
            <w:r>
              <w:t>survey</w:t>
            </w:r>
          </w:p>
        </w:tc>
        <w:tc>
          <w:tcPr>
            <w:tcW w:w="3148" w:type="dxa"/>
          </w:tcPr>
          <w:p w:rsidRPr="00F747AC" w:rsidR="004F304A" w:rsidP="00A729AB" w:rsidRDefault="00282722" w14:paraId="4C8C8BBC" w14:textId="4C9C1110">
            <w:pPr>
              <w:pStyle w:val="TableCellNumbers"/>
            </w:pPr>
            <w:r>
              <w:t>2.5 months after start of survey</w:t>
            </w:r>
          </w:p>
        </w:tc>
      </w:tr>
      <w:tr w:rsidRPr="00F747AC" w:rsidR="00282722" w:rsidTr="00A729AB" w14:paraId="6CBEA791" w14:textId="04585897">
        <w:tc>
          <w:tcPr>
            <w:tcW w:w="3420" w:type="dxa"/>
          </w:tcPr>
          <w:p w:rsidRPr="00F747AC" w:rsidR="00282722" w:rsidRDefault="009B5B08" w14:paraId="51650E32" w14:textId="169A5A53">
            <w:pPr>
              <w:pStyle w:val="TableCellGeneralText"/>
            </w:pPr>
            <w:r w:rsidRPr="00A05C24">
              <w:rPr>
                <w:b/>
                <w:bCs w:val="0"/>
                <w:szCs w:val="20"/>
              </w:rPr>
              <w:t>Survey of choice mobility residents</w:t>
            </w:r>
          </w:p>
        </w:tc>
        <w:tc>
          <w:tcPr>
            <w:tcW w:w="2700" w:type="dxa"/>
            <w:vAlign w:val="top"/>
          </w:tcPr>
          <w:p w:rsidRPr="00F747AC" w:rsidR="00282722" w:rsidP="00282722" w:rsidRDefault="00282722" w14:paraId="2CDE71C0" w14:textId="3F3DE822">
            <w:pPr>
              <w:pStyle w:val="TableCellNumbers"/>
            </w:pPr>
            <w:r w:rsidRPr="001D62A2">
              <w:t xml:space="preserve">2 months after completing </w:t>
            </w:r>
            <w:r w:rsidR="003F1A41">
              <w:t xml:space="preserve">RAD PHA </w:t>
            </w:r>
            <w:r w:rsidRPr="001D62A2">
              <w:t>survey</w:t>
            </w:r>
          </w:p>
        </w:tc>
        <w:tc>
          <w:tcPr>
            <w:tcW w:w="3148" w:type="dxa"/>
            <w:vAlign w:val="top"/>
          </w:tcPr>
          <w:p w:rsidRPr="00F747AC" w:rsidR="00282722" w:rsidP="00282722" w:rsidRDefault="00282722" w14:paraId="4C4B51BA" w14:textId="012AFC75">
            <w:pPr>
              <w:pStyle w:val="TableCellNumbers"/>
            </w:pPr>
            <w:r w:rsidRPr="001D62A2">
              <w:t>2.5 months after start of survey</w:t>
            </w:r>
          </w:p>
        </w:tc>
      </w:tr>
      <w:tr w:rsidRPr="00F747AC" w:rsidR="00282722" w:rsidTr="00A729AB" w14:paraId="643B74D5" w14:textId="6F35BB36">
        <w:trPr>
          <w:cnfStyle w:val="000000100000" w:firstRow="0" w:lastRow="0" w:firstColumn="0" w:lastColumn="0" w:oddVBand="0" w:evenVBand="0" w:oddHBand="1" w:evenHBand="0" w:firstRowFirstColumn="0" w:firstRowLastColumn="0" w:lastRowFirstColumn="0" w:lastRowLastColumn="0"/>
        </w:trPr>
        <w:tc>
          <w:tcPr>
            <w:tcW w:w="3420" w:type="dxa"/>
          </w:tcPr>
          <w:p w:rsidRPr="00F747AC" w:rsidR="00282722" w:rsidP="00282722" w:rsidRDefault="00DC15B8" w14:paraId="692F5731" w14:textId="4C6C76A4">
            <w:pPr>
              <w:pStyle w:val="TableCellGeneralText"/>
            </w:pPr>
            <w:r w:rsidRPr="00A05C24">
              <w:rPr>
                <w:b/>
                <w:bCs w:val="0"/>
                <w:szCs w:val="20"/>
              </w:rPr>
              <w:t>Survey of non-choice mobility residents</w:t>
            </w:r>
          </w:p>
        </w:tc>
        <w:tc>
          <w:tcPr>
            <w:tcW w:w="2700" w:type="dxa"/>
            <w:vAlign w:val="top"/>
          </w:tcPr>
          <w:p w:rsidRPr="00F747AC" w:rsidR="00282722" w:rsidP="00282722" w:rsidRDefault="00282722" w14:paraId="5830D3D5" w14:textId="6F581A23">
            <w:pPr>
              <w:pStyle w:val="TableCellNumbers"/>
            </w:pPr>
            <w:r w:rsidRPr="00383778">
              <w:t xml:space="preserve">2 months after completing </w:t>
            </w:r>
            <w:r w:rsidR="003F1A41">
              <w:t xml:space="preserve">RAD PHA </w:t>
            </w:r>
            <w:r w:rsidRPr="00383778">
              <w:t>survey</w:t>
            </w:r>
          </w:p>
        </w:tc>
        <w:tc>
          <w:tcPr>
            <w:tcW w:w="3148" w:type="dxa"/>
            <w:vAlign w:val="top"/>
          </w:tcPr>
          <w:p w:rsidRPr="00F747AC" w:rsidR="00282722" w:rsidP="00282722" w:rsidRDefault="00282722" w14:paraId="7B5BFDE6" w14:textId="1B157FD1">
            <w:pPr>
              <w:pStyle w:val="TableCellNumbers"/>
            </w:pPr>
            <w:r w:rsidRPr="00383778">
              <w:t>2.5 months after start of survey</w:t>
            </w:r>
          </w:p>
        </w:tc>
      </w:tr>
      <w:tr w:rsidRPr="00F747AC" w:rsidR="00134893" w:rsidTr="00A729AB" w14:paraId="4B5F85BB" w14:textId="77777777">
        <w:tc>
          <w:tcPr>
            <w:tcW w:w="3420" w:type="dxa"/>
          </w:tcPr>
          <w:p w:rsidRPr="00A05C24" w:rsidR="00134893" w:rsidP="00282722" w:rsidRDefault="00B60141" w14:paraId="3A2E334E" w14:textId="010706D2">
            <w:pPr>
              <w:pStyle w:val="TableCellGeneralText"/>
              <w:rPr>
                <w:b/>
                <w:bCs w:val="0"/>
                <w:szCs w:val="20"/>
              </w:rPr>
            </w:pPr>
            <w:r>
              <w:rPr>
                <w:b/>
                <w:bCs w:val="0"/>
                <w:szCs w:val="20"/>
              </w:rPr>
              <w:t>PHA organizational change site visits</w:t>
            </w:r>
          </w:p>
        </w:tc>
        <w:tc>
          <w:tcPr>
            <w:tcW w:w="2700" w:type="dxa"/>
            <w:vAlign w:val="top"/>
          </w:tcPr>
          <w:p w:rsidRPr="00383778" w:rsidR="00134893" w:rsidP="00282722" w:rsidRDefault="00B60141" w14:paraId="1973068A" w14:textId="76693993">
            <w:pPr>
              <w:pStyle w:val="TableCellNumbers"/>
            </w:pPr>
            <w:r>
              <w:t>OMB approval date</w:t>
            </w:r>
          </w:p>
        </w:tc>
        <w:tc>
          <w:tcPr>
            <w:tcW w:w="3148" w:type="dxa"/>
            <w:vAlign w:val="top"/>
          </w:tcPr>
          <w:p w:rsidRPr="00383778" w:rsidR="00134893" w:rsidP="00282722" w:rsidRDefault="001C374E" w14:paraId="6CCE8F62" w14:textId="788CF961">
            <w:pPr>
              <w:pStyle w:val="TableCellNumbers"/>
            </w:pPr>
            <w:r>
              <w:t>9 months after OMB approval</w:t>
            </w:r>
          </w:p>
        </w:tc>
      </w:tr>
      <w:tr w:rsidRPr="00F747AC" w:rsidR="001C374E" w:rsidTr="00A729AB" w14:paraId="19F0C0A1" w14:textId="77777777">
        <w:trPr>
          <w:cnfStyle w:val="000000100000" w:firstRow="0" w:lastRow="0" w:firstColumn="0" w:lastColumn="0" w:oddVBand="0" w:evenVBand="0" w:oddHBand="1" w:evenHBand="0" w:firstRowFirstColumn="0" w:firstRowLastColumn="0" w:lastRowFirstColumn="0" w:lastRowLastColumn="0"/>
        </w:trPr>
        <w:tc>
          <w:tcPr>
            <w:tcW w:w="3420" w:type="dxa"/>
          </w:tcPr>
          <w:p w:rsidR="001C374E" w:rsidP="00282722" w:rsidRDefault="001C374E" w14:paraId="5C291204" w14:textId="3A404E8D">
            <w:pPr>
              <w:pStyle w:val="TableCellGeneralText"/>
              <w:rPr>
                <w:b/>
                <w:bCs w:val="0"/>
                <w:szCs w:val="20"/>
              </w:rPr>
            </w:pPr>
            <w:r>
              <w:rPr>
                <w:b/>
                <w:bCs w:val="0"/>
                <w:szCs w:val="20"/>
              </w:rPr>
              <w:t>PHA organizational change report</w:t>
            </w:r>
          </w:p>
        </w:tc>
        <w:tc>
          <w:tcPr>
            <w:tcW w:w="2700" w:type="dxa"/>
            <w:vAlign w:val="top"/>
          </w:tcPr>
          <w:p w:rsidR="001C374E" w:rsidP="00282722" w:rsidRDefault="00AB4CB2" w14:paraId="2EA51426" w14:textId="032BDE27">
            <w:pPr>
              <w:pStyle w:val="TableCellNumbers"/>
            </w:pPr>
            <w:r>
              <w:t>After initial site visit</w:t>
            </w:r>
          </w:p>
        </w:tc>
        <w:tc>
          <w:tcPr>
            <w:tcW w:w="3148" w:type="dxa"/>
            <w:vAlign w:val="top"/>
          </w:tcPr>
          <w:p w:rsidR="001C374E" w:rsidP="00282722" w:rsidRDefault="00AB4CB2" w14:paraId="0E02BBF1" w14:textId="36CC7479">
            <w:pPr>
              <w:pStyle w:val="TableCellNumbers"/>
            </w:pPr>
            <w:r>
              <w:t>3 months after final site visit</w:t>
            </w:r>
          </w:p>
        </w:tc>
      </w:tr>
      <w:tr w:rsidRPr="00F747AC" w:rsidR="00F47103" w:rsidTr="00A729AB" w14:paraId="019722CD" w14:textId="77777777">
        <w:tc>
          <w:tcPr>
            <w:tcW w:w="3420" w:type="dxa"/>
          </w:tcPr>
          <w:p w:rsidR="00F47103" w:rsidP="00282722" w:rsidRDefault="00F47103" w14:paraId="1DACE999" w14:textId="1D2309FF">
            <w:pPr>
              <w:pStyle w:val="TableCellGeneralText"/>
              <w:rPr>
                <w:b/>
                <w:bCs w:val="0"/>
                <w:szCs w:val="20"/>
              </w:rPr>
            </w:pPr>
            <w:r>
              <w:rPr>
                <w:b/>
                <w:bCs w:val="0"/>
                <w:szCs w:val="20"/>
              </w:rPr>
              <w:t>Final report</w:t>
            </w:r>
          </w:p>
        </w:tc>
        <w:tc>
          <w:tcPr>
            <w:tcW w:w="2700" w:type="dxa"/>
            <w:vAlign w:val="top"/>
          </w:tcPr>
          <w:p w:rsidR="00F47103" w:rsidP="00282722" w:rsidRDefault="00A01293" w14:paraId="0D8A4C21" w14:textId="5846F079">
            <w:pPr>
              <w:pStyle w:val="TableCellNumbers"/>
            </w:pPr>
            <w:r>
              <w:t>After completing survey of RAD non-PHA property owners and residents</w:t>
            </w:r>
          </w:p>
        </w:tc>
        <w:tc>
          <w:tcPr>
            <w:tcW w:w="3148" w:type="dxa"/>
            <w:vAlign w:val="top"/>
          </w:tcPr>
          <w:p w:rsidR="00F47103" w:rsidP="00282722" w:rsidRDefault="00682B37" w14:paraId="0D9754A6" w14:textId="71FDED6A">
            <w:pPr>
              <w:pStyle w:val="TableCellNumbers"/>
            </w:pPr>
            <w:r>
              <w:t>3 months after start date</w:t>
            </w:r>
          </w:p>
        </w:tc>
      </w:tr>
    </w:tbl>
    <w:p w:rsidR="004F304A" w:rsidP="00C71131" w:rsidRDefault="004F304A" w14:paraId="2C45AB6E" w14:textId="77777777">
      <w:pPr>
        <w:rPr>
          <w:rFonts w:ascii="Arial" w:hAnsi="Arial" w:cs="Arial"/>
          <w:b/>
        </w:rPr>
      </w:pPr>
    </w:p>
    <w:p w:rsidR="00953195" w:rsidP="00C71131" w:rsidRDefault="00953195" w14:paraId="25516CC9" w14:textId="77777777"/>
    <w:p w:rsidRPr="00F958B6" w:rsidR="00C71131" w:rsidP="00213087" w:rsidRDefault="0039359B" w14:paraId="3FC711B8" w14:textId="3B29481D">
      <w:pPr>
        <w:keepNext/>
        <w:numPr>
          <w:ilvl w:val="0"/>
          <w:numId w:val="5"/>
        </w:numPr>
        <w:ind w:left="360"/>
        <w:jc w:val="both"/>
      </w:pPr>
      <w:r w:rsidRPr="00F958B6">
        <w:rPr>
          <w:b/>
          <w:bCs/>
        </w:rPr>
        <w:t>If seeking approval to not display the expiration date for OMB approval of the information collection, explain the reasons that display would be inappropriate.</w:t>
      </w:r>
    </w:p>
    <w:p w:rsidR="00C71131" w:rsidP="00C71131" w:rsidRDefault="00C71131" w14:paraId="52FF8A3F" w14:textId="77777777"/>
    <w:p w:rsidRPr="00FB6008" w:rsidR="005D285D" w:rsidP="003257AB" w:rsidRDefault="005D285D" w14:paraId="30677AE3" w14:textId="77777777">
      <w:pPr>
        <w:jc w:val="both"/>
      </w:pPr>
      <w:r w:rsidRPr="00FB6008">
        <w:t>All data collect</w:t>
      </w:r>
      <w:r w:rsidR="00A53153">
        <w:t>ion instruments created for the RAD evaluation</w:t>
      </w:r>
      <w:r w:rsidRPr="00FB6008">
        <w:t xml:space="preserve"> will </w:t>
      </w:r>
      <w:r w:rsidRPr="00FB6008" w:rsidR="00A53153">
        <w:t xml:space="preserve">prominently </w:t>
      </w:r>
      <w:r w:rsidRPr="00FB6008">
        <w:t xml:space="preserve">display the expiration date for OMB approval. </w:t>
      </w:r>
    </w:p>
    <w:p w:rsidR="00C71131" w:rsidP="003257AB" w:rsidRDefault="00C71131" w14:paraId="0CE234CE" w14:textId="77777777">
      <w:pPr>
        <w:jc w:val="both"/>
      </w:pPr>
    </w:p>
    <w:p w:rsidRPr="00F958B6" w:rsidR="00A53153" w:rsidP="00833F3C" w:rsidRDefault="001C697F" w14:paraId="5D106A3F" w14:textId="3977FC49">
      <w:pPr>
        <w:jc w:val="both"/>
      </w:pPr>
      <w:r w:rsidRPr="00F958B6">
        <w:rPr>
          <w:b/>
          <w:bCs/>
        </w:rPr>
        <w:t xml:space="preserve">18. </w:t>
      </w:r>
      <w:r w:rsidRPr="00F958B6" w:rsidR="00F243CC">
        <w:rPr>
          <w:b/>
          <w:bCs/>
        </w:rPr>
        <w:t>Explain each exception to the certification statement identified in item 19.</w:t>
      </w:r>
    </w:p>
    <w:p w:rsidR="001C697F" w:rsidP="00D5187D" w:rsidRDefault="001C697F" w14:paraId="59C8E18E" w14:textId="77777777">
      <w:pPr>
        <w:jc w:val="both"/>
      </w:pPr>
    </w:p>
    <w:p w:rsidR="00A53153" w:rsidP="00D5187D" w:rsidRDefault="00A53153" w14:paraId="0A81E94B" w14:textId="7AA7F26E">
      <w:pPr>
        <w:jc w:val="both"/>
      </w:pPr>
      <w:r w:rsidRPr="00FB6008">
        <w:t>This submission describing data collection requests no exceptions to the Certificate for Paperwork Reduction Act (5 CFR 1320.9).</w:t>
      </w:r>
    </w:p>
    <w:p w:rsidR="00596804" w:rsidP="00D5187D" w:rsidRDefault="00596804" w14:paraId="180C5130" w14:textId="2B934F38">
      <w:pPr>
        <w:jc w:val="both"/>
      </w:pPr>
    </w:p>
    <w:p w:rsidRPr="00FB6008" w:rsidR="00F8680B" w:rsidP="00DE0843" w:rsidRDefault="00F8680B" w14:paraId="65D26B19" w14:textId="67205C83">
      <w:pPr>
        <w:spacing w:after="200" w:line="276" w:lineRule="auto"/>
      </w:pPr>
      <w:bookmarkStart w:name="_Hlk58487449" w:id="11"/>
      <w:bookmarkStart w:name="_Hlk34303083" w:id="12"/>
      <w:bookmarkEnd w:id="11"/>
      <w:bookmarkEnd w:id="12"/>
    </w:p>
    <w:sectPr w:rsidRPr="00FB6008" w:rsidR="00F8680B" w:rsidSect="006957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01F0C" w14:textId="77777777" w:rsidR="004E40B5" w:rsidRDefault="004E40B5" w:rsidP="00C71131">
      <w:r>
        <w:separator/>
      </w:r>
    </w:p>
  </w:endnote>
  <w:endnote w:type="continuationSeparator" w:id="0">
    <w:p w14:paraId="7CACB8BD" w14:textId="77777777" w:rsidR="004E40B5" w:rsidRDefault="004E40B5" w:rsidP="00C7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56A4D" w14:textId="77777777" w:rsidR="001F6CB9" w:rsidRDefault="001F6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30361"/>
      <w:docPartObj>
        <w:docPartGallery w:val="Page Numbers (Bottom of Page)"/>
        <w:docPartUnique/>
      </w:docPartObj>
    </w:sdtPr>
    <w:sdtEndPr>
      <w:rPr>
        <w:noProof/>
      </w:rPr>
    </w:sdtEndPr>
    <w:sdtContent>
      <w:p w14:paraId="21F1B210" w14:textId="2EDB272C" w:rsidR="001F6CB9" w:rsidRDefault="001F6CB9">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Part A Supporting Statement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DB205" w14:textId="77777777" w:rsidR="001F6CB9" w:rsidRDefault="001F6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15C63" w14:textId="77777777" w:rsidR="004E40B5" w:rsidRDefault="004E40B5" w:rsidP="00C71131">
      <w:r>
        <w:separator/>
      </w:r>
    </w:p>
  </w:footnote>
  <w:footnote w:type="continuationSeparator" w:id="0">
    <w:p w14:paraId="66EACD28" w14:textId="77777777" w:rsidR="004E40B5" w:rsidRDefault="004E40B5" w:rsidP="00C71131">
      <w:r>
        <w:continuationSeparator/>
      </w:r>
    </w:p>
  </w:footnote>
  <w:footnote w:id="1">
    <w:p w14:paraId="35282F9D" w14:textId="2EF315D0" w:rsidR="001F6CB9" w:rsidRPr="00F962FF" w:rsidRDefault="001F6CB9" w:rsidP="00C711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CA08B" w14:textId="77777777" w:rsidR="001F6CB9" w:rsidRDefault="001F6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BCF41" w14:textId="77777777" w:rsidR="001F6CB9" w:rsidRDefault="001F6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B88B9" w14:textId="77777777" w:rsidR="001F6CB9" w:rsidRDefault="001F6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 w15:restartNumberingAfterBreak="0">
    <w:nsid w:val="08457C15"/>
    <w:multiLevelType w:val="hybridMultilevel"/>
    <w:tmpl w:val="4210C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35115"/>
    <w:multiLevelType w:val="hybridMultilevel"/>
    <w:tmpl w:val="B0C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24A73"/>
    <w:multiLevelType w:val="hybridMultilevel"/>
    <w:tmpl w:val="A0AA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27EE4"/>
    <w:multiLevelType w:val="hybridMultilevel"/>
    <w:tmpl w:val="2D80D190"/>
    <w:lvl w:ilvl="0" w:tplc="04090015">
      <w:start w:val="1"/>
      <w:numFmt w:val="upperLetter"/>
      <w:lvlText w:val="%1."/>
      <w:lvlJc w:val="left"/>
      <w:pPr>
        <w:ind w:left="720" w:hanging="360"/>
      </w:pPr>
    </w:lvl>
    <w:lvl w:ilvl="1" w:tplc="15F26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75687"/>
    <w:multiLevelType w:val="hybridMultilevel"/>
    <w:tmpl w:val="C9D6D4D4"/>
    <w:lvl w:ilvl="0" w:tplc="70AAAA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D2969"/>
    <w:multiLevelType w:val="hybridMultilevel"/>
    <w:tmpl w:val="C6DA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458F0"/>
    <w:multiLevelType w:val="hybridMultilevel"/>
    <w:tmpl w:val="56849852"/>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10" w15:restartNumberingAfterBreak="0">
    <w:nsid w:val="31937E9A"/>
    <w:multiLevelType w:val="hybridMultilevel"/>
    <w:tmpl w:val="71C044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2FB06C1"/>
    <w:multiLevelType w:val="hybridMultilevel"/>
    <w:tmpl w:val="6BB8F826"/>
    <w:lvl w:ilvl="0" w:tplc="72B4D8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AC081E"/>
    <w:multiLevelType w:val="hybridMultilevel"/>
    <w:tmpl w:val="82184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5798A"/>
    <w:multiLevelType w:val="hybridMultilevel"/>
    <w:tmpl w:val="1BA8744E"/>
    <w:lvl w:ilvl="0" w:tplc="151C15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66C6C"/>
    <w:multiLevelType w:val="hybridMultilevel"/>
    <w:tmpl w:val="82184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A54D1"/>
    <w:multiLevelType w:val="hybridMultilevel"/>
    <w:tmpl w:val="218A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B7A13"/>
    <w:multiLevelType w:val="hybridMultilevel"/>
    <w:tmpl w:val="FD7C44D4"/>
    <w:lvl w:ilvl="0" w:tplc="04090001">
      <w:start w:val="1"/>
      <w:numFmt w:val="bullet"/>
      <w:pStyle w:val="ListNumber-SingleLin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40FF5"/>
    <w:multiLevelType w:val="hybridMultilevel"/>
    <w:tmpl w:val="62188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F5500"/>
    <w:multiLevelType w:val="hybridMultilevel"/>
    <w:tmpl w:val="039E3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23" w15:restartNumberingAfterBreak="0">
    <w:nsid w:val="4F953AFA"/>
    <w:multiLevelType w:val="hybridMultilevel"/>
    <w:tmpl w:val="7944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609B8"/>
    <w:multiLevelType w:val="hybridMultilevel"/>
    <w:tmpl w:val="44AAB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92B2E"/>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846EB7"/>
    <w:multiLevelType w:val="hybridMultilevel"/>
    <w:tmpl w:val="5E38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017B0"/>
    <w:multiLevelType w:val="hybridMultilevel"/>
    <w:tmpl w:val="CB12E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B23F4"/>
    <w:multiLevelType w:val="hybridMultilevel"/>
    <w:tmpl w:val="1BA8744E"/>
    <w:lvl w:ilvl="0" w:tplc="151C15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B35D6"/>
    <w:multiLevelType w:val="hybridMultilevel"/>
    <w:tmpl w:val="3C92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4371E"/>
    <w:multiLevelType w:val="hybridMultilevel"/>
    <w:tmpl w:val="4C48CB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7B50E5"/>
    <w:multiLevelType w:val="hybridMultilevel"/>
    <w:tmpl w:val="4CD4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num w:numId="1">
    <w:abstractNumId w:val="19"/>
  </w:num>
  <w:num w:numId="2">
    <w:abstractNumId w:val="7"/>
  </w:num>
  <w:num w:numId="3">
    <w:abstractNumId w:val="3"/>
  </w:num>
  <w:num w:numId="4">
    <w:abstractNumId w:val="1"/>
  </w:num>
  <w:num w:numId="5">
    <w:abstractNumId w:val="25"/>
  </w:num>
  <w:num w:numId="6">
    <w:abstractNumId w:val="31"/>
  </w:num>
  <w:num w:numId="7">
    <w:abstractNumId w:val="5"/>
  </w:num>
  <w:num w:numId="8">
    <w:abstractNumId w:val="29"/>
  </w:num>
  <w:num w:numId="9">
    <w:abstractNumId w:val="16"/>
  </w:num>
  <w:num w:numId="10">
    <w:abstractNumId w:val="14"/>
  </w:num>
  <w:num w:numId="11">
    <w:abstractNumId w:val="20"/>
  </w:num>
  <w:num w:numId="12">
    <w:abstractNumId w:val="17"/>
  </w:num>
  <w:num w:numId="13">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13"/>
    <w:lvlOverride w:ilvl="0">
      <w:lvl w:ilvl="0">
        <w:start w:val="1"/>
        <w:numFmt w:val="decimal"/>
        <w:pStyle w:val="ListNumber"/>
        <w:lvlText w:val="%1."/>
        <w:lvlJc w:val="left"/>
        <w:pPr>
          <w:tabs>
            <w:tab w:val="num" w:pos="720"/>
          </w:tabs>
          <w:ind w:left="720" w:hanging="360"/>
        </w:pPr>
        <w:rPr>
          <w:rFonts w:hint="default"/>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32"/>
  </w:num>
  <w:num w:numId="18">
    <w:abstractNumId w:val="30"/>
  </w:num>
  <w:num w:numId="19">
    <w:abstractNumId w:val="22"/>
    <w:lvlOverride w:ilvl="0">
      <w:startOverride w:val="7"/>
    </w:lvlOverride>
  </w:num>
  <w:num w:numId="20">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21">
    <w:abstractNumId w:val="10"/>
  </w:num>
  <w:num w:numId="22">
    <w:abstractNumId w:val="33"/>
  </w:num>
  <w:num w:numId="23">
    <w:abstractNumId w:val="21"/>
  </w:num>
  <w:num w:numId="24">
    <w:abstractNumId w:val="9"/>
  </w:num>
  <w:num w:numId="25">
    <w:abstractNumId w:val="2"/>
  </w:num>
  <w:num w:numId="26">
    <w:abstractNumId w:val="27"/>
  </w:num>
  <w:num w:numId="27">
    <w:abstractNumId w:val="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num>
  <w:num w:numId="31">
    <w:abstractNumId w:val="23"/>
  </w:num>
  <w:num w:numId="32">
    <w:abstractNumId w:val="11"/>
  </w:num>
  <w:num w:numId="33">
    <w:abstractNumId w:val="24"/>
  </w:num>
  <w:num w:numId="34">
    <w:abstractNumId w:val="28"/>
  </w:num>
  <w:num w:numId="35">
    <w:abstractNumId w:val="26"/>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31"/>
    <w:rsid w:val="0000001B"/>
    <w:rsid w:val="00003144"/>
    <w:rsid w:val="000044B1"/>
    <w:rsid w:val="00012BD8"/>
    <w:rsid w:val="00013080"/>
    <w:rsid w:val="0001434D"/>
    <w:rsid w:val="00016E83"/>
    <w:rsid w:val="0002010D"/>
    <w:rsid w:val="00025663"/>
    <w:rsid w:val="00026708"/>
    <w:rsid w:val="000276C1"/>
    <w:rsid w:val="00027EB4"/>
    <w:rsid w:val="00031E05"/>
    <w:rsid w:val="000323EA"/>
    <w:rsid w:val="00033BF8"/>
    <w:rsid w:val="0003415A"/>
    <w:rsid w:val="000351E4"/>
    <w:rsid w:val="00036094"/>
    <w:rsid w:val="00042A85"/>
    <w:rsid w:val="000453FE"/>
    <w:rsid w:val="00045404"/>
    <w:rsid w:val="0005124B"/>
    <w:rsid w:val="00053080"/>
    <w:rsid w:val="000546AE"/>
    <w:rsid w:val="00061869"/>
    <w:rsid w:val="00072AFC"/>
    <w:rsid w:val="000733C6"/>
    <w:rsid w:val="000733FF"/>
    <w:rsid w:val="00073882"/>
    <w:rsid w:val="00082F09"/>
    <w:rsid w:val="00084550"/>
    <w:rsid w:val="00084D89"/>
    <w:rsid w:val="000858B8"/>
    <w:rsid w:val="00086551"/>
    <w:rsid w:val="000870E0"/>
    <w:rsid w:val="00091B0C"/>
    <w:rsid w:val="000924A7"/>
    <w:rsid w:val="00093BB6"/>
    <w:rsid w:val="000961B8"/>
    <w:rsid w:val="00097E4B"/>
    <w:rsid w:val="000A4CB1"/>
    <w:rsid w:val="000A58F9"/>
    <w:rsid w:val="000A6842"/>
    <w:rsid w:val="000B15DC"/>
    <w:rsid w:val="000B55DB"/>
    <w:rsid w:val="000B7374"/>
    <w:rsid w:val="000B7613"/>
    <w:rsid w:val="000C033F"/>
    <w:rsid w:val="000C3273"/>
    <w:rsid w:val="000C39CA"/>
    <w:rsid w:val="000C6464"/>
    <w:rsid w:val="000C6632"/>
    <w:rsid w:val="000C6C47"/>
    <w:rsid w:val="000D0BD9"/>
    <w:rsid w:val="000D0CEF"/>
    <w:rsid w:val="000D1D0B"/>
    <w:rsid w:val="000D20EE"/>
    <w:rsid w:val="000D48D9"/>
    <w:rsid w:val="000D537A"/>
    <w:rsid w:val="000D57B9"/>
    <w:rsid w:val="000D7C45"/>
    <w:rsid w:val="000E0888"/>
    <w:rsid w:val="000E4191"/>
    <w:rsid w:val="000F0B92"/>
    <w:rsid w:val="000F2E6C"/>
    <w:rsid w:val="000F3E97"/>
    <w:rsid w:val="000F5BE5"/>
    <w:rsid w:val="000F777E"/>
    <w:rsid w:val="001001CA"/>
    <w:rsid w:val="00105D03"/>
    <w:rsid w:val="00111136"/>
    <w:rsid w:val="001131D6"/>
    <w:rsid w:val="00115B29"/>
    <w:rsid w:val="00122D0B"/>
    <w:rsid w:val="00125867"/>
    <w:rsid w:val="001265C7"/>
    <w:rsid w:val="00127522"/>
    <w:rsid w:val="00127E5B"/>
    <w:rsid w:val="00130C65"/>
    <w:rsid w:val="00133D55"/>
    <w:rsid w:val="00134893"/>
    <w:rsid w:val="001348A4"/>
    <w:rsid w:val="00134EF4"/>
    <w:rsid w:val="0013615E"/>
    <w:rsid w:val="00137268"/>
    <w:rsid w:val="001403ED"/>
    <w:rsid w:val="00144C45"/>
    <w:rsid w:val="0014564D"/>
    <w:rsid w:val="00146039"/>
    <w:rsid w:val="00152AF1"/>
    <w:rsid w:val="00156577"/>
    <w:rsid w:val="001616E9"/>
    <w:rsid w:val="00164F89"/>
    <w:rsid w:val="00167C06"/>
    <w:rsid w:val="00167E14"/>
    <w:rsid w:val="0017046E"/>
    <w:rsid w:val="00170905"/>
    <w:rsid w:val="00170FA9"/>
    <w:rsid w:val="001753BC"/>
    <w:rsid w:val="00175FE7"/>
    <w:rsid w:val="001764A8"/>
    <w:rsid w:val="001777D7"/>
    <w:rsid w:val="0018062C"/>
    <w:rsid w:val="001816DA"/>
    <w:rsid w:val="0018411A"/>
    <w:rsid w:val="001859E5"/>
    <w:rsid w:val="0019134C"/>
    <w:rsid w:val="00192330"/>
    <w:rsid w:val="0019559F"/>
    <w:rsid w:val="0019753C"/>
    <w:rsid w:val="001978C5"/>
    <w:rsid w:val="001A0C20"/>
    <w:rsid w:val="001A3656"/>
    <w:rsid w:val="001A4ED1"/>
    <w:rsid w:val="001A54AA"/>
    <w:rsid w:val="001A7651"/>
    <w:rsid w:val="001B29CC"/>
    <w:rsid w:val="001B672A"/>
    <w:rsid w:val="001C374E"/>
    <w:rsid w:val="001C4AAD"/>
    <w:rsid w:val="001C697F"/>
    <w:rsid w:val="001C7E90"/>
    <w:rsid w:val="001D2C91"/>
    <w:rsid w:val="001D2D01"/>
    <w:rsid w:val="001D2E80"/>
    <w:rsid w:val="001D54E0"/>
    <w:rsid w:val="001D69CD"/>
    <w:rsid w:val="001D6F80"/>
    <w:rsid w:val="001E077E"/>
    <w:rsid w:val="001E134F"/>
    <w:rsid w:val="001E26E5"/>
    <w:rsid w:val="001E38BC"/>
    <w:rsid w:val="001E66C7"/>
    <w:rsid w:val="001E778C"/>
    <w:rsid w:val="001E7BFD"/>
    <w:rsid w:val="001F37A6"/>
    <w:rsid w:val="001F4ABB"/>
    <w:rsid w:val="001F4F97"/>
    <w:rsid w:val="001F6CB9"/>
    <w:rsid w:val="001F6E50"/>
    <w:rsid w:val="00200681"/>
    <w:rsid w:val="00200ADC"/>
    <w:rsid w:val="00200B52"/>
    <w:rsid w:val="00201524"/>
    <w:rsid w:val="00201E2D"/>
    <w:rsid w:val="0020242D"/>
    <w:rsid w:val="00202DF4"/>
    <w:rsid w:val="00203C12"/>
    <w:rsid w:val="0020579B"/>
    <w:rsid w:val="002065A4"/>
    <w:rsid w:val="00206D6A"/>
    <w:rsid w:val="00210507"/>
    <w:rsid w:val="0021057A"/>
    <w:rsid w:val="00213087"/>
    <w:rsid w:val="00213922"/>
    <w:rsid w:val="00213A87"/>
    <w:rsid w:val="00214660"/>
    <w:rsid w:val="00215C88"/>
    <w:rsid w:val="00216183"/>
    <w:rsid w:val="002165BC"/>
    <w:rsid w:val="002166A9"/>
    <w:rsid w:val="00220852"/>
    <w:rsid w:val="00220CCC"/>
    <w:rsid w:val="00222402"/>
    <w:rsid w:val="00224202"/>
    <w:rsid w:val="002262CB"/>
    <w:rsid w:val="00227B3C"/>
    <w:rsid w:val="00227CA6"/>
    <w:rsid w:val="0023348B"/>
    <w:rsid w:val="00235B51"/>
    <w:rsid w:val="00235E20"/>
    <w:rsid w:val="00237FEB"/>
    <w:rsid w:val="00243247"/>
    <w:rsid w:val="00243411"/>
    <w:rsid w:val="00245B4A"/>
    <w:rsid w:val="002475C8"/>
    <w:rsid w:val="002503AA"/>
    <w:rsid w:val="00252691"/>
    <w:rsid w:val="0025293C"/>
    <w:rsid w:val="0025626F"/>
    <w:rsid w:val="00260559"/>
    <w:rsid w:val="00262C5E"/>
    <w:rsid w:val="0026389C"/>
    <w:rsid w:val="002718D3"/>
    <w:rsid w:val="00271D1F"/>
    <w:rsid w:val="0027363E"/>
    <w:rsid w:val="0027645E"/>
    <w:rsid w:val="00277E60"/>
    <w:rsid w:val="00282722"/>
    <w:rsid w:val="00282758"/>
    <w:rsid w:val="0028566C"/>
    <w:rsid w:val="0028782C"/>
    <w:rsid w:val="002910B7"/>
    <w:rsid w:val="00293A9D"/>
    <w:rsid w:val="002953EC"/>
    <w:rsid w:val="002A0EA8"/>
    <w:rsid w:val="002A180D"/>
    <w:rsid w:val="002A3E17"/>
    <w:rsid w:val="002A486A"/>
    <w:rsid w:val="002B2140"/>
    <w:rsid w:val="002B3DF2"/>
    <w:rsid w:val="002B45AA"/>
    <w:rsid w:val="002B4CB6"/>
    <w:rsid w:val="002B6757"/>
    <w:rsid w:val="002C211C"/>
    <w:rsid w:val="002C53BE"/>
    <w:rsid w:val="002C626E"/>
    <w:rsid w:val="002D287D"/>
    <w:rsid w:val="002D40BE"/>
    <w:rsid w:val="002D44A8"/>
    <w:rsid w:val="002D66E2"/>
    <w:rsid w:val="002D754C"/>
    <w:rsid w:val="002E29C1"/>
    <w:rsid w:val="002E659C"/>
    <w:rsid w:val="002E66A3"/>
    <w:rsid w:val="002E7B63"/>
    <w:rsid w:val="002F0E8A"/>
    <w:rsid w:val="002F3D54"/>
    <w:rsid w:val="002F4F61"/>
    <w:rsid w:val="002F50C6"/>
    <w:rsid w:val="00301F23"/>
    <w:rsid w:val="00305A00"/>
    <w:rsid w:val="00316A73"/>
    <w:rsid w:val="00317640"/>
    <w:rsid w:val="00320162"/>
    <w:rsid w:val="003203D8"/>
    <w:rsid w:val="003206E4"/>
    <w:rsid w:val="003214FA"/>
    <w:rsid w:val="00321852"/>
    <w:rsid w:val="0032303E"/>
    <w:rsid w:val="00323EC7"/>
    <w:rsid w:val="00324E16"/>
    <w:rsid w:val="003255BE"/>
    <w:rsid w:val="003257AB"/>
    <w:rsid w:val="00330526"/>
    <w:rsid w:val="003305DD"/>
    <w:rsid w:val="00333E67"/>
    <w:rsid w:val="00334B9A"/>
    <w:rsid w:val="0033507A"/>
    <w:rsid w:val="003410D5"/>
    <w:rsid w:val="00344E1B"/>
    <w:rsid w:val="00345809"/>
    <w:rsid w:val="003474C3"/>
    <w:rsid w:val="00351A8E"/>
    <w:rsid w:val="003521AC"/>
    <w:rsid w:val="003529D3"/>
    <w:rsid w:val="0035358B"/>
    <w:rsid w:val="003553E3"/>
    <w:rsid w:val="00355704"/>
    <w:rsid w:val="0035722B"/>
    <w:rsid w:val="00363215"/>
    <w:rsid w:val="00365D49"/>
    <w:rsid w:val="0037047C"/>
    <w:rsid w:val="00373951"/>
    <w:rsid w:val="00374E21"/>
    <w:rsid w:val="003767CE"/>
    <w:rsid w:val="00377C31"/>
    <w:rsid w:val="003823E9"/>
    <w:rsid w:val="00382D38"/>
    <w:rsid w:val="003844AC"/>
    <w:rsid w:val="0038466D"/>
    <w:rsid w:val="00390C93"/>
    <w:rsid w:val="00392D61"/>
    <w:rsid w:val="003932C8"/>
    <w:rsid w:val="0039359B"/>
    <w:rsid w:val="00393A2A"/>
    <w:rsid w:val="00394B9E"/>
    <w:rsid w:val="00396383"/>
    <w:rsid w:val="00396EDC"/>
    <w:rsid w:val="003A2D09"/>
    <w:rsid w:val="003A3279"/>
    <w:rsid w:val="003A78FC"/>
    <w:rsid w:val="003B0770"/>
    <w:rsid w:val="003B1927"/>
    <w:rsid w:val="003B2150"/>
    <w:rsid w:val="003B45BA"/>
    <w:rsid w:val="003B4C51"/>
    <w:rsid w:val="003B68AD"/>
    <w:rsid w:val="003B6E58"/>
    <w:rsid w:val="003C1195"/>
    <w:rsid w:val="003C25BF"/>
    <w:rsid w:val="003C492E"/>
    <w:rsid w:val="003C7334"/>
    <w:rsid w:val="003D1753"/>
    <w:rsid w:val="003D2B12"/>
    <w:rsid w:val="003D527E"/>
    <w:rsid w:val="003D55CD"/>
    <w:rsid w:val="003D67E3"/>
    <w:rsid w:val="003E1E6B"/>
    <w:rsid w:val="003E3BCB"/>
    <w:rsid w:val="003F1976"/>
    <w:rsid w:val="003F1A41"/>
    <w:rsid w:val="003F2909"/>
    <w:rsid w:val="003F3741"/>
    <w:rsid w:val="003F5A67"/>
    <w:rsid w:val="003F6B6D"/>
    <w:rsid w:val="004003C1"/>
    <w:rsid w:val="00401613"/>
    <w:rsid w:val="0041030F"/>
    <w:rsid w:val="004105E5"/>
    <w:rsid w:val="00411DCF"/>
    <w:rsid w:val="00412FC5"/>
    <w:rsid w:val="00414247"/>
    <w:rsid w:val="004161B2"/>
    <w:rsid w:val="00416330"/>
    <w:rsid w:val="004170CC"/>
    <w:rsid w:val="004204A5"/>
    <w:rsid w:val="004218ED"/>
    <w:rsid w:val="004218FE"/>
    <w:rsid w:val="00425434"/>
    <w:rsid w:val="00427111"/>
    <w:rsid w:val="00431519"/>
    <w:rsid w:val="00436377"/>
    <w:rsid w:val="00436B1E"/>
    <w:rsid w:val="00442CD2"/>
    <w:rsid w:val="00444054"/>
    <w:rsid w:val="00445539"/>
    <w:rsid w:val="004501DB"/>
    <w:rsid w:val="00452C5B"/>
    <w:rsid w:val="004548CA"/>
    <w:rsid w:val="00454F1C"/>
    <w:rsid w:val="004558A7"/>
    <w:rsid w:val="00461B1A"/>
    <w:rsid w:val="004643CC"/>
    <w:rsid w:val="00465B90"/>
    <w:rsid w:val="00466F1C"/>
    <w:rsid w:val="004673A6"/>
    <w:rsid w:val="00467EE0"/>
    <w:rsid w:val="004721D0"/>
    <w:rsid w:val="00472A1F"/>
    <w:rsid w:val="00472E72"/>
    <w:rsid w:val="0047404B"/>
    <w:rsid w:val="00474406"/>
    <w:rsid w:val="004753C0"/>
    <w:rsid w:val="0047783B"/>
    <w:rsid w:val="00477AAB"/>
    <w:rsid w:val="0048025E"/>
    <w:rsid w:val="00481AD8"/>
    <w:rsid w:val="00481B93"/>
    <w:rsid w:val="00482032"/>
    <w:rsid w:val="0048556C"/>
    <w:rsid w:val="00486778"/>
    <w:rsid w:val="00497483"/>
    <w:rsid w:val="004A1079"/>
    <w:rsid w:val="004A4070"/>
    <w:rsid w:val="004A47CF"/>
    <w:rsid w:val="004A57F0"/>
    <w:rsid w:val="004A6860"/>
    <w:rsid w:val="004B3D62"/>
    <w:rsid w:val="004B4853"/>
    <w:rsid w:val="004B7012"/>
    <w:rsid w:val="004C14DE"/>
    <w:rsid w:val="004C6D5E"/>
    <w:rsid w:val="004D04B9"/>
    <w:rsid w:val="004D18EE"/>
    <w:rsid w:val="004D2F2A"/>
    <w:rsid w:val="004D75D0"/>
    <w:rsid w:val="004D7B85"/>
    <w:rsid w:val="004E087B"/>
    <w:rsid w:val="004E40B5"/>
    <w:rsid w:val="004E7FCC"/>
    <w:rsid w:val="004F304A"/>
    <w:rsid w:val="004F501F"/>
    <w:rsid w:val="004F6330"/>
    <w:rsid w:val="00500D89"/>
    <w:rsid w:val="00503D8F"/>
    <w:rsid w:val="0050435C"/>
    <w:rsid w:val="00505A35"/>
    <w:rsid w:val="005072DF"/>
    <w:rsid w:val="00510266"/>
    <w:rsid w:val="00510A25"/>
    <w:rsid w:val="005116D8"/>
    <w:rsid w:val="00512443"/>
    <w:rsid w:val="00513D0D"/>
    <w:rsid w:val="00516336"/>
    <w:rsid w:val="005208E8"/>
    <w:rsid w:val="00521A86"/>
    <w:rsid w:val="005228BF"/>
    <w:rsid w:val="0052292A"/>
    <w:rsid w:val="00522CB4"/>
    <w:rsid w:val="00522D1A"/>
    <w:rsid w:val="00524CF5"/>
    <w:rsid w:val="00526E42"/>
    <w:rsid w:val="00530043"/>
    <w:rsid w:val="00530520"/>
    <w:rsid w:val="00530988"/>
    <w:rsid w:val="0053113F"/>
    <w:rsid w:val="005317CD"/>
    <w:rsid w:val="00531A8F"/>
    <w:rsid w:val="00531BBD"/>
    <w:rsid w:val="005342DB"/>
    <w:rsid w:val="00534B8B"/>
    <w:rsid w:val="005420BD"/>
    <w:rsid w:val="00546888"/>
    <w:rsid w:val="00550823"/>
    <w:rsid w:val="00551E35"/>
    <w:rsid w:val="005545E2"/>
    <w:rsid w:val="005559E0"/>
    <w:rsid w:val="00556CD1"/>
    <w:rsid w:val="00557D9E"/>
    <w:rsid w:val="0056081A"/>
    <w:rsid w:val="00564007"/>
    <w:rsid w:val="00567B10"/>
    <w:rsid w:val="00571502"/>
    <w:rsid w:val="005726F9"/>
    <w:rsid w:val="005753B1"/>
    <w:rsid w:val="005838B6"/>
    <w:rsid w:val="00584610"/>
    <w:rsid w:val="00591D4E"/>
    <w:rsid w:val="00596804"/>
    <w:rsid w:val="00597FE0"/>
    <w:rsid w:val="005A2556"/>
    <w:rsid w:val="005A3232"/>
    <w:rsid w:val="005A437C"/>
    <w:rsid w:val="005B0D07"/>
    <w:rsid w:val="005C295A"/>
    <w:rsid w:val="005C29DF"/>
    <w:rsid w:val="005C4FBC"/>
    <w:rsid w:val="005C5276"/>
    <w:rsid w:val="005C5383"/>
    <w:rsid w:val="005C5A13"/>
    <w:rsid w:val="005D285D"/>
    <w:rsid w:val="005D31DC"/>
    <w:rsid w:val="005E1466"/>
    <w:rsid w:val="005E1B94"/>
    <w:rsid w:val="005E1F04"/>
    <w:rsid w:val="005E28B3"/>
    <w:rsid w:val="005E53AD"/>
    <w:rsid w:val="005F1CFA"/>
    <w:rsid w:val="005F3003"/>
    <w:rsid w:val="005F4309"/>
    <w:rsid w:val="005F671E"/>
    <w:rsid w:val="00600799"/>
    <w:rsid w:val="00602B5A"/>
    <w:rsid w:val="0060515A"/>
    <w:rsid w:val="00605AA0"/>
    <w:rsid w:val="0061011D"/>
    <w:rsid w:val="00614B3B"/>
    <w:rsid w:val="006223FA"/>
    <w:rsid w:val="00622436"/>
    <w:rsid w:val="006305FE"/>
    <w:rsid w:val="00631DA2"/>
    <w:rsid w:val="00637A5C"/>
    <w:rsid w:val="0064046E"/>
    <w:rsid w:val="00640E4E"/>
    <w:rsid w:val="006420B3"/>
    <w:rsid w:val="006565FD"/>
    <w:rsid w:val="006570BA"/>
    <w:rsid w:val="00657E28"/>
    <w:rsid w:val="006623CA"/>
    <w:rsid w:val="006648B1"/>
    <w:rsid w:val="00674C26"/>
    <w:rsid w:val="00676160"/>
    <w:rsid w:val="00681F5A"/>
    <w:rsid w:val="00682B37"/>
    <w:rsid w:val="006852DE"/>
    <w:rsid w:val="006910D3"/>
    <w:rsid w:val="00693AEA"/>
    <w:rsid w:val="00693B0D"/>
    <w:rsid w:val="0069526A"/>
    <w:rsid w:val="0069570C"/>
    <w:rsid w:val="006960CE"/>
    <w:rsid w:val="006A23C2"/>
    <w:rsid w:val="006A47CC"/>
    <w:rsid w:val="006A788D"/>
    <w:rsid w:val="006B05E4"/>
    <w:rsid w:val="006B330D"/>
    <w:rsid w:val="006B55B1"/>
    <w:rsid w:val="006B7191"/>
    <w:rsid w:val="006B738D"/>
    <w:rsid w:val="006C20B0"/>
    <w:rsid w:val="006C222D"/>
    <w:rsid w:val="006C35B8"/>
    <w:rsid w:val="006C5A84"/>
    <w:rsid w:val="006C5BEF"/>
    <w:rsid w:val="006C6947"/>
    <w:rsid w:val="006D1D41"/>
    <w:rsid w:val="006D367E"/>
    <w:rsid w:val="006D37B8"/>
    <w:rsid w:val="006D398E"/>
    <w:rsid w:val="006D43EE"/>
    <w:rsid w:val="006D6ABD"/>
    <w:rsid w:val="006E0D9C"/>
    <w:rsid w:val="006E136A"/>
    <w:rsid w:val="006E2DF1"/>
    <w:rsid w:val="006E4C54"/>
    <w:rsid w:val="006F0AF2"/>
    <w:rsid w:val="006F0B3D"/>
    <w:rsid w:val="006F58EB"/>
    <w:rsid w:val="007040E7"/>
    <w:rsid w:val="007046EA"/>
    <w:rsid w:val="00707E13"/>
    <w:rsid w:val="00710A15"/>
    <w:rsid w:val="007164C6"/>
    <w:rsid w:val="00720AF4"/>
    <w:rsid w:val="007211F9"/>
    <w:rsid w:val="00721B03"/>
    <w:rsid w:val="00721E51"/>
    <w:rsid w:val="007271B7"/>
    <w:rsid w:val="00732B6F"/>
    <w:rsid w:val="00733C47"/>
    <w:rsid w:val="00735B4E"/>
    <w:rsid w:val="007375FF"/>
    <w:rsid w:val="0074130F"/>
    <w:rsid w:val="00741AF4"/>
    <w:rsid w:val="007442F7"/>
    <w:rsid w:val="00745696"/>
    <w:rsid w:val="00745E59"/>
    <w:rsid w:val="00746520"/>
    <w:rsid w:val="00746A31"/>
    <w:rsid w:val="00751E9E"/>
    <w:rsid w:val="00751EAC"/>
    <w:rsid w:val="00752780"/>
    <w:rsid w:val="0075335E"/>
    <w:rsid w:val="00753B88"/>
    <w:rsid w:val="00754AEB"/>
    <w:rsid w:val="00755D0B"/>
    <w:rsid w:val="00755DF8"/>
    <w:rsid w:val="00761144"/>
    <w:rsid w:val="0076142F"/>
    <w:rsid w:val="00763C3F"/>
    <w:rsid w:val="0076621E"/>
    <w:rsid w:val="0076751F"/>
    <w:rsid w:val="00771BBA"/>
    <w:rsid w:val="007726E6"/>
    <w:rsid w:val="007731C8"/>
    <w:rsid w:val="007775D2"/>
    <w:rsid w:val="00781A10"/>
    <w:rsid w:val="00781D10"/>
    <w:rsid w:val="00782745"/>
    <w:rsid w:val="00784D14"/>
    <w:rsid w:val="00785C4D"/>
    <w:rsid w:val="00787252"/>
    <w:rsid w:val="00794F21"/>
    <w:rsid w:val="00796B98"/>
    <w:rsid w:val="007A12B5"/>
    <w:rsid w:val="007A36CE"/>
    <w:rsid w:val="007A37FD"/>
    <w:rsid w:val="007A4899"/>
    <w:rsid w:val="007A49CC"/>
    <w:rsid w:val="007A5B27"/>
    <w:rsid w:val="007A620C"/>
    <w:rsid w:val="007A7028"/>
    <w:rsid w:val="007A777D"/>
    <w:rsid w:val="007A7DA1"/>
    <w:rsid w:val="007B13E2"/>
    <w:rsid w:val="007B2138"/>
    <w:rsid w:val="007B3B0E"/>
    <w:rsid w:val="007B6E7A"/>
    <w:rsid w:val="007B7937"/>
    <w:rsid w:val="007C20CD"/>
    <w:rsid w:val="007C29B4"/>
    <w:rsid w:val="007C3CBA"/>
    <w:rsid w:val="007C7438"/>
    <w:rsid w:val="007D717C"/>
    <w:rsid w:val="007E13BF"/>
    <w:rsid w:val="007E27CA"/>
    <w:rsid w:val="007E27F9"/>
    <w:rsid w:val="007E2823"/>
    <w:rsid w:val="007E5A76"/>
    <w:rsid w:val="007E66FF"/>
    <w:rsid w:val="007E70E7"/>
    <w:rsid w:val="007F257C"/>
    <w:rsid w:val="007F6399"/>
    <w:rsid w:val="007F690D"/>
    <w:rsid w:val="008102CC"/>
    <w:rsid w:val="008112E5"/>
    <w:rsid w:val="008142AD"/>
    <w:rsid w:val="008157A6"/>
    <w:rsid w:val="00816170"/>
    <w:rsid w:val="00816876"/>
    <w:rsid w:val="008173AC"/>
    <w:rsid w:val="00820050"/>
    <w:rsid w:val="00822254"/>
    <w:rsid w:val="00822A20"/>
    <w:rsid w:val="008240B5"/>
    <w:rsid w:val="00824956"/>
    <w:rsid w:val="0083179A"/>
    <w:rsid w:val="00833F3C"/>
    <w:rsid w:val="00837628"/>
    <w:rsid w:val="00837875"/>
    <w:rsid w:val="00840ED8"/>
    <w:rsid w:val="00844032"/>
    <w:rsid w:val="0084717F"/>
    <w:rsid w:val="00850FE2"/>
    <w:rsid w:val="00853926"/>
    <w:rsid w:val="008551AA"/>
    <w:rsid w:val="008555A8"/>
    <w:rsid w:val="0085602E"/>
    <w:rsid w:val="00857B90"/>
    <w:rsid w:val="00866E5C"/>
    <w:rsid w:val="00867010"/>
    <w:rsid w:val="00867D5D"/>
    <w:rsid w:val="00873CFB"/>
    <w:rsid w:val="008749C7"/>
    <w:rsid w:val="00875817"/>
    <w:rsid w:val="008761E5"/>
    <w:rsid w:val="00882798"/>
    <w:rsid w:val="00883617"/>
    <w:rsid w:val="008A1882"/>
    <w:rsid w:val="008A20E3"/>
    <w:rsid w:val="008A537B"/>
    <w:rsid w:val="008A7B4D"/>
    <w:rsid w:val="008A7E1E"/>
    <w:rsid w:val="008B23AB"/>
    <w:rsid w:val="008B3099"/>
    <w:rsid w:val="008B31D0"/>
    <w:rsid w:val="008B4803"/>
    <w:rsid w:val="008B5D31"/>
    <w:rsid w:val="008B703D"/>
    <w:rsid w:val="008C061B"/>
    <w:rsid w:val="008D0A81"/>
    <w:rsid w:val="008D198A"/>
    <w:rsid w:val="008D36E1"/>
    <w:rsid w:val="008D3E5E"/>
    <w:rsid w:val="008D4C64"/>
    <w:rsid w:val="008E24D8"/>
    <w:rsid w:val="008E302C"/>
    <w:rsid w:val="008E3957"/>
    <w:rsid w:val="008E50AF"/>
    <w:rsid w:val="008E6258"/>
    <w:rsid w:val="008E69E8"/>
    <w:rsid w:val="008E701D"/>
    <w:rsid w:val="008E7544"/>
    <w:rsid w:val="008F32AD"/>
    <w:rsid w:val="008F3675"/>
    <w:rsid w:val="00900A35"/>
    <w:rsid w:val="00901037"/>
    <w:rsid w:val="00901B66"/>
    <w:rsid w:val="00902E60"/>
    <w:rsid w:val="00904B3B"/>
    <w:rsid w:val="00904B95"/>
    <w:rsid w:val="00906A3F"/>
    <w:rsid w:val="009104AD"/>
    <w:rsid w:val="00912186"/>
    <w:rsid w:val="00915275"/>
    <w:rsid w:val="009211F5"/>
    <w:rsid w:val="0092442D"/>
    <w:rsid w:val="00925C91"/>
    <w:rsid w:val="0092766D"/>
    <w:rsid w:val="00930B57"/>
    <w:rsid w:val="009317B1"/>
    <w:rsid w:val="009317FF"/>
    <w:rsid w:val="00935270"/>
    <w:rsid w:val="0093705F"/>
    <w:rsid w:val="00937569"/>
    <w:rsid w:val="00940377"/>
    <w:rsid w:val="00945AFF"/>
    <w:rsid w:val="009501AD"/>
    <w:rsid w:val="00951E00"/>
    <w:rsid w:val="00953195"/>
    <w:rsid w:val="00955A21"/>
    <w:rsid w:val="009565BD"/>
    <w:rsid w:val="009634F6"/>
    <w:rsid w:val="00964130"/>
    <w:rsid w:val="009643A3"/>
    <w:rsid w:val="00964E3D"/>
    <w:rsid w:val="009651A4"/>
    <w:rsid w:val="00967AFB"/>
    <w:rsid w:val="00970416"/>
    <w:rsid w:val="00973E97"/>
    <w:rsid w:val="00975FE5"/>
    <w:rsid w:val="00976343"/>
    <w:rsid w:val="00980126"/>
    <w:rsid w:val="00985448"/>
    <w:rsid w:val="00985874"/>
    <w:rsid w:val="0098678E"/>
    <w:rsid w:val="00987FF7"/>
    <w:rsid w:val="009938FB"/>
    <w:rsid w:val="00994505"/>
    <w:rsid w:val="00995254"/>
    <w:rsid w:val="00995961"/>
    <w:rsid w:val="009A11BC"/>
    <w:rsid w:val="009A4246"/>
    <w:rsid w:val="009A470D"/>
    <w:rsid w:val="009B1465"/>
    <w:rsid w:val="009B1730"/>
    <w:rsid w:val="009B34F5"/>
    <w:rsid w:val="009B3A77"/>
    <w:rsid w:val="009B4B0E"/>
    <w:rsid w:val="009B588B"/>
    <w:rsid w:val="009B5B08"/>
    <w:rsid w:val="009B608A"/>
    <w:rsid w:val="009C1593"/>
    <w:rsid w:val="009C2137"/>
    <w:rsid w:val="009C3411"/>
    <w:rsid w:val="009C5309"/>
    <w:rsid w:val="009C69B0"/>
    <w:rsid w:val="009C73C6"/>
    <w:rsid w:val="009D0280"/>
    <w:rsid w:val="009D6BE1"/>
    <w:rsid w:val="009E1A22"/>
    <w:rsid w:val="009E28C1"/>
    <w:rsid w:val="009E5173"/>
    <w:rsid w:val="009F072D"/>
    <w:rsid w:val="009F1492"/>
    <w:rsid w:val="009F5EF6"/>
    <w:rsid w:val="009F603E"/>
    <w:rsid w:val="009F65C3"/>
    <w:rsid w:val="009F7B85"/>
    <w:rsid w:val="009F7E9B"/>
    <w:rsid w:val="00A00063"/>
    <w:rsid w:val="00A0014E"/>
    <w:rsid w:val="00A01293"/>
    <w:rsid w:val="00A0247E"/>
    <w:rsid w:val="00A02F4D"/>
    <w:rsid w:val="00A03175"/>
    <w:rsid w:val="00A033A7"/>
    <w:rsid w:val="00A03570"/>
    <w:rsid w:val="00A055AF"/>
    <w:rsid w:val="00A05C24"/>
    <w:rsid w:val="00A07867"/>
    <w:rsid w:val="00A129CB"/>
    <w:rsid w:val="00A1377B"/>
    <w:rsid w:val="00A17220"/>
    <w:rsid w:val="00A24B41"/>
    <w:rsid w:val="00A25DC9"/>
    <w:rsid w:val="00A26ED7"/>
    <w:rsid w:val="00A304D3"/>
    <w:rsid w:val="00A41B28"/>
    <w:rsid w:val="00A44CFD"/>
    <w:rsid w:val="00A45EC8"/>
    <w:rsid w:val="00A50C15"/>
    <w:rsid w:val="00A51616"/>
    <w:rsid w:val="00A52CB5"/>
    <w:rsid w:val="00A53153"/>
    <w:rsid w:val="00A57F1F"/>
    <w:rsid w:val="00A60255"/>
    <w:rsid w:val="00A612DF"/>
    <w:rsid w:val="00A66AD5"/>
    <w:rsid w:val="00A6702E"/>
    <w:rsid w:val="00A729AB"/>
    <w:rsid w:val="00A74A48"/>
    <w:rsid w:val="00A809D0"/>
    <w:rsid w:val="00A80A74"/>
    <w:rsid w:val="00A853B9"/>
    <w:rsid w:val="00A8588B"/>
    <w:rsid w:val="00A93526"/>
    <w:rsid w:val="00A93CD1"/>
    <w:rsid w:val="00A97725"/>
    <w:rsid w:val="00AA0086"/>
    <w:rsid w:val="00AB1435"/>
    <w:rsid w:val="00AB27C6"/>
    <w:rsid w:val="00AB3C93"/>
    <w:rsid w:val="00AB4118"/>
    <w:rsid w:val="00AB4CB2"/>
    <w:rsid w:val="00AB538B"/>
    <w:rsid w:val="00AB7D8B"/>
    <w:rsid w:val="00AC0D08"/>
    <w:rsid w:val="00AC15C6"/>
    <w:rsid w:val="00AC1C21"/>
    <w:rsid w:val="00AC2117"/>
    <w:rsid w:val="00AC3F4E"/>
    <w:rsid w:val="00AC4F13"/>
    <w:rsid w:val="00AC51D7"/>
    <w:rsid w:val="00AC74EE"/>
    <w:rsid w:val="00AD0D38"/>
    <w:rsid w:val="00AD16F8"/>
    <w:rsid w:val="00AD2A34"/>
    <w:rsid w:val="00AD5E43"/>
    <w:rsid w:val="00AD63AD"/>
    <w:rsid w:val="00AE0BA2"/>
    <w:rsid w:val="00AE1D55"/>
    <w:rsid w:val="00AE335F"/>
    <w:rsid w:val="00AF7B19"/>
    <w:rsid w:val="00B0037E"/>
    <w:rsid w:val="00B02546"/>
    <w:rsid w:val="00B0342A"/>
    <w:rsid w:val="00B04E08"/>
    <w:rsid w:val="00B138BE"/>
    <w:rsid w:val="00B21CCE"/>
    <w:rsid w:val="00B2750A"/>
    <w:rsid w:val="00B30250"/>
    <w:rsid w:val="00B3146A"/>
    <w:rsid w:val="00B34679"/>
    <w:rsid w:val="00B34A15"/>
    <w:rsid w:val="00B40099"/>
    <w:rsid w:val="00B41617"/>
    <w:rsid w:val="00B41AC5"/>
    <w:rsid w:val="00B4503D"/>
    <w:rsid w:val="00B456F7"/>
    <w:rsid w:val="00B4636C"/>
    <w:rsid w:val="00B47A48"/>
    <w:rsid w:val="00B53FFF"/>
    <w:rsid w:val="00B558A2"/>
    <w:rsid w:val="00B55C4D"/>
    <w:rsid w:val="00B60141"/>
    <w:rsid w:val="00B61CDF"/>
    <w:rsid w:val="00B63719"/>
    <w:rsid w:val="00B64BC6"/>
    <w:rsid w:val="00B703E8"/>
    <w:rsid w:val="00B70C8D"/>
    <w:rsid w:val="00B73267"/>
    <w:rsid w:val="00B73984"/>
    <w:rsid w:val="00B7535E"/>
    <w:rsid w:val="00B81127"/>
    <w:rsid w:val="00B84C2A"/>
    <w:rsid w:val="00B85BAC"/>
    <w:rsid w:val="00B86018"/>
    <w:rsid w:val="00B8663E"/>
    <w:rsid w:val="00B87C2D"/>
    <w:rsid w:val="00BA0A7B"/>
    <w:rsid w:val="00BA1B01"/>
    <w:rsid w:val="00BA23BE"/>
    <w:rsid w:val="00BA7A89"/>
    <w:rsid w:val="00BB1277"/>
    <w:rsid w:val="00BC1650"/>
    <w:rsid w:val="00BC308D"/>
    <w:rsid w:val="00BC39F9"/>
    <w:rsid w:val="00BC4760"/>
    <w:rsid w:val="00BC783C"/>
    <w:rsid w:val="00BD2AF0"/>
    <w:rsid w:val="00BD4934"/>
    <w:rsid w:val="00BE139E"/>
    <w:rsid w:val="00BE3C04"/>
    <w:rsid w:val="00BE4C9B"/>
    <w:rsid w:val="00BE6A46"/>
    <w:rsid w:val="00BF17D5"/>
    <w:rsid w:val="00BF23D8"/>
    <w:rsid w:val="00BF3B15"/>
    <w:rsid w:val="00BF4014"/>
    <w:rsid w:val="00BF7C99"/>
    <w:rsid w:val="00C00365"/>
    <w:rsid w:val="00C004F9"/>
    <w:rsid w:val="00C01201"/>
    <w:rsid w:val="00C07B3F"/>
    <w:rsid w:val="00C07D59"/>
    <w:rsid w:val="00C16C01"/>
    <w:rsid w:val="00C20270"/>
    <w:rsid w:val="00C22FAD"/>
    <w:rsid w:val="00C22FE0"/>
    <w:rsid w:val="00C25D59"/>
    <w:rsid w:val="00C31D62"/>
    <w:rsid w:val="00C32116"/>
    <w:rsid w:val="00C33134"/>
    <w:rsid w:val="00C44696"/>
    <w:rsid w:val="00C5099C"/>
    <w:rsid w:val="00C53D5E"/>
    <w:rsid w:val="00C555ED"/>
    <w:rsid w:val="00C568E1"/>
    <w:rsid w:val="00C62293"/>
    <w:rsid w:val="00C66D8C"/>
    <w:rsid w:val="00C67925"/>
    <w:rsid w:val="00C71131"/>
    <w:rsid w:val="00C718A7"/>
    <w:rsid w:val="00C722D2"/>
    <w:rsid w:val="00C726DC"/>
    <w:rsid w:val="00C72938"/>
    <w:rsid w:val="00C807BE"/>
    <w:rsid w:val="00C823AD"/>
    <w:rsid w:val="00C85BDB"/>
    <w:rsid w:val="00C86184"/>
    <w:rsid w:val="00C93976"/>
    <w:rsid w:val="00C97473"/>
    <w:rsid w:val="00CA24D5"/>
    <w:rsid w:val="00CA2EDC"/>
    <w:rsid w:val="00CA3C9A"/>
    <w:rsid w:val="00CA6B77"/>
    <w:rsid w:val="00CA791D"/>
    <w:rsid w:val="00CB1F20"/>
    <w:rsid w:val="00CB238F"/>
    <w:rsid w:val="00CB3B13"/>
    <w:rsid w:val="00CB4F5B"/>
    <w:rsid w:val="00CB5080"/>
    <w:rsid w:val="00CB684B"/>
    <w:rsid w:val="00CC0AB4"/>
    <w:rsid w:val="00CC4491"/>
    <w:rsid w:val="00CC6416"/>
    <w:rsid w:val="00CD28BD"/>
    <w:rsid w:val="00CD2BB7"/>
    <w:rsid w:val="00CD4EE4"/>
    <w:rsid w:val="00CD5C96"/>
    <w:rsid w:val="00CE3D1D"/>
    <w:rsid w:val="00CE491A"/>
    <w:rsid w:val="00CE73DB"/>
    <w:rsid w:val="00CF0206"/>
    <w:rsid w:val="00CF2C63"/>
    <w:rsid w:val="00CF3FC4"/>
    <w:rsid w:val="00CF56D4"/>
    <w:rsid w:val="00CF7220"/>
    <w:rsid w:val="00CF7B28"/>
    <w:rsid w:val="00D00081"/>
    <w:rsid w:val="00D02BBA"/>
    <w:rsid w:val="00D02C5E"/>
    <w:rsid w:val="00D03452"/>
    <w:rsid w:val="00D0359C"/>
    <w:rsid w:val="00D06634"/>
    <w:rsid w:val="00D0670C"/>
    <w:rsid w:val="00D134C1"/>
    <w:rsid w:val="00D14440"/>
    <w:rsid w:val="00D148C5"/>
    <w:rsid w:val="00D14BC9"/>
    <w:rsid w:val="00D21A93"/>
    <w:rsid w:val="00D27AF1"/>
    <w:rsid w:val="00D30C59"/>
    <w:rsid w:val="00D332B3"/>
    <w:rsid w:val="00D335AC"/>
    <w:rsid w:val="00D3371C"/>
    <w:rsid w:val="00D33953"/>
    <w:rsid w:val="00D37BB8"/>
    <w:rsid w:val="00D37E8F"/>
    <w:rsid w:val="00D416C0"/>
    <w:rsid w:val="00D422AC"/>
    <w:rsid w:val="00D43558"/>
    <w:rsid w:val="00D5187D"/>
    <w:rsid w:val="00D53AEC"/>
    <w:rsid w:val="00D53C80"/>
    <w:rsid w:val="00D53D6D"/>
    <w:rsid w:val="00D5630D"/>
    <w:rsid w:val="00D61861"/>
    <w:rsid w:val="00D6350D"/>
    <w:rsid w:val="00D63B57"/>
    <w:rsid w:val="00D640CB"/>
    <w:rsid w:val="00D66CBE"/>
    <w:rsid w:val="00D67CB7"/>
    <w:rsid w:val="00D71608"/>
    <w:rsid w:val="00D74A5C"/>
    <w:rsid w:val="00D7590B"/>
    <w:rsid w:val="00D76913"/>
    <w:rsid w:val="00D8084F"/>
    <w:rsid w:val="00D80C21"/>
    <w:rsid w:val="00D848AB"/>
    <w:rsid w:val="00D85C0E"/>
    <w:rsid w:val="00D863AA"/>
    <w:rsid w:val="00D93C23"/>
    <w:rsid w:val="00D946E4"/>
    <w:rsid w:val="00DA123B"/>
    <w:rsid w:val="00DA13E4"/>
    <w:rsid w:val="00DA33D6"/>
    <w:rsid w:val="00DA35E1"/>
    <w:rsid w:val="00DA7671"/>
    <w:rsid w:val="00DB0026"/>
    <w:rsid w:val="00DB187C"/>
    <w:rsid w:val="00DB3990"/>
    <w:rsid w:val="00DB57D2"/>
    <w:rsid w:val="00DB6D48"/>
    <w:rsid w:val="00DB7594"/>
    <w:rsid w:val="00DC038A"/>
    <w:rsid w:val="00DC15B8"/>
    <w:rsid w:val="00DC2E44"/>
    <w:rsid w:val="00DC4D9D"/>
    <w:rsid w:val="00DC52E7"/>
    <w:rsid w:val="00DD0427"/>
    <w:rsid w:val="00DD644E"/>
    <w:rsid w:val="00DE04DD"/>
    <w:rsid w:val="00DE0843"/>
    <w:rsid w:val="00DE1A0D"/>
    <w:rsid w:val="00DE4EB8"/>
    <w:rsid w:val="00DE5C7B"/>
    <w:rsid w:val="00DE6AE8"/>
    <w:rsid w:val="00DE6E48"/>
    <w:rsid w:val="00DE747A"/>
    <w:rsid w:val="00DE7ED3"/>
    <w:rsid w:val="00DF0C63"/>
    <w:rsid w:val="00DF0F24"/>
    <w:rsid w:val="00DF11BA"/>
    <w:rsid w:val="00DF47BF"/>
    <w:rsid w:val="00DF61BF"/>
    <w:rsid w:val="00DF76E1"/>
    <w:rsid w:val="00E004EA"/>
    <w:rsid w:val="00E00ED7"/>
    <w:rsid w:val="00E010E5"/>
    <w:rsid w:val="00E01DCA"/>
    <w:rsid w:val="00E0322A"/>
    <w:rsid w:val="00E03615"/>
    <w:rsid w:val="00E0513E"/>
    <w:rsid w:val="00E07630"/>
    <w:rsid w:val="00E10FA1"/>
    <w:rsid w:val="00E11326"/>
    <w:rsid w:val="00E125E3"/>
    <w:rsid w:val="00E13316"/>
    <w:rsid w:val="00E20CFC"/>
    <w:rsid w:val="00E22B8E"/>
    <w:rsid w:val="00E267C0"/>
    <w:rsid w:val="00E32D51"/>
    <w:rsid w:val="00E34FA7"/>
    <w:rsid w:val="00E37EB5"/>
    <w:rsid w:val="00E40343"/>
    <w:rsid w:val="00E416E8"/>
    <w:rsid w:val="00E4231B"/>
    <w:rsid w:val="00E43E4C"/>
    <w:rsid w:val="00E4586A"/>
    <w:rsid w:val="00E47A4F"/>
    <w:rsid w:val="00E5078A"/>
    <w:rsid w:val="00E508C0"/>
    <w:rsid w:val="00E52AA1"/>
    <w:rsid w:val="00E550AE"/>
    <w:rsid w:val="00E638A8"/>
    <w:rsid w:val="00E731F9"/>
    <w:rsid w:val="00E81C7C"/>
    <w:rsid w:val="00E82292"/>
    <w:rsid w:val="00E83719"/>
    <w:rsid w:val="00E8756E"/>
    <w:rsid w:val="00E87B29"/>
    <w:rsid w:val="00E906AD"/>
    <w:rsid w:val="00E91C8B"/>
    <w:rsid w:val="00E97774"/>
    <w:rsid w:val="00E97C3B"/>
    <w:rsid w:val="00EA0384"/>
    <w:rsid w:val="00EA1004"/>
    <w:rsid w:val="00EA1A21"/>
    <w:rsid w:val="00EA4B6F"/>
    <w:rsid w:val="00EB040B"/>
    <w:rsid w:val="00EB05B2"/>
    <w:rsid w:val="00EB2D04"/>
    <w:rsid w:val="00EB45D0"/>
    <w:rsid w:val="00EB49B7"/>
    <w:rsid w:val="00EC506F"/>
    <w:rsid w:val="00ED067B"/>
    <w:rsid w:val="00ED0ED4"/>
    <w:rsid w:val="00ED3701"/>
    <w:rsid w:val="00ED484A"/>
    <w:rsid w:val="00ED5C45"/>
    <w:rsid w:val="00ED7E02"/>
    <w:rsid w:val="00EE2181"/>
    <w:rsid w:val="00EE31F5"/>
    <w:rsid w:val="00EE35E1"/>
    <w:rsid w:val="00EE45D8"/>
    <w:rsid w:val="00EE64FA"/>
    <w:rsid w:val="00EE7B17"/>
    <w:rsid w:val="00EF0128"/>
    <w:rsid w:val="00EF2B40"/>
    <w:rsid w:val="00EF4F4D"/>
    <w:rsid w:val="00EF5372"/>
    <w:rsid w:val="00EF5664"/>
    <w:rsid w:val="00EF5A8B"/>
    <w:rsid w:val="00EF675C"/>
    <w:rsid w:val="00F00B9C"/>
    <w:rsid w:val="00F01A50"/>
    <w:rsid w:val="00F02A52"/>
    <w:rsid w:val="00F02B8A"/>
    <w:rsid w:val="00F02F19"/>
    <w:rsid w:val="00F044B6"/>
    <w:rsid w:val="00F069C6"/>
    <w:rsid w:val="00F10980"/>
    <w:rsid w:val="00F115D8"/>
    <w:rsid w:val="00F151BA"/>
    <w:rsid w:val="00F1684A"/>
    <w:rsid w:val="00F16BA9"/>
    <w:rsid w:val="00F20F82"/>
    <w:rsid w:val="00F228A3"/>
    <w:rsid w:val="00F22DB1"/>
    <w:rsid w:val="00F243CC"/>
    <w:rsid w:val="00F33DD2"/>
    <w:rsid w:val="00F374C7"/>
    <w:rsid w:val="00F41862"/>
    <w:rsid w:val="00F418CB"/>
    <w:rsid w:val="00F4284B"/>
    <w:rsid w:val="00F437D9"/>
    <w:rsid w:val="00F47103"/>
    <w:rsid w:val="00F51C9E"/>
    <w:rsid w:val="00F533AC"/>
    <w:rsid w:val="00F53A5B"/>
    <w:rsid w:val="00F53B72"/>
    <w:rsid w:val="00F56261"/>
    <w:rsid w:val="00F57A9C"/>
    <w:rsid w:val="00F60288"/>
    <w:rsid w:val="00F612A8"/>
    <w:rsid w:val="00F615EC"/>
    <w:rsid w:val="00F63663"/>
    <w:rsid w:val="00F65A3C"/>
    <w:rsid w:val="00F67712"/>
    <w:rsid w:val="00F67E0C"/>
    <w:rsid w:val="00F70EC3"/>
    <w:rsid w:val="00F70EE0"/>
    <w:rsid w:val="00F712DC"/>
    <w:rsid w:val="00F755DD"/>
    <w:rsid w:val="00F76B2F"/>
    <w:rsid w:val="00F76E86"/>
    <w:rsid w:val="00F81F5F"/>
    <w:rsid w:val="00F82BBB"/>
    <w:rsid w:val="00F837DB"/>
    <w:rsid w:val="00F84A84"/>
    <w:rsid w:val="00F8680B"/>
    <w:rsid w:val="00F91C28"/>
    <w:rsid w:val="00F91E98"/>
    <w:rsid w:val="00F91FD5"/>
    <w:rsid w:val="00F932BA"/>
    <w:rsid w:val="00F9440E"/>
    <w:rsid w:val="00F94518"/>
    <w:rsid w:val="00F958B6"/>
    <w:rsid w:val="00F96509"/>
    <w:rsid w:val="00FA318F"/>
    <w:rsid w:val="00FA7D9B"/>
    <w:rsid w:val="00FB161B"/>
    <w:rsid w:val="00FB1D54"/>
    <w:rsid w:val="00FB2E4A"/>
    <w:rsid w:val="00FB3161"/>
    <w:rsid w:val="00FB3406"/>
    <w:rsid w:val="00FC41A5"/>
    <w:rsid w:val="00FC4B80"/>
    <w:rsid w:val="00FC5555"/>
    <w:rsid w:val="00FC75EA"/>
    <w:rsid w:val="00FD1430"/>
    <w:rsid w:val="00FD2A38"/>
    <w:rsid w:val="00FD3587"/>
    <w:rsid w:val="00FD4BC8"/>
    <w:rsid w:val="00FD5C21"/>
    <w:rsid w:val="00FF0C15"/>
    <w:rsid w:val="00FF15C7"/>
    <w:rsid w:val="00FF3279"/>
    <w:rsid w:val="00FF4A1E"/>
    <w:rsid w:val="00FF5917"/>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74131"/>
  <w15:docId w15:val="{E119059D-7284-4715-A1E6-2E6FF71F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131"/>
    <w:pPr>
      <w:keepNext/>
      <w:numPr>
        <w:numId w:val="4"/>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71131"/>
    <w:pPr>
      <w:keepNext/>
      <w:numPr>
        <w:ilvl w:val="1"/>
        <w:numId w:val="4"/>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C71131"/>
    <w:pPr>
      <w:keepNext/>
      <w:numPr>
        <w:ilvl w:val="2"/>
        <w:numId w:val="4"/>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C71131"/>
    <w:pPr>
      <w:keepNext/>
      <w:numPr>
        <w:ilvl w:val="3"/>
        <w:numId w:val="4"/>
      </w:numPr>
      <w:outlineLvl w:val="3"/>
    </w:pPr>
    <w:rPr>
      <w:rFonts w:ascii="Arial" w:hAnsi="Arial"/>
      <w:b/>
      <w:bCs/>
      <w:sz w:val="22"/>
      <w:szCs w:val="28"/>
    </w:rPr>
  </w:style>
  <w:style w:type="paragraph" w:styleId="Heading6">
    <w:name w:val="heading 6"/>
    <w:basedOn w:val="Normal"/>
    <w:next w:val="Normal"/>
    <w:link w:val="Heading6Char"/>
    <w:uiPriority w:val="9"/>
    <w:semiHidden/>
    <w:unhideWhenUsed/>
    <w:qFormat/>
    <w:rsid w:val="00DE5C7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863A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131"/>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71131"/>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C71131"/>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C71131"/>
    <w:rPr>
      <w:rFonts w:ascii="Arial" w:eastAsia="Times New Roman" w:hAnsi="Arial" w:cs="Times New Roman"/>
      <w:b/>
      <w:bCs/>
      <w:szCs w:val="28"/>
    </w:rPr>
  </w:style>
  <w:style w:type="paragraph" w:customStyle="1" w:styleId="CharCharCharChar1">
    <w:name w:val="Char Char Char Char1"/>
    <w:basedOn w:val="Normal"/>
    <w:rsid w:val="00C71131"/>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C71131"/>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C71131"/>
    <w:rPr>
      <w:rFonts w:ascii="Times New Roman" w:eastAsia="Times New Roman" w:hAnsi="Times New Roman" w:cs="Times New Roman"/>
      <w:sz w:val="20"/>
      <w:szCs w:val="20"/>
    </w:rPr>
  </w:style>
  <w:style w:type="character" w:styleId="FootnoteReference">
    <w:name w:val="footnote reference"/>
    <w:uiPriority w:val="99"/>
    <w:rsid w:val="00C71131"/>
    <w:rPr>
      <w:vertAlign w:val="superscript"/>
    </w:rPr>
  </w:style>
  <w:style w:type="character" w:styleId="Hyperlink">
    <w:name w:val="Hyperlink"/>
    <w:rsid w:val="00C71131"/>
    <w:rPr>
      <w:color w:val="0000FF"/>
      <w:u w:val="single"/>
    </w:rPr>
  </w:style>
  <w:style w:type="paragraph" w:styleId="Title">
    <w:name w:val="Title"/>
    <w:basedOn w:val="Normal"/>
    <w:link w:val="TitleChar"/>
    <w:qFormat/>
    <w:rsid w:val="00C71131"/>
    <w:pPr>
      <w:jc w:val="center"/>
    </w:pPr>
    <w:rPr>
      <w:sz w:val="32"/>
    </w:rPr>
  </w:style>
  <w:style w:type="character" w:customStyle="1" w:styleId="TitleChar">
    <w:name w:val="Title Char"/>
    <w:basedOn w:val="DefaultParagraphFont"/>
    <w:link w:val="Title"/>
    <w:rsid w:val="00C71131"/>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FC5555"/>
    <w:pPr>
      <w:tabs>
        <w:tab w:val="center" w:pos="4680"/>
        <w:tab w:val="right" w:pos="9360"/>
      </w:tabs>
    </w:pPr>
  </w:style>
  <w:style w:type="character" w:customStyle="1" w:styleId="HeaderChar">
    <w:name w:val="Header Char"/>
    <w:basedOn w:val="DefaultParagraphFont"/>
    <w:link w:val="Header"/>
    <w:uiPriority w:val="99"/>
    <w:rsid w:val="00FC55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555"/>
    <w:pPr>
      <w:tabs>
        <w:tab w:val="center" w:pos="4680"/>
        <w:tab w:val="right" w:pos="9360"/>
      </w:tabs>
    </w:pPr>
  </w:style>
  <w:style w:type="character" w:customStyle="1" w:styleId="FooterChar">
    <w:name w:val="Footer Char"/>
    <w:basedOn w:val="DefaultParagraphFont"/>
    <w:link w:val="Footer"/>
    <w:uiPriority w:val="99"/>
    <w:rsid w:val="00FC555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4BC6"/>
    <w:rPr>
      <w:sz w:val="16"/>
      <w:szCs w:val="16"/>
    </w:rPr>
  </w:style>
  <w:style w:type="paragraph" w:styleId="CommentText">
    <w:name w:val="annotation text"/>
    <w:basedOn w:val="Normal"/>
    <w:link w:val="CommentTextChar"/>
    <w:uiPriority w:val="99"/>
    <w:semiHidden/>
    <w:unhideWhenUsed/>
    <w:rsid w:val="00B64BC6"/>
    <w:rPr>
      <w:sz w:val="20"/>
      <w:szCs w:val="20"/>
    </w:rPr>
  </w:style>
  <w:style w:type="character" w:customStyle="1" w:styleId="CommentTextChar">
    <w:name w:val="Comment Text Char"/>
    <w:basedOn w:val="DefaultParagraphFont"/>
    <w:link w:val="CommentText"/>
    <w:uiPriority w:val="99"/>
    <w:semiHidden/>
    <w:rsid w:val="00B64B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C6"/>
    <w:rPr>
      <w:b/>
      <w:bCs/>
    </w:rPr>
  </w:style>
  <w:style w:type="character" w:customStyle="1" w:styleId="CommentSubjectChar">
    <w:name w:val="Comment Subject Char"/>
    <w:basedOn w:val="CommentTextChar"/>
    <w:link w:val="CommentSubject"/>
    <w:uiPriority w:val="99"/>
    <w:semiHidden/>
    <w:rsid w:val="00B64B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C6"/>
    <w:rPr>
      <w:rFonts w:ascii="Tahoma" w:hAnsi="Tahoma" w:cs="Tahoma"/>
      <w:sz w:val="16"/>
      <w:szCs w:val="16"/>
    </w:rPr>
  </w:style>
  <w:style w:type="character" w:customStyle="1" w:styleId="BalloonTextChar">
    <w:name w:val="Balloon Text Char"/>
    <w:basedOn w:val="DefaultParagraphFont"/>
    <w:link w:val="BalloonText"/>
    <w:uiPriority w:val="99"/>
    <w:semiHidden/>
    <w:rsid w:val="00B64BC6"/>
    <w:rPr>
      <w:rFonts w:ascii="Tahoma" w:eastAsia="Times New Roman" w:hAnsi="Tahoma" w:cs="Tahoma"/>
      <w:sz w:val="16"/>
      <w:szCs w:val="16"/>
    </w:rPr>
  </w:style>
  <w:style w:type="paragraph" w:styleId="ListParagraph">
    <w:name w:val="List Paragraph"/>
    <w:basedOn w:val="Normal"/>
    <w:uiPriority w:val="34"/>
    <w:qFormat/>
    <w:rsid w:val="006F58EB"/>
    <w:pPr>
      <w:ind w:left="360" w:hanging="360"/>
      <w:contextualSpacing/>
    </w:pPr>
    <w:rPr>
      <w:rFonts w:eastAsiaTheme="minorEastAsia" w:cstheme="minorBidi"/>
      <w:szCs w:val="22"/>
    </w:rPr>
  </w:style>
  <w:style w:type="character" w:styleId="FollowedHyperlink">
    <w:name w:val="FollowedHyperlink"/>
    <w:basedOn w:val="DefaultParagraphFont"/>
    <w:uiPriority w:val="99"/>
    <w:semiHidden/>
    <w:unhideWhenUsed/>
    <w:rsid w:val="00844032"/>
    <w:rPr>
      <w:color w:val="800080" w:themeColor="followedHyperlink"/>
      <w:u w:val="single"/>
    </w:rPr>
  </w:style>
  <w:style w:type="table" w:styleId="TableGrid">
    <w:name w:val="Table Grid"/>
    <w:basedOn w:val="TableNormal"/>
    <w:uiPriority w:val="39"/>
    <w:rsid w:val="0053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160"/>
    <w:pPr>
      <w:spacing w:after="0" w:line="240" w:lineRule="auto"/>
    </w:pPr>
    <w:rPr>
      <w:rFonts w:ascii="Times New Roman" w:eastAsia="Times New Roman" w:hAnsi="Times New Roman" w:cs="Times New Roman"/>
      <w:sz w:val="24"/>
      <w:szCs w:val="24"/>
    </w:rPr>
  </w:style>
  <w:style w:type="paragraph" w:customStyle="1" w:styleId="CharCharCharChar10">
    <w:name w:val="Char Char Char Char1"/>
    <w:basedOn w:val="Normal"/>
    <w:rsid w:val="00AF7B19"/>
    <w:pPr>
      <w:spacing w:after="160"/>
    </w:pPr>
    <w:rPr>
      <w:rFonts w:ascii="Verdana" w:hAnsi="Verdana"/>
    </w:rPr>
  </w:style>
  <w:style w:type="character" w:styleId="PlaceholderText">
    <w:name w:val="Placeholder Text"/>
    <w:basedOn w:val="DefaultParagraphFont"/>
    <w:uiPriority w:val="99"/>
    <w:semiHidden/>
    <w:rsid w:val="008D198A"/>
    <w:rPr>
      <w:color w:val="808080"/>
    </w:rPr>
  </w:style>
  <w:style w:type="paragraph" w:styleId="ListBullet">
    <w:name w:val="List Bullet"/>
    <w:basedOn w:val="Normal"/>
    <w:qFormat/>
    <w:rsid w:val="005559E0"/>
    <w:pPr>
      <w:numPr>
        <w:numId w:val="13"/>
      </w:numPr>
      <w:spacing w:before="120"/>
      <w:jc w:val="both"/>
    </w:pPr>
    <w:rPr>
      <w:rFonts w:eastAsiaTheme="minorHAnsi" w:cstheme="minorBidi"/>
    </w:rPr>
  </w:style>
  <w:style w:type="paragraph" w:styleId="ListBullet2">
    <w:name w:val="List Bullet 2"/>
    <w:basedOn w:val="ListBullet"/>
    <w:rsid w:val="005559E0"/>
    <w:pPr>
      <w:numPr>
        <w:ilvl w:val="1"/>
      </w:numPr>
    </w:pPr>
  </w:style>
  <w:style w:type="paragraph" w:styleId="ListBullet3">
    <w:name w:val="List Bullet 3"/>
    <w:basedOn w:val="ListBullet2"/>
    <w:rsid w:val="005559E0"/>
    <w:pPr>
      <w:numPr>
        <w:ilvl w:val="2"/>
      </w:numPr>
    </w:pPr>
  </w:style>
  <w:style w:type="paragraph" w:styleId="ListBullet4">
    <w:name w:val="List Bullet 4"/>
    <w:basedOn w:val="ListBullet3"/>
    <w:rsid w:val="005559E0"/>
    <w:pPr>
      <w:numPr>
        <w:ilvl w:val="3"/>
      </w:numPr>
    </w:pPr>
  </w:style>
  <w:style w:type="paragraph" w:styleId="ListBullet5">
    <w:name w:val="List Bullet 5"/>
    <w:basedOn w:val="ListBullet4"/>
    <w:rsid w:val="005559E0"/>
    <w:pPr>
      <w:numPr>
        <w:ilvl w:val="4"/>
      </w:numPr>
    </w:pPr>
  </w:style>
  <w:style w:type="paragraph" w:customStyle="1" w:styleId="ListBullet-SingleLine">
    <w:name w:val="List Bullet - Single Line"/>
    <w:basedOn w:val="ListBullet"/>
    <w:link w:val="ListBullet-SingleLineChar"/>
    <w:qFormat/>
    <w:rsid w:val="005559E0"/>
    <w:pPr>
      <w:contextualSpacing/>
    </w:pPr>
  </w:style>
  <w:style w:type="character" w:customStyle="1" w:styleId="ListBullet-SingleLineChar">
    <w:name w:val="List Bullet - Single Line Char"/>
    <w:basedOn w:val="DefaultParagraphFont"/>
    <w:link w:val="ListBullet-SingleLine"/>
    <w:rsid w:val="005559E0"/>
    <w:rPr>
      <w:rFonts w:ascii="Times New Roman" w:hAnsi="Times New Roman"/>
      <w:sz w:val="24"/>
      <w:szCs w:val="24"/>
    </w:rPr>
  </w:style>
  <w:style w:type="paragraph" w:customStyle="1" w:styleId="Normalbeforebulletedlist">
    <w:name w:val="Normal before bulleted list"/>
    <w:basedOn w:val="Normal"/>
    <w:next w:val="ListBullet"/>
    <w:link w:val="NormalbeforebulletedlistChar"/>
    <w:qFormat/>
    <w:rsid w:val="005559E0"/>
    <w:pPr>
      <w:keepNext/>
      <w:jc w:val="both"/>
    </w:pPr>
    <w:rPr>
      <w:rFonts w:eastAsiaTheme="minorHAnsi" w:cstheme="minorBidi"/>
    </w:rPr>
  </w:style>
  <w:style w:type="character" w:customStyle="1" w:styleId="NormalbeforebulletedlistChar">
    <w:name w:val="Normal before bulleted list Char"/>
    <w:basedOn w:val="DefaultParagraphFont"/>
    <w:link w:val="Normalbeforebulletedlist"/>
    <w:rsid w:val="005559E0"/>
    <w:rPr>
      <w:rFonts w:ascii="Times New Roman" w:hAnsi="Times New Roman"/>
      <w:sz w:val="24"/>
      <w:szCs w:val="24"/>
    </w:rPr>
  </w:style>
  <w:style w:type="paragraph" w:customStyle="1" w:styleId="ListBullet-SingleLine-Last">
    <w:name w:val="List Bullet - Single Line - Last"/>
    <w:basedOn w:val="ListBullet-SingleLine"/>
    <w:link w:val="ListBullet-SingleLine-LastChar"/>
    <w:qFormat/>
    <w:rsid w:val="005559E0"/>
    <w:pPr>
      <w:spacing w:before="0" w:after="240"/>
      <w:contextualSpacing w:val="0"/>
    </w:pPr>
  </w:style>
  <w:style w:type="character" w:customStyle="1" w:styleId="ListBullet-SingleLine-LastChar">
    <w:name w:val="List Bullet - Single Line - Last Char"/>
    <w:basedOn w:val="ListBullet-SingleLineChar"/>
    <w:link w:val="ListBullet-SingleLine-Last"/>
    <w:rsid w:val="005559E0"/>
    <w:rPr>
      <w:rFonts w:ascii="Times New Roman" w:hAnsi="Times New Roman"/>
      <w:sz w:val="24"/>
      <w:szCs w:val="24"/>
    </w:rPr>
  </w:style>
  <w:style w:type="paragraph" w:customStyle="1" w:styleId="TableColumnHeading">
    <w:name w:val="Table Column Heading"/>
    <w:link w:val="TableColumnHeadingChar"/>
    <w:qFormat/>
    <w:rsid w:val="008240B5"/>
    <w:pPr>
      <w:keepNext/>
      <w:spacing w:after="0" w:line="240" w:lineRule="auto"/>
      <w:jc w:val="center"/>
    </w:pPr>
    <w:rPr>
      <w:rFonts w:ascii="Arial" w:eastAsia="Times New Roman" w:hAnsi="Arial" w:cs="Times New Roman"/>
      <w:bCs/>
      <w:color w:val="FFFFFF" w:themeColor="background1"/>
      <w:sz w:val="24"/>
      <w:szCs w:val="24"/>
    </w:rPr>
  </w:style>
  <w:style w:type="paragraph" w:customStyle="1" w:styleId="TableCellGeneralText">
    <w:name w:val="Table Cell General Text"/>
    <w:link w:val="TableCellGeneralTextChar"/>
    <w:qFormat/>
    <w:rsid w:val="008240B5"/>
    <w:pPr>
      <w:spacing w:after="0" w:line="240" w:lineRule="auto"/>
    </w:pPr>
    <w:rPr>
      <w:rFonts w:ascii="Arial" w:eastAsia="Times New Roman" w:hAnsi="Arial" w:cs="Arial"/>
      <w:bCs/>
      <w:color w:val="000000" w:themeColor="text1"/>
      <w:sz w:val="20"/>
      <w:szCs w:val="24"/>
    </w:rPr>
  </w:style>
  <w:style w:type="character" w:customStyle="1" w:styleId="TableColumnHeadingChar">
    <w:name w:val="Table Column Heading Char"/>
    <w:basedOn w:val="DefaultParagraphFont"/>
    <w:link w:val="TableColumnHeading"/>
    <w:rsid w:val="008240B5"/>
    <w:rPr>
      <w:rFonts w:ascii="Arial" w:eastAsia="Times New Roman" w:hAnsi="Arial" w:cs="Times New Roman"/>
      <w:bCs/>
      <w:color w:val="FFFFFF" w:themeColor="background1"/>
      <w:sz w:val="24"/>
      <w:szCs w:val="24"/>
    </w:rPr>
  </w:style>
  <w:style w:type="paragraph" w:customStyle="1" w:styleId="TableCellNumbers">
    <w:name w:val="Table Cell Numbers"/>
    <w:basedOn w:val="TableCellGeneralText"/>
    <w:link w:val="TableCellNumbersChar"/>
    <w:qFormat/>
    <w:rsid w:val="008240B5"/>
    <w:pPr>
      <w:jc w:val="right"/>
    </w:pPr>
  </w:style>
  <w:style w:type="character" w:customStyle="1" w:styleId="TableCellGeneralTextChar">
    <w:name w:val="Table Cell General Text Char"/>
    <w:basedOn w:val="DefaultParagraphFont"/>
    <w:link w:val="TableCellGeneralText"/>
    <w:rsid w:val="008240B5"/>
    <w:rPr>
      <w:rFonts w:ascii="Arial" w:eastAsia="Times New Roman" w:hAnsi="Arial" w:cs="Arial"/>
      <w:bCs/>
      <w:color w:val="000000" w:themeColor="text1"/>
      <w:sz w:val="20"/>
      <w:szCs w:val="24"/>
    </w:rPr>
  </w:style>
  <w:style w:type="character" w:customStyle="1" w:styleId="TableCellNumbersChar">
    <w:name w:val="Table Cell Numbers Char"/>
    <w:basedOn w:val="DefaultParagraphFont"/>
    <w:link w:val="TableCellNumbers"/>
    <w:rsid w:val="008240B5"/>
    <w:rPr>
      <w:rFonts w:ascii="Arial" w:eastAsia="Times New Roman" w:hAnsi="Arial" w:cs="Arial"/>
      <w:bCs/>
      <w:color w:val="000000" w:themeColor="text1"/>
      <w:sz w:val="20"/>
      <w:szCs w:val="24"/>
    </w:rPr>
  </w:style>
  <w:style w:type="paragraph" w:customStyle="1" w:styleId="TableCaption">
    <w:name w:val="Table Caption"/>
    <w:basedOn w:val="Caption"/>
    <w:link w:val="TableCaptionChar"/>
    <w:qFormat/>
    <w:rsid w:val="008240B5"/>
    <w:pPr>
      <w:keepNext/>
      <w:spacing w:after="0"/>
      <w:ind w:left="990" w:hanging="990"/>
      <w:jc w:val="both"/>
    </w:pPr>
    <w:rPr>
      <w:rFonts w:ascii="Arial" w:eastAsiaTheme="minorHAnsi" w:hAnsi="Arial" w:cstheme="minorBidi"/>
      <w:b/>
      <w:bCs/>
      <w:i w:val="0"/>
      <w:iCs w:val="0"/>
      <w:color w:val="000075"/>
      <w:sz w:val="24"/>
    </w:rPr>
  </w:style>
  <w:style w:type="character" w:customStyle="1" w:styleId="TableCaptionChar">
    <w:name w:val="Table Caption Char"/>
    <w:basedOn w:val="DefaultParagraphFont"/>
    <w:link w:val="TableCaption"/>
    <w:rsid w:val="008240B5"/>
    <w:rPr>
      <w:rFonts w:ascii="Arial" w:hAnsi="Arial"/>
      <w:b/>
      <w:bCs/>
      <w:color w:val="000075"/>
      <w:sz w:val="24"/>
      <w:szCs w:val="18"/>
    </w:rPr>
  </w:style>
  <w:style w:type="table" w:customStyle="1" w:styleId="EconometricaTableStyle">
    <w:name w:val="Econometrica Table Style"/>
    <w:basedOn w:val="TableNormal"/>
    <w:uiPriority w:val="99"/>
    <w:rsid w:val="008240B5"/>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Caption">
    <w:name w:val="caption"/>
    <w:basedOn w:val="Normal"/>
    <w:next w:val="Normal"/>
    <w:uiPriority w:val="35"/>
    <w:unhideWhenUsed/>
    <w:qFormat/>
    <w:rsid w:val="008240B5"/>
    <w:pPr>
      <w:spacing w:after="200"/>
    </w:pPr>
    <w:rPr>
      <w:i/>
      <w:iCs/>
      <w:color w:val="1F497D" w:themeColor="text2"/>
      <w:sz w:val="18"/>
      <w:szCs w:val="18"/>
    </w:rPr>
  </w:style>
  <w:style w:type="numbering" w:customStyle="1" w:styleId="NumberedList">
    <w:name w:val="Numbered List"/>
    <w:uiPriority w:val="99"/>
    <w:rsid w:val="00E03615"/>
    <w:pPr>
      <w:numPr>
        <w:numId w:val="15"/>
      </w:numPr>
    </w:pPr>
  </w:style>
  <w:style w:type="paragraph" w:customStyle="1" w:styleId="ListNumber-Last">
    <w:name w:val="List Number - Last"/>
    <w:basedOn w:val="ListNumber"/>
    <w:link w:val="ListNumber-LastChar"/>
    <w:qFormat/>
    <w:rsid w:val="00E03615"/>
    <w:pPr>
      <w:spacing w:after="240"/>
    </w:pPr>
  </w:style>
  <w:style w:type="paragraph" w:styleId="ListNumber">
    <w:name w:val="List Number"/>
    <w:link w:val="ListNumberChar"/>
    <w:rsid w:val="00E03615"/>
    <w:pPr>
      <w:numPr>
        <w:numId w:val="15"/>
      </w:numPr>
      <w:spacing w:before="120" w:after="0" w:line="240" w:lineRule="auto"/>
      <w:jc w:val="both"/>
    </w:pPr>
    <w:rPr>
      <w:rFonts w:ascii="Times New Roman" w:hAnsi="Times New Roman"/>
      <w:sz w:val="24"/>
      <w:szCs w:val="24"/>
    </w:rPr>
  </w:style>
  <w:style w:type="paragraph" w:styleId="ListNumber2">
    <w:name w:val="List Number 2"/>
    <w:basedOn w:val="ListNumber"/>
    <w:rsid w:val="00E03615"/>
    <w:pPr>
      <w:numPr>
        <w:ilvl w:val="1"/>
      </w:numPr>
      <w:tabs>
        <w:tab w:val="clear" w:pos="1440"/>
        <w:tab w:val="num" w:pos="360"/>
      </w:tabs>
    </w:pPr>
  </w:style>
  <w:style w:type="paragraph" w:styleId="ListNumber3">
    <w:name w:val="List Number 3"/>
    <w:basedOn w:val="ListNumber2"/>
    <w:rsid w:val="00E03615"/>
    <w:pPr>
      <w:numPr>
        <w:ilvl w:val="2"/>
      </w:numPr>
      <w:tabs>
        <w:tab w:val="clear" w:pos="2160"/>
        <w:tab w:val="num" w:pos="360"/>
      </w:tabs>
    </w:pPr>
  </w:style>
  <w:style w:type="paragraph" w:styleId="ListNumber4">
    <w:name w:val="List Number 4"/>
    <w:basedOn w:val="ListNumber3"/>
    <w:rsid w:val="00E03615"/>
    <w:pPr>
      <w:numPr>
        <w:ilvl w:val="3"/>
      </w:numPr>
      <w:tabs>
        <w:tab w:val="clear" w:pos="2880"/>
        <w:tab w:val="num" w:pos="360"/>
      </w:tabs>
    </w:pPr>
  </w:style>
  <w:style w:type="paragraph" w:styleId="ListNumber5">
    <w:name w:val="List Number 5"/>
    <w:basedOn w:val="ListNumber4"/>
    <w:rsid w:val="00E03615"/>
    <w:pPr>
      <w:numPr>
        <w:ilvl w:val="4"/>
      </w:numPr>
      <w:tabs>
        <w:tab w:val="clear" w:pos="3600"/>
        <w:tab w:val="num" w:pos="360"/>
      </w:tabs>
    </w:pPr>
  </w:style>
  <w:style w:type="character" w:customStyle="1" w:styleId="ListNumberChar">
    <w:name w:val="List Number Char"/>
    <w:basedOn w:val="DefaultParagraphFont"/>
    <w:link w:val="ListNumber"/>
    <w:rsid w:val="00E03615"/>
    <w:rPr>
      <w:rFonts w:ascii="Times New Roman" w:hAnsi="Times New Roman"/>
      <w:sz w:val="24"/>
      <w:szCs w:val="24"/>
    </w:rPr>
  </w:style>
  <w:style w:type="character" w:customStyle="1" w:styleId="ListNumber-LastChar">
    <w:name w:val="List Number - Last Char"/>
    <w:basedOn w:val="ListNumberChar"/>
    <w:link w:val="ListNumber-Last"/>
    <w:rsid w:val="00E03615"/>
    <w:rPr>
      <w:rFonts w:ascii="Times New Roman" w:hAnsi="Times New Roman"/>
      <w:sz w:val="24"/>
      <w:szCs w:val="24"/>
    </w:rPr>
  </w:style>
  <w:style w:type="paragraph" w:styleId="BodyText">
    <w:name w:val="Body Text"/>
    <w:basedOn w:val="Normal"/>
    <w:link w:val="BodyTextChar"/>
    <w:rsid w:val="00127522"/>
    <w:pPr>
      <w:spacing w:after="180" w:line="264" w:lineRule="auto"/>
    </w:pPr>
    <w:rPr>
      <w:sz w:val="22"/>
      <w:szCs w:val="20"/>
    </w:rPr>
  </w:style>
  <w:style w:type="character" w:customStyle="1" w:styleId="BodyTextChar">
    <w:name w:val="Body Text Char"/>
    <w:basedOn w:val="DefaultParagraphFont"/>
    <w:link w:val="BodyText"/>
    <w:rsid w:val="00127522"/>
    <w:rPr>
      <w:rFonts w:ascii="Times New Roman" w:eastAsia="Times New Roman" w:hAnsi="Times New Roman" w:cs="Times New Roman"/>
      <w:szCs w:val="20"/>
    </w:rPr>
  </w:style>
  <w:style w:type="paragraph" w:customStyle="1" w:styleId="ListNumber-SingleLine">
    <w:name w:val="List Number - Single Line"/>
    <w:basedOn w:val="ListNumber"/>
    <w:link w:val="ListNumber-SingleLineChar"/>
    <w:qFormat/>
    <w:rsid w:val="00822A20"/>
    <w:pPr>
      <w:numPr>
        <w:numId w:val="1"/>
      </w:numPr>
      <w:contextualSpacing/>
    </w:pPr>
  </w:style>
  <w:style w:type="character" w:customStyle="1" w:styleId="ListNumber-SingleLineChar">
    <w:name w:val="List Number - Single Line Char"/>
    <w:basedOn w:val="ListNumberChar"/>
    <w:link w:val="ListNumber-SingleLine"/>
    <w:rsid w:val="00822A20"/>
    <w:rPr>
      <w:rFonts w:ascii="Times New Roman" w:hAnsi="Times New Roman"/>
      <w:sz w:val="24"/>
      <w:szCs w:val="24"/>
    </w:rPr>
  </w:style>
  <w:style w:type="paragraph" w:customStyle="1" w:styleId="ListNumber-SingleLine-Last">
    <w:name w:val="List Number - Single Line - Last"/>
    <w:basedOn w:val="ListNumber-SingleLine"/>
    <w:link w:val="ListNumber-SingleLine-LastChar"/>
    <w:qFormat/>
    <w:rsid w:val="00822A20"/>
    <w:pPr>
      <w:spacing w:before="0" w:after="240"/>
      <w:contextualSpacing w:val="0"/>
    </w:pPr>
  </w:style>
  <w:style w:type="character" w:customStyle="1" w:styleId="ListNumber-SingleLine-LastChar">
    <w:name w:val="List Number - Single Line - Last Char"/>
    <w:basedOn w:val="ListNumber-SingleLineChar"/>
    <w:link w:val="ListNumber-SingleLine-Last"/>
    <w:rsid w:val="00822A20"/>
    <w:rPr>
      <w:rFonts w:ascii="Times New Roman" w:hAnsi="Times New Roman"/>
      <w:sz w:val="24"/>
      <w:szCs w:val="24"/>
    </w:rPr>
  </w:style>
  <w:style w:type="character" w:customStyle="1" w:styleId="UnresolvedMention1">
    <w:name w:val="Unresolved Mention1"/>
    <w:basedOn w:val="DefaultParagraphFont"/>
    <w:uiPriority w:val="99"/>
    <w:unhideWhenUsed/>
    <w:rsid w:val="00427111"/>
    <w:rPr>
      <w:color w:val="605E5C"/>
      <w:shd w:val="clear" w:color="auto" w:fill="E1DFDD"/>
    </w:rPr>
  </w:style>
  <w:style w:type="character" w:styleId="UnresolvedMention">
    <w:name w:val="Unresolved Mention"/>
    <w:basedOn w:val="DefaultParagraphFont"/>
    <w:uiPriority w:val="99"/>
    <w:unhideWhenUsed/>
    <w:rsid w:val="007B3B0E"/>
    <w:rPr>
      <w:color w:val="605E5C"/>
      <w:shd w:val="clear" w:color="auto" w:fill="E1DFDD"/>
    </w:rPr>
  </w:style>
  <w:style w:type="character" w:customStyle="1" w:styleId="Heading7Char">
    <w:name w:val="Heading 7 Char"/>
    <w:basedOn w:val="DefaultParagraphFont"/>
    <w:link w:val="Heading7"/>
    <w:uiPriority w:val="9"/>
    <w:semiHidden/>
    <w:rsid w:val="00D863AA"/>
    <w:rPr>
      <w:rFonts w:asciiTheme="majorHAnsi" w:eastAsiaTheme="majorEastAsia" w:hAnsiTheme="majorHAnsi" w:cstheme="majorBidi"/>
      <w:i/>
      <w:iCs/>
      <w:color w:val="243F60" w:themeColor="accent1" w:themeShade="7F"/>
      <w:sz w:val="24"/>
      <w:szCs w:val="24"/>
    </w:rPr>
  </w:style>
  <w:style w:type="character" w:customStyle="1" w:styleId="Heading6Char">
    <w:name w:val="Heading 6 Char"/>
    <w:basedOn w:val="DefaultParagraphFont"/>
    <w:link w:val="Heading6"/>
    <w:uiPriority w:val="9"/>
    <w:semiHidden/>
    <w:rsid w:val="00DE5C7B"/>
    <w:rPr>
      <w:rFonts w:asciiTheme="majorHAnsi" w:eastAsiaTheme="majorEastAsia" w:hAnsiTheme="majorHAnsi" w:cstheme="majorBidi"/>
      <w:color w:val="243F60" w:themeColor="accent1" w:themeShade="7F"/>
      <w:sz w:val="24"/>
      <w:szCs w:val="24"/>
    </w:rPr>
  </w:style>
  <w:style w:type="numbering" w:customStyle="1" w:styleId="NumberedList1">
    <w:name w:val="Numbered List1"/>
    <w:uiPriority w:val="99"/>
    <w:rsid w:val="00DE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03391">
      <w:bodyDiv w:val="1"/>
      <w:marLeft w:val="0"/>
      <w:marRight w:val="0"/>
      <w:marTop w:val="0"/>
      <w:marBottom w:val="0"/>
      <w:divBdr>
        <w:top w:val="none" w:sz="0" w:space="0" w:color="auto"/>
        <w:left w:val="none" w:sz="0" w:space="0" w:color="auto"/>
        <w:bottom w:val="none" w:sz="0" w:space="0" w:color="auto"/>
        <w:right w:val="none" w:sz="0" w:space="0" w:color="auto"/>
      </w:divBdr>
    </w:div>
    <w:div w:id="53932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duser.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use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3E40-20A1-43AC-912F-84C30840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5EDE2-599A-4AC1-88BB-185FA8E60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EECC3A-5344-4236-B7AA-88859805A23D}">
  <ds:schemaRefs>
    <ds:schemaRef ds:uri="http://schemas.microsoft.com/sharepoint/v3/contenttype/forms"/>
  </ds:schemaRefs>
</ds:datastoreItem>
</file>

<file path=customXml/itemProps4.xml><?xml version="1.0" encoding="utf-8"?>
<ds:datastoreItem xmlns:ds="http://schemas.openxmlformats.org/officeDocument/2006/customXml" ds:itemID="{B7E0EA81-5715-409A-8D36-1647E35B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7510</Words>
  <Characters>42807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Fletcher</dc:creator>
  <cp:lastModifiedBy>Teresa Souza</cp:lastModifiedBy>
  <cp:revision>3</cp:revision>
  <cp:lastPrinted>2014-08-05T19:37:00Z</cp:lastPrinted>
  <dcterms:created xsi:type="dcterms:W3CDTF">2021-02-25T00:54:00Z</dcterms:created>
  <dcterms:modified xsi:type="dcterms:W3CDTF">2021-02-25T00:54:00Z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0x01010073655296EBD57F428221FA598B7CFC08</vt:lpwstr>
  </property>
</Properties>
</file>