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5555" w:rsidR="001515A3" w:rsidP="001515A3" w:rsidRDefault="001515A3" w14:paraId="39FD2591" w14:textId="0C407DE7">
      <w:pPr>
        <w:jc w:val="center"/>
        <w:rPr>
          <w:b/>
        </w:rPr>
      </w:pPr>
      <w:bookmarkStart w:name="_Toc390342966" w:id="0"/>
      <w:bookmarkStart w:name="_GoBack" w:id="1"/>
      <w:bookmarkEnd w:id="1"/>
      <w:r w:rsidRPr="00FC5555">
        <w:rPr>
          <w:b/>
        </w:rPr>
        <w:t xml:space="preserve">Supporting Statement for Paperwork Reduction Act Submission, Part </w:t>
      </w:r>
      <w:r w:rsidR="000F32B4">
        <w:rPr>
          <w:b/>
        </w:rPr>
        <w:t>B</w:t>
      </w:r>
    </w:p>
    <w:p w:rsidR="001515A3" w:rsidP="001515A3" w:rsidRDefault="001515A3" w14:paraId="3F96F81A" w14:textId="08CFB87B">
      <w:pPr>
        <w:jc w:val="center"/>
        <w:rPr>
          <w:b/>
        </w:rPr>
      </w:pPr>
      <w:r>
        <w:rPr>
          <w:b/>
        </w:rPr>
        <w:t>Rental Assistance Demonstration (</w:t>
      </w:r>
      <w:r w:rsidRPr="002065A4">
        <w:rPr>
          <w:b/>
        </w:rPr>
        <w:t>RAD</w:t>
      </w:r>
      <w:r>
        <w:rPr>
          <w:b/>
        </w:rPr>
        <w:t>)</w:t>
      </w:r>
      <w:r w:rsidRPr="002065A4">
        <w:rPr>
          <w:b/>
        </w:rPr>
        <w:t xml:space="preserve"> Choice Mobility</w:t>
      </w:r>
      <w:r>
        <w:rPr>
          <w:b/>
        </w:rPr>
        <w:t xml:space="preserve"> and</w:t>
      </w:r>
      <w:r w:rsidRPr="002065A4">
        <w:rPr>
          <w:b/>
        </w:rPr>
        <w:t xml:space="preserve"> Long-term Affordability </w:t>
      </w:r>
      <w:r>
        <w:rPr>
          <w:b/>
        </w:rPr>
        <w:t>Evaluation</w:t>
      </w:r>
    </w:p>
    <w:p w:rsidRPr="00FC5555" w:rsidR="00BE47D6" w:rsidP="001515A3" w:rsidRDefault="00BE47D6" w14:paraId="23E4F37E" w14:textId="68FD023D">
      <w:pPr>
        <w:jc w:val="center"/>
        <w:rPr>
          <w:b/>
        </w:rPr>
      </w:pPr>
      <w:r>
        <w:rPr>
          <w:b/>
        </w:rPr>
        <w:t>(OMB Number 2528-New)</w:t>
      </w:r>
    </w:p>
    <w:p w:rsidR="001515A3" w:rsidP="009B5886" w:rsidRDefault="001515A3" w14:paraId="5BC6D416" w14:textId="77777777">
      <w:pPr>
        <w:pStyle w:val="H1PartB"/>
        <w:numPr>
          <w:ilvl w:val="0"/>
          <w:numId w:val="0"/>
        </w:numPr>
        <w:ind w:left="360"/>
      </w:pPr>
    </w:p>
    <w:p w:rsidRPr="00834B87" w:rsidR="007F4005" w:rsidP="009B5886" w:rsidRDefault="007F4005" w14:paraId="7C95E9E0" w14:textId="0E582522">
      <w:pPr>
        <w:pStyle w:val="H1PartB"/>
        <w:numPr>
          <w:ilvl w:val="0"/>
          <w:numId w:val="24"/>
        </w:numPr>
        <w:ind w:left="360"/>
      </w:pPr>
      <w:r w:rsidRPr="00834B87">
        <w:t>COLLECTIONS OF INFORMATION EMPLOYING STATISTICAL METHODS</w:t>
      </w:r>
      <w:bookmarkEnd w:id="0"/>
    </w:p>
    <w:p w:rsidRPr="000470D5" w:rsidR="007F4005" w:rsidP="000470D5" w:rsidRDefault="007F4005" w14:paraId="1E3A2D4A" w14:textId="17605209">
      <w:pPr>
        <w:pStyle w:val="H2PartB"/>
        <w:rPr>
          <w:szCs w:val="24"/>
        </w:rPr>
      </w:pPr>
      <w:r w:rsidRPr="000470D5">
        <w:rPr>
          <w:szCs w:val="24"/>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w:t>
      </w:r>
      <w:r w:rsidRPr="00354600" w:rsidR="00354600">
        <w:rPr>
          <w:szCs w:val="24"/>
        </w:rPr>
        <w:t xml:space="preserve">covered by the collection </w:t>
      </w:r>
      <w:r w:rsidRPr="000470D5">
        <w:rPr>
          <w:szCs w:val="24"/>
        </w:rPr>
        <w:t xml:space="preserve">and </w:t>
      </w:r>
      <w:r w:rsidR="0029220E">
        <w:rPr>
          <w:szCs w:val="24"/>
        </w:rPr>
        <w:t xml:space="preserve">in </w:t>
      </w:r>
      <w:r w:rsidRPr="000470D5">
        <w:rPr>
          <w:szCs w:val="24"/>
        </w:rPr>
        <w:t>the corresponding sample are to be provided in tabular form</w:t>
      </w:r>
      <w:r w:rsidR="001960C6">
        <w:rPr>
          <w:szCs w:val="24"/>
        </w:rPr>
        <w:t xml:space="preserve"> </w:t>
      </w:r>
      <w:r w:rsidRPr="001960C6" w:rsidR="001960C6">
        <w:rPr>
          <w:szCs w:val="24"/>
        </w:rPr>
        <w:t>for the universe as a whole and for each of the strata in the proposed sample</w:t>
      </w:r>
      <w:r w:rsidRPr="000470D5">
        <w:rPr>
          <w:szCs w:val="24"/>
        </w:rPr>
        <w:t xml:space="preserve">. </w:t>
      </w:r>
      <w:r w:rsidRPr="00FE4E5B" w:rsidR="00FE4E5B">
        <w:rPr>
          <w:szCs w:val="24"/>
        </w:rPr>
        <w:t xml:space="preserve">Indicate expected response rates for the collection as a whole. </w:t>
      </w:r>
      <w:r w:rsidRPr="000470D5">
        <w:rPr>
          <w:szCs w:val="24"/>
        </w:rPr>
        <w:t>If the collection ha</w:t>
      </w:r>
      <w:r w:rsidR="00E54A74">
        <w:rPr>
          <w:szCs w:val="24"/>
        </w:rPr>
        <w:t>d</w:t>
      </w:r>
      <w:r w:rsidRPr="000470D5">
        <w:rPr>
          <w:szCs w:val="24"/>
        </w:rPr>
        <w:t xml:space="preserve"> been conducted </w:t>
      </w:r>
      <w:r w:rsidRPr="00516546" w:rsidR="00516546">
        <w:rPr>
          <w:szCs w:val="24"/>
        </w:rPr>
        <w:t>previously</w:t>
      </w:r>
      <w:r w:rsidRPr="000470D5">
        <w:rPr>
          <w:szCs w:val="24"/>
        </w:rPr>
        <w:t>, provide the actual response rate achieved</w:t>
      </w:r>
      <w:r w:rsidR="00E54A74">
        <w:rPr>
          <w:szCs w:val="24"/>
        </w:rPr>
        <w:t xml:space="preserve"> </w:t>
      </w:r>
      <w:r w:rsidRPr="00E54A74" w:rsidR="00E54A74">
        <w:rPr>
          <w:szCs w:val="24"/>
        </w:rPr>
        <w:t>during the last collection</w:t>
      </w:r>
      <w:r w:rsidRPr="000470D5">
        <w:rPr>
          <w:szCs w:val="24"/>
        </w:rPr>
        <w:t>.</w:t>
      </w:r>
    </w:p>
    <w:p w:rsidR="00B37E7C" w:rsidP="00B37E7C" w:rsidRDefault="00B37E7C" w14:paraId="5B51E48A" w14:textId="7F41DD02">
      <w:pPr>
        <w:pStyle w:val="Heading4"/>
      </w:pPr>
    </w:p>
    <w:p w:rsidRPr="00E03615" w:rsidR="0020715A" w:rsidP="0020715A" w:rsidRDefault="0020715A" w14:paraId="53C578E2" w14:textId="03F78FFC">
      <w:pPr>
        <w:pStyle w:val="ListNumber-Last"/>
        <w:numPr>
          <w:ilvl w:val="0"/>
          <w:numId w:val="0"/>
        </w:numPr>
      </w:pPr>
      <w:r w:rsidRPr="00607001">
        <w:t>The information</w:t>
      </w:r>
      <w:r>
        <w:t xml:space="preserve"> collected through this study</w:t>
      </w:r>
      <w:r w:rsidRPr="00607001">
        <w:t xml:space="preserve"> will be used by HUD </w:t>
      </w:r>
      <w:r>
        <w:t xml:space="preserve">to evaluate: 1) the implementation and impact of the choice mobility option; 2) the impact of RAD on long-term preservation and the financial viability of converted properties; 3) the adequacy of asset management for RAD conversions under Project-Based Vouchers (PBVs) and Project-Based Rental Assistance (PBRA); and 4) effect of RAD on </w:t>
      </w:r>
      <w:r w:rsidRPr="002F4F61">
        <w:t>PHA’s organization, functions, structure, staffing, and resources</w:t>
      </w:r>
      <w:r>
        <w:t xml:space="preserve">.  </w:t>
      </w:r>
      <w:r w:rsidR="00A272F1">
        <w:t xml:space="preserve">Below, we present a description of each </w:t>
      </w:r>
      <w:r w:rsidR="003A26CB">
        <w:t xml:space="preserve">information collection that will discuss: 1) sampling or respondent selection method, 2) </w:t>
      </w:r>
      <w:r w:rsidR="00434C93">
        <w:t xml:space="preserve">the number of entities in the universe, 3) the sample we plan to achieve, and 4) expected response rates for each collection. </w:t>
      </w:r>
    </w:p>
    <w:p w:rsidRPr="00997B94" w:rsidR="004464E2" w:rsidP="00997B94" w:rsidRDefault="00DE7EC1" w14:paraId="1EC0EB04" w14:textId="0D63E49F">
      <w:pPr>
        <w:rPr>
          <w:rFonts w:eastAsia="Calibri"/>
          <w:b/>
        </w:rPr>
      </w:pPr>
      <w:r w:rsidRPr="00997B94">
        <w:rPr>
          <w:rFonts w:eastAsia="Calibri"/>
          <w:b/>
        </w:rPr>
        <w:t xml:space="preserve">Identification of Respondents for the </w:t>
      </w:r>
      <w:r w:rsidRPr="00997B94" w:rsidR="002B00B4">
        <w:rPr>
          <w:rFonts w:eastAsia="Calibri"/>
          <w:b/>
        </w:rPr>
        <w:t xml:space="preserve">Census </w:t>
      </w:r>
      <w:r w:rsidRPr="00997B94" w:rsidR="00F26104">
        <w:rPr>
          <w:rFonts w:eastAsia="Calibri"/>
          <w:b/>
        </w:rPr>
        <w:t>of RAD</w:t>
      </w:r>
      <w:r w:rsidRPr="00997B94" w:rsidR="002B00B4">
        <w:rPr>
          <w:rFonts w:eastAsia="Calibri"/>
          <w:b/>
        </w:rPr>
        <w:t xml:space="preserve"> PHAs</w:t>
      </w:r>
    </w:p>
    <w:p w:rsidR="003A4C91" w:rsidP="00202CEA" w:rsidRDefault="00BE65F0" w14:paraId="2CE62383" w14:textId="77BD7467">
      <w:pPr>
        <w:jc w:val="both"/>
        <w:rPr>
          <w:rFonts w:eastAsia="Calibri"/>
        </w:rPr>
      </w:pPr>
      <w:r>
        <w:rPr>
          <w:rFonts w:eastAsia="Calibri"/>
          <w:bCs/>
        </w:rPr>
        <w:t>The research team plans to survey</w:t>
      </w:r>
      <w:r w:rsidRPr="00BE65F0" w:rsidR="00CB05A8">
        <w:rPr>
          <w:rFonts w:eastAsia="Calibri"/>
          <w:bCs/>
        </w:rPr>
        <w:t xml:space="preserve"> </w:t>
      </w:r>
      <w:r>
        <w:rPr>
          <w:rFonts w:eastAsia="Calibri"/>
          <w:bCs/>
        </w:rPr>
        <w:t xml:space="preserve">the </w:t>
      </w:r>
      <w:r w:rsidRPr="00BE65F0" w:rsidR="00CB05A8">
        <w:rPr>
          <w:rFonts w:eastAsia="Calibri"/>
          <w:bCs/>
        </w:rPr>
        <w:t>entire universe of RAD PHAs</w:t>
      </w:r>
      <w:r w:rsidRPr="00BE65F0" w:rsidR="00240CB9">
        <w:rPr>
          <w:rFonts w:eastAsia="Calibri"/>
          <w:bCs/>
        </w:rPr>
        <w:t xml:space="preserve">. </w:t>
      </w:r>
      <w:bookmarkStart w:name="_Hlk59090232" w:id="2"/>
      <w:r w:rsidRPr="00BE65F0" w:rsidR="006F5B09">
        <w:rPr>
          <w:rFonts w:eastAsia="Calibri"/>
          <w:bCs/>
        </w:rPr>
        <w:t xml:space="preserve">There are currently 347 PHAs with 1,118 RAD conversions, which will increase over the course of this study. </w:t>
      </w:r>
      <w:r>
        <w:rPr>
          <w:rFonts w:eastAsia="Calibri"/>
          <w:bCs/>
        </w:rPr>
        <w:t>The research team expects</w:t>
      </w:r>
      <w:r w:rsidRPr="00BE65F0" w:rsidR="0034721B">
        <w:rPr>
          <w:rFonts w:eastAsia="Calibri"/>
          <w:bCs/>
        </w:rPr>
        <w:t xml:space="preserve"> the universe </w:t>
      </w:r>
      <w:r w:rsidR="00BF7E70">
        <w:rPr>
          <w:rFonts w:eastAsia="Calibri"/>
          <w:bCs/>
        </w:rPr>
        <w:t xml:space="preserve">of RAD PHAs </w:t>
      </w:r>
      <w:r w:rsidRPr="00BE65F0" w:rsidR="0034721B">
        <w:rPr>
          <w:rFonts w:eastAsia="Calibri"/>
          <w:bCs/>
        </w:rPr>
        <w:t>to b</w:t>
      </w:r>
      <w:r w:rsidRPr="00BE65F0" w:rsidR="0067446B">
        <w:rPr>
          <w:rFonts w:eastAsia="Calibri"/>
          <w:bCs/>
        </w:rPr>
        <w:t>e</w:t>
      </w:r>
      <w:r w:rsidR="003C5F8A">
        <w:rPr>
          <w:rFonts w:eastAsia="Calibri"/>
          <w:bCs/>
        </w:rPr>
        <w:t xml:space="preserve"> approximately</w:t>
      </w:r>
      <w:r w:rsidRPr="00BE65F0" w:rsidR="0067446B">
        <w:rPr>
          <w:rFonts w:eastAsia="Calibri"/>
          <w:bCs/>
        </w:rPr>
        <w:t xml:space="preserve"> 500</w:t>
      </w:r>
      <w:r>
        <w:rPr>
          <w:rFonts w:eastAsia="Calibri"/>
          <w:bCs/>
        </w:rPr>
        <w:t xml:space="preserve"> at the time of data collection</w:t>
      </w:r>
      <w:bookmarkEnd w:id="2"/>
      <w:r w:rsidRPr="00BE65F0" w:rsidR="0067446B">
        <w:rPr>
          <w:rFonts w:eastAsia="Calibri"/>
          <w:bCs/>
        </w:rPr>
        <w:t xml:space="preserve">. </w:t>
      </w:r>
      <w:r>
        <w:rPr>
          <w:rFonts w:eastAsia="Calibri"/>
          <w:bCs/>
        </w:rPr>
        <w:t>The research team expects a</w:t>
      </w:r>
      <w:r w:rsidRPr="0066232D" w:rsidR="003A4C91">
        <w:rPr>
          <w:rFonts w:eastAsia="Calibri"/>
        </w:rPr>
        <w:t xml:space="preserve"> response rate</w:t>
      </w:r>
      <w:r>
        <w:rPr>
          <w:rFonts w:eastAsia="Calibri"/>
        </w:rPr>
        <w:t xml:space="preserve"> of</w:t>
      </w:r>
      <w:r w:rsidR="00A358BA">
        <w:rPr>
          <w:rFonts w:eastAsia="Calibri"/>
        </w:rPr>
        <w:t xml:space="preserve"> </w:t>
      </w:r>
      <w:r w:rsidR="00CB05A8">
        <w:rPr>
          <w:rFonts w:eastAsia="Calibri"/>
        </w:rPr>
        <w:t>80</w:t>
      </w:r>
      <w:r>
        <w:rPr>
          <w:rFonts w:eastAsia="Calibri"/>
        </w:rPr>
        <w:t xml:space="preserve"> percent</w:t>
      </w:r>
      <w:r w:rsidR="00CB05A8">
        <w:rPr>
          <w:rFonts w:eastAsia="Calibri"/>
        </w:rPr>
        <w:t xml:space="preserve"> (</w:t>
      </w:r>
      <w:r w:rsidR="0067446B">
        <w:rPr>
          <w:rFonts w:eastAsia="Calibri"/>
        </w:rPr>
        <w:t>400</w:t>
      </w:r>
      <w:r w:rsidR="00CB05A8">
        <w:rPr>
          <w:rFonts w:eastAsia="Calibri"/>
        </w:rPr>
        <w:t xml:space="preserve"> PHAs)</w:t>
      </w:r>
      <w:r w:rsidR="009A7316">
        <w:t>. Based on high interest in the RAD program and other surveys of PHAs, for instance HUD’s PHA Homelessness Preferences web survey, we anticipate an 80 percent response rate.</w:t>
      </w:r>
    </w:p>
    <w:p w:rsidRPr="0066232D" w:rsidR="003A4C91" w:rsidP="00EB1698" w:rsidRDefault="003A4C91" w14:paraId="5C307BE8" w14:textId="77777777">
      <w:pPr>
        <w:rPr>
          <w:rFonts w:eastAsia="Calibri"/>
          <w:b/>
        </w:rPr>
      </w:pPr>
    </w:p>
    <w:p w:rsidRPr="00997B94" w:rsidR="00B72DC8" w:rsidP="00997B94" w:rsidRDefault="00682B25" w14:paraId="736B32CE" w14:textId="77777777">
      <w:pPr>
        <w:spacing w:line="276" w:lineRule="auto"/>
        <w:rPr>
          <w:rFonts w:eastAsia="Calibri"/>
          <w:b/>
        </w:rPr>
      </w:pPr>
      <w:r w:rsidRPr="00997B94">
        <w:rPr>
          <w:rFonts w:eastAsia="Calibri"/>
          <w:b/>
        </w:rPr>
        <w:t xml:space="preserve">Identification of Respondents for the Survey of </w:t>
      </w:r>
      <w:r w:rsidRPr="00997B94" w:rsidR="0045601C">
        <w:rPr>
          <w:rFonts w:eastAsia="Calibri"/>
          <w:b/>
        </w:rPr>
        <w:t xml:space="preserve">non-PHA </w:t>
      </w:r>
      <w:r w:rsidRPr="00997B94">
        <w:rPr>
          <w:rFonts w:eastAsia="Calibri"/>
          <w:b/>
        </w:rPr>
        <w:t>Property Owners</w:t>
      </w:r>
    </w:p>
    <w:p w:rsidRPr="0066232D" w:rsidR="00AB05D7" w:rsidP="00202CEA" w:rsidRDefault="008E67C3" w14:paraId="14D7D70E" w14:textId="0C6130FB">
      <w:pPr>
        <w:jc w:val="both"/>
        <w:rPr>
          <w:rFonts w:eastAsia="Calibri"/>
        </w:rPr>
      </w:pPr>
      <w:r>
        <w:rPr>
          <w:rFonts w:eastAsia="Calibri"/>
          <w:bCs/>
        </w:rPr>
        <w:t>The research team plans to survey</w:t>
      </w:r>
      <w:r w:rsidRPr="00BE65F0">
        <w:rPr>
          <w:rFonts w:eastAsia="Calibri"/>
          <w:bCs/>
        </w:rPr>
        <w:t xml:space="preserve"> </w:t>
      </w:r>
      <w:r>
        <w:rPr>
          <w:rFonts w:eastAsia="Calibri"/>
          <w:bCs/>
        </w:rPr>
        <w:t xml:space="preserve">the entire universe of </w:t>
      </w:r>
      <w:r w:rsidRPr="00997B94">
        <w:rPr>
          <w:rFonts w:eastAsia="Calibri"/>
          <w:bCs/>
        </w:rPr>
        <w:t xml:space="preserve">non-PHA </w:t>
      </w:r>
      <w:r w:rsidR="00BF7E70">
        <w:rPr>
          <w:rFonts w:eastAsia="Calibri"/>
          <w:bCs/>
        </w:rPr>
        <w:t>p</w:t>
      </w:r>
      <w:r w:rsidRPr="00997B94">
        <w:rPr>
          <w:rFonts w:eastAsia="Calibri"/>
          <w:bCs/>
        </w:rPr>
        <w:t xml:space="preserve">roperty </w:t>
      </w:r>
      <w:r w:rsidR="00BF7E70">
        <w:rPr>
          <w:rFonts w:eastAsia="Calibri"/>
          <w:bCs/>
        </w:rPr>
        <w:t>o</w:t>
      </w:r>
      <w:r w:rsidRPr="00997B94">
        <w:rPr>
          <w:rFonts w:eastAsia="Calibri"/>
          <w:bCs/>
        </w:rPr>
        <w:t>wners</w:t>
      </w:r>
      <w:r>
        <w:rPr>
          <w:rFonts w:eastAsia="Calibri"/>
        </w:rPr>
        <w:t xml:space="preserve">. </w:t>
      </w:r>
      <w:r w:rsidR="00BE65F0">
        <w:rPr>
          <w:rFonts w:eastAsia="Calibri"/>
        </w:rPr>
        <w:t xml:space="preserve">The research team plans to use </w:t>
      </w:r>
      <w:r w:rsidRPr="00BE65F0" w:rsidR="00796BB4">
        <w:rPr>
          <w:rFonts w:eastAsia="Calibri"/>
        </w:rPr>
        <w:t xml:space="preserve">the </w:t>
      </w:r>
      <w:r w:rsidRPr="00BE65F0" w:rsidR="00AB0FAE">
        <w:rPr>
          <w:rFonts w:eastAsia="Calibri"/>
        </w:rPr>
        <w:t>census of RAD PHAs (above) and HUD administrative data from the RAD Resource Desk</w:t>
      </w:r>
      <w:r w:rsidR="00BE65F0">
        <w:rPr>
          <w:rFonts w:eastAsia="Calibri"/>
        </w:rPr>
        <w:t xml:space="preserve"> </w:t>
      </w:r>
      <w:r w:rsidRPr="00BE65F0" w:rsidR="00AB0FAE">
        <w:rPr>
          <w:rFonts w:eastAsia="Calibri"/>
        </w:rPr>
        <w:t xml:space="preserve">to identify all the property owners of RAD conversions other than those still owned and </w:t>
      </w:r>
      <w:r w:rsidR="00BF7E70">
        <w:rPr>
          <w:rFonts w:eastAsia="Calibri"/>
        </w:rPr>
        <w:t>operated</w:t>
      </w:r>
      <w:r w:rsidRPr="00BF7E70" w:rsidR="00BF7E70">
        <w:rPr>
          <w:rFonts w:eastAsia="Calibri"/>
        </w:rPr>
        <w:t xml:space="preserve"> </w:t>
      </w:r>
      <w:r w:rsidRPr="00BF7E70" w:rsidR="00AB0FAE">
        <w:rPr>
          <w:rFonts w:eastAsia="Calibri"/>
        </w:rPr>
        <w:t xml:space="preserve">by a PHA. </w:t>
      </w:r>
      <w:r w:rsidR="009D0803">
        <w:t>The PHA census will be used to fill in gaps for contact information of RAD property owners not available from HUD.</w:t>
      </w:r>
      <w:r w:rsidR="00BE65F0">
        <w:rPr>
          <w:rFonts w:eastAsia="Calibri"/>
          <w:bCs/>
        </w:rPr>
        <w:t xml:space="preserve"> The research team estimate</w:t>
      </w:r>
      <w:r w:rsidR="00BF7E70">
        <w:rPr>
          <w:rFonts w:eastAsia="Calibri"/>
          <w:bCs/>
        </w:rPr>
        <w:t>s</w:t>
      </w:r>
      <w:r w:rsidR="00BE65F0">
        <w:rPr>
          <w:rFonts w:eastAsia="Calibri"/>
          <w:bCs/>
        </w:rPr>
        <w:t xml:space="preserve"> that there are </w:t>
      </w:r>
      <w:r w:rsidRPr="00997B94" w:rsidR="00043683">
        <w:rPr>
          <w:rFonts w:eastAsia="Calibri"/>
          <w:bCs/>
        </w:rPr>
        <w:t xml:space="preserve">approximately </w:t>
      </w:r>
      <w:r>
        <w:rPr>
          <w:rFonts w:eastAsia="Calibri"/>
          <w:bCs/>
        </w:rPr>
        <w:t xml:space="preserve">280 </w:t>
      </w:r>
      <w:r w:rsidRPr="008E67C3" w:rsidR="00761FC0">
        <w:rPr>
          <w:rFonts w:eastAsia="Calibri"/>
          <w:bCs/>
        </w:rPr>
        <w:t>non-PHA owners</w:t>
      </w:r>
      <w:r w:rsidRPr="008E67C3" w:rsidR="004D35E4">
        <w:rPr>
          <w:rFonts w:eastAsia="Calibri"/>
          <w:bCs/>
        </w:rPr>
        <w:t xml:space="preserve"> (</w:t>
      </w:r>
      <w:r w:rsidRPr="008E67C3" w:rsidR="008765BA">
        <w:rPr>
          <w:rFonts w:eastAsia="Calibri"/>
          <w:bCs/>
        </w:rPr>
        <w:t xml:space="preserve">about 25 percent of </w:t>
      </w:r>
      <w:r w:rsidR="00BF7E70">
        <w:rPr>
          <w:rFonts w:eastAsia="Calibri"/>
          <w:bCs/>
        </w:rPr>
        <w:t>current</w:t>
      </w:r>
      <w:r w:rsidRPr="008E67C3" w:rsidR="00BF7E70">
        <w:rPr>
          <w:rFonts w:eastAsia="Calibri"/>
          <w:bCs/>
        </w:rPr>
        <w:t xml:space="preserve"> </w:t>
      </w:r>
      <w:r w:rsidRPr="008E67C3" w:rsidR="008765BA">
        <w:rPr>
          <w:rFonts w:eastAsia="Calibri"/>
          <w:bCs/>
        </w:rPr>
        <w:t>1,</w:t>
      </w:r>
      <w:r>
        <w:rPr>
          <w:rFonts w:eastAsia="Calibri"/>
          <w:bCs/>
        </w:rPr>
        <w:t>118</w:t>
      </w:r>
      <w:r w:rsidRPr="008E67C3">
        <w:rPr>
          <w:rFonts w:eastAsia="Calibri"/>
          <w:bCs/>
        </w:rPr>
        <w:t xml:space="preserve"> </w:t>
      </w:r>
      <w:r w:rsidRPr="008E67C3" w:rsidR="008765BA">
        <w:rPr>
          <w:rFonts w:eastAsia="Calibri"/>
          <w:bCs/>
        </w:rPr>
        <w:t>RAD conversions are owned by entities other than the PHA</w:t>
      </w:r>
      <w:r w:rsidRPr="008E67C3" w:rsidR="0054627C">
        <w:rPr>
          <w:rFonts w:eastAsia="Calibri"/>
          <w:bCs/>
        </w:rPr>
        <w:t>).</w:t>
      </w:r>
      <w:r>
        <w:rPr>
          <w:rFonts w:eastAsia="Calibri"/>
          <w:bCs/>
        </w:rPr>
        <w:t xml:space="preserve"> The number of RAD conversions </w:t>
      </w:r>
      <w:r w:rsidRPr="00BE65F0">
        <w:rPr>
          <w:rFonts w:eastAsia="Calibri"/>
          <w:bCs/>
        </w:rPr>
        <w:t>will increase over the course of this study</w:t>
      </w:r>
      <w:r>
        <w:rPr>
          <w:rFonts w:eastAsia="Calibri"/>
          <w:bCs/>
        </w:rPr>
        <w:t xml:space="preserve"> and the research team expects</w:t>
      </w:r>
      <w:r w:rsidRPr="00BE65F0">
        <w:rPr>
          <w:rFonts w:eastAsia="Calibri"/>
          <w:bCs/>
        </w:rPr>
        <w:t xml:space="preserve"> the universe </w:t>
      </w:r>
      <w:r>
        <w:rPr>
          <w:rFonts w:eastAsia="Calibri"/>
          <w:bCs/>
        </w:rPr>
        <w:t xml:space="preserve">of </w:t>
      </w:r>
      <w:r w:rsidRPr="008E67C3">
        <w:rPr>
          <w:rFonts w:eastAsia="Calibri"/>
          <w:bCs/>
        </w:rPr>
        <w:t xml:space="preserve">non-PHA owners </w:t>
      </w:r>
      <w:r w:rsidRPr="00BE65F0">
        <w:rPr>
          <w:rFonts w:eastAsia="Calibri"/>
          <w:bCs/>
        </w:rPr>
        <w:t xml:space="preserve">to be </w:t>
      </w:r>
      <w:r>
        <w:rPr>
          <w:rFonts w:eastAsia="Calibri"/>
          <w:bCs/>
        </w:rPr>
        <w:t>350 at the time of data collection. The research team expects a</w:t>
      </w:r>
      <w:r w:rsidRPr="0066232D">
        <w:rPr>
          <w:rFonts w:eastAsia="Calibri"/>
        </w:rPr>
        <w:t xml:space="preserve"> </w:t>
      </w:r>
      <w:r w:rsidRPr="0066232D" w:rsidR="00AB05D7">
        <w:rPr>
          <w:rFonts w:eastAsia="Calibri"/>
        </w:rPr>
        <w:t>response rate</w:t>
      </w:r>
      <w:r>
        <w:rPr>
          <w:rFonts w:eastAsia="Calibri"/>
        </w:rPr>
        <w:t xml:space="preserve"> of</w:t>
      </w:r>
      <w:r w:rsidR="00AB05D7">
        <w:rPr>
          <w:rFonts w:eastAsia="Calibri"/>
        </w:rPr>
        <w:t xml:space="preserve"> </w:t>
      </w:r>
      <w:r w:rsidR="004C69C2">
        <w:rPr>
          <w:rFonts w:eastAsia="Calibri"/>
        </w:rPr>
        <w:t>65</w:t>
      </w:r>
      <w:r>
        <w:rPr>
          <w:rFonts w:eastAsia="Calibri"/>
        </w:rPr>
        <w:t xml:space="preserve"> percent</w:t>
      </w:r>
      <w:r w:rsidR="004C69C2">
        <w:rPr>
          <w:rFonts w:eastAsia="Calibri"/>
        </w:rPr>
        <w:t xml:space="preserve"> (</w:t>
      </w:r>
      <w:r w:rsidR="007674C3">
        <w:rPr>
          <w:rFonts w:eastAsia="Calibri"/>
        </w:rPr>
        <w:t>228</w:t>
      </w:r>
      <w:r>
        <w:rPr>
          <w:rFonts w:eastAsia="Calibri"/>
        </w:rPr>
        <w:t xml:space="preserve"> non-PHA property owners</w:t>
      </w:r>
      <w:r w:rsidR="004C69C2">
        <w:rPr>
          <w:rFonts w:eastAsia="Calibri"/>
        </w:rPr>
        <w:t xml:space="preserve">). </w:t>
      </w:r>
    </w:p>
    <w:p w:rsidRPr="00E24664" w:rsidR="001426C6" w:rsidP="005E2195" w:rsidRDefault="001426C6" w14:paraId="163352B2" w14:textId="77777777">
      <w:pPr>
        <w:rPr>
          <w:rFonts w:eastAsia="Calibri"/>
          <w:b/>
        </w:rPr>
      </w:pPr>
    </w:p>
    <w:p w:rsidRPr="008E67C3" w:rsidR="00491FBF" w:rsidP="00996930" w:rsidRDefault="00682B25" w14:paraId="6EFB27A4" w14:textId="36B787AE">
      <w:pPr>
        <w:spacing w:line="276" w:lineRule="auto"/>
        <w:rPr>
          <w:rFonts w:eastAsia="Calibri"/>
          <w:bCs/>
        </w:rPr>
      </w:pPr>
      <w:r w:rsidRPr="00996930">
        <w:rPr>
          <w:rFonts w:eastAsia="Calibri"/>
          <w:b/>
        </w:rPr>
        <w:t xml:space="preserve">Identification of Respondents for the Survey of </w:t>
      </w:r>
      <w:r w:rsidRPr="00996930" w:rsidR="007C64E9">
        <w:rPr>
          <w:b/>
          <w:bCs/>
        </w:rPr>
        <w:t>Choice Mobility Residents</w:t>
      </w:r>
      <w:r w:rsidRPr="008E67C3" w:rsidR="00491FBF">
        <w:rPr>
          <w:rFonts w:eastAsia="Calibri"/>
          <w:bCs/>
        </w:rPr>
        <w:t xml:space="preserve"> </w:t>
      </w:r>
    </w:p>
    <w:p w:rsidRPr="0066232D" w:rsidR="00AB05D7" w:rsidP="00202CEA" w:rsidRDefault="008E67C3" w14:paraId="60D820E6" w14:textId="03DACEEA">
      <w:pPr>
        <w:jc w:val="both"/>
        <w:rPr>
          <w:rFonts w:eastAsia="Calibri"/>
          <w:bCs/>
        </w:rPr>
      </w:pPr>
      <w:r>
        <w:rPr>
          <w:rFonts w:eastAsia="Calibri"/>
          <w:bCs/>
        </w:rPr>
        <w:lastRenderedPageBreak/>
        <w:t>The research team plans to survey</w:t>
      </w:r>
      <w:r w:rsidRPr="00BE65F0">
        <w:rPr>
          <w:rFonts w:eastAsia="Calibri"/>
          <w:bCs/>
        </w:rPr>
        <w:t xml:space="preserve"> </w:t>
      </w:r>
      <w:r>
        <w:rPr>
          <w:rFonts w:eastAsia="Calibri"/>
          <w:bCs/>
        </w:rPr>
        <w:t xml:space="preserve">a large sample of former RAD residents who used the choice mobility option. </w:t>
      </w:r>
      <w:r w:rsidR="004D138C">
        <w:t xml:space="preserve">The sample will be a high proportion of the universe to allow for detailed analysis. </w:t>
      </w:r>
      <w:r>
        <w:t>All eligible residents who moved from PBRA developments will be included in the sample; approximately 90 percent of residents who moved from PBV developments will be included</w:t>
      </w:r>
      <w:r>
        <w:rPr>
          <w:rFonts w:eastAsia="Calibri"/>
        </w:rPr>
        <w:t xml:space="preserve">. The </w:t>
      </w:r>
      <w:r w:rsidRPr="00FF299A" w:rsidR="00266AE7">
        <w:rPr>
          <w:rFonts w:eastAsia="Calibri"/>
          <w:bCs/>
        </w:rPr>
        <w:t xml:space="preserve">estimate of the universe of choice mobility users will come from the final analysis of administrative data using certain assumptions as well as </w:t>
      </w:r>
      <w:r w:rsidRPr="00E75D07" w:rsidR="00266AE7">
        <w:rPr>
          <w:rFonts w:eastAsia="Calibri"/>
          <w:bCs/>
        </w:rPr>
        <w:t>verification from PHAs’ response to the survey</w:t>
      </w:r>
      <w:r>
        <w:rPr>
          <w:rFonts w:eastAsia="Calibri"/>
          <w:bCs/>
        </w:rPr>
        <w:t xml:space="preserve">, </w:t>
      </w:r>
      <w:r w:rsidRPr="00997B94" w:rsidR="00266AE7">
        <w:rPr>
          <w:rFonts w:eastAsia="Calibri"/>
          <w:bCs/>
        </w:rPr>
        <w:t>which will be administered before the resident surveys</w:t>
      </w:r>
      <w:r w:rsidRPr="008E67C3" w:rsidR="00266AE7">
        <w:rPr>
          <w:rFonts w:eastAsia="Calibri"/>
        </w:rPr>
        <w:t xml:space="preserve">. </w:t>
      </w:r>
      <w:r w:rsidR="004D138C">
        <w:rPr>
          <w:rFonts w:eastAsia="Calibri"/>
        </w:rPr>
        <w:t xml:space="preserve">The research team expects the universe of RAD residents who used </w:t>
      </w:r>
      <w:r w:rsidR="004D138C">
        <w:rPr>
          <w:rFonts w:eastAsia="Calibri"/>
          <w:bCs/>
        </w:rPr>
        <w:t>the choice mobility option to be approximately 1,300 and expects to sample 1,180 residents</w:t>
      </w:r>
      <w:r w:rsidR="004D138C">
        <w:rPr>
          <w:rFonts w:eastAsia="Calibri"/>
        </w:rPr>
        <w:t xml:space="preserve">. </w:t>
      </w:r>
      <w:r w:rsidRPr="004D138C" w:rsidR="00266AE7">
        <w:rPr>
          <w:rFonts w:eastAsia="Calibri"/>
        </w:rPr>
        <w:t xml:space="preserve">We </w:t>
      </w:r>
      <w:r w:rsidR="00C93902">
        <w:t>will stratify the universe of residents who have used the choice mobility option by key characteristics, including program, geography, PHA characteristics, elderly and disabled status, race and gender of household head, and household size.</w:t>
      </w:r>
      <w:r w:rsidRPr="00563D0B" w:rsidR="00563D0B">
        <w:t xml:space="preserve"> </w:t>
      </w:r>
      <w:r>
        <w:rPr>
          <w:rFonts w:eastAsia="Calibri"/>
          <w:bCs/>
        </w:rPr>
        <w:t>The research team expects a</w:t>
      </w:r>
      <w:r w:rsidRPr="0066232D">
        <w:rPr>
          <w:rFonts w:eastAsia="Calibri"/>
        </w:rPr>
        <w:t xml:space="preserve"> </w:t>
      </w:r>
      <w:r w:rsidRPr="0066232D" w:rsidR="00AB05D7">
        <w:rPr>
          <w:rFonts w:eastAsia="Calibri"/>
          <w:bCs/>
        </w:rPr>
        <w:t>response rate</w:t>
      </w:r>
      <w:r>
        <w:rPr>
          <w:rFonts w:eastAsia="Calibri"/>
          <w:bCs/>
        </w:rPr>
        <w:t xml:space="preserve"> of</w:t>
      </w:r>
      <w:r w:rsidR="00B95073">
        <w:rPr>
          <w:rFonts w:eastAsia="Calibri"/>
          <w:bCs/>
        </w:rPr>
        <w:t xml:space="preserve"> 60</w:t>
      </w:r>
      <w:r>
        <w:rPr>
          <w:rFonts w:eastAsia="Calibri"/>
          <w:bCs/>
        </w:rPr>
        <w:t xml:space="preserve"> percent</w:t>
      </w:r>
      <w:r w:rsidR="00B95073">
        <w:rPr>
          <w:rFonts w:eastAsia="Calibri"/>
          <w:bCs/>
        </w:rPr>
        <w:t xml:space="preserve"> (708</w:t>
      </w:r>
      <w:r>
        <w:rPr>
          <w:rFonts w:eastAsia="Calibri"/>
          <w:bCs/>
        </w:rPr>
        <w:t xml:space="preserve"> choice mobility residents</w:t>
      </w:r>
      <w:r w:rsidR="00B95073">
        <w:rPr>
          <w:rFonts w:eastAsia="Calibri"/>
          <w:bCs/>
        </w:rPr>
        <w:t>)</w:t>
      </w:r>
      <w:r w:rsidR="008E35DD">
        <w:rPr>
          <w:rFonts w:eastAsia="Calibri"/>
          <w:bCs/>
        </w:rPr>
        <w:t>.</w:t>
      </w:r>
    </w:p>
    <w:p w:rsidR="00AB05D7" w:rsidP="00682B25" w:rsidRDefault="00AB05D7" w14:paraId="271F86E0" w14:textId="77777777">
      <w:pPr>
        <w:spacing w:line="276" w:lineRule="auto"/>
        <w:rPr>
          <w:rFonts w:eastAsia="Calibri"/>
          <w:bCs/>
        </w:rPr>
      </w:pPr>
    </w:p>
    <w:p w:rsidRPr="00996930" w:rsidR="00693D32" w:rsidP="00996930" w:rsidRDefault="00693D32" w14:paraId="28169B38" w14:textId="097CCAFA">
      <w:pPr>
        <w:spacing w:line="276" w:lineRule="auto"/>
        <w:rPr>
          <w:b/>
          <w:bCs/>
        </w:rPr>
      </w:pPr>
      <w:r w:rsidRPr="00996930">
        <w:rPr>
          <w:rFonts w:eastAsia="Calibri"/>
          <w:b/>
        </w:rPr>
        <w:t xml:space="preserve">Identification of Respondents for the Survey of </w:t>
      </w:r>
      <w:r w:rsidRPr="00996930">
        <w:rPr>
          <w:b/>
          <w:bCs/>
        </w:rPr>
        <w:t>Non-Choice Mobility Residents</w:t>
      </w:r>
    </w:p>
    <w:p w:rsidRPr="0066232D" w:rsidR="00AB05D7" w:rsidP="00996930" w:rsidRDefault="004D138C" w14:paraId="3DB12637" w14:textId="01FF666F">
      <w:pPr>
        <w:jc w:val="both"/>
        <w:rPr>
          <w:rFonts w:eastAsia="Calibri"/>
          <w:bCs/>
        </w:rPr>
      </w:pPr>
      <w:r>
        <w:t xml:space="preserve">The research team </w:t>
      </w:r>
      <w:r>
        <w:rPr>
          <w:rFonts w:eastAsia="Calibri"/>
          <w:bCs/>
        </w:rPr>
        <w:t>plans to survey</w:t>
      </w:r>
      <w:r w:rsidRPr="00BE65F0">
        <w:rPr>
          <w:rFonts w:eastAsia="Calibri"/>
          <w:bCs/>
        </w:rPr>
        <w:t xml:space="preserve"> </w:t>
      </w:r>
      <w:r w:rsidR="006B3EA7">
        <w:t xml:space="preserve">a representative sample of RAD property residents who </w:t>
      </w:r>
      <w:r>
        <w:t xml:space="preserve">are eligible but </w:t>
      </w:r>
      <w:r w:rsidR="006B3EA7">
        <w:t xml:space="preserve">have </w:t>
      </w:r>
      <w:r w:rsidRPr="004D138C" w:rsidR="006B3EA7">
        <w:rPr>
          <w:b/>
          <w:bCs/>
        </w:rPr>
        <w:t>not</w:t>
      </w:r>
      <w:r w:rsidR="006B3EA7">
        <w:t xml:space="preserve"> exercised the choice mobility option. </w:t>
      </w:r>
      <w:r w:rsidR="00421C65">
        <w:rPr>
          <w:rFonts w:eastAsia="Calibri"/>
          <w:bCs/>
        </w:rPr>
        <w:t xml:space="preserve">The research team </w:t>
      </w:r>
      <w:r w:rsidR="006B3EA7">
        <w:t xml:space="preserve">will conduct a short survey with these residents to collect some of the same information collected from the RAD choice mobility residents on their experiences with the administration of and communication about the choice mobility option as well as to ask additional questions on why the residents have not chosen to move with a voucher. This additional sample is necessary for a complete analysis of residents’ use of the choice mobility option. </w:t>
      </w:r>
      <w:r w:rsidR="00BF7E70">
        <w:rPr>
          <w:rFonts w:eastAsia="Calibri"/>
        </w:rPr>
        <w:t xml:space="preserve">The </w:t>
      </w:r>
      <w:r w:rsidR="00421C65">
        <w:rPr>
          <w:rFonts w:eastAsia="Calibri"/>
        </w:rPr>
        <w:t xml:space="preserve">universe </w:t>
      </w:r>
      <w:r w:rsidRPr="00B17598" w:rsidR="00BF7E70">
        <w:rPr>
          <w:rFonts w:eastAsia="Calibri"/>
          <w:bCs/>
        </w:rPr>
        <w:t xml:space="preserve">of </w:t>
      </w:r>
      <w:r w:rsidR="00BF7E70">
        <w:t xml:space="preserve">RAD property residents who are eligible but have </w:t>
      </w:r>
      <w:r w:rsidRPr="004D138C" w:rsidR="00BF7E70">
        <w:rPr>
          <w:b/>
          <w:bCs/>
        </w:rPr>
        <w:t>not</w:t>
      </w:r>
      <w:r w:rsidR="00BF7E70">
        <w:t xml:space="preserve"> exercised the choice mobility option</w:t>
      </w:r>
      <w:r w:rsidRPr="00B17598" w:rsidR="00BF7E70">
        <w:rPr>
          <w:rFonts w:eastAsia="Calibri"/>
          <w:bCs/>
        </w:rPr>
        <w:t xml:space="preserve"> </w:t>
      </w:r>
      <w:r w:rsidR="00421C65">
        <w:rPr>
          <w:rFonts w:eastAsia="Calibri"/>
          <w:bCs/>
        </w:rPr>
        <w:t xml:space="preserve">is currently unknown. It will be estimated </w:t>
      </w:r>
      <w:r w:rsidRPr="00B17598" w:rsidR="00BF7E70">
        <w:rPr>
          <w:rFonts w:eastAsia="Calibri"/>
          <w:bCs/>
        </w:rPr>
        <w:t>from the final analysis of administrative data using certain assumptions as well as verification from PHAs’ response to the survey</w:t>
      </w:r>
      <w:r w:rsidR="00BF7E70">
        <w:rPr>
          <w:rFonts w:eastAsia="Calibri"/>
          <w:bCs/>
        </w:rPr>
        <w:t xml:space="preserve">, </w:t>
      </w:r>
      <w:r w:rsidRPr="00B17598" w:rsidR="00BF7E70">
        <w:rPr>
          <w:rFonts w:eastAsia="Calibri"/>
          <w:bCs/>
        </w:rPr>
        <w:t>which will be administered before the resident surveys</w:t>
      </w:r>
      <w:r w:rsidR="00BF7E70">
        <w:rPr>
          <w:rFonts w:eastAsia="Calibri"/>
          <w:bCs/>
        </w:rPr>
        <w:t xml:space="preserve">. </w:t>
      </w:r>
      <w:r>
        <w:rPr>
          <w:rFonts w:eastAsia="Calibri"/>
        </w:rPr>
        <w:t>The survey will use s</w:t>
      </w:r>
      <w:r w:rsidRPr="00E24664" w:rsidR="00AB05D7">
        <w:rPr>
          <w:rFonts w:eastAsia="Calibri"/>
        </w:rPr>
        <w:t>ampling methods</w:t>
      </w:r>
      <w:r>
        <w:rPr>
          <w:rFonts w:eastAsia="Calibri"/>
        </w:rPr>
        <w:t xml:space="preserve"> </w:t>
      </w:r>
      <w:proofErr w:type="gramStart"/>
      <w:r w:rsidR="001E7949">
        <w:rPr>
          <w:rFonts w:eastAsia="Calibri"/>
        </w:rPr>
        <w:t>similar to</w:t>
      </w:r>
      <w:proofErr w:type="gramEnd"/>
      <w:r w:rsidR="001E7949">
        <w:rPr>
          <w:rFonts w:eastAsia="Calibri"/>
        </w:rPr>
        <w:t xml:space="preserve"> those for the choice mobility resident survey.</w:t>
      </w:r>
      <w:r w:rsidR="00BF7E70">
        <w:rPr>
          <w:rFonts w:eastAsia="Calibri"/>
        </w:rPr>
        <w:t xml:space="preserve"> The research team has </w:t>
      </w:r>
      <w:r w:rsidR="00421C65">
        <w:rPr>
          <w:rFonts w:eastAsia="Calibri"/>
        </w:rPr>
        <w:t>a s</w:t>
      </w:r>
      <w:r w:rsidRPr="0066232D" w:rsidR="00AB05D7">
        <w:rPr>
          <w:rFonts w:eastAsia="Calibri"/>
        </w:rPr>
        <w:t>ampling goal</w:t>
      </w:r>
      <w:r w:rsidR="00421C65">
        <w:rPr>
          <w:rFonts w:eastAsia="Calibri"/>
        </w:rPr>
        <w:t xml:space="preserve"> of</w:t>
      </w:r>
      <w:r w:rsidR="001E7949">
        <w:rPr>
          <w:rFonts w:eastAsia="Calibri"/>
        </w:rPr>
        <w:t xml:space="preserve"> 420</w:t>
      </w:r>
      <w:r w:rsidR="00421C65">
        <w:rPr>
          <w:rFonts w:eastAsia="Calibri"/>
        </w:rPr>
        <w:t xml:space="preserve"> residents and e</w:t>
      </w:r>
      <w:r w:rsidRPr="0066232D" w:rsidR="00AB05D7">
        <w:rPr>
          <w:rFonts w:eastAsia="Calibri"/>
          <w:bCs/>
        </w:rPr>
        <w:t>xpect</w:t>
      </w:r>
      <w:r w:rsidR="00421C65">
        <w:rPr>
          <w:rFonts w:eastAsia="Calibri"/>
          <w:bCs/>
        </w:rPr>
        <w:t>s a</w:t>
      </w:r>
      <w:r w:rsidRPr="0066232D" w:rsidR="00AB05D7">
        <w:rPr>
          <w:rFonts w:eastAsia="Calibri"/>
          <w:bCs/>
        </w:rPr>
        <w:t xml:space="preserve"> response rate</w:t>
      </w:r>
      <w:r w:rsidR="00421C65">
        <w:rPr>
          <w:rFonts w:eastAsia="Calibri"/>
          <w:bCs/>
        </w:rPr>
        <w:t xml:space="preserve"> of</w:t>
      </w:r>
      <w:r w:rsidR="0088495F">
        <w:rPr>
          <w:rFonts w:eastAsia="Calibri"/>
          <w:bCs/>
        </w:rPr>
        <w:t xml:space="preserve"> 55</w:t>
      </w:r>
      <w:r w:rsidR="00421C65">
        <w:rPr>
          <w:rFonts w:eastAsia="Calibri"/>
          <w:bCs/>
        </w:rPr>
        <w:t xml:space="preserve"> percent</w:t>
      </w:r>
      <w:r w:rsidR="00985550">
        <w:rPr>
          <w:rFonts w:eastAsia="Calibri"/>
          <w:bCs/>
        </w:rPr>
        <w:t xml:space="preserve"> (</w:t>
      </w:r>
      <w:r w:rsidR="001431D0">
        <w:rPr>
          <w:rFonts w:eastAsia="Calibri"/>
          <w:bCs/>
        </w:rPr>
        <w:t xml:space="preserve">231 </w:t>
      </w:r>
      <w:r w:rsidR="00421C65">
        <w:rPr>
          <w:rFonts w:eastAsia="Calibri"/>
          <w:bCs/>
        </w:rPr>
        <w:t>non-choice mobility residents</w:t>
      </w:r>
      <w:r w:rsidR="00985550">
        <w:rPr>
          <w:rFonts w:eastAsia="Calibri"/>
          <w:bCs/>
        </w:rPr>
        <w:t>).</w:t>
      </w:r>
    </w:p>
    <w:p w:rsidRPr="00554C85" w:rsidR="00AB05D7" w:rsidP="00682B25" w:rsidRDefault="00AB05D7" w14:paraId="31BEDCDE" w14:textId="77777777">
      <w:pPr>
        <w:spacing w:line="276" w:lineRule="auto"/>
        <w:rPr>
          <w:rFonts w:eastAsia="Calibri"/>
          <w:b/>
        </w:rPr>
      </w:pPr>
    </w:p>
    <w:p w:rsidRPr="00996930" w:rsidR="00DE7EC1" w:rsidP="00996930" w:rsidRDefault="00F46265" w14:paraId="6A98C34A" w14:textId="76AB2F14">
      <w:pPr>
        <w:spacing w:line="276" w:lineRule="auto"/>
        <w:rPr>
          <w:rFonts w:eastAsia="Calibri"/>
          <w:b/>
        </w:rPr>
      </w:pPr>
      <w:r w:rsidRPr="00996930">
        <w:rPr>
          <w:rFonts w:eastAsia="Calibri"/>
          <w:b/>
        </w:rPr>
        <w:t>Identification of Respondents for the Qualitative Interviews with PHAs</w:t>
      </w:r>
    </w:p>
    <w:p w:rsidRPr="0066232D" w:rsidR="00AB05D7" w:rsidP="00202CEA" w:rsidRDefault="00421C65" w14:paraId="495E9944" w14:textId="4F8600CC">
      <w:pPr>
        <w:contextualSpacing/>
        <w:jc w:val="both"/>
        <w:rPr>
          <w:rFonts w:eastAsia="Calibri"/>
          <w:bCs/>
        </w:rPr>
      </w:pPr>
      <w:r>
        <w:t xml:space="preserve">The research team </w:t>
      </w:r>
      <w:r>
        <w:rPr>
          <w:rFonts w:eastAsia="Calibri"/>
          <w:bCs/>
        </w:rPr>
        <w:t xml:space="preserve">plans to interview PHA staff to learn about the effect of RAD </w:t>
      </w:r>
      <w:r w:rsidR="007432E2">
        <w:rPr>
          <w:rFonts w:eastAsia="Calibri"/>
          <w:bCs/>
        </w:rPr>
        <w:t>on</w:t>
      </w:r>
      <w:r>
        <w:rPr>
          <w:rFonts w:eastAsia="Calibri"/>
          <w:bCs/>
        </w:rPr>
        <w:t xml:space="preserve"> PHA’s organization. </w:t>
      </w:r>
      <w:r w:rsidRPr="00421C65">
        <w:rPr>
          <w:rFonts w:eastAsia="Calibri"/>
          <w:bCs/>
        </w:rPr>
        <w:t>There are currently 347 PHAs with RAD conversions, which will increase over the course of this study. The research team expects the universe of RAD PHAs to be 500 at the time of data collection</w:t>
      </w:r>
      <w:r>
        <w:rPr>
          <w:rFonts w:eastAsia="Calibri"/>
          <w:bCs/>
        </w:rPr>
        <w:t xml:space="preserve">. </w:t>
      </w:r>
      <w:r w:rsidR="00985550">
        <w:rPr>
          <w:rFonts w:eastAsia="Calibri"/>
        </w:rPr>
        <w:t xml:space="preserve">The sample </w:t>
      </w:r>
      <w:r>
        <w:rPr>
          <w:rFonts w:eastAsia="Calibri"/>
        </w:rPr>
        <w:t xml:space="preserve">of PHAs </w:t>
      </w:r>
      <w:r w:rsidR="00985550">
        <w:rPr>
          <w:rFonts w:eastAsia="Calibri"/>
        </w:rPr>
        <w:t xml:space="preserve">will be </w:t>
      </w:r>
      <w:r w:rsidR="008E35DD">
        <w:rPr>
          <w:rFonts w:eastAsia="Calibri"/>
        </w:rPr>
        <w:t xml:space="preserve">a purposive sample </w:t>
      </w:r>
      <w:r w:rsidR="00985550">
        <w:rPr>
          <w:rFonts w:eastAsia="Calibri"/>
        </w:rPr>
        <w:t xml:space="preserve">developed to reflect the average </w:t>
      </w:r>
      <w:r w:rsidR="006E5DF7">
        <w:rPr>
          <w:rFonts w:eastAsia="Calibri"/>
        </w:rPr>
        <w:t>characteristics</w:t>
      </w:r>
      <w:r w:rsidR="00985550">
        <w:rPr>
          <w:rFonts w:eastAsia="Calibri"/>
        </w:rPr>
        <w:t xml:space="preserve"> of PHAs with RAD conversions; specifically, </w:t>
      </w:r>
      <w:r w:rsidR="006E5DF7">
        <w:rPr>
          <w:rFonts w:eastAsia="Calibri"/>
        </w:rPr>
        <w:t xml:space="preserve">PHA size, census region, and </w:t>
      </w:r>
      <w:r>
        <w:rPr>
          <w:rFonts w:eastAsia="Calibri"/>
        </w:rPr>
        <w:t>type of housing assistance (</w:t>
      </w:r>
      <w:r w:rsidR="00711A8E">
        <w:rPr>
          <w:rFonts w:eastAsia="Calibri"/>
        </w:rPr>
        <w:t>PBV/PBRA conversion</w:t>
      </w:r>
      <w:r>
        <w:rPr>
          <w:rFonts w:eastAsia="Calibri"/>
        </w:rPr>
        <w:t>)</w:t>
      </w:r>
      <w:r w:rsidR="00711A8E">
        <w:rPr>
          <w:rFonts w:eastAsia="Calibri"/>
        </w:rPr>
        <w:t xml:space="preserve">. </w:t>
      </w:r>
      <w:r>
        <w:rPr>
          <w:rFonts w:eastAsia="Calibri"/>
          <w:bCs/>
        </w:rPr>
        <w:t>The research team has a s</w:t>
      </w:r>
      <w:r w:rsidRPr="0066232D" w:rsidR="00AB05D7">
        <w:rPr>
          <w:rFonts w:eastAsia="Calibri"/>
        </w:rPr>
        <w:t>ampling goal</w:t>
      </w:r>
      <w:r>
        <w:rPr>
          <w:rFonts w:eastAsia="Calibri"/>
        </w:rPr>
        <w:t xml:space="preserve"> of</w:t>
      </w:r>
      <w:r w:rsidR="00711A8E">
        <w:rPr>
          <w:rFonts w:eastAsia="Calibri"/>
        </w:rPr>
        <w:t xml:space="preserve"> </w:t>
      </w:r>
      <w:r w:rsidR="00E1141C">
        <w:rPr>
          <w:rFonts w:eastAsia="Calibri"/>
        </w:rPr>
        <w:t>2</w:t>
      </w:r>
      <w:r w:rsidR="00336747">
        <w:rPr>
          <w:rFonts w:eastAsia="Calibri"/>
        </w:rPr>
        <w:t xml:space="preserve">5 primary sites </w:t>
      </w:r>
      <w:r w:rsidR="00EA5729">
        <w:rPr>
          <w:rFonts w:eastAsia="Calibri"/>
        </w:rPr>
        <w:t>(</w:t>
      </w:r>
      <w:r w:rsidR="00E1141C">
        <w:rPr>
          <w:rFonts w:eastAsia="Calibri"/>
        </w:rPr>
        <w:t xml:space="preserve">plus </w:t>
      </w:r>
      <w:r w:rsidR="00EA5729">
        <w:rPr>
          <w:rFonts w:eastAsia="Calibri"/>
        </w:rPr>
        <w:t xml:space="preserve">back-up sample of </w:t>
      </w:r>
      <w:r w:rsidR="00336747">
        <w:rPr>
          <w:rFonts w:eastAsia="Calibri"/>
        </w:rPr>
        <w:t xml:space="preserve">two replacements per </w:t>
      </w:r>
      <w:r w:rsidR="00EA5729">
        <w:rPr>
          <w:rFonts w:eastAsia="Calibri"/>
        </w:rPr>
        <w:t xml:space="preserve">primary </w:t>
      </w:r>
      <w:r w:rsidR="00336747">
        <w:rPr>
          <w:rFonts w:eastAsia="Calibri"/>
        </w:rPr>
        <w:t>site</w:t>
      </w:r>
      <w:r w:rsidR="00EA5729">
        <w:rPr>
          <w:rFonts w:eastAsia="Calibri"/>
        </w:rPr>
        <w:t>, if needed)</w:t>
      </w:r>
      <w:r w:rsidR="00711A8E">
        <w:rPr>
          <w:rFonts w:eastAsia="Calibri"/>
        </w:rPr>
        <w:t>.</w:t>
      </w:r>
      <w:r>
        <w:rPr>
          <w:rFonts w:eastAsia="Calibri"/>
          <w:bCs/>
        </w:rPr>
        <w:t xml:space="preserve"> In each site, the team expects to interview about 10 PHA staff. The team e</w:t>
      </w:r>
      <w:r w:rsidRPr="0066232D" w:rsidR="00AB05D7">
        <w:rPr>
          <w:rFonts w:eastAsia="Calibri"/>
          <w:bCs/>
        </w:rPr>
        <w:t>xpect</w:t>
      </w:r>
      <w:r>
        <w:rPr>
          <w:rFonts w:eastAsia="Calibri"/>
          <w:bCs/>
        </w:rPr>
        <w:t>s</w:t>
      </w:r>
      <w:r w:rsidRPr="0066232D" w:rsidR="00AB05D7">
        <w:rPr>
          <w:rFonts w:eastAsia="Calibri"/>
          <w:bCs/>
        </w:rPr>
        <w:t xml:space="preserve"> </w:t>
      </w:r>
      <w:r>
        <w:rPr>
          <w:rFonts w:eastAsia="Calibri"/>
          <w:bCs/>
        </w:rPr>
        <w:t xml:space="preserve">a </w:t>
      </w:r>
      <w:r w:rsidRPr="0066232D" w:rsidR="00AB05D7">
        <w:rPr>
          <w:rFonts w:eastAsia="Calibri"/>
          <w:bCs/>
        </w:rPr>
        <w:t>response rate</w:t>
      </w:r>
      <w:r>
        <w:rPr>
          <w:rFonts w:eastAsia="Calibri"/>
          <w:bCs/>
        </w:rPr>
        <w:t xml:space="preserve"> of</w:t>
      </w:r>
      <w:r w:rsidR="00AB05D7">
        <w:rPr>
          <w:rFonts w:eastAsia="Calibri"/>
          <w:bCs/>
        </w:rPr>
        <w:t xml:space="preserve"> </w:t>
      </w:r>
      <w:r w:rsidR="00B92746">
        <w:rPr>
          <w:rFonts w:eastAsia="Calibri"/>
          <w:bCs/>
        </w:rPr>
        <w:t>100</w:t>
      </w:r>
      <w:r w:rsidR="00336747">
        <w:rPr>
          <w:rFonts w:eastAsia="Calibri"/>
          <w:bCs/>
        </w:rPr>
        <w:t xml:space="preserve">% </w:t>
      </w:r>
      <w:r>
        <w:rPr>
          <w:rFonts w:eastAsia="Calibri"/>
          <w:bCs/>
        </w:rPr>
        <w:t xml:space="preserve">percent </w:t>
      </w:r>
      <w:r w:rsidR="00336747">
        <w:rPr>
          <w:rFonts w:eastAsia="Calibri"/>
          <w:bCs/>
        </w:rPr>
        <w:t>(</w:t>
      </w:r>
      <w:r w:rsidR="00711A8E">
        <w:rPr>
          <w:rFonts w:eastAsia="Calibri"/>
          <w:bCs/>
        </w:rPr>
        <w:t>25 PHAs</w:t>
      </w:r>
      <w:r w:rsidR="00B2765B">
        <w:rPr>
          <w:rFonts w:eastAsia="Calibri"/>
          <w:bCs/>
        </w:rPr>
        <w:t xml:space="preserve"> and 250 individuals</w:t>
      </w:r>
      <w:r w:rsidR="00711A8E">
        <w:rPr>
          <w:rFonts w:eastAsia="Calibri"/>
          <w:bCs/>
        </w:rPr>
        <w:t xml:space="preserve">). </w:t>
      </w:r>
    </w:p>
    <w:p w:rsidRPr="0020715A" w:rsidR="0020715A" w:rsidP="001572EA" w:rsidRDefault="0020715A" w14:paraId="1CC885E6" w14:textId="77777777"/>
    <w:p w:rsidR="00EA06A0" w:rsidP="00EA06A0" w:rsidRDefault="00EA06A0" w14:paraId="054DABE1" w14:textId="6B72157C">
      <w:pPr>
        <w:pStyle w:val="TableCaption"/>
      </w:pPr>
      <w:bookmarkStart w:name="_Ref31726172" w:id="3"/>
      <w:bookmarkStart w:name="_Toc40427879" w:id="4"/>
      <w:r>
        <w:t xml:space="preserve">Table </w:t>
      </w:r>
      <w:r>
        <w:rPr>
          <w:noProof/>
        </w:rPr>
        <w:fldChar w:fldCharType="begin"/>
      </w:r>
      <w:r>
        <w:rPr>
          <w:noProof/>
        </w:rPr>
        <w:instrText xml:space="preserve"> SEQ Table \* ARABIC </w:instrText>
      </w:r>
      <w:r>
        <w:rPr>
          <w:noProof/>
        </w:rPr>
        <w:fldChar w:fldCharType="separate"/>
      </w:r>
      <w:r w:rsidR="00C25801">
        <w:rPr>
          <w:noProof/>
        </w:rPr>
        <w:t>1</w:t>
      </w:r>
      <w:r>
        <w:rPr>
          <w:noProof/>
        </w:rPr>
        <w:fldChar w:fldCharType="end"/>
      </w:r>
      <w:bookmarkEnd w:id="3"/>
      <w:r>
        <w:t>.</w:t>
      </w:r>
      <w:r>
        <w:tab/>
      </w:r>
      <w:bookmarkEnd w:id="4"/>
      <w:r>
        <w:t>Number of Entities in Universe and Sample</w:t>
      </w:r>
      <w:r w:rsidR="00491FBF">
        <w:t xml:space="preserve"> Sizes</w:t>
      </w:r>
    </w:p>
    <w:tbl>
      <w:tblPr>
        <w:tblStyle w:val="EconometricaTableStyle"/>
        <w:tblW w:w="0" w:type="auto"/>
        <w:tblLook w:val="04A0" w:firstRow="1" w:lastRow="0" w:firstColumn="1" w:lastColumn="0" w:noHBand="0" w:noVBand="1"/>
        <w:tblCaption w:val="Example of Table"/>
        <w:tblDescription w:val="Example of Table"/>
      </w:tblPr>
      <w:tblGrid>
        <w:gridCol w:w="4410"/>
        <w:gridCol w:w="1620"/>
        <w:gridCol w:w="1440"/>
        <w:gridCol w:w="1890"/>
      </w:tblGrid>
      <w:tr w:rsidRPr="00C22C0E" w:rsidR="0011352A" w:rsidTr="007F0D9C" w14:paraId="6417EEA7" w14:textId="130A6F11">
        <w:trPr>
          <w:cnfStyle w:val="100000000000" w:firstRow="1" w:lastRow="0" w:firstColumn="0" w:lastColumn="0" w:oddVBand="0" w:evenVBand="0" w:oddHBand="0" w:evenHBand="0" w:firstRowFirstColumn="0" w:firstRowLastColumn="0" w:lastRowFirstColumn="0" w:lastRowLastColumn="0"/>
          <w:tblHeader/>
        </w:trPr>
        <w:tc>
          <w:tcPr>
            <w:tcW w:w="4410" w:type="dxa"/>
          </w:tcPr>
          <w:p w:rsidRPr="00C22C0E" w:rsidR="0011352A" w:rsidP="00E42AF5" w:rsidRDefault="0011352A" w14:paraId="61149714" w14:textId="77777777">
            <w:pPr>
              <w:pStyle w:val="TableColumnHeading"/>
              <w:rPr>
                <w:sz w:val="20"/>
              </w:rPr>
            </w:pPr>
            <w:r w:rsidRPr="00C22C0E">
              <w:rPr>
                <w:sz w:val="20"/>
              </w:rPr>
              <w:t>Information Collection</w:t>
            </w:r>
          </w:p>
        </w:tc>
        <w:tc>
          <w:tcPr>
            <w:tcW w:w="1620" w:type="dxa"/>
          </w:tcPr>
          <w:p w:rsidR="0011352A" w:rsidP="00E42AF5" w:rsidRDefault="0011352A" w14:paraId="702B9F94" w14:textId="55D38249">
            <w:pPr>
              <w:pStyle w:val="TableColumnHeading"/>
              <w:rPr>
                <w:sz w:val="20"/>
              </w:rPr>
            </w:pPr>
            <w:r>
              <w:rPr>
                <w:sz w:val="20"/>
              </w:rPr>
              <w:t>Universe of Respondents</w:t>
            </w:r>
          </w:p>
        </w:tc>
        <w:tc>
          <w:tcPr>
            <w:tcW w:w="1440" w:type="dxa"/>
          </w:tcPr>
          <w:p w:rsidRPr="00C22C0E" w:rsidR="0011352A" w:rsidP="00E42AF5" w:rsidRDefault="0011352A" w14:paraId="6DF4D18D" w14:textId="2137AE6F">
            <w:pPr>
              <w:pStyle w:val="TableColumnHeading"/>
              <w:rPr>
                <w:b w:val="0"/>
                <w:sz w:val="20"/>
              </w:rPr>
            </w:pPr>
            <w:r>
              <w:rPr>
                <w:sz w:val="20"/>
              </w:rPr>
              <w:t>Sample</w:t>
            </w:r>
            <w:r w:rsidRPr="00C22C0E">
              <w:rPr>
                <w:sz w:val="20"/>
              </w:rPr>
              <w:t xml:space="preserve"> Respondents</w:t>
            </w:r>
          </w:p>
        </w:tc>
        <w:tc>
          <w:tcPr>
            <w:tcW w:w="1890" w:type="dxa"/>
          </w:tcPr>
          <w:p w:rsidR="0011352A" w:rsidP="00E42AF5" w:rsidRDefault="0011352A" w14:paraId="12538B50" w14:textId="60E681D7">
            <w:pPr>
              <w:pStyle w:val="TableColumnHeading"/>
              <w:rPr>
                <w:sz w:val="20"/>
              </w:rPr>
            </w:pPr>
            <w:r>
              <w:rPr>
                <w:sz w:val="20"/>
              </w:rPr>
              <w:t>Expected Response Rate</w:t>
            </w:r>
            <w:r w:rsidR="001C6F94">
              <w:rPr>
                <w:sz w:val="20"/>
              </w:rPr>
              <w:t>s (Number of Respondents)</w:t>
            </w:r>
          </w:p>
        </w:tc>
      </w:tr>
      <w:tr w:rsidRPr="00F747AC" w:rsidR="0011352A" w:rsidTr="007F0D9C" w14:paraId="34D46C33" w14:textId="6CCFDCFD">
        <w:trPr>
          <w:cnfStyle w:val="000000100000" w:firstRow="0" w:lastRow="0" w:firstColumn="0" w:lastColumn="0" w:oddVBand="0" w:evenVBand="0" w:oddHBand="1" w:evenHBand="0" w:firstRowFirstColumn="0" w:firstRowLastColumn="0" w:lastRowFirstColumn="0" w:lastRowLastColumn="0"/>
        </w:trPr>
        <w:tc>
          <w:tcPr>
            <w:tcW w:w="4410" w:type="dxa"/>
          </w:tcPr>
          <w:p w:rsidRPr="0041678C" w:rsidR="0011352A" w:rsidP="00E42AF5" w:rsidRDefault="003E0FEA" w14:paraId="4ACD8C82" w14:textId="65AC2915">
            <w:pPr>
              <w:pStyle w:val="TableCellGeneralText"/>
              <w:rPr>
                <w:rFonts w:ascii="Times New Roman" w:hAnsi="Times New Roman" w:cs="Times New Roman"/>
                <w:szCs w:val="20"/>
              </w:rPr>
            </w:pPr>
            <w:r w:rsidRPr="0041678C">
              <w:rPr>
                <w:rFonts w:ascii="Times New Roman" w:hAnsi="Times New Roman" w:cs="Times New Roman"/>
                <w:b/>
                <w:szCs w:val="20"/>
              </w:rPr>
              <w:t>Census of RAD PHA</w:t>
            </w:r>
            <w:r w:rsidRPr="0041678C" w:rsidR="001C16EA">
              <w:rPr>
                <w:rFonts w:ascii="Times New Roman" w:hAnsi="Times New Roman" w:cs="Times New Roman"/>
                <w:b/>
                <w:szCs w:val="20"/>
              </w:rPr>
              <w:t>s</w:t>
            </w:r>
          </w:p>
        </w:tc>
        <w:tc>
          <w:tcPr>
            <w:tcW w:w="1620" w:type="dxa"/>
          </w:tcPr>
          <w:p w:rsidRPr="0041678C" w:rsidR="0011352A" w:rsidP="00E42AF5" w:rsidRDefault="0011352A" w14:paraId="3AA1033B" w14:textId="3085803C">
            <w:pPr>
              <w:pStyle w:val="TableCellNumbers"/>
              <w:rPr>
                <w:rFonts w:ascii="Times New Roman" w:hAnsi="Times New Roman" w:cs="Times New Roman"/>
                <w:szCs w:val="20"/>
              </w:rPr>
            </w:pPr>
            <w:r w:rsidRPr="0041678C">
              <w:rPr>
                <w:rFonts w:ascii="Times New Roman" w:hAnsi="Times New Roman" w:cs="Times New Roman"/>
                <w:szCs w:val="20"/>
              </w:rPr>
              <w:t>~500</w:t>
            </w:r>
          </w:p>
        </w:tc>
        <w:tc>
          <w:tcPr>
            <w:tcW w:w="1440" w:type="dxa"/>
          </w:tcPr>
          <w:p w:rsidRPr="0041678C" w:rsidR="0011352A" w:rsidP="00E42AF5" w:rsidRDefault="0011352A" w14:paraId="4A9442D3" w14:textId="6DB5DC0D">
            <w:pPr>
              <w:pStyle w:val="TableCellNumbers"/>
              <w:rPr>
                <w:rFonts w:ascii="Times New Roman" w:hAnsi="Times New Roman" w:cs="Times New Roman"/>
                <w:szCs w:val="20"/>
              </w:rPr>
            </w:pPr>
            <w:r w:rsidRPr="0041678C">
              <w:rPr>
                <w:rFonts w:ascii="Times New Roman" w:hAnsi="Times New Roman" w:cs="Times New Roman"/>
                <w:szCs w:val="20"/>
              </w:rPr>
              <w:t>500</w:t>
            </w:r>
          </w:p>
        </w:tc>
        <w:tc>
          <w:tcPr>
            <w:tcW w:w="1890" w:type="dxa"/>
          </w:tcPr>
          <w:p w:rsidRPr="0041678C" w:rsidR="0011352A" w:rsidP="00E42AF5" w:rsidRDefault="0011352A" w14:paraId="7D5DC7DF" w14:textId="01B275C5">
            <w:pPr>
              <w:pStyle w:val="TableCellNumbers"/>
              <w:rPr>
                <w:rFonts w:ascii="Times New Roman" w:hAnsi="Times New Roman" w:cs="Times New Roman"/>
                <w:szCs w:val="20"/>
              </w:rPr>
            </w:pPr>
            <w:r w:rsidRPr="0041678C">
              <w:rPr>
                <w:rFonts w:ascii="Times New Roman" w:hAnsi="Times New Roman" w:cs="Times New Roman"/>
                <w:szCs w:val="20"/>
              </w:rPr>
              <w:t>80% (400)</w:t>
            </w:r>
          </w:p>
        </w:tc>
      </w:tr>
      <w:tr w:rsidRPr="00F747AC" w:rsidR="0011352A" w:rsidTr="007F0D9C" w14:paraId="08959708" w14:textId="69D5D566">
        <w:tc>
          <w:tcPr>
            <w:tcW w:w="4410" w:type="dxa"/>
          </w:tcPr>
          <w:p w:rsidRPr="00FE456F" w:rsidR="0011352A" w:rsidP="00E42AF5" w:rsidRDefault="00AA7F95" w14:paraId="5447A84F" w14:textId="207C0B8D">
            <w:pPr>
              <w:pStyle w:val="TableCellGeneralText"/>
              <w:rPr>
                <w:rFonts w:ascii="Times New Roman" w:hAnsi="Times New Roman" w:cs="Times New Roman"/>
                <w:szCs w:val="20"/>
              </w:rPr>
            </w:pPr>
            <w:r w:rsidRPr="0041678C">
              <w:rPr>
                <w:rFonts w:ascii="Times New Roman" w:hAnsi="Times New Roman" w:cs="Times New Roman"/>
                <w:b/>
                <w:szCs w:val="20"/>
              </w:rPr>
              <w:t xml:space="preserve">Survey </w:t>
            </w:r>
            <w:r w:rsidRPr="00FE456F">
              <w:rPr>
                <w:rFonts w:ascii="Times New Roman" w:hAnsi="Times New Roman" w:cs="Times New Roman"/>
                <w:b/>
                <w:szCs w:val="20"/>
              </w:rPr>
              <w:t xml:space="preserve">of RAD </w:t>
            </w:r>
            <w:r w:rsidRPr="00FE456F" w:rsidR="001C16EA">
              <w:rPr>
                <w:rFonts w:ascii="Times New Roman" w:hAnsi="Times New Roman" w:cs="Times New Roman"/>
                <w:b/>
                <w:szCs w:val="20"/>
              </w:rPr>
              <w:t xml:space="preserve">non-PHA </w:t>
            </w:r>
            <w:r w:rsidR="00CD7897">
              <w:rPr>
                <w:rFonts w:ascii="Times New Roman" w:hAnsi="Times New Roman" w:cs="Times New Roman"/>
                <w:b/>
                <w:szCs w:val="20"/>
              </w:rPr>
              <w:t>p</w:t>
            </w:r>
            <w:r w:rsidRPr="00FE456F" w:rsidR="00CD7897">
              <w:rPr>
                <w:rFonts w:ascii="Times New Roman" w:hAnsi="Times New Roman" w:cs="Times New Roman"/>
                <w:b/>
                <w:szCs w:val="20"/>
              </w:rPr>
              <w:t xml:space="preserve">roperty </w:t>
            </w:r>
            <w:r w:rsidR="00CD7897">
              <w:rPr>
                <w:rFonts w:ascii="Times New Roman" w:hAnsi="Times New Roman" w:cs="Times New Roman"/>
                <w:b/>
                <w:szCs w:val="20"/>
              </w:rPr>
              <w:t>o</w:t>
            </w:r>
            <w:r w:rsidRPr="00FE456F" w:rsidR="00CD7897">
              <w:rPr>
                <w:rFonts w:ascii="Times New Roman" w:hAnsi="Times New Roman" w:cs="Times New Roman"/>
                <w:b/>
                <w:szCs w:val="20"/>
              </w:rPr>
              <w:t>wner</w:t>
            </w:r>
          </w:p>
        </w:tc>
        <w:tc>
          <w:tcPr>
            <w:tcW w:w="1620" w:type="dxa"/>
          </w:tcPr>
          <w:p w:rsidRPr="00FE456F" w:rsidR="0011352A" w:rsidRDefault="0011352A" w14:paraId="35BADC49" w14:textId="531999C6">
            <w:pPr>
              <w:pStyle w:val="TableCellNumbers"/>
              <w:rPr>
                <w:rFonts w:ascii="Times New Roman" w:hAnsi="Times New Roman" w:cs="Times New Roman"/>
                <w:szCs w:val="20"/>
              </w:rPr>
            </w:pPr>
            <w:r w:rsidRPr="00FE456F">
              <w:rPr>
                <w:rFonts w:ascii="Times New Roman" w:hAnsi="Times New Roman" w:cs="Times New Roman"/>
                <w:szCs w:val="20"/>
              </w:rPr>
              <w:t>~350</w:t>
            </w:r>
          </w:p>
        </w:tc>
        <w:tc>
          <w:tcPr>
            <w:tcW w:w="1440" w:type="dxa"/>
          </w:tcPr>
          <w:p w:rsidRPr="00FE456F" w:rsidR="0011352A" w:rsidRDefault="0011352A" w14:paraId="5C10B8FD" w14:textId="182D2B8E">
            <w:pPr>
              <w:pStyle w:val="TableCellNumbers"/>
              <w:rPr>
                <w:rFonts w:ascii="Times New Roman" w:hAnsi="Times New Roman" w:cs="Times New Roman"/>
                <w:szCs w:val="20"/>
              </w:rPr>
            </w:pPr>
            <w:r w:rsidRPr="00FE456F">
              <w:rPr>
                <w:rFonts w:ascii="Times New Roman" w:hAnsi="Times New Roman" w:cs="Times New Roman"/>
                <w:szCs w:val="20"/>
              </w:rPr>
              <w:t>350</w:t>
            </w:r>
          </w:p>
        </w:tc>
        <w:tc>
          <w:tcPr>
            <w:tcW w:w="1890" w:type="dxa"/>
          </w:tcPr>
          <w:p w:rsidRPr="00FE456F" w:rsidR="0011352A" w:rsidRDefault="003C5AC4" w14:paraId="4B68A95C" w14:textId="17ECAC46">
            <w:pPr>
              <w:pStyle w:val="TableCellNumbers"/>
              <w:rPr>
                <w:rFonts w:ascii="Times New Roman" w:hAnsi="Times New Roman" w:cs="Times New Roman"/>
                <w:szCs w:val="20"/>
              </w:rPr>
            </w:pPr>
            <w:r w:rsidRPr="00FE456F">
              <w:rPr>
                <w:rFonts w:ascii="Times New Roman" w:hAnsi="Times New Roman" w:cs="Times New Roman"/>
                <w:szCs w:val="20"/>
              </w:rPr>
              <w:t>65% (</w:t>
            </w:r>
            <w:r w:rsidR="005B4384">
              <w:rPr>
                <w:rFonts w:ascii="Times New Roman" w:hAnsi="Times New Roman" w:cs="Times New Roman"/>
                <w:szCs w:val="20"/>
              </w:rPr>
              <w:t>228</w:t>
            </w:r>
            <w:r w:rsidRPr="00FE456F">
              <w:rPr>
                <w:rFonts w:ascii="Times New Roman" w:hAnsi="Times New Roman" w:cs="Times New Roman"/>
                <w:szCs w:val="20"/>
              </w:rPr>
              <w:t>)</w:t>
            </w:r>
          </w:p>
        </w:tc>
      </w:tr>
      <w:tr w:rsidRPr="00F747AC" w:rsidR="0011352A" w:rsidTr="007F0D9C" w14:paraId="723F89B9" w14:textId="590E5C74">
        <w:trPr>
          <w:cnfStyle w:val="000000100000" w:firstRow="0" w:lastRow="0" w:firstColumn="0" w:lastColumn="0" w:oddVBand="0" w:evenVBand="0" w:oddHBand="1" w:evenHBand="0" w:firstRowFirstColumn="0" w:firstRowLastColumn="0" w:lastRowFirstColumn="0" w:lastRowLastColumn="0"/>
        </w:trPr>
        <w:tc>
          <w:tcPr>
            <w:tcW w:w="4410" w:type="dxa"/>
          </w:tcPr>
          <w:p w:rsidRPr="00FE456F" w:rsidR="0011352A" w:rsidP="00135C92" w:rsidRDefault="0086729E" w14:paraId="6DCFCE91" w14:textId="27049970">
            <w:pPr>
              <w:pStyle w:val="TableCellGeneralText"/>
              <w:rPr>
                <w:rFonts w:ascii="Times New Roman" w:hAnsi="Times New Roman" w:cs="Times New Roman"/>
                <w:szCs w:val="20"/>
              </w:rPr>
            </w:pPr>
            <w:r w:rsidRPr="00FE456F">
              <w:rPr>
                <w:rFonts w:ascii="Times New Roman" w:hAnsi="Times New Roman" w:cs="Times New Roman"/>
                <w:b/>
                <w:bCs w:val="0"/>
                <w:szCs w:val="20"/>
              </w:rPr>
              <w:lastRenderedPageBreak/>
              <w:t>Survey of choice mobility residents</w:t>
            </w:r>
          </w:p>
        </w:tc>
        <w:tc>
          <w:tcPr>
            <w:tcW w:w="1620" w:type="dxa"/>
          </w:tcPr>
          <w:p w:rsidRPr="00FE456F" w:rsidR="0011352A" w:rsidP="00E42AF5" w:rsidRDefault="0011352A" w14:paraId="1A41E34F" w14:textId="47AF3D37">
            <w:pPr>
              <w:pStyle w:val="TableCellNumbers"/>
              <w:rPr>
                <w:rFonts w:ascii="Times New Roman" w:hAnsi="Times New Roman" w:cs="Times New Roman"/>
                <w:szCs w:val="20"/>
              </w:rPr>
            </w:pPr>
            <w:r w:rsidRPr="00FE456F">
              <w:rPr>
                <w:rFonts w:ascii="Times New Roman" w:hAnsi="Times New Roman" w:cs="Times New Roman"/>
                <w:szCs w:val="20"/>
              </w:rPr>
              <w:t>~1,3</w:t>
            </w:r>
            <w:r w:rsidR="00595C1B">
              <w:rPr>
                <w:rFonts w:ascii="Times New Roman" w:hAnsi="Times New Roman" w:cs="Times New Roman"/>
                <w:szCs w:val="20"/>
              </w:rPr>
              <w:t>00</w:t>
            </w:r>
          </w:p>
        </w:tc>
        <w:tc>
          <w:tcPr>
            <w:tcW w:w="1440" w:type="dxa"/>
          </w:tcPr>
          <w:p w:rsidRPr="00FE456F" w:rsidR="0011352A" w:rsidP="00135C92" w:rsidRDefault="0011352A" w14:paraId="58348783" w14:textId="3A7B6F45">
            <w:pPr>
              <w:pStyle w:val="TableCellNumbers"/>
              <w:rPr>
                <w:rFonts w:ascii="Times New Roman" w:hAnsi="Times New Roman" w:cs="Times New Roman"/>
                <w:szCs w:val="20"/>
              </w:rPr>
            </w:pPr>
            <w:r w:rsidRPr="00FE456F">
              <w:rPr>
                <w:rFonts w:ascii="Times New Roman" w:hAnsi="Times New Roman" w:cs="Times New Roman"/>
                <w:szCs w:val="20"/>
              </w:rPr>
              <w:t>1,</w:t>
            </w:r>
            <w:r w:rsidRPr="00FE456F" w:rsidR="00135C92">
              <w:rPr>
                <w:rFonts w:ascii="Times New Roman" w:hAnsi="Times New Roman" w:cs="Times New Roman"/>
                <w:szCs w:val="20"/>
              </w:rPr>
              <w:t>180</w:t>
            </w:r>
          </w:p>
        </w:tc>
        <w:tc>
          <w:tcPr>
            <w:tcW w:w="1890" w:type="dxa"/>
          </w:tcPr>
          <w:p w:rsidRPr="00FE456F" w:rsidR="0011352A" w:rsidP="00135C92" w:rsidRDefault="003C5AC4" w14:paraId="16FDC428" w14:textId="2C688867">
            <w:pPr>
              <w:pStyle w:val="TableCellNumbers"/>
              <w:rPr>
                <w:rFonts w:ascii="Times New Roman" w:hAnsi="Times New Roman" w:cs="Times New Roman"/>
                <w:szCs w:val="20"/>
              </w:rPr>
            </w:pPr>
            <w:r w:rsidRPr="00FE456F">
              <w:rPr>
                <w:rFonts w:ascii="Times New Roman" w:hAnsi="Times New Roman" w:cs="Times New Roman"/>
                <w:szCs w:val="20"/>
              </w:rPr>
              <w:t>60% (</w:t>
            </w:r>
            <w:r w:rsidRPr="00FE456F" w:rsidR="00135C92">
              <w:rPr>
                <w:rFonts w:ascii="Times New Roman" w:hAnsi="Times New Roman" w:cs="Times New Roman"/>
                <w:szCs w:val="20"/>
              </w:rPr>
              <w:t>708</w:t>
            </w:r>
            <w:r w:rsidRPr="00FE456F">
              <w:rPr>
                <w:rFonts w:ascii="Times New Roman" w:hAnsi="Times New Roman" w:cs="Times New Roman"/>
                <w:szCs w:val="20"/>
              </w:rPr>
              <w:t>)</w:t>
            </w:r>
          </w:p>
        </w:tc>
      </w:tr>
      <w:tr w:rsidRPr="00F747AC" w:rsidR="0011352A" w:rsidTr="007F0D9C" w14:paraId="383E546A" w14:textId="045467BF">
        <w:tc>
          <w:tcPr>
            <w:tcW w:w="4410" w:type="dxa"/>
          </w:tcPr>
          <w:p w:rsidRPr="00FE456F" w:rsidR="0011352A" w:rsidP="00E42AF5" w:rsidRDefault="002E7B7E" w14:paraId="0A9375F2" w14:textId="07272F36">
            <w:pPr>
              <w:pStyle w:val="TableCellGeneralText"/>
              <w:rPr>
                <w:rFonts w:ascii="Times New Roman" w:hAnsi="Times New Roman" w:cs="Times New Roman"/>
                <w:szCs w:val="20"/>
              </w:rPr>
            </w:pPr>
            <w:r w:rsidRPr="00FE456F">
              <w:rPr>
                <w:rFonts w:ascii="Times New Roman" w:hAnsi="Times New Roman" w:cs="Times New Roman"/>
                <w:b/>
                <w:bCs w:val="0"/>
                <w:szCs w:val="20"/>
              </w:rPr>
              <w:t>Survey of non-choice mobility residents</w:t>
            </w:r>
          </w:p>
        </w:tc>
        <w:tc>
          <w:tcPr>
            <w:tcW w:w="1620" w:type="dxa"/>
          </w:tcPr>
          <w:p w:rsidRPr="00FE456F" w:rsidR="0011352A" w:rsidP="00E42AF5" w:rsidRDefault="00C7276D" w14:paraId="33E0BED3" w14:textId="28CC3F2C">
            <w:pPr>
              <w:pStyle w:val="TableCellNumbers"/>
              <w:rPr>
                <w:rFonts w:ascii="Times New Roman" w:hAnsi="Times New Roman" w:cs="Times New Roman"/>
                <w:szCs w:val="20"/>
              </w:rPr>
            </w:pPr>
            <w:r w:rsidRPr="00FE456F">
              <w:rPr>
                <w:rFonts w:ascii="Times New Roman" w:hAnsi="Times New Roman" w:cs="Times New Roman"/>
                <w:szCs w:val="20"/>
              </w:rPr>
              <w:t>~</w:t>
            </w:r>
            <w:r>
              <w:rPr>
                <w:rFonts w:ascii="Times New Roman" w:hAnsi="Times New Roman" w:cs="Times New Roman"/>
                <w:szCs w:val="20"/>
              </w:rPr>
              <w:t>100,000</w:t>
            </w:r>
          </w:p>
        </w:tc>
        <w:tc>
          <w:tcPr>
            <w:tcW w:w="1440" w:type="dxa"/>
          </w:tcPr>
          <w:p w:rsidRPr="00FE456F" w:rsidR="0011352A" w:rsidP="00E42AF5" w:rsidRDefault="00135C92" w14:paraId="56208294" w14:textId="4145A532">
            <w:pPr>
              <w:pStyle w:val="TableCellNumbers"/>
              <w:rPr>
                <w:rFonts w:ascii="Times New Roman" w:hAnsi="Times New Roman" w:cs="Times New Roman"/>
                <w:szCs w:val="20"/>
              </w:rPr>
            </w:pPr>
            <w:r w:rsidRPr="00FE456F">
              <w:rPr>
                <w:rFonts w:ascii="Times New Roman" w:hAnsi="Times New Roman" w:cs="Times New Roman"/>
                <w:szCs w:val="20"/>
              </w:rPr>
              <w:t>420</w:t>
            </w:r>
          </w:p>
        </w:tc>
        <w:tc>
          <w:tcPr>
            <w:tcW w:w="1890" w:type="dxa"/>
          </w:tcPr>
          <w:p w:rsidRPr="00FE456F" w:rsidR="0011352A" w:rsidP="00135C92" w:rsidRDefault="006A756D" w14:paraId="351CC25C" w14:textId="26AF622A">
            <w:pPr>
              <w:pStyle w:val="TableCellNumbers"/>
              <w:rPr>
                <w:rFonts w:ascii="Times New Roman" w:hAnsi="Times New Roman" w:cs="Times New Roman"/>
                <w:szCs w:val="20"/>
              </w:rPr>
            </w:pPr>
            <w:r>
              <w:rPr>
                <w:rFonts w:ascii="Times New Roman" w:hAnsi="Times New Roman" w:cs="Times New Roman"/>
                <w:szCs w:val="20"/>
              </w:rPr>
              <w:t>55</w:t>
            </w:r>
            <w:r w:rsidRPr="00FE456F" w:rsidR="001C6F94">
              <w:rPr>
                <w:rFonts w:ascii="Times New Roman" w:hAnsi="Times New Roman" w:cs="Times New Roman"/>
                <w:szCs w:val="20"/>
              </w:rPr>
              <w:t>% (</w:t>
            </w:r>
            <w:r>
              <w:rPr>
                <w:rFonts w:ascii="Times New Roman" w:hAnsi="Times New Roman" w:cs="Times New Roman"/>
                <w:szCs w:val="20"/>
              </w:rPr>
              <w:t>231</w:t>
            </w:r>
            <w:r w:rsidRPr="00FE456F" w:rsidR="001C6F94">
              <w:rPr>
                <w:rFonts w:ascii="Times New Roman" w:hAnsi="Times New Roman" w:cs="Times New Roman"/>
                <w:szCs w:val="20"/>
              </w:rPr>
              <w:t>)</w:t>
            </w:r>
          </w:p>
        </w:tc>
      </w:tr>
      <w:tr w:rsidRPr="00F747AC" w:rsidR="0045601C" w:rsidTr="007F0D9C" w14:paraId="13C37F78" w14:textId="77777777">
        <w:trPr>
          <w:cnfStyle w:val="000000100000" w:firstRow="0" w:lastRow="0" w:firstColumn="0" w:lastColumn="0" w:oddVBand="0" w:evenVBand="0" w:oddHBand="1" w:evenHBand="0" w:firstRowFirstColumn="0" w:firstRowLastColumn="0" w:lastRowFirstColumn="0" w:lastRowLastColumn="0"/>
        </w:trPr>
        <w:tc>
          <w:tcPr>
            <w:tcW w:w="4410" w:type="dxa"/>
          </w:tcPr>
          <w:p w:rsidRPr="00FE456F" w:rsidR="0045601C" w:rsidP="00E42AF5" w:rsidRDefault="007D1880" w14:paraId="10F00875" w14:textId="3E973607">
            <w:pPr>
              <w:pStyle w:val="TableCellGeneralText"/>
              <w:rPr>
                <w:rFonts w:ascii="Times New Roman" w:hAnsi="Times New Roman" w:cs="Times New Roman"/>
                <w:b/>
                <w:bCs w:val="0"/>
                <w:szCs w:val="20"/>
              </w:rPr>
            </w:pPr>
            <w:r>
              <w:rPr>
                <w:rFonts w:ascii="Times New Roman" w:hAnsi="Times New Roman" w:cs="Times New Roman"/>
                <w:b/>
                <w:bCs w:val="0"/>
                <w:szCs w:val="20"/>
              </w:rPr>
              <w:t>Q</w:t>
            </w:r>
            <w:r w:rsidR="00CD7897">
              <w:rPr>
                <w:rFonts w:ascii="Times New Roman" w:hAnsi="Times New Roman" w:cs="Times New Roman"/>
                <w:b/>
                <w:bCs w:val="0"/>
                <w:szCs w:val="20"/>
              </w:rPr>
              <w:t>ualitative interviews</w:t>
            </w:r>
            <w:r>
              <w:rPr>
                <w:rFonts w:ascii="Times New Roman" w:hAnsi="Times New Roman" w:cs="Times New Roman"/>
                <w:b/>
                <w:bCs w:val="0"/>
                <w:szCs w:val="20"/>
              </w:rPr>
              <w:t xml:space="preserve"> with PHAs</w:t>
            </w:r>
          </w:p>
        </w:tc>
        <w:tc>
          <w:tcPr>
            <w:tcW w:w="1620" w:type="dxa"/>
          </w:tcPr>
          <w:p w:rsidRPr="00FE456F" w:rsidR="0045601C" w:rsidP="00E42AF5" w:rsidRDefault="00CC78BA" w14:paraId="638120FB" w14:textId="0E3C5A36">
            <w:pPr>
              <w:pStyle w:val="TableCellNumbers"/>
              <w:rPr>
                <w:rFonts w:ascii="Times New Roman" w:hAnsi="Times New Roman" w:cs="Times New Roman"/>
                <w:szCs w:val="20"/>
              </w:rPr>
            </w:pPr>
            <w:r w:rsidRPr="00FE456F">
              <w:rPr>
                <w:rFonts w:ascii="Times New Roman" w:hAnsi="Times New Roman" w:cs="Times New Roman"/>
                <w:szCs w:val="20"/>
              </w:rPr>
              <w:t>~500</w:t>
            </w:r>
          </w:p>
        </w:tc>
        <w:tc>
          <w:tcPr>
            <w:tcW w:w="1440" w:type="dxa"/>
          </w:tcPr>
          <w:p w:rsidRPr="00FE456F" w:rsidR="0045601C" w:rsidP="00E42AF5" w:rsidRDefault="00875ED8" w14:paraId="6BDB2B07" w14:textId="6D99AA0E">
            <w:pPr>
              <w:pStyle w:val="TableCellNumbers"/>
              <w:rPr>
                <w:rFonts w:ascii="Times New Roman" w:hAnsi="Times New Roman" w:cs="Times New Roman"/>
                <w:szCs w:val="20"/>
              </w:rPr>
            </w:pPr>
            <w:r>
              <w:rPr>
                <w:rFonts w:ascii="Times New Roman" w:hAnsi="Times New Roman" w:cs="Times New Roman"/>
                <w:szCs w:val="20"/>
              </w:rPr>
              <w:t>2</w:t>
            </w:r>
            <w:r w:rsidR="00FA447A">
              <w:rPr>
                <w:rFonts w:ascii="Times New Roman" w:hAnsi="Times New Roman" w:cs="Times New Roman"/>
                <w:szCs w:val="20"/>
              </w:rPr>
              <w:t>5</w:t>
            </w:r>
          </w:p>
        </w:tc>
        <w:tc>
          <w:tcPr>
            <w:tcW w:w="1890" w:type="dxa"/>
          </w:tcPr>
          <w:p w:rsidRPr="00FE456F" w:rsidR="0045601C" w:rsidP="00135C92" w:rsidRDefault="00875ED8" w14:paraId="520E9052" w14:textId="4A006F7A">
            <w:pPr>
              <w:pStyle w:val="TableCellNumbers"/>
              <w:rPr>
                <w:rFonts w:ascii="Times New Roman" w:hAnsi="Times New Roman" w:cs="Times New Roman"/>
                <w:szCs w:val="20"/>
              </w:rPr>
            </w:pPr>
            <w:r>
              <w:rPr>
                <w:rFonts w:ascii="Times New Roman" w:hAnsi="Times New Roman" w:cs="Times New Roman"/>
                <w:szCs w:val="20"/>
              </w:rPr>
              <w:t>100</w:t>
            </w:r>
            <w:r w:rsidRPr="00FE456F" w:rsidR="00CC78BA">
              <w:rPr>
                <w:rFonts w:ascii="Times New Roman" w:hAnsi="Times New Roman" w:cs="Times New Roman"/>
                <w:szCs w:val="20"/>
              </w:rPr>
              <w:t>% (</w:t>
            </w:r>
            <w:r w:rsidR="00FA447A">
              <w:rPr>
                <w:rFonts w:ascii="Times New Roman" w:hAnsi="Times New Roman" w:cs="Times New Roman"/>
                <w:szCs w:val="20"/>
              </w:rPr>
              <w:t>25</w:t>
            </w:r>
            <w:r w:rsidRPr="00FE456F" w:rsidR="00AD4BB4">
              <w:rPr>
                <w:rFonts w:ascii="Times New Roman" w:hAnsi="Times New Roman" w:cs="Times New Roman"/>
                <w:szCs w:val="20"/>
              </w:rPr>
              <w:t xml:space="preserve"> PHAs</w:t>
            </w:r>
            <w:r w:rsidR="002104B1">
              <w:rPr>
                <w:rFonts w:ascii="Times New Roman" w:hAnsi="Times New Roman" w:cs="Times New Roman"/>
                <w:szCs w:val="20"/>
              </w:rPr>
              <w:t xml:space="preserve"> and </w:t>
            </w:r>
            <w:r w:rsidRPr="00FE456F" w:rsidR="00AD4BB4">
              <w:rPr>
                <w:rFonts w:ascii="Times New Roman" w:hAnsi="Times New Roman" w:cs="Times New Roman"/>
                <w:szCs w:val="20"/>
              </w:rPr>
              <w:t>250 individuals)</w:t>
            </w:r>
          </w:p>
        </w:tc>
      </w:tr>
    </w:tbl>
    <w:p w:rsidR="005123E4" w:rsidP="00770366" w:rsidRDefault="005123E4" w14:paraId="60FABD56" w14:textId="77777777">
      <w:pPr>
        <w:rPr>
          <w:b/>
        </w:rPr>
      </w:pPr>
    </w:p>
    <w:p w:rsidR="00EB4E44" w:rsidP="00FE456F" w:rsidRDefault="00EB4E44" w14:paraId="0B2F81AF" w14:textId="4C211990">
      <w:pPr>
        <w:pStyle w:val="H3PartB"/>
        <w:numPr>
          <w:ilvl w:val="0"/>
          <w:numId w:val="0"/>
        </w:numPr>
      </w:pPr>
      <w:r w:rsidRPr="000316EC">
        <w:t>Previously Conducted Collection</w:t>
      </w:r>
    </w:p>
    <w:p w:rsidRPr="00FB5ADE" w:rsidR="007F4005" w:rsidP="00FB5ADE" w:rsidRDefault="00AB4E94" w14:paraId="7E0A149E" w14:textId="378EE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previous RAD evaluation collected information from some of the same entities but there was a different set of questions.</w:t>
      </w:r>
      <w:r w:rsidR="00924CCF">
        <w:t xml:space="preserve"> Because the previous data collection was a much smaller sample, the response rates cannot be directly compared to the current effort.</w:t>
      </w:r>
    </w:p>
    <w:p w:rsidR="00A14462" w:rsidP="000470D5" w:rsidRDefault="007F4005" w14:paraId="7695BD33" w14:textId="35B3C74A">
      <w:pPr>
        <w:pStyle w:val="H2PartB"/>
      </w:pPr>
      <w:r w:rsidRPr="004D5244">
        <w:t xml:space="preserve">Describe the procedures for the collection, including: </w:t>
      </w:r>
    </w:p>
    <w:p w:rsidR="00A14462" w:rsidP="00747A4A" w:rsidRDefault="007F4005" w14:paraId="2D1AD0AF" w14:textId="77777777">
      <w:pPr>
        <w:numPr>
          <w:ilvl w:val="0"/>
          <w:numId w:val="13"/>
        </w:numPr>
        <w:rPr>
          <w:b/>
          <w:bCs/>
          <w:u w:val="single"/>
        </w:rPr>
      </w:pPr>
      <w:r w:rsidRPr="004D5244">
        <w:rPr>
          <w:b/>
          <w:bCs/>
          <w:u w:val="single"/>
        </w:rPr>
        <w:t xml:space="preserve">the statistical methodology for stratification and sample selection; </w:t>
      </w:r>
    </w:p>
    <w:p w:rsidR="00A14462" w:rsidP="00747A4A" w:rsidRDefault="007F4005" w14:paraId="25F84225" w14:textId="77777777">
      <w:pPr>
        <w:numPr>
          <w:ilvl w:val="0"/>
          <w:numId w:val="13"/>
        </w:numPr>
        <w:rPr>
          <w:b/>
          <w:bCs/>
          <w:u w:val="single"/>
        </w:rPr>
      </w:pPr>
      <w:r w:rsidRPr="004D5244">
        <w:rPr>
          <w:b/>
          <w:bCs/>
          <w:u w:val="single"/>
        </w:rPr>
        <w:t xml:space="preserve">the estimation procedure; </w:t>
      </w:r>
    </w:p>
    <w:p w:rsidR="00A14462" w:rsidP="00747A4A" w:rsidRDefault="007F4005" w14:paraId="005EF65F" w14:textId="77777777">
      <w:pPr>
        <w:numPr>
          <w:ilvl w:val="0"/>
          <w:numId w:val="13"/>
        </w:numPr>
        <w:rPr>
          <w:b/>
          <w:bCs/>
          <w:u w:val="single"/>
        </w:rPr>
      </w:pPr>
      <w:r w:rsidRPr="004D5244">
        <w:rPr>
          <w:b/>
          <w:bCs/>
          <w:u w:val="single"/>
        </w:rPr>
        <w:t>the degree of accuracy needed for the purpose described in the justification;</w:t>
      </w:r>
    </w:p>
    <w:p w:rsidR="00A14462" w:rsidP="00747A4A" w:rsidRDefault="007F4005" w14:paraId="4B0D01B5" w14:textId="77777777">
      <w:pPr>
        <w:numPr>
          <w:ilvl w:val="0"/>
          <w:numId w:val="13"/>
        </w:numPr>
        <w:rPr>
          <w:b/>
          <w:bCs/>
          <w:u w:val="single"/>
        </w:rPr>
      </w:pPr>
      <w:r w:rsidRPr="004D5244">
        <w:rPr>
          <w:b/>
          <w:bCs/>
          <w:u w:val="single"/>
        </w:rPr>
        <w:t xml:space="preserve">any unusual problems requiring specialized sampling procedures; and </w:t>
      </w:r>
    </w:p>
    <w:p w:rsidRPr="004D5244" w:rsidR="007F4005" w:rsidP="00747A4A" w:rsidRDefault="007F4005" w14:paraId="63C5F1FA" w14:textId="60FC531A">
      <w:pPr>
        <w:numPr>
          <w:ilvl w:val="0"/>
          <w:numId w:val="13"/>
        </w:numPr>
        <w:rPr>
          <w:b/>
          <w:bCs/>
          <w:u w:val="single"/>
        </w:rPr>
      </w:pPr>
      <w:r w:rsidRPr="004D5244">
        <w:rPr>
          <w:b/>
          <w:bCs/>
          <w:u w:val="single"/>
        </w:rPr>
        <w:t>any use of periodic (less frequent than annual) data collection cycles to reduce burden.</w:t>
      </w:r>
    </w:p>
    <w:p w:rsidR="007F4005" w:rsidP="00770366" w:rsidRDefault="007F4005" w14:paraId="3BE0E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P="00200F95" w:rsidRDefault="001F5B76" w14:paraId="3E595A69" w14:textId="00B8BC16">
      <w:pPr>
        <w:pStyle w:val="H3PartB"/>
        <w:numPr>
          <w:ilvl w:val="0"/>
          <w:numId w:val="23"/>
        </w:numPr>
      </w:pPr>
      <w:r w:rsidRPr="00944C52">
        <w:lastRenderedPageBreak/>
        <w:t>Statistical methodology for stratification and sample selection</w:t>
      </w:r>
    </w:p>
    <w:p w:rsidRPr="00EB1698" w:rsidR="00673218" w:rsidP="00EB1698" w:rsidRDefault="00673218" w14:paraId="4A14495F" w14:textId="77777777">
      <w:pPr>
        <w:pStyle w:val="H3PartB"/>
        <w:numPr>
          <w:ilvl w:val="0"/>
          <w:numId w:val="0"/>
        </w:numPr>
        <w:ind w:left="360"/>
        <w:rPr>
          <w:b w:val="0"/>
          <w:bCs w:val="0"/>
          <w:i w:val="0"/>
          <w:iCs/>
        </w:rPr>
      </w:pPr>
    </w:p>
    <w:p w:rsidR="00336747" w:rsidP="00EB1698" w:rsidRDefault="00E35576" w14:paraId="75FFF935" w14:textId="6D45D85A">
      <w:pPr>
        <w:pStyle w:val="TableCaption"/>
      </w:pPr>
      <w:r>
        <w:t xml:space="preserve">Table </w:t>
      </w:r>
      <w:r w:rsidR="000261CF">
        <w:rPr>
          <w:noProof/>
        </w:rPr>
        <w:fldChar w:fldCharType="begin"/>
      </w:r>
      <w:r w:rsidR="000261CF">
        <w:rPr>
          <w:noProof/>
        </w:rPr>
        <w:instrText xml:space="preserve"> SEQ Table \* ARABIC </w:instrText>
      </w:r>
      <w:r w:rsidR="000261CF">
        <w:rPr>
          <w:noProof/>
        </w:rPr>
        <w:fldChar w:fldCharType="separate"/>
      </w:r>
      <w:r w:rsidR="00C25801">
        <w:rPr>
          <w:noProof/>
        </w:rPr>
        <w:t>2</w:t>
      </w:r>
      <w:r w:rsidR="000261CF">
        <w:rPr>
          <w:noProof/>
        </w:rPr>
        <w:fldChar w:fldCharType="end"/>
      </w:r>
      <w:r>
        <w:t>. Summary of Methods for Stratification and Sample Selection</w:t>
      </w:r>
    </w:p>
    <w:tbl>
      <w:tblPr>
        <w:tblStyle w:val="EconometricaTableStyle"/>
        <w:tblW w:w="0" w:type="auto"/>
        <w:tblLook w:val="04A0" w:firstRow="1" w:lastRow="0" w:firstColumn="1" w:lastColumn="0" w:noHBand="0" w:noVBand="1"/>
      </w:tblPr>
      <w:tblGrid>
        <w:gridCol w:w="3060"/>
        <w:gridCol w:w="6295"/>
      </w:tblGrid>
      <w:tr w:rsidR="00E064A9" w:rsidTr="004C7866" w14:paraId="343B9871" w14:textId="77777777">
        <w:trPr>
          <w:cnfStyle w:val="100000000000" w:firstRow="1" w:lastRow="0" w:firstColumn="0" w:lastColumn="0" w:oddVBand="0" w:evenVBand="0" w:oddHBand="0" w:evenHBand="0" w:firstRowFirstColumn="0" w:firstRowLastColumn="0" w:lastRowFirstColumn="0" w:lastRowLastColumn="0"/>
        </w:trPr>
        <w:tc>
          <w:tcPr>
            <w:tcW w:w="3060" w:type="dxa"/>
          </w:tcPr>
          <w:p w:rsidRPr="004C7866" w:rsidR="00E064A9" w:rsidP="00215BB1" w:rsidRDefault="00E064A9" w14:paraId="31B4A3C3" w14:textId="0BF2C8E6">
            <w:pPr>
              <w:pStyle w:val="H3PartB"/>
              <w:numPr>
                <w:ilvl w:val="0"/>
                <w:numId w:val="0"/>
              </w:numPr>
              <w:ind w:left="73"/>
              <w:rPr>
                <w:b/>
                <w:bCs w:val="0"/>
                <w:i w:val="0"/>
                <w:iCs/>
              </w:rPr>
            </w:pPr>
            <w:r w:rsidRPr="004C7866">
              <w:rPr>
                <w:b/>
                <w:bCs w:val="0"/>
                <w:i w:val="0"/>
                <w:iCs/>
              </w:rPr>
              <w:t>Information Collection</w:t>
            </w:r>
          </w:p>
        </w:tc>
        <w:tc>
          <w:tcPr>
            <w:tcW w:w="6295" w:type="dxa"/>
          </w:tcPr>
          <w:p w:rsidR="00E064A9" w:rsidP="00215BB1" w:rsidRDefault="00E064A9" w14:paraId="79FB2EB4" w14:textId="298C11D2">
            <w:pPr>
              <w:pStyle w:val="H3PartB"/>
              <w:numPr>
                <w:ilvl w:val="0"/>
                <w:numId w:val="0"/>
              </w:numPr>
              <w:rPr>
                <w:b/>
                <w:bCs w:val="0"/>
                <w:i w:val="0"/>
                <w:iCs/>
              </w:rPr>
            </w:pPr>
            <w:r>
              <w:rPr>
                <w:b/>
                <w:bCs w:val="0"/>
                <w:i w:val="0"/>
                <w:iCs/>
              </w:rPr>
              <w:t>Stratification and Sampling Methods</w:t>
            </w:r>
          </w:p>
        </w:tc>
      </w:tr>
      <w:tr w:rsidR="00215BB1" w:rsidTr="004C7866" w14:paraId="42E5D667" w14:textId="77777777">
        <w:trPr>
          <w:cnfStyle w:val="000000100000" w:firstRow="0" w:lastRow="0" w:firstColumn="0" w:lastColumn="0" w:oddVBand="0" w:evenVBand="0" w:oddHBand="1" w:evenHBand="0" w:firstRowFirstColumn="0" w:firstRowLastColumn="0" w:lastRowFirstColumn="0" w:lastRowLastColumn="0"/>
        </w:trPr>
        <w:tc>
          <w:tcPr>
            <w:tcW w:w="3060" w:type="dxa"/>
          </w:tcPr>
          <w:p w:rsidRPr="005E2195" w:rsidR="00215BB1" w:rsidP="00215BB1" w:rsidRDefault="00215BB1" w14:paraId="1A0F0F98" w14:textId="77777777">
            <w:pPr>
              <w:pStyle w:val="H3PartB"/>
              <w:numPr>
                <w:ilvl w:val="0"/>
                <w:numId w:val="0"/>
              </w:numPr>
              <w:ind w:left="73"/>
              <w:rPr>
                <w:i w:val="0"/>
                <w:iCs/>
              </w:rPr>
            </w:pPr>
            <w:r w:rsidRPr="005E2195">
              <w:rPr>
                <w:i w:val="0"/>
                <w:iCs/>
              </w:rPr>
              <w:t>Census of RAD PHAs</w:t>
            </w:r>
          </w:p>
          <w:p w:rsidR="00215BB1" w:rsidP="005E2195" w:rsidRDefault="00215BB1" w14:paraId="128CEE22" w14:textId="77777777">
            <w:pPr>
              <w:pStyle w:val="H3PartB"/>
              <w:numPr>
                <w:ilvl w:val="0"/>
                <w:numId w:val="0"/>
              </w:numPr>
              <w:ind w:left="73"/>
            </w:pPr>
          </w:p>
        </w:tc>
        <w:tc>
          <w:tcPr>
            <w:tcW w:w="6295" w:type="dxa"/>
          </w:tcPr>
          <w:p w:rsidR="000B4C20" w:rsidP="00215BB1" w:rsidRDefault="000B4C20" w14:paraId="49381194" w14:textId="77777777">
            <w:pPr>
              <w:pStyle w:val="H3PartB"/>
              <w:numPr>
                <w:ilvl w:val="0"/>
                <w:numId w:val="0"/>
              </w:numPr>
            </w:pPr>
            <w:r>
              <w:rPr>
                <w:b w:val="0"/>
                <w:bCs w:val="0"/>
                <w:i w:val="0"/>
                <w:iCs/>
              </w:rPr>
              <w:t>S</w:t>
            </w:r>
            <w:r w:rsidRPr="005E2195" w:rsidR="00215BB1">
              <w:rPr>
                <w:b w:val="0"/>
                <w:bCs w:val="0"/>
                <w:i w:val="0"/>
                <w:iCs/>
              </w:rPr>
              <w:t>ample the entire population of RAD PHAs</w:t>
            </w:r>
            <w:r>
              <w:rPr>
                <w:b w:val="0"/>
                <w:bCs w:val="0"/>
                <w:i w:val="0"/>
                <w:iCs/>
              </w:rPr>
              <w:t>.</w:t>
            </w:r>
            <w:r>
              <w:t xml:space="preserve"> </w:t>
            </w:r>
          </w:p>
          <w:p w:rsidR="000B4C20" w:rsidP="00215BB1" w:rsidRDefault="000B4C20" w14:paraId="5EAC4892" w14:textId="77777777">
            <w:pPr>
              <w:pStyle w:val="H3PartB"/>
              <w:numPr>
                <w:ilvl w:val="0"/>
                <w:numId w:val="0"/>
              </w:numPr>
            </w:pPr>
          </w:p>
          <w:p w:rsidR="00DF0348" w:rsidP="00215BB1" w:rsidRDefault="006B4C20" w14:paraId="0AA56FF4" w14:textId="2AA02572">
            <w:pPr>
              <w:pStyle w:val="H3PartB"/>
              <w:numPr>
                <w:ilvl w:val="0"/>
                <w:numId w:val="0"/>
              </w:numPr>
              <w:rPr>
                <w:b w:val="0"/>
                <w:bCs w:val="0"/>
                <w:i w:val="0"/>
                <w:iCs/>
              </w:rPr>
            </w:pPr>
            <w:r>
              <w:rPr>
                <w:b w:val="0"/>
                <w:bCs w:val="0"/>
                <w:i w:val="0"/>
                <w:iCs/>
              </w:rPr>
              <w:t>We will</w:t>
            </w:r>
            <w:r w:rsidR="000B4C20">
              <w:rPr>
                <w:b w:val="0"/>
                <w:bCs w:val="0"/>
                <w:i w:val="0"/>
                <w:iCs/>
              </w:rPr>
              <w:t xml:space="preserve"> us</w:t>
            </w:r>
            <w:r w:rsidRPr="005E2195" w:rsidR="000B4C20">
              <w:rPr>
                <w:b w:val="0"/>
                <w:bCs w:val="0"/>
                <w:i w:val="0"/>
                <w:iCs/>
              </w:rPr>
              <w:t>e stratification to assess non-response bias.</w:t>
            </w:r>
            <w:r w:rsidR="000B4C20">
              <w:rPr>
                <w:b w:val="0"/>
                <w:bCs w:val="0"/>
                <w:i w:val="0"/>
                <w:iCs/>
              </w:rPr>
              <w:t xml:space="preserve"> </w:t>
            </w:r>
            <w:r w:rsidRPr="00AB25B4" w:rsidR="000B4C20">
              <w:rPr>
                <w:b w:val="0"/>
                <w:bCs w:val="0"/>
                <w:i w:val="0"/>
                <w:iCs/>
              </w:rPr>
              <w:t xml:space="preserve">Participating PHAs will be stratified by size; region; whether the conversions are family, senior, or both; Public Housing Assessment System (PHAS) scores; and other characteristics to confirm that completed surveys represent PHAs with converted RAD projects. If necessary, the stratification system will be used to target late-stage fielding efforts and in the design of weights. </w:t>
            </w:r>
          </w:p>
          <w:p w:rsidR="00DF0348" w:rsidP="00215BB1" w:rsidRDefault="00DF0348" w14:paraId="1E479028" w14:textId="77777777">
            <w:pPr>
              <w:pStyle w:val="H3PartB"/>
              <w:numPr>
                <w:ilvl w:val="0"/>
                <w:numId w:val="0"/>
              </w:numPr>
              <w:rPr>
                <w:b w:val="0"/>
                <w:bCs w:val="0"/>
                <w:i w:val="0"/>
                <w:iCs/>
              </w:rPr>
            </w:pPr>
          </w:p>
          <w:p w:rsidRPr="00AB25B4" w:rsidR="00215BB1" w:rsidRDefault="00DF0348" w14:paraId="43984041" w14:textId="5CC94DF8">
            <w:pPr>
              <w:pStyle w:val="H3PartB"/>
              <w:numPr>
                <w:ilvl w:val="0"/>
                <w:numId w:val="0"/>
              </w:numPr>
              <w:rPr>
                <w:b w:val="0"/>
                <w:bCs w:val="0"/>
                <w:i w:val="0"/>
                <w:iCs/>
              </w:rPr>
            </w:pPr>
            <w:r>
              <w:rPr>
                <w:b w:val="0"/>
                <w:i w:val="0"/>
                <w:iCs/>
              </w:rPr>
              <w:t xml:space="preserve">Other than Questions 1 and 2 in Section 1, property-level questions will be asked for a maximum of 5 properties per PHA. Where PHAs </w:t>
            </w:r>
            <w:r w:rsidR="000261CF">
              <w:rPr>
                <w:b w:val="0"/>
                <w:i w:val="0"/>
                <w:iCs/>
              </w:rPr>
              <w:t xml:space="preserve">have more than </w:t>
            </w:r>
            <w:r>
              <w:rPr>
                <w:b w:val="0"/>
                <w:i w:val="0"/>
                <w:iCs/>
              </w:rPr>
              <w:t>5 properties, a sample of properties will be drawn at random.</w:t>
            </w:r>
          </w:p>
        </w:tc>
      </w:tr>
      <w:tr w:rsidR="00412390" w:rsidTr="004C7866" w14:paraId="201E9916" w14:textId="77777777">
        <w:tc>
          <w:tcPr>
            <w:tcW w:w="3060" w:type="dxa"/>
          </w:tcPr>
          <w:p w:rsidRPr="00412390" w:rsidR="00412390" w:rsidP="000B4C20" w:rsidRDefault="00412390" w14:paraId="156917BD" w14:textId="109C1A4D">
            <w:pPr>
              <w:pStyle w:val="H3PartB"/>
              <w:numPr>
                <w:ilvl w:val="0"/>
                <w:numId w:val="0"/>
              </w:numPr>
              <w:ind w:left="73"/>
              <w:rPr>
                <w:i w:val="0"/>
                <w:iCs/>
              </w:rPr>
            </w:pPr>
            <w:r w:rsidRPr="00CE2A0C">
              <w:rPr>
                <w:i w:val="0"/>
                <w:iCs/>
              </w:rPr>
              <w:t xml:space="preserve">Survey of </w:t>
            </w:r>
            <w:r w:rsidRPr="00CE2A0C" w:rsidR="000B4C20">
              <w:rPr>
                <w:i w:val="0"/>
                <w:iCs/>
              </w:rPr>
              <w:t xml:space="preserve">RAD </w:t>
            </w:r>
            <w:r>
              <w:rPr>
                <w:i w:val="0"/>
                <w:iCs/>
              </w:rPr>
              <w:t xml:space="preserve">non-PHA </w:t>
            </w:r>
            <w:r w:rsidRPr="00CE2A0C">
              <w:rPr>
                <w:i w:val="0"/>
                <w:iCs/>
              </w:rPr>
              <w:t>property owners</w:t>
            </w:r>
          </w:p>
        </w:tc>
        <w:tc>
          <w:tcPr>
            <w:tcW w:w="6295" w:type="dxa"/>
          </w:tcPr>
          <w:p w:rsidR="00412390" w:rsidP="00215BB1" w:rsidRDefault="000B4C20" w14:paraId="7A41B3C8" w14:textId="77777777">
            <w:pPr>
              <w:pStyle w:val="H3PartB"/>
              <w:numPr>
                <w:ilvl w:val="0"/>
                <w:numId w:val="0"/>
              </w:numPr>
              <w:rPr>
                <w:i w:val="0"/>
                <w:iCs/>
              </w:rPr>
            </w:pPr>
            <w:r>
              <w:rPr>
                <w:b w:val="0"/>
                <w:bCs w:val="0"/>
                <w:i w:val="0"/>
                <w:iCs/>
              </w:rPr>
              <w:t>Sample entire</w:t>
            </w:r>
            <w:r w:rsidRPr="007C2BD2" w:rsidR="00412390">
              <w:rPr>
                <w:b w:val="0"/>
                <w:bCs w:val="0"/>
                <w:i w:val="0"/>
                <w:iCs/>
              </w:rPr>
              <w:t xml:space="preserve"> population of RAD property owners </w:t>
            </w:r>
            <w:r w:rsidRPr="00412390" w:rsidR="00412390">
              <w:rPr>
                <w:b w:val="0"/>
                <w:bCs w:val="0"/>
                <w:i w:val="0"/>
                <w:iCs/>
              </w:rPr>
              <w:t>that are unaffiliated to the PHAs</w:t>
            </w:r>
            <w:r>
              <w:rPr>
                <w:b w:val="0"/>
                <w:bCs w:val="0"/>
                <w:i w:val="0"/>
                <w:iCs/>
              </w:rPr>
              <w:t>.</w:t>
            </w:r>
            <w:r w:rsidRPr="005E2195" w:rsidR="00412390">
              <w:rPr>
                <w:i w:val="0"/>
                <w:iCs/>
              </w:rPr>
              <w:t xml:space="preserve"> </w:t>
            </w:r>
          </w:p>
          <w:p w:rsidR="00D92CD0" w:rsidP="00215BB1" w:rsidRDefault="00D92CD0" w14:paraId="459B0973" w14:textId="77777777">
            <w:pPr>
              <w:pStyle w:val="H3PartB"/>
              <w:numPr>
                <w:ilvl w:val="0"/>
                <w:numId w:val="0"/>
              </w:numPr>
              <w:rPr>
                <w:i w:val="0"/>
                <w:iCs/>
              </w:rPr>
            </w:pPr>
          </w:p>
          <w:p w:rsidRPr="00AB25B4" w:rsidR="00D92CD0" w:rsidRDefault="00D92CD0" w14:paraId="7BC06CE5" w14:textId="73D88015">
            <w:pPr>
              <w:pStyle w:val="H3PartB"/>
              <w:numPr>
                <w:ilvl w:val="0"/>
                <w:numId w:val="0"/>
              </w:numPr>
              <w:rPr>
                <w:b w:val="0"/>
                <w:i w:val="0"/>
                <w:iCs/>
              </w:rPr>
            </w:pPr>
            <w:r>
              <w:rPr>
                <w:b w:val="0"/>
                <w:i w:val="0"/>
                <w:iCs/>
              </w:rPr>
              <w:t xml:space="preserve">Property-level questions will be asked </w:t>
            </w:r>
            <w:r w:rsidR="00DF0348">
              <w:rPr>
                <w:b w:val="0"/>
                <w:i w:val="0"/>
                <w:iCs/>
              </w:rPr>
              <w:t>for</w:t>
            </w:r>
            <w:r>
              <w:rPr>
                <w:b w:val="0"/>
                <w:i w:val="0"/>
                <w:iCs/>
              </w:rPr>
              <w:t xml:space="preserve"> a maximum of 5 properties per property owner. </w:t>
            </w:r>
            <w:r w:rsidR="000A77EA">
              <w:rPr>
                <w:b w:val="0"/>
                <w:i w:val="0"/>
                <w:iCs/>
              </w:rPr>
              <w:t>Where property owners represent more than 5 properties, a sample of properties will be drawn at random.</w:t>
            </w:r>
          </w:p>
        </w:tc>
      </w:tr>
      <w:tr w:rsidR="00336747" w:rsidTr="004C7866" w14:paraId="08545FAE" w14:textId="77777777">
        <w:trPr>
          <w:cnfStyle w:val="000000100000" w:firstRow="0" w:lastRow="0" w:firstColumn="0" w:lastColumn="0" w:oddVBand="0" w:evenVBand="0" w:oddHBand="1" w:evenHBand="0" w:firstRowFirstColumn="0" w:firstRowLastColumn="0" w:lastRowFirstColumn="0" w:lastRowLastColumn="0"/>
        </w:trPr>
        <w:tc>
          <w:tcPr>
            <w:tcW w:w="3060" w:type="dxa"/>
          </w:tcPr>
          <w:p w:rsidRPr="00336747" w:rsidR="00336747" w:rsidP="00412390" w:rsidRDefault="006B4C20" w14:paraId="05D8532C" w14:textId="4156F008">
            <w:pPr>
              <w:pStyle w:val="H3PartB"/>
              <w:numPr>
                <w:ilvl w:val="0"/>
                <w:numId w:val="0"/>
              </w:numPr>
              <w:ind w:left="73"/>
              <w:rPr>
                <w:i w:val="0"/>
                <w:iCs/>
              </w:rPr>
            </w:pPr>
            <w:r>
              <w:rPr>
                <w:i w:val="0"/>
                <w:iCs/>
              </w:rPr>
              <w:t>S</w:t>
            </w:r>
            <w:r w:rsidRPr="005E2195" w:rsidR="00336747">
              <w:rPr>
                <w:i w:val="0"/>
                <w:iCs/>
              </w:rPr>
              <w:t>urvey of choice mobility residents</w:t>
            </w:r>
          </w:p>
        </w:tc>
        <w:tc>
          <w:tcPr>
            <w:tcW w:w="6295" w:type="dxa"/>
          </w:tcPr>
          <w:p w:rsidRPr="00336747" w:rsidR="00336747" w:rsidP="00215BB1" w:rsidRDefault="00E35213" w14:paraId="56FB78C1" w14:textId="0DC1795C">
            <w:pPr>
              <w:pStyle w:val="H3PartB"/>
              <w:numPr>
                <w:ilvl w:val="0"/>
                <w:numId w:val="0"/>
              </w:numPr>
              <w:rPr>
                <w:b w:val="0"/>
                <w:bCs w:val="0"/>
                <w:i w:val="0"/>
                <w:iCs/>
              </w:rPr>
            </w:pPr>
            <w:r>
              <w:rPr>
                <w:b w:val="0"/>
                <w:bCs w:val="0"/>
                <w:i w:val="0"/>
                <w:iCs/>
              </w:rPr>
              <w:t>W</w:t>
            </w:r>
            <w:r w:rsidRPr="005E2195" w:rsidR="00336747">
              <w:rPr>
                <w:b w:val="0"/>
                <w:bCs w:val="0"/>
                <w:i w:val="0"/>
                <w:iCs/>
              </w:rPr>
              <w:t>e will stratify the universe of residents by key characteristics, including program, geography, PHA characteristics, elderly and disabled status, race and gender of household head, and household size. All former residents of PBRA properties will be included in the choice mobility option resident sample. Approximately 90 percent of former residents of PBV properties will be included.</w:t>
            </w:r>
          </w:p>
        </w:tc>
      </w:tr>
      <w:tr w:rsidR="00336747" w:rsidTr="004C7866" w14:paraId="3F1B8A50" w14:textId="77777777">
        <w:tc>
          <w:tcPr>
            <w:tcW w:w="3060" w:type="dxa"/>
          </w:tcPr>
          <w:p w:rsidRPr="00336747" w:rsidR="00336747" w:rsidP="00412390" w:rsidRDefault="006B4C20" w14:paraId="3E749E3E" w14:textId="180E1826">
            <w:pPr>
              <w:pStyle w:val="H3PartB"/>
              <w:numPr>
                <w:ilvl w:val="0"/>
                <w:numId w:val="0"/>
              </w:numPr>
              <w:ind w:left="73"/>
              <w:rPr>
                <w:i w:val="0"/>
                <w:iCs/>
              </w:rPr>
            </w:pPr>
            <w:r>
              <w:rPr>
                <w:i w:val="0"/>
                <w:iCs/>
              </w:rPr>
              <w:t>S</w:t>
            </w:r>
            <w:r w:rsidRPr="005E2195" w:rsidR="00336747">
              <w:rPr>
                <w:i w:val="0"/>
                <w:iCs/>
              </w:rPr>
              <w:t>urvey of non-choice mobility residents</w:t>
            </w:r>
          </w:p>
        </w:tc>
        <w:tc>
          <w:tcPr>
            <w:tcW w:w="6295" w:type="dxa"/>
          </w:tcPr>
          <w:p w:rsidRPr="00336747" w:rsidR="00336747" w:rsidP="00215BB1" w:rsidRDefault="00E200CF" w14:paraId="1AE78665" w14:textId="52597053">
            <w:pPr>
              <w:pStyle w:val="H3PartB"/>
              <w:numPr>
                <w:ilvl w:val="0"/>
                <w:numId w:val="0"/>
              </w:numPr>
              <w:rPr>
                <w:b w:val="0"/>
                <w:bCs w:val="0"/>
                <w:i w:val="0"/>
                <w:iCs/>
              </w:rPr>
            </w:pPr>
            <w:r>
              <w:rPr>
                <w:b w:val="0"/>
                <w:bCs w:val="0"/>
                <w:i w:val="0"/>
                <w:iCs/>
              </w:rPr>
              <w:t>R</w:t>
            </w:r>
            <w:r w:rsidRPr="005E2195" w:rsidR="00336747">
              <w:rPr>
                <w:b w:val="0"/>
                <w:bCs w:val="0"/>
                <w:i w:val="0"/>
                <w:iCs/>
              </w:rPr>
              <w:t xml:space="preserve">esidents will be selected to be representative of the universe of RAD residents who </w:t>
            </w:r>
            <w:r w:rsidR="008E35DD">
              <w:rPr>
                <w:b w:val="0"/>
                <w:bCs w:val="0"/>
                <w:i w:val="0"/>
                <w:iCs/>
              </w:rPr>
              <w:t xml:space="preserve">are eligible but </w:t>
            </w:r>
            <w:r w:rsidRPr="008E35DD" w:rsidR="008E35DD">
              <w:rPr>
                <w:b w:val="0"/>
                <w:bCs w:val="0"/>
                <w:i w:val="0"/>
                <w:iCs/>
              </w:rPr>
              <w:t xml:space="preserve">have </w:t>
            </w:r>
            <w:r w:rsidRPr="00093E43" w:rsidR="008E35DD">
              <w:rPr>
                <w:i w:val="0"/>
                <w:iCs/>
              </w:rPr>
              <w:t>not</w:t>
            </w:r>
            <w:r w:rsidRPr="008E35DD" w:rsidR="008E35DD">
              <w:rPr>
                <w:b w:val="0"/>
                <w:bCs w:val="0"/>
                <w:i w:val="0"/>
                <w:iCs/>
              </w:rPr>
              <w:t xml:space="preserve"> exercised the</w:t>
            </w:r>
            <w:r w:rsidR="008E35DD">
              <w:t xml:space="preserve"> </w:t>
            </w:r>
            <w:r w:rsidRPr="005E2195" w:rsidR="00336747">
              <w:rPr>
                <w:b w:val="0"/>
                <w:bCs w:val="0"/>
                <w:i w:val="0"/>
                <w:iCs/>
              </w:rPr>
              <w:t>choice-mobility option.</w:t>
            </w:r>
          </w:p>
        </w:tc>
      </w:tr>
      <w:tr w:rsidR="00336747" w:rsidTr="004C7866" w14:paraId="424A4231" w14:textId="77777777">
        <w:trPr>
          <w:cnfStyle w:val="000000100000" w:firstRow="0" w:lastRow="0" w:firstColumn="0" w:lastColumn="0" w:oddVBand="0" w:evenVBand="0" w:oddHBand="1" w:evenHBand="0" w:firstRowFirstColumn="0" w:firstRowLastColumn="0" w:lastRowFirstColumn="0" w:lastRowLastColumn="0"/>
        </w:trPr>
        <w:tc>
          <w:tcPr>
            <w:tcW w:w="3060" w:type="dxa"/>
          </w:tcPr>
          <w:p w:rsidRPr="00336747" w:rsidR="00336747" w:rsidP="00412390" w:rsidRDefault="007D1880" w14:paraId="2D3C967B" w14:textId="363790D6">
            <w:pPr>
              <w:pStyle w:val="H3PartB"/>
              <w:numPr>
                <w:ilvl w:val="0"/>
                <w:numId w:val="0"/>
              </w:numPr>
              <w:ind w:left="73"/>
              <w:rPr>
                <w:i w:val="0"/>
                <w:iCs/>
              </w:rPr>
            </w:pPr>
            <w:r>
              <w:rPr>
                <w:i w:val="0"/>
                <w:iCs/>
              </w:rPr>
              <w:t xml:space="preserve">Qualitative Interviews with </w:t>
            </w:r>
            <w:r w:rsidRPr="005E2195" w:rsidR="00336747">
              <w:rPr>
                <w:i w:val="0"/>
                <w:iCs/>
              </w:rPr>
              <w:t>PHAs</w:t>
            </w:r>
          </w:p>
        </w:tc>
        <w:tc>
          <w:tcPr>
            <w:tcW w:w="6295" w:type="dxa"/>
          </w:tcPr>
          <w:p w:rsidRPr="00336747" w:rsidR="00336747" w:rsidP="00215BB1" w:rsidRDefault="00CD7897" w14:paraId="0865BE82" w14:textId="596FA017">
            <w:pPr>
              <w:pStyle w:val="H3PartB"/>
              <w:numPr>
                <w:ilvl w:val="0"/>
                <w:numId w:val="0"/>
              </w:numPr>
              <w:rPr>
                <w:b w:val="0"/>
                <w:bCs w:val="0"/>
                <w:i w:val="0"/>
                <w:iCs/>
              </w:rPr>
            </w:pPr>
            <w:r>
              <w:rPr>
                <w:b w:val="0"/>
                <w:bCs w:val="0"/>
                <w:i w:val="0"/>
                <w:iCs/>
              </w:rPr>
              <w:t>P</w:t>
            </w:r>
            <w:r w:rsidRPr="00093E43">
              <w:rPr>
                <w:b w:val="0"/>
                <w:bCs w:val="0"/>
                <w:i w:val="0"/>
                <w:iCs/>
              </w:rPr>
              <w:t>urposive sample</w:t>
            </w:r>
            <w:r>
              <w:rPr>
                <w:rFonts w:eastAsia="Calibri"/>
              </w:rPr>
              <w:t xml:space="preserve"> </w:t>
            </w:r>
            <w:r>
              <w:rPr>
                <w:b w:val="0"/>
                <w:bCs w:val="0"/>
                <w:i w:val="0"/>
                <w:iCs/>
              </w:rPr>
              <w:t>with s</w:t>
            </w:r>
            <w:r w:rsidRPr="005E2195" w:rsidR="00336747">
              <w:rPr>
                <w:b w:val="0"/>
                <w:bCs w:val="0"/>
                <w:i w:val="0"/>
                <w:iCs/>
              </w:rPr>
              <w:t xml:space="preserve">election of sites stratified based on census region, PHA size, and </w:t>
            </w:r>
            <w:r w:rsidR="008E35DD">
              <w:rPr>
                <w:b w:val="0"/>
                <w:bCs w:val="0"/>
                <w:i w:val="0"/>
                <w:iCs/>
              </w:rPr>
              <w:t>type of housing assistance (</w:t>
            </w:r>
            <w:r w:rsidRPr="005E2195" w:rsidR="00336747">
              <w:rPr>
                <w:b w:val="0"/>
                <w:bCs w:val="0"/>
                <w:i w:val="0"/>
                <w:iCs/>
              </w:rPr>
              <w:t>PBRA/PBV</w:t>
            </w:r>
            <w:r>
              <w:rPr>
                <w:b w:val="0"/>
                <w:bCs w:val="0"/>
                <w:i w:val="0"/>
                <w:iCs/>
              </w:rPr>
              <w:t>)</w:t>
            </w:r>
            <w:r w:rsidRPr="005E2195" w:rsidR="00336747">
              <w:rPr>
                <w:b w:val="0"/>
                <w:bCs w:val="0"/>
                <w:i w:val="0"/>
                <w:iCs/>
              </w:rPr>
              <w:t>.</w:t>
            </w:r>
          </w:p>
        </w:tc>
      </w:tr>
    </w:tbl>
    <w:p w:rsidR="00215BB1" w:rsidP="005E2195" w:rsidRDefault="00215BB1" w14:paraId="6F8B9CE6" w14:textId="77777777">
      <w:pPr>
        <w:pStyle w:val="H3PartB"/>
        <w:numPr>
          <w:ilvl w:val="0"/>
          <w:numId w:val="0"/>
        </w:numPr>
        <w:ind w:left="360" w:hanging="360"/>
      </w:pPr>
    </w:p>
    <w:p w:rsidR="007868F4" w:rsidP="00D717EF" w:rsidRDefault="007868F4" w14:paraId="2160F3F8" w14:textId="00575184">
      <w:pPr>
        <w:pStyle w:val="H3PartB"/>
        <w:keepNext w:val="0"/>
        <w:widowControl w:val="0"/>
        <w:ind w:left="720"/>
      </w:pPr>
      <w:r>
        <w:t>Estimation procedure</w:t>
      </w:r>
    </w:p>
    <w:p w:rsidRPr="00FF3D26" w:rsidR="00FF3D26" w:rsidP="0011598F" w:rsidRDefault="00FF3D26" w14:paraId="03FE87C9" w14:textId="5E2BFE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FF3D26">
        <w:rPr>
          <w:bCs/>
        </w:rPr>
        <w:t>The study team will clean data from the</w:t>
      </w:r>
      <w:r w:rsidR="00DB2587">
        <w:rPr>
          <w:bCs/>
        </w:rPr>
        <w:t xml:space="preserve"> census and the</w:t>
      </w:r>
      <w:r w:rsidRPr="00FF3D26">
        <w:rPr>
          <w:bCs/>
        </w:rPr>
        <w:t xml:space="preserve"> surveys and combine it with the cleaned administrative data collected to produce final working datasets. </w:t>
      </w:r>
      <w:r w:rsidR="00DB2587">
        <w:rPr>
          <w:bCs/>
        </w:rPr>
        <w:t xml:space="preserve">The PHA organization change study is solely qualitative and will not be included as a dataset. </w:t>
      </w:r>
      <w:r w:rsidRPr="00FF3D26">
        <w:rPr>
          <w:bCs/>
        </w:rPr>
        <w:t xml:space="preserve">For each of the survey datasets, we will determine whether the final data require weights based on the response rates by key respondent </w:t>
      </w:r>
      <w:r w:rsidRPr="00FF3D26">
        <w:rPr>
          <w:bCs/>
        </w:rPr>
        <w:lastRenderedPageBreak/>
        <w:t xml:space="preserve">characteristics identified in the stratification systems created for the different surveys or to adjust for non-response bias. The survey team will analyze survey data using STATA or other professional statistical software packages and produce tables categorizing survey respondents overall, by the stratification criteria, and by other characteristics, with a focus on addressing the relevant research questions. </w:t>
      </w:r>
    </w:p>
    <w:p w:rsidRPr="00FF3D26" w:rsidR="00FF3D26" w:rsidP="0011598F" w:rsidRDefault="00FF3D26" w14:paraId="56ABE7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rsidRPr="00FF3D26" w:rsidR="00FF3D26" w:rsidP="0011598F" w:rsidRDefault="00FF3D26" w14:paraId="1BD5B1DF" w14:textId="58DEC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FF3D26">
        <w:rPr>
          <w:bCs/>
        </w:rPr>
        <w:t xml:space="preserve">We will code responses to open-ended questions into categories in all three surveys for quantitative analysis; use open-ended responses in qualitative analysis; and may also quote significant or revealing responses, stripped of identifying information, in our reports. We may also use weights to correct for nonresponse bias, which will be determined by comparing responses across fielding stages and by stratification measures. We will analyze the comparison group of residents who have not taken up the choice mobility option for differences from </w:t>
      </w:r>
      <w:r w:rsidRPr="00FF3D26" w:rsidR="00CD7897">
        <w:rPr>
          <w:bCs/>
        </w:rPr>
        <w:t xml:space="preserve">choice mobility </w:t>
      </w:r>
      <w:r w:rsidRPr="00FF3D26">
        <w:rPr>
          <w:bCs/>
        </w:rPr>
        <w:t>users.</w:t>
      </w:r>
    </w:p>
    <w:p w:rsidRPr="00FF3D26" w:rsidR="00FF3D26" w:rsidP="0011598F" w:rsidRDefault="00FF3D26" w14:paraId="701568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rsidRPr="00FF3D26" w:rsidR="007868F4" w:rsidP="0011598F" w:rsidRDefault="00FF3D26" w14:paraId="1F7C3C19" w14:textId="004DD1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FF3D26">
        <w:rPr>
          <w:bCs/>
        </w:rPr>
        <w:t>We will include descriptive statistics for the quantitative variables from the surveys. We will conduct frequency (counts and percentages) and central tendency (median and average) analyses as well as t-tests or ANOVA to highlight significant differences for both one-way tabulations and crosstabulations. We will emphasize significant differences among the stratification measures and other available indicators identified in consultation with HUD and during data collection.</w:t>
      </w:r>
    </w:p>
    <w:p w:rsidR="007868F4" w:rsidP="00770366" w:rsidRDefault="007868F4" w14:paraId="1977B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321F" w:rsidP="00D717EF" w:rsidRDefault="002F321F" w14:paraId="123AB229" w14:textId="668CC375">
      <w:pPr>
        <w:pStyle w:val="H3PartB"/>
        <w:ind w:left="720"/>
      </w:pPr>
      <w:r>
        <w:t xml:space="preserve">The degree of accuracy needed for the purpose described in the justification. </w:t>
      </w:r>
    </w:p>
    <w:p w:rsidR="005B4384" w:rsidP="002F321F" w:rsidRDefault="005B4384" w14:paraId="6C7DD53B"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4384" w:rsidP="002F321F" w:rsidRDefault="005B4384" w14:paraId="326A3A96" w14:textId="1DE6D5A2">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4D56">
        <w:rPr>
          <w:b/>
          <w:i/>
          <w:iCs/>
        </w:rPr>
        <w:t>Census of RAD PHAs</w:t>
      </w:r>
    </w:p>
    <w:p w:rsidR="002F321F" w:rsidP="0011598F" w:rsidRDefault="005753BE" w14:paraId="413345C9" w14:textId="61080DC2">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By taking a census of all possible respondents, we will have enough sample for all of the statistical procedures or inferences we propose. </w:t>
      </w:r>
      <w:r w:rsidR="00091310">
        <w:t>If we achieve the response rates in Table 1, the data will be more than sufficiently accurate for our purposes. We will conduct tests for nonresponse bias in all cases and make any necessary adjustments.</w:t>
      </w:r>
    </w:p>
    <w:p w:rsidR="000261CF" w:rsidP="0011598F" w:rsidRDefault="000261CF" w14:paraId="12F32E20"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C1CCF" w:rsidP="0011598F" w:rsidRDefault="000261CF" w14:paraId="66B71561" w14:textId="02C8BBF9">
      <w:pPr>
        <w:jc w:val="both"/>
      </w:pPr>
      <w:r>
        <w:t>Questions 1 and 2 in Section 1 will be asked of all properties. Other property-level questions will be asked</w:t>
      </w:r>
      <w:r w:rsidR="00AC1CCF">
        <w:t xml:space="preserve"> for a maximum of 5 properties. Using</w:t>
      </w:r>
      <w:r>
        <w:t xml:space="preserve"> current administrative data</w:t>
      </w:r>
      <w:r w:rsidR="00CD7897">
        <w:t>,</w:t>
      </w:r>
      <w:r>
        <w:t xml:space="preserve"> we estimate that 87 percent of PHAs have five or fewer RAD properties, and 57 percent of all properties are in that group. </w:t>
      </w:r>
      <w:r w:rsidR="00AC1CCF">
        <w:t>Overall, 67 percent of all properties will be included in the sample. For property-level analysis we will calculate weights using the inverse probability of selection.</w:t>
      </w:r>
    </w:p>
    <w:p w:rsidR="00AC1CCF" w:rsidP="0011598F" w:rsidRDefault="00AC1CCF" w14:paraId="0333FF91" w14:textId="77777777">
      <w:pPr>
        <w:jc w:val="both"/>
      </w:pPr>
    </w:p>
    <w:p w:rsidR="000261CF" w:rsidP="0011598F" w:rsidRDefault="000261CF" w14:paraId="0B1A1390" w14:textId="1C013D4A">
      <w:pPr>
        <w:jc w:val="both"/>
      </w:pPr>
      <w:r>
        <w:t>Based on information collected from interviews with PHA staff and property owners, we anticipate few property</w:t>
      </w:r>
      <w:r w:rsidR="00AC1CCF">
        <w:t>-level differences in survey responses.</w:t>
      </w:r>
    </w:p>
    <w:p w:rsidR="005B4384" w:rsidP="002F321F" w:rsidRDefault="005B4384" w14:paraId="0EDF7564"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4384" w:rsidP="002F321F" w:rsidRDefault="005B4384" w14:paraId="4E99C022" w14:textId="7B6CC5F8">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4D56">
        <w:rPr>
          <w:b/>
          <w:bCs/>
          <w:i/>
          <w:iCs/>
        </w:rPr>
        <w:t>Survey of RAD non-PHA property owners</w:t>
      </w:r>
    </w:p>
    <w:p w:rsidR="00D92CD0" w:rsidP="0011598F" w:rsidRDefault="00D92CD0" w14:paraId="6B67C74C" w14:textId="0F186C72">
      <w:pPr>
        <w:jc w:val="both"/>
      </w:pPr>
      <w:r>
        <w:t>By taking a census of all possible respondents, we will have enough sample for all of the statistical procedures or inferences we propose.</w:t>
      </w:r>
      <w:r w:rsidRPr="00DF0348" w:rsidR="00DF0348">
        <w:t xml:space="preserve"> </w:t>
      </w:r>
      <w:r w:rsidR="00DF0348">
        <w:t>If we achieve the response rates in Table 1, the data will be more than sufficiently accurate for our purposes. We will conduct tests for nonresponse bias in all cases and make any necessary adjustments.</w:t>
      </w:r>
    </w:p>
    <w:p w:rsidR="00DF0348" w:rsidP="0011598F" w:rsidRDefault="00DF0348" w14:paraId="3704FC0D" w14:textId="77777777">
      <w:pPr>
        <w:jc w:val="both"/>
      </w:pPr>
    </w:p>
    <w:p w:rsidR="00DF0348" w:rsidP="0011598F" w:rsidRDefault="000261CF" w14:paraId="55463FC2" w14:textId="1F38D784">
      <w:pPr>
        <w:jc w:val="both"/>
      </w:pPr>
      <w:r>
        <w:t>For a description of property sampling procedures, see the Census of RAD PHAs.</w:t>
      </w:r>
    </w:p>
    <w:p w:rsidR="00D92CD0" w:rsidP="0034247D" w:rsidRDefault="00D92CD0" w14:paraId="3DBBD785" w14:textId="77777777"/>
    <w:p w:rsidRPr="0034247D" w:rsidR="00D92CD0" w:rsidP="0034247D" w:rsidRDefault="00D92CD0" w14:paraId="0755AD18" w14:textId="7500F125">
      <w:pPr>
        <w:rPr>
          <w:b/>
        </w:rPr>
      </w:pPr>
      <w:r w:rsidRPr="0034247D">
        <w:rPr>
          <w:b/>
          <w:i/>
          <w:iCs/>
        </w:rPr>
        <w:t>S</w:t>
      </w:r>
      <w:r w:rsidRPr="00D92CD0">
        <w:rPr>
          <w:b/>
          <w:bCs/>
          <w:i/>
          <w:iCs/>
        </w:rPr>
        <w:t>urvey of choice mobility residents</w:t>
      </w:r>
    </w:p>
    <w:p w:rsidR="00D92CD0" w:rsidP="00CD692B" w:rsidRDefault="00D92CD0" w14:paraId="717B35CE" w14:textId="13754551">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By taking a census of all possible respondents moving from PBRA developments and 90 percent of respondents moving from PBV developments, we will have enough sample for all of the statistical procedures or inferences we propose. If we achieve the response rates in Table 1, the data will be more than sufficiently accurate for our purposes. We will conduct tests for nonresponse bias in all cases and make any necessary adjustments.</w:t>
      </w:r>
    </w:p>
    <w:p w:rsidR="00D92CD0" w:rsidP="00A01997" w:rsidRDefault="00D92CD0" w14:paraId="40301CD7" w14:textId="77777777"/>
    <w:p w:rsidR="00D92CD0" w:rsidP="00A01997" w:rsidRDefault="00D92CD0" w14:paraId="10CF3C73" w14:textId="00C5C24E">
      <w:r w:rsidRPr="000F4D56">
        <w:rPr>
          <w:b/>
          <w:bCs/>
          <w:i/>
          <w:iCs/>
        </w:rPr>
        <w:t>Survey of non-choice mobility residents</w:t>
      </w:r>
    </w:p>
    <w:p w:rsidR="005B4384" w:rsidP="00CD692B" w:rsidRDefault="005B4384" w14:paraId="051BBD14" w14:textId="758CBCDA">
      <w:pPr>
        <w:jc w:val="both"/>
      </w:pPr>
      <w:r>
        <w:t xml:space="preserve">The sample will be sufficient to detect differences of 20 percent or more between residents of PBV and PBRA developments, assuming a </w:t>
      </w:r>
      <w:r w:rsidR="001431D0">
        <w:t xml:space="preserve">55 </w:t>
      </w:r>
      <w:r>
        <w:t>percent response rate and the more difficult scenario of a higher standard deviation.</w:t>
      </w:r>
    </w:p>
    <w:p w:rsidR="002F321F" w:rsidP="00CD692B" w:rsidRDefault="002F321F" w14:paraId="0BE29A48"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5B4384" w:rsidP="00CD692B" w:rsidRDefault="005B4384" w14:paraId="3B628E36" w14:textId="77777777">
      <w:pPr>
        <w:jc w:val="both"/>
      </w:pPr>
      <w:r>
        <w:t>Based on data from December 2019, we estimate that 67 percent of choice mobility-option-eligible residents who have not moved live in PBV properties and the remaining 33 percent live in PBRA properties. Based on responses to selected questions in a prior evaluation, such as awareness of the RAD program and satisfaction with PHA communication about RAD, we anticipate that in this survey, proportions (e.g., responses to yes/no questions) will have a typical standard deviation of 0.4 to 0.45. Aiming for an analysis power of 80 percent for comparisons between PBV and PBRA residents produces the following sample size calculations:</w:t>
      </w:r>
    </w:p>
    <w:p w:rsidR="005B4384" w:rsidP="00CD692B" w:rsidRDefault="005B4384" w14:paraId="4EF6776C" w14:textId="77777777">
      <w:pPr>
        <w:spacing w:before="120"/>
        <w:ind w:left="1080"/>
        <w:jc w:val="both"/>
      </w:pPr>
      <w:r>
        <w:t>Target sample size (completes) to identify significant differences of 20 percent or greater between PBV and PBRA developments converted under RAD:</w:t>
      </w:r>
    </w:p>
    <w:p w:rsidRPr="000F4D56" w:rsidR="005B4384" w:rsidP="00CD692B" w:rsidRDefault="005B4384" w14:paraId="605040DA" w14:textId="77777777">
      <w:pPr>
        <w:pStyle w:val="ListParagraph"/>
        <w:numPr>
          <w:ilvl w:val="0"/>
          <w:numId w:val="43"/>
        </w:numPr>
        <w:spacing w:before="120" w:line="276" w:lineRule="auto"/>
        <w:jc w:val="both"/>
        <w:rPr>
          <w:rFonts w:eastAsia="Calibri"/>
        </w:rPr>
      </w:pPr>
      <w:r>
        <w:t>225, assuming PBV is 2/3 of sample, standard deviation is .5, power of 0.8.</w:t>
      </w:r>
    </w:p>
    <w:p w:rsidRPr="000F4D56" w:rsidR="005B4384" w:rsidP="00CD692B" w:rsidRDefault="005B4384" w14:paraId="01D4C424" w14:textId="77777777">
      <w:pPr>
        <w:pStyle w:val="ListParagraph"/>
        <w:numPr>
          <w:ilvl w:val="0"/>
          <w:numId w:val="43"/>
        </w:numPr>
        <w:spacing w:before="120" w:line="276" w:lineRule="auto"/>
        <w:jc w:val="both"/>
        <w:rPr>
          <w:rFonts w:eastAsia="Calibri"/>
        </w:rPr>
      </w:pPr>
      <w:r>
        <w:t>144, assuming PBV is 2/3 of sample, standard deviation is .4, power of 0.8.</w:t>
      </w:r>
    </w:p>
    <w:p w:rsidRPr="002F321F" w:rsidR="005B4384" w:rsidP="002F321F" w:rsidRDefault="005B4384" w14:paraId="5706CFE6"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C2248" w:rsidP="00A01997" w:rsidRDefault="00D87295" w14:paraId="3C85E42C" w14:textId="1441F52F">
      <w:pPr>
        <w:pStyle w:val="H3PartB"/>
        <w:ind w:left="720"/>
      </w:pPr>
      <w:r w:rsidRPr="009C2248">
        <w:t>Any unusual problems requiring specialized sampling procedures</w:t>
      </w:r>
    </w:p>
    <w:p w:rsidRPr="00944C52" w:rsidR="00846C7C" w:rsidP="00846C7C" w:rsidRDefault="00846C7C" w14:paraId="4167C877" w14:textId="7C16F930">
      <w:r>
        <w:t xml:space="preserve">There are no unusual problems that require specialized sampling procedures. </w:t>
      </w:r>
    </w:p>
    <w:p w:rsidR="009C2248" w:rsidP="009C2248" w:rsidRDefault="009C2248" w14:paraId="41E27E8D"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944C52" w:rsidR="00944C52" w:rsidP="00A01997" w:rsidRDefault="00D87295" w14:paraId="61931384" w14:textId="3C3B6C50">
      <w:pPr>
        <w:pStyle w:val="H3PartB"/>
        <w:ind w:left="720"/>
      </w:pPr>
      <w:r w:rsidRPr="009C2248">
        <w:t>Use of periodic (</w:t>
      </w:r>
      <w:r w:rsidRPr="009C2248" w:rsidR="009C2248">
        <w:t xml:space="preserve">less frequent than annual) data collection cycles to reduce burden. </w:t>
      </w:r>
    </w:p>
    <w:p w:rsidR="009C2248" w:rsidP="009C2248" w:rsidRDefault="001903E1" w14:paraId="2710D528" w14:textId="59583F5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Each of the collections proposed is a one-time occurrence</w:t>
      </w:r>
      <w:r w:rsidR="00D47850">
        <w:t>,</w:t>
      </w:r>
      <w:r w:rsidR="00846C7C">
        <w:t xml:space="preserve"> thus a period cycle is unnecessary. </w:t>
      </w:r>
    </w:p>
    <w:p w:rsidR="00122CA6" w:rsidP="00122CA6" w:rsidRDefault="00122CA6" w14:paraId="45D3200B" w14:textId="77777777"/>
    <w:p w:rsidRPr="00EB1698" w:rsidR="007F4005" w:rsidP="00EB1698" w:rsidRDefault="007F4005" w14:paraId="6AFD7605" w14:textId="6EAB89D2">
      <w:pPr>
        <w:pStyle w:val="ListParagraph"/>
        <w:numPr>
          <w:ilvl w:val="0"/>
          <w:numId w:val="40"/>
        </w:numPr>
        <w:rPr>
          <w:b/>
          <w:bCs/>
        </w:rPr>
      </w:pPr>
      <w:r w:rsidRPr="00EB1698">
        <w:rPr>
          <w:b/>
          <w:bCs/>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w:t>
      </w:r>
      <w:r w:rsidRPr="00EB1698">
        <w:rPr>
          <w:b/>
          <w:bCs/>
          <w:szCs w:val="28"/>
        </w:rPr>
        <w:t>provided if they will not yield “reliable” data that can be generalized to the universe studied.</w:t>
      </w:r>
    </w:p>
    <w:p w:rsidRPr="00EB1698" w:rsidR="0048474C" w:rsidP="00EB1698" w:rsidRDefault="0048474C" w14:paraId="64B3A767" w14:textId="77777777">
      <w:pPr>
        <w:rPr>
          <w:b/>
          <w:bCs/>
        </w:rPr>
      </w:pPr>
    </w:p>
    <w:p w:rsidRPr="005B4384" w:rsidR="006B0A4A" w:rsidP="00A47B84" w:rsidRDefault="006B0A4A" w14:paraId="76B6D1F0" w14:textId="15534855">
      <w:pPr>
        <w:rPr>
          <w:rFonts w:ascii="Arial" w:hAnsi="Arial" w:eastAsiaTheme="minorHAnsi" w:cstheme="minorBidi"/>
          <w:b/>
          <w:bCs/>
          <w:color w:val="000075"/>
          <w:szCs w:val="18"/>
        </w:rPr>
      </w:pPr>
      <w:r w:rsidRPr="005B4384">
        <w:rPr>
          <w:i/>
          <w:iCs/>
        </w:rPr>
        <w:t>Census of RAD PHAs</w:t>
      </w:r>
      <w:r w:rsidRPr="005B4384" w:rsidDel="00EC49B4">
        <w:t xml:space="preserve"> </w:t>
      </w:r>
    </w:p>
    <w:p w:rsidR="006B0A4A" w:rsidP="006B0A4A" w:rsidRDefault="006B0A4A" w14:paraId="0869CA92" w14:textId="77777777">
      <w:pPr>
        <w:pStyle w:val="H3PartB"/>
        <w:numPr>
          <w:ilvl w:val="0"/>
          <w:numId w:val="37"/>
        </w:numPr>
        <w:rPr>
          <w:b w:val="0"/>
          <w:bCs w:val="0"/>
          <w:i w:val="0"/>
          <w:iCs/>
        </w:rPr>
      </w:pPr>
      <w:r>
        <w:rPr>
          <w:b w:val="0"/>
          <w:bCs w:val="0"/>
          <w:i w:val="0"/>
          <w:iCs/>
        </w:rPr>
        <w:t>S</w:t>
      </w:r>
      <w:r w:rsidRPr="00677859">
        <w:rPr>
          <w:b w:val="0"/>
          <w:bCs w:val="0"/>
          <w:i w:val="0"/>
          <w:iCs/>
        </w:rPr>
        <w:t>urvey invitation will be sent by U.S. Priority Mail on HUD letterhead, will include a URL for the online survey portal, and will explain the evaluation and stress the importance of the information being collected.</w:t>
      </w:r>
    </w:p>
    <w:p w:rsidR="006B0A4A" w:rsidP="006B0A4A" w:rsidRDefault="006B0A4A" w14:paraId="5D8CF145" w14:textId="77777777">
      <w:pPr>
        <w:pStyle w:val="H3PartB"/>
        <w:numPr>
          <w:ilvl w:val="0"/>
          <w:numId w:val="37"/>
        </w:numPr>
        <w:rPr>
          <w:b w:val="0"/>
          <w:bCs w:val="0"/>
          <w:i w:val="0"/>
          <w:iCs/>
        </w:rPr>
      </w:pPr>
      <w:r w:rsidRPr="0048652B">
        <w:rPr>
          <w:b w:val="0"/>
          <w:bCs w:val="0"/>
          <w:i w:val="0"/>
          <w:iCs/>
        </w:rPr>
        <w:t xml:space="preserve">Two email reminders will be sent at regular intervals: </w:t>
      </w:r>
    </w:p>
    <w:p w:rsidR="006B0A4A" w:rsidP="006B0A4A" w:rsidRDefault="006B0A4A" w14:paraId="0310C0AF" w14:textId="77777777">
      <w:pPr>
        <w:pStyle w:val="H3PartB"/>
        <w:numPr>
          <w:ilvl w:val="1"/>
          <w:numId w:val="37"/>
        </w:numPr>
        <w:rPr>
          <w:b w:val="0"/>
          <w:bCs w:val="0"/>
          <w:i w:val="0"/>
          <w:iCs/>
        </w:rPr>
      </w:pPr>
      <w:r w:rsidRPr="0048652B">
        <w:rPr>
          <w:b w:val="0"/>
          <w:bCs w:val="0"/>
          <w:i w:val="0"/>
          <w:iCs/>
        </w:rPr>
        <w:t xml:space="preserve">HUD </w:t>
      </w:r>
      <w:r>
        <w:rPr>
          <w:b w:val="0"/>
          <w:bCs w:val="0"/>
          <w:i w:val="0"/>
          <w:iCs/>
        </w:rPr>
        <w:t xml:space="preserve">will </w:t>
      </w:r>
      <w:r w:rsidRPr="0048652B">
        <w:rPr>
          <w:b w:val="0"/>
          <w:bCs w:val="0"/>
          <w:i w:val="0"/>
          <w:iCs/>
        </w:rPr>
        <w:t>send a reminder email to non-respondents</w:t>
      </w:r>
      <w:r>
        <w:rPr>
          <w:b w:val="0"/>
          <w:bCs w:val="0"/>
          <w:i w:val="0"/>
          <w:iCs/>
        </w:rPr>
        <w:t>.</w:t>
      </w:r>
    </w:p>
    <w:p w:rsidR="006B0A4A" w:rsidP="006B0A4A" w:rsidRDefault="006B0A4A" w14:paraId="34BC9A2B" w14:textId="77777777">
      <w:pPr>
        <w:pStyle w:val="H3PartB"/>
        <w:numPr>
          <w:ilvl w:val="1"/>
          <w:numId w:val="37"/>
        </w:numPr>
        <w:rPr>
          <w:b w:val="0"/>
          <w:bCs w:val="0"/>
          <w:i w:val="0"/>
          <w:iCs/>
        </w:rPr>
      </w:pPr>
      <w:r>
        <w:rPr>
          <w:b w:val="0"/>
          <w:bCs w:val="0"/>
          <w:i w:val="0"/>
          <w:iCs/>
        </w:rPr>
        <w:t xml:space="preserve">The research team </w:t>
      </w:r>
      <w:r w:rsidRPr="0048652B">
        <w:rPr>
          <w:b w:val="0"/>
          <w:bCs w:val="0"/>
          <w:i w:val="0"/>
          <w:iCs/>
        </w:rPr>
        <w:t xml:space="preserve">will send a reminder on HUD letterhead via First Class mail. </w:t>
      </w:r>
    </w:p>
    <w:p w:rsidR="006B0A4A" w:rsidP="006B0A4A" w:rsidRDefault="006B0A4A" w14:paraId="42733DFD" w14:textId="77777777">
      <w:pPr>
        <w:pStyle w:val="H3PartB"/>
        <w:numPr>
          <w:ilvl w:val="0"/>
          <w:numId w:val="37"/>
        </w:numPr>
        <w:rPr>
          <w:b w:val="0"/>
          <w:bCs w:val="0"/>
          <w:i w:val="0"/>
          <w:iCs/>
        </w:rPr>
      </w:pPr>
      <w:r w:rsidRPr="0048652B">
        <w:rPr>
          <w:b w:val="0"/>
          <w:bCs w:val="0"/>
          <w:i w:val="0"/>
          <w:iCs/>
        </w:rPr>
        <w:t xml:space="preserve">No incentive will be offered. </w:t>
      </w:r>
    </w:p>
    <w:p w:rsidR="006B0A4A" w:rsidP="006B0A4A" w:rsidRDefault="006B0A4A" w14:paraId="5A1DDFA3" w14:textId="77777777">
      <w:pPr>
        <w:pStyle w:val="H3PartB"/>
        <w:numPr>
          <w:ilvl w:val="0"/>
          <w:numId w:val="37"/>
        </w:numPr>
        <w:rPr>
          <w:b w:val="0"/>
          <w:bCs w:val="0"/>
          <w:i w:val="0"/>
          <w:iCs/>
        </w:rPr>
      </w:pPr>
      <w:r>
        <w:rPr>
          <w:b w:val="0"/>
          <w:bCs w:val="0"/>
          <w:i w:val="0"/>
          <w:iCs/>
        </w:rPr>
        <w:t>R</w:t>
      </w:r>
      <w:r w:rsidRPr="0048652B">
        <w:rPr>
          <w:b w:val="0"/>
          <w:bCs w:val="0"/>
          <w:i w:val="0"/>
          <w:iCs/>
        </w:rPr>
        <w:t xml:space="preserve">eminder emails will leverage behavioral science to encourage participation. For example, we will leverage social norms by highlighting the response rate, once it is </w:t>
      </w:r>
      <w:r w:rsidRPr="0048652B">
        <w:rPr>
          <w:b w:val="0"/>
          <w:bCs w:val="0"/>
          <w:i w:val="0"/>
          <w:iCs/>
        </w:rPr>
        <w:lastRenderedPageBreak/>
        <w:t>sufficiently high, and loss aversion through messaging about losing the opportunity to participate in the study.</w:t>
      </w:r>
    </w:p>
    <w:p w:rsidR="006B0A4A" w:rsidP="006B0A4A" w:rsidRDefault="006B0A4A" w14:paraId="3748F583" w14:textId="77777777">
      <w:pPr>
        <w:pStyle w:val="H3PartB"/>
        <w:numPr>
          <w:ilvl w:val="0"/>
          <w:numId w:val="37"/>
        </w:numPr>
        <w:rPr>
          <w:b w:val="0"/>
          <w:bCs w:val="0"/>
          <w:i w:val="0"/>
          <w:iCs/>
        </w:rPr>
      </w:pPr>
      <w:r w:rsidRPr="00C76D11">
        <w:rPr>
          <w:b w:val="0"/>
          <w:bCs w:val="0"/>
          <w:i w:val="0"/>
          <w:iCs/>
        </w:rPr>
        <w:t xml:space="preserve">After the final contact, a sample of 100 non-respondents will be selected for follow-up by phone, using the sampling frame of all eligible PHAs to identify strata with low responses, bolster the sample, and test for nonresponse bias. </w:t>
      </w:r>
    </w:p>
    <w:p w:rsidRPr="00AB25B4" w:rsidR="006B0A4A" w:rsidP="006B0A4A" w:rsidRDefault="006B0A4A" w14:paraId="2E10C173" w14:textId="353BFA04">
      <w:pPr>
        <w:pStyle w:val="H3PartB"/>
        <w:numPr>
          <w:ilvl w:val="0"/>
          <w:numId w:val="37"/>
        </w:numPr>
        <w:rPr>
          <w:b w:val="0"/>
          <w:bCs w:val="0"/>
          <w:i w:val="0"/>
        </w:rPr>
      </w:pPr>
      <w:r w:rsidRPr="00AB25B4">
        <w:rPr>
          <w:b w:val="0"/>
          <w:bCs w:val="0"/>
          <w:i w:val="0"/>
        </w:rPr>
        <w:t xml:space="preserve">Participating PHAs will be stratified by size; region; whether the conversions are family, senior, or both; Public Housing Assessment System (PHAS) scores; and other characteristics to confirm that completed surveys represent PHAs with converted RAD projects. If necessary, the stratification system will be used to target late-stage fielding efforts and in the design of weights. </w:t>
      </w:r>
    </w:p>
    <w:p w:rsidRPr="00440DFA" w:rsidR="006B0A4A" w:rsidP="00AB25B4" w:rsidRDefault="006B0A4A" w14:paraId="4D815106" w14:textId="77777777">
      <w:pPr>
        <w:pStyle w:val="H3PartB"/>
        <w:numPr>
          <w:ilvl w:val="0"/>
          <w:numId w:val="0"/>
        </w:numPr>
        <w:ind w:left="360" w:hanging="360"/>
        <w:rPr>
          <w:iCs/>
        </w:rPr>
      </w:pPr>
    </w:p>
    <w:p w:rsidRPr="00AB25B4" w:rsidR="006B0A4A" w:rsidP="00AB25B4" w:rsidRDefault="006B0A4A" w14:paraId="4930F843" w14:textId="21659B57">
      <w:pPr>
        <w:rPr>
          <w:i/>
          <w:iCs/>
        </w:rPr>
      </w:pPr>
      <w:r w:rsidRPr="00AB25B4">
        <w:rPr>
          <w:b/>
          <w:bCs/>
          <w:i/>
          <w:iCs/>
        </w:rPr>
        <w:t>Survey of RAD non-PHA property owners</w:t>
      </w:r>
    </w:p>
    <w:p w:rsidR="006B0A4A" w:rsidP="006B0A4A" w:rsidRDefault="006B0A4A" w14:paraId="1A2F9CFD" w14:textId="70F7D785">
      <w:pPr>
        <w:pStyle w:val="ListParagraph"/>
        <w:numPr>
          <w:ilvl w:val="0"/>
          <w:numId w:val="41"/>
        </w:numPr>
      </w:pPr>
      <w:r w:rsidRPr="006B0A4A">
        <w:t>Survey invitation will be sent by U.S. Priority Mail on HUD letterhead, will include a URL for the online survey portal, and will explain the evaluation and stress the importance of the information being collected.</w:t>
      </w:r>
    </w:p>
    <w:p w:rsidR="006B0A4A" w:rsidP="006B0A4A" w:rsidRDefault="006B0A4A" w14:paraId="6F14034C" w14:textId="79CBB62D">
      <w:pPr>
        <w:pStyle w:val="ListParagraph"/>
        <w:numPr>
          <w:ilvl w:val="0"/>
          <w:numId w:val="41"/>
        </w:numPr>
      </w:pPr>
      <w:r>
        <w:t xml:space="preserve">The rest of the survey process will be the same as described above for the census of PHAs. </w:t>
      </w:r>
    </w:p>
    <w:p w:rsidR="008A6EEF" w:rsidP="006B0A4A" w:rsidRDefault="008A6EEF" w14:paraId="5D26AF5A" w14:textId="77777777">
      <w:pPr>
        <w:rPr>
          <w:i/>
          <w:iCs/>
        </w:rPr>
      </w:pPr>
    </w:p>
    <w:p w:rsidR="006B0A4A" w:rsidP="006B0A4A" w:rsidRDefault="006B0A4A" w14:paraId="1718C83F" w14:textId="1D4AE457">
      <w:pPr>
        <w:rPr>
          <w:b/>
          <w:bCs/>
          <w:i/>
          <w:iCs/>
        </w:rPr>
      </w:pPr>
      <w:r>
        <w:rPr>
          <w:i/>
          <w:iCs/>
        </w:rPr>
        <w:t>S</w:t>
      </w:r>
      <w:r w:rsidRPr="005E2195">
        <w:rPr>
          <w:b/>
          <w:bCs/>
          <w:i/>
          <w:iCs/>
        </w:rPr>
        <w:t>urvey of choice mobility residents</w:t>
      </w:r>
    </w:p>
    <w:p w:rsidRPr="00321CF3" w:rsidR="006B0A4A" w:rsidP="006B0A4A" w:rsidRDefault="006B0A4A" w14:paraId="0E1CD034" w14:textId="77777777">
      <w:pPr>
        <w:pStyle w:val="ListBullet-SingleLine-Last"/>
        <w:spacing w:after="0"/>
      </w:pPr>
      <w:r w:rsidRPr="00321CF3">
        <w:t xml:space="preserve">For both choice and non-choice mobility populations, we will send residents a survey invitation with the URL for the online survey portal using U.S. Priority Mail. </w:t>
      </w:r>
    </w:p>
    <w:p w:rsidRPr="00BA1885" w:rsidR="006B0A4A" w:rsidP="006B0A4A" w:rsidRDefault="006B0A4A" w14:paraId="026C0DEC" w14:textId="77777777">
      <w:pPr>
        <w:pStyle w:val="ListBullet-SingleLine-Last"/>
        <w:spacing w:after="0"/>
      </w:pPr>
      <w:r w:rsidRPr="00321CF3">
        <w:t>The invitation will be in English and in Spanish, as needed, and will include a small pre-incentive of $5. Those who complete the survey will then receive a $45 incentive.</w:t>
      </w:r>
    </w:p>
    <w:p w:rsidR="00C737CD" w:rsidP="006B0A4A" w:rsidRDefault="006B0A4A" w14:paraId="35340DB7" w14:textId="036371B6">
      <w:pPr>
        <w:pStyle w:val="ListBullet-SingleLine-Last"/>
        <w:spacing w:after="0"/>
      </w:pPr>
      <w:r w:rsidRPr="00321CF3">
        <w:t xml:space="preserve">After two rounds of reminder postcards and a reminder packet including a copy of the survey and a postage-paid return envelope, we will select a sample of non-responders from the </w:t>
      </w:r>
      <w:r w:rsidR="00BA3D78">
        <w:t>choice</w:t>
      </w:r>
      <w:r w:rsidRPr="00321CF3" w:rsidR="00BA3D78">
        <w:t xml:space="preserve"> </w:t>
      </w:r>
      <w:r w:rsidRPr="00321CF3">
        <w:t>and non-</w:t>
      </w:r>
      <w:r w:rsidR="00BA3D78">
        <w:t>choice</w:t>
      </w:r>
      <w:r w:rsidRPr="00321CF3" w:rsidR="00BA3D78">
        <w:t xml:space="preserve"> </w:t>
      </w:r>
      <w:r w:rsidRPr="00321CF3">
        <w:t xml:space="preserve">samples combined to receive up to eight phone call attempts for each case. </w:t>
      </w:r>
    </w:p>
    <w:p w:rsidR="006B0A4A" w:rsidP="00AB25B4" w:rsidRDefault="006B0A4A" w14:paraId="4E4DE328" w14:textId="1FDB2556">
      <w:pPr>
        <w:pStyle w:val="ListBullet-SingleLine-Last"/>
        <w:spacing w:after="0"/>
      </w:pPr>
      <w:r w:rsidRPr="00321CF3">
        <w:t xml:space="preserve">These non-responders </w:t>
      </w:r>
      <w:r>
        <w:t>will</w:t>
      </w:r>
      <w:r w:rsidRPr="00321CF3">
        <w:t xml:space="preserve"> receive an additional $10 incentive. The mixed mode options for completion, plus the call-out component, will help maximize response.</w:t>
      </w:r>
    </w:p>
    <w:p w:rsidR="00CD692B" w:rsidP="00C737CD" w:rsidRDefault="00CD692B" w14:paraId="4503AEE6" w14:textId="77777777">
      <w:pPr>
        <w:rPr>
          <w:b/>
          <w:bCs/>
          <w:i/>
          <w:iCs/>
        </w:rPr>
      </w:pPr>
    </w:p>
    <w:p w:rsidRPr="00AB25B4" w:rsidR="00C737CD" w:rsidP="00C737CD" w:rsidRDefault="00C737CD" w14:paraId="196E0AED" w14:textId="50541703">
      <w:pPr>
        <w:rPr>
          <w:b/>
          <w:bCs/>
          <w:i/>
          <w:iCs/>
        </w:rPr>
      </w:pPr>
      <w:r w:rsidRPr="00AB25B4">
        <w:rPr>
          <w:b/>
          <w:bCs/>
          <w:i/>
          <w:iCs/>
        </w:rPr>
        <w:t>Survey of non-choice mobility residents</w:t>
      </w:r>
    </w:p>
    <w:p w:rsidR="00F47B87" w:rsidP="00CD692B" w:rsidRDefault="00C737CD" w14:paraId="04C3D46D" w14:textId="43C0A3AE">
      <w:pPr>
        <w:pStyle w:val="ListBullet-SingleLine-Last"/>
      </w:pPr>
      <w:r w:rsidRPr="00C737CD">
        <w:t xml:space="preserve">The process for outreach and maximizing response rates is the same as for the survey of choice mobility residents. </w:t>
      </w:r>
    </w:p>
    <w:p w:rsidR="00971133" w:rsidP="00CD692B" w:rsidRDefault="00A35260" w14:paraId="4AFB7FB7" w14:textId="4C1C9000">
      <w:pPr>
        <w:jc w:val="both"/>
      </w:pPr>
      <w:r>
        <w:t xml:space="preserve">For </w:t>
      </w:r>
      <w:r w:rsidR="00637B25">
        <w:t>both</w:t>
      </w:r>
      <w:r>
        <w:t xml:space="preserve"> resident surveys, w</w:t>
      </w:r>
      <w:r w:rsidR="00971133">
        <w:t xml:space="preserve">e will also include a call-in number to complete the survey. In the first mailing, we will give recipients the option of taking the web-based survey or calling into a toll-free number to have the survey administered by a live interviewer. If an interviewer is not available when they call in, they would be asked to leave a number for a call-back. The estimated increase to the overall response rate is 15 percent, for a total response rate of 45 percent. This would be consistent with </w:t>
      </w:r>
      <w:r w:rsidR="00BA3D78">
        <w:t xml:space="preserve">the research team </w:t>
      </w:r>
      <w:r w:rsidR="00971133">
        <w:t>experience with the call-in component of the first RAD evaluation, which achieved a response rate of around 50 percent. The resulting number of completed surveys are shown in</w:t>
      </w:r>
      <w:r w:rsidR="00405198">
        <w:t xml:space="preserve"> </w:t>
      </w:r>
      <w:r w:rsidR="00405198">
        <w:fldChar w:fldCharType="begin"/>
      </w:r>
      <w:r w:rsidR="00405198">
        <w:instrText xml:space="preserve"> REF _Ref57205106 \h </w:instrText>
      </w:r>
      <w:r w:rsidR="00405198">
        <w:fldChar w:fldCharType="separate"/>
      </w:r>
      <w:r w:rsidR="00405198">
        <w:t xml:space="preserve">Table </w:t>
      </w:r>
      <w:r w:rsidR="00405198">
        <w:rPr>
          <w:noProof/>
        </w:rPr>
        <w:t>3</w:t>
      </w:r>
      <w:r w:rsidR="00405198">
        <w:fldChar w:fldCharType="end"/>
      </w:r>
      <w:r w:rsidR="00971133">
        <w:t xml:space="preserve"> This number of completions would allow almost all planned analysis.</w:t>
      </w:r>
    </w:p>
    <w:p w:rsidR="00423CC6" w:rsidP="00CD692B" w:rsidRDefault="00423CC6" w14:paraId="42125904" w14:textId="77777777">
      <w:pPr>
        <w:jc w:val="both"/>
      </w:pPr>
    </w:p>
    <w:p w:rsidRPr="00592D5B" w:rsidR="00971133" w:rsidP="00CD692B" w:rsidRDefault="00971133" w14:paraId="2D5F6400" w14:textId="003EB48B">
      <w:pPr>
        <w:jc w:val="both"/>
      </w:pPr>
      <w:r>
        <w:t xml:space="preserve">Following </w:t>
      </w:r>
      <w:r w:rsidR="00AF5729">
        <w:t>all</w:t>
      </w:r>
      <w:r>
        <w:t xml:space="preserve"> reminders, we will analyze the population who have completed surveys and draw a sample of 200 households from under-represented strata as compared to the full universe of </w:t>
      </w:r>
      <w:r>
        <w:lastRenderedPageBreak/>
        <w:t>residents who have taken the choice mobility option. This sample will receive up to three follow-up phone calls and the offer of an additional $10 incentive to complete the survey either online or by returning a hardcopy through regular mail. The survey firm SSRS will use a national telephone number look-up service to supplement phone contact information in administrative data.</w:t>
      </w:r>
      <w:r w:rsidRPr="00592D5B">
        <w:t xml:space="preserve"> </w:t>
      </w:r>
      <w:r>
        <w:t>The total response rate following the call out effort is estimated to be 55 percent.</w:t>
      </w:r>
    </w:p>
    <w:p w:rsidR="00971133" w:rsidP="00971133" w:rsidRDefault="00971133" w14:paraId="3F8C29A5" w14:textId="77777777"/>
    <w:p w:rsidR="00971133" w:rsidP="00FD6EF2" w:rsidRDefault="00C25801" w14:paraId="7F266A04" w14:textId="1EC30110">
      <w:pPr>
        <w:pStyle w:val="TableCaption"/>
      </w:pPr>
      <w:bookmarkStart w:name="_Ref57205106" w:id="5"/>
      <w:r>
        <w:t xml:space="preserve">Table </w:t>
      </w:r>
      <w:r w:rsidR="002113F2">
        <w:fldChar w:fldCharType="begin"/>
      </w:r>
      <w:r w:rsidR="002113F2">
        <w:instrText xml:space="preserve"> SEQ Table \* ARABIC </w:instrText>
      </w:r>
      <w:r w:rsidR="002113F2">
        <w:fldChar w:fldCharType="separate"/>
      </w:r>
      <w:r w:rsidR="00405198">
        <w:rPr>
          <w:noProof/>
        </w:rPr>
        <w:t>3</w:t>
      </w:r>
      <w:r w:rsidR="002113F2">
        <w:rPr>
          <w:noProof/>
        </w:rPr>
        <w:fldChar w:fldCharType="end"/>
      </w:r>
      <w:bookmarkEnd w:id="5"/>
      <w:r w:rsidR="00FD6EF2">
        <w:t xml:space="preserve">. </w:t>
      </w:r>
      <w:r w:rsidRPr="003C086C" w:rsidR="00971133">
        <w:t xml:space="preserve">Resident Survey Fielding </w:t>
      </w:r>
    </w:p>
    <w:tbl>
      <w:tblPr>
        <w:tblStyle w:val="EconometricaTableStyle"/>
        <w:tblW w:w="0" w:type="auto"/>
        <w:tblLayout w:type="fixed"/>
        <w:tblLook w:val="04A0" w:firstRow="1" w:lastRow="0" w:firstColumn="1" w:lastColumn="0" w:noHBand="0" w:noVBand="1"/>
      </w:tblPr>
      <w:tblGrid>
        <w:gridCol w:w="3600"/>
        <w:gridCol w:w="1440"/>
        <w:gridCol w:w="1440"/>
        <w:gridCol w:w="1440"/>
        <w:gridCol w:w="1440"/>
      </w:tblGrid>
      <w:tr w:rsidRPr="00734FDF" w:rsidR="00971133" w:rsidTr="00E35213" w14:paraId="6C398317" w14:textId="77777777">
        <w:trPr>
          <w:cnfStyle w:val="100000000000" w:firstRow="1" w:lastRow="0" w:firstColumn="0" w:lastColumn="0" w:oddVBand="0" w:evenVBand="0" w:oddHBand="0" w:evenHBand="0" w:firstRowFirstColumn="0" w:firstRowLastColumn="0" w:lastRowFirstColumn="0" w:lastRowLastColumn="0"/>
        </w:trPr>
        <w:tc>
          <w:tcPr>
            <w:tcW w:w="3600" w:type="dxa"/>
          </w:tcPr>
          <w:p w:rsidRPr="00AD2047" w:rsidR="00971133" w:rsidP="00E35213" w:rsidRDefault="00971133" w14:paraId="7FBE1BCD" w14:textId="77777777">
            <w:pPr>
              <w:pStyle w:val="TableColumnHeading"/>
            </w:pPr>
            <w:r w:rsidRPr="00AD2047">
              <w:t>Proposed Survey</w:t>
            </w:r>
          </w:p>
        </w:tc>
        <w:tc>
          <w:tcPr>
            <w:tcW w:w="1440" w:type="dxa"/>
          </w:tcPr>
          <w:p w:rsidRPr="00AD2047" w:rsidR="00971133" w:rsidP="00E35213" w:rsidRDefault="00971133" w14:paraId="3B3D8D85" w14:textId="77777777">
            <w:pPr>
              <w:pStyle w:val="TableColumnHeading"/>
            </w:pPr>
            <w:r w:rsidRPr="00AD2047">
              <w:t>Universe</w:t>
            </w:r>
          </w:p>
        </w:tc>
        <w:tc>
          <w:tcPr>
            <w:tcW w:w="1440" w:type="dxa"/>
          </w:tcPr>
          <w:p w:rsidRPr="00AD2047" w:rsidR="00971133" w:rsidP="00E35213" w:rsidRDefault="00971133" w14:paraId="436AFF82" w14:textId="77777777">
            <w:pPr>
              <w:pStyle w:val="TableColumnHeading"/>
            </w:pPr>
            <w:r w:rsidRPr="00AD2047">
              <w:t>Sample</w:t>
            </w:r>
          </w:p>
        </w:tc>
        <w:tc>
          <w:tcPr>
            <w:tcW w:w="1440" w:type="dxa"/>
          </w:tcPr>
          <w:p w:rsidRPr="00AD2047" w:rsidR="00971133" w:rsidP="00E35213" w:rsidRDefault="00971133" w14:paraId="7AD8F00C" w14:textId="77777777">
            <w:pPr>
              <w:pStyle w:val="TableColumnHeading"/>
            </w:pPr>
            <w:r w:rsidRPr="00AD2047">
              <w:t>Target Completes</w:t>
            </w:r>
          </w:p>
        </w:tc>
        <w:tc>
          <w:tcPr>
            <w:tcW w:w="1440" w:type="dxa"/>
          </w:tcPr>
          <w:p w:rsidRPr="00AD2047" w:rsidR="00971133" w:rsidP="00E35213" w:rsidRDefault="00971133" w14:paraId="6F7DE3AF" w14:textId="38C0F1C1">
            <w:pPr>
              <w:pStyle w:val="TableColumnHeading"/>
            </w:pPr>
            <w:r w:rsidRPr="00AD2047">
              <w:t>Response Rate (</w:t>
            </w:r>
            <w:r>
              <w:t>M</w:t>
            </w:r>
            <w:r w:rsidRPr="00AD2047">
              <w:t>inimum</w:t>
            </w:r>
            <w:r w:rsidR="00BA3D78">
              <w:t>-Maximum</w:t>
            </w:r>
            <w:r w:rsidRPr="00AD2047">
              <w:t>)</w:t>
            </w:r>
          </w:p>
        </w:tc>
      </w:tr>
      <w:tr w:rsidRPr="00734FDF" w:rsidR="00971133" w:rsidTr="00E35213" w14:paraId="26CF323F" w14:textId="77777777">
        <w:trPr>
          <w:cnfStyle w:val="000000100000" w:firstRow="0" w:lastRow="0" w:firstColumn="0" w:lastColumn="0" w:oddVBand="0" w:evenVBand="0" w:oddHBand="1" w:evenHBand="0" w:firstRowFirstColumn="0" w:firstRowLastColumn="0" w:lastRowFirstColumn="0" w:lastRowLastColumn="0"/>
          <w:trHeight w:val="333"/>
        </w:trPr>
        <w:tc>
          <w:tcPr>
            <w:tcW w:w="3600" w:type="dxa"/>
          </w:tcPr>
          <w:p w:rsidR="00971133" w:rsidP="00E35213" w:rsidRDefault="00BA3D78" w14:paraId="1F57B62F" w14:textId="7ECD28DD">
            <w:pPr>
              <w:pStyle w:val="TableCellGeneralText"/>
            </w:pPr>
            <w:r>
              <w:t xml:space="preserve">Choice mobility residents who moved from RAD </w:t>
            </w:r>
            <w:r w:rsidR="00971133">
              <w:t xml:space="preserve">PBRA </w:t>
            </w:r>
            <w:r>
              <w:t>properties</w:t>
            </w:r>
          </w:p>
        </w:tc>
        <w:tc>
          <w:tcPr>
            <w:tcW w:w="1440" w:type="dxa"/>
          </w:tcPr>
          <w:p w:rsidRPr="00A87531" w:rsidR="00971133" w:rsidP="00E35213" w:rsidRDefault="00971133" w14:paraId="02F4F0DC" w14:textId="77777777">
            <w:pPr>
              <w:pStyle w:val="TableCellNumbers"/>
            </w:pPr>
            <w:r>
              <w:t>250</w:t>
            </w:r>
          </w:p>
        </w:tc>
        <w:tc>
          <w:tcPr>
            <w:tcW w:w="1440" w:type="dxa"/>
          </w:tcPr>
          <w:p w:rsidR="00971133" w:rsidP="00E35213" w:rsidRDefault="00971133" w14:paraId="09C8DBDA" w14:textId="77777777">
            <w:pPr>
              <w:pStyle w:val="TableCellNumbers"/>
            </w:pPr>
            <w:r>
              <w:t>250</w:t>
            </w:r>
          </w:p>
        </w:tc>
        <w:tc>
          <w:tcPr>
            <w:tcW w:w="1440" w:type="dxa"/>
          </w:tcPr>
          <w:p w:rsidR="00971133" w:rsidP="00E35213" w:rsidRDefault="00971133" w14:paraId="79A6E8F3" w14:textId="77777777">
            <w:pPr>
              <w:pStyle w:val="TableCellNumbers"/>
            </w:pPr>
            <w:r>
              <w:t>125–175</w:t>
            </w:r>
          </w:p>
        </w:tc>
        <w:tc>
          <w:tcPr>
            <w:tcW w:w="1440" w:type="dxa"/>
          </w:tcPr>
          <w:p w:rsidRPr="00A87531" w:rsidR="00971133" w:rsidP="00E35213" w:rsidRDefault="00971133" w14:paraId="1343B04D" w14:textId="77777777">
            <w:pPr>
              <w:pStyle w:val="TableCellNumbers"/>
            </w:pPr>
            <w:r>
              <w:t>50–70%</w:t>
            </w:r>
          </w:p>
        </w:tc>
      </w:tr>
      <w:tr w:rsidRPr="00734FDF" w:rsidR="00971133" w:rsidTr="00E35213" w14:paraId="427DAC75" w14:textId="77777777">
        <w:tc>
          <w:tcPr>
            <w:tcW w:w="3600" w:type="dxa"/>
          </w:tcPr>
          <w:p w:rsidR="00971133" w:rsidP="00E35213" w:rsidRDefault="00BA3D78" w14:paraId="75C75E2B" w14:textId="1FA59076">
            <w:pPr>
              <w:pStyle w:val="TableCellGeneralText"/>
            </w:pPr>
            <w:r>
              <w:t xml:space="preserve">Choice mobility residents who moved from RAD </w:t>
            </w:r>
            <w:r w:rsidR="00971133">
              <w:t xml:space="preserve">PBV </w:t>
            </w:r>
            <w:r>
              <w:t>properties</w:t>
            </w:r>
          </w:p>
        </w:tc>
        <w:tc>
          <w:tcPr>
            <w:tcW w:w="1440" w:type="dxa"/>
          </w:tcPr>
          <w:p w:rsidRPr="00A87531" w:rsidR="00971133" w:rsidP="00E35213" w:rsidRDefault="00971133" w14:paraId="7C749C2A" w14:textId="77777777">
            <w:pPr>
              <w:pStyle w:val="TableCellNumbers"/>
            </w:pPr>
            <w:r>
              <w:t>1,050</w:t>
            </w:r>
          </w:p>
        </w:tc>
        <w:tc>
          <w:tcPr>
            <w:tcW w:w="1440" w:type="dxa"/>
          </w:tcPr>
          <w:p w:rsidR="00971133" w:rsidP="00E35213" w:rsidRDefault="00971133" w14:paraId="209803E7" w14:textId="77777777">
            <w:pPr>
              <w:pStyle w:val="TableCellNumbers"/>
            </w:pPr>
            <w:r>
              <w:t>930</w:t>
            </w:r>
          </w:p>
        </w:tc>
        <w:tc>
          <w:tcPr>
            <w:tcW w:w="1440" w:type="dxa"/>
          </w:tcPr>
          <w:p w:rsidR="00971133" w:rsidP="00E35213" w:rsidRDefault="00971133" w14:paraId="02DA6626" w14:textId="77777777">
            <w:pPr>
              <w:pStyle w:val="TableCellNumbers"/>
            </w:pPr>
            <w:r>
              <w:t>465–651</w:t>
            </w:r>
          </w:p>
        </w:tc>
        <w:tc>
          <w:tcPr>
            <w:tcW w:w="1440" w:type="dxa"/>
          </w:tcPr>
          <w:p w:rsidRPr="00A87531" w:rsidR="00971133" w:rsidP="00E35213" w:rsidRDefault="00971133" w14:paraId="0F8D803F" w14:textId="77777777">
            <w:pPr>
              <w:pStyle w:val="TableCellNumbers"/>
            </w:pPr>
            <w:r>
              <w:t>50–70%</w:t>
            </w:r>
          </w:p>
        </w:tc>
      </w:tr>
      <w:tr w:rsidRPr="00734FDF" w:rsidR="00971133" w:rsidTr="00E35213" w14:paraId="7F57F248" w14:textId="77777777">
        <w:trPr>
          <w:cnfStyle w:val="000000100000" w:firstRow="0" w:lastRow="0" w:firstColumn="0" w:lastColumn="0" w:oddVBand="0" w:evenVBand="0" w:oddHBand="1" w:evenHBand="0" w:firstRowFirstColumn="0" w:firstRowLastColumn="0" w:lastRowFirstColumn="0" w:lastRowLastColumn="0"/>
        </w:trPr>
        <w:tc>
          <w:tcPr>
            <w:tcW w:w="3600" w:type="dxa"/>
          </w:tcPr>
          <w:p w:rsidR="00971133" w:rsidP="00E35213" w:rsidRDefault="00BA3D78" w14:paraId="6A4DDE7E" w14:textId="7E36D208">
            <w:pPr>
              <w:pStyle w:val="TableCellGeneralText"/>
            </w:pPr>
            <w:r>
              <w:t xml:space="preserve">Non-choice mobility </w:t>
            </w:r>
            <w:r w:rsidR="00971133">
              <w:t>residents remaining in RAD propert</w:t>
            </w:r>
            <w:r>
              <w:t>ies</w:t>
            </w:r>
          </w:p>
        </w:tc>
        <w:tc>
          <w:tcPr>
            <w:tcW w:w="1440" w:type="dxa"/>
          </w:tcPr>
          <w:p w:rsidRPr="00A87531" w:rsidR="00971133" w:rsidP="00E35213" w:rsidRDefault="00971133" w14:paraId="485D6762" w14:textId="77777777">
            <w:pPr>
              <w:pStyle w:val="TableCellNumbers"/>
            </w:pPr>
            <w:r>
              <w:t>~100,000</w:t>
            </w:r>
          </w:p>
        </w:tc>
        <w:tc>
          <w:tcPr>
            <w:tcW w:w="1440" w:type="dxa"/>
          </w:tcPr>
          <w:p w:rsidR="00971133" w:rsidP="00E35213" w:rsidRDefault="00971133" w14:paraId="4253EBC0" w14:textId="77777777">
            <w:pPr>
              <w:pStyle w:val="TableCellNumbers"/>
            </w:pPr>
            <w:r>
              <w:t>420</w:t>
            </w:r>
          </w:p>
        </w:tc>
        <w:tc>
          <w:tcPr>
            <w:tcW w:w="1440" w:type="dxa"/>
          </w:tcPr>
          <w:p w:rsidR="00971133" w:rsidP="00E35213" w:rsidRDefault="00971133" w14:paraId="2887F3BA" w14:textId="77777777">
            <w:pPr>
              <w:pStyle w:val="TableCellNumbers"/>
            </w:pPr>
            <w:r>
              <w:t>210-300</w:t>
            </w:r>
          </w:p>
        </w:tc>
        <w:tc>
          <w:tcPr>
            <w:tcW w:w="1440" w:type="dxa"/>
          </w:tcPr>
          <w:p w:rsidRPr="00A87531" w:rsidR="00971133" w:rsidP="00E35213" w:rsidRDefault="00971133" w14:paraId="029DEB49" w14:textId="77777777">
            <w:pPr>
              <w:pStyle w:val="TableCellNumbers"/>
            </w:pPr>
            <w:r>
              <w:t>50-70%</w:t>
            </w:r>
          </w:p>
        </w:tc>
      </w:tr>
    </w:tbl>
    <w:p w:rsidR="00A35260" w:rsidP="00971133" w:rsidRDefault="00A35260" w14:paraId="368B94D8" w14:textId="77777777"/>
    <w:p w:rsidR="00971133" w:rsidP="00CD692B" w:rsidRDefault="00971133" w14:paraId="6BF6BF26" w14:textId="14747E98">
      <w:pPr>
        <w:jc w:val="both"/>
      </w:pPr>
      <w:r>
        <w:t>We will address non-response bias through comparison of known characteristics of respondents to non-respondents and an analysis of the non-response sample at the end of fielding. We calculate that our non-response sample of 200, resulting in at least 100 completes, will identify statistically significant bias at a small effect size (i.e., 10 to 20 percent).</w:t>
      </w:r>
    </w:p>
    <w:p w:rsidR="00971133" w:rsidP="00770366" w:rsidRDefault="00971133" w14:paraId="6ADE9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P="004C36D4" w:rsidRDefault="007F4005" w14:paraId="67B9164A" w14:textId="3065B575">
      <w:pPr>
        <w:pStyle w:val="H2PartB"/>
        <w:numPr>
          <w:ilvl w:val="0"/>
          <w:numId w:val="40"/>
        </w:numPr>
      </w:pPr>
      <w:r w:rsidRPr="0082666B">
        <w:t>Describe any tests of procedures or methods to be undertaken. Tests are encouraged as effective means to refine collections, but if ten or more test respondents are involved OMB must give prior approval.</w:t>
      </w:r>
    </w:p>
    <w:p w:rsidR="00A64055" w:rsidP="00A64055" w:rsidRDefault="00A64055" w14:paraId="48EF1B1A" w14:textId="4D2A4EF6"/>
    <w:p w:rsidRPr="007D7DA6" w:rsidR="00A64055" w:rsidP="007D7DA6" w:rsidRDefault="00A64055" w14:paraId="6B24033D" w14:textId="6CB05E3D">
      <w:pPr>
        <w:rPr>
          <w:i/>
        </w:rPr>
      </w:pPr>
      <w:r w:rsidRPr="007D7DA6">
        <w:rPr>
          <w:b/>
          <w:bCs/>
          <w:i/>
          <w:iCs/>
        </w:rPr>
        <w:t>PHA Census, RAD non-PHA Owners Survey, and both Resident Surveys</w:t>
      </w:r>
    </w:p>
    <w:p w:rsidR="00737AFF" w:rsidP="00CD692B" w:rsidRDefault="00A64055" w14:paraId="771F5EEF" w14:textId="46009AFD">
      <w:pPr>
        <w:jc w:val="both"/>
      </w:pPr>
      <w:r>
        <w:t>W</w:t>
      </w:r>
      <w:r w:rsidR="00737AFF">
        <w:t>e will analyze the results through descriptive statistics, using frequency counts and percentage distributions. We will also test results on key questions using t-tests or ANOVA to highlight significant differences, both for one-way tabulations and cross tabulations for comparisons of interest. For implementation, property outcomes, and impacts on the voucher program, the primary unit of analysis will be PHA and PBV/PBRA</w:t>
      </w:r>
      <w:r w:rsidR="006E0799">
        <w:t xml:space="preserve"> projects</w:t>
      </w:r>
      <w:r w:rsidR="00737AFF">
        <w:t xml:space="preserve">. For tenant outcomes, the unit of analysis will be residents, although some analysis will be reported at the PHA level. </w:t>
      </w:r>
    </w:p>
    <w:p w:rsidR="00825AF7" w:rsidP="00CD692B" w:rsidRDefault="00825AF7" w14:paraId="1407989F" w14:textId="77777777">
      <w:pPr>
        <w:jc w:val="both"/>
      </w:pPr>
    </w:p>
    <w:p w:rsidR="00825AF7" w:rsidP="00CD692B" w:rsidRDefault="00825AF7" w14:paraId="0276BC52" w14:textId="3E6FE6CA">
      <w:pPr>
        <w:jc w:val="both"/>
      </w:pPr>
      <w:r>
        <w:t xml:space="preserve">Surveys from respondents who completed the survey in the non-response effort at the end of fielding will be analyzed in comparison to all other completed surveys to test for non-response bias. Non-response sample sizes will be sufficient to detect </w:t>
      </w:r>
      <w:r w:rsidR="005C7437">
        <w:t>significant differences of 20 percent or more.</w:t>
      </w:r>
    </w:p>
    <w:p w:rsidR="00176C53" w:rsidP="00CD692B" w:rsidRDefault="00176C53" w14:paraId="7C242B5E" w14:textId="77777777">
      <w:pPr>
        <w:jc w:val="both"/>
      </w:pPr>
    </w:p>
    <w:p w:rsidR="00176C53" w:rsidP="00CD692B" w:rsidRDefault="00176C53" w14:paraId="12A0A1DF" w14:textId="376EB111">
      <w:pPr>
        <w:jc w:val="both"/>
      </w:pPr>
      <w:r>
        <w:t>Weights may be used to correct samples that are not representative according to the sampling frame constructed prior to surveying. Unscaled weights will be capped at 2.5. We do not intend to construct weights to correct for non-response bias.</w:t>
      </w:r>
    </w:p>
    <w:p w:rsidR="00C01C17" w:rsidP="00CD692B" w:rsidRDefault="00C01C17" w14:paraId="03B1E326" w14:textId="5A63ED5D">
      <w:pPr>
        <w:jc w:val="both"/>
      </w:pPr>
    </w:p>
    <w:p w:rsidR="0060238C" w:rsidP="00CD692B" w:rsidRDefault="009F273F" w14:paraId="35986731" w14:textId="2A646F27">
      <w:pPr>
        <w:jc w:val="both"/>
      </w:pPr>
      <w:r>
        <w:lastRenderedPageBreak/>
        <w:t>W</w:t>
      </w:r>
      <w:r w:rsidRPr="00CD7531" w:rsidR="0060238C">
        <w:t>e will use the census of converted RAD projects to define the non-RAD multifamily housing and public housing project</w:t>
      </w:r>
      <w:r w:rsidR="0060238C">
        <w:t xml:space="preserve"> sample</w:t>
      </w:r>
      <w:r w:rsidRPr="00CD7531" w:rsidR="0060238C">
        <w:t xml:space="preserve">s. The non-RAD samples will be equal in size and matched to the RAD </w:t>
      </w:r>
      <w:r w:rsidR="0060238C">
        <w:t>census groups</w:t>
      </w:r>
      <w:r w:rsidRPr="00CD7531" w:rsidR="0060238C">
        <w:t xml:space="preserve"> using genetic matching. This technique provides a quasi-experimental approach that mitigates selection bias </w:t>
      </w:r>
      <w:r w:rsidR="0060238C">
        <w:t xml:space="preserve">generated </w:t>
      </w:r>
      <w:r w:rsidRPr="00CD7531" w:rsidR="0060238C">
        <w:t>because RAD participation is voluntary.</w:t>
      </w:r>
      <w:r w:rsidR="0060238C">
        <w:t xml:space="preserve"> </w:t>
      </w:r>
      <w:r w:rsidRPr="00E91FC8" w:rsidR="0060238C">
        <w:t>We expect the sample sizes to be large enough to conduct appropriate statistical tests for the calculated financial performance indicators between the comparison groups, such as comparisons of means tests or ANOVA.</w:t>
      </w:r>
      <w:r w:rsidR="0060238C">
        <w:t xml:space="preserve"> To be effective, genetic matching should incorporate all covariates of RAD participation and project selection; otherwise, the control group could differ from the treatment group in an unspecified way. In addition to analyzing matched samples, therefore, we will also </w:t>
      </w:r>
      <w:r w:rsidRPr="00251208" w:rsidR="0060238C">
        <w:t>use linear regression analysis</w:t>
      </w:r>
      <w:r w:rsidR="0060238C">
        <w:t xml:space="preserve"> to </w:t>
      </w:r>
      <w:r w:rsidRPr="00251208" w:rsidR="0060238C">
        <w:t>explore statistically significant relationships between project and neighborhood characteristics and financial performance, using dummy variables to indicate program (e.g., RAD vs. public housing).</w:t>
      </w:r>
      <w:r w:rsidR="0060238C">
        <w:t xml:space="preserve"> In addition, we will perform sensitivity testing by analyzing trends in the selected outcome measures before RAD participation with another year of data and will consider incorporating the Heckman correction into the regression model.</w:t>
      </w:r>
    </w:p>
    <w:p w:rsidRPr="00CD7531" w:rsidR="00C745BA" w:rsidP="00CD692B" w:rsidRDefault="00C745BA" w14:paraId="71E5A7EC" w14:textId="77777777">
      <w:pPr>
        <w:jc w:val="both"/>
      </w:pPr>
    </w:p>
    <w:p w:rsidR="0060238C" w:rsidP="00CD692B" w:rsidRDefault="0060238C" w14:paraId="32BBA149" w14:textId="18F09170">
      <w:pPr>
        <w:jc w:val="both"/>
      </w:pPr>
      <w:r w:rsidRPr="00CD7531">
        <w:t>As shown in</w:t>
      </w:r>
      <w:r w:rsidR="003656F1">
        <w:t xml:space="preserve"> </w:t>
      </w:r>
      <w:r w:rsidR="003656F1">
        <w:fldChar w:fldCharType="begin"/>
      </w:r>
      <w:r w:rsidR="003656F1">
        <w:instrText xml:space="preserve"> REF _Ref59101421 \h </w:instrText>
      </w:r>
      <w:r w:rsidR="003656F1">
        <w:fldChar w:fldCharType="separate"/>
      </w:r>
      <w:r w:rsidR="003656F1">
        <w:t xml:space="preserve">Table </w:t>
      </w:r>
      <w:r w:rsidR="003656F1">
        <w:rPr>
          <w:noProof/>
        </w:rPr>
        <w:t>4</w:t>
      </w:r>
      <w:r w:rsidR="003656F1">
        <w:fldChar w:fldCharType="end"/>
      </w:r>
      <w:r w:rsidRPr="00CD7531">
        <w:t xml:space="preserve">, the population of public housing </w:t>
      </w:r>
      <w:r>
        <w:t xml:space="preserve">projects is large enough to match against the combined populations of RAD PBRA and PBV projects, the population of </w:t>
      </w:r>
      <w:r w:rsidRPr="00CD7531">
        <w:t>non-RAD PB</w:t>
      </w:r>
      <w:r>
        <w:t>RA</w:t>
      </w:r>
      <w:r w:rsidRPr="00CD7531">
        <w:t xml:space="preserve"> projects is large enough to match </w:t>
      </w:r>
      <w:r>
        <w:t xml:space="preserve">against the population of </w:t>
      </w:r>
      <w:r w:rsidRPr="00CD7531">
        <w:t>RAD PBRA projects</w:t>
      </w:r>
      <w:r>
        <w:t>,</w:t>
      </w:r>
      <w:r w:rsidRPr="00CD7531">
        <w:t xml:space="preserve"> and </w:t>
      </w:r>
      <w:r>
        <w:t xml:space="preserve">the population of non-RAD PBV projects is large enough to match against the population of </w:t>
      </w:r>
      <w:r w:rsidRPr="00CD7531">
        <w:t xml:space="preserve">RAD </w:t>
      </w:r>
      <w:r>
        <w:t xml:space="preserve">PBV </w:t>
      </w:r>
      <w:r w:rsidRPr="00CD7531">
        <w:t>projects.</w:t>
      </w:r>
    </w:p>
    <w:p w:rsidRPr="00CD7531" w:rsidR="00FB5ADE" w:rsidP="0060238C" w:rsidRDefault="00FB5ADE" w14:paraId="387992DB" w14:textId="77777777"/>
    <w:p w:rsidR="0060238C" w:rsidP="0060238C" w:rsidRDefault="0060238C" w14:paraId="6327493B" w14:textId="7FE0CA8F">
      <w:pPr>
        <w:pStyle w:val="TableCaption"/>
      </w:pPr>
      <w:bookmarkStart w:name="_Ref59101421" w:id="6"/>
      <w:r>
        <w:t xml:space="preserve">Table </w:t>
      </w:r>
      <w:r>
        <w:rPr>
          <w:noProof/>
        </w:rPr>
        <w:fldChar w:fldCharType="begin"/>
      </w:r>
      <w:r>
        <w:rPr>
          <w:noProof/>
        </w:rPr>
        <w:instrText xml:space="preserve"> SEQ Table \* ARABIC </w:instrText>
      </w:r>
      <w:r>
        <w:rPr>
          <w:noProof/>
        </w:rPr>
        <w:fldChar w:fldCharType="separate"/>
      </w:r>
      <w:r w:rsidR="003656F1">
        <w:rPr>
          <w:noProof/>
        </w:rPr>
        <w:t>4</w:t>
      </w:r>
      <w:r>
        <w:rPr>
          <w:noProof/>
        </w:rPr>
        <w:fldChar w:fldCharType="end"/>
      </w:r>
      <w:bookmarkEnd w:id="6"/>
      <w:r>
        <w:t>.</w:t>
      </w:r>
      <w:r>
        <w:tab/>
      </w:r>
      <w:r w:rsidRPr="00EF0327">
        <w:t>Projects and Units in Select HUD Affordable Rental Housing Programs</w:t>
      </w:r>
    </w:p>
    <w:tbl>
      <w:tblPr>
        <w:tblStyle w:val="EconometricaTableStyle"/>
        <w:tblW w:w="0" w:type="auto"/>
        <w:tblLayout w:type="fixed"/>
        <w:tblLook w:val="04A0" w:firstRow="1" w:lastRow="0" w:firstColumn="1" w:lastColumn="0" w:noHBand="0" w:noVBand="1"/>
      </w:tblPr>
      <w:tblGrid>
        <w:gridCol w:w="5040"/>
        <w:gridCol w:w="2160"/>
        <w:gridCol w:w="2160"/>
      </w:tblGrid>
      <w:tr w:rsidRPr="00CD7531" w:rsidR="0060238C" w:rsidTr="00E42AF5" w14:paraId="40565CD9" w14:textId="77777777">
        <w:trPr>
          <w:cnfStyle w:val="100000000000" w:firstRow="1" w:lastRow="0" w:firstColumn="0" w:lastColumn="0" w:oddVBand="0" w:evenVBand="0" w:oddHBand="0" w:evenHBand="0" w:firstRowFirstColumn="0" w:firstRowLastColumn="0" w:lastRowFirstColumn="0" w:lastRowLastColumn="0"/>
          <w:trHeight w:val="20"/>
        </w:trPr>
        <w:tc>
          <w:tcPr>
            <w:tcW w:w="5040" w:type="dxa"/>
            <w:noWrap/>
            <w:hideMark/>
          </w:tcPr>
          <w:p w:rsidRPr="00CD7531" w:rsidR="0060238C" w:rsidP="00E42AF5" w:rsidRDefault="0060238C" w14:paraId="753142DC" w14:textId="77777777">
            <w:pPr>
              <w:pStyle w:val="TableColumnHeading"/>
            </w:pPr>
            <w:r w:rsidRPr="00CD7531">
              <w:t>Affordable Housing Program</w:t>
            </w:r>
          </w:p>
        </w:tc>
        <w:tc>
          <w:tcPr>
            <w:tcW w:w="2160" w:type="dxa"/>
            <w:noWrap/>
            <w:hideMark/>
          </w:tcPr>
          <w:p w:rsidRPr="00CD7531" w:rsidR="0060238C" w:rsidP="00E42AF5" w:rsidRDefault="0060238C" w14:paraId="7DDED75F" w14:textId="77777777">
            <w:pPr>
              <w:pStyle w:val="TableColumnHeading"/>
            </w:pPr>
            <w:r w:rsidRPr="00CD7531">
              <w:t>Approx. No. of Projects</w:t>
            </w:r>
          </w:p>
        </w:tc>
        <w:tc>
          <w:tcPr>
            <w:tcW w:w="2160" w:type="dxa"/>
            <w:noWrap/>
            <w:hideMark/>
          </w:tcPr>
          <w:p w:rsidRPr="00CD7531" w:rsidR="0060238C" w:rsidP="00E42AF5" w:rsidRDefault="0060238C" w14:paraId="68F9559D" w14:textId="77777777">
            <w:pPr>
              <w:pStyle w:val="TableColumnHeading"/>
            </w:pPr>
            <w:r w:rsidRPr="00CD7531">
              <w:t xml:space="preserve">Approx. No. of </w:t>
            </w:r>
            <w:r>
              <w:t xml:space="preserve">Assisted </w:t>
            </w:r>
            <w:r w:rsidRPr="00CD7531">
              <w:t>Units</w:t>
            </w:r>
          </w:p>
        </w:tc>
      </w:tr>
      <w:tr w:rsidRPr="00CD7531" w:rsidR="0060238C" w:rsidTr="00E42AF5" w14:paraId="59701369" w14:textId="77777777">
        <w:trPr>
          <w:cnfStyle w:val="000000100000" w:firstRow="0" w:lastRow="0" w:firstColumn="0" w:lastColumn="0" w:oddVBand="0" w:evenVBand="0" w:oddHBand="1" w:evenHBand="0" w:firstRowFirstColumn="0" w:firstRowLastColumn="0" w:lastRowFirstColumn="0" w:lastRowLastColumn="0"/>
          <w:trHeight w:val="20"/>
        </w:trPr>
        <w:tc>
          <w:tcPr>
            <w:tcW w:w="5040" w:type="dxa"/>
            <w:hideMark/>
          </w:tcPr>
          <w:p w:rsidRPr="001B2A61" w:rsidR="0060238C" w:rsidP="00E42AF5" w:rsidRDefault="0060238C" w14:paraId="4C34D17D" w14:textId="77777777">
            <w:pPr>
              <w:pStyle w:val="TableCellGeneralText"/>
            </w:pPr>
            <w:r w:rsidRPr="001B2A61">
              <w:t>Public housing*</w:t>
            </w:r>
          </w:p>
        </w:tc>
        <w:tc>
          <w:tcPr>
            <w:tcW w:w="2160" w:type="dxa"/>
            <w:noWrap/>
            <w:hideMark/>
          </w:tcPr>
          <w:p w:rsidRPr="001B2A61" w:rsidR="0060238C" w:rsidP="00E42AF5" w:rsidRDefault="0060238C" w14:paraId="21558E64" w14:textId="77777777">
            <w:pPr>
              <w:pStyle w:val="TableCellNumbers"/>
            </w:pPr>
            <w:r w:rsidRPr="001B2A61">
              <w:t>6,835</w:t>
            </w:r>
          </w:p>
        </w:tc>
        <w:tc>
          <w:tcPr>
            <w:tcW w:w="2160" w:type="dxa"/>
            <w:noWrap/>
            <w:hideMark/>
          </w:tcPr>
          <w:p w:rsidRPr="001B2A61" w:rsidR="0060238C" w:rsidP="00E42AF5" w:rsidRDefault="0060238C" w14:paraId="6A444DF8" w14:textId="77777777">
            <w:pPr>
              <w:pStyle w:val="TableCellNumbers"/>
            </w:pPr>
            <w:r w:rsidRPr="001B2A61">
              <w:t>1,015,482</w:t>
            </w:r>
          </w:p>
        </w:tc>
      </w:tr>
      <w:tr w:rsidRPr="00CD7531" w:rsidR="0060238C" w:rsidTr="00E42AF5" w14:paraId="75625984" w14:textId="77777777">
        <w:trPr>
          <w:trHeight w:val="20"/>
        </w:trPr>
        <w:tc>
          <w:tcPr>
            <w:tcW w:w="5040" w:type="dxa"/>
          </w:tcPr>
          <w:p w:rsidRPr="001B2A61" w:rsidR="0060238C" w:rsidP="00E42AF5" w:rsidRDefault="0060238C" w14:paraId="3BA587B3" w14:textId="77777777">
            <w:pPr>
              <w:pStyle w:val="TableCellGeneralText"/>
            </w:pPr>
            <w:r w:rsidRPr="001B2A61">
              <w:t>RAD Total**</w:t>
            </w:r>
          </w:p>
        </w:tc>
        <w:tc>
          <w:tcPr>
            <w:tcW w:w="2160" w:type="dxa"/>
            <w:noWrap/>
          </w:tcPr>
          <w:p w:rsidRPr="001B2A61" w:rsidR="0060238C" w:rsidP="00E42AF5" w:rsidRDefault="0060238C" w14:paraId="5853AEB9" w14:textId="77777777">
            <w:pPr>
              <w:pStyle w:val="TableCellNumbers"/>
            </w:pPr>
            <w:r w:rsidRPr="001B2A61">
              <w:t>1,103</w:t>
            </w:r>
          </w:p>
        </w:tc>
        <w:tc>
          <w:tcPr>
            <w:tcW w:w="2160" w:type="dxa"/>
            <w:noWrap/>
          </w:tcPr>
          <w:p w:rsidRPr="001B2A61" w:rsidR="0060238C" w:rsidP="00E42AF5" w:rsidRDefault="0060238C" w14:paraId="1D62E11A" w14:textId="77777777">
            <w:pPr>
              <w:pStyle w:val="TableCellNumbers"/>
            </w:pPr>
            <w:r w:rsidRPr="001B2A61">
              <w:t>195,183</w:t>
            </w:r>
          </w:p>
        </w:tc>
      </w:tr>
      <w:tr w:rsidRPr="00CD7531" w:rsidR="0060238C" w:rsidTr="00E42AF5" w14:paraId="74639E03" w14:textId="77777777">
        <w:trPr>
          <w:cnfStyle w:val="000000100000" w:firstRow="0" w:lastRow="0" w:firstColumn="0" w:lastColumn="0" w:oddVBand="0" w:evenVBand="0" w:oddHBand="1" w:evenHBand="0" w:firstRowFirstColumn="0" w:firstRowLastColumn="0" w:lastRowFirstColumn="0" w:lastRowLastColumn="0"/>
          <w:trHeight w:val="20"/>
        </w:trPr>
        <w:tc>
          <w:tcPr>
            <w:tcW w:w="5040" w:type="dxa"/>
            <w:hideMark/>
          </w:tcPr>
          <w:p w:rsidRPr="001B2A61" w:rsidR="0060238C" w:rsidP="00E42AF5" w:rsidRDefault="0060238C" w14:paraId="59110A33" w14:textId="77777777">
            <w:pPr>
              <w:pStyle w:val="TableCellGeneralText"/>
            </w:pPr>
            <w:r w:rsidRPr="001B2A61">
              <w:t>Non-RAD PBRA*</w:t>
            </w:r>
          </w:p>
        </w:tc>
        <w:tc>
          <w:tcPr>
            <w:tcW w:w="2160" w:type="dxa"/>
            <w:noWrap/>
            <w:hideMark/>
          </w:tcPr>
          <w:p w:rsidRPr="001B2A61" w:rsidR="0060238C" w:rsidP="00E42AF5" w:rsidRDefault="0060238C" w14:paraId="7DC11A12" w14:textId="77777777">
            <w:pPr>
              <w:pStyle w:val="TableCellNumbers"/>
            </w:pPr>
            <w:r w:rsidRPr="001B2A61">
              <w:t>17,842</w:t>
            </w:r>
          </w:p>
        </w:tc>
        <w:tc>
          <w:tcPr>
            <w:tcW w:w="2160" w:type="dxa"/>
            <w:noWrap/>
            <w:hideMark/>
          </w:tcPr>
          <w:p w:rsidRPr="001B2A61" w:rsidR="0060238C" w:rsidP="00E42AF5" w:rsidRDefault="0060238C" w14:paraId="741212AE" w14:textId="77777777">
            <w:pPr>
              <w:pStyle w:val="TableCellNumbers"/>
            </w:pPr>
            <w:r w:rsidRPr="001B2A61">
              <w:t>1,236,408</w:t>
            </w:r>
          </w:p>
        </w:tc>
      </w:tr>
      <w:tr w:rsidRPr="00CD7531" w:rsidR="0060238C" w:rsidTr="00E42AF5" w14:paraId="32D6ED49" w14:textId="77777777">
        <w:trPr>
          <w:trHeight w:val="20"/>
        </w:trPr>
        <w:tc>
          <w:tcPr>
            <w:tcW w:w="5040" w:type="dxa"/>
          </w:tcPr>
          <w:p w:rsidRPr="001B2A61" w:rsidR="0060238C" w:rsidP="00E42AF5" w:rsidRDefault="0060238C" w14:paraId="2CB1BC39" w14:textId="77777777">
            <w:pPr>
              <w:pStyle w:val="TableCellGeneralText"/>
            </w:pPr>
            <w:r w:rsidRPr="001B2A61">
              <w:t>RAD PBRA**</w:t>
            </w:r>
          </w:p>
        </w:tc>
        <w:tc>
          <w:tcPr>
            <w:tcW w:w="2160" w:type="dxa"/>
            <w:noWrap/>
          </w:tcPr>
          <w:p w:rsidRPr="001B2A61" w:rsidR="0060238C" w:rsidP="00E42AF5" w:rsidRDefault="0060238C" w14:paraId="398E962C" w14:textId="77777777">
            <w:pPr>
              <w:pStyle w:val="TableCellNumbers"/>
            </w:pPr>
            <w:r w:rsidRPr="001B2A61">
              <w:t>413</w:t>
            </w:r>
          </w:p>
        </w:tc>
        <w:tc>
          <w:tcPr>
            <w:tcW w:w="2160" w:type="dxa"/>
            <w:noWrap/>
          </w:tcPr>
          <w:p w:rsidRPr="001B2A61" w:rsidR="0060238C" w:rsidP="00E42AF5" w:rsidRDefault="0060238C" w14:paraId="2E23EA0E" w14:textId="77777777">
            <w:pPr>
              <w:pStyle w:val="TableCellNumbers"/>
            </w:pPr>
            <w:r w:rsidRPr="001B2A61">
              <w:t>125,003</w:t>
            </w:r>
          </w:p>
        </w:tc>
      </w:tr>
      <w:tr w:rsidRPr="00CD7531" w:rsidR="0060238C" w:rsidTr="00E42AF5" w14:paraId="466AAF6B" w14:textId="77777777">
        <w:trPr>
          <w:cnfStyle w:val="000000100000" w:firstRow="0" w:lastRow="0" w:firstColumn="0" w:lastColumn="0" w:oddVBand="0" w:evenVBand="0" w:oddHBand="1" w:evenHBand="0" w:firstRowFirstColumn="0" w:firstRowLastColumn="0" w:lastRowFirstColumn="0" w:lastRowLastColumn="0"/>
          <w:trHeight w:val="20"/>
        </w:trPr>
        <w:tc>
          <w:tcPr>
            <w:tcW w:w="5040" w:type="dxa"/>
          </w:tcPr>
          <w:p w:rsidRPr="001B2A61" w:rsidR="0060238C" w:rsidP="00E42AF5" w:rsidRDefault="0060238C" w14:paraId="7A59C6F5" w14:textId="77777777">
            <w:pPr>
              <w:pStyle w:val="TableCellGeneralText"/>
            </w:pPr>
            <w:r w:rsidRPr="001B2A61">
              <w:t>Non-RAD PBV***</w:t>
            </w:r>
          </w:p>
        </w:tc>
        <w:tc>
          <w:tcPr>
            <w:tcW w:w="2160" w:type="dxa"/>
            <w:noWrap/>
          </w:tcPr>
          <w:p w:rsidRPr="001B2A61" w:rsidR="0060238C" w:rsidP="00E42AF5" w:rsidRDefault="0060238C" w14:paraId="6132A31B" w14:textId="77777777">
            <w:pPr>
              <w:pStyle w:val="TableCellNumbers"/>
            </w:pPr>
            <w:r w:rsidRPr="001B2A61">
              <w:t>5,177</w:t>
            </w:r>
          </w:p>
        </w:tc>
        <w:tc>
          <w:tcPr>
            <w:tcW w:w="2160" w:type="dxa"/>
            <w:noWrap/>
          </w:tcPr>
          <w:p w:rsidRPr="001B2A61" w:rsidR="0060238C" w:rsidP="00E42AF5" w:rsidRDefault="0060238C" w14:paraId="6EA8379F" w14:textId="77777777">
            <w:pPr>
              <w:pStyle w:val="TableCellNumbers"/>
            </w:pPr>
            <w:r w:rsidRPr="001B2A61">
              <w:t>137,883</w:t>
            </w:r>
          </w:p>
        </w:tc>
      </w:tr>
      <w:tr w:rsidRPr="00CD7531" w:rsidR="0060238C" w:rsidTr="00E42AF5" w14:paraId="39431969" w14:textId="77777777">
        <w:trPr>
          <w:trHeight w:val="20"/>
        </w:trPr>
        <w:tc>
          <w:tcPr>
            <w:tcW w:w="5040" w:type="dxa"/>
            <w:shd w:val="clear" w:color="auto" w:fill="FFFFFF" w:themeFill="background1"/>
          </w:tcPr>
          <w:p w:rsidRPr="001B2A61" w:rsidR="0060238C" w:rsidP="00E42AF5" w:rsidRDefault="0060238C" w14:paraId="05D88201" w14:textId="77777777">
            <w:pPr>
              <w:pStyle w:val="TableCellGeneralText"/>
            </w:pPr>
            <w:r w:rsidRPr="001B2A61">
              <w:t>RAD PBV**</w:t>
            </w:r>
          </w:p>
        </w:tc>
        <w:tc>
          <w:tcPr>
            <w:tcW w:w="2160" w:type="dxa"/>
            <w:shd w:val="clear" w:color="auto" w:fill="FFFFFF" w:themeFill="background1"/>
            <w:noWrap/>
          </w:tcPr>
          <w:p w:rsidRPr="001B2A61" w:rsidR="0060238C" w:rsidP="00E42AF5" w:rsidRDefault="0060238C" w14:paraId="5E000394" w14:textId="77777777">
            <w:pPr>
              <w:pStyle w:val="TableCellNumbers"/>
            </w:pPr>
            <w:r w:rsidRPr="001B2A61">
              <w:t>690</w:t>
            </w:r>
          </w:p>
        </w:tc>
        <w:tc>
          <w:tcPr>
            <w:tcW w:w="2160" w:type="dxa"/>
            <w:shd w:val="clear" w:color="auto" w:fill="FFFFFF" w:themeFill="background1"/>
            <w:noWrap/>
          </w:tcPr>
          <w:p w:rsidRPr="001B2A61" w:rsidR="0060238C" w:rsidP="00E42AF5" w:rsidRDefault="0060238C" w14:paraId="41962CD7" w14:textId="77777777">
            <w:pPr>
              <w:pStyle w:val="TableCellNumbers"/>
            </w:pPr>
            <w:r w:rsidRPr="001B2A61">
              <w:t>70,180</w:t>
            </w:r>
          </w:p>
        </w:tc>
      </w:tr>
    </w:tbl>
    <w:p w:rsidR="0060238C" w:rsidP="0060238C" w:rsidRDefault="0060238C" w14:paraId="5E329ACC" w14:textId="77777777">
      <w:pPr>
        <w:pStyle w:val="TableNote"/>
        <w:keepNext/>
      </w:pPr>
      <w:r w:rsidRPr="003F49C2">
        <w:t>RAD = Rental Assistance Demonstration.</w:t>
      </w:r>
      <w:r>
        <w:t xml:space="preserve"> </w:t>
      </w:r>
      <w:r w:rsidRPr="003F49C2">
        <w:t>PBRA = Project-Based Rental Assistance.</w:t>
      </w:r>
      <w:r>
        <w:t xml:space="preserve"> </w:t>
      </w:r>
      <w:r w:rsidRPr="003F49C2">
        <w:t>PBV = Project-Based Voucher.</w:t>
      </w:r>
    </w:p>
    <w:p w:rsidRPr="00CD7531" w:rsidR="0060238C" w:rsidP="0060238C" w:rsidRDefault="0060238C" w14:paraId="56697327" w14:textId="77777777">
      <w:pPr>
        <w:pStyle w:val="TableNote"/>
        <w:keepNext/>
      </w:pPr>
      <w:r w:rsidRPr="00CD7531">
        <w:t xml:space="preserve">* Through 2018; </w:t>
      </w:r>
      <w:r>
        <w:t xml:space="preserve">Public housing </w:t>
      </w:r>
      <w:r w:rsidRPr="00CD7531">
        <w:t>likely includes some RAD projects</w:t>
      </w:r>
      <w:r>
        <w:t xml:space="preserve"> that had not closed</w:t>
      </w:r>
      <w:r w:rsidRPr="00CD7531">
        <w:t xml:space="preserve">. </w:t>
      </w:r>
      <w:r>
        <w:t xml:space="preserve">Non-RAD PBRA calculated by subtracting RAD PBRA from Project-based Section 8 project and unit counts. </w:t>
      </w:r>
      <w:r w:rsidRPr="00CD7531">
        <w:t xml:space="preserve">Retrieved from </w:t>
      </w:r>
      <w:hyperlink w:history="1" r:id="rId11">
        <w:r>
          <w:rPr>
            <w:rStyle w:val="Hyperlink"/>
          </w:rPr>
          <w:t>https://www.huduser.gov/portal/datasets/ assthsg.html</w:t>
        </w:r>
      </w:hyperlink>
      <w:r w:rsidRPr="00CD7531">
        <w:t>.</w:t>
      </w:r>
    </w:p>
    <w:p w:rsidR="0060238C" w:rsidP="0060238C" w:rsidRDefault="0060238C" w14:paraId="2673805A" w14:textId="77777777">
      <w:pPr>
        <w:pStyle w:val="TableNote"/>
      </w:pPr>
      <w:r>
        <w:t>*</w:t>
      </w:r>
      <w:r w:rsidRPr="00CD7531">
        <w:t xml:space="preserve">* </w:t>
      </w:r>
      <w:r>
        <w:t>Closed projects t</w:t>
      </w:r>
      <w:r w:rsidRPr="00CD7531">
        <w:t xml:space="preserve">hrough </w:t>
      </w:r>
      <w:r>
        <w:t>November 22</w:t>
      </w:r>
      <w:r w:rsidRPr="00CD7531">
        <w:t xml:space="preserve">, 2019. From </w:t>
      </w:r>
      <w:r>
        <w:t>RAD Resource Desk.</w:t>
      </w:r>
    </w:p>
    <w:p w:rsidRPr="00CD7531" w:rsidR="0060238C" w:rsidP="0060238C" w:rsidRDefault="0060238C" w14:paraId="380FC6BA" w14:textId="77777777">
      <w:pPr>
        <w:pStyle w:val="TableNote"/>
      </w:pPr>
      <w:r>
        <w:t>*</w:t>
      </w:r>
      <w:proofErr w:type="gramStart"/>
      <w:r>
        <w:t>** HUD PD&amp;R Housing Demographic Analysis Division,</w:t>
      </w:r>
      <w:proofErr w:type="gramEnd"/>
      <w:r>
        <w:t xml:space="preserve"> dated December 23, 2020. Non-RAD PBV calculated by subtracting RAD PBV from all PBV project and unit counts.</w:t>
      </w:r>
    </w:p>
    <w:p w:rsidR="0060238C" w:rsidP="00CD692B" w:rsidRDefault="0060238C" w14:paraId="504792BA" w14:textId="6A08F7E4">
      <w:pPr>
        <w:keepLines/>
        <w:jc w:val="both"/>
      </w:pPr>
      <w:r w:rsidRPr="00CD7531">
        <w:t xml:space="preserve">Some of the closed RAD projects in our study </w:t>
      </w:r>
      <w:r w:rsidR="009974E5">
        <w:t xml:space="preserve">may </w:t>
      </w:r>
      <w:r w:rsidRPr="00CD7531">
        <w:t xml:space="preserve">be eliminated </w:t>
      </w:r>
      <w:r>
        <w:t xml:space="preserve">if </w:t>
      </w:r>
      <w:r w:rsidRPr="00CD7531">
        <w:t xml:space="preserve">the conversion </w:t>
      </w:r>
      <w:r>
        <w:t xml:space="preserve">is </w:t>
      </w:r>
      <w:r w:rsidRPr="00CD7531">
        <w:t>too recent</w:t>
      </w:r>
      <w:r>
        <w:t xml:space="preserve">. For instance, a new construction project will not achieve </w:t>
      </w:r>
      <w:r w:rsidRPr="00CD7531">
        <w:t xml:space="preserve">stabilized occupancy </w:t>
      </w:r>
      <w:r>
        <w:t xml:space="preserve">until after construction has been completed, which could occur </w:t>
      </w:r>
      <w:r w:rsidR="00CC1FE0">
        <w:t>one</w:t>
      </w:r>
      <w:r>
        <w:t xml:space="preserve"> or more years after conversion.</w:t>
      </w:r>
      <w:r>
        <w:rPr>
          <w:rStyle w:val="FootnoteReference"/>
        </w:rPr>
        <w:footnoteReference w:id="1"/>
      </w:r>
      <w:r>
        <w:t xml:space="preserve"> Also, when a project converts, it may not have a financial statement for the full year. In both cases, the first year’s financial statements would provide an unreliable measure of the building’s financial performance. To mitigate this potential bias, we will analyze RAD conversions in years 1 and 2 to assess whether we need to adjust the number of RAD projects in the study.</w:t>
      </w:r>
    </w:p>
    <w:p w:rsidR="00FB5ADE" w:rsidP="00CD692B" w:rsidRDefault="00FB5ADE" w14:paraId="491652EF" w14:textId="77777777">
      <w:pPr>
        <w:keepLines/>
        <w:jc w:val="both"/>
      </w:pPr>
    </w:p>
    <w:p w:rsidR="00552DE3" w:rsidP="00CD692B" w:rsidRDefault="00552DE3" w14:paraId="7DEE1DAA" w14:textId="0EF39FE6">
      <w:pPr>
        <w:jc w:val="both"/>
      </w:pPr>
      <w:r>
        <w:t xml:space="preserve">We will use two </w:t>
      </w:r>
      <w:r w:rsidR="005163A2">
        <w:t xml:space="preserve">types analysis for this part of the study: comparison of means hypothesis testing and linear regression modeling. </w:t>
      </w:r>
      <w:r w:rsidRPr="0058111A" w:rsidR="00BE08ED">
        <w:t>These populations are large enough to support tests of statistical significance between RAD and non-RAD properties, so long as the financial data can be obtained.</w:t>
      </w:r>
    </w:p>
    <w:p w:rsidR="00F0736A" w:rsidP="00CD692B" w:rsidRDefault="00F0736A" w14:paraId="3349E291" w14:textId="309132BC">
      <w:pPr>
        <w:jc w:val="both"/>
      </w:pPr>
    </w:p>
    <w:p w:rsidR="0060238C" w:rsidP="00CD692B" w:rsidRDefault="0059519B" w14:paraId="5A8CE1C2" w14:textId="0848465F">
      <w:pPr>
        <w:jc w:val="both"/>
      </w:pPr>
      <w:r>
        <w:t xml:space="preserve">We will analyze and present responses to the two web-based surveys </w:t>
      </w:r>
      <w:r w:rsidRPr="00F23DC1">
        <w:t>in frequency tables to describe a portrait of RAD asset management, with a focus on differences between PBV and PBRA projects and gaps between RAD asset management and the standard model of asset management. In describing differences between PBV and PBRA properties, the analysis will test for statistical significance using standard means tests.</w:t>
      </w:r>
    </w:p>
    <w:p w:rsidRPr="00324425" w:rsidR="007F4005" w:rsidP="0001529B" w:rsidRDefault="007F4005" w14:paraId="65D21A98" w14:textId="77777777">
      <w:pPr>
        <w:pStyle w:val="H2PartB"/>
        <w:numPr>
          <w:ilvl w:val="0"/>
          <w:numId w:val="40"/>
        </w:numPr>
      </w:pPr>
      <w:r w:rsidRPr="00324425">
        <w:t>Provide the name and telephone number of individuals consulted on the statistical aspects of the design, and the name of the agency unit, contractor(s), grantee(s), or other person(s) who will actually collect and/or analyze the information for the agency.</w:t>
      </w:r>
    </w:p>
    <w:p w:rsidR="007F4005" w:rsidP="00770366" w:rsidRDefault="007F4005" w14:paraId="485334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4005" w:rsidP="00CD692B" w:rsidRDefault="007F4005" w14:paraId="3B154E49" w14:textId="18247252">
      <w:pPr>
        <w:autoSpaceDE w:val="0"/>
        <w:autoSpaceDN w:val="0"/>
        <w:adjustRightInd w:val="0"/>
        <w:jc w:val="both"/>
      </w:pPr>
      <w:r>
        <w:t xml:space="preserve">HUD </w:t>
      </w:r>
      <w:r w:rsidR="006B1FED">
        <w:t xml:space="preserve">has </w:t>
      </w:r>
      <w:r>
        <w:t>contracted with Econometrica (prime contractor) to conduct t</w:t>
      </w:r>
      <w:r w:rsidRPr="00CE6678">
        <w:t xml:space="preserve">he </w:t>
      </w:r>
      <w:r w:rsidR="006E0799">
        <w:t>e</w:t>
      </w:r>
      <w:r w:rsidRPr="00CE6678" w:rsidR="006E0799">
        <w:t>valuation</w:t>
      </w:r>
      <w:r>
        <w:t>; the Urban Institute is Econometrica’s subcontractor.</w:t>
      </w:r>
      <w:r w:rsidRPr="00CE6678">
        <w:t xml:space="preserve"> </w:t>
      </w:r>
      <w:r>
        <w:t xml:space="preserve">The following </w:t>
      </w:r>
      <w:r w:rsidR="006B1FED">
        <w:t xml:space="preserve">table </w:t>
      </w:r>
      <w:r>
        <w:t>lists those who were consulted or will participate in the data collection effort, analyze the data, or prepare reports.</w:t>
      </w:r>
      <w:r w:rsidRPr="00D959A5">
        <w:t xml:space="preserve"> </w:t>
      </w:r>
      <w:r w:rsidRPr="00CE6678">
        <w:t xml:space="preserve">The actual collection of </w:t>
      </w:r>
      <w:r>
        <w:t>Web</w:t>
      </w:r>
      <w:r w:rsidRPr="00CE6678">
        <w:t xml:space="preserve"> survey data will be </w:t>
      </w:r>
      <w:r>
        <w:t xml:space="preserve">performed </w:t>
      </w:r>
      <w:r w:rsidRPr="00CE6678">
        <w:t xml:space="preserve">through a </w:t>
      </w:r>
      <w:r>
        <w:t>Web</w:t>
      </w:r>
      <w:r w:rsidRPr="00CE6678">
        <w:t xml:space="preserve"> service that specializes in conducting Internet surveys.</w:t>
      </w:r>
      <w:r>
        <w:t xml:space="preserve"> </w:t>
      </w:r>
      <w:r w:rsidR="003656F1">
        <w:fldChar w:fldCharType="begin"/>
      </w:r>
      <w:r w:rsidR="003656F1">
        <w:instrText xml:space="preserve"> REF _Ref59101477 \h </w:instrText>
      </w:r>
      <w:r w:rsidR="003656F1">
        <w:fldChar w:fldCharType="separate"/>
      </w:r>
      <w:r w:rsidR="003656F1">
        <w:t xml:space="preserve">Table </w:t>
      </w:r>
      <w:r w:rsidR="003656F1">
        <w:rPr>
          <w:noProof/>
        </w:rPr>
        <w:t>5</w:t>
      </w:r>
      <w:r w:rsidR="003656F1">
        <w:fldChar w:fldCharType="end"/>
      </w:r>
      <w:r w:rsidR="003656F1">
        <w:t xml:space="preserve"> and </w:t>
      </w:r>
      <w:r w:rsidR="003656F1">
        <w:fldChar w:fldCharType="begin"/>
      </w:r>
      <w:r w:rsidR="003656F1">
        <w:instrText xml:space="preserve"> REF _Ref59101521 \h </w:instrText>
      </w:r>
      <w:r w:rsidR="003656F1">
        <w:fldChar w:fldCharType="separate"/>
      </w:r>
      <w:r w:rsidR="003656F1">
        <w:t xml:space="preserve">Table </w:t>
      </w:r>
      <w:r w:rsidR="003656F1">
        <w:rPr>
          <w:noProof/>
        </w:rPr>
        <w:t>6</w:t>
      </w:r>
      <w:r w:rsidR="003656F1">
        <w:fldChar w:fldCharType="end"/>
      </w:r>
      <w:r>
        <w:t xml:space="preserve"> below show the names, affiliations, and contact information for those involved in the statistical design and the survey research.</w:t>
      </w:r>
    </w:p>
    <w:p w:rsidRPr="00CD7531" w:rsidR="00D767AF" w:rsidP="00D767AF" w:rsidRDefault="00D767AF" w14:paraId="25047159" w14:textId="77777777"/>
    <w:p w:rsidR="00D767AF" w:rsidP="00D767AF" w:rsidRDefault="00D767AF" w14:paraId="367D1B87" w14:textId="4E4882A5">
      <w:pPr>
        <w:pStyle w:val="TableCaption"/>
      </w:pPr>
      <w:bookmarkStart w:name="_Ref59101477" w:id="7"/>
      <w:r>
        <w:t xml:space="preserve">Table </w:t>
      </w:r>
      <w:r>
        <w:rPr>
          <w:noProof/>
        </w:rPr>
        <w:fldChar w:fldCharType="begin"/>
      </w:r>
      <w:r>
        <w:rPr>
          <w:noProof/>
        </w:rPr>
        <w:instrText xml:space="preserve"> SEQ Table \* ARABIC </w:instrText>
      </w:r>
      <w:r>
        <w:rPr>
          <w:noProof/>
        </w:rPr>
        <w:fldChar w:fldCharType="separate"/>
      </w:r>
      <w:r w:rsidR="003656F1">
        <w:rPr>
          <w:noProof/>
        </w:rPr>
        <w:t>5</w:t>
      </w:r>
      <w:r>
        <w:rPr>
          <w:noProof/>
        </w:rPr>
        <w:fldChar w:fldCharType="end"/>
      </w:r>
      <w:bookmarkEnd w:id="7"/>
      <w:r>
        <w:t>.</w:t>
      </w:r>
      <w:r>
        <w:tab/>
      </w:r>
      <w:r w:rsidR="00431624">
        <w:t>Names, Affiliations, and Contact Information</w:t>
      </w:r>
    </w:p>
    <w:tbl>
      <w:tblPr>
        <w:tblStyle w:val="EconometricaTableStyle"/>
        <w:tblW w:w="0" w:type="auto"/>
        <w:tblLayout w:type="fixed"/>
        <w:tblLook w:val="04A0" w:firstRow="1" w:lastRow="0" w:firstColumn="1" w:lastColumn="0" w:noHBand="0" w:noVBand="1"/>
      </w:tblPr>
      <w:tblGrid>
        <w:gridCol w:w="2802"/>
        <w:gridCol w:w="2186"/>
        <w:gridCol w:w="2186"/>
        <w:gridCol w:w="2186"/>
      </w:tblGrid>
      <w:tr w:rsidRPr="00CD7531" w:rsidR="00AE5002" w:rsidTr="00E65F59" w14:paraId="3B9636F1" w14:textId="77777777">
        <w:trPr>
          <w:cnfStyle w:val="100000000000" w:firstRow="1" w:lastRow="0" w:firstColumn="0" w:lastColumn="0" w:oddVBand="0" w:evenVBand="0" w:oddHBand="0" w:evenHBand="0" w:firstRowFirstColumn="0" w:firstRowLastColumn="0" w:lastRowFirstColumn="0" w:lastRowLastColumn="0"/>
          <w:cantSplit w:val="0"/>
          <w:trHeight w:val="20"/>
          <w:tblHeader/>
        </w:trPr>
        <w:tc>
          <w:tcPr>
            <w:tcW w:w="2802" w:type="dxa"/>
            <w:noWrap/>
            <w:hideMark/>
          </w:tcPr>
          <w:p w:rsidRPr="00CD7531" w:rsidR="00AE5002" w:rsidP="00E42AF5" w:rsidRDefault="00E65F59" w14:paraId="7895ECB8" w14:textId="36895BCF">
            <w:pPr>
              <w:pStyle w:val="TableColumnHeading"/>
            </w:pPr>
            <w:r>
              <w:t>Firm</w:t>
            </w:r>
          </w:p>
        </w:tc>
        <w:tc>
          <w:tcPr>
            <w:tcW w:w="2186" w:type="dxa"/>
          </w:tcPr>
          <w:p w:rsidR="00AE5002" w:rsidP="00E42AF5" w:rsidRDefault="00E65F59" w14:paraId="3AD06EBB" w14:textId="101DF65F">
            <w:pPr>
              <w:pStyle w:val="TableColumnHeading"/>
            </w:pPr>
            <w:r>
              <w:t>Role</w:t>
            </w:r>
          </w:p>
        </w:tc>
        <w:tc>
          <w:tcPr>
            <w:tcW w:w="2186" w:type="dxa"/>
          </w:tcPr>
          <w:p w:rsidR="00AE5002" w:rsidP="00E42AF5" w:rsidRDefault="00AE5002" w14:paraId="43F50BAE" w14:textId="2A21BED4">
            <w:pPr>
              <w:pStyle w:val="TableColumnHeading"/>
            </w:pPr>
            <w:r>
              <w:t>Personnel</w:t>
            </w:r>
          </w:p>
        </w:tc>
        <w:tc>
          <w:tcPr>
            <w:tcW w:w="2186" w:type="dxa"/>
            <w:noWrap/>
            <w:hideMark/>
          </w:tcPr>
          <w:p w:rsidRPr="00CD7531" w:rsidR="00AE5002" w:rsidP="00E42AF5" w:rsidRDefault="00AE5002" w14:paraId="2AA75784" w14:textId="518A5BEA">
            <w:pPr>
              <w:pStyle w:val="TableColumnHeading"/>
            </w:pPr>
            <w:r>
              <w:t xml:space="preserve">Phone Number/Email </w:t>
            </w:r>
          </w:p>
        </w:tc>
      </w:tr>
      <w:tr w:rsidRPr="00CD7531" w:rsidR="00AE5002" w:rsidTr="00AE5002" w14:paraId="4260F247"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hideMark/>
          </w:tcPr>
          <w:p w:rsidRPr="001B2A61" w:rsidR="00AE5002" w:rsidP="00E65F59" w:rsidRDefault="00AE5002" w14:paraId="0CC68DE7" w14:textId="61622466">
            <w:pPr>
              <w:pStyle w:val="TableCellGeneralText"/>
            </w:pPr>
            <w:r w:rsidRPr="00A7368B">
              <w:rPr>
                <w:b/>
                <w:szCs w:val="20"/>
              </w:rPr>
              <w:t xml:space="preserve">Econometrica, Inc. – Prime </w:t>
            </w:r>
          </w:p>
        </w:tc>
        <w:tc>
          <w:tcPr>
            <w:tcW w:w="2186" w:type="dxa"/>
          </w:tcPr>
          <w:p w:rsidRPr="001C6328" w:rsidR="00AE5002" w:rsidP="00FF1B9B" w:rsidRDefault="00E65F59" w14:paraId="329B5948" w14:textId="0CC48C30">
            <w:pPr>
              <w:pStyle w:val="TableCellNumbers"/>
              <w:jc w:val="left"/>
              <w:rPr>
                <w:bCs w:val="0"/>
                <w:iCs/>
              </w:rPr>
            </w:pPr>
            <w:r w:rsidRPr="00AB25B4">
              <w:rPr>
                <w:bCs w:val="0"/>
                <w:iCs/>
                <w:color w:val="000000"/>
                <w:szCs w:val="20"/>
              </w:rPr>
              <w:t>Principal Investigator</w:t>
            </w:r>
          </w:p>
        </w:tc>
        <w:tc>
          <w:tcPr>
            <w:tcW w:w="2186" w:type="dxa"/>
          </w:tcPr>
          <w:p w:rsidRPr="001B2A61" w:rsidR="00AE5002" w:rsidP="00E65F59" w:rsidRDefault="000A161A" w14:paraId="5502D1AE" w14:textId="124A88E3">
            <w:pPr>
              <w:pStyle w:val="TableCellNumbers"/>
              <w:jc w:val="left"/>
            </w:pPr>
            <w:r>
              <w:t>Fred Bellemore</w:t>
            </w:r>
          </w:p>
        </w:tc>
        <w:tc>
          <w:tcPr>
            <w:tcW w:w="2186" w:type="dxa"/>
            <w:noWrap/>
            <w:hideMark/>
          </w:tcPr>
          <w:p w:rsidRPr="001B2A61" w:rsidR="00AE5002" w:rsidP="00415E25" w:rsidRDefault="00415E25" w14:paraId="383E7BEF" w14:textId="2FFF5994">
            <w:pPr>
              <w:pStyle w:val="TableCellNumbers"/>
              <w:jc w:val="center"/>
            </w:pPr>
            <w:r w:rsidRPr="00415E25">
              <w:t>(301) 657-9883</w:t>
            </w:r>
            <w:r w:rsidR="00A824AB">
              <w:t>/ fbellemore@econometricainc.com</w:t>
            </w:r>
          </w:p>
        </w:tc>
      </w:tr>
      <w:tr w:rsidRPr="00CD7531" w:rsidR="00AE5002" w:rsidTr="00AE5002" w14:paraId="1234BE4D" w14:textId="77777777">
        <w:trPr>
          <w:trHeight w:val="20"/>
        </w:trPr>
        <w:tc>
          <w:tcPr>
            <w:tcW w:w="2802" w:type="dxa"/>
          </w:tcPr>
          <w:p w:rsidRPr="001B2A61" w:rsidR="00AE5002" w:rsidP="00E65F59" w:rsidRDefault="00AE5002" w14:paraId="1C3B6071" w14:textId="572A4C78">
            <w:pPr>
              <w:pStyle w:val="TableCellGeneralText"/>
            </w:pPr>
          </w:p>
        </w:tc>
        <w:tc>
          <w:tcPr>
            <w:tcW w:w="2186" w:type="dxa"/>
          </w:tcPr>
          <w:p w:rsidRPr="001C6328" w:rsidR="00AE5002" w:rsidP="00FF1B9B" w:rsidRDefault="00E65F59" w14:paraId="0E7C8458" w14:textId="48F96886">
            <w:pPr>
              <w:pStyle w:val="TableCellNumbers"/>
              <w:jc w:val="left"/>
              <w:rPr>
                <w:bCs w:val="0"/>
                <w:iCs/>
              </w:rPr>
            </w:pPr>
            <w:r w:rsidRPr="00AB25B4">
              <w:rPr>
                <w:bCs w:val="0"/>
                <w:iCs/>
                <w:color w:val="000000"/>
                <w:szCs w:val="20"/>
              </w:rPr>
              <w:t>Project Manager</w:t>
            </w:r>
          </w:p>
        </w:tc>
        <w:tc>
          <w:tcPr>
            <w:tcW w:w="2186" w:type="dxa"/>
          </w:tcPr>
          <w:p w:rsidRPr="001B2A61" w:rsidR="00AE5002" w:rsidP="00E65F59" w:rsidRDefault="00E65F59" w14:paraId="27B9A1C8" w14:textId="0A87B3BA">
            <w:pPr>
              <w:pStyle w:val="TableCellNumbers"/>
              <w:jc w:val="left"/>
            </w:pPr>
            <w:r>
              <w:t>Dennis Stout</w:t>
            </w:r>
          </w:p>
        </w:tc>
        <w:tc>
          <w:tcPr>
            <w:tcW w:w="2186" w:type="dxa"/>
            <w:noWrap/>
          </w:tcPr>
          <w:p w:rsidRPr="001B2A61" w:rsidR="00AE5002" w:rsidP="00415E25" w:rsidRDefault="00016B96" w14:paraId="2CEF8FF1" w14:textId="746F3058">
            <w:pPr>
              <w:pStyle w:val="TableCellNumbers"/>
              <w:jc w:val="center"/>
            </w:pPr>
            <w:r>
              <w:t>(</w:t>
            </w:r>
            <w:r w:rsidR="00F209F8">
              <w:t>301</w:t>
            </w:r>
            <w:r>
              <w:t xml:space="preserve">) </w:t>
            </w:r>
            <w:r w:rsidR="00415E25">
              <w:t>657-9883</w:t>
            </w:r>
            <w:r w:rsidR="00A824AB">
              <w:t>/dstout@econometricainc.com</w:t>
            </w:r>
          </w:p>
        </w:tc>
      </w:tr>
      <w:tr w:rsidRPr="00CD7531" w:rsidR="00AE5002" w:rsidTr="00AE5002" w14:paraId="00FA4EEB"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Pr="004D5244" w:rsidR="00AE5002" w:rsidP="00E65F59" w:rsidRDefault="00AE5002" w14:paraId="12A09A5D" w14:textId="7997A09C">
            <w:pPr>
              <w:pStyle w:val="TableCellGeneralText"/>
              <w:rPr>
                <w:b/>
                <w:i/>
                <w:color w:val="000000"/>
                <w:szCs w:val="20"/>
              </w:rPr>
            </w:pPr>
          </w:p>
        </w:tc>
        <w:tc>
          <w:tcPr>
            <w:tcW w:w="2186" w:type="dxa"/>
          </w:tcPr>
          <w:p w:rsidRPr="001C6328" w:rsidR="00AE5002" w:rsidP="00FF1B9B" w:rsidRDefault="004A38D2" w14:paraId="63965DE9" w14:textId="57C06508">
            <w:pPr>
              <w:pStyle w:val="TableCellNumbers"/>
              <w:jc w:val="left"/>
              <w:rPr>
                <w:bCs w:val="0"/>
                <w:iCs/>
              </w:rPr>
            </w:pPr>
            <w:r w:rsidRPr="00AB25B4">
              <w:rPr>
                <w:bCs w:val="0"/>
                <w:iCs/>
                <w:color w:val="000000"/>
                <w:szCs w:val="20"/>
              </w:rPr>
              <w:t>Long-term Preservation Study Lead</w:t>
            </w:r>
          </w:p>
        </w:tc>
        <w:tc>
          <w:tcPr>
            <w:tcW w:w="2186" w:type="dxa"/>
          </w:tcPr>
          <w:p w:rsidRPr="001B2A61" w:rsidR="00AE5002" w:rsidP="00E65F59" w:rsidRDefault="000A161A" w14:paraId="7B3AFEE6" w14:textId="5F649272">
            <w:pPr>
              <w:pStyle w:val="TableCellNumbers"/>
              <w:jc w:val="left"/>
            </w:pPr>
            <w:r>
              <w:t>Brad Anthony</w:t>
            </w:r>
          </w:p>
        </w:tc>
        <w:tc>
          <w:tcPr>
            <w:tcW w:w="2186" w:type="dxa"/>
            <w:noWrap/>
          </w:tcPr>
          <w:p w:rsidRPr="001B2A61" w:rsidR="00AE5002" w:rsidP="00415E25" w:rsidRDefault="00415E25" w14:paraId="364E9D6E" w14:textId="2826ADA4">
            <w:pPr>
              <w:pStyle w:val="TableCellNumbers"/>
              <w:jc w:val="center"/>
            </w:pPr>
            <w:r w:rsidRPr="00415E25">
              <w:t>(301) 657-9883</w:t>
            </w:r>
            <w:r w:rsidR="00372A9F">
              <w:t>/banthony@econometricainc.com</w:t>
            </w:r>
          </w:p>
        </w:tc>
      </w:tr>
      <w:tr w:rsidRPr="00CD7531" w:rsidR="00D57BD4" w:rsidTr="00AE5002" w14:paraId="2F0C3E90" w14:textId="77777777">
        <w:trPr>
          <w:trHeight w:val="20"/>
        </w:trPr>
        <w:tc>
          <w:tcPr>
            <w:tcW w:w="2802" w:type="dxa"/>
          </w:tcPr>
          <w:p w:rsidRPr="004D5244" w:rsidR="00D57BD4" w:rsidP="00E65F59" w:rsidRDefault="00D57BD4" w14:paraId="79792A0D" w14:textId="77777777">
            <w:pPr>
              <w:pStyle w:val="TableCellGeneralText"/>
              <w:rPr>
                <w:b/>
                <w:i/>
                <w:color w:val="000000"/>
                <w:szCs w:val="20"/>
              </w:rPr>
            </w:pPr>
          </w:p>
        </w:tc>
        <w:tc>
          <w:tcPr>
            <w:tcW w:w="2186" w:type="dxa"/>
          </w:tcPr>
          <w:p w:rsidRPr="00AB25B4" w:rsidR="00D57BD4" w:rsidP="00FF1B9B" w:rsidRDefault="004A38D2" w14:paraId="384F3D05" w14:textId="23185A0B">
            <w:pPr>
              <w:pStyle w:val="TableCellNumbers"/>
              <w:jc w:val="left"/>
              <w:rPr>
                <w:bCs w:val="0"/>
                <w:iCs/>
                <w:color w:val="000000"/>
                <w:szCs w:val="20"/>
              </w:rPr>
            </w:pPr>
            <w:r w:rsidRPr="00AB25B4">
              <w:rPr>
                <w:bCs w:val="0"/>
                <w:iCs/>
                <w:color w:val="000000"/>
                <w:szCs w:val="20"/>
              </w:rPr>
              <w:t xml:space="preserve">PHA Organizational Study Lead </w:t>
            </w:r>
          </w:p>
        </w:tc>
        <w:tc>
          <w:tcPr>
            <w:tcW w:w="2186" w:type="dxa"/>
          </w:tcPr>
          <w:p w:rsidR="00D57BD4" w:rsidP="00E65F59" w:rsidRDefault="00D57BD4" w14:paraId="52E4C2CE" w14:textId="43D669EC">
            <w:pPr>
              <w:pStyle w:val="TableCellNumbers"/>
              <w:jc w:val="left"/>
            </w:pPr>
            <w:r>
              <w:t>Jennifer Stoloff</w:t>
            </w:r>
          </w:p>
        </w:tc>
        <w:tc>
          <w:tcPr>
            <w:tcW w:w="2186" w:type="dxa"/>
            <w:noWrap/>
          </w:tcPr>
          <w:p w:rsidRPr="00415E25" w:rsidR="00D57BD4" w:rsidP="00415E25" w:rsidRDefault="00656BB9" w14:paraId="2D123872" w14:textId="7AEC3057">
            <w:pPr>
              <w:pStyle w:val="TableCellNumbers"/>
              <w:jc w:val="center"/>
            </w:pPr>
            <w:r w:rsidRPr="00415E25">
              <w:t>(301) 657-9883</w:t>
            </w:r>
            <w:r>
              <w:t>/jstoloff@econometricainc.com</w:t>
            </w:r>
          </w:p>
        </w:tc>
      </w:tr>
      <w:tr w:rsidRPr="00CD7531" w:rsidR="00E65F59" w:rsidTr="00AE5002" w14:paraId="4E6AB23B"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Pr="004D5244" w:rsidR="00E65F59" w:rsidP="00E65F59" w:rsidRDefault="00E65F59" w14:paraId="54889773" w14:textId="687D5E9E">
            <w:pPr>
              <w:pStyle w:val="TableCellGeneralText"/>
              <w:rPr>
                <w:b/>
                <w:i/>
                <w:color w:val="000000"/>
                <w:szCs w:val="20"/>
              </w:rPr>
            </w:pPr>
          </w:p>
        </w:tc>
        <w:tc>
          <w:tcPr>
            <w:tcW w:w="2186" w:type="dxa"/>
          </w:tcPr>
          <w:p w:rsidRPr="001C6328" w:rsidR="00E65F59" w:rsidP="00FF1B9B" w:rsidRDefault="004A38D2" w14:paraId="44EE7F33" w14:textId="0AF0B86E">
            <w:pPr>
              <w:pStyle w:val="TableCellNumbers"/>
              <w:jc w:val="left"/>
              <w:rPr>
                <w:bCs w:val="0"/>
                <w:iCs/>
              </w:rPr>
            </w:pPr>
            <w:r w:rsidRPr="00AB25B4">
              <w:rPr>
                <w:bCs w:val="0"/>
                <w:iCs/>
                <w:color w:val="000000"/>
                <w:szCs w:val="20"/>
              </w:rPr>
              <w:t>Asset Management Study Lead</w:t>
            </w:r>
          </w:p>
        </w:tc>
        <w:tc>
          <w:tcPr>
            <w:tcW w:w="2186" w:type="dxa"/>
          </w:tcPr>
          <w:p w:rsidRPr="001B2A61" w:rsidR="00E65F59" w:rsidP="00FF1B9B" w:rsidRDefault="000A161A" w14:paraId="0734BA03" w14:textId="4317C509">
            <w:pPr>
              <w:pStyle w:val="TableCellNumbers"/>
              <w:jc w:val="left"/>
            </w:pPr>
            <w:r>
              <w:rPr>
                <w:color w:val="000000"/>
                <w:szCs w:val="20"/>
              </w:rPr>
              <w:t>Alex Thackeray</w:t>
            </w:r>
          </w:p>
        </w:tc>
        <w:tc>
          <w:tcPr>
            <w:tcW w:w="2186" w:type="dxa"/>
            <w:noWrap/>
          </w:tcPr>
          <w:p w:rsidRPr="001B2A61" w:rsidR="00E65F59" w:rsidP="00415E25" w:rsidRDefault="00415E25" w14:paraId="17270154" w14:textId="399F874B">
            <w:pPr>
              <w:pStyle w:val="TableCellNumbers"/>
              <w:jc w:val="center"/>
            </w:pPr>
            <w:r w:rsidRPr="00415E25">
              <w:t>(301) 657-9883</w:t>
            </w:r>
            <w:r w:rsidR="00372A9F">
              <w:t>/ athackeray</w:t>
            </w:r>
            <w:r w:rsidR="00A91797">
              <w:t>@econometricainc.com</w:t>
            </w:r>
          </w:p>
        </w:tc>
      </w:tr>
      <w:tr w:rsidRPr="00CD7531" w:rsidR="007E4FDF" w:rsidTr="00AE5002" w14:paraId="1959AF41" w14:textId="77777777">
        <w:trPr>
          <w:trHeight w:val="20"/>
        </w:trPr>
        <w:tc>
          <w:tcPr>
            <w:tcW w:w="2802" w:type="dxa"/>
          </w:tcPr>
          <w:p w:rsidRPr="004D5244" w:rsidR="007E4FDF" w:rsidP="00E65F59" w:rsidRDefault="007E4FDF" w14:paraId="1162E099" w14:textId="77777777">
            <w:pPr>
              <w:pStyle w:val="TableCellGeneralText"/>
              <w:rPr>
                <w:b/>
                <w:i/>
                <w:color w:val="000000"/>
                <w:szCs w:val="20"/>
              </w:rPr>
            </w:pPr>
          </w:p>
        </w:tc>
        <w:tc>
          <w:tcPr>
            <w:tcW w:w="2186" w:type="dxa"/>
          </w:tcPr>
          <w:p w:rsidRPr="00AB25B4" w:rsidR="007E4FDF" w:rsidP="00FF1B9B" w:rsidRDefault="007E4FDF" w14:paraId="194F1B10" w14:textId="2A6341B0">
            <w:pPr>
              <w:pStyle w:val="TableCellNumbers"/>
              <w:jc w:val="left"/>
              <w:rPr>
                <w:bCs w:val="0"/>
                <w:iCs/>
                <w:color w:val="000000"/>
                <w:szCs w:val="20"/>
              </w:rPr>
            </w:pPr>
            <w:r w:rsidRPr="00AB25B4">
              <w:rPr>
                <w:bCs w:val="0"/>
                <w:iCs/>
                <w:color w:val="000000"/>
                <w:szCs w:val="20"/>
              </w:rPr>
              <w:t>Analyst</w:t>
            </w:r>
          </w:p>
        </w:tc>
        <w:tc>
          <w:tcPr>
            <w:tcW w:w="2186" w:type="dxa"/>
          </w:tcPr>
          <w:p w:rsidR="007E4FDF" w:rsidP="00FF1B9B" w:rsidRDefault="007E4FDF" w14:paraId="0ACDE140" w14:textId="74AFFD92">
            <w:pPr>
              <w:pStyle w:val="TableCellNumbers"/>
              <w:jc w:val="left"/>
              <w:rPr>
                <w:color w:val="000000"/>
                <w:szCs w:val="20"/>
              </w:rPr>
            </w:pPr>
            <w:r>
              <w:rPr>
                <w:color w:val="000000"/>
                <w:szCs w:val="20"/>
              </w:rPr>
              <w:t>William Le-Hoang</w:t>
            </w:r>
          </w:p>
        </w:tc>
        <w:tc>
          <w:tcPr>
            <w:tcW w:w="2186" w:type="dxa"/>
            <w:noWrap/>
          </w:tcPr>
          <w:p w:rsidRPr="00415E25" w:rsidR="007E4FDF" w:rsidP="00415E25" w:rsidRDefault="007E4FDF" w14:paraId="1746FCB7" w14:textId="3BC04149">
            <w:pPr>
              <w:pStyle w:val="TableCellNumbers"/>
              <w:jc w:val="center"/>
            </w:pPr>
            <w:r w:rsidRPr="00415E25">
              <w:t>(301) 657-9883</w:t>
            </w:r>
            <w:r>
              <w:t>/ wle</w:t>
            </w:r>
            <w:r w:rsidR="001C6328">
              <w:t>-</w:t>
            </w:r>
            <w:r>
              <w:t>ho</w:t>
            </w:r>
            <w:r w:rsidR="009F24C7">
              <w:t>a</w:t>
            </w:r>
            <w:r>
              <w:t>n</w:t>
            </w:r>
            <w:r w:rsidR="009F24C7">
              <w:t>g</w:t>
            </w:r>
            <w:r>
              <w:t>@econometricainc.com</w:t>
            </w:r>
          </w:p>
        </w:tc>
      </w:tr>
      <w:tr w:rsidRPr="00CD7531" w:rsidR="00E65F59" w:rsidTr="00AE5002" w14:paraId="52070B87"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00E65F59" w:rsidP="00E65F59" w:rsidRDefault="00E65F59" w14:paraId="1FB22142" w14:textId="511B7CE4">
            <w:pPr>
              <w:pStyle w:val="TableCellGeneralText"/>
              <w:ind w:left="233"/>
              <w:rPr>
                <w:color w:val="000000"/>
                <w:szCs w:val="20"/>
              </w:rPr>
            </w:pPr>
          </w:p>
        </w:tc>
        <w:tc>
          <w:tcPr>
            <w:tcW w:w="2186" w:type="dxa"/>
          </w:tcPr>
          <w:p w:rsidRPr="001B2A61" w:rsidR="00E65F59" w:rsidP="00FF1B9B" w:rsidRDefault="001C6328" w14:paraId="6737F8AE" w14:textId="15FB35EA">
            <w:pPr>
              <w:pStyle w:val="TableCellNumbers"/>
              <w:jc w:val="left"/>
            </w:pPr>
            <w:r>
              <w:t>Analyst</w:t>
            </w:r>
          </w:p>
        </w:tc>
        <w:tc>
          <w:tcPr>
            <w:tcW w:w="2186" w:type="dxa"/>
          </w:tcPr>
          <w:p w:rsidRPr="001B2A61" w:rsidR="00E65F59" w:rsidP="00FF1B9B" w:rsidRDefault="001C6328" w14:paraId="165F0737" w14:textId="1D2134C8">
            <w:pPr>
              <w:pStyle w:val="TableCellNumbers"/>
              <w:jc w:val="left"/>
            </w:pPr>
            <w:r>
              <w:t>Gabe Schneider</w:t>
            </w:r>
          </w:p>
        </w:tc>
        <w:tc>
          <w:tcPr>
            <w:tcW w:w="2186" w:type="dxa"/>
            <w:noWrap/>
          </w:tcPr>
          <w:p w:rsidRPr="001B2A61" w:rsidR="00E65F59" w:rsidP="00E65F59" w:rsidRDefault="001C6328" w14:paraId="0FB29B93" w14:textId="14F9BE66">
            <w:pPr>
              <w:pStyle w:val="TableCellNumbers"/>
              <w:jc w:val="center"/>
            </w:pPr>
            <w:r w:rsidRPr="00415E25">
              <w:t>(301) 657-9883</w:t>
            </w:r>
            <w:r>
              <w:t xml:space="preserve">/ </w:t>
            </w:r>
            <w:r w:rsidR="00D20F17">
              <w:t>gschneider</w:t>
            </w:r>
            <w:r>
              <w:t>@econometricainc.com</w:t>
            </w:r>
          </w:p>
        </w:tc>
      </w:tr>
      <w:tr w:rsidRPr="00CD7531" w:rsidR="00E65F59" w:rsidTr="00E42AF5" w14:paraId="6B83A2D1" w14:textId="77777777">
        <w:trPr>
          <w:trHeight w:val="20"/>
        </w:trPr>
        <w:tc>
          <w:tcPr>
            <w:tcW w:w="2802" w:type="dxa"/>
          </w:tcPr>
          <w:p w:rsidRPr="00A7368B" w:rsidR="00E65F59" w:rsidP="00E65F59" w:rsidRDefault="00E65F59" w14:paraId="43824861" w14:textId="340A1F8B">
            <w:pPr>
              <w:pStyle w:val="TableCellGeneralText"/>
              <w:rPr>
                <w:color w:val="000000"/>
                <w:szCs w:val="20"/>
              </w:rPr>
            </w:pPr>
            <w:r w:rsidRPr="004D5244">
              <w:rPr>
                <w:b/>
                <w:color w:val="000000"/>
                <w:szCs w:val="20"/>
              </w:rPr>
              <w:t xml:space="preserve">Subcontractor – UI </w:t>
            </w:r>
          </w:p>
        </w:tc>
        <w:tc>
          <w:tcPr>
            <w:tcW w:w="2186" w:type="dxa"/>
          </w:tcPr>
          <w:p w:rsidRPr="001B2A61" w:rsidR="00E65F59" w:rsidP="00FF1B9B" w:rsidRDefault="0044627A" w14:paraId="4EDD186E" w14:textId="744C820F">
            <w:pPr>
              <w:pStyle w:val="TableCellNumbers"/>
              <w:jc w:val="left"/>
            </w:pPr>
            <w:r>
              <w:rPr>
                <w:color w:val="000000"/>
                <w:szCs w:val="20"/>
              </w:rPr>
              <w:t>Principal Investigator</w:t>
            </w:r>
          </w:p>
        </w:tc>
        <w:tc>
          <w:tcPr>
            <w:tcW w:w="2186" w:type="dxa"/>
          </w:tcPr>
          <w:p w:rsidRPr="001B2A61" w:rsidR="00E65F59" w:rsidP="00FF1B9B" w:rsidRDefault="00E65F59" w14:paraId="27F4C1C3" w14:textId="6FB5CF48">
            <w:pPr>
              <w:pStyle w:val="TableCellNumbers"/>
              <w:jc w:val="left"/>
            </w:pPr>
            <w:r w:rsidRPr="00A7368B">
              <w:rPr>
                <w:color w:val="000000"/>
                <w:szCs w:val="20"/>
              </w:rPr>
              <w:t>Sue Popkin</w:t>
            </w:r>
          </w:p>
        </w:tc>
        <w:tc>
          <w:tcPr>
            <w:tcW w:w="2186" w:type="dxa"/>
            <w:noWrap/>
            <w:vAlign w:val="top"/>
          </w:tcPr>
          <w:p w:rsidRPr="001B2A61" w:rsidR="00E65F59" w:rsidP="00E65F59" w:rsidRDefault="00E65F59" w14:paraId="781F8022" w14:textId="60228EFC">
            <w:pPr>
              <w:pStyle w:val="TableCellNumbers"/>
              <w:jc w:val="center"/>
            </w:pPr>
            <w:r w:rsidRPr="004D5244">
              <w:rPr>
                <w:color w:val="222222"/>
                <w:szCs w:val="20"/>
              </w:rPr>
              <w:t>(202) 833-7200</w:t>
            </w:r>
            <w:r w:rsidR="00AF423D">
              <w:rPr>
                <w:color w:val="222222"/>
                <w:szCs w:val="20"/>
              </w:rPr>
              <w:t>/ spopkin@urban.org</w:t>
            </w:r>
          </w:p>
        </w:tc>
      </w:tr>
      <w:tr w:rsidRPr="00CD7531" w:rsidR="00E65F59" w:rsidTr="00AE5002" w14:paraId="343FF9B5"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Pr="004D5244" w:rsidR="00E65F59" w:rsidP="00E65F59" w:rsidRDefault="00E65F59" w14:paraId="1F5923D8" w14:textId="4E007E7F">
            <w:pPr>
              <w:pStyle w:val="TableCellGeneralText"/>
              <w:ind w:left="233"/>
              <w:rPr>
                <w:b/>
                <w:color w:val="000000"/>
                <w:szCs w:val="20"/>
              </w:rPr>
            </w:pPr>
          </w:p>
        </w:tc>
        <w:tc>
          <w:tcPr>
            <w:tcW w:w="2186" w:type="dxa"/>
          </w:tcPr>
          <w:p w:rsidRPr="004D5244" w:rsidR="00E65F59" w:rsidP="00FF1B9B" w:rsidRDefault="0044627A" w14:paraId="6E8F7803" w14:textId="36266054">
            <w:pPr>
              <w:pStyle w:val="TableCellNumbers"/>
              <w:jc w:val="left"/>
              <w:rPr>
                <w:color w:val="222222"/>
                <w:szCs w:val="20"/>
              </w:rPr>
            </w:pPr>
            <w:r>
              <w:rPr>
                <w:color w:val="000000"/>
                <w:szCs w:val="20"/>
              </w:rPr>
              <w:t>Choice Mobility Study Lead</w:t>
            </w:r>
          </w:p>
        </w:tc>
        <w:tc>
          <w:tcPr>
            <w:tcW w:w="2186" w:type="dxa"/>
          </w:tcPr>
          <w:p w:rsidRPr="004D5244" w:rsidR="00E65F59" w:rsidP="00FF1B9B" w:rsidRDefault="00E65F59" w14:paraId="00247309" w14:textId="0FA16E9F">
            <w:pPr>
              <w:pStyle w:val="TableCellNumbers"/>
              <w:jc w:val="left"/>
              <w:rPr>
                <w:color w:val="222222"/>
                <w:szCs w:val="20"/>
              </w:rPr>
            </w:pPr>
            <w:r w:rsidRPr="00A7368B">
              <w:rPr>
                <w:color w:val="000000"/>
                <w:szCs w:val="20"/>
              </w:rPr>
              <w:t>Chris Hayes</w:t>
            </w:r>
          </w:p>
        </w:tc>
        <w:tc>
          <w:tcPr>
            <w:tcW w:w="2186" w:type="dxa"/>
            <w:noWrap/>
            <w:vAlign w:val="top"/>
          </w:tcPr>
          <w:p w:rsidRPr="001B2A61" w:rsidR="00E65F59" w:rsidP="00E65F59" w:rsidRDefault="00E65F59" w14:paraId="39C0CB31" w14:textId="5F12ABB0">
            <w:pPr>
              <w:pStyle w:val="TableCellNumbers"/>
              <w:jc w:val="center"/>
            </w:pPr>
            <w:r w:rsidRPr="004D5244">
              <w:rPr>
                <w:color w:val="222222"/>
                <w:szCs w:val="20"/>
              </w:rPr>
              <w:t>(202) 833-7200</w:t>
            </w:r>
            <w:r w:rsidR="00AF423D">
              <w:rPr>
                <w:color w:val="222222"/>
                <w:szCs w:val="20"/>
              </w:rPr>
              <w:t xml:space="preserve">/ </w:t>
            </w:r>
            <w:hyperlink w:history="1" r:id="rId12">
              <w:r w:rsidRPr="00E5564C" w:rsidR="00AF423D">
                <w:rPr>
                  <w:rStyle w:val="Hyperlink"/>
                  <w:szCs w:val="20"/>
                </w:rPr>
                <w:t>chayes@urban.org</w:t>
              </w:r>
            </w:hyperlink>
          </w:p>
        </w:tc>
      </w:tr>
      <w:tr w:rsidRPr="00CD7531" w:rsidR="0044627A" w:rsidTr="00AE5002" w14:paraId="75B8CB98" w14:textId="77777777">
        <w:trPr>
          <w:trHeight w:val="20"/>
        </w:trPr>
        <w:tc>
          <w:tcPr>
            <w:tcW w:w="2802" w:type="dxa"/>
          </w:tcPr>
          <w:p w:rsidRPr="00A7368B" w:rsidR="0044627A" w:rsidP="00E65F59" w:rsidRDefault="0044627A" w14:paraId="61891A9E" w14:textId="77777777">
            <w:pPr>
              <w:pStyle w:val="TableCellGeneralText"/>
              <w:rPr>
                <w:color w:val="000000"/>
                <w:szCs w:val="20"/>
              </w:rPr>
            </w:pPr>
          </w:p>
        </w:tc>
        <w:tc>
          <w:tcPr>
            <w:tcW w:w="2186" w:type="dxa"/>
          </w:tcPr>
          <w:p w:rsidR="0044627A" w:rsidP="00FF1B9B" w:rsidRDefault="0044627A" w14:paraId="63CF1482" w14:textId="01FD9584">
            <w:pPr>
              <w:pStyle w:val="TableCellNumbers"/>
              <w:jc w:val="left"/>
              <w:rPr>
                <w:color w:val="000000"/>
                <w:szCs w:val="20"/>
              </w:rPr>
            </w:pPr>
            <w:r>
              <w:rPr>
                <w:color w:val="000000"/>
                <w:szCs w:val="20"/>
              </w:rPr>
              <w:t>Research Associate</w:t>
            </w:r>
          </w:p>
        </w:tc>
        <w:tc>
          <w:tcPr>
            <w:tcW w:w="2186" w:type="dxa"/>
          </w:tcPr>
          <w:p w:rsidR="0044627A" w:rsidP="00FF1B9B" w:rsidRDefault="0044627A" w14:paraId="1A52BBC3" w14:textId="464B437C">
            <w:pPr>
              <w:pStyle w:val="TableCellNumbers"/>
              <w:jc w:val="left"/>
              <w:rPr>
                <w:color w:val="000000"/>
                <w:szCs w:val="20"/>
              </w:rPr>
            </w:pPr>
            <w:r>
              <w:rPr>
                <w:color w:val="000000"/>
                <w:szCs w:val="20"/>
              </w:rPr>
              <w:t>Martena Reed</w:t>
            </w:r>
          </w:p>
        </w:tc>
        <w:tc>
          <w:tcPr>
            <w:tcW w:w="2186" w:type="dxa"/>
            <w:noWrap/>
            <w:vAlign w:val="top"/>
          </w:tcPr>
          <w:p w:rsidR="0044627A" w:rsidP="00E65F59" w:rsidRDefault="003919EC" w14:paraId="0F74374F" w14:textId="77777777">
            <w:pPr>
              <w:pStyle w:val="TableCellNumbers"/>
              <w:jc w:val="center"/>
              <w:rPr>
                <w:color w:val="222222"/>
                <w:szCs w:val="20"/>
              </w:rPr>
            </w:pPr>
            <w:r>
              <w:rPr>
                <w:color w:val="222222"/>
                <w:szCs w:val="20"/>
              </w:rPr>
              <w:t>(202) 261-5304</w:t>
            </w:r>
          </w:p>
          <w:p w:rsidRPr="004D5244" w:rsidR="003919EC" w:rsidP="00E65F59" w:rsidRDefault="003919EC" w14:paraId="72F9D6F8" w14:textId="38FA21F3">
            <w:pPr>
              <w:pStyle w:val="TableCellNumbers"/>
              <w:jc w:val="center"/>
              <w:rPr>
                <w:color w:val="222222"/>
                <w:szCs w:val="20"/>
              </w:rPr>
            </w:pPr>
            <w:r>
              <w:rPr>
                <w:color w:val="222222"/>
                <w:szCs w:val="20"/>
              </w:rPr>
              <w:t>mreed@urban.org</w:t>
            </w:r>
          </w:p>
        </w:tc>
      </w:tr>
      <w:tr w:rsidRPr="00CD7531" w:rsidR="0044627A" w:rsidTr="00AE5002" w14:paraId="13D5F867"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Pr="00A7368B" w:rsidR="0044627A" w:rsidP="00E65F59" w:rsidRDefault="0044627A" w14:paraId="349B3E91" w14:textId="77777777">
            <w:pPr>
              <w:pStyle w:val="TableCellGeneralText"/>
              <w:rPr>
                <w:color w:val="000000"/>
                <w:szCs w:val="20"/>
              </w:rPr>
            </w:pPr>
          </w:p>
        </w:tc>
        <w:tc>
          <w:tcPr>
            <w:tcW w:w="2186" w:type="dxa"/>
          </w:tcPr>
          <w:p w:rsidR="0044627A" w:rsidP="00FF1B9B" w:rsidRDefault="0044627A" w14:paraId="42BBFFFE" w14:textId="64663F59">
            <w:pPr>
              <w:pStyle w:val="TableCellNumbers"/>
              <w:jc w:val="left"/>
              <w:rPr>
                <w:color w:val="000000"/>
                <w:szCs w:val="20"/>
              </w:rPr>
            </w:pPr>
            <w:r>
              <w:rPr>
                <w:color w:val="000000"/>
                <w:szCs w:val="20"/>
              </w:rPr>
              <w:t>Research Analyst</w:t>
            </w:r>
          </w:p>
        </w:tc>
        <w:tc>
          <w:tcPr>
            <w:tcW w:w="2186" w:type="dxa"/>
          </w:tcPr>
          <w:p w:rsidR="0044627A" w:rsidP="00FF1B9B" w:rsidRDefault="0044627A" w14:paraId="41587968" w14:textId="26B78D53">
            <w:pPr>
              <w:pStyle w:val="TableCellNumbers"/>
              <w:jc w:val="left"/>
              <w:rPr>
                <w:color w:val="000000"/>
                <w:szCs w:val="20"/>
              </w:rPr>
            </w:pPr>
            <w:r>
              <w:rPr>
                <w:color w:val="000000"/>
                <w:szCs w:val="20"/>
              </w:rPr>
              <w:t>Alyse Oneto</w:t>
            </w:r>
          </w:p>
        </w:tc>
        <w:tc>
          <w:tcPr>
            <w:tcW w:w="2186" w:type="dxa"/>
            <w:noWrap/>
            <w:vAlign w:val="top"/>
          </w:tcPr>
          <w:p w:rsidR="0044627A" w:rsidP="00E65F59" w:rsidRDefault="003919EC" w14:paraId="35C49393" w14:textId="37ED39D9">
            <w:pPr>
              <w:pStyle w:val="TableCellNumbers"/>
              <w:jc w:val="center"/>
              <w:rPr>
                <w:color w:val="222222"/>
                <w:szCs w:val="20"/>
              </w:rPr>
            </w:pPr>
            <w:r>
              <w:rPr>
                <w:color w:val="222222"/>
                <w:szCs w:val="20"/>
              </w:rPr>
              <w:t>(202) 261-5219</w:t>
            </w:r>
          </w:p>
          <w:p w:rsidRPr="004D5244" w:rsidR="003919EC" w:rsidP="00E65F59" w:rsidRDefault="003919EC" w14:paraId="7A366537" w14:textId="15A17FD5">
            <w:pPr>
              <w:pStyle w:val="TableCellNumbers"/>
              <w:jc w:val="center"/>
              <w:rPr>
                <w:color w:val="222222"/>
                <w:szCs w:val="20"/>
              </w:rPr>
            </w:pPr>
            <w:r>
              <w:rPr>
                <w:color w:val="222222"/>
                <w:szCs w:val="20"/>
              </w:rPr>
              <w:t>aoneto@urban.org</w:t>
            </w:r>
          </w:p>
        </w:tc>
      </w:tr>
      <w:tr w:rsidRPr="00CD7531" w:rsidR="00E65F59" w:rsidTr="00AE5002" w14:paraId="33BF6FD2" w14:textId="77777777">
        <w:trPr>
          <w:trHeight w:val="20"/>
        </w:trPr>
        <w:tc>
          <w:tcPr>
            <w:tcW w:w="2802" w:type="dxa"/>
          </w:tcPr>
          <w:p w:rsidRPr="00A7368B" w:rsidR="00E65F59" w:rsidP="00E65F59" w:rsidRDefault="00E65F59" w14:paraId="0FED7A01" w14:textId="3AC8AABD">
            <w:pPr>
              <w:pStyle w:val="TableCellGeneralText"/>
              <w:rPr>
                <w:color w:val="000000"/>
                <w:szCs w:val="20"/>
              </w:rPr>
            </w:pPr>
          </w:p>
        </w:tc>
        <w:tc>
          <w:tcPr>
            <w:tcW w:w="2186" w:type="dxa"/>
          </w:tcPr>
          <w:p w:rsidRPr="004D5244" w:rsidR="00E65F59" w:rsidP="00FF1B9B" w:rsidRDefault="0044627A" w14:paraId="108C5246" w14:textId="794A3920">
            <w:pPr>
              <w:pStyle w:val="TableCellNumbers"/>
              <w:jc w:val="left"/>
              <w:rPr>
                <w:color w:val="222222"/>
                <w:szCs w:val="20"/>
              </w:rPr>
            </w:pPr>
            <w:r>
              <w:rPr>
                <w:color w:val="000000"/>
                <w:szCs w:val="20"/>
              </w:rPr>
              <w:t xml:space="preserve">Research </w:t>
            </w:r>
            <w:r w:rsidRPr="00A7368B" w:rsidR="00E65F59">
              <w:rPr>
                <w:color w:val="000000"/>
                <w:szCs w:val="20"/>
              </w:rPr>
              <w:t>Analyst</w:t>
            </w:r>
          </w:p>
        </w:tc>
        <w:tc>
          <w:tcPr>
            <w:tcW w:w="2186" w:type="dxa"/>
          </w:tcPr>
          <w:p w:rsidRPr="004D5244" w:rsidR="00E65F59" w:rsidP="00FF1B9B" w:rsidRDefault="00C80C97" w14:paraId="64A58CD0" w14:textId="16457F25">
            <w:pPr>
              <w:pStyle w:val="TableCellNumbers"/>
              <w:jc w:val="left"/>
              <w:rPr>
                <w:color w:val="222222"/>
                <w:szCs w:val="20"/>
              </w:rPr>
            </w:pPr>
            <w:r>
              <w:rPr>
                <w:color w:val="000000"/>
                <w:szCs w:val="20"/>
              </w:rPr>
              <w:t>Matt Gerken</w:t>
            </w:r>
          </w:p>
        </w:tc>
        <w:tc>
          <w:tcPr>
            <w:tcW w:w="2186" w:type="dxa"/>
            <w:noWrap/>
            <w:vAlign w:val="top"/>
          </w:tcPr>
          <w:p w:rsidRPr="004D5244" w:rsidR="00E65F59" w:rsidP="00E65F59" w:rsidRDefault="00E65F59" w14:paraId="246E3A4D" w14:textId="5910CDCD">
            <w:pPr>
              <w:pStyle w:val="TableCellNumbers"/>
              <w:jc w:val="center"/>
              <w:rPr>
                <w:color w:val="222222"/>
                <w:szCs w:val="20"/>
              </w:rPr>
            </w:pPr>
            <w:r w:rsidRPr="004D5244">
              <w:rPr>
                <w:color w:val="222222"/>
                <w:szCs w:val="20"/>
              </w:rPr>
              <w:t>(202) 833-7200</w:t>
            </w:r>
            <w:r w:rsidR="00AF423D">
              <w:rPr>
                <w:color w:val="222222"/>
                <w:szCs w:val="20"/>
              </w:rPr>
              <w:t xml:space="preserve">/ </w:t>
            </w:r>
            <w:hyperlink w:history="1" r:id="rId13">
              <w:r w:rsidRPr="00E5564C" w:rsidR="00AF423D">
                <w:rPr>
                  <w:rStyle w:val="Hyperlink"/>
                  <w:szCs w:val="20"/>
                </w:rPr>
                <w:t>mgerken@urban.org</w:t>
              </w:r>
            </w:hyperlink>
          </w:p>
        </w:tc>
      </w:tr>
      <w:tr w:rsidRPr="00CD7531" w:rsidR="00E65F59" w:rsidTr="00AE5002" w14:paraId="711FBD5C" w14:textId="77777777">
        <w:trPr>
          <w:cnfStyle w:val="000000100000" w:firstRow="0" w:lastRow="0" w:firstColumn="0" w:lastColumn="0" w:oddVBand="0" w:evenVBand="0" w:oddHBand="1" w:evenHBand="0" w:firstRowFirstColumn="0" w:firstRowLastColumn="0" w:lastRowFirstColumn="0" w:lastRowLastColumn="0"/>
          <w:trHeight w:val="20"/>
        </w:trPr>
        <w:tc>
          <w:tcPr>
            <w:tcW w:w="2802" w:type="dxa"/>
          </w:tcPr>
          <w:p w:rsidRPr="00A7368B" w:rsidR="00E65F59" w:rsidP="00E65F59" w:rsidRDefault="00E65F59" w14:paraId="238BDE0E" w14:textId="3A0566A7">
            <w:pPr>
              <w:pStyle w:val="TableCellGeneralText"/>
              <w:rPr>
                <w:color w:val="000000"/>
                <w:szCs w:val="20"/>
              </w:rPr>
            </w:pPr>
          </w:p>
        </w:tc>
        <w:tc>
          <w:tcPr>
            <w:tcW w:w="2186" w:type="dxa"/>
          </w:tcPr>
          <w:p w:rsidRPr="004D5244" w:rsidR="00E65F59" w:rsidP="00FF1B9B" w:rsidRDefault="0044627A" w14:paraId="0EE9FD1F" w14:textId="20219938">
            <w:pPr>
              <w:pStyle w:val="TableCellNumbers"/>
              <w:jc w:val="left"/>
              <w:rPr>
                <w:color w:val="222222"/>
                <w:szCs w:val="20"/>
              </w:rPr>
            </w:pPr>
            <w:r>
              <w:rPr>
                <w:color w:val="000000"/>
                <w:szCs w:val="20"/>
              </w:rPr>
              <w:t>Research</w:t>
            </w:r>
            <w:r w:rsidR="00FB37A9">
              <w:rPr>
                <w:color w:val="000000"/>
                <w:szCs w:val="20"/>
              </w:rPr>
              <w:t xml:space="preserve"> </w:t>
            </w:r>
            <w:r w:rsidRPr="00A7368B" w:rsidR="00E65F59">
              <w:rPr>
                <w:color w:val="000000"/>
                <w:szCs w:val="20"/>
              </w:rPr>
              <w:t>A</w:t>
            </w:r>
            <w:r>
              <w:rPr>
                <w:color w:val="000000"/>
                <w:szCs w:val="20"/>
              </w:rPr>
              <w:t>ssistant</w:t>
            </w:r>
          </w:p>
        </w:tc>
        <w:tc>
          <w:tcPr>
            <w:tcW w:w="2186" w:type="dxa"/>
          </w:tcPr>
          <w:p w:rsidRPr="004D5244" w:rsidR="00E65F59" w:rsidP="00FF1B9B" w:rsidRDefault="00FB37A9" w14:paraId="2842E79C" w14:textId="088AD3BE">
            <w:pPr>
              <w:pStyle w:val="TableCellNumbers"/>
              <w:jc w:val="left"/>
              <w:rPr>
                <w:color w:val="222222"/>
                <w:szCs w:val="20"/>
              </w:rPr>
            </w:pPr>
            <w:r>
              <w:rPr>
                <w:color w:val="000000"/>
                <w:szCs w:val="20"/>
              </w:rPr>
              <w:t>Eleanor Noble</w:t>
            </w:r>
          </w:p>
        </w:tc>
        <w:tc>
          <w:tcPr>
            <w:tcW w:w="2186" w:type="dxa"/>
            <w:noWrap/>
            <w:vAlign w:val="top"/>
          </w:tcPr>
          <w:p w:rsidRPr="004D5244" w:rsidR="00E65F59" w:rsidP="00E65F59" w:rsidRDefault="00E65F59" w14:paraId="47D27D5A" w14:textId="061D07C6">
            <w:pPr>
              <w:pStyle w:val="TableCellNumbers"/>
              <w:jc w:val="center"/>
              <w:rPr>
                <w:color w:val="222222"/>
                <w:szCs w:val="20"/>
              </w:rPr>
            </w:pPr>
            <w:r w:rsidRPr="004D5244">
              <w:rPr>
                <w:color w:val="222222"/>
                <w:szCs w:val="20"/>
              </w:rPr>
              <w:t>(202) 833-7200</w:t>
            </w:r>
            <w:r w:rsidR="002C07EF">
              <w:rPr>
                <w:color w:val="222222"/>
                <w:szCs w:val="20"/>
              </w:rPr>
              <w:t>/ enoble@urban.org</w:t>
            </w:r>
          </w:p>
        </w:tc>
      </w:tr>
      <w:tr w:rsidRPr="00CD7531" w:rsidR="0044627A" w:rsidTr="00AE5002" w14:paraId="505D7FF1" w14:textId="77777777">
        <w:trPr>
          <w:trHeight w:val="20"/>
        </w:trPr>
        <w:tc>
          <w:tcPr>
            <w:tcW w:w="2802" w:type="dxa"/>
          </w:tcPr>
          <w:p w:rsidRPr="00A7368B" w:rsidR="0044627A" w:rsidP="00E65F59" w:rsidRDefault="0044627A" w14:paraId="07E94381" w14:textId="222389C5">
            <w:pPr>
              <w:pStyle w:val="TableCellGeneralText"/>
              <w:rPr>
                <w:color w:val="000000"/>
                <w:szCs w:val="20"/>
              </w:rPr>
            </w:pPr>
          </w:p>
        </w:tc>
        <w:tc>
          <w:tcPr>
            <w:tcW w:w="2186" w:type="dxa"/>
          </w:tcPr>
          <w:p w:rsidR="0044627A" w:rsidP="00FF1B9B" w:rsidRDefault="0044627A" w14:paraId="1ACF647A" w14:textId="56887653">
            <w:pPr>
              <w:pStyle w:val="TableCellNumbers"/>
              <w:jc w:val="left"/>
              <w:rPr>
                <w:color w:val="000000"/>
                <w:szCs w:val="20"/>
              </w:rPr>
            </w:pPr>
            <w:r>
              <w:rPr>
                <w:color w:val="000000"/>
                <w:szCs w:val="20"/>
              </w:rPr>
              <w:t>Research Assistant</w:t>
            </w:r>
          </w:p>
        </w:tc>
        <w:tc>
          <w:tcPr>
            <w:tcW w:w="2186" w:type="dxa"/>
          </w:tcPr>
          <w:p w:rsidR="0044627A" w:rsidP="00FF1B9B" w:rsidRDefault="0044627A" w14:paraId="214E53CC" w14:textId="0803C7DF">
            <w:pPr>
              <w:pStyle w:val="TableCellNumbers"/>
              <w:jc w:val="left"/>
              <w:rPr>
                <w:color w:val="000000"/>
                <w:szCs w:val="20"/>
              </w:rPr>
            </w:pPr>
            <w:r>
              <w:rPr>
                <w:color w:val="000000"/>
                <w:szCs w:val="20"/>
              </w:rPr>
              <w:t>Peace Gwam</w:t>
            </w:r>
          </w:p>
        </w:tc>
        <w:tc>
          <w:tcPr>
            <w:tcW w:w="2186" w:type="dxa"/>
            <w:noWrap/>
            <w:vAlign w:val="top"/>
          </w:tcPr>
          <w:p w:rsidR="0044627A" w:rsidP="00E65F59" w:rsidRDefault="003919EC" w14:paraId="2CB5C9D5" w14:textId="77777777">
            <w:pPr>
              <w:pStyle w:val="TableCellNumbers"/>
              <w:jc w:val="center"/>
              <w:rPr>
                <w:color w:val="222222"/>
                <w:szCs w:val="20"/>
              </w:rPr>
            </w:pPr>
            <w:r>
              <w:rPr>
                <w:color w:val="222222"/>
                <w:szCs w:val="20"/>
              </w:rPr>
              <w:t>(202) 261-5549</w:t>
            </w:r>
          </w:p>
          <w:p w:rsidRPr="004D5244" w:rsidR="003919EC" w:rsidP="00E65F59" w:rsidRDefault="003919EC" w14:paraId="54F183E3" w14:textId="03FC3B2B">
            <w:pPr>
              <w:pStyle w:val="TableCellNumbers"/>
              <w:jc w:val="center"/>
              <w:rPr>
                <w:color w:val="222222"/>
                <w:szCs w:val="20"/>
              </w:rPr>
            </w:pPr>
            <w:r>
              <w:rPr>
                <w:color w:val="222222"/>
                <w:szCs w:val="20"/>
              </w:rPr>
              <w:t>pgwam@urban.org</w:t>
            </w:r>
          </w:p>
        </w:tc>
      </w:tr>
    </w:tbl>
    <w:p w:rsidR="00D767AF" w:rsidP="00770366" w:rsidRDefault="00D767AF" w14:paraId="634D3C05" w14:textId="79CF747D">
      <w:pPr>
        <w:autoSpaceDE w:val="0"/>
        <w:autoSpaceDN w:val="0"/>
        <w:adjustRightInd w:val="0"/>
      </w:pPr>
    </w:p>
    <w:p w:rsidR="002F0E10" w:rsidP="002F0E10" w:rsidRDefault="002F0E10" w14:paraId="01EB1345" w14:textId="51A8D764">
      <w:pPr>
        <w:pStyle w:val="TableCaption"/>
      </w:pPr>
      <w:bookmarkStart w:name="_Ref59101521" w:id="8"/>
      <w:r>
        <w:t xml:space="preserve">Table </w:t>
      </w:r>
      <w:r>
        <w:rPr>
          <w:noProof/>
        </w:rPr>
        <w:fldChar w:fldCharType="begin"/>
      </w:r>
      <w:r>
        <w:rPr>
          <w:noProof/>
        </w:rPr>
        <w:instrText xml:space="preserve"> SEQ Table \* ARABIC </w:instrText>
      </w:r>
      <w:r>
        <w:rPr>
          <w:noProof/>
        </w:rPr>
        <w:fldChar w:fldCharType="separate"/>
      </w:r>
      <w:r w:rsidR="003656F1">
        <w:rPr>
          <w:noProof/>
        </w:rPr>
        <w:t>6</w:t>
      </w:r>
      <w:r>
        <w:rPr>
          <w:noProof/>
        </w:rPr>
        <w:fldChar w:fldCharType="end"/>
      </w:r>
      <w:bookmarkEnd w:id="8"/>
      <w:r>
        <w:t>.</w:t>
      </w:r>
      <w:r>
        <w:tab/>
        <w:t>HUD Staff Who Advised on the Survey and Interview Instruments</w:t>
      </w:r>
    </w:p>
    <w:tbl>
      <w:tblPr>
        <w:tblStyle w:val="EconometricaTableStyle"/>
        <w:tblW w:w="0" w:type="auto"/>
        <w:tblLayout w:type="fixed"/>
        <w:tblLook w:val="04A0" w:firstRow="1" w:lastRow="0" w:firstColumn="1" w:lastColumn="0" w:noHBand="0" w:noVBand="1"/>
      </w:tblPr>
      <w:tblGrid>
        <w:gridCol w:w="5040"/>
        <w:gridCol w:w="1980"/>
        <w:gridCol w:w="2340"/>
      </w:tblGrid>
      <w:tr w:rsidRPr="00CD7531" w:rsidR="002F0E10" w:rsidTr="00131270" w14:paraId="50F77A7E" w14:textId="77777777">
        <w:trPr>
          <w:cnfStyle w:val="100000000000" w:firstRow="1" w:lastRow="0" w:firstColumn="0" w:lastColumn="0" w:oddVBand="0" w:evenVBand="0" w:oddHBand="0" w:evenHBand="0" w:firstRowFirstColumn="0" w:firstRowLastColumn="0" w:lastRowFirstColumn="0" w:lastRowLastColumn="0"/>
          <w:trHeight w:val="20"/>
        </w:trPr>
        <w:tc>
          <w:tcPr>
            <w:tcW w:w="5040" w:type="dxa"/>
            <w:noWrap/>
            <w:hideMark/>
          </w:tcPr>
          <w:p w:rsidRPr="00CD7531" w:rsidR="002F0E10" w:rsidP="00E42AF5" w:rsidRDefault="002F0E10" w14:paraId="324EE9AD" w14:textId="67262C1F">
            <w:pPr>
              <w:pStyle w:val="TableColumnHeading"/>
            </w:pPr>
            <w:r>
              <w:t>Name</w:t>
            </w:r>
          </w:p>
        </w:tc>
        <w:tc>
          <w:tcPr>
            <w:tcW w:w="1980" w:type="dxa"/>
          </w:tcPr>
          <w:p w:rsidR="002F0E10" w:rsidP="00E42AF5" w:rsidRDefault="00666C67" w14:paraId="64410EC4" w14:textId="5AC5BF7B">
            <w:pPr>
              <w:pStyle w:val="TableColumnHeading"/>
            </w:pPr>
            <w:r>
              <w:t>Role</w:t>
            </w:r>
          </w:p>
        </w:tc>
        <w:tc>
          <w:tcPr>
            <w:tcW w:w="2340" w:type="dxa"/>
            <w:noWrap/>
            <w:hideMark/>
          </w:tcPr>
          <w:p w:rsidRPr="00CD7531" w:rsidR="002F0E10" w:rsidP="00E42AF5" w:rsidRDefault="002F0E10" w14:paraId="186760C1" w14:textId="4A52C449">
            <w:pPr>
              <w:pStyle w:val="TableColumnHeading"/>
            </w:pPr>
            <w:r>
              <w:t xml:space="preserve">Phone Number/Email </w:t>
            </w:r>
          </w:p>
        </w:tc>
      </w:tr>
      <w:tr w:rsidRPr="00CD7531" w:rsidR="002F0E10" w:rsidTr="00131270" w14:paraId="23E063C3" w14:textId="77777777">
        <w:trPr>
          <w:cnfStyle w:val="000000100000" w:firstRow="0" w:lastRow="0" w:firstColumn="0" w:lastColumn="0" w:oddVBand="0" w:evenVBand="0" w:oddHBand="1" w:evenHBand="0" w:firstRowFirstColumn="0" w:firstRowLastColumn="0" w:lastRowFirstColumn="0" w:lastRowLastColumn="0"/>
          <w:trHeight w:val="20"/>
        </w:trPr>
        <w:tc>
          <w:tcPr>
            <w:tcW w:w="5040" w:type="dxa"/>
            <w:hideMark/>
          </w:tcPr>
          <w:p w:rsidRPr="001B2A61" w:rsidR="002F0E10" w:rsidP="00E42AF5" w:rsidRDefault="002B0371" w14:paraId="41231E52" w14:textId="34FF1F6E">
            <w:pPr>
              <w:pStyle w:val="TableCellGeneralText"/>
            </w:pPr>
            <w:r>
              <w:t>Teresa Souza</w:t>
            </w:r>
          </w:p>
        </w:tc>
        <w:tc>
          <w:tcPr>
            <w:tcW w:w="1980" w:type="dxa"/>
          </w:tcPr>
          <w:p w:rsidRPr="001B2A61" w:rsidR="002F0E10" w:rsidP="00E65F59" w:rsidRDefault="00666C67" w14:paraId="64D339B1" w14:textId="1E8CD602">
            <w:pPr>
              <w:pStyle w:val="TableCellNumbers"/>
              <w:jc w:val="left"/>
            </w:pPr>
            <w:r>
              <w:t>GTR</w:t>
            </w:r>
          </w:p>
        </w:tc>
        <w:tc>
          <w:tcPr>
            <w:tcW w:w="2340" w:type="dxa"/>
            <w:noWrap/>
            <w:hideMark/>
          </w:tcPr>
          <w:p w:rsidRPr="001B2A61" w:rsidR="002F0E10" w:rsidP="00131270" w:rsidRDefault="00131270" w14:paraId="7B4F14DD" w14:textId="4136DE7E">
            <w:pPr>
              <w:pStyle w:val="TableCellNumbers"/>
              <w:jc w:val="left"/>
            </w:pPr>
            <w:r w:rsidRPr="00131270">
              <w:t>(202) 402-5540</w:t>
            </w:r>
            <w:r>
              <w:t xml:space="preserve">/ </w:t>
            </w:r>
            <w:r w:rsidR="002C07EF">
              <w:t>Teresa.souza@hud.gov</w:t>
            </w:r>
          </w:p>
        </w:tc>
      </w:tr>
      <w:tr w:rsidRPr="00CD7531" w:rsidR="002F0E10" w:rsidTr="00131270" w14:paraId="179923A4" w14:textId="77777777">
        <w:trPr>
          <w:trHeight w:val="20"/>
        </w:trPr>
        <w:tc>
          <w:tcPr>
            <w:tcW w:w="5040" w:type="dxa"/>
          </w:tcPr>
          <w:p w:rsidRPr="001B2A61" w:rsidR="002F0E10" w:rsidP="00E42AF5" w:rsidRDefault="002F0E10" w14:paraId="726004E1" w14:textId="1BFADC07">
            <w:pPr>
              <w:pStyle w:val="TableCellGeneralText"/>
            </w:pPr>
          </w:p>
        </w:tc>
        <w:tc>
          <w:tcPr>
            <w:tcW w:w="1980" w:type="dxa"/>
          </w:tcPr>
          <w:p w:rsidRPr="001B2A61" w:rsidR="002F0E10" w:rsidP="00E42AF5" w:rsidRDefault="002F0E10" w14:paraId="419DC961" w14:textId="77777777">
            <w:pPr>
              <w:pStyle w:val="TableCellNumbers"/>
            </w:pPr>
          </w:p>
        </w:tc>
        <w:tc>
          <w:tcPr>
            <w:tcW w:w="2340" w:type="dxa"/>
            <w:noWrap/>
          </w:tcPr>
          <w:p w:rsidRPr="001B2A61" w:rsidR="002F0E10" w:rsidP="00E42AF5" w:rsidRDefault="002F0E10" w14:paraId="68A83228" w14:textId="4578AD51">
            <w:pPr>
              <w:pStyle w:val="TableCellNumbers"/>
            </w:pPr>
          </w:p>
        </w:tc>
      </w:tr>
    </w:tbl>
    <w:p w:rsidR="002F0E10" w:rsidP="00770366" w:rsidRDefault="002F0E10" w14:paraId="26B4D20D" w14:textId="77777777">
      <w:pPr>
        <w:autoSpaceDE w:val="0"/>
        <w:autoSpaceDN w:val="0"/>
        <w:adjustRightInd w:val="0"/>
      </w:pPr>
    </w:p>
    <w:p w:rsidR="00D767AF" w:rsidP="00770366" w:rsidRDefault="00D767AF" w14:paraId="7D922AAF" w14:textId="77777777">
      <w:pPr>
        <w:autoSpaceDE w:val="0"/>
        <w:autoSpaceDN w:val="0"/>
        <w:adjustRightInd w:val="0"/>
      </w:pPr>
    </w:p>
    <w:p w:rsidR="007F4005" w:rsidP="00770366" w:rsidRDefault="007F4005" w14:paraId="047D70A7" w14:textId="77777777">
      <w:pPr>
        <w:autoSpaceDE w:val="0"/>
        <w:autoSpaceDN w:val="0"/>
        <w:adjustRightInd w:val="0"/>
      </w:pPr>
    </w:p>
    <w:p w:rsidRPr="009B65DE" w:rsidR="007F4005" w:rsidP="00770366" w:rsidRDefault="007F4005" w14:paraId="77B41E69" w14:textId="77777777"/>
    <w:p w:rsidR="00F47B87" w:rsidRDefault="00F47B87" w14:paraId="53FF9801" w14:textId="77777777">
      <w:pPr>
        <w:spacing w:after="200" w:line="276" w:lineRule="auto"/>
      </w:pPr>
      <w:r>
        <w:br w:type="page"/>
      </w:r>
    </w:p>
    <w:p w:rsidR="009966BE" w:rsidP="00E12FD8" w:rsidRDefault="00F47B87" w14:paraId="0F7753EE" w14:textId="3FF69A2D">
      <w:pPr>
        <w:autoSpaceDE w:val="0"/>
        <w:autoSpaceDN w:val="0"/>
        <w:adjustRightInd w:val="0"/>
        <w:jc w:val="center"/>
        <w:rPr>
          <w:rFonts w:ascii="Arial" w:hAnsi="Arial" w:cs="Arial"/>
          <w:b/>
        </w:rPr>
      </w:pPr>
      <w:r w:rsidRPr="00E12FD8">
        <w:rPr>
          <w:rFonts w:ascii="Arial" w:hAnsi="Arial" w:cs="Arial"/>
          <w:b/>
        </w:rPr>
        <w:lastRenderedPageBreak/>
        <w:t xml:space="preserve">Appendix. </w:t>
      </w:r>
      <w:r w:rsidRPr="00E12FD8" w:rsidR="009966BE">
        <w:rPr>
          <w:rFonts w:ascii="Arial" w:hAnsi="Arial" w:cs="Arial"/>
          <w:b/>
        </w:rPr>
        <w:t xml:space="preserve">Draft Communications for RAD Evaluation </w:t>
      </w:r>
    </w:p>
    <w:p w:rsidR="0065391C" w:rsidP="00E12FD8" w:rsidRDefault="0065391C" w14:paraId="0CE61967" w14:textId="77777777">
      <w:pPr>
        <w:autoSpaceDE w:val="0"/>
        <w:autoSpaceDN w:val="0"/>
        <w:adjustRightInd w:val="0"/>
        <w:jc w:val="center"/>
        <w:rPr>
          <w:rFonts w:ascii="Arial" w:hAnsi="Arial" w:cs="Arial"/>
          <w:b/>
          <w:highlight w:val="yellow"/>
        </w:rPr>
      </w:pPr>
    </w:p>
    <w:p w:rsidR="009F6125" w:rsidP="00E12FD8" w:rsidRDefault="005C14D1" w14:paraId="72857DE5" w14:textId="0C881145">
      <w:pPr>
        <w:autoSpaceDE w:val="0"/>
        <w:autoSpaceDN w:val="0"/>
        <w:adjustRightInd w:val="0"/>
        <w:jc w:val="center"/>
        <w:rPr>
          <w:rFonts w:ascii="Arial" w:hAnsi="Arial" w:cs="Arial"/>
          <w:b/>
        </w:rPr>
      </w:pPr>
      <w:r w:rsidRPr="00C565AB">
        <w:rPr>
          <w:rFonts w:ascii="Arial" w:hAnsi="Arial" w:cs="Arial"/>
          <w:b/>
        </w:rPr>
        <w:t>This Appendix include</w:t>
      </w:r>
      <w:r w:rsidRPr="00C565AB" w:rsidR="0065391C">
        <w:rPr>
          <w:rFonts w:ascii="Arial" w:hAnsi="Arial" w:cs="Arial"/>
          <w:b/>
        </w:rPr>
        <w:t>s</w:t>
      </w:r>
      <w:r w:rsidRPr="00C565AB">
        <w:rPr>
          <w:rFonts w:ascii="Arial" w:hAnsi="Arial" w:cs="Arial"/>
          <w:b/>
        </w:rPr>
        <w:t xml:space="preserve"> all </w:t>
      </w:r>
      <w:r w:rsidRPr="00C565AB" w:rsidR="00102BFC">
        <w:rPr>
          <w:rFonts w:ascii="Arial" w:hAnsi="Arial" w:cs="Arial"/>
          <w:b/>
        </w:rPr>
        <w:t xml:space="preserve">survey documents and </w:t>
      </w:r>
      <w:r w:rsidRPr="00C565AB">
        <w:rPr>
          <w:rFonts w:ascii="Arial" w:hAnsi="Arial" w:cs="Arial"/>
          <w:b/>
        </w:rPr>
        <w:t>communications from HUD and Econometrica/UI to all potential respondents</w:t>
      </w:r>
    </w:p>
    <w:p w:rsidR="009966BE" w:rsidP="00E12FD8" w:rsidRDefault="009966BE" w14:paraId="6FDB84B6" w14:textId="77777777">
      <w:pPr>
        <w:autoSpaceDE w:val="0"/>
        <w:autoSpaceDN w:val="0"/>
        <w:adjustRightInd w:val="0"/>
        <w:jc w:val="center"/>
        <w:rPr>
          <w:rFonts w:ascii="Arial" w:hAnsi="Arial" w:cs="Arial"/>
          <w:b/>
        </w:rPr>
      </w:pPr>
    </w:p>
    <w:sectPr w:rsidR="009966BE" w:rsidSect="00E42AF5">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30C3B" w16cex:dateUtc="2021-01-08T2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A081" w14:textId="77777777" w:rsidR="002113F2" w:rsidRDefault="002113F2" w:rsidP="007F4005">
      <w:r>
        <w:separator/>
      </w:r>
    </w:p>
  </w:endnote>
  <w:endnote w:type="continuationSeparator" w:id="0">
    <w:p w14:paraId="744336D8" w14:textId="77777777" w:rsidR="002113F2" w:rsidRDefault="002113F2" w:rsidP="007F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538B" w14:textId="32BD5DB4" w:rsidR="00421C65" w:rsidRDefault="00421C65">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r>
          <w:rPr>
            <w:noProof/>
          </w:rPr>
          <w:t xml:space="preserve"> – Part B Supporting Statement</w:t>
        </w:r>
      </w:sdtContent>
    </w:sdt>
  </w:p>
  <w:p w14:paraId="27780032" w14:textId="77777777" w:rsidR="00421C65" w:rsidRPr="007F4005" w:rsidRDefault="00421C65" w:rsidP="007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8C4A" w14:textId="77777777" w:rsidR="002113F2" w:rsidRDefault="002113F2" w:rsidP="007F4005">
      <w:r>
        <w:separator/>
      </w:r>
    </w:p>
  </w:footnote>
  <w:footnote w:type="continuationSeparator" w:id="0">
    <w:p w14:paraId="5B7D012C" w14:textId="77777777" w:rsidR="002113F2" w:rsidRDefault="002113F2" w:rsidP="007F4005">
      <w:r>
        <w:continuationSeparator/>
      </w:r>
    </w:p>
  </w:footnote>
  <w:footnote w:id="1">
    <w:p w14:paraId="2E0586DF" w14:textId="77777777" w:rsidR="00421C65" w:rsidRDefault="00421C65" w:rsidP="0060238C">
      <w:pPr>
        <w:pStyle w:val="FootnoteText"/>
      </w:pPr>
      <w:r>
        <w:rPr>
          <w:rStyle w:val="FootnoteReference"/>
        </w:rPr>
        <w:footnoteRef/>
      </w:r>
      <w:r>
        <w:t xml:space="preserve"> Stabilized occupancy </w:t>
      </w:r>
      <w:r w:rsidRPr="00735CAF">
        <w:t>is the long-term average occupancy rate that an income-producing property is expected to achieve after leasing in the open market for a reasonable period at terms and conditions comparable to competitive offerings.</w:t>
      </w:r>
      <w:r>
        <w:t xml:space="preserve"> In the first year of operation, </w:t>
      </w:r>
      <w:r w:rsidRPr="009B4387">
        <w:t xml:space="preserve">as </w:t>
      </w:r>
      <w:r>
        <w:t xml:space="preserve">a new rental building </w:t>
      </w:r>
      <w:r w:rsidRPr="009B4387">
        <w:t>goes through the lease-up process</w:t>
      </w:r>
      <w:r>
        <w:t xml:space="preserve">, it usually has an occupancy rate below stabilized occupancy, which distorts the financial picture.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7A971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BE607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03A2A"/>
    <w:multiLevelType w:val="hybridMultilevel"/>
    <w:tmpl w:val="2C18166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53D1EF1"/>
    <w:multiLevelType w:val="hybridMultilevel"/>
    <w:tmpl w:val="B8E0F6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A772A"/>
    <w:multiLevelType w:val="multilevel"/>
    <w:tmpl w:val="CBEEE7A0"/>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 w15:restartNumberingAfterBreak="0">
    <w:nsid w:val="09E13668"/>
    <w:multiLevelType w:val="hybridMultilevel"/>
    <w:tmpl w:val="049633A6"/>
    <w:lvl w:ilvl="0" w:tplc="46D0EC7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D04E8"/>
    <w:multiLevelType w:val="hybridMultilevel"/>
    <w:tmpl w:val="BAF4C302"/>
    <w:lvl w:ilvl="0" w:tplc="94D077C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D27EE4"/>
    <w:multiLevelType w:val="hybridMultilevel"/>
    <w:tmpl w:val="1E24C964"/>
    <w:lvl w:ilvl="0" w:tplc="04090015">
      <w:start w:val="1"/>
      <w:numFmt w:val="upperLetter"/>
      <w:lvlText w:val="%1."/>
      <w:lvlJc w:val="left"/>
      <w:pPr>
        <w:ind w:left="720" w:hanging="360"/>
      </w:pPr>
    </w:lvl>
    <w:lvl w:ilvl="1" w:tplc="AE764F8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3F1"/>
    <w:multiLevelType w:val="multilevel"/>
    <w:tmpl w:val="A1827642"/>
    <w:lvl w:ilvl="0">
      <w:start w:val="1"/>
      <w:numFmt w:val="decimal"/>
      <w:lvlText w:val="%1."/>
      <w:lvlJc w:val="left"/>
      <w:pPr>
        <w:ind w:left="331" w:hanging="331"/>
      </w:pPr>
      <w:rPr>
        <w:rFonts w:hint="default"/>
      </w:rPr>
    </w:lvl>
    <w:lvl w:ilvl="1">
      <w:start w:val="1"/>
      <w:numFmt w:val="decimal"/>
      <w:lvlText w:val="%1.%2."/>
      <w:lvlJc w:val="left"/>
      <w:pPr>
        <w:ind w:left="547" w:hanging="547"/>
      </w:pPr>
      <w:rPr>
        <w:rFonts w:hint="default"/>
      </w:rPr>
    </w:lvl>
    <w:lvl w:ilvl="2">
      <w:start w:val="1"/>
      <w:numFmt w:val="decimal"/>
      <w:suff w:val="space"/>
      <w:lvlText w:val="%1.%2.%3."/>
      <w:lvlJc w:val="left"/>
      <w:pPr>
        <w:ind w:left="677" w:hanging="677"/>
      </w:pPr>
      <w:rPr>
        <w:rFonts w:hint="default"/>
      </w:rPr>
    </w:lvl>
    <w:lvl w:ilvl="3">
      <w:start w:val="1"/>
      <w:numFmt w:val="none"/>
      <w:suff w:val="nothing"/>
      <w:lvlText w:val=""/>
      <w:lvlJc w:val="left"/>
      <w:pPr>
        <w:ind w:left="792" w:hanging="792"/>
      </w:pPr>
      <w:rPr>
        <w:rFonts w:hint="default"/>
      </w:rPr>
    </w:lvl>
    <w:lvl w:ilvl="4">
      <w:start w:val="1"/>
      <w:numFmt w:val="none"/>
      <w:suff w:val="nothing"/>
      <w:lvlText w:val=""/>
      <w:lvlJc w:val="left"/>
      <w:pPr>
        <w:ind w:left="965" w:hanging="965"/>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677" w:hanging="677"/>
      </w:pPr>
      <w:rPr>
        <w:rFonts w:hint="default"/>
      </w:rPr>
    </w:lvl>
    <w:lvl w:ilvl="7">
      <w:start w:val="1"/>
      <w:numFmt w:val="decimal"/>
      <w:suff w:val="space"/>
      <w:lvlText w:val="%6.%7.%8."/>
      <w:lvlJc w:val="left"/>
      <w:pPr>
        <w:ind w:left="720" w:hanging="720"/>
      </w:pPr>
      <w:rPr>
        <w:rFonts w:hint="default"/>
      </w:rPr>
    </w:lvl>
    <w:lvl w:ilvl="8">
      <w:start w:val="1"/>
      <w:numFmt w:val="decimal"/>
      <w:suff w:val="space"/>
      <w:lvlText w:val="%6.%7.%8.%9."/>
      <w:lvlJc w:val="left"/>
      <w:pPr>
        <w:ind w:left="778" w:hanging="778"/>
      </w:pPr>
      <w:rPr>
        <w:rFonts w:hint="default"/>
      </w:rPr>
    </w:lvl>
  </w:abstractNum>
  <w:abstractNum w:abstractNumId="9" w15:restartNumberingAfterBreak="0">
    <w:nsid w:val="1C5D5DAB"/>
    <w:multiLevelType w:val="hybridMultilevel"/>
    <w:tmpl w:val="53660A44"/>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2FC2"/>
    <w:multiLevelType w:val="hybridMultilevel"/>
    <w:tmpl w:val="DB62C8A0"/>
    <w:lvl w:ilvl="0" w:tplc="F3104DB8">
      <w:start w:val="1"/>
      <w:numFmt w:val="lowerLetter"/>
      <w:lvlText w:val="%1."/>
      <w:lvlJc w:val="left"/>
      <w:pPr>
        <w:ind w:left="1440" w:hanging="360"/>
      </w:pPr>
      <w:rPr>
        <w:rFonts w:eastAsia="Calibr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C73177"/>
    <w:multiLevelType w:val="hybridMultilevel"/>
    <w:tmpl w:val="409CEE8C"/>
    <w:lvl w:ilvl="0" w:tplc="FFF26C36">
      <w:start w:val="1"/>
      <w:numFmt w:val="upperLetter"/>
      <w:pStyle w:val="H1Part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F36F5"/>
    <w:multiLevelType w:val="hybridMultilevel"/>
    <w:tmpl w:val="183AC3C6"/>
    <w:lvl w:ilvl="0" w:tplc="7C068192">
      <w:start w:val="1"/>
      <w:numFmt w:val="decimal"/>
      <w:pStyle w:val="H2Part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E20BB"/>
    <w:multiLevelType w:val="hybridMultilevel"/>
    <w:tmpl w:val="DB525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49345A"/>
    <w:multiLevelType w:val="hybridMultilevel"/>
    <w:tmpl w:val="83B64B70"/>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B2D37"/>
    <w:multiLevelType w:val="hybridMultilevel"/>
    <w:tmpl w:val="B2B6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A65BE"/>
    <w:multiLevelType w:val="hybridMultilevel"/>
    <w:tmpl w:val="063EC166"/>
    <w:lvl w:ilvl="0" w:tplc="F3104DB8">
      <w:start w:val="1"/>
      <w:numFmt w:val="lowerLetter"/>
      <w:lvlText w:val="%1."/>
      <w:lvlJc w:val="left"/>
      <w:pPr>
        <w:ind w:left="720" w:hanging="180"/>
      </w:pPr>
      <w:rPr>
        <w:rFonts w:eastAsia="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09268CB"/>
    <w:multiLevelType w:val="hybridMultilevel"/>
    <w:tmpl w:val="0B8C4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60604"/>
    <w:multiLevelType w:val="hybridMultilevel"/>
    <w:tmpl w:val="D898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75E1A"/>
    <w:multiLevelType w:val="hybridMultilevel"/>
    <w:tmpl w:val="E7CE7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66760"/>
    <w:multiLevelType w:val="hybridMultilevel"/>
    <w:tmpl w:val="3F9CACDC"/>
    <w:lvl w:ilvl="0" w:tplc="2CA05126">
      <w:start w:val="2"/>
      <w:numFmt w:val="lowerLetter"/>
      <w:lvlText w:val="%1."/>
      <w:lvlJc w:val="left"/>
      <w:pPr>
        <w:ind w:left="108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3B1E43"/>
    <w:multiLevelType w:val="hybridMultilevel"/>
    <w:tmpl w:val="79760A1E"/>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15FED"/>
    <w:multiLevelType w:val="hybridMultilevel"/>
    <w:tmpl w:val="88A6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74DAB"/>
    <w:multiLevelType w:val="hybridMultilevel"/>
    <w:tmpl w:val="DB62C8A0"/>
    <w:lvl w:ilvl="0" w:tplc="F3104DB8">
      <w:start w:val="1"/>
      <w:numFmt w:val="lowerLetter"/>
      <w:lvlText w:val="%1."/>
      <w:lvlJc w:val="left"/>
      <w:pPr>
        <w:ind w:left="1440" w:hanging="360"/>
      </w:pPr>
      <w:rPr>
        <w:rFonts w:eastAsia="Calibr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4752A0"/>
    <w:multiLevelType w:val="hybridMultilevel"/>
    <w:tmpl w:val="E7DEAE28"/>
    <w:lvl w:ilvl="0" w:tplc="AE764F8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14BD0"/>
    <w:multiLevelType w:val="hybridMultilevel"/>
    <w:tmpl w:val="5FD0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B2B31"/>
    <w:multiLevelType w:val="hybridMultilevel"/>
    <w:tmpl w:val="5142DE56"/>
    <w:lvl w:ilvl="0" w:tplc="04090001">
      <w:start w:val="1"/>
      <w:numFmt w:val="bullet"/>
      <w:pStyle w:val="H3PartB"/>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9404CD"/>
    <w:multiLevelType w:val="hybridMultilevel"/>
    <w:tmpl w:val="BD26FA4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52717"/>
    <w:multiLevelType w:val="hybridMultilevel"/>
    <w:tmpl w:val="D2F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E7828"/>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pStyle w:val="ListBullet2-SingleLine"/>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3242C"/>
    <w:multiLevelType w:val="hybridMultilevel"/>
    <w:tmpl w:val="A112AA64"/>
    <w:lvl w:ilvl="0" w:tplc="04090019">
      <w:start w:val="1"/>
      <w:numFmt w:val="lowerLetter"/>
      <w:lvlText w:val="%1."/>
      <w:lvlJc w:val="left"/>
      <w:pPr>
        <w:ind w:left="720" w:hanging="360"/>
      </w:pPr>
    </w:lvl>
    <w:lvl w:ilvl="1" w:tplc="46D0EC7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1164E"/>
    <w:multiLevelType w:val="hybridMultilevel"/>
    <w:tmpl w:val="B8E0F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730FF4"/>
    <w:multiLevelType w:val="hybridMultilevel"/>
    <w:tmpl w:val="8E1A2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9F13B1"/>
    <w:multiLevelType w:val="hybridMultilevel"/>
    <w:tmpl w:val="678A75CE"/>
    <w:lvl w:ilvl="0" w:tplc="0409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4"/>
  </w:num>
  <w:num w:numId="3">
    <w:abstractNumId w:val="32"/>
  </w:num>
  <w:num w:numId="4">
    <w:abstractNumId w:val="33"/>
  </w:num>
  <w:num w:numId="5">
    <w:abstractNumId w:val="7"/>
  </w:num>
  <w:num w:numId="6">
    <w:abstractNumId w:val="31"/>
  </w:num>
  <w:num w:numId="7">
    <w:abstractNumId w:val="18"/>
  </w:num>
  <w:num w:numId="8">
    <w:abstractNumId w:val="5"/>
  </w:num>
  <w:num w:numId="9">
    <w:abstractNumId w:val="27"/>
  </w:num>
  <w:num w:numId="10">
    <w:abstractNumId w:val="11"/>
  </w:num>
  <w:num w:numId="11">
    <w:abstractNumId w:val="13"/>
  </w:num>
  <w:num w:numId="12">
    <w:abstractNumId w:val="29"/>
  </w:num>
  <w:num w:numId="13">
    <w:abstractNumId w:val="9"/>
  </w:num>
  <w:num w:numId="14">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lvl w:ilvl="0">
        <w:start w:val="1"/>
        <w:numFmt w:val="decimal"/>
        <w:pStyle w:val="ListNumber"/>
        <w:lvlText w:val="%1."/>
        <w:lvlJc w:val="left"/>
        <w:pPr>
          <w:tabs>
            <w:tab w:val="num" w:pos="720"/>
          </w:tabs>
          <w:ind w:left="720" w:hanging="360"/>
        </w:pPr>
        <w:rPr>
          <w:rFonts w:hint="default"/>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0"/>
  </w:num>
  <w:num w:numId="18">
    <w:abstractNumId w:val="16"/>
    <w:lvlOverride w:ilvl="0">
      <w:startOverride w:val="1"/>
      <w:lvl w:ilvl="0">
        <w:start w:val="1"/>
        <w:numFmt w:val="decimal"/>
        <w:pStyle w:val="ListNumber"/>
        <w:lvlText w:val="%1."/>
        <w:lvlJc w:val="left"/>
        <w:pPr>
          <w:tabs>
            <w:tab w:val="num" w:pos="720"/>
          </w:tabs>
          <w:ind w:left="720" w:hanging="360"/>
        </w:pPr>
        <w:rPr>
          <w:rFonts w:hint="default"/>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16"/>
    <w:lvlOverride w:ilvl="0">
      <w:startOverride w:val="1"/>
      <w:lvl w:ilvl="0">
        <w:start w:val="1"/>
        <w:numFmt w:val="decimal"/>
        <w:pStyle w:val="ListNumber"/>
        <w:lvlText w:val="%1."/>
        <w:lvlJc w:val="left"/>
        <w:pPr>
          <w:tabs>
            <w:tab w:val="num" w:pos="720"/>
          </w:tabs>
          <w:ind w:left="720" w:hanging="360"/>
        </w:pPr>
        <w:rPr>
          <w:rFonts w:hint="default"/>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abstractNumId w:val="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num>
  <w:num w:numId="24">
    <w:abstractNumId w:val="30"/>
  </w:num>
  <w:num w:numId="25">
    <w:abstractNumId w:val="22"/>
  </w:num>
  <w:num w:numId="26">
    <w:abstractNumId w:val="17"/>
  </w:num>
  <w:num w:numId="27">
    <w:abstractNumId w:val="10"/>
  </w:num>
  <w:num w:numId="28">
    <w:abstractNumId w:val="3"/>
  </w:num>
  <w:num w:numId="29">
    <w:abstractNumId w:val="34"/>
  </w:num>
  <w:num w:numId="30">
    <w:abstractNumId w:val="1"/>
  </w:num>
  <w:num w:numId="31">
    <w:abstractNumId w:val="0"/>
  </w:num>
  <w:num w:numId="32">
    <w:abstractNumId w:val="19"/>
  </w:num>
  <w:num w:numId="33">
    <w:abstractNumId w:val="26"/>
  </w:num>
  <w:num w:numId="34">
    <w:abstractNumId w:val="23"/>
  </w:num>
  <w:num w:numId="35">
    <w:abstractNumId w:val="25"/>
  </w:num>
  <w:num w:numId="36">
    <w:abstractNumId w:val="2"/>
  </w:num>
  <w:num w:numId="37">
    <w:abstractNumId w:val="14"/>
  </w:num>
  <w:num w:numId="38">
    <w:abstractNumId w:val="21"/>
  </w:num>
  <w:num w:numId="39">
    <w:abstractNumId w:val="24"/>
  </w:num>
  <w:num w:numId="40">
    <w:abstractNumId w:val="6"/>
  </w:num>
  <w:num w:numId="41">
    <w:abstractNumId w:val="28"/>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05"/>
    <w:rsid w:val="00002C82"/>
    <w:rsid w:val="0001529B"/>
    <w:rsid w:val="00016B96"/>
    <w:rsid w:val="00020408"/>
    <w:rsid w:val="00020E4A"/>
    <w:rsid w:val="000224D6"/>
    <w:rsid w:val="000261CF"/>
    <w:rsid w:val="00031389"/>
    <w:rsid w:val="00031E3F"/>
    <w:rsid w:val="0003247F"/>
    <w:rsid w:val="00043683"/>
    <w:rsid w:val="00045E9C"/>
    <w:rsid w:val="000470D5"/>
    <w:rsid w:val="00056F83"/>
    <w:rsid w:val="00061AA7"/>
    <w:rsid w:val="000671DD"/>
    <w:rsid w:val="00067727"/>
    <w:rsid w:val="00073488"/>
    <w:rsid w:val="00076DD4"/>
    <w:rsid w:val="00082A1C"/>
    <w:rsid w:val="00087AB8"/>
    <w:rsid w:val="00087FF2"/>
    <w:rsid w:val="00090380"/>
    <w:rsid w:val="000906CC"/>
    <w:rsid w:val="00091310"/>
    <w:rsid w:val="00091523"/>
    <w:rsid w:val="00093E43"/>
    <w:rsid w:val="0009412C"/>
    <w:rsid w:val="000A0586"/>
    <w:rsid w:val="000A161A"/>
    <w:rsid w:val="000A63EB"/>
    <w:rsid w:val="000A649E"/>
    <w:rsid w:val="000A77EA"/>
    <w:rsid w:val="000B38C6"/>
    <w:rsid w:val="000B4C20"/>
    <w:rsid w:val="000B5B2A"/>
    <w:rsid w:val="000D0015"/>
    <w:rsid w:val="000D5087"/>
    <w:rsid w:val="000D5768"/>
    <w:rsid w:val="000D7365"/>
    <w:rsid w:val="000E0FEF"/>
    <w:rsid w:val="000E78A4"/>
    <w:rsid w:val="000F0D57"/>
    <w:rsid w:val="000F32B4"/>
    <w:rsid w:val="000F4E47"/>
    <w:rsid w:val="000F5DF2"/>
    <w:rsid w:val="00101EA9"/>
    <w:rsid w:val="00102BFC"/>
    <w:rsid w:val="00103302"/>
    <w:rsid w:val="00103B2F"/>
    <w:rsid w:val="001044BC"/>
    <w:rsid w:val="001056B6"/>
    <w:rsid w:val="001071E9"/>
    <w:rsid w:val="0011352A"/>
    <w:rsid w:val="001135D3"/>
    <w:rsid w:val="00115841"/>
    <w:rsid w:val="0011598F"/>
    <w:rsid w:val="00122CA6"/>
    <w:rsid w:val="00131270"/>
    <w:rsid w:val="00134B28"/>
    <w:rsid w:val="00135C92"/>
    <w:rsid w:val="001426C6"/>
    <w:rsid w:val="001431D0"/>
    <w:rsid w:val="00150F2B"/>
    <w:rsid w:val="001515A3"/>
    <w:rsid w:val="001572EA"/>
    <w:rsid w:val="00160AD6"/>
    <w:rsid w:val="00162508"/>
    <w:rsid w:val="001650F6"/>
    <w:rsid w:val="00176C53"/>
    <w:rsid w:val="0018078D"/>
    <w:rsid w:val="00180976"/>
    <w:rsid w:val="001903E1"/>
    <w:rsid w:val="00195860"/>
    <w:rsid w:val="001960C6"/>
    <w:rsid w:val="001B0008"/>
    <w:rsid w:val="001B3F4E"/>
    <w:rsid w:val="001B6800"/>
    <w:rsid w:val="001C0BD8"/>
    <w:rsid w:val="001C16EA"/>
    <w:rsid w:val="001C3057"/>
    <w:rsid w:val="001C6328"/>
    <w:rsid w:val="001C6F94"/>
    <w:rsid w:val="001C7546"/>
    <w:rsid w:val="001D3541"/>
    <w:rsid w:val="001E14B2"/>
    <w:rsid w:val="001E15ED"/>
    <w:rsid w:val="001E7949"/>
    <w:rsid w:val="001F0F17"/>
    <w:rsid w:val="001F5B76"/>
    <w:rsid w:val="00200F95"/>
    <w:rsid w:val="00202CEA"/>
    <w:rsid w:val="00206FD5"/>
    <w:rsid w:val="0020715A"/>
    <w:rsid w:val="002104B1"/>
    <w:rsid w:val="002113F2"/>
    <w:rsid w:val="00211784"/>
    <w:rsid w:val="00215BB1"/>
    <w:rsid w:val="00227705"/>
    <w:rsid w:val="00240CB9"/>
    <w:rsid w:val="00250462"/>
    <w:rsid w:val="00252F65"/>
    <w:rsid w:val="00266AE7"/>
    <w:rsid w:val="002826A8"/>
    <w:rsid w:val="0028757B"/>
    <w:rsid w:val="0029220E"/>
    <w:rsid w:val="002962E6"/>
    <w:rsid w:val="002A4A50"/>
    <w:rsid w:val="002A53DB"/>
    <w:rsid w:val="002B00B4"/>
    <w:rsid w:val="002B0371"/>
    <w:rsid w:val="002B2A98"/>
    <w:rsid w:val="002B6992"/>
    <w:rsid w:val="002C07EF"/>
    <w:rsid w:val="002C505A"/>
    <w:rsid w:val="002C65DC"/>
    <w:rsid w:val="002D614D"/>
    <w:rsid w:val="002E2102"/>
    <w:rsid w:val="002E3DEE"/>
    <w:rsid w:val="002E7B7E"/>
    <w:rsid w:val="002F0E10"/>
    <w:rsid w:val="002F0F16"/>
    <w:rsid w:val="002F12B2"/>
    <w:rsid w:val="002F1C8C"/>
    <w:rsid w:val="002F321F"/>
    <w:rsid w:val="003105B1"/>
    <w:rsid w:val="00310C79"/>
    <w:rsid w:val="00315792"/>
    <w:rsid w:val="00324425"/>
    <w:rsid w:val="00324D05"/>
    <w:rsid w:val="00324D30"/>
    <w:rsid w:val="003252C7"/>
    <w:rsid w:val="0032616C"/>
    <w:rsid w:val="00332390"/>
    <w:rsid w:val="0033664E"/>
    <w:rsid w:val="00336747"/>
    <w:rsid w:val="0034247D"/>
    <w:rsid w:val="0034721B"/>
    <w:rsid w:val="00351A1A"/>
    <w:rsid w:val="00354600"/>
    <w:rsid w:val="003609C6"/>
    <w:rsid w:val="003656F1"/>
    <w:rsid w:val="00365B84"/>
    <w:rsid w:val="00371A0C"/>
    <w:rsid w:val="00372A9F"/>
    <w:rsid w:val="00373833"/>
    <w:rsid w:val="003738A9"/>
    <w:rsid w:val="0037713E"/>
    <w:rsid w:val="0038512A"/>
    <w:rsid w:val="003916D7"/>
    <w:rsid w:val="003919EC"/>
    <w:rsid w:val="0039613F"/>
    <w:rsid w:val="003A26CB"/>
    <w:rsid w:val="003A4C91"/>
    <w:rsid w:val="003A750C"/>
    <w:rsid w:val="003B1456"/>
    <w:rsid w:val="003C0D4A"/>
    <w:rsid w:val="003C5AC4"/>
    <w:rsid w:val="003C5F8A"/>
    <w:rsid w:val="003C619E"/>
    <w:rsid w:val="003E0A1C"/>
    <w:rsid w:val="003E0FEA"/>
    <w:rsid w:val="003E10C8"/>
    <w:rsid w:val="003E15B2"/>
    <w:rsid w:val="003E259B"/>
    <w:rsid w:val="003E7B2D"/>
    <w:rsid w:val="00400AB1"/>
    <w:rsid w:val="00405198"/>
    <w:rsid w:val="00412390"/>
    <w:rsid w:val="00415E25"/>
    <w:rsid w:val="0041678C"/>
    <w:rsid w:val="0042073C"/>
    <w:rsid w:val="00421C65"/>
    <w:rsid w:val="00422B17"/>
    <w:rsid w:val="004232D0"/>
    <w:rsid w:val="00423CC6"/>
    <w:rsid w:val="00431624"/>
    <w:rsid w:val="00431BBE"/>
    <w:rsid w:val="00432F20"/>
    <w:rsid w:val="00434C93"/>
    <w:rsid w:val="0043604E"/>
    <w:rsid w:val="00440DFA"/>
    <w:rsid w:val="00442901"/>
    <w:rsid w:val="0044627A"/>
    <w:rsid w:val="004464E2"/>
    <w:rsid w:val="00451CF6"/>
    <w:rsid w:val="004539E9"/>
    <w:rsid w:val="0045510D"/>
    <w:rsid w:val="0045601C"/>
    <w:rsid w:val="00462638"/>
    <w:rsid w:val="00465ED0"/>
    <w:rsid w:val="0048474C"/>
    <w:rsid w:val="0048652B"/>
    <w:rsid w:val="00486B6D"/>
    <w:rsid w:val="004918EA"/>
    <w:rsid w:val="00491FBF"/>
    <w:rsid w:val="00496C93"/>
    <w:rsid w:val="004A0BF4"/>
    <w:rsid w:val="004A164D"/>
    <w:rsid w:val="004A38D2"/>
    <w:rsid w:val="004B2ED8"/>
    <w:rsid w:val="004C1ED7"/>
    <w:rsid w:val="004C36D4"/>
    <w:rsid w:val="004C69C2"/>
    <w:rsid w:val="004C7866"/>
    <w:rsid w:val="004D138C"/>
    <w:rsid w:val="004D35E4"/>
    <w:rsid w:val="004F109F"/>
    <w:rsid w:val="005038A6"/>
    <w:rsid w:val="005123E4"/>
    <w:rsid w:val="005163A2"/>
    <w:rsid w:val="00516546"/>
    <w:rsid w:val="0051662D"/>
    <w:rsid w:val="0052563B"/>
    <w:rsid w:val="00525B35"/>
    <w:rsid w:val="00544BA4"/>
    <w:rsid w:val="0054627C"/>
    <w:rsid w:val="00552DE3"/>
    <w:rsid w:val="00555480"/>
    <w:rsid w:val="0056340F"/>
    <w:rsid w:val="00563D0B"/>
    <w:rsid w:val="00564E3D"/>
    <w:rsid w:val="00570ACB"/>
    <w:rsid w:val="005753BE"/>
    <w:rsid w:val="005828EC"/>
    <w:rsid w:val="00582948"/>
    <w:rsid w:val="005929F6"/>
    <w:rsid w:val="00592D5B"/>
    <w:rsid w:val="0059519B"/>
    <w:rsid w:val="00595C1B"/>
    <w:rsid w:val="00595C39"/>
    <w:rsid w:val="00597562"/>
    <w:rsid w:val="005A2C04"/>
    <w:rsid w:val="005A54A6"/>
    <w:rsid w:val="005B4384"/>
    <w:rsid w:val="005C0324"/>
    <w:rsid w:val="005C0660"/>
    <w:rsid w:val="005C14D1"/>
    <w:rsid w:val="005C3B3F"/>
    <w:rsid w:val="005C7437"/>
    <w:rsid w:val="005D211C"/>
    <w:rsid w:val="005D622F"/>
    <w:rsid w:val="005E1925"/>
    <w:rsid w:val="005E2195"/>
    <w:rsid w:val="005E7554"/>
    <w:rsid w:val="005F2019"/>
    <w:rsid w:val="005F58ED"/>
    <w:rsid w:val="00600F5E"/>
    <w:rsid w:val="0060238C"/>
    <w:rsid w:val="00613BB9"/>
    <w:rsid w:val="0061659A"/>
    <w:rsid w:val="006239F7"/>
    <w:rsid w:val="0063407C"/>
    <w:rsid w:val="006346C7"/>
    <w:rsid w:val="00637B25"/>
    <w:rsid w:val="0064177B"/>
    <w:rsid w:val="00644740"/>
    <w:rsid w:val="006464FE"/>
    <w:rsid w:val="0065391C"/>
    <w:rsid w:val="006557A3"/>
    <w:rsid w:val="00656BB9"/>
    <w:rsid w:val="00660AEB"/>
    <w:rsid w:val="0066232D"/>
    <w:rsid w:val="00663434"/>
    <w:rsid w:val="0066491D"/>
    <w:rsid w:val="00666B58"/>
    <w:rsid w:val="00666C67"/>
    <w:rsid w:val="00670722"/>
    <w:rsid w:val="00670C47"/>
    <w:rsid w:val="00673218"/>
    <w:rsid w:val="0067446B"/>
    <w:rsid w:val="006766CE"/>
    <w:rsid w:val="00676C5D"/>
    <w:rsid w:val="00677859"/>
    <w:rsid w:val="00680FD9"/>
    <w:rsid w:val="00682B25"/>
    <w:rsid w:val="00686528"/>
    <w:rsid w:val="00687D09"/>
    <w:rsid w:val="00692062"/>
    <w:rsid w:val="00693D32"/>
    <w:rsid w:val="006959D9"/>
    <w:rsid w:val="00697A2A"/>
    <w:rsid w:val="006A756D"/>
    <w:rsid w:val="006B0A4A"/>
    <w:rsid w:val="006B16EE"/>
    <w:rsid w:val="006B1FED"/>
    <w:rsid w:val="006B3EA7"/>
    <w:rsid w:val="006B4C20"/>
    <w:rsid w:val="006C061E"/>
    <w:rsid w:val="006C24F1"/>
    <w:rsid w:val="006D0D9C"/>
    <w:rsid w:val="006E0799"/>
    <w:rsid w:val="006E226C"/>
    <w:rsid w:val="006E5DF7"/>
    <w:rsid w:val="006E6477"/>
    <w:rsid w:val="006E72D9"/>
    <w:rsid w:val="006F14AC"/>
    <w:rsid w:val="006F5B09"/>
    <w:rsid w:val="007110E9"/>
    <w:rsid w:val="00711A8E"/>
    <w:rsid w:val="00714C77"/>
    <w:rsid w:val="00721418"/>
    <w:rsid w:val="007263FB"/>
    <w:rsid w:val="0073043D"/>
    <w:rsid w:val="00735A39"/>
    <w:rsid w:val="00736CD9"/>
    <w:rsid w:val="00737AFF"/>
    <w:rsid w:val="00742F11"/>
    <w:rsid w:val="007432E2"/>
    <w:rsid w:val="00743647"/>
    <w:rsid w:val="00745DA9"/>
    <w:rsid w:val="007473B6"/>
    <w:rsid w:val="00747A4A"/>
    <w:rsid w:val="007606E0"/>
    <w:rsid w:val="00761FC0"/>
    <w:rsid w:val="007674C3"/>
    <w:rsid w:val="00767A02"/>
    <w:rsid w:val="00770366"/>
    <w:rsid w:val="00773E59"/>
    <w:rsid w:val="00781DF9"/>
    <w:rsid w:val="007843C7"/>
    <w:rsid w:val="00784B51"/>
    <w:rsid w:val="007868F4"/>
    <w:rsid w:val="00791AE3"/>
    <w:rsid w:val="00796BB4"/>
    <w:rsid w:val="00797B5F"/>
    <w:rsid w:val="007A534E"/>
    <w:rsid w:val="007B14A0"/>
    <w:rsid w:val="007C4C1D"/>
    <w:rsid w:val="007C64E9"/>
    <w:rsid w:val="007C7176"/>
    <w:rsid w:val="007D1880"/>
    <w:rsid w:val="007D28CC"/>
    <w:rsid w:val="007D7DA6"/>
    <w:rsid w:val="007E4FDF"/>
    <w:rsid w:val="007E58F2"/>
    <w:rsid w:val="007F0D9C"/>
    <w:rsid w:val="007F4005"/>
    <w:rsid w:val="00800F4F"/>
    <w:rsid w:val="008042FB"/>
    <w:rsid w:val="00812F1E"/>
    <w:rsid w:val="008210AB"/>
    <w:rsid w:val="00821159"/>
    <w:rsid w:val="00825AF7"/>
    <w:rsid w:val="0082666B"/>
    <w:rsid w:val="00834801"/>
    <w:rsid w:val="00834B87"/>
    <w:rsid w:val="00841543"/>
    <w:rsid w:val="008450A1"/>
    <w:rsid w:val="008463CD"/>
    <w:rsid w:val="00846C7C"/>
    <w:rsid w:val="0085048A"/>
    <w:rsid w:val="00863559"/>
    <w:rsid w:val="00866EBB"/>
    <w:rsid w:val="0086729E"/>
    <w:rsid w:val="008726BF"/>
    <w:rsid w:val="00872D65"/>
    <w:rsid w:val="00875ED8"/>
    <w:rsid w:val="008765BA"/>
    <w:rsid w:val="008844CF"/>
    <w:rsid w:val="0088495F"/>
    <w:rsid w:val="00893C81"/>
    <w:rsid w:val="00895231"/>
    <w:rsid w:val="008A6EEF"/>
    <w:rsid w:val="008A7778"/>
    <w:rsid w:val="008A7A7D"/>
    <w:rsid w:val="008B22F2"/>
    <w:rsid w:val="008B26E6"/>
    <w:rsid w:val="008B4965"/>
    <w:rsid w:val="008C0966"/>
    <w:rsid w:val="008C70AE"/>
    <w:rsid w:val="008D253B"/>
    <w:rsid w:val="008D3D03"/>
    <w:rsid w:val="008D3E20"/>
    <w:rsid w:val="008E099A"/>
    <w:rsid w:val="008E26AD"/>
    <w:rsid w:val="008E35DD"/>
    <w:rsid w:val="008E67C3"/>
    <w:rsid w:val="0090323E"/>
    <w:rsid w:val="00903C04"/>
    <w:rsid w:val="00906394"/>
    <w:rsid w:val="00907C3A"/>
    <w:rsid w:val="00912E38"/>
    <w:rsid w:val="00913164"/>
    <w:rsid w:val="00915A56"/>
    <w:rsid w:val="009206EF"/>
    <w:rsid w:val="009211F5"/>
    <w:rsid w:val="009225CA"/>
    <w:rsid w:val="00922B15"/>
    <w:rsid w:val="00924CCF"/>
    <w:rsid w:val="009326D2"/>
    <w:rsid w:val="00936231"/>
    <w:rsid w:val="00941792"/>
    <w:rsid w:val="00941D8B"/>
    <w:rsid w:val="00944284"/>
    <w:rsid w:val="00944C52"/>
    <w:rsid w:val="00950C38"/>
    <w:rsid w:val="00962F89"/>
    <w:rsid w:val="009654FF"/>
    <w:rsid w:val="00965947"/>
    <w:rsid w:val="009668EB"/>
    <w:rsid w:val="00966976"/>
    <w:rsid w:val="00971133"/>
    <w:rsid w:val="00977ED6"/>
    <w:rsid w:val="00983264"/>
    <w:rsid w:val="00985550"/>
    <w:rsid w:val="009860FB"/>
    <w:rsid w:val="00990D49"/>
    <w:rsid w:val="009966BE"/>
    <w:rsid w:val="00996930"/>
    <w:rsid w:val="009974E5"/>
    <w:rsid w:val="009975CC"/>
    <w:rsid w:val="00997B94"/>
    <w:rsid w:val="009A7316"/>
    <w:rsid w:val="009B5886"/>
    <w:rsid w:val="009B7EB7"/>
    <w:rsid w:val="009C2248"/>
    <w:rsid w:val="009C6B13"/>
    <w:rsid w:val="009D0803"/>
    <w:rsid w:val="009D2317"/>
    <w:rsid w:val="009D4869"/>
    <w:rsid w:val="009E150F"/>
    <w:rsid w:val="009E4ABC"/>
    <w:rsid w:val="009F24C7"/>
    <w:rsid w:val="009F273F"/>
    <w:rsid w:val="009F6125"/>
    <w:rsid w:val="00A01997"/>
    <w:rsid w:val="00A02EB8"/>
    <w:rsid w:val="00A05944"/>
    <w:rsid w:val="00A05D85"/>
    <w:rsid w:val="00A12214"/>
    <w:rsid w:val="00A13C09"/>
    <w:rsid w:val="00A14462"/>
    <w:rsid w:val="00A16311"/>
    <w:rsid w:val="00A20DFE"/>
    <w:rsid w:val="00A230D6"/>
    <w:rsid w:val="00A272F1"/>
    <w:rsid w:val="00A35260"/>
    <w:rsid w:val="00A358BA"/>
    <w:rsid w:val="00A35A4C"/>
    <w:rsid w:val="00A35EAE"/>
    <w:rsid w:val="00A42724"/>
    <w:rsid w:val="00A476FE"/>
    <w:rsid w:val="00A47B84"/>
    <w:rsid w:val="00A5330D"/>
    <w:rsid w:val="00A64055"/>
    <w:rsid w:val="00A65C6B"/>
    <w:rsid w:val="00A71217"/>
    <w:rsid w:val="00A71653"/>
    <w:rsid w:val="00A824AB"/>
    <w:rsid w:val="00A84CE0"/>
    <w:rsid w:val="00A879E8"/>
    <w:rsid w:val="00A91797"/>
    <w:rsid w:val="00A957E9"/>
    <w:rsid w:val="00AA50D4"/>
    <w:rsid w:val="00AA691D"/>
    <w:rsid w:val="00AA7F95"/>
    <w:rsid w:val="00AB05D7"/>
    <w:rsid w:val="00AB0FAE"/>
    <w:rsid w:val="00AB25B4"/>
    <w:rsid w:val="00AB2E42"/>
    <w:rsid w:val="00AB323D"/>
    <w:rsid w:val="00AB4E94"/>
    <w:rsid w:val="00AB63EB"/>
    <w:rsid w:val="00AC1CCF"/>
    <w:rsid w:val="00AD11D7"/>
    <w:rsid w:val="00AD4BB4"/>
    <w:rsid w:val="00AD5BE1"/>
    <w:rsid w:val="00AE23E4"/>
    <w:rsid w:val="00AE5002"/>
    <w:rsid w:val="00AE6B46"/>
    <w:rsid w:val="00AF423D"/>
    <w:rsid w:val="00AF5729"/>
    <w:rsid w:val="00B00032"/>
    <w:rsid w:val="00B014F9"/>
    <w:rsid w:val="00B04B84"/>
    <w:rsid w:val="00B0683A"/>
    <w:rsid w:val="00B2765B"/>
    <w:rsid w:val="00B340F8"/>
    <w:rsid w:val="00B37E7C"/>
    <w:rsid w:val="00B5269D"/>
    <w:rsid w:val="00B64415"/>
    <w:rsid w:val="00B66519"/>
    <w:rsid w:val="00B707A2"/>
    <w:rsid w:val="00B720A7"/>
    <w:rsid w:val="00B72DC8"/>
    <w:rsid w:val="00B8767D"/>
    <w:rsid w:val="00B92746"/>
    <w:rsid w:val="00B95073"/>
    <w:rsid w:val="00B9714C"/>
    <w:rsid w:val="00BA101E"/>
    <w:rsid w:val="00BA1675"/>
    <w:rsid w:val="00BA1885"/>
    <w:rsid w:val="00BA3D78"/>
    <w:rsid w:val="00BB1DF1"/>
    <w:rsid w:val="00BD426B"/>
    <w:rsid w:val="00BD4586"/>
    <w:rsid w:val="00BE08ED"/>
    <w:rsid w:val="00BE21C2"/>
    <w:rsid w:val="00BE38FE"/>
    <w:rsid w:val="00BE47D6"/>
    <w:rsid w:val="00BE65F0"/>
    <w:rsid w:val="00BE7071"/>
    <w:rsid w:val="00BF03E9"/>
    <w:rsid w:val="00BF0B15"/>
    <w:rsid w:val="00BF1089"/>
    <w:rsid w:val="00BF7E70"/>
    <w:rsid w:val="00C01C17"/>
    <w:rsid w:val="00C118A3"/>
    <w:rsid w:val="00C25801"/>
    <w:rsid w:val="00C3676A"/>
    <w:rsid w:val="00C37374"/>
    <w:rsid w:val="00C37473"/>
    <w:rsid w:val="00C42404"/>
    <w:rsid w:val="00C43247"/>
    <w:rsid w:val="00C565AB"/>
    <w:rsid w:val="00C57A07"/>
    <w:rsid w:val="00C7276D"/>
    <w:rsid w:val="00C737CD"/>
    <w:rsid w:val="00C745BA"/>
    <w:rsid w:val="00C76D11"/>
    <w:rsid w:val="00C80C97"/>
    <w:rsid w:val="00C93902"/>
    <w:rsid w:val="00C94006"/>
    <w:rsid w:val="00C96FB8"/>
    <w:rsid w:val="00CA6111"/>
    <w:rsid w:val="00CA7B72"/>
    <w:rsid w:val="00CB05A8"/>
    <w:rsid w:val="00CB4B4E"/>
    <w:rsid w:val="00CB6F22"/>
    <w:rsid w:val="00CC1FE0"/>
    <w:rsid w:val="00CC3DA9"/>
    <w:rsid w:val="00CC78BA"/>
    <w:rsid w:val="00CD692B"/>
    <w:rsid w:val="00CD7897"/>
    <w:rsid w:val="00CE1349"/>
    <w:rsid w:val="00CE508B"/>
    <w:rsid w:val="00D114BF"/>
    <w:rsid w:val="00D12039"/>
    <w:rsid w:val="00D12615"/>
    <w:rsid w:val="00D1297F"/>
    <w:rsid w:val="00D165AB"/>
    <w:rsid w:val="00D16F70"/>
    <w:rsid w:val="00D20F17"/>
    <w:rsid w:val="00D253DB"/>
    <w:rsid w:val="00D263A8"/>
    <w:rsid w:val="00D318BB"/>
    <w:rsid w:val="00D35B94"/>
    <w:rsid w:val="00D373C3"/>
    <w:rsid w:val="00D4654A"/>
    <w:rsid w:val="00D47850"/>
    <w:rsid w:val="00D56A7B"/>
    <w:rsid w:val="00D57031"/>
    <w:rsid w:val="00D57BD4"/>
    <w:rsid w:val="00D624C9"/>
    <w:rsid w:val="00D62A95"/>
    <w:rsid w:val="00D717EF"/>
    <w:rsid w:val="00D74476"/>
    <w:rsid w:val="00D746E8"/>
    <w:rsid w:val="00D7635D"/>
    <w:rsid w:val="00D767AF"/>
    <w:rsid w:val="00D830B4"/>
    <w:rsid w:val="00D8478A"/>
    <w:rsid w:val="00D87295"/>
    <w:rsid w:val="00D92CD0"/>
    <w:rsid w:val="00DA2E27"/>
    <w:rsid w:val="00DA3FCF"/>
    <w:rsid w:val="00DA77DA"/>
    <w:rsid w:val="00DB2587"/>
    <w:rsid w:val="00DB2C76"/>
    <w:rsid w:val="00DB70BC"/>
    <w:rsid w:val="00DB7FCD"/>
    <w:rsid w:val="00DC4749"/>
    <w:rsid w:val="00DD150B"/>
    <w:rsid w:val="00DD1B11"/>
    <w:rsid w:val="00DD55CF"/>
    <w:rsid w:val="00DD6F51"/>
    <w:rsid w:val="00DE032A"/>
    <w:rsid w:val="00DE08E6"/>
    <w:rsid w:val="00DE7EC1"/>
    <w:rsid w:val="00DF0348"/>
    <w:rsid w:val="00DF4DC9"/>
    <w:rsid w:val="00DF4E1A"/>
    <w:rsid w:val="00E02249"/>
    <w:rsid w:val="00E04B4E"/>
    <w:rsid w:val="00E064A9"/>
    <w:rsid w:val="00E1141C"/>
    <w:rsid w:val="00E12FD8"/>
    <w:rsid w:val="00E200CF"/>
    <w:rsid w:val="00E20420"/>
    <w:rsid w:val="00E24664"/>
    <w:rsid w:val="00E35213"/>
    <w:rsid w:val="00E35576"/>
    <w:rsid w:val="00E3561A"/>
    <w:rsid w:val="00E37E13"/>
    <w:rsid w:val="00E42AF5"/>
    <w:rsid w:val="00E507A2"/>
    <w:rsid w:val="00E54A74"/>
    <w:rsid w:val="00E55181"/>
    <w:rsid w:val="00E625EB"/>
    <w:rsid w:val="00E63096"/>
    <w:rsid w:val="00E65F59"/>
    <w:rsid w:val="00E75D07"/>
    <w:rsid w:val="00E8604A"/>
    <w:rsid w:val="00E878D8"/>
    <w:rsid w:val="00E95796"/>
    <w:rsid w:val="00E9627D"/>
    <w:rsid w:val="00EA06A0"/>
    <w:rsid w:val="00EA124C"/>
    <w:rsid w:val="00EA5729"/>
    <w:rsid w:val="00EA61E4"/>
    <w:rsid w:val="00EB1698"/>
    <w:rsid w:val="00EB4439"/>
    <w:rsid w:val="00EB4E44"/>
    <w:rsid w:val="00EC0075"/>
    <w:rsid w:val="00EC0200"/>
    <w:rsid w:val="00EC4702"/>
    <w:rsid w:val="00EC49B4"/>
    <w:rsid w:val="00ED166F"/>
    <w:rsid w:val="00ED6331"/>
    <w:rsid w:val="00EF1A80"/>
    <w:rsid w:val="00EF5B89"/>
    <w:rsid w:val="00EF6138"/>
    <w:rsid w:val="00F001C3"/>
    <w:rsid w:val="00F00A5E"/>
    <w:rsid w:val="00F0347A"/>
    <w:rsid w:val="00F0736A"/>
    <w:rsid w:val="00F158B0"/>
    <w:rsid w:val="00F160AE"/>
    <w:rsid w:val="00F209F8"/>
    <w:rsid w:val="00F2188A"/>
    <w:rsid w:val="00F24F3E"/>
    <w:rsid w:val="00F26104"/>
    <w:rsid w:val="00F31845"/>
    <w:rsid w:val="00F45EB3"/>
    <w:rsid w:val="00F46265"/>
    <w:rsid w:val="00F47443"/>
    <w:rsid w:val="00F47B87"/>
    <w:rsid w:val="00F50C2D"/>
    <w:rsid w:val="00F52878"/>
    <w:rsid w:val="00F5782F"/>
    <w:rsid w:val="00F601BE"/>
    <w:rsid w:val="00F6240D"/>
    <w:rsid w:val="00F62CC0"/>
    <w:rsid w:val="00F70DFC"/>
    <w:rsid w:val="00F73863"/>
    <w:rsid w:val="00F75E00"/>
    <w:rsid w:val="00F75F91"/>
    <w:rsid w:val="00F7728B"/>
    <w:rsid w:val="00F827A4"/>
    <w:rsid w:val="00F84263"/>
    <w:rsid w:val="00F86397"/>
    <w:rsid w:val="00F91A4A"/>
    <w:rsid w:val="00F9229A"/>
    <w:rsid w:val="00F95EB7"/>
    <w:rsid w:val="00FA1A7E"/>
    <w:rsid w:val="00FA447A"/>
    <w:rsid w:val="00FB2324"/>
    <w:rsid w:val="00FB37A9"/>
    <w:rsid w:val="00FB5ADE"/>
    <w:rsid w:val="00FB6DA9"/>
    <w:rsid w:val="00FC104C"/>
    <w:rsid w:val="00FD33D1"/>
    <w:rsid w:val="00FD6EF2"/>
    <w:rsid w:val="00FE0213"/>
    <w:rsid w:val="00FE34E0"/>
    <w:rsid w:val="00FE456F"/>
    <w:rsid w:val="00FE4E5B"/>
    <w:rsid w:val="00FF1B9B"/>
    <w:rsid w:val="00FF299A"/>
    <w:rsid w:val="00FF3D26"/>
    <w:rsid w:val="00FF466F"/>
    <w:rsid w:val="00FF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536D"/>
  <w15:docId w15:val="{E119059D-7284-4715-A1E6-2E6FF71F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0A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uiPriority w:val="9"/>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uiPriority w:val="9"/>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iPriority w:val="9"/>
    <w:unhideWhenUsed/>
    <w:qFormat/>
    <w:rsid w:val="007F4005"/>
    <w:pPr>
      <w:keepNext/>
      <w:numPr>
        <w:ilvl w:val="3"/>
        <w:numId w:val="2"/>
      </w:numPr>
      <w:outlineLvl w:val="3"/>
    </w:pPr>
    <w:rPr>
      <w:rFonts w:ascii="Arial" w:hAnsi="Arial"/>
      <w:b/>
      <w:bCs/>
      <w:sz w:val="22"/>
      <w:szCs w:val="28"/>
    </w:rPr>
  </w:style>
  <w:style w:type="paragraph" w:styleId="Heading5">
    <w:name w:val="heading 5"/>
    <w:basedOn w:val="Normal"/>
    <w:next w:val="Normal"/>
    <w:link w:val="Heading5Char"/>
    <w:uiPriority w:val="9"/>
    <w:unhideWhenUsed/>
    <w:qFormat/>
    <w:rsid w:val="00F8426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Appendix Heading 1)"/>
    <w:next w:val="Normal"/>
    <w:link w:val="Heading6Char"/>
    <w:uiPriority w:val="9"/>
    <w:qFormat/>
    <w:rsid w:val="00F84263"/>
    <w:pPr>
      <w:keepNext/>
      <w:spacing w:after="240" w:line="240" w:lineRule="auto"/>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F84263"/>
    <w:pPr>
      <w:spacing w:before="120" w:after="180"/>
      <w:ind w:left="677" w:hanging="677"/>
      <w:jc w:val="both"/>
      <w:outlineLvl w:val="6"/>
    </w:pPr>
    <w:rPr>
      <w:iCs w:val="0"/>
      <w:sz w:val="28"/>
    </w:rPr>
  </w:style>
  <w:style w:type="paragraph" w:styleId="Heading8">
    <w:name w:val="heading 8"/>
    <w:aliases w:val="Heading 8 (Appendix Heading 3)"/>
    <w:basedOn w:val="Heading7"/>
    <w:next w:val="Normal"/>
    <w:link w:val="Heading8Char"/>
    <w:uiPriority w:val="9"/>
    <w:qFormat/>
    <w:rsid w:val="00F84263"/>
    <w:pPr>
      <w:spacing w:before="0" w:after="0"/>
      <w:ind w:left="720" w:hanging="720"/>
      <w:outlineLvl w:val="7"/>
    </w:pPr>
    <w:rPr>
      <w:sz w:val="24"/>
      <w:szCs w:val="20"/>
    </w:rPr>
  </w:style>
  <w:style w:type="paragraph" w:styleId="Heading9">
    <w:name w:val="heading 9"/>
    <w:aliases w:val="Heading 9 (Appendix Heading 4)"/>
    <w:basedOn w:val="Heading8"/>
    <w:next w:val="Normal"/>
    <w:link w:val="Heading9Char"/>
    <w:uiPriority w:val="9"/>
    <w:qFormat/>
    <w:rsid w:val="00F84263"/>
    <w:pPr>
      <w:ind w:left="778" w:hanging="778"/>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unhideWhenUsed/>
    <w:rsid w:val="00CE508B"/>
    <w:rPr>
      <w:sz w:val="20"/>
      <w:szCs w:val="20"/>
    </w:rPr>
  </w:style>
  <w:style w:type="character" w:customStyle="1" w:styleId="CommentTextChar">
    <w:name w:val="Comment Text Char"/>
    <w:basedOn w:val="DefaultParagraphFont"/>
    <w:link w:val="CommentText"/>
    <w:uiPriority w:val="99"/>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paragraph" w:styleId="Revision">
    <w:name w:val="Revision"/>
    <w:hidden/>
    <w:uiPriority w:val="99"/>
    <w:semiHidden/>
    <w:rsid w:val="0063407C"/>
    <w:pPr>
      <w:spacing w:after="0" w:line="240" w:lineRule="auto"/>
    </w:pPr>
    <w:rPr>
      <w:rFonts w:ascii="Times New Roman" w:eastAsia="Times New Roman" w:hAnsi="Times New Roman" w:cs="Times New Roman"/>
      <w:sz w:val="24"/>
      <w:szCs w:val="24"/>
    </w:rPr>
  </w:style>
  <w:style w:type="paragraph" w:customStyle="1" w:styleId="Cover-1ProjectName">
    <w:name w:val="Cover - 1. Project Name"/>
    <w:basedOn w:val="Normal"/>
    <w:qFormat/>
    <w:rsid w:val="00AA691D"/>
    <w:pPr>
      <w:suppressAutoHyphens/>
      <w:spacing w:before="480" w:after="720"/>
      <w:jc w:val="center"/>
    </w:pPr>
    <w:rPr>
      <w:rFonts w:ascii="Arial" w:eastAsiaTheme="minorEastAsia" w:hAnsi="Arial" w:cs="Arial"/>
      <w:b/>
      <w:position w:val="-12"/>
      <w:sz w:val="42"/>
    </w:rPr>
  </w:style>
  <w:style w:type="paragraph" w:styleId="Caption">
    <w:name w:val="caption"/>
    <w:basedOn w:val="Normal"/>
    <w:next w:val="Normal"/>
    <w:uiPriority w:val="35"/>
    <w:unhideWhenUsed/>
    <w:qFormat/>
    <w:rsid w:val="0056340F"/>
    <w:pPr>
      <w:spacing w:after="200"/>
    </w:pPr>
    <w:rPr>
      <w:i/>
      <w:iCs/>
      <w:color w:val="1F497D" w:themeColor="text2"/>
      <w:sz w:val="18"/>
      <w:szCs w:val="18"/>
    </w:rPr>
  </w:style>
  <w:style w:type="paragraph" w:customStyle="1" w:styleId="TableColumnHeading">
    <w:name w:val="Table Column Heading"/>
    <w:link w:val="TableColumnHeadingChar"/>
    <w:qFormat/>
    <w:rsid w:val="00EA06A0"/>
    <w:pPr>
      <w:keepNext/>
      <w:spacing w:after="0" w:line="240" w:lineRule="auto"/>
      <w:jc w:val="center"/>
    </w:pPr>
    <w:rPr>
      <w:rFonts w:ascii="Arial" w:eastAsia="Times New Roman" w:hAnsi="Arial" w:cs="Times New Roman"/>
      <w:bCs/>
      <w:color w:val="FFFFFF" w:themeColor="background1"/>
      <w:sz w:val="24"/>
      <w:szCs w:val="24"/>
    </w:rPr>
  </w:style>
  <w:style w:type="paragraph" w:customStyle="1" w:styleId="TableCellGeneralText">
    <w:name w:val="Table Cell General Text"/>
    <w:link w:val="TableCellGeneralTextChar"/>
    <w:qFormat/>
    <w:rsid w:val="00EA06A0"/>
    <w:pPr>
      <w:spacing w:after="0" w:line="240" w:lineRule="auto"/>
    </w:pPr>
    <w:rPr>
      <w:rFonts w:ascii="Arial" w:eastAsia="Times New Roman" w:hAnsi="Arial" w:cs="Arial"/>
      <w:bCs/>
      <w:color w:val="000000" w:themeColor="text1"/>
      <w:sz w:val="20"/>
      <w:szCs w:val="24"/>
    </w:rPr>
  </w:style>
  <w:style w:type="character" w:customStyle="1" w:styleId="TableColumnHeadingChar">
    <w:name w:val="Table Column Heading Char"/>
    <w:basedOn w:val="DefaultParagraphFont"/>
    <w:link w:val="TableColumnHeading"/>
    <w:rsid w:val="00EA06A0"/>
    <w:rPr>
      <w:rFonts w:ascii="Arial" w:eastAsia="Times New Roman" w:hAnsi="Arial" w:cs="Times New Roman"/>
      <w:bCs/>
      <w:color w:val="FFFFFF" w:themeColor="background1"/>
      <w:sz w:val="24"/>
      <w:szCs w:val="24"/>
    </w:rPr>
  </w:style>
  <w:style w:type="paragraph" w:customStyle="1" w:styleId="TableCellNumbers">
    <w:name w:val="Table Cell Numbers"/>
    <w:basedOn w:val="TableCellGeneralText"/>
    <w:link w:val="TableCellNumbersChar"/>
    <w:qFormat/>
    <w:rsid w:val="00EA06A0"/>
    <w:pPr>
      <w:jc w:val="right"/>
    </w:pPr>
  </w:style>
  <w:style w:type="character" w:customStyle="1" w:styleId="TableCellGeneralTextChar">
    <w:name w:val="Table Cell General Text Char"/>
    <w:basedOn w:val="DefaultParagraphFont"/>
    <w:link w:val="TableCellGeneralText"/>
    <w:rsid w:val="00EA06A0"/>
    <w:rPr>
      <w:rFonts w:ascii="Arial" w:eastAsia="Times New Roman" w:hAnsi="Arial" w:cs="Arial"/>
      <w:bCs/>
      <w:color w:val="000000" w:themeColor="text1"/>
      <w:sz w:val="20"/>
      <w:szCs w:val="24"/>
    </w:rPr>
  </w:style>
  <w:style w:type="character" w:customStyle="1" w:styleId="TableCellNumbersChar">
    <w:name w:val="Table Cell Numbers Char"/>
    <w:basedOn w:val="DefaultParagraphFont"/>
    <w:link w:val="TableCellNumbers"/>
    <w:rsid w:val="00EA06A0"/>
    <w:rPr>
      <w:rFonts w:ascii="Arial" w:eastAsia="Times New Roman" w:hAnsi="Arial" w:cs="Arial"/>
      <w:bCs/>
      <w:color w:val="000000" w:themeColor="text1"/>
      <w:sz w:val="20"/>
      <w:szCs w:val="24"/>
    </w:rPr>
  </w:style>
  <w:style w:type="paragraph" w:customStyle="1" w:styleId="TableCell-SubheadingText">
    <w:name w:val="Table Cell - Subheading Text"/>
    <w:basedOn w:val="TableCellNumbers"/>
    <w:link w:val="TableCell-SubheadingTextChar"/>
    <w:qFormat/>
    <w:rsid w:val="00EA06A0"/>
    <w:pPr>
      <w:keepNext/>
      <w:jc w:val="left"/>
    </w:pPr>
    <w:rPr>
      <w:b/>
      <w:bCs w:val="0"/>
    </w:rPr>
  </w:style>
  <w:style w:type="character" w:customStyle="1" w:styleId="TableCell-SubheadingTextChar">
    <w:name w:val="Table Cell - Subheading Text Char"/>
    <w:basedOn w:val="TableCellNumbersChar"/>
    <w:link w:val="TableCell-SubheadingText"/>
    <w:rsid w:val="00EA06A0"/>
    <w:rPr>
      <w:rFonts w:ascii="Arial" w:eastAsia="Times New Roman" w:hAnsi="Arial" w:cs="Arial"/>
      <w:b/>
      <w:bCs w:val="0"/>
      <w:color w:val="000000" w:themeColor="text1"/>
      <w:sz w:val="20"/>
      <w:szCs w:val="24"/>
    </w:rPr>
  </w:style>
  <w:style w:type="paragraph" w:customStyle="1" w:styleId="TableCaption">
    <w:name w:val="Table Caption"/>
    <w:basedOn w:val="Caption"/>
    <w:link w:val="TableCaptionChar"/>
    <w:qFormat/>
    <w:rsid w:val="00EA06A0"/>
    <w:pPr>
      <w:keepNext/>
      <w:spacing w:after="0"/>
      <w:ind w:left="1080" w:hanging="1080"/>
      <w:jc w:val="both"/>
    </w:pPr>
    <w:rPr>
      <w:rFonts w:ascii="Arial" w:eastAsiaTheme="minorHAnsi" w:hAnsi="Arial" w:cstheme="minorBidi"/>
      <w:b/>
      <w:bCs/>
      <w:i w:val="0"/>
      <w:iCs w:val="0"/>
      <w:color w:val="000075"/>
      <w:sz w:val="24"/>
    </w:rPr>
  </w:style>
  <w:style w:type="character" w:customStyle="1" w:styleId="TableCaptionChar">
    <w:name w:val="Table Caption Char"/>
    <w:basedOn w:val="DefaultParagraphFont"/>
    <w:link w:val="TableCaption"/>
    <w:rsid w:val="00EA06A0"/>
    <w:rPr>
      <w:rFonts w:ascii="Arial" w:hAnsi="Arial"/>
      <w:b/>
      <w:bCs/>
      <w:color w:val="000075"/>
      <w:sz w:val="24"/>
      <w:szCs w:val="18"/>
    </w:rPr>
  </w:style>
  <w:style w:type="table" w:customStyle="1" w:styleId="EconometricaTableStyle2">
    <w:name w:val="Econometrica Table Style2"/>
    <w:basedOn w:val="TableNormal"/>
    <w:uiPriority w:val="99"/>
    <w:rsid w:val="00EA06A0"/>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ListParagraph">
    <w:name w:val="List Paragraph"/>
    <w:aliases w:val="Bullet List Paragraph,Proposal Bullet List,Step Style"/>
    <w:basedOn w:val="Normal"/>
    <w:link w:val="ListParagraphChar"/>
    <w:uiPriority w:val="34"/>
    <w:qFormat/>
    <w:rsid w:val="00180976"/>
    <w:pPr>
      <w:ind w:left="720"/>
      <w:contextualSpacing/>
    </w:pPr>
  </w:style>
  <w:style w:type="table" w:customStyle="1" w:styleId="EconometricaTableStyle">
    <w:name w:val="Econometrica Table Style"/>
    <w:basedOn w:val="TableNormal"/>
    <w:uiPriority w:val="99"/>
    <w:rsid w:val="00B707A2"/>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Normalaftertable">
    <w:name w:val="Normal after table"/>
    <w:basedOn w:val="Normal"/>
    <w:next w:val="Normal"/>
    <w:link w:val="NormalaftertableChar"/>
    <w:qFormat/>
    <w:rsid w:val="007E58F2"/>
    <w:pPr>
      <w:spacing w:before="240" w:after="240"/>
      <w:jc w:val="both"/>
    </w:pPr>
    <w:rPr>
      <w:rFonts w:eastAsiaTheme="minorHAnsi" w:cstheme="minorBidi"/>
    </w:rPr>
  </w:style>
  <w:style w:type="character" w:customStyle="1" w:styleId="NormalaftertableChar">
    <w:name w:val="Normal after table Char"/>
    <w:basedOn w:val="DefaultParagraphFont"/>
    <w:link w:val="Normalaftertable"/>
    <w:rsid w:val="007E58F2"/>
    <w:rPr>
      <w:rFonts w:ascii="Times New Roman" w:hAnsi="Times New Roman"/>
      <w:sz w:val="24"/>
      <w:szCs w:val="24"/>
    </w:rPr>
  </w:style>
  <w:style w:type="paragraph" w:customStyle="1" w:styleId="H1PartB">
    <w:name w:val="H1 PartB"/>
    <w:basedOn w:val="ListParagraph"/>
    <w:link w:val="H1PartBChar"/>
    <w:qFormat/>
    <w:rsid w:val="00834B87"/>
    <w:pPr>
      <w:numPr>
        <w:numId w:val="10"/>
      </w:numPr>
      <w:ind w:left="360"/>
    </w:pPr>
    <w:rPr>
      <w:b/>
      <w:bCs/>
    </w:rPr>
  </w:style>
  <w:style w:type="paragraph" w:customStyle="1" w:styleId="H2PartB">
    <w:name w:val="H2 PartB"/>
    <w:basedOn w:val="Heading2"/>
    <w:next w:val="Normal"/>
    <w:link w:val="H2PartBChar"/>
    <w:qFormat/>
    <w:rsid w:val="000470D5"/>
    <w:pPr>
      <w:numPr>
        <w:ilvl w:val="0"/>
        <w:numId w:val="11"/>
      </w:numPr>
      <w:ind w:left="360"/>
    </w:pPr>
    <w:rPr>
      <w:rFonts w:ascii="Times New Roman" w:hAnsi="Times New Roman"/>
      <w:color w:val="000000" w:themeColor="text1"/>
      <w:sz w:val="24"/>
    </w:rPr>
  </w:style>
  <w:style w:type="character" w:customStyle="1" w:styleId="ListParagraphChar">
    <w:name w:val="List Paragraph Char"/>
    <w:aliases w:val="Bullet List Paragraph Char,Proposal Bullet List Char,Step Style Char"/>
    <w:basedOn w:val="DefaultParagraphFont"/>
    <w:link w:val="ListParagraph"/>
    <w:uiPriority w:val="34"/>
    <w:rsid w:val="00834B87"/>
    <w:rPr>
      <w:rFonts w:ascii="Times New Roman" w:eastAsia="Times New Roman" w:hAnsi="Times New Roman" w:cs="Times New Roman"/>
      <w:sz w:val="24"/>
      <w:szCs w:val="24"/>
    </w:rPr>
  </w:style>
  <w:style w:type="character" w:customStyle="1" w:styleId="H1PartBChar">
    <w:name w:val="H1 PartB Char"/>
    <w:basedOn w:val="ListParagraphChar"/>
    <w:link w:val="H1PartB"/>
    <w:rsid w:val="00834B87"/>
    <w:rPr>
      <w:rFonts w:ascii="Times New Roman" w:eastAsia="Times New Roman" w:hAnsi="Times New Roman" w:cs="Times New Roman"/>
      <w:b/>
      <w:bCs/>
      <w:sz w:val="24"/>
      <w:szCs w:val="24"/>
    </w:rPr>
  </w:style>
  <w:style w:type="paragraph" w:customStyle="1" w:styleId="H3PartB">
    <w:name w:val="H3 PartB"/>
    <w:basedOn w:val="Heading3"/>
    <w:link w:val="H3PartBChar"/>
    <w:qFormat/>
    <w:rsid w:val="000470D5"/>
    <w:pPr>
      <w:numPr>
        <w:ilvl w:val="0"/>
        <w:numId w:val="12"/>
      </w:numPr>
    </w:pPr>
    <w:rPr>
      <w:rFonts w:ascii="Times New Roman" w:hAnsi="Times New Roman"/>
      <w:i/>
      <w:color w:val="auto"/>
    </w:rPr>
  </w:style>
  <w:style w:type="character" w:customStyle="1" w:styleId="H2PartBChar">
    <w:name w:val="H2 PartB Char"/>
    <w:basedOn w:val="Heading2Char"/>
    <w:link w:val="H2PartB"/>
    <w:rsid w:val="000470D5"/>
    <w:rPr>
      <w:rFonts w:ascii="Times New Roman" w:eastAsia="Times New Roman" w:hAnsi="Times New Roman" w:cs="Arial"/>
      <w:b/>
      <w:bCs/>
      <w:iCs/>
      <w:color w:val="000000" w:themeColor="text1"/>
      <w:sz w:val="24"/>
      <w:szCs w:val="28"/>
    </w:rPr>
  </w:style>
  <w:style w:type="paragraph" w:customStyle="1" w:styleId="TableNote">
    <w:name w:val="Table Note"/>
    <w:basedOn w:val="TableCellGeneralText"/>
    <w:link w:val="TableNoteChar"/>
    <w:qFormat/>
    <w:rsid w:val="00D62A95"/>
    <w:pPr>
      <w:spacing w:after="240"/>
      <w:contextualSpacing/>
    </w:pPr>
    <w:rPr>
      <w:sz w:val="18"/>
      <w:szCs w:val="18"/>
    </w:rPr>
  </w:style>
  <w:style w:type="character" w:customStyle="1" w:styleId="H3PartBChar">
    <w:name w:val="H3 PartB Char"/>
    <w:basedOn w:val="Heading3Char"/>
    <w:link w:val="H3PartB"/>
    <w:rsid w:val="000470D5"/>
    <w:rPr>
      <w:rFonts w:ascii="Times New Roman" w:eastAsia="Times New Roman" w:hAnsi="Times New Roman" w:cs="Arial"/>
      <w:b/>
      <w:bCs/>
      <w:i/>
      <w:color w:val="0096FF"/>
      <w:sz w:val="24"/>
      <w:szCs w:val="26"/>
    </w:rPr>
  </w:style>
  <w:style w:type="character" w:customStyle="1" w:styleId="TableNoteChar">
    <w:name w:val="Table Note Char"/>
    <w:basedOn w:val="DefaultParagraphFont"/>
    <w:link w:val="TableNote"/>
    <w:rsid w:val="00D62A95"/>
    <w:rPr>
      <w:rFonts w:ascii="Arial" w:eastAsia="Times New Roman" w:hAnsi="Arial" w:cs="Arial"/>
      <w:bCs/>
      <w:color w:val="000000" w:themeColor="text1"/>
      <w:sz w:val="18"/>
      <w:szCs w:val="18"/>
    </w:rPr>
  </w:style>
  <w:style w:type="paragraph" w:customStyle="1" w:styleId="TableCellYear">
    <w:name w:val="Table Cell Year"/>
    <w:basedOn w:val="TableCellGeneralText"/>
    <w:link w:val="TableCellYearChar"/>
    <w:qFormat/>
    <w:rsid w:val="0060238C"/>
    <w:pPr>
      <w:jc w:val="center"/>
    </w:pPr>
    <w:rPr>
      <w:bCs w:val="0"/>
    </w:rPr>
  </w:style>
  <w:style w:type="character" w:customStyle="1" w:styleId="TableCellYearChar">
    <w:name w:val="Table Cell Year Char"/>
    <w:basedOn w:val="DefaultParagraphFont"/>
    <w:link w:val="TableCellYear"/>
    <w:rsid w:val="0060238C"/>
    <w:rPr>
      <w:rFonts w:ascii="Arial" w:eastAsia="Times New Roman" w:hAnsi="Arial" w:cs="Arial"/>
      <w:color w:val="000000" w:themeColor="text1"/>
      <w:sz w:val="20"/>
      <w:szCs w:val="24"/>
    </w:rPr>
  </w:style>
  <w:style w:type="paragraph" w:styleId="ListBullet">
    <w:name w:val="List Bullet"/>
    <w:basedOn w:val="Normal"/>
    <w:link w:val="ListBulletChar"/>
    <w:qFormat/>
    <w:rsid w:val="0060238C"/>
    <w:pPr>
      <w:numPr>
        <w:numId w:val="14"/>
      </w:numPr>
      <w:spacing w:before="120"/>
      <w:jc w:val="both"/>
    </w:pPr>
    <w:rPr>
      <w:rFonts w:eastAsiaTheme="minorHAnsi" w:cstheme="minorBidi"/>
    </w:rPr>
  </w:style>
  <w:style w:type="paragraph" w:styleId="ListBullet2">
    <w:name w:val="List Bullet 2"/>
    <w:basedOn w:val="ListBullet"/>
    <w:rsid w:val="0060238C"/>
    <w:pPr>
      <w:numPr>
        <w:ilvl w:val="1"/>
      </w:numPr>
    </w:pPr>
  </w:style>
  <w:style w:type="paragraph" w:styleId="ListBullet3">
    <w:name w:val="List Bullet 3"/>
    <w:basedOn w:val="ListBullet2"/>
    <w:rsid w:val="0060238C"/>
    <w:pPr>
      <w:numPr>
        <w:ilvl w:val="2"/>
      </w:numPr>
    </w:pPr>
  </w:style>
  <w:style w:type="paragraph" w:styleId="ListBullet4">
    <w:name w:val="List Bullet 4"/>
    <w:basedOn w:val="ListBullet3"/>
    <w:rsid w:val="0060238C"/>
    <w:pPr>
      <w:numPr>
        <w:ilvl w:val="3"/>
      </w:numPr>
    </w:pPr>
  </w:style>
  <w:style w:type="paragraph" w:styleId="ListBullet5">
    <w:name w:val="List Bullet 5"/>
    <w:basedOn w:val="ListBullet4"/>
    <w:rsid w:val="0060238C"/>
    <w:pPr>
      <w:numPr>
        <w:ilvl w:val="4"/>
      </w:numPr>
    </w:pPr>
  </w:style>
  <w:style w:type="paragraph" w:customStyle="1" w:styleId="ListBullet-SingleLine">
    <w:name w:val="List Bullet - Single Line"/>
    <w:basedOn w:val="ListBullet"/>
    <w:link w:val="ListBullet-SingleLineChar"/>
    <w:qFormat/>
    <w:rsid w:val="0060238C"/>
    <w:pPr>
      <w:contextualSpacing/>
    </w:pPr>
  </w:style>
  <w:style w:type="character" w:customStyle="1" w:styleId="ListBullet-SingleLineChar">
    <w:name w:val="List Bullet - Single Line Char"/>
    <w:basedOn w:val="DefaultParagraphFont"/>
    <w:link w:val="ListBullet-SingleLine"/>
    <w:rsid w:val="0060238C"/>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60238C"/>
    <w:pPr>
      <w:keepNext/>
      <w:jc w:val="both"/>
    </w:pPr>
    <w:rPr>
      <w:rFonts w:eastAsiaTheme="minorHAnsi" w:cstheme="minorBidi"/>
    </w:rPr>
  </w:style>
  <w:style w:type="character" w:customStyle="1" w:styleId="NormalbeforebulletedlistChar">
    <w:name w:val="Normal before bulleted list Char"/>
    <w:basedOn w:val="DefaultParagraphFont"/>
    <w:link w:val="Normalbeforebulletedlist"/>
    <w:rsid w:val="0060238C"/>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60238C"/>
    <w:pPr>
      <w:spacing w:before="0" w:after="240"/>
      <w:contextualSpacing w:val="0"/>
    </w:pPr>
  </w:style>
  <w:style w:type="character" w:customStyle="1" w:styleId="ListBullet-SingleLine-LastChar">
    <w:name w:val="List Bullet - Single Line - Last Char"/>
    <w:basedOn w:val="ListBullet-SingleLineChar"/>
    <w:link w:val="ListBullet-SingleLine-Last"/>
    <w:rsid w:val="0060238C"/>
    <w:rPr>
      <w:rFonts w:ascii="Times New Roman" w:hAnsi="Times New Roman"/>
      <w:sz w:val="24"/>
      <w:szCs w:val="24"/>
    </w:rPr>
  </w:style>
  <w:style w:type="paragraph" w:customStyle="1" w:styleId="ListBullet-Last">
    <w:name w:val="List Bullet - Last"/>
    <w:basedOn w:val="ListBullet"/>
    <w:link w:val="ListBullet-LastChar"/>
    <w:qFormat/>
    <w:rsid w:val="000D5768"/>
    <w:pPr>
      <w:numPr>
        <w:numId w:val="0"/>
      </w:numPr>
      <w:spacing w:after="240"/>
      <w:ind w:left="432" w:hanging="432"/>
    </w:pPr>
  </w:style>
  <w:style w:type="character" w:customStyle="1" w:styleId="ListBulletChar">
    <w:name w:val="List Bullet Char"/>
    <w:basedOn w:val="DefaultParagraphFont"/>
    <w:link w:val="ListBullet"/>
    <w:rsid w:val="000D5768"/>
    <w:rPr>
      <w:rFonts w:ascii="Times New Roman" w:hAnsi="Times New Roman"/>
      <w:sz w:val="24"/>
      <w:szCs w:val="24"/>
    </w:rPr>
  </w:style>
  <w:style w:type="character" w:customStyle="1" w:styleId="ListBullet-LastChar">
    <w:name w:val="List Bullet - Last Char"/>
    <w:basedOn w:val="ListBulletChar"/>
    <w:link w:val="ListBullet-Last"/>
    <w:rsid w:val="000D5768"/>
    <w:rPr>
      <w:rFonts w:ascii="Times New Roman" w:hAnsi="Times New Roman"/>
      <w:sz w:val="24"/>
      <w:szCs w:val="24"/>
    </w:rPr>
  </w:style>
  <w:style w:type="numbering" w:customStyle="1" w:styleId="NumberedList">
    <w:name w:val="Numbered List"/>
    <w:uiPriority w:val="99"/>
    <w:rsid w:val="000D5768"/>
    <w:pPr>
      <w:numPr>
        <w:numId w:val="15"/>
      </w:numPr>
    </w:pPr>
  </w:style>
  <w:style w:type="paragraph" w:customStyle="1" w:styleId="ListNumber-Last">
    <w:name w:val="List Number - Last"/>
    <w:basedOn w:val="ListNumber"/>
    <w:link w:val="ListNumber-LastChar"/>
    <w:qFormat/>
    <w:rsid w:val="000D5768"/>
    <w:pPr>
      <w:spacing w:after="240"/>
    </w:pPr>
  </w:style>
  <w:style w:type="paragraph" w:styleId="ListNumber">
    <w:name w:val="List Number"/>
    <w:link w:val="ListNumberChar"/>
    <w:rsid w:val="000D5768"/>
    <w:pPr>
      <w:numPr>
        <w:numId w:val="15"/>
      </w:numPr>
      <w:spacing w:before="120" w:after="0" w:line="240" w:lineRule="auto"/>
      <w:jc w:val="both"/>
    </w:pPr>
    <w:rPr>
      <w:rFonts w:ascii="Times New Roman" w:hAnsi="Times New Roman"/>
      <w:sz w:val="24"/>
      <w:szCs w:val="24"/>
    </w:rPr>
  </w:style>
  <w:style w:type="paragraph" w:styleId="ListNumber2">
    <w:name w:val="List Number 2"/>
    <w:basedOn w:val="ListNumber"/>
    <w:rsid w:val="000D5768"/>
    <w:pPr>
      <w:numPr>
        <w:ilvl w:val="1"/>
      </w:numPr>
      <w:tabs>
        <w:tab w:val="clear" w:pos="1440"/>
        <w:tab w:val="num" w:pos="360"/>
      </w:tabs>
    </w:pPr>
  </w:style>
  <w:style w:type="paragraph" w:styleId="ListNumber3">
    <w:name w:val="List Number 3"/>
    <w:basedOn w:val="ListNumber2"/>
    <w:rsid w:val="000D5768"/>
    <w:pPr>
      <w:numPr>
        <w:ilvl w:val="2"/>
      </w:numPr>
      <w:tabs>
        <w:tab w:val="clear" w:pos="2160"/>
        <w:tab w:val="num" w:pos="360"/>
      </w:tabs>
    </w:pPr>
  </w:style>
  <w:style w:type="paragraph" w:styleId="ListNumber4">
    <w:name w:val="List Number 4"/>
    <w:basedOn w:val="ListNumber3"/>
    <w:rsid w:val="000D5768"/>
    <w:pPr>
      <w:numPr>
        <w:ilvl w:val="3"/>
      </w:numPr>
      <w:tabs>
        <w:tab w:val="clear" w:pos="2880"/>
        <w:tab w:val="num" w:pos="360"/>
      </w:tabs>
    </w:pPr>
  </w:style>
  <w:style w:type="paragraph" w:styleId="ListNumber5">
    <w:name w:val="List Number 5"/>
    <w:basedOn w:val="ListNumber4"/>
    <w:rsid w:val="000D5768"/>
    <w:pPr>
      <w:numPr>
        <w:ilvl w:val="4"/>
      </w:numPr>
      <w:tabs>
        <w:tab w:val="clear" w:pos="3600"/>
        <w:tab w:val="num" w:pos="360"/>
      </w:tabs>
    </w:pPr>
  </w:style>
  <w:style w:type="character" w:customStyle="1" w:styleId="ListNumberChar">
    <w:name w:val="List Number Char"/>
    <w:basedOn w:val="DefaultParagraphFont"/>
    <w:link w:val="ListNumber"/>
    <w:rsid w:val="000D5768"/>
    <w:rPr>
      <w:rFonts w:ascii="Times New Roman" w:hAnsi="Times New Roman"/>
      <w:sz w:val="24"/>
      <w:szCs w:val="24"/>
    </w:rPr>
  </w:style>
  <w:style w:type="character" w:customStyle="1" w:styleId="ListNumber-LastChar">
    <w:name w:val="List Number - Last Char"/>
    <w:basedOn w:val="ListNumberChar"/>
    <w:link w:val="ListNumber-Last"/>
    <w:rsid w:val="000D5768"/>
    <w:rPr>
      <w:rFonts w:ascii="Times New Roman" w:hAnsi="Times New Roman"/>
      <w:sz w:val="24"/>
      <w:szCs w:val="24"/>
    </w:rPr>
  </w:style>
  <w:style w:type="paragraph" w:styleId="ListContinue2">
    <w:name w:val="List Continue 2"/>
    <w:basedOn w:val="Normal"/>
    <w:uiPriority w:val="99"/>
    <w:unhideWhenUsed/>
    <w:rsid w:val="000D5768"/>
    <w:pPr>
      <w:spacing w:before="120"/>
      <w:ind w:left="720"/>
      <w:jc w:val="both"/>
    </w:pPr>
    <w:rPr>
      <w:rFonts w:eastAsiaTheme="minorHAnsi" w:cstheme="minorBidi"/>
    </w:rPr>
  </w:style>
  <w:style w:type="character" w:customStyle="1" w:styleId="Heading5Char">
    <w:name w:val="Heading 5 Char"/>
    <w:basedOn w:val="DefaultParagraphFont"/>
    <w:link w:val="Heading5"/>
    <w:uiPriority w:val="9"/>
    <w:semiHidden/>
    <w:rsid w:val="00F84263"/>
    <w:rPr>
      <w:rFonts w:asciiTheme="majorHAnsi" w:eastAsiaTheme="majorEastAsia" w:hAnsiTheme="majorHAnsi" w:cstheme="majorBidi"/>
      <w:color w:val="365F91" w:themeColor="accent1" w:themeShade="BF"/>
      <w:sz w:val="24"/>
      <w:szCs w:val="24"/>
    </w:rPr>
  </w:style>
  <w:style w:type="character" w:customStyle="1" w:styleId="Heading6Char">
    <w:name w:val="Heading 6 Char"/>
    <w:aliases w:val="Heading 6 (Appendix Heading 1) Char"/>
    <w:basedOn w:val="DefaultParagraphFont"/>
    <w:link w:val="Heading6"/>
    <w:uiPriority w:val="9"/>
    <w:rsid w:val="00F84263"/>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F84263"/>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F84263"/>
    <w:rPr>
      <w:rFonts w:ascii="Arial" w:eastAsia="Times New Roman" w:hAnsi="Arial" w:cs="Times New Roman"/>
      <w:b/>
      <w:bCs/>
      <w:color w:val="0096FF"/>
      <w:sz w:val="24"/>
      <w:szCs w:val="20"/>
    </w:rPr>
  </w:style>
  <w:style w:type="character" w:customStyle="1" w:styleId="Heading9Char">
    <w:name w:val="Heading 9 Char"/>
    <w:aliases w:val="Heading 9 (Appendix Heading 4) Char"/>
    <w:basedOn w:val="DefaultParagraphFont"/>
    <w:link w:val="Heading9"/>
    <w:uiPriority w:val="9"/>
    <w:rsid w:val="00F84263"/>
    <w:rPr>
      <w:rFonts w:ascii="Times New Roman" w:eastAsia="Times New Roman" w:hAnsi="Times New Roman" w:cs="Times New Roman"/>
      <w:b/>
      <w:bCs/>
      <w:i/>
      <w:iCs/>
      <w:sz w:val="24"/>
      <w:szCs w:val="20"/>
    </w:rPr>
  </w:style>
  <w:style w:type="paragraph" w:customStyle="1" w:styleId="ListBullet2-SingleLine">
    <w:name w:val="List Bullet 2 - Single Line"/>
    <w:basedOn w:val="ListBullet2"/>
    <w:link w:val="ListBullet2-SingleLineChar"/>
    <w:qFormat/>
    <w:rsid w:val="00F84263"/>
    <w:pPr>
      <w:numPr>
        <w:numId w:val="3"/>
      </w:numPr>
      <w:contextualSpacing/>
    </w:pPr>
  </w:style>
  <w:style w:type="character" w:customStyle="1" w:styleId="ListBullet2-SingleLineChar">
    <w:name w:val="List Bullet 2 - Single Line Char"/>
    <w:basedOn w:val="DefaultParagraphFont"/>
    <w:link w:val="ListBullet2-SingleLine"/>
    <w:rsid w:val="00F84263"/>
    <w:rPr>
      <w:rFonts w:ascii="Times New Roman" w:hAnsi="Times New Roman"/>
      <w:sz w:val="24"/>
      <w:szCs w:val="24"/>
    </w:rPr>
  </w:style>
  <w:style w:type="paragraph" w:customStyle="1" w:styleId="ListBullet2-SingleLine-Last">
    <w:name w:val="List Bullet 2 - Single Line - Last"/>
    <w:basedOn w:val="ListBullet2-SingleLine"/>
    <w:link w:val="ListBullet2-SingleLine-LastChar"/>
    <w:qFormat/>
    <w:rsid w:val="00F84263"/>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F84263"/>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F423D"/>
    <w:rPr>
      <w:color w:val="605E5C"/>
      <w:shd w:val="clear" w:color="auto" w:fill="E1DFDD"/>
    </w:rPr>
  </w:style>
  <w:style w:type="table" w:styleId="GridTable1Light">
    <w:name w:val="Grid Table 1 Light"/>
    <w:basedOn w:val="TableNormal"/>
    <w:uiPriority w:val="46"/>
    <w:rsid w:val="007304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72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7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erken@urb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yes@urban.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user.gov/portal/datasets/assthsg.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AFC9-CEE2-43F7-802C-1464E70C6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4200B-CA7D-48AF-9E5C-7719847B19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478DD-3A5F-45F8-B081-215484559F5E}">
  <ds:schemaRefs>
    <ds:schemaRef ds:uri="http://schemas.microsoft.com/sharepoint/v3/contenttype/forms"/>
  </ds:schemaRefs>
</ds:datastoreItem>
</file>

<file path=customXml/itemProps4.xml><?xml version="1.0" encoding="utf-8"?>
<ds:datastoreItem xmlns:ds="http://schemas.openxmlformats.org/officeDocument/2006/customXml" ds:itemID="{B36FA3E0-1C8C-499F-BD41-3EDD4A23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Dennis Stout</cp:lastModifiedBy>
  <cp:revision>3</cp:revision>
  <dcterms:created xsi:type="dcterms:W3CDTF">2021-01-11T21:27:00Z</dcterms:created>
  <dcterms:modified xsi:type="dcterms:W3CDTF">2021-01-11T21:28:00Z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0x01010073655296EBD57F428221FA598B7CFC08</vt:lpwstr>
  </property>
</Properties>
</file>